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175B4" w14:textId="77777777" w:rsidR="0035402D" w:rsidRPr="00DD65D1" w:rsidRDefault="002C441B" w:rsidP="00DD65D1">
      <w:pPr>
        <w:keepNext/>
        <w:keepLines/>
        <w:pBdr>
          <w:top w:val="nil"/>
          <w:left w:val="nil"/>
          <w:bottom w:val="nil"/>
          <w:right w:val="nil"/>
          <w:between w:val="nil"/>
        </w:pBdr>
        <w:spacing w:before="240"/>
        <w:jc w:val="left"/>
        <w:rPr>
          <w:rFonts w:ascii="Play" w:eastAsia="Play" w:hAnsi="Play" w:cs="Play"/>
          <w:szCs w:val="22"/>
        </w:rPr>
      </w:pPr>
      <w:r w:rsidRPr="00DD65D1">
        <w:rPr>
          <w:rFonts w:ascii="Play" w:eastAsia="Play" w:hAnsi="Play" w:cs="Play"/>
          <w:szCs w:val="22"/>
        </w:rPr>
        <w:t>Contenido</w:t>
      </w:r>
    </w:p>
    <w:sdt>
      <w:sdtPr>
        <w:id w:val="964316561"/>
        <w:docPartObj>
          <w:docPartGallery w:val="Table of Contents"/>
          <w:docPartUnique/>
        </w:docPartObj>
      </w:sdtPr>
      <w:sdtEndPr/>
      <w:sdtContent>
        <w:p w14:paraId="573D641D" w14:textId="77777777" w:rsidR="0035402D" w:rsidRPr="00DD65D1" w:rsidRDefault="002C441B" w:rsidP="00DD65D1">
          <w:pPr>
            <w:pBdr>
              <w:top w:val="nil"/>
              <w:left w:val="nil"/>
              <w:bottom w:val="nil"/>
              <w:right w:val="nil"/>
              <w:between w:val="nil"/>
            </w:pBdr>
            <w:tabs>
              <w:tab w:val="right" w:pos="9034"/>
            </w:tabs>
            <w:spacing w:after="100"/>
            <w:rPr>
              <w:rFonts w:ascii="Aptos" w:eastAsia="Aptos" w:hAnsi="Aptos" w:cs="Aptos"/>
              <w:szCs w:val="22"/>
            </w:rPr>
          </w:pPr>
          <w:r w:rsidRPr="00DD65D1">
            <w:fldChar w:fldCharType="begin"/>
          </w:r>
          <w:r w:rsidRPr="00DD65D1">
            <w:instrText xml:space="preserve"> TOC \h \u \z \t "Heading 1,1,Heading 2,2,Heading 3,3,"</w:instrText>
          </w:r>
          <w:r w:rsidRPr="00DD65D1">
            <w:fldChar w:fldCharType="separate"/>
          </w:r>
          <w:hyperlink w:anchor="_heading=h.23ckvvd">
            <w:r w:rsidRPr="00DD65D1">
              <w:rPr>
                <w:rFonts w:eastAsia="Palatino Linotype" w:cs="Palatino Linotype"/>
                <w:szCs w:val="22"/>
              </w:rPr>
              <w:t>ANTECEDENTES</w:t>
            </w:r>
            <w:r w:rsidRPr="00DD65D1">
              <w:rPr>
                <w:rFonts w:eastAsia="Palatino Linotype" w:cs="Palatino Linotype"/>
                <w:szCs w:val="22"/>
              </w:rPr>
              <w:tab/>
              <w:t>1</w:t>
            </w:r>
          </w:hyperlink>
        </w:p>
        <w:p w14:paraId="693691C3" w14:textId="77777777" w:rsidR="0035402D" w:rsidRPr="00DD65D1" w:rsidRDefault="0018539E" w:rsidP="00DD65D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ihv636">
            <w:r w:rsidR="002C441B" w:rsidRPr="00DD65D1">
              <w:rPr>
                <w:rFonts w:eastAsia="Palatino Linotype" w:cs="Palatino Linotype"/>
                <w:szCs w:val="22"/>
              </w:rPr>
              <w:t>DE LA SOLICITUD DE INFORMACIÓN</w:t>
            </w:r>
            <w:r w:rsidR="002C441B" w:rsidRPr="00DD65D1">
              <w:rPr>
                <w:rFonts w:eastAsia="Palatino Linotype" w:cs="Palatino Linotype"/>
                <w:szCs w:val="22"/>
              </w:rPr>
              <w:tab/>
              <w:t>1</w:t>
            </w:r>
          </w:hyperlink>
        </w:p>
        <w:p w14:paraId="6D82CEE3"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2C441B" w:rsidRPr="00DD65D1">
              <w:rPr>
                <w:rFonts w:eastAsia="Palatino Linotype" w:cs="Palatino Linotype"/>
                <w:szCs w:val="22"/>
              </w:rPr>
              <w:t>a) Solicitud de información.</w:t>
            </w:r>
            <w:r w:rsidR="002C441B" w:rsidRPr="00DD65D1">
              <w:rPr>
                <w:rFonts w:eastAsia="Palatino Linotype" w:cs="Palatino Linotype"/>
                <w:szCs w:val="22"/>
              </w:rPr>
              <w:tab/>
              <w:t>1</w:t>
            </w:r>
          </w:hyperlink>
        </w:p>
        <w:p w14:paraId="4E47CDA1"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hmsyys">
            <w:r w:rsidR="002C441B" w:rsidRPr="00DD65D1">
              <w:rPr>
                <w:rFonts w:eastAsia="Palatino Linotype" w:cs="Palatino Linotype"/>
                <w:szCs w:val="22"/>
              </w:rPr>
              <w:t>b) Respuesta del Sujeto Obligado.</w:t>
            </w:r>
            <w:r w:rsidR="002C441B" w:rsidRPr="00DD65D1">
              <w:rPr>
                <w:rFonts w:eastAsia="Palatino Linotype" w:cs="Palatino Linotype"/>
                <w:szCs w:val="22"/>
              </w:rPr>
              <w:tab/>
              <w:t>3</w:t>
            </w:r>
          </w:hyperlink>
        </w:p>
        <w:p w14:paraId="33A87A5F" w14:textId="77777777" w:rsidR="0035402D" w:rsidRPr="00DD65D1" w:rsidRDefault="0018539E" w:rsidP="00DD65D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1mghml">
            <w:r w:rsidR="002C441B" w:rsidRPr="00DD65D1">
              <w:rPr>
                <w:rFonts w:eastAsia="Palatino Linotype" w:cs="Palatino Linotype"/>
                <w:szCs w:val="22"/>
              </w:rPr>
              <w:t>DEL RECURSO DE REVISIÓN</w:t>
            </w:r>
            <w:r w:rsidR="002C441B" w:rsidRPr="00DD65D1">
              <w:rPr>
                <w:rFonts w:eastAsia="Palatino Linotype" w:cs="Palatino Linotype"/>
                <w:szCs w:val="22"/>
              </w:rPr>
              <w:tab/>
              <w:t>3</w:t>
            </w:r>
          </w:hyperlink>
        </w:p>
        <w:p w14:paraId="616B6307"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grqrue">
            <w:r w:rsidR="002C441B" w:rsidRPr="00DD65D1">
              <w:rPr>
                <w:rFonts w:eastAsia="Palatino Linotype" w:cs="Palatino Linotype"/>
                <w:szCs w:val="22"/>
              </w:rPr>
              <w:t>a) Interposición del Recurso de Revisión.</w:t>
            </w:r>
            <w:r w:rsidR="002C441B" w:rsidRPr="00DD65D1">
              <w:rPr>
                <w:rFonts w:eastAsia="Palatino Linotype" w:cs="Palatino Linotype"/>
                <w:szCs w:val="22"/>
              </w:rPr>
              <w:tab/>
              <w:t>3</w:t>
            </w:r>
          </w:hyperlink>
        </w:p>
        <w:p w14:paraId="6FC2FF8C"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x1227">
            <w:r w:rsidR="002C441B" w:rsidRPr="00DD65D1">
              <w:rPr>
                <w:rFonts w:eastAsia="Palatino Linotype" w:cs="Palatino Linotype"/>
                <w:szCs w:val="22"/>
              </w:rPr>
              <w:t>b) Turno del Recurso de Revisión.</w:t>
            </w:r>
            <w:r w:rsidR="002C441B" w:rsidRPr="00DD65D1">
              <w:rPr>
                <w:rFonts w:eastAsia="Palatino Linotype" w:cs="Palatino Linotype"/>
                <w:szCs w:val="22"/>
              </w:rPr>
              <w:tab/>
              <w:t>5</w:t>
            </w:r>
          </w:hyperlink>
        </w:p>
        <w:p w14:paraId="26D28F4D"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fwokq0">
            <w:r w:rsidR="002C441B" w:rsidRPr="00DD65D1">
              <w:rPr>
                <w:rFonts w:eastAsia="Palatino Linotype" w:cs="Palatino Linotype"/>
                <w:szCs w:val="22"/>
              </w:rPr>
              <w:t>c) Admisión del Recurso de Revisión.</w:t>
            </w:r>
            <w:r w:rsidR="002C441B" w:rsidRPr="00DD65D1">
              <w:rPr>
                <w:rFonts w:eastAsia="Palatino Linotype" w:cs="Palatino Linotype"/>
                <w:szCs w:val="22"/>
              </w:rPr>
              <w:tab/>
              <w:t>5</w:t>
            </w:r>
          </w:hyperlink>
        </w:p>
        <w:p w14:paraId="76D0571C"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v1yuxt">
            <w:r w:rsidR="002C441B" w:rsidRPr="00DD65D1">
              <w:rPr>
                <w:rFonts w:eastAsia="Palatino Linotype" w:cs="Palatino Linotype"/>
                <w:szCs w:val="22"/>
              </w:rPr>
              <w:t>d) Informe Justificado del Sujeto Obligado.</w:t>
            </w:r>
            <w:r w:rsidR="002C441B" w:rsidRPr="00DD65D1">
              <w:rPr>
                <w:rFonts w:eastAsia="Palatino Linotype" w:cs="Palatino Linotype"/>
                <w:szCs w:val="22"/>
              </w:rPr>
              <w:tab/>
              <w:t>5</w:t>
            </w:r>
          </w:hyperlink>
        </w:p>
        <w:p w14:paraId="31AABAB8"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f1mdlm">
            <w:r w:rsidR="002C441B" w:rsidRPr="00DD65D1">
              <w:rPr>
                <w:rFonts w:eastAsia="Palatino Linotype" w:cs="Palatino Linotype"/>
                <w:szCs w:val="22"/>
              </w:rPr>
              <w:t>e) Manifestaciones de la Parte Recurrente.</w:t>
            </w:r>
            <w:r w:rsidR="002C441B" w:rsidRPr="00DD65D1">
              <w:rPr>
                <w:rFonts w:eastAsia="Palatino Linotype" w:cs="Palatino Linotype"/>
                <w:szCs w:val="22"/>
              </w:rPr>
              <w:tab/>
              <w:t>5</w:t>
            </w:r>
          </w:hyperlink>
        </w:p>
        <w:p w14:paraId="7DC9EDE5"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u6wntf">
            <w:r w:rsidR="002C441B" w:rsidRPr="00DD65D1">
              <w:rPr>
                <w:rFonts w:eastAsia="Palatino Linotype" w:cs="Palatino Linotype"/>
                <w:szCs w:val="22"/>
              </w:rPr>
              <w:t>f) Cierre de instrucción.</w:t>
            </w:r>
            <w:r w:rsidR="002C441B" w:rsidRPr="00DD65D1">
              <w:rPr>
                <w:rFonts w:eastAsia="Palatino Linotype" w:cs="Palatino Linotype"/>
                <w:szCs w:val="22"/>
              </w:rPr>
              <w:tab/>
              <w:t>6</w:t>
            </w:r>
          </w:hyperlink>
        </w:p>
        <w:p w14:paraId="46B86E37" w14:textId="77777777" w:rsidR="0035402D" w:rsidRPr="00DD65D1" w:rsidRDefault="0018539E" w:rsidP="00DD65D1">
          <w:pPr>
            <w:pBdr>
              <w:top w:val="nil"/>
              <w:left w:val="nil"/>
              <w:bottom w:val="nil"/>
              <w:right w:val="nil"/>
              <w:between w:val="nil"/>
            </w:pBdr>
            <w:tabs>
              <w:tab w:val="right" w:pos="9034"/>
            </w:tabs>
            <w:spacing w:after="100"/>
            <w:rPr>
              <w:rFonts w:ascii="Aptos" w:eastAsia="Aptos" w:hAnsi="Aptos" w:cs="Aptos"/>
              <w:szCs w:val="22"/>
            </w:rPr>
          </w:pPr>
          <w:hyperlink w:anchor="_heading=h.19c6y18">
            <w:r w:rsidR="002C441B" w:rsidRPr="00DD65D1">
              <w:rPr>
                <w:rFonts w:eastAsia="Palatino Linotype" w:cs="Palatino Linotype"/>
                <w:szCs w:val="22"/>
              </w:rPr>
              <w:t>CONSIDERANDOS</w:t>
            </w:r>
            <w:r w:rsidR="002C441B" w:rsidRPr="00DD65D1">
              <w:rPr>
                <w:rFonts w:eastAsia="Palatino Linotype" w:cs="Palatino Linotype"/>
                <w:szCs w:val="22"/>
              </w:rPr>
              <w:tab/>
              <w:t>6</w:t>
            </w:r>
          </w:hyperlink>
        </w:p>
        <w:p w14:paraId="2C690FEB" w14:textId="77777777" w:rsidR="0035402D" w:rsidRPr="00DD65D1" w:rsidRDefault="0018539E" w:rsidP="00DD65D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tbugp1">
            <w:r w:rsidR="002C441B" w:rsidRPr="00DD65D1">
              <w:rPr>
                <w:rFonts w:eastAsia="Palatino Linotype" w:cs="Palatino Linotype"/>
                <w:szCs w:val="22"/>
              </w:rPr>
              <w:t>PRIMERO. Procedibilidad</w:t>
            </w:r>
            <w:r w:rsidR="002C441B" w:rsidRPr="00DD65D1">
              <w:rPr>
                <w:rFonts w:eastAsia="Palatino Linotype" w:cs="Palatino Linotype"/>
                <w:szCs w:val="22"/>
              </w:rPr>
              <w:tab/>
              <w:t>6</w:t>
            </w:r>
          </w:hyperlink>
        </w:p>
        <w:p w14:paraId="55947F57"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8h4qwu">
            <w:r w:rsidR="002C441B" w:rsidRPr="00DD65D1">
              <w:rPr>
                <w:rFonts w:eastAsia="Palatino Linotype" w:cs="Palatino Linotype"/>
                <w:szCs w:val="22"/>
              </w:rPr>
              <w:t>a) Competencia del Instituto.</w:t>
            </w:r>
            <w:r w:rsidR="002C441B" w:rsidRPr="00DD65D1">
              <w:rPr>
                <w:rFonts w:eastAsia="Palatino Linotype" w:cs="Palatino Linotype"/>
                <w:szCs w:val="22"/>
              </w:rPr>
              <w:tab/>
              <w:t>6</w:t>
            </w:r>
          </w:hyperlink>
        </w:p>
        <w:p w14:paraId="3CE605B2"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mf14n">
            <w:r w:rsidR="002C441B" w:rsidRPr="00DD65D1">
              <w:rPr>
                <w:rFonts w:eastAsia="Palatino Linotype" w:cs="Palatino Linotype"/>
                <w:szCs w:val="22"/>
              </w:rPr>
              <w:t>b) Legitimidad de la parte recurrente.</w:t>
            </w:r>
            <w:r w:rsidR="002C441B" w:rsidRPr="00DD65D1">
              <w:rPr>
                <w:rFonts w:eastAsia="Palatino Linotype" w:cs="Palatino Linotype"/>
                <w:szCs w:val="22"/>
              </w:rPr>
              <w:tab/>
              <w:t>7</w:t>
            </w:r>
          </w:hyperlink>
        </w:p>
        <w:p w14:paraId="5F755661"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7m2jsg">
            <w:r w:rsidR="002C441B" w:rsidRPr="00DD65D1">
              <w:rPr>
                <w:rFonts w:eastAsia="Palatino Linotype" w:cs="Palatino Linotype"/>
                <w:szCs w:val="22"/>
              </w:rPr>
              <w:t>c) Plazo para interponer el recurso.</w:t>
            </w:r>
            <w:r w:rsidR="002C441B" w:rsidRPr="00DD65D1">
              <w:rPr>
                <w:rFonts w:eastAsia="Palatino Linotype" w:cs="Palatino Linotype"/>
                <w:szCs w:val="22"/>
              </w:rPr>
              <w:tab/>
              <w:t>7</w:t>
            </w:r>
          </w:hyperlink>
        </w:p>
        <w:p w14:paraId="337FA37A"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mrcu09">
            <w:r w:rsidR="002C441B" w:rsidRPr="00DD65D1">
              <w:rPr>
                <w:rFonts w:eastAsia="Palatino Linotype" w:cs="Palatino Linotype"/>
                <w:szCs w:val="22"/>
              </w:rPr>
              <w:t>d) Causal de procedencia.</w:t>
            </w:r>
            <w:r w:rsidR="002C441B" w:rsidRPr="00DD65D1">
              <w:rPr>
                <w:rFonts w:eastAsia="Palatino Linotype" w:cs="Palatino Linotype"/>
                <w:szCs w:val="22"/>
              </w:rPr>
              <w:tab/>
              <w:t>7</w:t>
            </w:r>
          </w:hyperlink>
        </w:p>
        <w:p w14:paraId="42AF49CD"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2C441B" w:rsidRPr="00DD65D1">
              <w:rPr>
                <w:rFonts w:eastAsia="Palatino Linotype" w:cs="Palatino Linotype"/>
                <w:szCs w:val="22"/>
              </w:rPr>
              <w:t>e) Requisitos formales para la interposición del recurso.</w:t>
            </w:r>
            <w:r w:rsidR="002C441B" w:rsidRPr="00DD65D1">
              <w:rPr>
                <w:rFonts w:eastAsia="Palatino Linotype" w:cs="Palatino Linotype"/>
                <w:szCs w:val="22"/>
              </w:rPr>
              <w:tab/>
              <w:t>8</w:t>
            </w:r>
          </w:hyperlink>
        </w:p>
        <w:p w14:paraId="59AF0614" w14:textId="77777777" w:rsidR="0035402D" w:rsidRPr="00DD65D1" w:rsidRDefault="0018539E" w:rsidP="00DD65D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lwamvv">
            <w:r w:rsidR="002C441B" w:rsidRPr="00DD65D1">
              <w:rPr>
                <w:rFonts w:eastAsia="Palatino Linotype" w:cs="Palatino Linotype"/>
                <w:szCs w:val="22"/>
              </w:rPr>
              <w:t>SEGUNDO. Estudio de Fondo.</w:t>
            </w:r>
            <w:r w:rsidR="002C441B" w:rsidRPr="00DD65D1">
              <w:rPr>
                <w:rFonts w:eastAsia="Palatino Linotype" w:cs="Palatino Linotype"/>
                <w:szCs w:val="22"/>
              </w:rPr>
              <w:tab/>
              <w:t>8</w:t>
            </w:r>
          </w:hyperlink>
        </w:p>
        <w:p w14:paraId="2A89077B"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11kx3o">
            <w:r w:rsidR="002C441B" w:rsidRPr="00DD65D1">
              <w:rPr>
                <w:rFonts w:eastAsia="Palatino Linotype" w:cs="Palatino Linotype"/>
                <w:szCs w:val="22"/>
              </w:rPr>
              <w:t>a) Mandato de transparencia y responsabilidad del Sujeto Obligado.</w:t>
            </w:r>
            <w:r w:rsidR="002C441B" w:rsidRPr="00DD65D1">
              <w:rPr>
                <w:rFonts w:eastAsia="Palatino Linotype" w:cs="Palatino Linotype"/>
                <w:szCs w:val="22"/>
              </w:rPr>
              <w:tab/>
              <w:t>8</w:t>
            </w:r>
          </w:hyperlink>
        </w:p>
        <w:p w14:paraId="65F0C7D5"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l18frh">
            <w:r w:rsidR="002C441B" w:rsidRPr="00DD65D1">
              <w:rPr>
                <w:rFonts w:eastAsia="Palatino Linotype" w:cs="Palatino Linotype"/>
                <w:szCs w:val="22"/>
              </w:rPr>
              <w:t>b) Controversia a resolver.</w:t>
            </w:r>
            <w:r w:rsidR="002C441B" w:rsidRPr="00DD65D1">
              <w:rPr>
                <w:rFonts w:eastAsia="Palatino Linotype" w:cs="Palatino Linotype"/>
                <w:szCs w:val="22"/>
              </w:rPr>
              <w:tab/>
              <w:t>11</w:t>
            </w:r>
          </w:hyperlink>
        </w:p>
        <w:p w14:paraId="612F2186"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06ipza">
            <w:r w:rsidR="002C441B" w:rsidRPr="00DD65D1">
              <w:rPr>
                <w:rFonts w:eastAsia="Palatino Linotype" w:cs="Palatino Linotype"/>
                <w:szCs w:val="22"/>
              </w:rPr>
              <w:t>c) Estudio de la controversia.</w:t>
            </w:r>
            <w:r w:rsidR="002C441B" w:rsidRPr="00DD65D1">
              <w:rPr>
                <w:rFonts w:eastAsia="Palatino Linotype" w:cs="Palatino Linotype"/>
                <w:szCs w:val="22"/>
              </w:rPr>
              <w:tab/>
              <w:t>18</w:t>
            </w:r>
          </w:hyperlink>
        </w:p>
        <w:p w14:paraId="68260824"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k668n3">
            <w:r w:rsidR="002C441B" w:rsidRPr="00DD65D1">
              <w:rPr>
                <w:rFonts w:eastAsia="Palatino Linotype" w:cs="Palatino Linotype"/>
                <w:szCs w:val="22"/>
              </w:rPr>
              <w:t>d) Versión pública.</w:t>
            </w:r>
            <w:r w:rsidR="002C441B" w:rsidRPr="00DD65D1">
              <w:rPr>
                <w:rFonts w:eastAsia="Palatino Linotype" w:cs="Palatino Linotype"/>
                <w:szCs w:val="22"/>
              </w:rPr>
              <w:tab/>
              <w:t>24</w:t>
            </w:r>
          </w:hyperlink>
        </w:p>
        <w:p w14:paraId="16132D97" w14:textId="77777777" w:rsidR="0035402D" w:rsidRPr="00DD65D1" w:rsidRDefault="0018539E" w:rsidP="00DD65D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zbgiuw">
            <w:r w:rsidR="002C441B" w:rsidRPr="00DD65D1">
              <w:rPr>
                <w:rFonts w:eastAsia="Palatino Linotype" w:cs="Palatino Linotype"/>
                <w:szCs w:val="22"/>
              </w:rPr>
              <w:t>e) Conclusión.</w:t>
            </w:r>
            <w:r w:rsidR="002C441B" w:rsidRPr="00DD65D1">
              <w:rPr>
                <w:rFonts w:eastAsia="Palatino Linotype" w:cs="Palatino Linotype"/>
                <w:szCs w:val="22"/>
              </w:rPr>
              <w:tab/>
              <w:t>31</w:t>
            </w:r>
          </w:hyperlink>
        </w:p>
        <w:p w14:paraId="78C8AB88" w14:textId="77777777" w:rsidR="0035402D" w:rsidRPr="00DD65D1" w:rsidRDefault="0018539E" w:rsidP="00DD65D1">
          <w:pPr>
            <w:pBdr>
              <w:top w:val="nil"/>
              <w:left w:val="nil"/>
              <w:bottom w:val="nil"/>
              <w:right w:val="nil"/>
              <w:between w:val="nil"/>
            </w:pBdr>
            <w:tabs>
              <w:tab w:val="right" w:pos="9034"/>
            </w:tabs>
            <w:spacing w:after="100"/>
            <w:rPr>
              <w:rFonts w:ascii="Aptos" w:eastAsia="Aptos" w:hAnsi="Aptos" w:cs="Aptos"/>
              <w:szCs w:val="22"/>
            </w:rPr>
          </w:pPr>
          <w:hyperlink w:anchor="_heading=h.1egqt2p">
            <w:r w:rsidR="002C441B" w:rsidRPr="00DD65D1">
              <w:rPr>
                <w:rFonts w:eastAsia="Palatino Linotype" w:cs="Palatino Linotype"/>
                <w:szCs w:val="22"/>
              </w:rPr>
              <w:t>RESUELVE</w:t>
            </w:r>
            <w:r w:rsidR="002C441B" w:rsidRPr="00DD65D1">
              <w:rPr>
                <w:rFonts w:eastAsia="Palatino Linotype" w:cs="Palatino Linotype"/>
                <w:szCs w:val="22"/>
              </w:rPr>
              <w:tab/>
              <w:t>32</w:t>
            </w:r>
          </w:hyperlink>
          <w:r w:rsidR="002C441B" w:rsidRPr="00DD65D1">
            <w:fldChar w:fldCharType="end"/>
          </w:r>
        </w:p>
      </w:sdtContent>
    </w:sdt>
    <w:p w14:paraId="45696AA8" w14:textId="77777777" w:rsidR="0035402D" w:rsidRPr="00DD65D1" w:rsidRDefault="0035402D" w:rsidP="00DD65D1">
      <w:pPr>
        <w:sectPr w:rsidR="0035402D" w:rsidRPr="00DD65D1">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782D7862" w14:textId="77777777" w:rsidR="0035402D" w:rsidRPr="00DD65D1" w:rsidRDefault="002C441B" w:rsidP="00DD65D1">
      <w:pPr>
        <w:rPr>
          <w:b/>
        </w:rPr>
      </w:pPr>
      <w:r w:rsidRPr="00DD65D1">
        <w:lastRenderedPageBreak/>
        <w:t xml:space="preserve">Resolución del Pleno del Instituto de Transparencia, Acceso a la Información Pública y Protección de Datos Personales del Estado de México y Municipios, con domicilio en Metepec, Estado de México, del </w:t>
      </w:r>
      <w:r w:rsidRPr="00DD65D1">
        <w:rPr>
          <w:b/>
        </w:rPr>
        <w:t>seis de febrero de dos mil veinticinco.</w:t>
      </w:r>
    </w:p>
    <w:p w14:paraId="03704124" w14:textId="77777777" w:rsidR="0035402D" w:rsidRPr="00DD65D1" w:rsidRDefault="0035402D" w:rsidP="00DD65D1"/>
    <w:p w14:paraId="047FA72C" w14:textId="149EA95B" w:rsidR="0035402D" w:rsidRPr="00DD65D1" w:rsidRDefault="002C441B" w:rsidP="00DD65D1">
      <w:r w:rsidRPr="00DD65D1">
        <w:rPr>
          <w:b/>
        </w:rPr>
        <w:t xml:space="preserve">VISTO </w:t>
      </w:r>
      <w:r w:rsidRPr="00DD65D1">
        <w:t xml:space="preserve">el expediente formado con motivo del Recurso de Revisión </w:t>
      </w:r>
      <w:r w:rsidRPr="00DD65D1">
        <w:rPr>
          <w:b/>
        </w:rPr>
        <w:t>07627/INFOEM/IP/RR/2024</w:t>
      </w:r>
      <w:r w:rsidRPr="00DD65D1">
        <w:t xml:space="preserve"> interpuesto por </w:t>
      </w:r>
      <w:r w:rsidR="00B149B4">
        <w:rPr>
          <w:b/>
        </w:rPr>
        <w:t>XXXXX XXXXXXX XXXXXXXXX XXXXXXXX</w:t>
      </w:r>
      <w:r w:rsidRPr="00DD65D1">
        <w:rPr>
          <w:b/>
        </w:rPr>
        <w:t xml:space="preserve"> </w:t>
      </w:r>
      <w:r w:rsidRPr="00DD65D1">
        <w:t xml:space="preserve">a quien en lo subsecuente se le denominará </w:t>
      </w:r>
      <w:r w:rsidRPr="00DD65D1">
        <w:rPr>
          <w:b/>
        </w:rPr>
        <w:t>LA PARTE RECURRENTE</w:t>
      </w:r>
      <w:r w:rsidRPr="00DD65D1">
        <w:t xml:space="preserve">, en contra de la respuesta emitida por el </w:t>
      </w:r>
      <w:r w:rsidRPr="00DD65D1">
        <w:rPr>
          <w:b/>
        </w:rPr>
        <w:t xml:space="preserve">Ayuntamiento de Lerma, </w:t>
      </w:r>
      <w:r w:rsidRPr="00DD65D1">
        <w:t xml:space="preserve">en adelante </w:t>
      </w:r>
      <w:r w:rsidRPr="00DD65D1">
        <w:rPr>
          <w:b/>
        </w:rPr>
        <w:t>EL SUJETO OBLIGADO</w:t>
      </w:r>
      <w:r w:rsidRPr="00DD65D1">
        <w:t>, se emite la presente Resolución con base en los Antecedentes y Considerandos que se exponen a continuación:</w:t>
      </w:r>
    </w:p>
    <w:p w14:paraId="303CF317" w14:textId="77777777" w:rsidR="0035402D" w:rsidRPr="00DD65D1" w:rsidRDefault="0035402D" w:rsidP="00DD65D1"/>
    <w:p w14:paraId="2D46845C" w14:textId="77777777" w:rsidR="0035402D" w:rsidRPr="00DD65D1" w:rsidRDefault="002C441B" w:rsidP="00DD65D1">
      <w:pPr>
        <w:pStyle w:val="Ttulo1"/>
      </w:pPr>
      <w:bookmarkStart w:id="2" w:name="_heading=h.23ckvvd" w:colFirst="0" w:colLast="0"/>
      <w:bookmarkEnd w:id="2"/>
      <w:r w:rsidRPr="00DD65D1">
        <w:t>ANTECEDENTES</w:t>
      </w:r>
    </w:p>
    <w:p w14:paraId="05509072" w14:textId="77777777" w:rsidR="0035402D" w:rsidRPr="00DD65D1" w:rsidRDefault="0035402D" w:rsidP="00DD65D1"/>
    <w:p w14:paraId="7EC222C7" w14:textId="77777777" w:rsidR="0035402D" w:rsidRPr="00DD65D1" w:rsidRDefault="002C441B" w:rsidP="00DD65D1">
      <w:pPr>
        <w:pStyle w:val="Ttulo2"/>
        <w:jc w:val="left"/>
      </w:pPr>
      <w:bookmarkStart w:id="3" w:name="_heading=h.ihv636" w:colFirst="0" w:colLast="0"/>
      <w:bookmarkEnd w:id="3"/>
      <w:r w:rsidRPr="00DD65D1">
        <w:t>DE LA SOLICITUD DE INFORMACIÓN</w:t>
      </w:r>
    </w:p>
    <w:p w14:paraId="78BD236D" w14:textId="77777777" w:rsidR="0035402D" w:rsidRPr="00DD65D1" w:rsidRDefault="002C441B" w:rsidP="00DD65D1">
      <w:pPr>
        <w:pStyle w:val="Ttulo3"/>
        <w:spacing w:line="360" w:lineRule="auto"/>
      </w:pPr>
      <w:bookmarkStart w:id="4" w:name="_heading=h.32hioqz" w:colFirst="0" w:colLast="0"/>
      <w:bookmarkEnd w:id="4"/>
      <w:r w:rsidRPr="00DD65D1">
        <w:t>a) Solicitud de información.</w:t>
      </w:r>
    </w:p>
    <w:p w14:paraId="0B05059C" w14:textId="77777777" w:rsidR="0035402D" w:rsidRPr="00DD65D1" w:rsidRDefault="002C441B" w:rsidP="00DD65D1">
      <w:pPr>
        <w:pBdr>
          <w:top w:val="nil"/>
          <w:left w:val="nil"/>
          <w:bottom w:val="nil"/>
          <w:right w:val="nil"/>
          <w:between w:val="nil"/>
        </w:pBdr>
        <w:tabs>
          <w:tab w:val="left" w:pos="0"/>
        </w:tabs>
      </w:pPr>
      <w:r w:rsidRPr="00DD65D1">
        <w:t xml:space="preserve">El </w:t>
      </w:r>
      <w:r w:rsidRPr="00DD65D1">
        <w:rPr>
          <w:b/>
        </w:rPr>
        <w:t>diecinueve de noviembre de dos mil veinticuatro</w:t>
      </w:r>
      <w:r w:rsidRPr="00DD65D1">
        <w:t xml:space="preserve"> </w:t>
      </w:r>
      <w:r w:rsidRPr="00DD65D1">
        <w:rPr>
          <w:b/>
        </w:rPr>
        <w:t>LA PARTE RECURRENTE</w:t>
      </w:r>
      <w:r w:rsidRPr="00DD65D1">
        <w:t xml:space="preserve"> presentó una solicitud de acceso a la información pública ante el </w:t>
      </w:r>
      <w:r w:rsidRPr="00DD65D1">
        <w:rPr>
          <w:b/>
        </w:rPr>
        <w:t>SUJETO OBLIGADO</w:t>
      </w:r>
      <w:r w:rsidRPr="00DD65D1">
        <w:t>, a través del Sistema de Acceso a la Información Mexiquense (SAIMEX). Dicha solicitud quedó registrada con el número de folio</w:t>
      </w:r>
      <w:r w:rsidRPr="00DD65D1">
        <w:rPr>
          <w:b/>
        </w:rPr>
        <w:t xml:space="preserve"> 00203/LERMA/IP/2024 </w:t>
      </w:r>
      <w:r w:rsidRPr="00DD65D1">
        <w:t>y en ella se requirió la siguiente información:</w:t>
      </w:r>
    </w:p>
    <w:p w14:paraId="5AB4F2A2" w14:textId="77777777" w:rsidR="0035402D" w:rsidRPr="00DD65D1" w:rsidRDefault="0035402D" w:rsidP="00DD65D1">
      <w:pPr>
        <w:tabs>
          <w:tab w:val="left" w:pos="4667"/>
        </w:tabs>
        <w:ind w:left="567" w:right="567"/>
        <w:rPr>
          <w:b/>
        </w:rPr>
      </w:pPr>
    </w:p>
    <w:p w14:paraId="6ACD1D32" w14:textId="77777777" w:rsidR="0035402D" w:rsidRPr="00DD65D1" w:rsidRDefault="002C441B" w:rsidP="00DD65D1">
      <w:pPr>
        <w:pStyle w:val="Puesto"/>
        <w:ind w:firstLine="567"/>
      </w:pPr>
      <w:r w:rsidRPr="00DD65D1">
        <w:t xml:space="preserve">“Por este medio me dirijo para solicitar la información a la Dirección de Residuos Sólidos, de Lerma de Villada, Estado de México; esto con base en el ejercicio del derecho al acceso a la información consagrado en el Artículo 6° Constitucional, párrafo II, y el Artículo 15, párrafo único de la Ley General de Transparencia y Acceso a la Información Pública, para requerir lo siguiente: Con base en las actividades relacionadas con el manejo y disposición de residuos sólidos en el municipio, solicitó la siguiente información correspondiente a </w:t>
      </w:r>
      <w:proofErr w:type="spellStart"/>
      <w:r w:rsidRPr="00DD65D1">
        <w:t>losaños</w:t>
      </w:r>
      <w:proofErr w:type="spellEnd"/>
      <w:r w:rsidRPr="00DD65D1">
        <w:t xml:space="preserve"> 2023 y 2024: 1. Presupuesto: Presupuesto asignado y ejercido para la gestión de residuos sólidos, desglosado por tipo de gasto (recolección, transporte, disposición final, reciclaje, etc.). Detalle de los conceptos de inversión y operación </w:t>
      </w:r>
      <w:r w:rsidRPr="00DD65D1">
        <w:lastRenderedPageBreak/>
        <w:t xml:space="preserve">vinculados al manejo de residuos sólidos. 2. Infraestructura y Equipamiento: Número de vehículos de recolección de residuos sólidos en operación, especificando tipo, capacidad y mantenimiento mensual por unidad. Infraestructura destinada al tratamiento y disposición final de residuos sólidos (rellenos sanitarios, estaciones de transferencia, plantas de reciclaje, etc.), con su ubicación y estado operativo. 3. Cobertura de Recolección: Frecuencia de recolección de residuos sólidos en cada colonia del municipio. Porcentaje de cobertura de recolección de residuos, indicando áreas atendidas y pendientes. 4. Programas y Políticas: Programas implementados para la separación de residuos en la fuente y el fomento al reciclaje, incluyendo presupuesto e impacto reportado. Normativas o reglamentos municipales vigentes que regulen la disposición y manejo de residuos sólidos. 5. Estadísticas: Cantidad de residuos sólidos generados en el municipio, desglosada por </w:t>
      </w:r>
      <w:proofErr w:type="gramStart"/>
      <w:r w:rsidRPr="00DD65D1">
        <w:t>tipo (orgánicos, inorgánicos, peligrosos</w:t>
      </w:r>
      <w:proofErr w:type="gramEnd"/>
      <w:r w:rsidRPr="00DD65D1">
        <w:t xml:space="preserve">) durante los años indicados. Porcentaje de residuos reciclados, </w:t>
      </w:r>
      <w:proofErr w:type="spellStart"/>
      <w:r w:rsidRPr="00DD65D1">
        <w:t>compostados</w:t>
      </w:r>
      <w:proofErr w:type="spellEnd"/>
      <w:r w:rsidRPr="00DD65D1">
        <w:t xml:space="preserve"> o depositados en rellenos sanitarios. 6. Contratos y Servicios Externos: Empresas o concesionarios encargados del manejo de residuos sólidos, especificando términos de contrato, costos y duración. Auditorías o evaluaciones realizadas a dichas empresas durante los años solicitados. 7. Participación Ciudadana: Campañas de educación y sensibilización ambiental realizadas, con sus costos y resultados evaluados. Indicadores de participación ciudadana en programas de manejo de residuos.” (Sic).</w:t>
      </w:r>
    </w:p>
    <w:p w14:paraId="59E5FA07" w14:textId="77777777" w:rsidR="0035402D" w:rsidRPr="00DD65D1" w:rsidRDefault="0035402D" w:rsidP="00DD65D1">
      <w:pPr>
        <w:tabs>
          <w:tab w:val="left" w:pos="4667"/>
        </w:tabs>
        <w:ind w:right="567"/>
        <w:rPr>
          <w:i/>
        </w:rPr>
      </w:pPr>
    </w:p>
    <w:p w14:paraId="66B5C9EA" w14:textId="77777777" w:rsidR="0035402D" w:rsidRPr="00DD65D1" w:rsidRDefault="002C441B" w:rsidP="00DD65D1">
      <w:pPr>
        <w:tabs>
          <w:tab w:val="left" w:pos="4667"/>
        </w:tabs>
        <w:ind w:right="567"/>
      </w:pPr>
      <w:r w:rsidRPr="00DD65D1">
        <w:t xml:space="preserve">A la solicitud, </w:t>
      </w:r>
      <w:r w:rsidRPr="00DD65D1">
        <w:rPr>
          <w:b/>
        </w:rPr>
        <w:t xml:space="preserve">LA PARTE RECURRENTE </w:t>
      </w:r>
      <w:r w:rsidRPr="00DD65D1">
        <w:t xml:space="preserve">adjuntó el archivo digital denominado </w:t>
      </w:r>
      <w:r w:rsidRPr="00DD65D1">
        <w:rPr>
          <w:i/>
        </w:rPr>
        <w:t>“Solicitud de transparencia RRSS.pdf”</w:t>
      </w:r>
      <w:r w:rsidRPr="00DD65D1">
        <w:t xml:space="preserve"> que contiene la solicitud de acceso a la información en formato PDF.</w:t>
      </w:r>
    </w:p>
    <w:p w14:paraId="670FFB02" w14:textId="77777777" w:rsidR="0035402D" w:rsidRPr="00DD65D1" w:rsidRDefault="0035402D" w:rsidP="00DD65D1">
      <w:pPr>
        <w:tabs>
          <w:tab w:val="left" w:pos="4667"/>
        </w:tabs>
        <w:ind w:right="567"/>
        <w:rPr>
          <w:i/>
        </w:rPr>
      </w:pPr>
    </w:p>
    <w:p w14:paraId="6B1D763B" w14:textId="77777777" w:rsidR="0035402D" w:rsidRPr="00DD65D1" w:rsidRDefault="002C441B" w:rsidP="00DD65D1">
      <w:pPr>
        <w:tabs>
          <w:tab w:val="left" w:pos="4667"/>
        </w:tabs>
        <w:ind w:right="567"/>
      </w:pPr>
      <w:r w:rsidRPr="00DD65D1">
        <w:rPr>
          <w:b/>
        </w:rPr>
        <w:t>Modalidad de entrega</w:t>
      </w:r>
      <w:r w:rsidRPr="00DD65D1">
        <w:t>: a</w:t>
      </w:r>
      <w:r w:rsidRPr="00DD65D1">
        <w:rPr>
          <w:i/>
        </w:rPr>
        <w:t xml:space="preserve"> </w:t>
      </w:r>
      <w:r w:rsidRPr="00DD65D1">
        <w:t xml:space="preserve">través del </w:t>
      </w:r>
      <w:r w:rsidRPr="00DD65D1">
        <w:rPr>
          <w:b/>
        </w:rPr>
        <w:t>SAIMEX</w:t>
      </w:r>
      <w:r w:rsidRPr="00DD65D1">
        <w:t>.</w:t>
      </w:r>
    </w:p>
    <w:p w14:paraId="644DB4F6" w14:textId="77777777" w:rsidR="0035402D" w:rsidRPr="00DD65D1" w:rsidRDefault="0035402D" w:rsidP="00DD65D1">
      <w:pPr>
        <w:tabs>
          <w:tab w:val="left" w:pos="4667"/>
        </w:tabs>
        <w:ind w:right="567"/>
      </w:pPr>
    </w:p>
    <w:p w14:paraId="14242134" w14:textId="77777777" w:rsidR="0035402D" w:rsidRPr="00DD65D1" w:rsidRDefault="002C441B" w:rsidP="00DD65D1">
      <w:pPr>
        <w:pStyle w:val="Ttulo3"/>
        <w:spacing w:line="360" w:lineRule="auto"/>
      </w:pPr>
      <w:bookmarkStart w:id="5" w:name="_heading=h.1hmsyys" w:colFirst="0" w:colLast="0"/>
      <w:bookmarkEnd w:id="5"/>
      <w:r w:rsidRPr="00DD65D1">
        <w:t>b) Respuesta del Sujeto Obligado.</w:t>
      </w:r>
    </w:p>
    <w:p w14:paraId="491A8794" w14:textId="77777777" w:rsidR="0035402D" w:rsidRPr="00DD65D1" w:rsidRDefault="002C441B" w:rsidP="00DD65D1">
      <w:pPr>
        <w:pBdr>
          <w:top w:val="nil"/>
          <w:left w:val="nil"/>
          <w:bottom w:val="nil"/>
          <w:right w:val="nil"/>
          <w:between w:val="nil"/>
        </w:pBdr>
      </w:pPr>
      <w:r w:rsidRPr="00DD65D1">
        <w:t xml:space="preserve">El </w:t>
      </w:r>
      <w:r w:rsidRPr="00DD65D1">
        <w:rPr>
          <w:b/>
        </w:rPr>
        <w:t>diez de diciembre de dos mil veinticuatro</w:t>
      </w:r>
      <w:r w:rsidRPr="00DD65D1">
        <w:t xml:space="preserve"> el Titular de la Unidad de Transparencia del </w:t>
      </w:r>
      <w:r w:rsidRPr="00DD65D1">
        <w:rPr>
          <w:b/>
        </w:rPr>
        <w:t>SUJETO OBLIGADO</w:t>
      </w:r>
      <w:r w:rsidRPr="00DD65D1">
        <w:t xml:space="preserve"> notificó la siguiente respuesta a través del SAIMEX:</w:t>
      </w:r>
    </w:p>
    <w:p w14:paraId="19D021BE" w14:textId="77777777" w:rsidR="0035402D" w:rsidRPr="00DD65D1" w:rsidRDefault="0035402D" w:rsidP="00DD65D1">
      <w:pPr>
        <w:tabs>
          <w:tab w:val="left" w:pos="4667"/>
        </w:tabs>
        <w:ind w:left="567" w:right="567"/>
        <w:rPr>
          <w:b/>
        </w:rPr>
      </w:pPr>
    </w:p>
    <w:p w14:paraId="60AB3BDB" w14:textId="77777777" w:rsidR="0035402D" w:rsidRPr="00DD65D1" w:rsidRDefault="002C441B" w:rsidP="00DD65D1">
      <w:pPr>
        <w:pStyle w:val="Puesto"/>
        <w:ind w:firstLine="567"/>
      </w:pPr>
      <w:r w:rsidRPr="00DD65D1">
        <w:t>“Lerma, México a 10 de Diciembre de 2024</w:t>
      </w:r>
    </w:p>
    <w:p w14:paraId="2424257D" w14:textId="77777777" w:rsidR="0035402D" w:rsidRPr="00DD65D1" w:rsidRDefault="002C441B" w:rsidP="00DD65D1">
      <w:pPr>
        <w:pStyle w:val="Puesto"/>
        <w:ind w:firstLine="567"/>
      </w:pPr>
      <w:r w:rsidRPr="00DD65D1">
        <w:t>Nombre del solicitante: C. Solicitante</w:t>
      </w:r>
    </w:p>
    <w:p w14:paraId="19BEF997" w14:textId="77777777" w:rsidR="0035402D" w:rsidRPr="00DD65D1" w:rsidRDefault="002C441B" w:rsidP="00DD65D1">
      <w:pPr>
        <w:pStyle w:val="Puesto"/>
        <w:ind w:firstLine="567"/>
      </w:pPr>
      <w:r w:rsidRPr="00DD65D1">
        <w:t>Folio de la solicitud: 00203/LERMA/IP/2024</w:t>
      </w:r>
    </w:p>
    <w:p w14:paraId="4E79CCC7" w14:textId="77777777" w:rsidR="0035402D" w:rsidRPr="00DD65D1" w:rsidRDefault="0035402D" w:rsidP="00DD65D1"/>
    <w:p w14:paraId="31B1CD9A" w14:textId="77777777" w:rsidR="0035402D" w:rsidRPr="00DD65D1" w:rsidRDefault="002C441B" w:rsidP="00DD65D1">
      <w:pPr>
        <w:pStyle w:val="Puesto"/>
        <w:ind w:firstLine="567"/>
      </w:pPr>
      <w:proofErr w:type="gramStart"/>
      <w:r w:rsidRPr="00DD65D1">
        <w:lastRenderedPageBreak/>
        <w:t>se</w:t>
      </w:r>
      <w:proofErr w:type="gramEnd"/>
      <w:r w:rsidRPr="00DD65D1">
        <w:t xml:space="preserve"> adjunta al presente.</w:t>
      </w:r>
    </w:p>
    <w:p w14:paraId="0D296896" w14:textId="77777777" w:rsidR="0035402D" w:rsidRPr="00DD65D1" w:rsidRDefault="0035402D" w:rsidP="00DD65D1"/>
    <w:p w14:paraId="089DFB97" w14:textId="77777777" w:rsidR="0035402D" w:rsidRPr="00DD65D1" w:rsidRDefault="002C441B" w:rsidP="00DD65D1">
      <w:pPr>
        <w:pStyle w:val="Puesto"/>
        <w:ind w:firstLine="567"/>
      </w:pPr>
      <w:r w:rsidRPr="00DD65D1">
        <w:t>ATENTAMENTE</w:t>
      </w:r>
    </w:p>
    <w:p w14:paraId="2FC99311" w14:textId="77777777" w:rsidR="0035402D" w:rsidRPr="00DD65D1" w:rsidRDefault="002C441B" w:rsidP="00DD65D1">
      <w:pPr>
        <w:pStyle w:val="Puesto"/>
        <w:ind w:firstLine="567"/>
      </w:pPr>
      <w:r w:rsidRPr="00DD65D1">
        <w:t>Lic. Brisa Valentina Ramos Franco” (sic).</w:t>
      </w:r>
    </w:p>
    <w:p w14:paraId="631BCA64" w14:textId="77777777" w:rsidR="0035402D" w:rsidRPr="00DD65D1" w:rsidRDefault="0035402D" w:rsidP="00DD65D1">
      <w:pPr>
        <w:pBdr>
          <w:top w:val="nil"/>
          <w:left w:val="nil"/>
          <w:bottom w:val="nil"/>
          <w:right w:val="nil"/>
          <w:between w:val="nil"/>
        </w:pBdr>
        <w:ind w:right="-28"/>
        <w:rPr>
          <w:b/>
          <w:i/>
        </w:rPr>
      </w:pPr>
    </w:p>
    <w:p w14:paraId="3C3048A7" w14:textId="77777777" w:rsidR="0035402D" w:rsidRPr="00DD65D1" w:rsidRDefault="002C441B" w:rsidP="00DD65D1">
      <w:pPr>
        <w:pBdr>
          <w:top w:val="nil"/>
          <w:left w:val="nil"/>
          <w:bottom w:val="nil"/>
          <w:right w:val="nil"/>
          <w:between w:val="nil"/>
        </w:pBdr>
        <w:ind w:right="-28"/>
      </w:pPr>
      <w:r w:rsidRPr="00DD65D1">
        <w:t>Asimismo, se anexó a la respuesta los archivos digitales que a continuación se describen:</w:t>
      </w:r>
    </w:p>
    <w:p w14:paraId="235FFED8" w14:textId="77777777" w:rsidR="0035402D" w:rsidRPr="00DD65D1" w:rsidRDefault="0035402D" w:rsidP="00DD65D1">
      <w:pPr>
        <w:pBdr>
          <w:top w:val="nil"/>
          <w:left w:val="nil"/>
          <w:bottom w:val="nil"/>
          <w:right w:val="nil"/>
          <w:between w:val="nil"/>
        </w:pBdr>
        <w:ind w:right="-28"/>
      </w:pPr>
    </w:p>
    <w:p w14:paraId="34C06595" w14:textId="77777777" w:rsidR="0035402D" w:rsidRPr="00DD65D1" w:rsidRDefault="002C441B" w:rsidP="00DD65D1">
      <w:pPr>
        <w:numPr>
          <w:ilvl w:val="0"/>
          <w:numId w:val="1"/>
        </w:numPr>
        <w:pBdr>
          <w:top w:val="nil"/>
          <w:left w:val="nil"/>
          <w:bottom w:val="nil"/>
          <w:right w:val="nil"/>
          <w:between w:val="nil"/>
        </w:pBdr>
        <w:ind w:right="-28"/>
        <w:rPr>
          <w:rFonts w:eastAsia="Palatino Linotype" w:cs="Palatino Linotype"/>
          <w:szCs w:val="22"/>
        </w:rPr>
      </w:pPr>
      <w:r w:rsidRPr="00DD65D1">
        <w:rPr>
          <w:rFonts w:eastAsia="Palatino Linotype" w:cs="Palatino Linotype"/>
          <w:b/>
          <w:i/>
          <w:szCs w:val="22"/>
        </w:rPr>
        <w:t>“Sol. 203-24.pdf”:</w:t>
      </w:r>
      <w:r w:rsidRPr="00DD65D1">
        <w:rPr>
          <w:rFonts w:eastAsia="Palatino Linotype" w:cs="Palatino Linotype"/>
          <w:szCs w:val="22"/>
        </w:rPr>
        <w:t xml:space="preserve"> documento que contiene los oficios DA/173/2024 y DRS/285/2024,  suscritos por el Director de Administración y el Director de Residuos Sólidos por medio de los cuales proporcionan respuesta a los puntos del requerimiento realizado por el solicitante.</w:t>
      </w:r>
    </w:p>
    <w:p w14:paraId="5405D90C" w14:textId="77777777" w:rsidR="0035402D" w:rsidRPr="00DD65D1" w:rsidRDefault="0035402D" w:rsidP="00DD65D1">
      <w:pPr>
        <w:pBdr>
          <w:top w:val="nil"/>
          <w:left w:val="nil"/>
          <w:bottom w:val="nil"/>
          <w:right w:val="nil"/>
          <w:between w:val="nil"/>
        </w:pBdr>
        <w:ind w:right="-28"/>
        <w:rPr>
          <w:b/>
          <w:i/>
        </w:rPr>
      </w:pPr>
    </w:p>
    <w:p w14:paraId="7F648BFB" w14:textId="77777777" w:rsidR="0035402D" w:rsidRPr="00DD65D1" w:rsidRDefault="002C441B" w:rsidP="00DD65D1">
      <w:pPr>
        <w:pStyle w:val="Ttulo2"/>
        <w:jc w:val="left"/>
      </w:pPr>
      <w:bookmarkStart w:id="6" w:name="_heading=h.41mghml" w:colFirst="0" w:colLast="0"/>
      <w:bookmarkEnd w:id="6"/>
      <w:r w:rsidRPr="00DD65D1">
        <w:t>DEL RECURSO DE REVISIÓN</w:t>
      </w:r>
    </w:p>
    <w:p w14:paraId="4F5B083B" w14:textId="77777777" w:rsidR="0035402D" w:rsidRPr="00DD65D1" w:rsidRDefault="0035402D" w:rsidP="00DD65D1">
      <w:pPr>
        <w:ind w:right="-28"/>
      </w:pPr>
    </w:p>
    <w:p w14:paraId="72579693" w14:textId="77777777" w:rsidR="0035402D" w:rsidRPr="00DD65D1" w:rsidRDefault="002C441B" w:rsidP="00DD65D1">
      <w:pPr>
        <w:pStyle w:val="Ttulo3"/>
        <w:spacing w:line="360" w:lineRule="auto"/>
      </w:pPr>
      <w:bookmarkStart w:id="7" w:name="_heading=h.2grqrue" w:colFirst="0" w:colLast="0"/>
      <w:bookmarkEnd w:id="7"/>
      <w:r w:rsidRPr="00DD65D1">
        <w:t>a) Interposición del Recurso de Revisión.</w:t>
      </w:r>
    </w:p>
    <w:p w14:paraId="253868C2" w14:textId="77777777" w:rsidR="0035402D" w:rsidRPr="00DD65D1" w:rsidRDefault="002C441B" w:rsidP="00DD65D1">
      <w:pPr>
        <w:ind w:right="-28"/>
      </w:pPr>
      <w:r w:rsidRPr="00DD65D1">
        <w:t xml:space="preserve">El </w:t>
      </w:r>
      <w:r w:rsidRPr="00DD65D1">
        <w:rPr>
          <w:b/>
        </w:rPr>
        <w:t>once de diciembre de dos mil veinticuatro</w:t>
      </w:r>
      <w:r w:rsidRPr="00DD65D1">
        <w:t xml:space="preserve"> </w:t>
      </w:r>
      <w:r w:rsidRPr="00DD65D1">
        <w:rPr>
          <w:b/>
        </w:rPr>
        <w:t>LA PARTE RECURRENTE</w:t>
      </w:r>
      <w:r w:rsidRPr="00DD65D1">
        <w:t xml:space="preserve"> interpuso el recurso de revisión en contra de la respuesta emitida por el </w:t>
      </w:r>
      <w:r w:rsidRPr="00DD65D1">
        <w:rPr>
          <w:b/>
        </w:rPr>
        <w:t>SUJETO OBLIGADO</w:t>
      </w:r>
      <w:r w:rsidRPr="00DD65D1">
        <w:t xml:space="preserve">, mismo que fue registrado en el SAIMEX con el número de expediente </w:t>
      </w:r>
      <w:r w:rsidRPr="00DD65D1">
        <w:rPr>
          <w:b/>
        </w:rPr>
        <w:t>07267/INFOEM/IP/RR/2024</w:t>
      </w:r>
      <w:r w:rsidRPr="00DD65D1">
        <w:t xml:space="preserve"> y en el cual manifiesta lo siguiente:</w:t>
      </w:r>
    </w:p>
    <w:p w14:paraId="0017AEED" w14:textId="77777777" w:rsidR="0035402D" w:rsidRPr="00DD65D1" w:rsidRDefault="0035402D" w:rsidP="00DD65D1">
      <w:pPr>
        <w:tabs>
          <w:tab w:val="left" w:pos="4667"/>
        </w:tabs>
        <w:ind w:right="539"/>
      </w:pPr>
    </w:p>
    <w:p w14:paraId="279E6269" w14:textId="77777777" w:rsidR="0035402D" w:rsidRPr="00DD65D1" w:rsidRDefault="002C441B" w:rsidP="00DD65D1">
      <w:pPr>
        <w:tabs>
          <w:tab w:val="left" w:pos="4667"/>
        </w:tabs>
        <w:ind w:left="567" w:right="539"/>
        <w:rPr>
          <w:b/>
        </w:rPr>
      </w:pPr>
      <w:r w:rsidRPr="00DD65D1">
        <w:rPr>
          <w:b/>
        </w:rPr>
        <w:t>ACTO IMPUGNADO</w:t>
      </w:r>
    </w:p>
    <w:p w14:paraId="02322559" w14:textId="77777777" w:rsidR="0035402D" w:rsidRPr="00DD65D1" w:rsidRDefault="0035402D" w:rsidP="00DD65D1">
      <w:pPr>
        <w:tabs>
          <w:tab w:val="left" w:pos="4667"/>
        </w:tabs>
        <w:ind w:left="567" w:right="539"/>
        <w:rPr>
          <w:b/>
        </w:rPr>
      </w:pPr>
    </w:p>
    <w:p w14:paraId="58CF8838" w14:textId="77777777" w:rsidR="0035402D" w:rsidRPr="00DD65D1" w:rsidRDefault="002C441B" w:rsidP="00DD65D1">
      <w:pPr>
        <w:pStyle w:val="Puesto"/>
        <w:ind w:firstLine="567"/>
      </w:pPr>
      <w:r w:rsidRPr="00DD65D1">
        <w:t xml:space="preserve">“Respuesta incompleta a la solicitud de información pública número 00203/LERMA/IP/2024, enviada a través de la Plataforma SAIMEX.” (Sic). </w:t>
      </w:r>
    </w:p>
    <w:p w14:paraId="2CA9B1BA" w14:textId="77777777" w:rsidR="0035402D" w:rsidRPr="00DD65D1" w:rsidRDefault="0035402D" w:rsidP="00DD65D1">
      <w:pPr>
        <w:tabs>
          <w:tab w:val="left" w:pos="4667"/>
        </w:tabs>
        <w:ind w:left="567" w:right="539"/>
      </w:pPr>
    </w:p>
    <w:p w14:paraId="0513EDD6" w14:textId="77777777" w:rsidR="0035402D" w:rsidRPr="00DD65D1" w:rsidRDefault="002C441B" w:rsidP="00DD65D1">
      <w:pPr>
        <w:tabs>
          <w:tab w:val="left" w:pos="4667"/>
        </w:tabs>
        <w:ind w:left="567" w:right="539"/>
        <w:rPr>
          <w:b/>
        </w:rPr>
      </w:pPr>
      <w:r w:rsidRPr="00DD65D1">
        <w:rPr>
          <w:b/>
        </w:rPr>
        <w:t>RAZONES O MOTIVOS DE INCONFORMIDAD</w:t>
      </w:r>
    </w:p>
    <w:p w14:paraId="6897E63C" w14:textId="77777777" w:rsidR="0035402D" w:rsidRPr="00DD65D1" w:rsidRDefault="0035402D" w:rsidP="00DD65D1">
      <w:pPr>
        <w:tabs>
          <w:tab w:val="left" w:pos="4667"/>
        </w:tabs>
        <w:ind w:left="567" w:right="539"/>
        <w:rPr>
          <w:b/>
        </w:rPr>
      </w:pPr>
    </w:p>
    <w:p w14:paraId="26686E2E" w14:textId="77777777" w:rsidR="0035402D" w:rsidRPr="00DD65D1" w:rsidRDefault="002C441B" w:rsidP="00DD65D1">
      <w:pPr>
        <w:pStyle w:val="Puesto"/>
        <w:ind w:firstLine="567"/>
      </w:pPr>
      <w:r w:rsidRPr="00DD65D1">
        <w:lastRenderedPageBreak/>
        <w:t xml:space="preserve">“La información proporcionada no cubre todos los puntos requeridos en la solicitud, siendo los siguientes: 1. Presupuesto Falta: -Presupuesto asignado y ejercido para la gestión de residuos sólidos, desglosado por tipo de gasto (recolección, transporte, disposición final, reciclaje, etc.). -Conceptos de inversión y operación, detallando las partidas específicas relacionadas con el manejo de residuos sólidos. 2. Infraestructura y Equipamiento Sugerencia: -Especificar la capacidad de cada unidad (usando </w:t>
      </w:r>
      <w:proofErr w:type="spellStart"/>
      <w:r w:rsidRPr="00DD65D1">
        <w:t>medidadas</w:t>
      </w:r>
      <w:proofErr w:type="spellEnd"/>
      <w:r w:rsidRPr="00DD65D1">
        <w:t xml:space="preserve"> de peso universales, kilogramos o toneladas). 3. Cobertura de Recolección Falta: -Frecuencia de recolección de residuos sólidos en cada colonia del municipio (por días o turnos, de ser posible anexar un mapeo o gráficas como se </w:t>
      </w:r>
      <w:proofErr w:type="spellStart"/>
      <w:r w:rsidRPr="00DD65D1">
        <w:t>específico</w:t>
      </w:r>
      <w:proofErr w:type="spellEnd"/>
      <w:r w:rsidRPr="00DD65D1">
        <w:t xml:space="preserve"> en el documento anexado en la solicitud principal) -Porcentaje de cobertura de recolección: -Identificar zonas atendidas y pendientes. -Indicar las áreas sin servicio o con servicio limitado. 4. Programas y Políticas Falta: -Normativas federales, estatales y municipales vigentes relacionadas con las obligaciones ciudadanas en el manejo y separación de residuos. 5. Estadísticas Falta: -Cantidad de residuos sólidos generados en el municipio, desglosados por tipo de residuos (</w:t>
      </w:r>
      <w:proofErr w:type="spellStart"/>
      <w:r w:rsidRPr="00DD65D1">
        <w:t>Ejem</w:t>
      </w:r>
      <w:proofErr w:type="spellEnd"/>
      <w:r w:rsidRPr="00DD65D1">
        <w:t>: Orgánicos e Inorgánicos). Por lo que la respuesta incumple con lo establecido en la Ley de Transparencia y Acceso a la Información Pública del Estado de México, que obliga a los sujetos obligados a proporcionar información completa y veraz.” (Sic).</w:t>
      </w:r>
    </w:p>
    <w:p w14:paraId="0F57A126" w14:textId="77777777" w:rsidR="0035402D" w:rsidRPr="00DD65D1" w:rsidRDefault="0035402D" w:rsidP="00DD65D1">
      <w:pPr>
        <w:tabs>
          <w:tab w:val="left" w:pos="4667"/>
        </w:tabs>
        <w:ind w:right="539"/>
      </w:pPr>
    </w:p>
    <w:p w14:paraId="2FCDD864" w14:textId="77777777" w:rsidR="0035402D" w:rsidRPr="00DD65D1" w:rsidRDefault="002C441B" w:rsidP="00DD65D1">
      <w:pPr>
        <w:rPr>
          <w:b/>
        </w:rPr>
      </w:pPr>
      <w:r w:rsidRPr="00DD65D1">
        <w:t xml:space="preserve">A la interposición del recurso de revisión </w:t>
      </w:r>
      <w:r w:rsidRPr="00DD65D1">
        <w:rPr>
          <w:b/>
        </w:rPr>
        <w:t xml:space="preserve">LA PARTE RECURRENTE </w:t>
      </w:r>
      <w:r w:rsidRPr="00DD65D1">
        <w:t xml:space="preserve">anexó los archivos  electrónicos denominados </w:t>
      </w:r>
      <w:r w:rsidRPr="00DD65D1">
        <w:rPr>
          <w:i/>
        </w:rPr>
        <w:t>“Solicitud de transparencia RRSS.pdf”,</w:t>
      </w:r>
      <w:r w:rsidRPr="00DD65D1">
        <w:t xml:space="preserve"> </w:t>
      </w:r>
      <w:r w:rsidRPr="00DD65D1">
        <w:rPr>
          <w:i/>
        </w:rPr>
        <w:t>“636258.page.pdf”</w:t>
      </w:r>
      <w:r w:rsidRPr="00DD65D1">
        <w:t xml:space="preserve"> y “Sol. </w:t>
      </w:r>
      <w:r w:rsidRPr="00DD65D1">
        <w:rPr>
          <w:i/>
        </w:rPr>
        <w:t>203-24 (1).</w:t>
      </w:r>
      <w:proofErr w:type="spellStart"/>
      <w:r w:rsidRPr="00DD65D1">
        <w:rPr>
          <w:i/>
        </w:rPr>
        <w:t>pdf</w:t>
      </w:r>
      <w:proofErr w:type="spellEnd"/>
      <w:r w:rsidRPr="00DD65D1">
        <w:rPr>
          <w:i/>
        </w:rPr>
        <w:t>”</w:t>
      </w:r>
      <w:r w:rsidRPr="00DD65D1">
        <w:t xml:space="preserve">, que contienen respectivamente el escrito de la solicitud, el acuse de la solicitud y los oficios de respuesta del </w:t>
      </w:r>
      <w:r w:rsidRPr="00DD65D1">
        <w:rPr>
          <w:b/>
        </w:rPr>
        <w:t>SUJETO OBLIGADA.</w:t>
      </w:r>
    </w:p>
    <w:p w14:paraId="06F346E7" w14:textId="77777777" w:rsidR="0035402D" w:rsidRPr="00DD65D1" w:rsidRDefault="0035402D" w:rsidP="00DD65D1">
      <w:pPr>
        <w:tabs>
          <w:tab w:val="left" w:pos="4667"/>
        </w:tabs>
        <w:ind w:right="539"/>
      </w:pPr>
    </w:p>
    <w:p w14:paraId="3DF3C5D7" w14:textId="77777777" w:rsidR="0035402D" w:rsidRPr="00DD65D1" w:rsidRDefault="002C441B" w:rsidP="00DD65D1">
      <w:pPr>
        <w:pStyle w:val="Ttulo3"/>
        <w:spacing w:line="360" w:lineRule="auto"/>
      </w:pPr>
      <w:bookmarkStart w:id="8" w:name="_heading=h.vx1227" w:colFirst="0" w:colLast="0"/>
      <w:bookmarkEnd w:id="8"/>
      <w:r w:rsidRPr="00DD65D1">
        <w:t>b) Turno del Recurso de Revisión.</w:t>
      </w:r>
    </w:p>
    <w:p w14:paraId="4BF98C3E" w14:textId="77777777" w:rsidR="0035402D" w:rsidRPr="00DD65D1" w:rsidRDefault="002C441B" w:rsidP="00DD65D1">
      <w:r w:rsidRPr="00DD65D1">
        <w:t>Con fundamento en el artículo 185, fracción I de la Ley de Transparencia y Acceso a la Información Pública del Estado de México y Municipios, el</w:t>
      </w:r>
      <w:r w:rsidRPr="00DD65D1">
        <w:rPr>
          <w:b/>
        </w:rPr>
        <w:t xml:space="preserve"> once de diciembre de dos mil veinticuatro</w:t>
      </w:r>
      <w:r w:rsidRPr="00DD65D1">
        <w:t xml:space="preserve"> se turnó el recurso de revisión a través del SAIMEX a la </w:t>
      </w:r>
      <w:r w:rsidRPr="00DD65D1">
        <w:rPr>
          <w:b/>
        </w:rPr>
        <w:t>Comisionada Sharon Cristina Morales Martínez</w:t>
      </w:r>
      <w:r w:rsidRPr="00DD65D1">
        <w:t xml:space="preserve">, a efecto de decretar su admisión o </w:t>
      </w:r>
      <w:proofErr w:type="spellStart"/>
      <w:r w:rsidRPr="00DD65D1">
        <w:t>desechamiento</w:t>
      </w:r>
      <w:proofErr w:type="spellEnd"/>
      <w:r w:rsidRPr="00DD65D1">
        <w:t>.</w:t>
      </w:r>
    </w:p>
    <w:p w14:paraId="3F85F6C6" w14:textId="77777777" w:rsidR="0035402D" w:rsidRPr="00DD65D1" w:rsidRDefault="0035402D" w:rsidP="00DD65D1"/>
    <w:p w14:paraId="1158D204" w14:textId="77777777" w:rsidR="0035402D" w:rsidRPr="00DD65D1" w:rsidRDefault="002C441B" w:rsidP="00DD65D1">
      <w:pPr>
        <w:pStyle w:val="Ttulo3"/>
        <w:spacing w:line="360" w:lineRule="auto"/>
      </w:pPr>
      <w:bookmarkStart w:id="9" w:name="_heading=h.3fwokq0" w:colFirst="0" w:colLast="0"/>
      <w:bookmarkEnd w:id="9"/>
      <w:r w:rsidRPr="00DD65D1">
        <w:t>c) Admisión del Recurso de Revisión.</w:t>
      </w:r>
    </w:p>
    <w:p w14:paraId="177D8CE4" w14:textId="77777777" w:rsidR="0035402D" w:rsidRPr="00DD65D1" w:rsidRDefault="002C441B" w:rsidP="00DD65D1">
      <w:r w:rsidRPr="00DD65D1">
        <w:t xml:space="preserve">El </w:t>
      </w:r>
      <w:r w:rsidRPr="00DD65D1">
        <w:rPr>
          <w:b/>
        </w:rPr>
        <w:t>dieciséis de diciembre de dos mil veinticuatro</w:t>
      </w:r>
      <w:r w:rsidRPr="00DD65D1">
        <w:t xml:space="preserve"> se acordó la admisión a trámite del Recurso de Revisión y se integró el expediente respectivo, mismo que se puso a disposición de las </w:t>
      </w:r>
      <w:r w:rsidRPr="00DD65D1">
        <w:lastRenderedPageBreak/>
        <w:t>partes para que, en un plazo de siete días hábiles, manifestaran lo que a su derecho conviniera, conforme a lo dispuesto por el artículo 185, fracción II de la Ley de Transparencia y Acceso a la Información Pública del Estado de México y Municipios.</w:t>
      </w:r>
    </w:p>
    <w:p w14:paraId="4692CB76" w14:textId="77777777" w:rsidR="0035402D" w:rsidRPr="00DD65D1" w:rsidRDefault="0035402D" w:rsidP="00DD65D1">
      <w:pPr>
        <w:rPr>
          <w:b/>
        </w:rPr>
      </w:pPr>
    </w:p>
    <w:p w14:paraId="08945665" w14:textId="77777777" w:rsidR="0035402D" w:rsidRPr="00DD65D1" w:rsidRDefault="002C441B" w:rsidP="00DD65D1">
      <w:pPr>
        <w:pStyle w:val="Ttulo3"/>
        <w:spacing w:line="360" w:lineRule="auto"/>
      </w:pPr>
      <w:bookmarkStart w:id="10" w:name="_heading=h.1v1yuxt" w:colFirst="0" w:colLast="0"/>
      <w:bookmarkEnd w:id="10"/>
      <w:r w:rsidRPr="00DD65D1">
        <w:t>d) Informe Justificado del Sujeto Obligado.</w:t>
      </w:r>
    </w:p>
    <w:p w14:paraId="3DC32314" w14:textId="77777777" w:rsidR="0035402D" w:rsidRPr="00DD65D1" w:rsidRDefault="002C441B" w:rsidP="00DD65D1">
      <w:r w:rsidRPr="00DD65D1">
        <w:t xml:space="preserve">De las constancias que obra en el expediente electrónico del </w:t>
      </w:r>
      <w:r w:rsidRPr="00DD65D1">
        <w:rPr>
          <w:b/>
        </w:rPr>
        <w:t>SAIMEX</w:t>
      </w:r>
      <w:r w:rsidRPr="00DD65D1">
        <w:t xml:space="preserve">, se advierte que </w:t>
      </w:r>
      <w:r w:rsidRPr="00DD65D1">
        <w:rPr>
          <w:b/>
        </w:rPr>
        <w:t>EL SUJETO OBLIGADO</w:t>
      </w:r>
      <w:r w:rsidRPr="00DD65D1">
        <w:t xml:space="preserve"> omitió remitir su informe justificado dentro del plazo legalmente concedido.</w:t>
      </w:r>
    </w:p>
    <w:p w14:paraId="02258D90" w14:textId="77777777" w:rsidR="0035402D" w:rsidRPr="00DD65D1" w:rsidRDefault="0035402D" w:rsidP="00DD65D1"/>
    <w:p w14:paraId="75B471E0" w14:textId="77777777" w:rsidR="0035402D" w:rsidRPr="00DD65D1" w:rsidRDefault="002C441B" w:rsidP="00DD65D1">
      <w:pPr>
        <w:pStyle w:val="Ttulo3"/>
        <w:spacing w:line="360" w:lineRule="auto"/>
      </w:pPr>
      <w:bookmarkStart w:id="11" w:name="_heading=h.4f1mdlm" w:colFirst="0" w:colLast="0"/>
      <w:bookmarkEnd w:id="11"/>
      <w:r w:rsidRPr="00DD65D1">
        <w:t>e) Manifestaciones de la Parte Recurrente.</w:t>
      </w:r>
    </w:p>
    <w:p w14:paraId="268190CB" w14:textId="77777777" w:rsidR="0035402D" w:rsidRPr="00DD65D1" w:rsidRDefault="002C441B" w:rsidP="00DD65D1">
      <w:bookmarkStart w:id="12" w:name="_heading=h.26in1rg" w:colFirst="0" w:colLast="0"/>
      <w:bookmarkEnd w:id="12"/>
      <w:r w:rsidRPr="00DD65D1">
        <w:t xml:space="preserve">El </w:t>
      </w:r>
      <w:r w:rsidRPr="00DD65D1">
        <w:rPr>
          <w:b/>
        </w:rPr>
        <w:t>veintiocho de diciembre de dos mil veinticuatro EL SUJETO OBLIGADO</w:t>
      </w:r>
      <w:r w:rsidRPr="00DD65D1">
        <w:t xml:space="preserve"> remitió conforme a su derecho, el archivo digital que a continuación se describe:</w:t>
      </w:r>
    </w:p>
    <w:p w14:paraId="539C943C" w14:textId="77777777" w:rsidR="0035402D" w:rsidRPr="00DD65D1" w:rsidRDefault="0035402D" w:rsidP="00DD65D1"/>
    <w:p w14:paraId="38EFAF7E" w14:textId="77777777" w:rsidR="0035402D" w:rsidRPr="00DD65D1" w:rsidRDefault="002C441B" w:rsidP="00DD65D1">
      <w:pPr>
        <w:numPr>
          <w:ilvl w:val="0"/>
          <w:numId w:val="2"/>
        </w:numPr>
        <w:pBdr>
          <w:top w:val="nil"/>
          <w:left w:val="nil"/>
          <w:bottom w:val="nil"/>
          <w:right w:val="nil"/>
          <w:between w:val="nil"/>
        </w:pBdr>
        <w:rPr>
          <w:rFonts w:eastAsia="Palatino Linotype" w:cs="Palatino Linotype"/>
          <w:b/>
          <w:i/>
          <w:szCs w:val="22"/>
        </w:rPr>
      </w:pPr>
      <w:r w:rsidRPr="00DD65D1">
        <w:rPr>
          <w:rFonts w:eastAsia="Palatino Linotype" w:cs="Palatino Linotype"/>
          <w:b/>
          <w:i/>
          <w:szCs w:val="22"/>
        </w:rPr>
        <w:t xml:space="preserve">“Sol. 203-24.pdf”: </w:t>
      </w:r>
      <w:r w:rsidRPr="00DD65D1">
        <w:rPr>
          <w:rFonts w:eastAsia="Palatino Linotype" w:cs="Palatino Linotype"/>
          <w:szCs w:val="22"/>
        </w:rPr>
        <w:t xml:space="preserve">documento que contiene los oficios de respuesta proporcionados por el </w:t>
      </w:r>
      <w:r w:rsidRPr="00DD65D1">
        <w:rPr>
          <w:rFonts w:eastAsia="Palatino Linotype" w:cs="Palatino Linotype"/>
          <w:b/>
          <w:szCs w:val="22"/>
        </w:rPr>
        <w:t xml:space="preserve">SUJETO OBLIGADO </w:t>
      </w:r>
      <w:r w:rsidRPr="00DD65D1">
        <w:rPr>
          <w:rFonts w:eastAsia="Palatino Linotype" w:cs="Palatino Linotype"/>
          <w:szCs w:val="22"/>
        </w:rPr>
        <w:t>a la solicitud del particular.</w:t>
      </w:r>
    </w:p>
    <w:p w14:paraId="5E2C4B9D" w14:textId="77777777" w:rsidR="0035402D" w:rsidRPr="00DD65D1" w:rsidRDefault="002C441B" w:rsidP="00DD65D1">
      <w:pPr>
        <w:numPr>
          <w:ilvl w:val="0"/>
          <w:numId w:val="2"/>
        </w:numPr>
        <w:pBdr>
          <w:top w:val="nil"/>
          <w:left w:val="nil"/>
          <w:bottom w:val="nil"/>
          <w:right w:val="nil"/>
          <w:between w:val="nil"/>
        </w:pBdr>
        <w:rPr>
          <w:rFonts w:eastAsia="Palatino Linotype" w:cs="Palatino Linotype"/>
          <w:b/>
          <w:i/>
          <w:szCs w:val="22"/>
        </w:rPr>
      </w:pPr>
      <w:r w:rsidRPr="00DD65D1">
        <w:rPr>
          <w:rFonts w:eastAsia="Palatino Linotype" w:cs="Palatino Linotype"/>
          <w:b/>
          <w:i/>
          <w:szCs w:val="22"/>
        </w:rPr>
        <w:t xml:space="preserve">“636258.page.pdf”: </w:t>
      </w:r>
      <w:r w:rsidRPr="00DD65D1">
        <w:rPr>
          <w:rFonts w:eastAsia="Palatino Linotype" w:cs="Palatino Linotype"/>
          <w:szCs w:val="22"/>
        </w:rPr>
        <w:t>documento que contiene el acuse electrónico de la solicitud del particular.</w:t>
      </w:r>
    </w:p>
    <w:p w14:paraId="645DB3E1" w14:textId="77777777" w:rsidR="0035402D" w:rsidRPr="00DD65D1" w:rsidRDefault="002C441B" w:rsidP="00DD65D1">
      <w:pPr>
        <w:numPr>
          <w:ilvl w:val="0"/>
          <w:numId w:val="2"/>
        </w:numPr>
        <w:pBdr>
          <w:top w:val="nil"/>
          <w:left w:val="nil"/>
          <w:bottom w:val="nil"/>
          <w:right w:val="nil"/>
          <w:between w:val="nil"/>
        </w:pBdr>
        <w:rPr>
          <w:rFonts w:eastAsia="Palatino Linotype" w:cs="Palatino Linotype"/>
          <w:b/>
          <w:i/>
          <w:szCs w:val="22"/>
        </w:rPr>
      </w:pPr>
      <w:r w:rsidRPr="00DD65D1">
        <w:rPr>
          <w:rFonts w:eastAsia="Palatino Linotype" w:cs="Palatino Linotype"/>
          <w:b/>
          <w:i/>
          <w:szCs w:val="22"/>
        </w:rPr>
        <w:t xml:space="preserve">“Solicitud de transparencia RRSS.pdf”: </w:t>
      </w:r>
      <w:r w:rsidRPr="00DD65D1">
        <w:rPr>
          <w:rFonts w:eastAsia="Palatino Linotype" w:cs="Palatino Linotype"/>
          <w:szCs w:val="22"/>
        </w:rPr>
        <w:t xml:space="preserve">escrito de la solicitud del particular en formato </w:t>
      </w:r>
      <w:proofErr w:type="spellStart"/>
      <w:r w:rsidRPr="00DD65D1">
        <w:rPr>
          <w:rFonts w:eastAsia="Palatino Linotype" w:cs="Palatino Linotype"/>
          <w:szCs w:val="22"/>
        </w:rPr>
        <w:t>pdf</w:t>
      </w:r>
      <w:proofErr w:type="spellEnd"/>
      <w:r w:rsidRPr="00DD65D1">
        <w:rPr>
          <w:rFonts w:eastAsia="Palatino Linotype" w:cs="Palatino Linotype"/>
          <w:szCs w:val="22"/>
        </w:rPr>
        <w:t>.</w:t>
      </w:r>
    </w:p>
    <w:p w14:paraId="79CAA383" w14:textId="77777777" w:rsidR="0035402D" w:rsidRPr="00DD65D1" w:rsidRDefault="0035402D" w:rsidP="00DD65D1">
      <w:pPr>
        <w:pBdr>
          <w:top w:val="nil"/>
          <w:left w:val="nil"/>
          <w:bottom w:val="nil"/>
          <w:right w:val="nil"/>
          <w:between w:val="nil"/>
        </w:pBdr>
        <w:ind w:left="720"/>
        <w:rPr>
          <w:rFonts w:eastAsia="Palatino Linotype" w:cs="Palatino Linotype"/>
          <w:b/>
          <w:i/>
          <w:szCs w:val="22"/>
        </w:rPr>
      </w:pPr>
    </w:p>
    <w:p w14:paraId="6DEFE48E" w14:textId="77777777" w:rsidR="0035402D" w:rsidRPr="00DD65D1" w:rsidRDefault="002C441B" w:rsidP="00DD65D1">
      <w:pPr>
        <w:pStyle w:val="Ttulo3"/>
        <w:spacing w:line="360" w:lineRule="auto"/>
      </w:pPr>
      <w:bookmarkStart w:id="13" w:name="_heading=h.2u6wntf" w:colFirst="0" w:colLast="0"/>
      <w:bookmarkEnd w:id="13"/>
      <w:r w:rsidRPr="00DD65D1">
        <w:t>f) Cierre de instrucción.</w:t>
      </w:r>
    </w:p>
    <w:p w14:paraId="2720011E" w14:textId="77777777" w:rsidR="0035402D" w:rsidRPr="00DD65D1" w:rsidRDefault="002C441B" w:rsidP="00DD65D1">
      <w:bookmarkStart w:id="14" w:name="_heading=h.35nkun2" w:colFirst="0" w:colLast="0"/>
      <w:bookmarkEnd w:id="14"/>
      <w:r w:rsidRPr="00DD65D1">
        <w:t xml:space="preserve">Al no existir diligencias pendientes por desahogar, el </w:t>
      </w:r>
      <w:r w:rsidRPr="00DD65D1">
        <w:rPr>
          <w:b/>
        </w:rPr>
        <w:t>treinta de enero de dos mil veinticinco</w:t>
      </w:r>
      <w:r w:rsidRPr="00DD65D1">
        <w:t xml:space="preserve"> la </w:t>
      </w:r>
      <w:r w:rsidRPr="00DD65D1">
        <w:rPr>
          <w:b/>
        </w:rPr>
        <w:t xml:space="preserve">Comisionada Sharon Cristina Morales Martínez </w:t>
      </w:r>
      <w:r w:rsidRPr="00DD65D1">
        <w:t xml:space="preserve">acordó el cierre de instrucción y la remisión del expediente a efecto de ser resuelto, de conformidad con lo establecido en el artículo 185 fracciones VI y VIII de la Ley de Transparencia y Acceso a la Información Pública </w:t>
      </w:r>
      <w:r w:rsidRPr="00DD65D1">
        <w:lastRenderedPageBreak/>
        <w:t>del Estado de México y Municipios. Dicho acuerdo fue notificado a las partes el mismo día a través del SAIMEX.</w:t>
      </w:r>
    </w:p>
    <w:p w14:paraId="11D7942C" w14:textId="77777777" w:rsidR="0035402D" w:rsidRPr="00DD65D1" w:rsidRDefault="0035402D" w:rsidP="00DD65D1"/>
    <w:p w14:paraId="165C1F46" w14:textId="77777777" w:rsidR="0035402D" w:rsidRPr="00DD65D1" w:rsidRDefault="002C441B" w:rsidP="00DD65D1">
      <w:pPr>
        <w:pStyle w:val="Ttulo1"/>
      </w:pPr>
      <w:bookmarkStart w:id="15" w:name="_heading=h.19c6y18" w:colFirst="0" w:colLast="0"/>
      <w:bookmarkEnd w:id="15"/>
      <w:r w:rsidRPr="00DD65D1">
        <w:t>CONSIDERANDOS</w:t>
      </w:r>
    </w:p>
    <w:p w14:paraId="67287840" w14:textId="77777777" w:rsidR="0035402D" w:rsidRPr="00DD65D1" w:rsidRDefault="0035402D" w:rsidP="00DD65D1">
      <w:pPr>
        <w:jc w:val="center"/>
        <w:rPr>
          <w:b/>
        </w:rPr>
      </w:pPr>
    </w:p>
    <w:p w14:paraId="169A1574" w14:textId="77777777" w:rsidR="0035402D" w:rsidRPr="00DD65D1" w:rsidRDefault="002C441B" w:rsidP="00DD65D1">
      <w:pPr>
        <w:pStyle w:val="Ttulo2"/>
      </w:pPr>
      <w:bookmarkStart w:id="16" w:name="_heading=h.3tbugp1" w:colFirst="0" w:colLast="0"/>
      <w:bookmarkEnd w:id="16"/>
      <w:r w:rsidRPr="00DD65D1">
        <w:t xml:space="preserve">PRIMERO. </w:t>
      </w:r>
      <w:proofErr w:type="spellStart"/>
      <w:r w:rsidRPr="00DD65D1">
        <w:t>Procedibilidad</w:t>
      </w:r>
      <w:proofErr w:type="spellEnd"/>
    </w:p>
    <w:p w14:paraId="3035D3B1" w14:textId="77777777" w:rsidR="0035402D" w:rsidRPr="00DD65D1" w:rsidRDefault="002C441B" w:rsidP="00DD65D1">
      <w:pPr>
        <w:pStyle w:val="Ttulo3"/>
        <w:spacing w:line="360" w:lineRule="auto"/>
      </w:pPr>
      <w:bookmarkStart w:id="17" w:name="_heading=h.28h4qwu" w:colFirst="0" w:colLast="0"/>
      <w:bookmarkEnd w:id="17"/>
      <w:r w:rsidRPr="00DD65D1">
        <w:t>a) Competencia del Instituto.</w:t>
      </w:r>
    </w:p>
    <w:p w14:paraId="1C06EAE5" w14:textId="77777777" w:rsidR="0035402D" w:rsidRPr="00DD65D1" w:rsidRDefault="002C441B" w:rsidP="00DD65D1">
      <w:r w:rsidRPr="00DD65D1">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06E1281" w14:textId="77777777" w:rsidR="0035402D" w:rsidRPr="00DD65D1" w:rsidRDefault="0035402D" w:rsidP="00DD65D1"/>
    <w:p w14:paraId="29C8CB5C" w14:textId="77777777" w:rsidR="0035402D" w:rsidRPr="00DD65D1" w:rsidRDefault="002C441B" w:rsidP="00DD65D1">
      <w:pPr>
        <w:pStyle w:val="Ttulo3"/>
        <w:spacing w:line="360" w:lineRule="auto"/>
      </w:pPr>
      <w:bookmarkStart w:id="18" w:name="_heading=h.nmf14n" w:colFirst="0" w:colLast="0"/>
      <w:bookmarkEnd w:id="18"/>
      <w:r w:rsidRPr="00DD65D1">
        <w:t>b) Legitimidad de la parte recurrente.</w:t>
      </w:r>
    </w:p>
    <w:p w14:paraId="172E62DD" w14:textId="77777777" w:rsidR="0035402D" w:rsidRPr="00DD65D1" w:rsidRDefault="002C441B" w:rsidP="00DD65D1">
      <w:r w:rsidRPr="00DD65D1">
        <w:t>El recurso de revisión fue interpuesto por parte legítima, ya que se presentó por la misma persona que formuló la solicitud de acceso a la Información Pública,</w:t>
      </w:r>
      <w:r w:rsidRPr="00DD65D1">
        <w:rPr>
          <w:b/>
        </w:rPr>
        <w:t xml:space="preserve"> </w:t>
      </w:r>
      <w:r w:rsidRPr="00DD65D1">
        <w:t>debido a que los datos de acceso</w:t>
      </w:r>
      <w:r w:rsidRPr="00DD65D1">
        <w:rPr>
          <w:b/>
        </w:rPr>
        <w:t xml:space="preserve"> </w:t>
      </w:r>
      <w:r w:rsidRPr="00DD65D1">
        <w:t>SAIMEX son personales e irrepetibles.</w:t>
      </w:r>
    </w:p>
    <w:p w14:paraId="699374FA" w14:textId="77777777" w:rsidR="0035402D" w:rsidRPr="00DD65D1" w:rsidRDefault="0035402D" w:rsidP="00DD65D1"/>
    <w:p w14:paraId="58FB799A" w14:textId="77777777" w:rsidR="0035402D" w:rsidRPr="00DD65D1" w:rsidRDefault="002C441B" w:rsidP="00DD65D1">
      <w:pPr>
        <w:pStyle w:val="Ttulo3"/>
        <w:spacing w:line="360" w:lineRule="auto"/>
      </w:pPr>
      <w:bookmarkStart w:id="19" w:name="_heading=h.37m2jsg" w:colFirst="0" w:colLast="0"/>
      <w:bookmarkEnd w:id="19"/>
      <w:r w:rsidRPr="00DD65D1">
        <w:t>c) Plazo para interponer el recurso.</w:t>
      </w:r>
    </w:p>
    <w:p w14:paraId="42750088" w14:textId="0BEED9E0" w:rsidR="0035402D" w:rsidRPr="00DD65D1" w:rsidRDefault="002C441B" w:rsidP="00DD65D1">
      <w:pPr>
        <w:rPr>
          <w:b/>
        </w:rPr>
      </w:pPr>
      <w:bookmarkStart w:id="20" w:name="_heading=h.1y810tw" w:colFirst="0" w:colLast="0"/>
      <w:bookmarkEnd w:id="20"/>
      <w:r w:rsidRPr="00DD65D1">
        <w:rPr>
          <w:b/>
        </w:rPr>
        <w:t>EL SUJETO OBLIGADO</w:t>
      </w:r>
      <w:r w:rsidRPr="00DD65D1">
        <w:t xml:space="preserve"> notificó la respuesta a la solicitud de acceso a la Información Pública el </w:t>
      </w:r>
      <w:r w:rsidRPr="00DD65D1">
        <w:rPr>
          <w:b/>
        </w:rPr>
        <w:t>diez de diciembre de dos mil veinticuatro</w:t>
      </w:r>
      <w:r w:rsidRPr="00DD65D1">
        <w:t xml:space="preserve"> y el recurso que nos ocupa se interpuso </w:t>
      </w:r>
      <w:r w:rsidRPr="00DD65D1">
        <w:rPr>
          <w:b/>
        </w:rPr>
        <w:t xml:space="preserve">en la </w:t>
      </w:r>
      <w:r w:rsidRPr="00DD65D1">
        <w:rPr>
          <w:b/>
        </w:rPr>
        <w:lastRenderedPageBreak/>
        <w:t>once de diciembre de dos mil veinticuatro</w:t>
      </w:r>
      <w:r w:rsidRPr="00DD65D1">
        <w:t xml:space="preserve"> por lo tanto, éste se encuentra dentro del margen temporal previsto en el artículo 178 de la Ley de Transparencia y Acceso a la Información Pública del Estado de México y Municipios, el cual transcurrió del </w:t>
      </w:r>
      <w:r w:rsidRPr="00DD65D1">
        <w:rPr>
          <w:b/>
        </w:rPr>
        <w:t>once de diciembre</w:t>
      </w:r>
      <w:r w:rsidR="00427D6C" w:rsidRPr="00DD65D1">
        <w:rPr>
          <w:b/>
        </w:rPr>
        <w:t xml:space="preserve"> de dos mil veinticuatro </w:t>
      </w:r>
      <w:r w:rsidRPr="00DD65D1">
        <w:rPr>
          <w:b/>
        </w:rPr>
        <w:t>al veintiuno de enero de dos mil veinticinco</w:t>
      </w:r>
      <w:r w:rsidRPr="00DD65D1">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DA2375A" w14:textId="77777777" w:rsidR="0035402D" w:rsidRPr="00DD65D1" w:rsidRDefault="0035402D" w:rsidP="00DD65D1">
      <w:pPr>
        <w:ind w:right="822"/>
        <w:rPr>
          <w:i/>
        </w:rPr>
      </w:pPr>
    </w:p>
    <w:p w14:paraId="73323848" w14:textId="77777777" w:rsidR="0035402D" w:rsidRPr="00DD65D1" w:rsidRDefault="002C441B" w:rsidP="00DD65D1">
      <w:pPr>
        <w:pStyle w:val="Ttulo3"/>
        <w:spacing w:line="360" w:lineRule="auto"/>
      </w:pPr>
      <w:bookmarkStart w:id="21" w:name="_heading=h.1mrcu09" w:colFirst="0" w:colLast="0"/>
      <w:bookmarkEnd w:id="21"/>
      <w:r w:rsidRPr="00DD65D1">
        <w:t>d) Causal de procedencia.</w:t>
      </w:r>
    </w:p>
    <w:p w14:paraId="68A61206" w14:textId="77777777" w:rsidR="0035402D" w:rsidRPr="00DD65D1" w:rsidRDefault="002C441B" w:rsidP="00DD65D1">
      <w:r w:rsidRPr="00DD65D1">
        <w:t>Resulta procedente la interposición del recurso de revisión, ya que se actualiza la causal de procedencia señalada en el artículo 179, fracción V de la Ley de Transparencia y Acceso a la Información Pública del Estado de México y Municipios.</w:t>
      </w:r>
    </w:p>
    <w:p w14:paraId="460E515D" w14:textId="77777777" w:rsidR="0035402D" w:rsidRPr="00DD65D1" w:rsidRDefault="0035402D" w:rsidP="00DD65D1"/>
    <w:p w14:paraId="2E5426D1" w14:textId="77777777" w:rsidR="0035402D" w:rsidRPr="00DD65D1" w:rsidRDefault="002C441B" w:rsidP="00DD65D1">
      <w:pPr>
        <w:pStyle w:val="Ttulo3"/>
        <w:spacing w:line="360" w:lineRule="auto"/>
      </w:pPr>
      <w:bookmarkStart w:id="22" w:name="_heading=h.46r0co2" w:colFirst="0" w:colLast="0"/>
      <w:bookmarkEnd w:id="22"/>
      <w:r w:rsidRPr="00DD65D1">
        <w:t>e) Requisitos formales para la interposición del recurso.</w:t>
      </w:r>
    </w:p>
    <w:p w14:paraId="6D61E515" w14:textId="77777777" w:rsidR="0035402D" w:rsidRPr="00DD65D1" w:rsidRDefault="002C441B" w:rsidP="00DD65D1">
      <w:r w:rsidRPr="00DD65D1">
        <w:rPr>
          <w:b/>
        </w:rPr>
        <w:t xml:space="preserve">LA PARTE RECURRENTE </w:t>
      </w:r>
      <w:r w:rsidRPr="00DD65D1">
        <w:t>acreditó todos y cada uno de los elementos formales exigidos por el artículo 180 de la misma normatividad.</w:t>
      </w:r>
    </w:p>
    <w:p w14:paraId="5F9E4991" w14:textId="77777777" w:rsidR="0035402D" w:rsidRPr="00DD65D1" w:rsidRDefault="0035402D" w:rsidP="00DD65D1"/>
    <w:p w14:paraId="56793217" w14:textId="77777777" w:rsidR="0035402D" w:rsidRPr="00DD65D1" w:rsidRDefault="002C441B" w:rsidP="00DD65D1">
      <w:pPr>
        <w:pStyle w:val="Ttulo2"/>
      </w:pPr>
      <w:bookmarkStart w:id="23" w:name="_heading=h.2lwamvv" w:colFirst="0" w:colLast="0"/>
      <w:bookmarkEnd w:id="23"/>
      <w:r w:rsidRPr="00DD65D1">
        <w:t>SEGUNDO. Estudio de Fondo.</w:t>
      </w:r>
    </w:p>
    <w:p w14:paraId="02838436" w14:textId="77777777" w:rsidR="0035402D" w:rsidRPr="00DD65D1" w:rsidRDefault="002C441B" w:rsidP="00DD65D1">
      <w:pPr>
        <w:pStyle w:val="Ttulo3"/>
        <w:spacing w:line="360" w:lineRule="auto"/>
      </w:pPr>
      <w:bookmarkStart w:id="24" w:name="_heading=h.111kx3o" w:colFirst="0" w:colLast="0"/>
      <w:bookmarkEnd w:id="24"/>
      <w:r w:rsidRPr="00DD65D1">
        <w:t>a) Mandato de transparencia y responsabilidad del Sujeto Obligado.</w:t>
      </w:r>
    </w:p>
    <w:p w14:paraId="0A73B5A8" w14:textId="77777777" w:rsidR="0035402D" w:rsidRPr="00DD65D1" w:rsidRDefault="002C441B" w:rsidP="00DD65D1">
      <w:r w:rsidRPr="00DD65D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40C9DB1" w14:textId="77777777" w:rsidR="0035402D" w:rsidRPr="00DD65D1" w:rsidRDefault="0035402D" w:rsidP="00DD65D1"/>
    <w:p w14:paraId="430A477D" w14:textId="77777777" w:rsidR="0035402D" w:rsidRPr="00DD65D1" w:rsidRDefault="002C441B" w:rsidP="00DD65D1">
      <w:pPr>
        <w:spacing w:line="240" w:lineRule="auto"/>
        <w:ind w:left="567" w:right="539"/>
        <w:rPr>
          <w:b/>
          <w:i/>
        </w:rPr>
      </w:pPr>
      <w:r w:rsidRPr="00DD65D1">
        <w:rPr>
          <w:b/>
          <w:i/>
        </w:rPr>
        <w:t>Constitución Política de los Estados Unidos Mexicanos</w:t>
      </w:r>
    </w:p>
    <w:p w14:paraId="7C6559D7" w14:textId="77777777" w:rsidR="0035402D" w:rsidRPr="00DD65D1" w:rsidRDefault="002C441B" w:rsidP="00DD65D1">
      <w:pPr>
        <w:spacing w:line="240" w:lineRule="auto"/>
        <w:ind w:left="567" w:right="539"/>
        <w:rPr>
          <w:b/>
          <w:i/>
        </w:rPr>
      </w:pPr>
      <w:r w:rsidRPr="00DD65D1">
        <w:rPr>
          <w:b/>
          <w:i/>
        </w:rPr>
        <w:t>“Artículo 6.</w:t>
      </w:r>
    </w:p>
    <w:p w14:paraId="573483F1" w14:textId="77777777" w:rsidR="0035402D" w:rsidRPr="00DD65D1" w:rsidRDefault="002C441B" w:rsidP="00DD65D1">
      <w:pPr>
        <w:spacing w:line="240" w:lineRule="auto"/>
        <w:ind w:left="567" w:right="539"/>
        <w:rPr>
          <w:i/>
        </w:rPr>
      </w:pPr>
      <w:r w:rsidRPr="00DD65D1">
        <w:rPr>
          <w:i/>
        </w:rPr>
        <w:t>(…)</w:t>
      </w:r>
    </w:p>
    <w:p w14:paraId="14B691B1" w14:textId="77777777" w:rsidR="0035402D" w:rsidRPr="00DD65D1" w:rsidRDefault="002C441B" w:rsidP="00DD65D1">
      <w:pPr>
        <w:spacing w:line="240" w:lineRule="auto"/>
        <w:ind w:left="567" w:right="539"/>
        <w:rPr>
          <w:i/>
        </w:rPr>
      </w:pPr>
      <w:r w:rsidRPr="00DD65D1">
        <w:rPr>
          <w:i/>
        </w:rPr>
        <w:t>Para efectos de lo dispuesto en el presente artículo se observará lo siguiente:</w:t>
      </w:r>
    </w:p>
    <w:p w14:paraId="3AFFDE4F" w14:textId="77777777" w:rsidR="0035402D" w:rsidRPr="00DD65D1" w:rsidRDefault="002C441B" w:rsidP="00DD65D1">
      <w:pPr>
        <w:spacing w:line="240" w:lineRule="auto"/>
        <w:ind w:left="567" w:right="539"/>
        <w:rPr>
          <w:b/>
          <w:i/>
        </w:rPr>
      </w:pPr>
      <w:r w:rsidRPr="00DD65D1">
        <w:rPr>
          <w:b/>
          <w:i/>
        </w:rPr>
        <w:lastRenderedPageBreak/>
        <w:t>A</w:t>
      </w:r>
      <w:r w:rsidRPr="00DD65D1">
        <w:rPr>
          <w:i/>
        </w:rPr>
        <w:t xml:space="preserve">. </w:t>
      </w:r>
      <w:r w:rsidRPr="00DD65D1">
        <w:rPr>
          <w:b/>
          <w:i/>
        </w:rPr>
        <w:t>Para el ejercicio del derecho de acceso a la información</w:t>
      </w:r>
      <w:r w:rsidRPr="00DD65D1">
        <w:rPr>
          <w:i/>
        </w:rPr>
        <w:t xml:space="preserve">, la Federación y </w:t>
      </w:r>
      <w:r w:rsidRPr="00DD65D1">
        <w:rPr>
          <w:b/>
          <w:i/>
        </w:rPr>
        <w:t>las entidades federativas, en el ámbito de sus respectivas competencias, se regirán por los siguientes principios y bases:</w:t>
      </w:r>
    </w:p>
    <w:p w14:paraId="05006095" w14:textId="77777777" w:rsidR="0035402D" w:rsidRPr="00DD65D1" w:rsidRDefault="002C441B" w:rsidP="00DD65D1">
      <w:pPr>
        <w:spacing w:line="240" w:lineRule="auto"/>
        <w:ind w:left="567" w:right="539"/>
        <w:rPr>
          <w:i/>
        </w:rPr>
      </w:pPr>
      <w:r w:rsidRPr="00DD65D1">
        <w:rPr>
          <w:b/>
          <w:i/>
        </w:rPr>
        <w:t xml:space="preserve">I. </w:t>
      </w:r>
      <w:r w:rsidRPr="00DD65D1">
        <w:rPr>
          <w:b/>
          <w:i/>
        </w:rPr>
        <w:tab/>
        <w:t>Toda la información en posesión de cualquier</w:t>
      </w:r>
      <w:r w:rsidRPr="00DD65D1">
        <w:rPr>
          <w:i/>
        </w:rPr>
        <w:t xml:space="preserve"> </w:t>
      </w:r>
      <w:r w:rsidRPr="00DD65D1">
        <w:rPr>
          <w:b/>
          <w:i/>
        </w:rPr>
        <w:t>autoridad</w:t>
      </w:r>
      <w:r w:rsidRPr="00DD65D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D65D1">
        <w:rPr>
          <w:b/>
          <w:i/>
        </w:rPr>
        <w:t>municipal</w:t>
      </w:r>
      <w:r w:rsidRPr="00DD65D1">
        <w:rPr>
          <w:i/>
        </w:rPr>
        <w:t xml:space="preserve">, </w:t>
      </w:r>
      <w:r w:rsidRPr="00DD65D1">
        <w:rPr>
          <w:b/>
          <w:i/>
        </w:rPr>
        <w:t>es pública</w:t>
      </w:r>
      <w:r w:rsidRPr="00DD65D1">
        <w:rPr>
          <w:i/>
        </w:rPr>
        <w:t xml:space="preserve"> y sólo podrá ser reservada temporalmente por razones de interés público y seguridad nacional, en los términos que fijen las leyes. </w:t>
      </w:r>
      <w:r w:rsidRPr="00DD65D1">
        <w:rPr>
          <w:b/>
          <w:i/>
        </w:rPr>
        <w:t>En la interpretación de este derecho deberá prevalecer el principio de máxima publicidad. Los sujetos obligados deberán documentar todo acto que derive del ejercicio de sus facultades, competencias o funciones</w:t>
      </w:r>
      <w:r w:rsidRPr="00DD65D1">
        <w:rPr>
          <w:i/>
        </w:rPr>
        <w:t>, la ley determinará los supuestos específicos bajo los cuales procederá la declaración de inexistencia de la información.”</w:t>
      </w:r>
    </w:p>
    <w:p w14:paraId="7A85EC79" w14:textId="77777777" w:rsidR="0035402D" w:rsidRPr="00DD65D1" w:rsidRDefault="0035402D" w:rsidP="00DD65D1">
      <w:pPr>
        <w:spacing w:line="240" w:lineRule="auto"/>
        <w:ind w:left="567" w:right="539"/>
        <w:rPr>
          <w:b/>
          <w:i/>
        </w:rPr>
      </w:pPr>
    </w:p>
    <w:p w14:paraId="7ECDCE92" w14:textId="77777777" w:rsidR="0035402D" w:rsidRPr="00DD65D1" w:rsidRDefault="002C441B" w:rsidP="00DD65D1">
      <w:pPr>
        <w:spacing w:line="240" w:lineRule="auto"/>
        <w:ind w:left="567" w:right="539"/>
        <w:rPr>
          <w:b/>
          <w:i/>
        </w:rPr>
      </w:pPr>
      <w:r w:rsidRPr="00DD65D1">
        <w:rPr>
          <w:b/>
          <w:i/>
        </w:rPr>
        <w:t>Constitución Política del Estado Libre y Soberano de México</w:t>
      </w:r>
    </w:p>
    <w:p w14:paraId="387AB78B" w14:textId="77777777" w:rsidR="0035402D" w:rsidRPr="00DD65D1" w:rsidRDefault="002C441B" w:rsidP="00DD65D1">
      <w:pPr>
        <w:spacing w:line="240" w:lineRule="auto"/>
        <w:ind w:left="567" w:right="539"/>
        <w:rPr>
          <w:i/>
        </w:rPr>
      </w:pPr>
      <w:r w:rsidRPr="00DD65D1">
        <w:rPr>
          <w:b/>
          <w:i/>
        </w:rPr>
        <w:t>“Artículo 5</w:t>
      </w:r>
      <w:r w:rsidRPr="00DD65D1">
        <w:rPr>
          <w:i/>
        </w:rPr>
        <w:t xml:space="preserve">.- </w:t>
      </w:r>
    </w:p>
    <w:p w14:paraId="56E016C0" w14:textId="77777777" w:rsidR="0035402D" w:rsidRPr="00DD65D1" w:rsidRDefault="002C441B" w:rsidP="00DD65D1">
      <w:pPr>
        <w:spacing w:line="240" w:lineRule="auto"/>
        <w:ind w:left="567" w:right="539"/>
        <w:rPr>
          <w:i/>
        </w:rPr>
      </w:pPr>
      <w:r w:rsidRPr="00DD65D1">
        <w:rPr>
          <w:i/>
        </w:rPr>
        <w:t>(…)</w:t>
      </w:r>
    </w:p>
    <w:p w14:paraId="6DD5B9FC" w14:textId="77777777" w:rsidR="0035402D" w:rsidRPr="00DD65D1" w:rsidRDefault="002C441B" w:rsidP="00DD65D1">
      <w:pPr>
        <w:spacing w:line="240" w:lineRule="auto"/>
        <w:ind w:left="567" w:right="539"/>
        <w:rPr>
          <w:i/>
        </w:rPr>
      </w:pPr>
      <w:r w:rsidRPr="00DD65D1">
        <w:rPr>
          <w:b/>
          <w:i/>
        </w:rPr>
        <w:t>El derecho a la información será garantizado por el Estado. La ley establecerá las previsiones que permitan asegurar la protección, el respeto y la difusión de este derecho</w:t>
      </w:r>
      <w:r w:rsidRPr="00DD65D1">
        <w:rPr>
          <w:i/>
        </w:rPr>
        <w:t>.</w:t>
      </w:r>
    </w:p>
    <w:p w14:paraId="3B4CEA83" w14:textId="77777777" w:rsidR="0035402D" w:rsidRPr="00DD65D1" w:rsidRDefault="002C441B" w:rsidP="00DD65D1">
      <w:pPr>
        <w:spacing w:line="240" w:lineRule="auto"/>
        <w:ind w:left="567" w:right="539"/>
        <w:rPr>
          <w:i/>
        </w:rPr>
      </w:pPr>
      <w:r w:rsidRPr="00DD65D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0CD8812" w14:textId="77777777" w:rsidR="0035402D" w:rsidRPr="00DD65D1" w:rsidRDefault="002C441B" w:rsidP="00DD65D1">
      <w:pPr>
        <w:spacing w:line="240" w:lineRule="auto"/>
        <w:ind w:left="567" w:right="539"/>
        <w:rPr>
          <w:i/>
        </w:rPr>
      </w:pPr>
      <w:r w:rsidRPr="00DD65D1">
        <w:rPr>
          <w:b/>
          <w:i/>
        </w:rPr>
        <w:t>Este derecho se regirá por los principios y bases siguientes</w:t>
      </w:r>
      <w:r w:rsidRPr="00DD65D1">
        <w:rPr>
          <w:i/>
        </w:rPr>
        <w:t>:</w:t>
      </w:r>
    </w:p>
    <w:p w14:paraId="37E9E445" w14:textId="77777777" w:rsidR="0035402D" w:rsidRPr="00DD65D1" w:rsidRDefault="002C441B" w:rsidP="00DD65D1">
      <w:pPr>
        <w:spacing w:line="240" w:lineRule="auto"/>
        <w:ind w:left="567" w:right="539"/>
        <w:rPr>
          <w:i/>
        </w:rPr>
      </w:pPr>
      <w:r w:rsidRPr="00DD65D1">
        <w:rPr>
          <w:b/>
          <w:i/>
        </w:rPr>
        <w:t>I. Toda la información en posesión de cualquier autoridad, entidad, órgano y organismos de los</w:t>
      </w:r>
      <w:r w:rsidRPr="00DD65D1">
        <w:rPr>
          <w:i/>
        </w:rPr>
        <w:t xml:space="preserve"> Poderes Ejecutivo, Legislativo y Judicial, órganos autónomos, partidos políticos, fideicomisos y fondos públicos estatales y </w:t>
      </w:r>
      <w:r w:rsidRPr="00DD65D1">
        <w:rPr>
          <w:b/>
          <w:i/>
        </w:rPr>
        <w:t>municipales</w:t>
      </w:r>
      <w:r w:rsidRPr="00DD65D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D65D1">
        <w:rPr>
          <w:b/>
          <w:i/>
        </w:rPr>
        <w:t>es pública</w:t>
      </w:r>
      <w:r w:rsidRPr="00DD65D1">
        <w:rPr>
          <w:i/>
        </w:rPr>
        <w:t xml:space="preserve"> y sólo podrá ser reservada temporalmente por razones previstas en la Constitución Política de los Estados Unidos Mexicanos de interés público y seguridad, en los términos que fijen las leyes. </w:t>
      </w:r>
      <w:r w:rsidRPr="00DD65D1">
        <w:rPr>
          <w:b/>
          <w:i/>
        </w:rPr>
        <w:t>En la interpretación de este derecho deberá prevalecer el principio de máxima publicidad</w:t>
      </w:r>
      <w:r w:rsidRPr="00DD65D1">
        <w:rPr>
          <w:i/>
        </w:rPr>
        <w:t xml:space="preserve">. </w:t>
      </w:r>
      <w:r w:rsidRPr="00DD65D1">
        <w:rPr>
          <w:b/>
          <w:i/>
        </w:rPr>
        <w:t>Los sujetos obligados deberán documentar todo acto que derive del ejercicio de sus facultades, competencias o funciones</w:t>
      </w:r>
      <w:r w:rsidRPr="00DD65D1">
        <w:rPr>
          <w:i/>
        </w:rPr>
        <w:t>, la ley determinará los supuestos específicos bajo los cuales procederá la declaración de inexistencia de la información.”</w:t>
      </w:r>
    </w:p>
    <w:p w14:paraId="22E6FAB8" w14:textId="77777777" w:rsidR="0035402D" w:rsidRPr="00DD65D1" w:rsidRDefault="0035402D" w:rsidP="00DD65D1">
      <w:pPr>
        <w:rPr>
          <w:b/>
          <w:i/>
        </w:rPr>
      </w:pPr>
    </w:p>
    <w:p w14:paraId="122D1B8B" w14:textId="77777777" w:rsidR="0035402D" w:rsidRPr="00DD65D1" w:rsidRDefault="002C441B" w:rsidP="00DD65D1">
      <w:pPr>
        <w:rPr>
          <w:i/>
        </w:rPr>
      </w:pPr>
      <w:r w:rsidRPr="00DD65D1">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D65D1">
        <w:rPr>
          <w:i/>
        </w:rPr>
        <w:t>por los principios de simplicidad, rapidez, gratuidad del procedimiento, auxilio y orientación a los particulares.</w:t>
      </w:r>
    </w:p>
    <w:p w14:paraId="67866DE6" w14:textId="77777777" w:rsidR="0035402D" w:rsidRPr="00DD65D1" w:rsidRDefault="0035402D" w:rsidP="00DD65D1">
      <w:pPr>
        <w:rPr>
          <w:i/>
        </w:rPr>
      </w:pPr>
    </w:p>
    <w:p w14:paraId="2B32F88F" w14:textId="77777777" w:rsidR="0035402D" w:rsidRPr="00DD65D1" w:rsidRDefault="002C441B" w:rsidP="00DD65D1">
      <w:pPr>
        <w:rPr>
          <w:i/>
        </w:rPr>
      </w:pPr>
      <w:r w:rsidRPr="00DD65D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D763DEB" w14:textId="77777777" w:rsidR="0035402D" w:rsidRPr="00DD65D1" w:rsidRDefault="0035402D" w:rsidP="00DD65D1"/>
    <w:p w14:paraId="1C325483" w14:textId="77777777" w:rsidR="0035402D" w:rsidRPr="00DD65D1" w:rsidRDefault="002C441B" w:rsidP="00DD65D1">
      <w:r w:rsidRPr="00DD65D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1E0EDE5" w14:textId="77777777" w:rsidR="0035402D" w:rsidRPr="00DD65D1" w:rsidRDefault="0035402D" w:rsidP="00DD65D1"/>
    <w:p w14:paraId="3D134EE5" w14:textId="77777777" w:rsidR="0035402D" w:rsidRPr="00DD65D1" w:rsidRDefault="002C441B" w:rsidP="00DD65D1">
      <w:r w:rsidRPr="00DD65D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8C685D4" w14:textId="77777777" w:rsidR="0035402D" w:rsidRPr="00DD65D1" w:rsidRDefault="0035402D" w:rsidP="00DD65D1"/>
    <w:p w14:paraId="6308D94D" w14:textId="77777777" w:rsidR="0035402D" w:rsidRPr="00DD65D1" w:rsidRDefault="002C441B" w:rsidP="00DD65D1">
      <w:r w:rsidRPr="00DD65D1">
        <w:t xml:space="preserve">En esa tesitura, el artículo 24 último párrafo de la Ley de la Materia dispone que los Sujetos Obligados sólo proporcionarán la información pública que generen, administren o posean en </w:t>
      </w:r>
      <w:r w:rsidRPr="00DD65D1">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5853D28" w14:textId="77777777" w:rsidR="0035402D" w:rsidRPr="00DD65D1" w:rsidRDefault="0035402D" w:rsidP="00DD65D1"/>
    <w:p w14:paraId="43880DBC" w14:textId="77777777" w:rsidR="0035402D" w:rsidRPr="00DD65D1" w:rsidRDefault="002C441B" w:rsidP="00DD65D1">
      <w:bookmarkStart w:id="25" w:name="_heading=h.2bn6wsx" w:colFirst="0" w:colLast="0"/>
      <w:bookmarkEnd w:id="25"/>
      <w:r w:rsidRPr="00DD65D1">
        <w:t xml:space="preserve">Con base en lo anterior, se considera que </w:t>
      </w:r>
      <w:r w:rsidRPr="00DD65D1">
        <w:rPr>
          <w:b/>
        </w:rPr>
        <w:t>EL</w:t>
      </w:r>
      <w:r w:rsidRPr="00DD65D1">
        <w:t xml:space="preserve"> </w:t>
      </w:r>
      <w:r w:rsidRPr="00DD65D1">
        <w:rPr>
          <w:b/>
        </w:rPr>
        <w:t>SUJETO OBLIGADO</w:t>
      </w:r>
      <w:r w:rsidRPr="00DD65D1">
        <w:t xml:space="preserve"> se encontraba compelido a atender la solicitud de acceso a la información realizada por </w:t>
      </w:r>
      <w:r w:rsidRPr="00DD65D1">
        <w:rPr>
          <w:b/>
        </w:rPr>
        <w:t>LA PARTE RECURRENTE</w:t>
      </w:r>
      <w:r w:rsidRPr="00DD65D1">
        <w:t>.</w:t>
      </w:r>
    </w:p>
    <w:p w14:paraId="5583B5D8" w14:textId="77777777" w:rsidR="0035402D" w:rsidRPr="00DD65D1" w:rsidRDefault="0035402D" w:rsidP="00DD65D1"/>
    <w:p w14:paraId="38E4036D" w14:textId="77777777" w:rsidR="0035402D" w:rsidRPr="00DD65D1" w:rsidRDefault="002C441B" w:rsidP="00DD65D1">
      <w:pPr>
        <w:pStyle w:val="Ttulo3"/>
        <w:spacing w:line="360" w:lineRule="auto"/>
      </w:pPr>
      <w:bookmarkStart w:id="26" w:name="_heading=h.3l18frh" w:colFirst="0" w:colLast="0"/>
      <w:bookmarkEnd w:id="26"/>
      <w:r w:rsidRPr="00DD65D1">
        <w:t>b) Controversia a resolver.</w:t>
      </w:r>
    </w:p>
    <w:p w14:paraId="1E642BEA" w14:textId="77777777" w:rsidR="0035402D" w:rsidRPr="00DD65D1" w:rsidRDefault="002C441B" w:rsidP="00DD65D1">
      <w:r w:rsidRPr="00DD65D1">
        <w:t xml:space="preserve">Con el objeto de ilustrar la controversia planteada, resulta conveniente precisar que, una vez realizado el estudio de las constancias que integran el expediente en que se actúa, se desprende que </w:t>
      </w:r>
      <w:r w:rsidRPr="00DD65D1">
        <w:rPr>
          <w:b/>
        </w:rPr>
        <w:t>LA PARTE RECURRENTE</w:t>
      </w:r>
      <w:r w:rsidRPr="00DD65D1">
        <w:t xml:space="preserve"> solicitó a la Dirección de Residuos Sólidos del </w:t>
      </w:r>
      <w:r w:rsidRPr="00DD65D1">
        <w:rPr>
          <w:b/>
        </w:rPr>
        <w:t xml:space="preserve">SUJETO OBLIGADO, </w:t>
      </w:r>
      <w:r w:rsidRPr="00DD65D1">
        <w:t>de los años 2023 y 2024</w:t>
      </w:r>
      <w:r w:rsidRPr="00DD65D1">
        <w:rPr>
          <w:b/>
        </w:rPr>
        <w:t>,</w:t>
      </w:r>
      <w:r w:rsidRPr="00DD65D1">
        <w:t xml:space="preserve"> lo siguiente:</w:t>
      </w:r>
    </w:p>
    <w:p w14:paraId="03F57625" w14:textId="77777777" w:rsidR="0035402D" w:rsidRPr="00DD65D1" w:rsidRDefault="0035402D" w:rsidP="00DD65D1"/>
    <w:p w14:paraId="7AC21D83" w14:textId="77777777" w:rsidR="0035402D" w:rsidRPr="00DD65D1" w:rsidRDefault="002C441B" w:rsidP="00DD65D1">
      <w:pPr>
        <w:pStyle w:val="Puesto"/>
        <w:spacing w:line="360" w:lineRule="auto"/>
        <w:ind w:left="0" w:right="-28"/>
        <w:rPr>
          <w:i w:val="0"/>
        </w:rPr>
      </w:pPr>
      <w:r w:rsidRPr="00DD65D1">
        <w:rPr>
          <w:i w:val="0"/>
        </w:rPr>
        <w:t>1. Presupuesto: Presupuesto asignado y ejercido para la gestión de residuos sólidos, desglosado por tipo de gasto (recolección, transporte, disposición final, reciclaje, etc.) y el detalle de los conceptos de inversión y operación vinculados al manejo de residuos sólidos.</w:t>
      </w:r>
    </w:p>
    <w:p w14:paraId="03F33403" w14:textId="77777777" w:rsidR="0035402D" w:rsidRPr="00DD65D1" w:rsidRDefault="0035402D" w:rsidP="00DD65D1">
      <w:pPr>
        <w:pStyle w:val="Puesto"/>
        <w:spacing w:line="360" w:lineRule="auto"/>
        <w:ind w:left="0" w:right="-28"/>
        <w:rPr>
          <w:i w:val="0"/>
        </w:rPr>
      </w:pPr>
    </w:p>
    <w:p w14:paraId="241F0FAA" w14:textId="77777777" w:rsidR="0035402D" w:rsidRPr="00DD65D1" w:rsidRDefault="002C441B" w:rsidP="00DD65D1">
      <w:pPr>
        <w:pStyle w:val="Puesto"/>
        <w:spacing w:line="360" w:lineRule="auto"/>
        <w:ind w:left="0" w:right="-28"/>
        <w:rPr>
          <w:i w:val="0"/>
        </w:rPr>
      </w:pPr>
      <w:r w:rsidRPr="00DD65D1">
        <w:rPr>
          <w:i w:val="0"/>
        </w:rPr>
        <w:t xml:space="preserve">2. Infraestructura y Equipamiento: Número de vehículos de recolección de residuos sólidos en operación, especificando tipo, capacidad y mantenimiento mensual por unidad. Infraestructura destinada al tratamiento y disposición final de residuos sólidos (rellenos sanitarios, estaciones de transferencia, plantas de reciclaje, etc.), con su ubicación y estado operativo. </w:t>
      </w:r>
    </w:p>
    <w:p w14:paraId="56A8A58D" w14:textId="77777777" w:rsidR="0035402D" w:rsidRPr="00DD65D1" w:rsidRDefault="0035402D" w:rsidP="00DD65D1">
      <w:pPr>
        <w:pStyle w:val="Puesto"/>
        <w:spacing w:line="360" w:lineRule="auto"/>
        <w:ind w:left="0" w:right="-28"/>
        <w:rPr>
          <w:i w:val="0"/>
        </w:rPr>
      </w:pPr>
    </w:p>
    <w:p w14:paraId="1EE4064A" w14:textId="77777777" w:rsidR="0035402D" w:rsidRPr="00DD65D1" w:rsidRDefault="002C441B" w:rsidP="00DD65D1">
      <w:pPr>
        <w:pStyle w:val="Puesto"/>
        <w:spacing w:line="360" w:lineRule="auto"/>
        <w:ind w:left="0" w:right="-28"/>
        <w:rPr>
          <w:i w:val="0"/>
        </w:rPr>
      </w:pPr>
      <w:r w:rsidRPr="00DD65D1">
        <w:rPr>
          <w:i w:val="0"/>
        </w:rPr>
        <w:lastRenderedPageBreak/>
        <w:t xml:space="preserve">3. Cobertura de Recolección: Frecuencia de recolección de residuos sólidos en cada colonia del municipio. Porcentaje de cobertura de recolección de residuos, indicando áreas atendidas y pendientes. </w:t>
      </w:r>
    </w:p>
    <w:p w14:paraId="2CD20639" w14:textId="77777777" w:rsidR="0035402D" w:rsidRPr="00DD65D1" w:rsidRDefault="0035402D" w:rsidP="00DD65D1">
      <w:pPr>
        <w:pStyle w:val="Puesto"/>
        <w:spacing w:line="360" w:lineRule="auto"/>
        <w:ind w:left="0" w:right="-28"/>
        <w:rPr>
          <w:i w:val="0"/>
        </w:rPr>
      </w:pPr>
    </w:p>
    <w:p w14:paraId="10457B2C" w14:textId="77777777" w:rsidR="0035402D" w:rsidRPr="00DD65D1" w:rsidRDefault="002C441B" w:rsidP="00DD65D1">
      <w:pPr>
        <w:pStyle w:val="Puesto"/>
        <w:spacing w:line="360" w:lineRule="auto"/>
        <w:ind w:left="0" w:right="-28"/>
        <w:rPr>
          <w:i w:val="0"/>
        </w:rPr>
      </w:pPr>
      <w:r w:rsidRPr="00DD65D1">
        <w:rPr>
          <w:i w:val="0"/>
        </w:rPr>
        <w:t xml:space="preserve">4. Programas y Políticas: Programas implementados para la separación de residuos en la fuente y el fomento al reciclaje, incluyendo presupuesto e impacto reportado. Normativas o reglamentos municipales vigentes que regulen la disposición y manejo de residuos sólidos. </w:t>
      </w:r>
    </w:p>
    <w:p w14:paraId="5492FEE1" w14:textId="77777777" w:rsidR="0035402D" w:rsidRPr="00DD65D1" w:rsidRDefault="0035402D" w:rsidP="00DD65D1"/>
    <w:p w14:paraId="2648EAE9" w14:textId="77777777" w:rsidR="0035402D" w:rsidRPr="00DD65D1" w:rsidRDefault="002C441B" w:rsidP="00DD65D1">
      <w:pPr>
        <w:pStyle w:val="Puesto"/>
        <w:spacing w:line="360" w:lineRule="auto"/>
        <w:ind w:left="0" w:right="-28"/>
        <w:rPr>
          <w:i w:val="0"/>
        </w:rPr>
      </w:pPr>
      <w:r w:rsidRPr="00DD65D1">
        <w:rPr>
          <w:i w:val="0"/>
        </w:rPr>
        <w:t xml:space="preserve">5. Estadísticas: Cantidad de residuos sólidos generados en el municipio, desglosada por tipos (orgánicos, inorgánicos, peligrosos) y el porcentaje de residuos reciclados, </w:t>
      </w:r>
      <w:proofErr w:type="spellStart"/>
      <w:r w:rsidRPr="00DD65D1">
        <w:rPr>
          <w:i w:val="0"/>
        </w:rPr>
        <w:t>compostados</w:t>
      </w:r>
      <w:proofErr w:type="spellEnd"/>
      <w:r w:rsidRPr="00DD65D1">
        <w:rPr>
          <w:i w:val="0"/>
        </w:rPr>
        <w:t xml:space="preserve"> o depositados en rellenos sanitarios. </w:t>
      </w:r>
    </w:p>
    <w:p w14:paraId="5668B912" w14:textId="77777777" w:rsidR="0035402D" w:rsidRPr="00DD65D1" w:rsidRDefault="0035402D" w:rsidP="00DD65D1">
      <w:pPr>
        <w:ind w:right="-28"/>
      </w:pPr>
    </w:p>
    <w:p w14:paraId="0A90CBDF" w14:textId="77777777" w:rsidR="0035402D" w:rsidRPr="00DD65D1" w:rsidRDefault="002C441B" w:rsidP="00DD65D1">
      <w:pPr>
        <w:pStyle w:val="Puesto"/>
        <w:spacing w:line="360" w:lineRule="auto"/>
        <w:ind w:left="0" w:right="-28"/>
        <w:rPr>
          <w:i w:val="0"/>
        </w:rPr>
      </w:pPr>
      <w:r w:rsidRPr="00DD65D1">
        <w:rPr>
          <w:i w:val="0"/>
        </w:rPr>
        <w:t>6. Contratos y Servicios Externos: Empresas o concesionarios encargados del manejo de residuos sólidos, especificando términos de contrato, costos y duración. Auditorías o evaluaciones realizadas a dichas empresas durante los años solicitados.</w:t>
      </w:r>
    </w:p>
    <w:p w14:paraId="6FE9E5CD" w14:textId="77777777" w:rsidR="0035402D" w:rsidRPr="00DD65D1" w:rsidRDefault="0035402D" w:rsidP="00DD65D1">
      <w:pPr>
        <w:ind w:right="-28"/>
      </w:pPr>
    </w:p>
    <w:p w14:paraId="7B21E7B9" w14:textId="77777777" w:rsidR="0035402D" w:rsidRPr="00DD65D1" w:rsidRDefault="002C441B" w:rsidP="00DD65D1">
      <w:pPr>
        <w:pStyle w:val="Puesto"/>
        <w:spacing w:line="360" w:lineRule="auto"/>
        <w:ind w:left="0" w:right="-28"/>
        <w:rPr>
          <w:i w:val="0"/>
        </w:rPr>
      </w:pPr>
      <w:r w:rsidRPr="00DD65D1">
        <w:rPr>
          <w:i w:val="0"/>
        </w:rPr>
        <w:t>7. Participación Ciudadana: Campañas de educación y sensibilización ambiental realizadas, con sus costos y resultados evaluados. Indicadores de participación ciudadana en programas de manejo de residuos.</w:t>
      </w:r>
    </w:p>
    <w:p w14:paraId="5EC3A6F5" w14:textId="77777777" w:rsidR="0035402D" w:rsidRPr="00DD65D1" w:rsidRDefault="0035402D" w:rsidP="00DD65D1">
      <w:pPr>
        <w:tabs>
          <w:tab w:val="left" w:pos="4667"/>
        </w:tabs>
        <w:ind w:right="567"/>
      </w:pPr>
    </w:p>
    <w:p w14:paraId="12E8DD7F" w14:textId="77777777" w:rsidR="0035402D" w:rsidRPr="00DD65D1" w:rsidRDefault="002C441B" w:rsidP="00DD65D1">
      <w:pPr>
        <w:pBdr>
          <w:top w:val="nil"/>
          <w:left w:val="nil"/>
          <w:bottom w:val="nil"/>
          <w:right w:val="nil"/>
          <w:between w:val="nil"/>
        </w:pBdr>
        <w:ind w:right="-28"/>
      </w:pPr>
      <w:r w:rsidRPr="00DD65D1">
        <w:t xml:space="preserve">En respuesta, </w:t>
      </w:r>
      <w:r w:rsidRPr="00DD65D1">
        <w:rPr>
          <w:b/>
        </w:rPr>
        <w:t>EL SUJETO OBLIGADO</w:t>
      </w:r>
      <w:r w:rsidRPr="00DD65D1">
        <w:t xml:space="preserve"> señaló por conducto del Director de Administración y el Director de Recursos Sólidos lo siguiente:</w:t>
      </w:r>
    </w:p>
    <w:p w14:paraId="0A861879" w14:textId="77777777" w:rsidR="0035402D" w:rsidRPr="00DD65D1" w:rsidRDefault="0035402D" w:rsidP="00DD65D1">
      <w:pPr>
        <w:pBdr>
          <w:top w:val="nil"/>
          <w:left w:val="nil"/>
          <w:bottom w:val="nil"/>
          <w:right w:val="nil"/>
          <w:between w:val="nil"/>
        </w:pBdr>
        <w:ind w:right="-28"/>
      </w:pPr>
    </w:p>
    <w:p w14:paraId="55658A6F" w14:textId="77777777" w:rsidR="0035402D" w:rsidRPr="00DD65D1" w:rsidRDefault="002C441B" w:rsidP="00DD65D1">
      <w:pPr>
        <w:numPr>
          <w:ilvl w:val="0"/>
          <w:numId w:val="3"/>
        </w:numPr>
        <w:pBdr>
          <w:top w:val="nil"/>
          <w:left w:val="nil"/>
          <w:bottom w:val="nil"/>
          <w:right w:val="nil"/>
          <w:between w:val="nil"/>
        </w:pBdr>
        <w:ind w:left="426" w:right="-28"/>
        <w:rPr>
          <w:rFonts w:eastAsia="Palatino Linotype" w:cs="Palatino Linotype"/>
          <w:szCs w:val="22"/>
        </w:rPr>
      </w:pPr>
      <w:r w:rsidRPr="00DD65D1">
        <w:rPr>
          <w:rFonts w:eastAsia="Palatino Linotype" w:cs="Palatino Linotype"/>
          <w:szCs w:val="22"/>
        </w:rPr>
        <w:t>En atención al requerimiento relacionado con la infraestructura y equipamiento; que la Dirección de Recursos Sólidos 14 vehículos de recolección, precisando la marca, el tipo, la capacidad de carga y el tipo de mantenimiento mensual que se les proporciona.</w:t>
      </w:r>
    </w:p>
    <w:p w14:paraId="337CB22C" w14:textId="77777777" w:rsidR="0035402D" w:rsidRPr="00DD65D1" w:rsidRDefault="002C441B" w:rsidP="00DD65D1">
      <w:pPr>
        <w:numPr>
          <w:ilvl w:val="0"/>
          <w:numId w:val="3"/>
        </w:numPr>
        <w:pBdr>
          <w:top w:val="nil"/>
          <w:left w:val="nil"/>
          <w:bottom w:val="nil"/>
          <w:right w:val="nil"/>
          <w:between w:val="nil"/>
        </w:pBdr>
        <w:ind w:left="426" w:right="-28"/>
        <w:rPr>
          <w:rFonts w:eastAsia="Palatino Linotype" w:cs="Palatino Linotype"/>
          <w:szCs w:val="22"/>
        </w:rPr>
      </w:pPr>
      <w:r w:rsidRPr="00DD65D1">
        <w:rPr>
          <w:rFonts w:eastAsia="Palatino Linotype" w:cs="Palatino Linotype"/>
          <w:szCs w:val="22"/>
        </w:rPr>
        <w:lastRenderedPageBreak/>
        <w:t>Por lo que hace a la cobertura de recolección; que la frecuencia de recolección a comunidades es de 1 a 2 veces por semana.</w:t>
      </w:r>
    </w:p>
    <w:p w14:paraId="51CC0066" w14:textId="77777777" w:rsidR="0035402D" w:rsidRPr="00DD65D1" w:rsidRDefault="002C441B" w:rsidP="00DD65D1">
      <w:pPr>
        <w:numPr>
          <w:ilvl w:val="0"/>
          <w:numId w:val="3"/>
        </w:numPr>
        <w:pBdr>
          <w:top w:val="nil"/>
          <w:left w:val="nil"/>
          <w:bottom w:val="nil"/>
          <w:right w:val="nil"/>
          <w:between w:val="nil"/>
        </w:pBdr>
        <w:ind w:left="426" w:right="-28"/>
        <w:rPr>
          <w:rFonts w:eastAsia="Palatino Linotype" w:cs="Palatino Linotype"/>
          <w:szCs w:val="22"/>
        </w:rPr>
      </w:pPr>
      <w:r w:rsidRPr="00DD65D1">
        <w:rPr>
          <w:rFonts w:eastAsia="Palatino Linotype" w:cs="Palatino Linotype"/>
          <w:szCs w:val="22"/>
        </w:rPr>
        <w:t>En cuanto a los programas y políticas; que no se cuenta con programas ni políticas para la separación de recursos sólidos, ya que la Dirección de Residuos Sólidos no es el sitio de disposición final de residuos sólidos.</w:t>
      </w:r>
    </w:p>
    <w:p w14:paraId="1A382EA9" w14:textId="77777777" w:rsidR="0035402D" w:rsidRPr="00DD65D1" w:rsidRDefault="002C441B" w:rsidP="00DD65D1">
      <w:pPr>
        <w:numPr>
          <w:ilvl w:val="0"/>
          <w:numId w:val="3"/>
        </w:numPr>
        <w:pBdr>
          <w:top w:val="nil"/>
          <w:left w:val="nil"/>
          <w:bottom w:val="nil"/>
          <w:right w:val="nil"/>
          <w:between w:val="nil"/>
        </w:pBdr>
        <w:ind w:left="426" w:right="-28"/>
        <w:rPr>
          <w:rFonts w:eastAsia="Palatino Linotype" w:cs="Palatino Linotype"/>
          <w:szCs w:val="22"/>
        </w:rPr>
      </w:pPr>
      <w:r w:rsidRPr="00DD65D1">
        <w:rPr>
          <w:rFonts w:eastAsia="Palatino Linotype" w:cs="Palatino Linotype"/>
          <w:szCs w:val="22"/>
        </w:rPr>
        <w:t>Respecto a las estadísticas requeridas; que la cantidad de residuos colectados en el periodo 2023-2024 asciende a 44,954.90 toneladas y que no se cuenta con recolección de residuos peligrosos.</w:t>
      </w:r>
    </w:p>
    <w:p w14:paraId="7862C88E" w14:textId="77777777" w:rsidR="0035402D" w:rsidRPr="00DD65D1" w:rsidRDefault="002C441B" w:rsidP="00DD65D1">
      <w:pPr>
        <w:numPr>
          <w:ilvl w:val="0"/>
          <w:numId w:val="3"/>
        </w:numPr>
        <w:pBdr>
          <w:top w:val="nil"/>
          <w:left w:val="nil"/>
          <w:bottom w:val="nil"/>
          <w:right w:val="nil"/>
          <w:between w:val="nil"/>
        </w:pBdr>
        <w:ind w:left="426" w:right="-28"/>
        <w:rPr>
          <w:rFonts w:eastAsia="Palatino Linotype" w:cs="Palatino Linotype"/>
          <w:szCs w:val="22"/>
        </w:rPr>
      </w:pPr>
      <w:r w:rsidRPr="00DD65D1">
        <w:rPr>
          <w:rFonts w:eastAsia="Palatino Linotype" w:cs="Palatino Linotype"/>
          <w:szCs w:val="22"/>
        </w:rPr>
        <w:t>Derivado de la solicitud relacionada con la participación ciudadana; que la Dirección de Residuos Sólidos es un área operativa.</w:t>
      </w:r>
    </w:p>
    <w:p w14:paraId="00B4F483" w14:textId="77777777" w:rsidR="0035402D" w:rsidRPr="00DD65D1" w:rsidRDefault="002C441B" w:rsidP="00DD65D1">
      <w:pPr>
        <w:numPr>
          <w:ilvl w:val="0"/>
          <w:numId w:val="3"/>
        </w:numPr>
        <w:pBdr>
          <w:top w:val="nil"/>
          <w:left w:val="nil"/>
          <w:bottom w:val="nil"/>
          <w:right w:val="nil"/>
          <w:between w:val="nil"/>
        </w:pBdr>
        <w:ind w:left="426" w:right="-28"/>
        <w:rPr>
          <w:rFonts w:eastAsia="Palatino Linotype" w:cs="Palatino Linotype"/>
          <w:szCs w:val="22"/>
        </w:rPr>
      </w:pPr>
      <w:r w:rsidRPr="00DD65D1">
        <w:rPr>
          <w:rFonts w:eastAsia="Palatino Linotype" w:cs="Palatino Linotype"/>
          <w:szCs w:val="22"/>
        </w:rPr>
        <w:t>Relativo a los contratos y servicios externos; que fue contratada la empresa denominada “Estación de San Antonio S.A de C.V por los periodos correspondientes del 11 de abril al 31 de diciembre de 2023 y del 23 de marzo de 2024 al 31 de diciembre de 2024, por los montos que ascienden a $4,465,473.36 y $4,044,830.17 pesos.</w:t>
      </w:r>
    </w:p>
    <w:p w14:paraId="3915020F" w14:textId="77777777" w:rsidR="0035402D" w:rsidRPr="00DD65D1" w:rsidRDefault="0035402D" w:rsidP="00DD65D1">
      <w:pPr>
        <w:pBdr>
          <w:top w:val="nil"/>
          <w:left w:val="nil"/>
          <w:bottom w:val="nil"/>
          <w:right w:val="nil"/>
          <w:between w:val="nil"/>
        </w:pBdr>
        <w:ind w:right="-28"/>
      </w:pPr>
    </w:p>
    <w:p w14:paraId="75FCC354" w14:textId="77777777" w:rsidR="0035402D" w:rsidRPr="00DD65D1" w:rsidRDefault="002C441B" w:rsidP="00DD65D1">
      <w:pPr>
        <w:tabs>
          <w:tab w:val="left" w:pos="4962"/>
        </w:tabs>
      </w:pPr>
      <w:r w:rsidRPr="00DD65D1">
        <w:t xml:space="preserve">Ahora bien, en la interposición del presente recurso </w:t>
      </w:r>
      <w:r w:rsidRPr="00DD65D1">
        <w:rPr>
          <w:b/>
        </w:rPr>
        <w:t>LA PARTE RECURRENTE</w:t>
      </w:r>
      <w:r w:rsidRPr="00DD65D1">
        <w:t xml:space="preserve"> se inconformó de la entrega de la información incompleta, toda vez que señaló que no fueron cubiertos en su totalidad todos los puntos requeridos en la solicitud inicial, realizando una serie de especificaciones sobre la omisión de pronunciamientos relativos a los puntos del requerimiento señalados con los números 1, 2, 3, 4 y 5.</w:t>
      </w:r>
    </w:p>
    <w:p w14:paraId="7CDE5690" w14:textId="77777777" w:rsidR="0035402D" w:rsidRPr="00DD65D1" w:rsidRDefault="0035402D" w:rsidP="00DD65D1">
      <w:pPr>
        <w:tabs>
          <w:tab w:val="left" w:pos="4962"/>
        </w:tabs>
      </w:pPr>
    </w:p>
    <w:p w14:paraId="78ABC5A0" w14:textId="77777777" w:rsidR="0035402D" w:rsidRPr="00DD65D1" w:rsidRDefault="002C441B" w:rsidP="00DD65D1">
      <w:pPr>
        <w:tabs>
          <w:tab w:val="left" w:pos="4962"/>
        </w:tabs>
      </w:pPr>
      <w:r w:rsidRPr="00DD65D1">
        <w:t>Para efectos prácticos se estima prudente desarrollar un cuadro de análisis donde se advierte los elementos peticionados por el particular en su escrito de solicitud en contraste con las manifestaciones expuestas en el acto impugnado, quedando de la siguiente manera.</w:t>
      </w:r>
    </w:p>
    <w:p w14:paraId="70C979F1" w14:textId="77777777" w:rsidR="0035402D" w:rsidRPr="00DD65D1" w:rsidRDefault="0035402D" w:rsidP="00DD65D1">
      <w:pPr>
        <w:tabs>
          <w:tab w:val="left" w:pos="4962"/>
        </w:tabs>
      </w:pPr>
    </w:p>
    <w:tbl>
      <w:tblPr>
        <w:tblStyle w:val="a"/>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7"/>
        <w:gridCol w:w="4517"/>
      </w:tblGrid>
      <w:tr w:rsidR="00DD65D1" w:rsidRPr="00DD65D1" w14:paraId="36532F09" w14:textId="77777777">
        <w:tc>
          <w:tcPr>
            <w:tcW w:w="4517" w:type="dxa"/>
          </w:tcPr>
          <w:p w14:paraId="7C580543" w14:textId="77777777" w:rsidR="0035402D" w:rsidRPr="00DD65D1" w:rsidRDefault="002C441B" w:rsidP="00DD65D1">
            <w:pPr>
              <w:tabs>
                <w:tab w:val="left" w:pos="4962"/>
              </w:tabs>
              <w:spacing w:line="360" w:lineRule="auto"/>
              <w:jc w:val="center"/>
              <w:rPr>
                <w:b/>
              </w:rPr>
            </w:pPr>
            <w:r w:rsidRPr="00DD65D1">
              <w:rPr>
                <w:b/>
              </w:rPr>
              <w:lastRenderedPageBreak/>
              <w:t>SOLICITUD INICIAL</w:t>
            </w:r>
          </w:p>
        </w:tc>
        <w:tc>
          <w:tcPr>
            <w:tcW w:w="4517" w:type="dxa"/>
          </w:tcPr>
          <w:p w14:paraId="57CEDF23" w14:textId="77777777" w:rsidR="0035402D" w:rsidRPr="00DD65D1" w:rsidRDefault="002C441B" w:rsidP="00DD65D1">
            <w:pPr>
              <w:tabs>
                <w:tab w:val="left" w:pos="4962"/>
              </w:tabs>
              <w:spacing w:line="360" w:lineRule="auto"/>
              <w:jc w:val="center"/>
              <w:rPr>
                <w:b/>
              </w:rPr>
            </w:pPr>
            <w:r w:rsidRPr="00DD65D1">
              <w:rPr>
                <w:b/>
              </w:rPr>
              <w:t>INCONFORMIDAD</w:t>
            </w:r>
          </w:p>
        </w:tc>
      </w:tr>
      <w:tr w:rsidR="00DD65D1" w:rsidRPr="00DD65D1" w14:paraId="0ADF2A19" w14:textId="77777777">
        <w:tc>
          <w:tcPr>
            <w:tcW w:w="4517" w:type="dxa"/>
          </w:tcPr>
          <w:p w14:paraId="304046A2" w14:textId="77777777" w:rsidR="0035402D" w:rsidRPr="00DD65D1" w:rsidRDefault="002C441B" w:rsidP="00DD65D1">
            <w:pPr>
              <w:tabs>
                <w:tab w:val="left" w:pos="4667"/>
              </w:tabs>
              <w:spacing w:line="360" w:lineRule="auto"/>
            </w:pPr>
            <w:r w:rsidRPr="00DD65D1">
              <w:t>1. Presupuesto: Presupuesto asignado y ejercido para la gestión de residuos sólidos, desglosado por tipo de gasto (recolección, transporte, disposición final, reciclaje, etc.) y el detalle de los conceptos de inversión y operación vinculados al manejo de residuos sólidos.</w:t>
            </w:r>
          </w:p>
        </w:tc>
        <w:tc>
          <w:tcPr>
            <w:tcW w:w="4517" w:type="dxa"/>
          </w:tcPr>
          <w:p w14:paraId="2CE290F1" w14:textId="77777777" w:rsidR="0035402D" w:rsidRPr="00DD65D1" w:rsidRDefault="002C441B" w:rsidP="00DD65D1">
            <w:pPr>
              <w:spacing w:line="360" w:lineRule="auto"/>
            </w:pPr>
            <w:r w:rsidRPr="00DD65D1">
              <w:rPr>
                <w:i/>
              </w:rPr>
              <w:t xml:space="preserve">Presupuesto Falta: -Presupuesto asignado y ejercido para la gestión de residuos sólidos, desglosado por tipo de gasto (recolección, transporte, disposición final, reciclaje, etc.). -Conceptos de inversión y operación, detallando las partidas específicas relacionadas con el manejo de residuos sólidos. </w:t>
            </w:r>
          </w:p>
        </w:tc>
      </w:tr>
      <w:tr w:rsidR="00DD65D1" w:rsidRPr="00DD65D1" w14:paraId="3C4657B4" w14:textId="77777777">
        <w:tc>
          <w:tcPr>
            <w:tcW w:w="4517" w:type="dxa"/>
          </w:tcPr>
          <w:p w14:paraId="2E5EAB91" w14:textId="77777777" w:rsidR="0035402D" w:rsidRPr="00DD65D1" w:rsidRDefault="002C441B" w:rsidP="00DD65D1">
            <w:pPr>
              <w:tabs>
                <w:tab w:val="left" w:pos="4667"/>
              </w:tabs>
              <w:spacing w:line="360" w:lineRule="auto"/>
            </w:pPr>
            <w:r w:rsidRPr="00DD65D1">
              <w:t xml:space="preserve">2. Infraestructura y Equipamiento: Número de vehículos de recolección de residuos sólidos en operación, especificando tipo, capacidad y mantenimiento mensual por unidad. Infraestructura destinada al tratamiento y disposición final de residuos sólidos (rellenos sanitarios, estaciones de transferencia, plantas de reciclaje, etc.), con su ubicación y estado operativo. </w:t>
            </w:r>
          </w:p>
        </w:tc>
        <w:tc>
          <w:tcPr>
            <w:tcW w:w="4517" w:type="dxa"/>
          </w:tcPr>
          <w:p w14:paraId="00E8B325" w14:textId="77777777" w:rsidR="0035402D" w:rsidRPr="00DD65D1" w:rsidRDefault="002C441B" w:rsidP="00DD65D1">
            <w:pPr>
              <w:spacing w:line="360" w:lineRule="auto"/>
              <w:rPr>
                <w:i/>
              </w:rPr>
            </w:pPr>
            <w:r w:rsidRPr="00DD65D1">
              <w:rPr>
                <w:i/>
              </w:rPr>
              <w:t xml:space="preserve">2. Infraestructura y Equipamiento </w:t>
            </w:r>
            <w:r w:rsidRPr="00DD65D1">
              <w:rPr>
                <w:b/>
                <w:i/>
              </w:rPr>
              <w:t>Sugerencia</w:t>
            </w:r>
            <w:r w:rsidRPr="00DD65D1">
              <w:rPr>
                <w:i/>
              </w:rPr>
              <w:t>: -</w:t>
            </w:r>
            <w:r w:rsidRPr="00DD65D1">
              <w:rPr>
                <w:b/>
                <w:i/>
              </w:rPr>
              <w:t xml:space="preserve">Especificar la capacidad de cada unidad (usando </w:t>
            </w:r>
            <w:proofErr w:type="spellStart"/>
            <w:r w:rsidRPr="00DD65D1">
              <w:rPr>
                <w:b/>
                <w:i/>
              </w:rPr>
              <w:t>medidadas</w:t>
            </w:r>
            <w:proofErr w:type="spellEnd"/>
            <w:r w:rsidRPr="00DD65D1">
              <w:rPr>
                <w:b/>
                <w:i/>
              </w:rPr>
              <w:t xml:space="preserve"> de peso universales, kilogramos o toneladas).</w:t>
            </w:r>
            <w:r w:rsidRPr="00DD65D1">
              <w:rPr>
                <w:i/>
              </w:rPr>
              <w:t xml:space="preserve"> </w:t>
            </w:r>
          </w:p>
          <w:p w14:paraId="7A2D4145" w14:textId="77777777" w:rsidR="0035402D" w:rsidRPr="00DD65D1" w:rsidRDefault="0035402D" w:rsidP="00DD65D1">
            <w:pPr>
              <w:spacing w:line="360" w:lineRule="auto"/>
              <w:rPr>
                <w:i/>
              </w:rPr>
            </w:pPr>
          </w:p>
          <w:p w14:paraId="352DE210" w14:textId="77777777" w:rsidR="0035402D" w:rsidRPr="00DD65D1" w:rsidRDefault="002C441B" w:rsidP="00DD65D1">
            <w:pPr>
              <w:spacing w:line="360" w:lineRule="auto"/>
              <w:jc w:val="center"/>
            </w:pPr>
            <w:r w:rsidRPr="00DD65D1">
              <w:t>(Ampliación de la solicitud).</w:t>
            </w:r>
          </w:p>
        </w:tc>
      </w:tr>
      <w:tr w:rsidR="00DD65D1" w:rsidRPr="00DD65D1" w14:paraId="7AE95878" w14:textId="77777777">
        <w:tc>
          <w:tcPr>
            <w:tcW w:w="4517" w:type="dxa"/>
          </w:tcPr>
          <w:p w14:paraId="719F70B3" w14:textId="77777777" w:rsidR="0035402D" w:rsidRPr="00DD65D1" w:rsidRDefault="002C441B" w:rsidP="00DD65D1">
            <w:pPr>
              <w:tabs>
                <w:tab w:val="left" w:pos="4667"/>
              </w:tabs>
              <w:spacing w:line="360" w:lineRule="auto"/>
            </w:pPr>
            <w:r w:rsidRPr="00DD65D1">
              <w:t xml:space="preserve">3. Cobertura de Recolección: Frecuencia de recolección de residuos sólidos en cada colonia del municipio. Porcentaje de cobertura de recolección de residuos, indicando áreas atendidas y pendientes. </w:t>
            </w:r>
          </w:p>
        </w:tc>
        <w:tc>
          <w:tcPr>
            <w:tcW w:w="4517" w:type="dxa"/>
          </w:tcPr>
          <w:p w14:paraId="0CB37AD7" w14:textId="77777777" w:rsidR="0035402D" w:rsidRPr="00DD65D1" w:rsidRDefault="002C441B" w:rsidP="00DD65D1">
            <w:pPr>
              <w:tabs>
                <w:tab w:val="left" w:pos="4962"/>
              </w:tabs>
              <w:spacing w:line="360" w:lineRule="auto"/>
              <w:rPr>
                <w:i/>
              </w:rPr>
            </w:pPr>
            <w:r w:rsidRPr="00DD65D1">
              <w:rPr>
                <w:i/>
              </w:rPr>
              <w:t xml:space="preserve">3. Cobertura de Recolección </w:t>
            </w:r>
            <w:r w:rsidRPr="00DD65D1">
              <w:rPr>
                <w:b/>
                <w:i/>
              </w:rPr>
              <w:t>Falta</w:t>
            </w:r>
            <w:r w:rsidRPr="00DD65D1">
              <w:rPr>
                <w:i/>
              </w:rPr>
              <w:t>: -</w:t>
            </w:r>
            <w:r w:rsidRPr="00DD65D1">
              <w:rPr>
                <w:i/>
                <w:u w:val="single"/>
              </w:rPr>
              <w:t>Frecuencia de recolección de residuos sólidos en cada colonia del municipio</w:t>
            </w:r>
            <w:r w:rsidRPr="00DD65D1">
              <w:rPr>
                <w:i/>
              </w:rPr>
              <w:t xml:space="preserve"> (</w:t>
            </w:r>
            <w:r w:rsidRPr="00DD65D1">
              <w:rPr>
                <w:b/>
                <w:i/>
              </w:rPr>
              <w:t xml:space="preserve">por días o turnos, de ser posible anexar un mapeo o gráficas como se </w:t>
            </w:r>
            <w:proofErr w:type="spellStart"/>
            <w:r w:rsidRPr="00DD65D1">
              <w:rPr>
                <w:b/>
                <w:i/>
              </w:rPr>
              <w:t>específico</w:t>
            </w:r>
            <w:proofErr w:type="spellEnd"/>
            <w:r w:rsidRPr="00DD65D1">
              <w:rPr>
                <w:b/>
                <w:i/>
              </w:rPr>
              <w:t xml:space="preserve"> en el documento anexado en la solicitud principal</w:t>
            </w:r>
            <w:r w:rsidRPr="00DD65D1">
              <w:rPr>
                <w:i/>
              </w:rPr>
              <w:t>) -</w:t>
            </w:r>
            <w:r w:rsidRPr="00DD65D1">
              <w:rPr>
                <w:i/>
                <w:u w:val="single"/>
              </w:rPr>
              <w:t>Porcentaje de cobertura de recolección</w:t>
            </w:r>
            <w:r w:rsidRPr="00DD65D1">
              <w:rPr>
                <w:i/>
              </w:rPr>
              <w:t>: -</w:t>
            </w:r>
            <w:r w:rsidRPr="00DD65D1">
              <w:rPr>
                <w:b/>
                <w:i/>
              </w:rPr>
              <w:t>Identificar zonas atendidas y pendientes.</w:t>
            </w:r>
          </w:p>
          <w:p w14:paraId="5C7C4EAA" w14:textId="77777777" w:rsidR="0035402D" w:rsidRPr="00DD65D1" w:rsidRDefault="0035402D" w:rsidP="00DD65D1">
            <w:pPr>
              <w:tabs>
                <w:tab w:val="left" w:pos="4962"/>
              </w:tabs>
              <w:spacing w:line="360" w:lineRule="auto"/>
              <w:rPr>
                <w:i/>
              </w:rPr>
            </w:pPr>
          </w:p>
          <w:p w14:paraId="27E2B151" w14:textId="77777777" w:rsidR="0035402D" w:rsidRPr="00DD65D1" w:rsidRDefault="002C441B" w:rsidP="00DD65D1">
            <w:pPr>
              <w:tabs>
                <w:tab w:val="left" w:pos="4962"/>
              </w:tabs>
              <w:spacing w:line="360" w:lineRule="auto"/>
              <w:rPr>
                <w:i/>
              </w:rPr>
            </w:pPr>
            <w:r w:rsidRPr="00DD65D1">
              <w:rPr>
                <w:b/>
                <w:i/>
              </w:rPr>
              <w:t>-Indicar las áreas sin servicio o con servicio limitado.</w:t>
            </w:r>
            <w:r w:rsidRPr="00DD65D1">
              <w:rPr>
                <w:i/>
              </w:rPr>
              <w:t xml:space="preserve"> </w:t>
            </w:r>
          </w:p>
          <w:p w14:paraId="3EB936EF" w14:textId="77777777" w:rsidR="0035402D" w:rsidRPr="00DD65D1" w:rsidRDefault="0035402D" w:rsidP="00DD65D1">
            <w:pPr>
              <w:tabs>
                <w:tab w:val="left" w:pos="4962"/>
              </w:tabs>
              <w:spacing w:line="360" w:lineRule="auto"/>
              <w:jc w:val="center"/>
            </w:pPr>
          </w:p>
          <w:p w14:paraId="627D45BD" w14:textId="77777777" w:rsidR="0035402D" w:rsidRPr="00DD65D1" w:rsidRDefault="002C441B" w:rsidP="00DD65D1">
            <w:pPr>
              <w:tabs>
                <w:tab w:val="left" w:pos="4962"/>
              </w:tabs>
              <w:spacing w:line="360" w:lineRule="auto"/>
              <w:jc w:val="center"/>
            </w:pPr>
            <w:r w:rsidRPr="00DD65D1">
              <w:t>(Ampliación de la solicitud).</w:t>
            </w:r>
          </w:p>
        </w:tc>
      </w:tr>
      <w:tr w:rsidR="00DD65D1" w:rsidRPr="00DD65D1" w14:paraId="489DF7D6" w14:textId="77777777">
        <w:tc>
          <w:tcPr>
            <w:tcW w:w="4517" w:type="dxa"/>
          </w:tcPr>
          <w:p w14:paraId="64F3FA9D" w14:textId="77777777" w:rsidR="0035402D" w:rsidRPr="00DD65D1" w:rsidRDefault="002C441B" w:rsidP="00DD65D1">
            <w:pPr>
              <w:tabs>
                <w:tab w:val="left" w:pos="4667"/>
              </w:tabs>
              <w:spacing w:line="360" w:lineRule="auto"/>
            </w:pPr>
            <w:r w:rsidRPr="00DD65D1">
              <w:lastRenderedPageBreak/>
              <w:t xml:space="preserve">4. Programas y Políticas: Programas implementados para la separación de residuos en la fuente y el fomento al reciclaje, incluyendo presupuesto e impacto reportado. Normativas o reglamentos municipales vigentes que regulen la disposición y manejo de residuos sólidos. </w:t>
            </w:r>
          </w:p>
        </w:tc>
        <w:tc>
          <w:tcPr>
            <w:tcW w:w="4517" w:type="dxa"/>
          </w:tcPr>
          <w:p w14:paraId="7EE23F29" w14:textId="77777777" w:rsidR="0035402D" w:rsidRPr="00DD65D1" w:rsidRDefault="002C441B" w:rsidP="00DD65D1">
            <w:pPr>
              <w:tabs>
                <w:tab w:val="left" w:pos="4962"/>
              </w:tabs>
              <w:spacing w:line="360" w:lineRule="auto"/>
            </w:pPr>
            <w:r w:rsidRPr="00DD65D1">
              <w:rPr>
                <w:i/>
              </w:rPr>
              <w:t xml:space="preserve">4. Programas y Políticas </w:t>
            </w:r>
            <w:r w:rsidRPr="00DD65D1">
              <w:rPr>
                <w:b/>
                <w:i/>
              </w:rPr>
              <w:t>Falta</w:t>
            </w:r>
            <w:r w:rsidRPr="00DD65D1">
              <w:rPr>
                <w:i/>
              </w:rPr>
              <w:t>: -</w:t>
            </w:r>
            <w:r w:rsidRPr="00DD65D1">
              <w:rPr>
                <w:b/>
                <w:i/>
              </w:rPr>
              <w:t xml:space="preserve">Normativas federales, estatales y municipales vigentes relacionadas con las obligaciones ciudadanas en el manejo y separación de residuos. </w:t>
            </w:r>
          </w:p>
        </w:tc>
      </w:tr>
      <w:tr w:rsidR="00DD65D1" w:rsidRPr="00DD65D1" w14:paraId="210EC406" w14:textId="77777777">
        <w:tc>
          <w:tcPr>
            <w:tcW w:w="4517" w:type="dxa"/>
          </w:tcPr>
          <w:p w14:paraId="6F39B4F7" w14:textId="77777777" w:rsidR="0035402D" w:rsidRPr="00DD65D1" w:rsidRDefault="002C441B" w:rsidP="00DD65D1">
            <w:pPr>
              <w:tabs>
                <w:tab w:val="left" w:pos="4667"/>
              </w:tabs>
              <w:spacing w:line="360" w:lineRule="auto"/>
            </w:pPr>
            <w:r w:rsidRPr="00DD65D1">
              <w:t xml:space="preserve">5. Estadísticas: Cantidad de residuos sólidos generados en el municipio, desglosada por tipos (orgánicos, inorgánicos, peligrosos) y el porcentaje de residuos reciclados, </w:t>
            </w:r>
            <w:proofErr w:type="spellStart"/>
            <w:r w:rsidRPr="00DD65D1">
              <w:t>compostados</w:t>
            </w:r>
            <w:proofErr w:type="spellEnd"/>
            <w:r w:rsidRPr="00DD65D1">
              <w:t xml:space="preserve"> o depositados en rellenos sanitarios. </w:t>
            </w:r>
          </w:p>
        </w:tc>
        <w:tc>
          <w:tcPr>
            <w:tcW w:w="4517" w:type="dxa"/>
          </w:tcPr>
          <w:p w14:paraId="13E05AF9" w14:textId="77777777" w:rsidR="0035402D" w:rsidRPr="00DD65D1" w:rsidRDefault="002C441B" w:rsidP="00DD65D1">
            <w:pPr>
              <w:tabs>
                <w:tab w:val="left" w:pos="4962"/>
              </w:tabs>
              <w:spacing w:line="360" w:lineRule="auto"/>
            </w:pPr>
            <w:r w:rsidRPr="00DD65D1">
              <w:rPr>
                <w:i/>
              </w:rPr>
              <w:t xml:space="preserve">5. Estadísticas </w:t>
            </w:r>
            <w:r w:rsidRPr="00DD65D1">
              <w:rPr>
                <w:b/>
                <w:i/>
              </w:rPr>
              <w:t>Falta</w:t>
            </w:r>
            <w:r w:rsidRPr="00DD65D1">
              <w:rPr>
                <w:i/>
              </w:rPr>
              <w:t>: -Cantidad de residuos sólidos generados en el municipio</w:t>
            </w:r>
            <w:r w:rsidRPr="00DD65D1">
              <w:rPr>
                <w:b/>
                <w:i/>
              </w:rPr>
              <w:t>,</w:t>
            </w:r>
            <w:r w:rsidRPr="00DD65D1">
              <w:rPr>
                <w:i/>
              </w:rPr>
              <w:t xml:space="preserve"> desglosados por tipo de residuos (</w:t>
            </w:r>
            <w:proofErr w:type="spellStart"/>
            <w:r w:rsidRPr="00DD65D1">
              <w:rPr>
                <w:i/>
              </w:rPr>
              <w:t>Ejem</w:t>
            </w:r>
            <w:proofErr w:type="spellEnd"/>
            <w:r w:rsidRPr="00DD65D1">
              <w:rPr>
                <w:i/>
              </w:rPr>
              <w:t xml:space="preserve">: Orgánicos e Inorgánicos). </w:t>
            </w:r>
          </w:p>
        </w:tc>
      </w:tr>
      <w:tr w:rsidR="00DD65D1" w:rsidRPr="00DD65D1" w14:paraId="04082932" w14:textId="77777777">
        <w:tc>
          <w:tcPr>
            <w:tcW w:w="4517" w:type="dxa"/>
          </w:tcPr>
          <w:p w14:paraId="4E82CB2F" w14:textId="77777777" w:rsidR="0035402D" w:rsidRPr="00DD65D1" w:rsidRDefault="002C441B" w:rsidP="00DD65D1">
            <w:pPr>
              <w:tabs>
                <w:tab w:val="left" w:pos="4667"/>
              </w:tabs>
              <w:spacing w:line="360" w:lineRule="auto"/>
              <w:jc w:val="center"/>
            </w:pPr>
            <w:r w:rsidRPr="00DD65D1">
              <w:t>6. Contratos y Servicios Externos: Empresas o concesionarios encargados del manejo de residuos sólidos, especificando términos de contrato, costos y duración. Auditorías o evaluaciones realizadas a dichas empresas durante los años solicitados.</w:t>
            </w:r>
          </w:p>
        </w:tc>
        <w:tc>
          <w:tcPr>
            <w:tcW w:w="4517" w:type="dxa"/>
            <w:vAlign w:val="center"/>
          </w:tcPr>
          <w:p w14:paraId="0AB99BF9" w14:textId="77777777" w:rsidR="0035402D" w:rsidRPr="00DD65D1" w:rsidRDefault="002C441B" w:rsidP="00DD65D1">
            <w:pPr>
              <w:tabs>
                <w:tab w:val="left" w:pos="4962"/>
              </w:tabs>
              <w:spacing w:line="360" w:lineRule="auto"/>
              <w:jc w:val="center"/>
            </w:pPr>
            <w:r w:rsidRPr="00DD65D1">
              <w:t>No se inconforma en la</w:t>
            </w:r>
          </w:p>
          <w:p w14:paraId="0DA16764" w14:textId="77777777" w:rsidR="0035402D" w:rsidRPr="00DD65D1" w:rsidRDefault="002C441B" w:rsidP="00DD65D1">
            <w:pPr>
              <w:tabs>
                <w:tab w:val="left" w:pos="4962"/>
              </w:tabs>
              <w:spacing w:line="360" w:lineRule="auto"/>
              <w:jc w:val="center"/>
            </w:pPr>
            <w:r w:rsidRPr="00DD65D1">
              <w:t>Interposición del recurso.</w:t>
            </w:r>
          </w:p>
        </w:tc>
      </w:tr>
      <w:tr w:rsidR="0035402D" w:rsidRPr="00DD65D1" w14:paraId="5F423BD3" w14:textId="77777777">
        <w:tc>
          <w:tcPr>
            <w:tcW w:w="4517" w:type="dxa"/>
          </w:tcPr>
          <w:p w14:paraId="482109AD" w14:textId="77777777" w:rsidR="0035402D" w:rsidRPr="00DD65D1" w:rsidRDefault="002C441B" w:rsidP="00DD65D1">
            <w:pPr>
              <w:pStyle w:val="Puesto"/>
              <w:spacing w:line="360" w:lineRule="auto"/>
              <w:ind w:left="0" w:right="-28"/>
              <w:rPr>
                <w:i w:val="0"/>
              </w:rPr>
            </w:pPr>
            <w:r w:rsidRPr="00DD65D1">
              <w:rPr>
                <w:i w:val="0"/>
              </w:rPr>
              <w:lastRenderedPageBreak/>
              <w:t>7. Participación Ciudadana: Campañas de educación y sensibilización ambiental realizadas, con sus costos y resultados evaluados. Indicadores de participación ciudadana en programas de manejo de residuos.</w:t>
            </w:r>
          </w:p>
          <w:p w14:paraId="367D19A0" w14:textId="77777777" w:rsidR="0035402D" w:rsidRPr="00DD65D1" w:rsidRDefault="0035402D" w:rsidP="00DD65D1">
            <w:pPr>
              <w:tabs>
                <w:tab w:val="left" w:pos="4667"/>
              </w:tabs>
              <w:spacing w:line="360" w:lineRule="auto"/>
              <w:jc w:val="center"/>
            </w:pPr>
          </w:p>
        </w:tc>
        <w:tc>
          <w:tcPr>
            <w:tcW w:w="4517" w:type="dxa"/>
            <w:vAlign w:val="center"/>
          </w:tcPr>
          <w:p w14:paraId="784CD88D" w14:textId="77777777" w:rsidR="0035402D" w:rsidRPr="00DD65D1" w:rsidRDefault="002C441B" w:rsidP="00DD65D1">
            <w:pPr>
              <w:tabs>
                <w:tab w:val="left" w:pos="4962"/>
              </w:tabs>
              <w:spacing w:line="360" w:lineRule="auto"/>
              <w:jc w:val="center"/>
            </w:pPr>
            <w:r w:rsidRPr="00DD65D1">
              <w:t xml:space="preserve">No se inconforma en la </w:t>
            </w:r>
          </w:p>
          <w:p w14:paraId="371C99BA" w14:textId="77777777" w:rsidR="0035402D" w:rsidRPr="00DD65D1" w:rsidRDefault="002C441B" w:rsidP="00DD65D1">
            <w:pPr>
              <w:tabs>
                <w:tab w:val="left" w:pos="4962"/>
              </w:tabs>
              <w:spacing w:line="360" w:lineRule="auto"/>
              <w:jc w:val="center"/>
              <w:rPr>
                <w:i/>
              </w:rPr>
            </w:pPr>
            <w:r w:rsidRPr="00DD65D1">
              <w:t>Interposición del recurso.</w:t>
            </w:r>
          </w:p>
        </w:tc>
      </w:tr>
    </w:tbl>
    <w:p w14:paraId="0AFE03E5" w14:textId="77777777" w:rsidR="0035402D" w:rsidRPr="00DD65D1" w:rsidRDefault="0035402D" w:rsidP="00DD65D1"/>
    <w:p w14:paraId="4DE80D6E" w14:textId="77777777" w:rsidR="0035402D" w:rsidRPr="00DD65D1" w:rsidRDefault="002C441B" w:rsidP="00DD65D1">
      <w:pPr>
        <w:ind w:right="49"/>
      </w:pPr>
      <w:r w:rsidRPr="00DD65D1">
        <w:t>Ante tal situación, resulta oportuno mencionar que se advierte que el particular solo se inconforma sobre los puntos señalados en la solicitud inicial con los números 1 al 5 en la tabla anterior; motivo por lo cual, el resto de los requerimientos, se declaran como actos consentidos por el propio solicitante, por lo que no pueden producirse efectos jurídicos tendentes a revocar, confirmar o modificar el acto reclamado.</w:t>
      </w:r>
    </w:p>
    <w:p w14:paraId="5A58195D" w14:textId="77777777" w:rsidR="0035402D" w:rsidRPr="00DD65D1" w:rsidRDefault="0035402D" w:rsidP="00DD65D1">
      <w:pPr>
        <w:ind w:right="49"/>
      </w:pPr>
    </w:p>
    <w:p w14:paraId="00D1EDEA" w14:textId="77777777" w:rsidR="0035402D" w:rsidRPr="00DD65D1" w:rsidRDefault="002C441B" w:rsidP="00DD65D1">
      <w:r w:rsidRPr="00DD65D1">
        <w:t>Sirve de sustento, la tesis jurisprudencial número VI.3o.C. J/60, publicada en el Semanario Judicial de la Federación y su Gaceta bajo el número de registro 176,608 que a la letra dice:</w:t>
      </w:r>
    </w:p>
    <w:p w14:paraId="10A0D76B" w14:textId="77777777" w:rsidR="0035402D" w:rsidRPr="00DD65D1" w:rsidRDefault="0035402D" w:rsidP="00DD65D1"/>
    <w:p w14:paraId="0574DA33" w14:textId="77777777" w:rsidR="0035402D" w:rsidRPr="00DD65D1" w:rsidRDefault="002C441B" w:rsidP="00DD65D1">
      <w:pPr>
        <w:pStyle w:val="Puesto"/>
        <w:ind w:firstLine="567"/>
      </w:pPr>
      <w:r w:rsidRPr="00DD65D1">
        <w:rPr>
          <w:b/>
        </w:rPr>
        <w:t xml:space="preserve">“ACTOS CONSENTIDOS. SON LOS QUE NO SE IMPUGNAN MEDIANTE EL RECURSO IDÓNEO. </w:t>
      </w:r>
      <w:r w:rsidRPr="00DD65D1">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EE38997" w14:textId="77777777" w:rsidR="0035402D" w:rsidRPr="00DD65D1" w:rsidRDefault="0035402D" w:rsidP="00DD65D1"/>
    <w:p w14:paraId="2A224AC0" w14:textId="77777777" w:rsidR="0035402D" w:rsidRPr="00DD65D1" w:rsidRDefault="002C441B" w:rsidP="00DD65D1">
      <w:pPr>
        <w:tabs>
          <w:tab w:val="left" w:pos="2834"/>
          <w:tab w:val="right" w:pos="8838"/>
        </w:tabs>
        <w:ind w:left="-108" w:right="-105"/>
      </w:pPr>
      <w:r w:rsidRPr="00DD65D1">
        <w:t xml:space="preserve">Por otra parte es importante resaltar que, al momento de expresar su inconformidad, </w:t>
      </w:r>
      <w:r w:rsidRPr="00DD65D1">
        <w:rPr>
          <w:b/>
        </w:rPr>
        <w:t>LA PARTE RECURRENTE</w:t>
      </w:r>
      <w:r w:rsidRPr="00DD65D1">
        <w:t xml:space="preserve"> solicitó información adicional a la precisada en su requerimiento inicial, específicamente en los puntos señalados en los números 2 y 3 señalados en la tabla dentro de la columna denominada -inconformidad- de tal suerte que se advierte dichas manifestaciones son </w:t>
      </w:r>
      <w:r w:rsidRPr="00DD65D1">
        <w:lastRenderedPageBreak/>
        <w:t xml:space="preserve">consideradas como </w:t>
      </w:r>
      <w:r w:rsidRPr="00DD65D1">
        <w:rPr>
          <w:b/>
          <w:i/>
        </w:rPr>
        <w:t xml:space="preserve">plus </w:t>
      </w:r>
      <w:proofErr w:type="spellStart"/>
      <w:r w:rsidRPr="00DD65D1">
        <w:rPr>
          <w:b/>
          <w:i/>
        </w:rPr>
        <w:t>petitio</w:t>
      </w:r>
      <w:proofErr w:type="spellEnd"/>
      <w:r w:rsidRPr="00DD65D1">
        <w:rPr>
          <w:b/>
        </w:rPr>
        <w:t xml:space="preserve">, </w:t>
      </w:r>
      <w:r w:rsidRPr="00DD65D1">
        <w:t>es decir, actos relativos a nuevos requerimientos, que no se encuentran relacionados con la pretensión inicial al momento de confrontar la ampliación de la solicitud, operando de esta manera el principio de preclusión, es decir, la pérdida de una oportunidad procesal por no haber observado el orden o tiempo establecido en algún precepto normativo para la consumación de un acto determinado; sirva de apoyo el artículo 155, fracción III de la Ley de Transparencia Local y criterio 01/2017 de la segunda época, establecido por el Instituto Nacional de Transparencia, Acceso a la Información y Protección de Datos Personales:</w:t>
      </w:r>
    </w:p>
    <w:p w14:paraId="009A5E60" w14:textId="77777777" w:rsidR="0035402D" w:rsidRPr="00DD65D1" w:rsidRDefault="0035402D" w:rsidP="00DD65D1"/>
    <w:p w14:paraId="3D234C50" w14:textId="77777777" w:rsidR="0035402D" w:rsidRPr="00DD65D1" w:rsidRDefault="002C441B" w:rsidP="00DD65D1">
      <w:pPr>
        <w:pStyle w:val="Puesto"/>
        <w:ind w:firstLine="567"/>
      </w:pPr>
      <w:r w:rsidRPr="00DD65D1">
        <w:rPr>
          <w:b/>
        </w:rPr>
        <w:t>“</w:t>
      </w:r>
      <w:r w:rsidRPr="00DD65D1">
        <w:t xml:space="preserve">Artículo 155. Para presentar una solicitud por escrito, no se podrán exigir mayores requisitos que los siguientes: </w:t>
      </w:r>
    </w:p>
    <w:p w14:paraId="0E335ED3" w14:textId="77777777" w:rsidR="0035402D" w:rsidRPr="00DD65D1" w:rsidRDefault="002C441B" w:rsidP="00DD65D1">
      <w:pPr>
        <w:pStyle w:val="Puesto"/>
        <w:ind w:firstLine="567"/>
      </w:pPr>
      <w:r w:rsidRPr="00DD65D1">
        <w:t>(…)</w:t>
      </w:r>
    </w:p>
    <w:p w14:paraId="63C987B6" w14:textId="77777777" w:rsidR="0035402D" w:rsidRPr="00DD65D1" w:rsidRDefault="002C441B" w:rsidP="00DD65D1">
      <w:pPr>
        <w:pStyle w:val="Puesto"/>
        <w:ind w:firstLine="567"/>
      </w:pPr>
      <w:r w:rsidRPr="00DD65D1">
        <w:rPr>
          <w:b/>
        </w:rPr>
        <w:t>III.</w:t>
      </w:r>
      <w:r w:rsidRPr="00DD65D1">
        <w:t xml:space="preserve"> La descripción de la información solicitada;”</w:t>
      </w:r>
    </w:p>
    <w:p w14:paraId="456840C3" w14:textId="77777777" w:rsidR="0035402D" w:rsidRPr="00DD65D1" w:rsidRDefault="0035402D" w:rsidP="00DD65D1">
      <w:pPr>
        <w:pStyle w:val="Puesto"/>
        <w:ind w:firstLine="567"/>
      </w:pPr>
    </w:p>
    <w:p w14:paraId="4B89450B" w14:textId="77777777" w:rsidR="0035402D" w:rsidRPr="00DD65D1" w:rsidRDefault="002C441B" w:rsidP="00DD65D1">
      <w:pPr>
        <w:pStyle w:val="Puesto"/>
        <w:ind w:firstLine="567"/>
        <w:rPr>
          <w:b/>
        </w:rPr>
      </w:pPr>
      <w:r w:rsidRPr="00DD65D1">
        <w:rPr>
          <w:b/>
        </w:rPr>
        <w:t>“Criterio 01/2017</w:t>
      </w:r>
    </w:p>
    <w:p w14:paraId="6C2A866B" w14:textId="77777777" w:rsidR="0035402D" w:rsidRPr="00DD65D1" w:rsidRDefault="002C441B" w:rsidP="00DD65D1">
      <w:pPr>
        <w:pStyle w:val="Puesto"/>
        <w:ind w:firstLine="567"/>
      </w:pPr>
      <w:r w:rsidRPr="00DD65D1">
        <w:t>Es improcedente ampliar las solicitudes de acceso a información,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3673A564" w14:textId="77777777" w:rsidR="0035402D" w:rsidRPr="00DD65D1" w:rsidRDefault="0035402D" w:rsidP="00DD65D1"/>
    <w:p w14:paraId="0D9CC42C" w14:textId="77777777" w:rsidR="0035402D" w:rsidRPr="00DD65D1" w:rsidRDefault="002C441B" w:rsidP="00DD65D1">
      <w:r w:rsidRPr="00DD65D1">
        <w:t xml:space="preserve">No pasa desapercibido señalar que, </w:t>
      </w:r>
      <w:r w:rsidRPr="00DD65D1">
        <w:rPr>
          <w:b/>
        </w:rPr>
        <w:t xml:space="preserve">EL SUJETO OBLIGADO </w:t>
      </w:r>
      <w:r w:rsidRPr="00DD65D1">
        <w:t xml:space="preserve">omitió rendir su informe justificado dentro del plazo legalmente concedido; y por su parte, el </w:t>
      </w:r>
      <w:r w:rsidRPr="00DD65D1">
        <w:rPr>
          <w:b/>
        </w:rPr>
        <w:t xml:space="preserve">LA PARTE RECURRENTE </w:t>
      </w:r>
      <w:r w:rsidRPr="00DD65D1">
        <w:t>adjuntó las constancias que integran el expediente electrónico.</w:t>
      </w:r>
    </w:p>
    <w:p w14:paraId="521E9377" w14:textId="77777777" w:rsidR="0035402D" w:rsidRPr="00DD65D1" w:rsidRDefault="0035402D" w:rsidP="00DD65D1"/>
    <w:p w14:paraId="7A0C2101" w14:textId="77777777" w:rsidR="0035402D" w:rsidRPr="00DD65D1" w:rsidRDefault="002C441B" w:rsidP="00DD65D1">
      <w:r w:rsidRPr="00DD65D1">
        <w:t xml:space="preserve">En virtud de lo anterior, el presente estudio se centrará en determinar si la información proporcionada por </w:t>
      </w:r>
      <w:r w:rsidRPr="00DD65D1">
        <w:rPr>
          <w:b/>
        </w:rPr>
        <w:t xml:space="preserve">EL SUJETO OBLIGADO </w:t>
      </w:r>
      <w:r w:rsidRPr="00DD65D1">
        <w:t xml:space="preserve">colma de manera completa con las pretensiones de </w:t>
      </w:r>
      <w:r w:rsidRPr="00DD65D1">
        <w:rPr>
          <w:b/>
        </w:rPr>
        <w:t>LA PARTE RECURRENTE.</w:t>
      </w:r>
    </w:p>
    <w:p w14:paraId="3E5B2F54" w14:textId="77777777" w:rsidR="0035402D" w:rsidRPr="00DD65D1" w:rsidRDefault="0035402D" w:rsidP="00DD65D1"/>
    <w:p w14:paraId="4B338F0B" w14:textId="77777777" w:rsidR="0035402D" w:rsidRPr="00DD65D1" w:rsidRDefault="002C441B" w:rsidP="00DD65D1">
      <w:pPr>
        <w:pStyle w:val="Ttulo3"/>
        <w:tabs>
          <w:tab w:val="left" w:pos="6015"/>
        </w:tabs>
        <w:spacing w:line="360" w:lineRule="auto"/>
      </w:pPr>
      <w:bookmarkStart w:id="27" w:name="_heading=h.206ipza" w:colFirst="0" w:colLast="0"/>
      <w:bookmarkEnd w:id="27"/>
      <w:r w:rsidRPr="00DD65D1">
        <w:lastRenderedPageBreak/>
        <w:t>c) Estudio de la controversia.</w:t>
      </w:r>
    </w:p>
    <w:p w14:paraId="1403778F" w14:textId="77777777" w:rsidR="0035402D" w:rsidRPr="00DD65D1" w:rsidRDefault="002C441B" w:rsidP="00DD65D1">
      <w:pPr>
        <w:ind w:right="-93"/>
      </w:pPr>
      <w:r w:rsidRPr="00DD65D1">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640E6544" w14:textId="77777777" w:rsidR="0035402D" w:rsidRPr="00DD65D1" w:rsidRDefault="0035402D" w:rsidP="00DD65D1">
      <w:pPr>
        <w:ind w:right="-93"/>
      </w:pPr>
    </w:p>
    <w:p w14:paraId="174FC403" w14:textId="77777777" w:rsidR="0035402D" w:rsidRPr="00DD65D1" w:rsidRDefault="002C441B" w:rsidP="00DD65D1">
      <w:pPr>
        <w:pStyle w:val="Puesto"/>
        <w:ind w:firstLine="567"/>
      </w:pPr>
      <w:r w:rsidRPr="00DD65D1">
        <w:rPr>
          <w:b/>
        </w:rPr>
        <w:t>Artículo 18</w:t>
      </w:r>
      <w:r w:rsidRPr="00DD65D1">
        <w:t>. Los sujetos obligados deberán documentar todo acto que derive del ejercicio de sus facultades, competencias o funciones, considerando desde su origen la eventual publicidad y reutilización de la información que generen</w:t>
      </w:r>
    </w:p>
    <w:p w14:paraId="6A1F668D" w14:textId="77777777" w:rsidR="0035402D" w:rsidRPr="00DD65D1" w:rsidRDefault="0035402D" w:rsidP="00DD65D1">
      <w:pPr>
        <w:ind w:right="-93"/>
      </w:pPr>
    </w:p>
    <w:p w14:paraId="51AE29A8" w14:textId="77777777" w:rsidR="0035402D" w:rsidRPr="00DD65D1" w:rsidRDefault="002C441B" w:rsidP="00DD65D1">
      <w:pPr>
        <w:ind w:right="-93"/>
      </w:pPr>
      <w:r w:rsidRPr="00DD65D1">
        <w:t xml:space="preserve">Lo anterior toma relevancia, pues según Jarquín, Soledad (2019), en el “Diccionario de Transparencia y Acceso a la Información Pública” (p. 126 y 127), todos los </w:t>
      </w:r>
      <w:r w:rsidRPr="00DD65D1">
        <w:rPr>
          <w:b/>
        </w:rPr>
        <w:t>SUJETOS OBLIGADOS</w:t>
      </w:r>
      <w:r w:rsidRPr="00DD65D1">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2180E43B" w14:textId="77777777" w:rsidR="0035402D" w:rsidRPr="00DD65D1" w:rsidRDefault="0035402D" w:rsidP="00DD65D1">
      <w:pPr>
        <w:ind w:right="-93"/>
      </w:pPr>
    </w:p>
    <w:p w14:paraId="68C068DF" w14:textId="77777777" w:rsidR="0035402D" w:rsidRPr="00DD65D1" w:rsidRDefault="002C441B" w:rsidP="00DD65D1">
      <w:pPr>
        <w:widowControl w:val="0"/>
      </w:pPr>
      <w:r w:rsidRPr="00DD65D1">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Así las cosas, a continuación se analizarán punto por punto la información solicitada y la información entregada por el </w:t>
      </w:r>
      <w:r w:rsidRPr="00DD65D1">
        <w:rPr>
          <w:b/>
        </w:rPr>
        <w:t>SUJETO OBLIGADO</w:t>
      </w:r>
      <w:r w:rsidRPr="00DD65D1">
        <w:t xml:space="preserve">, con la finalidad de determinar si ésta colma con el derecho de acceso a la información pública de </w:t>
      </w:r>
      <w:r w:rsidRPr="00DD65D1">
        <w:rPr>
          <w:b/>
        </w:rPr>
        <w:t>LA PARTE RECURRENTE</w:t>
      </w:r>
      <w:r w:rsidRPr="00DD65D1">
        <w:t>:</w:t>
      </w:r>
    </w:p>
    <w:p w14:paraId="3884311E" w14:textId="77777777" w:rsidR="0035402D" w:rsidRPr="00DD65D1" w:rsidRDefault="0035402D" w:rsidP="00DD65D1">
      <w:pPr>
        <w:ind w:right="-93"/>
      </w:pPr>
    </w:p>
    <w:p w14:paraId="425D1A46" w14:textId="77777777" w:rsidR="0035402D" w:rsidRPr="00DD65D1" w:rsidRDefault="002C441B" w:rsidP="00DD65D1">
      <w:pPr>
        <w:tabs>
          <w:tab w:val="left" w:pos="4667"/>
        </w:tabs>
        <w:rPr>
          <w:b/>
        </w:rPr>
      </w:pPr>
      <w:r w:rsidRPr="00DD65D1">
        <w:rPr>
          <w:b/>
        </w:rPr>
        <w:lastRenderedPageBreak/>
        <w:t>1. Presupuesto: Presupuesto asignado y ejercido para la gestión de residuos sólidos, desglosado por tipo de gasto (recolección, transporte, disposición final, reciclaje, etc.) y el detalle de los conceptos de inversión y operación vinculados al manejo de residuos sólidos.</w:t>
      </w:r>
    </w:p>
    <w:p w14:paraId="08C5C91F" w14:textId="77777777" w:rsidR="0035402D" w:rsidRPr="00DD65D1" w:rsidRDefault="0035402D" w:rsidP="00DD65D1">
      <w:pPr>
        <w:ind w:right="-93"/>
      </w:pPr>
    </w:p>
    <w:p w14:paraId="26C16E00" w14:textId="77777777" w:rsidR="0035402D" w:rsidRPr="00DD65D1" w:rsidRDefault="002C441B" w:rsidP="00DD65D1">
      <w:pPr>
        <w:ind w:right="-93"/>
        <w:rPr>
          <w:b/>
        </w:rPr>
      </w:pPr>
      <w:r w:rsidRPr="00DD65D1">
        <w:t xml:space="preserve">De las constancias que obran en el expediente electrónico del </w:t>
      </w:r>
      <w:r w:rsidRPr="00DD65D1">
        <w:rPr>
          <w:b/>
        </w:rPr>
        <w:t>SAIMEX</w:t>
      </w:r>
      <w:r w:rsidRPr="00DD65D1">
        <w:t xml:space="preserve">, se advierte que </w:t>
      </w:r>
      <w:r w:rsidRPr="00DD65D1">
        <w:rPr>
          <w:b/>
        </w:rPr>
        <w:t>EL</w:t>
      </w:r>
      <w:r w:rsidRPr="00DD65D1">
        <w:t xml:space="preserve"> </w:t>
      </w:r>
      <w:r w:rsidRPr="00DD65D1">
        <w:rPr>
          <w:b/>
        </w:rPr>
        <w:t>SUJETO OBLIGADO</w:t>
      </w:r>
      <w:r w:rsidRPr="00DD65D1">
        <w:t xml:space="preserve"> no se pronunció sobre el punto de requerimiento señalado en el párrafo que antecede, dejando en estado de incertidumbre a </w:t>
      </w:r>
      <w:r w:rsidRPr="00DD65D1">
        <w:rPr>
          <w:b/>
        </w:rPr>
        <w:t>LA PARTE RECURRENTE.</w:t>
      </w:r>
    </w:p>
    <w:p w14:paraId="65A5B144" w14:textId="77777777" w:rsidR="0035402D" w:rsidRPr="00DD65D1" w:rsidRDefault="0035402D" w:rsidP="00DD65D1">
      <w:pPr>
        <w:ind w:right="-93"/>
        <w:rPr>
          <w:b/>
        </w:rPr>
      </w:pPr>
    </w:p>
    <w:p w14:paraId="208E718B" w14:textId="77777777" w:rsidR="0035402D" w:rsidRPr="00DD65D1" w:rsidRDefault="002C441B" w:rsidP="00DD65D1">
      <w:pPr>
        <w:ind w:right="-93"/>
      </w:pPr>
      <w:r w:rsidRPr="00DD65D1">
        <w:t>Ante tal situación es importante señalar que, de conformidad con lo previsto en el artículo 31 de la Ley orgánica Municipal del Estado de México, es competencia de los Ayuntamientos aprobar anualmente el presupuesto de egresos en base a los ingresos presupuestados para el ejercicio que corresponda. El proyecto de presupuesto es presentado anualmente por el presidente municipal a más tardar el veinte de diciembre al ayuntamiento; dicho proyecto se integra básicamente por tres elementos, los programas, metas y unidades responsables para su ejecución; la estimación de los ingresos y gastos de cada ejercicio fiscal y la situación de deuda pública</w:t>
      </w:r>
      <w:r w:rsidRPr="00DD65D1">
        <w:rPr>
          <w:vertAlign w:val="superscript"/>
        </w:rPr>
        <w:footnoteReference w:id="1"/>
      </w:r>
      <w:r w:rsidRPr="00DD65D1">
        <w:t>.</w:t>
      </w:r>
    </w:p>
    <w:p w14:paraId="13A6B44B" w14:textId="77777777" w:rsidR="0035402D" w:rsidRPr="00DD65D1" w:rsidRDefault="002C441B" w:rsidP="00DD65D1">
      <w:pPr>
        <w:ind w:right="-93"/>
      </w:pPr>
      <w:r w:rsidRPr="00DD65D1">
        <w:t xml:space="preserve">Por otra parte, el artículo 95 de la Ley orgánica Municipal, son atribuciones del Tesorero Municipal la administración de la hacienda pública municipal, llevar los registros contables, financieros y administrativos de los ingresos y egresos del Ayuntamiento, así como </w:t>
      </w:r>
      <w:r w:rsidRPr="00DD65D1">
        <w:lastRenderedPageBreak/>
        <w:t>proporcionar oportunamente al ayuntamiento todos los datos o informes que sean necesarios para la formulación del Presupuesto de Egresos Municipales.</w:t>
      </w:r>
    </w:p>
    <w:p w14:paraId="7D5F7011" w14:textId="77777777" w:rsidR="0035402D" w:rsidRPr="00DD65D1" w:rsidRDefault="0035402D" w:rsidP="00DD65D1">
      <w:pPr>
        <w:ind w:right="-93"/>
      </w:pPr>
    </w:p>
    <w:p w14:paraId="515B3FAD" w14:textId="77777777" w:rsidR="0035402D" w:rsidRPr="00DD65D1" w:rsidRDefault="002C441B" w:rsidP="00DD65D1">
      <w:pPr>
        <w:ind w:right="-93"/>
      </w:pPr>
      <w:r w:rsidRPr="00DD65D1">
        <w:t>Avanzando en estudio, respecto a los conceptos de inversión y operación relacionados con el manejo de residuos sólidos, se debe apuntar que el gasto público comprende las erogaciones que por inversión física o financiera realice el municipio, lo anterior, de conformidad con el artículo 98 de la Ley Orgánica Municipal.</w:t>
      </w:r>
    </w:p>
    <w:p w14:paraId="34A6A14C" w14:textId="77777777" w:rsidR="0035402D" w:rsidRPr="00DD65D1" w:rsidRDefault="0035402D" w:rsidP="00DD65D1">
      <w:pPr>
        <w:ind w:right="-93"/>
      </w:pPr>
    </w:p>
    <w:p w14:paraId="7786A517" w14:textId="77777777" w:rsidR="0035402D" w:rsidRPr="00DD65D1" w:rsidRDefault="002C441B" w:rsidP="00DD65D1">
      <w:r w:rsidRPr="00DD65D1">
        <w:t xml:space="preserve">Es así que, al no haber </w:t>
      </w:r>
      <w:proofErr w:type="gramStart"/>
      <w:r w:rsidRPr="00DD65D1">
        <w:t>exi</w:t>
      </w:r>
      <w:bookmarkStart w:id="28" w:name="_GoBack"/>
      <w:bookmarkEnd w:id="28"/>
      <w:r w:rsidRPr="00DD65D1">
        <w:t>stido</w:t>
      </w:r>
      <w:proofErr w:type="gramEnd"/>
      <w:r w:rsidRPr="00DD65D1">
        <w:t xml:space="preserve"> manifestación por parte del </w:t>
      </w:r>
      <w:r w:rsidRPr="00DD65D1">
        <w:rPr>
          <w:b/>
        </w:rPr>
        <w:t>SUJETO OBLIGADO</w:t>
      </w:r>
      <w:r w:rsidRPr="00DD65D1">
        <w:t>, no se tiene por colmada la parte del requerimiento que se expone en líneas anteriores.</w:t>
      </w:r>
    </w:p>
    <w:p w14:paraId="03786450" w14:textId="77777777" w:rsidR="0035402D" w:rsidRPr="00DD65D1" w:rsidRDefault="0035402D" w:rsidP="00DD65D1"/>
    <w:p w14:paraId="3CACF567" w14:textId="77777777" w:rsidR="0035402D" w:rsidRPr="00DD65D1" w:rsidRDefault="002C441B" w:rsidP="00DD65D1">
      <w:r w:rsidRPr="00DD65D1">
        <w:t>En consecuencia, este Órgano Garante determina ordenar el presupuesto asignado y ejercido para la gestión de residuos sólidos, desglosado por tipo de gasto y el detalle de los conceptos de inversión y operación al diecinueve de noviembre de dos mil veinticuatro.</w:t>
      </w:r>
    </w:p>
    <w:p w14:paraId="524F4DED" w14:textId="77777777" w:rsidR="0035402D" w:rsidRPr="00DD65D1" w:rsidRDefault="0035402D" w:rsidP="00DD65D1"/>
    <w:p w14:paraId="476D7150" w14:textId="77777777" w:rsidR="0035402D" w:rsidRPr="00DD65D1" w:rsidRDefault="002C441B" w:rsidP="00DD65D1">
      <w:pPr>
        <w:tabs>
          <w:tab w:val="left" w:pos="4667"/>
        </w:tabs>
        <w:rPr>
          <w:b/>
        </w:rPr>
      </w:pPr>
      <w:r w:rsidRPr="00DD65D1">
        <w:rPr>
          <w:b/>
        </w:rPr>
        <w:t xml:space="preserve">2. Cobertura de Recolección: Frecuencia de recolección de residuos sólidos en cada colonia del municipio. </w:t>
      </w:r>
      <w:r w:rsidRPr="00DD65D1">
        <w:rPr>
          <w:b/>
          <w:u w:val="single"/>
        </w:rPr>
        <w:t>Porcentaje de cobertura de recolección de residuos, indicando áreas atendidas y pendientes</w:t>
      </w:r>
      <w:r w:rsidRPr="00DD65D1">
        <w:rPr>
          <w:b/>
        </w:rPr>
        <w:t xml:space="preserve">. </w:t>
      </w:r>
    </w:p>
    <w:p w14:paraId="4CA0D956" w14:textId="77777777" w:rsidR="0035402D" w:rsidRPr="00DD65D1" w:rsidRDefault="0035402D" w:rsidP="00DD65D1"/>
    <w:p w14:paraId="51BE98D3" w14:textId="77777777" w:rsidR="0035402D" w:rsidRPr="00DD65D1" w:rsidRDefault="002C441B" w:rsidP="00DD65D1">
      <w:r w:rsidRPr="00DD65D1">
        <w:t xml:space="preserve">Al respecto, </w:t>
      </w:r>
      <w:r w:rsidRPr="00DD65D1">
        <w:rPr>
          <w:b/>
        </w:rPr>
        <w:t>EL</w:t>
      </w:r>
      <w:r w:rsidRPr="00DD65D1">
        <w:t xml:space="preserve"> </w:t>
      </w:r>
      <w:r w:rsidRPr="00DD65D1">
        <w:rPr>
          <w:b/>
        </w:rPr>
        <w:t>SUJETO OBLIGADO</w:t>
      </w:r>
      <w:r w:rsidRPr="00DD65D1">
        <w:t xml:space="preserve"> a través de la respuesta proporcionada por el Director de Residuos Sólidos señaló que la frecuencia en la recolección a comunidades es de 1 o 2 veces por semana, sin expresar manifestación alguna para la parte del requerimiento en la que se pretende acceder a documentales donde se advierta el porcentaje de cobertura de recolección de residuos, así como las áreas que han sido atendidas y aquellas que se encuentran pendientes.</w:t>
      </w:r>
    </w:p>
    <w:p w14:paraId="17F9B5AA" w14:textId="77777777" w:rsidR="0035402D" w:rsidRPr="00DD65D1" w:rsidRDefault="0035402D" w:rsidP="00DD65D1"/>
    <w:p w14:paraId="61BAFA85" w14:textId="77777777" w:rsidR="0035402D" w:rsidRPr="00DD65D1" w:rsidRDefault="002C441B" w:rsidP="00DD65D1">
      <w:r w:rsidRPr="00DD65D1">
        <w:lastRenderedPageBreak/>
        <w:t>Por lo anterior, este Instituto estima prudente no tener por colmado tal parte del requerimiento.</w:t>
      </w:r>
    </w:p>
    <w:p w14:paraId="5D29B042" w14:textId="77777777" w:rsidR="0035402D" w:rsidRPr="00DD65D1" w:rsidRDefault="0035402D" w:rsidP="00DD65D1"/>
    <w:p w14:paraId="235BBC0E" w14:textId="77777777" w:rsidR="0035402D" w:rsidRPr="00DD65D1" w:rsidRDefault="002C441B" w:rsidP="00DD65D1">
      <w:pPr>
        <w:tabs>
          <w:tab w:val="left" w:pos="4667"/>
        </w:tabs>
        <w:rPr>
          <w:b/>
          <w:u w:val="single"/>
        </w:rPr>
      </w:pPr>
      <w:r w:rsidRPr="00DD65D1">
        <w:rPr>
          <w:b/>
        </w:rPr>
        <w:t xml:space="preserve">3. Programas y Políticas: Programas implementados para la separación de residuos en la fuente y el fomento al reciclaje, incluyendo presupuesto e impacto reportado. </w:t>
      </w:r>
      <w:r w:rsidRPr="00DD65D1">
        <w:rPr>
          <w:b/>
          <w:u w:val="single"/>
        </w:rPr>
        <w:t xml:space="preserve">Normativas o reglamentos municipales vigentes que regulen la disposición y manejo de residuos sólidos. </w:t>
      </w:r>
    </w:p>
    <w:p w14:paraId="114A2407" w14:textId="77777777" w:rsidR="0035402D" w:rsidRPr="00DD65D1" w:rsidRDefault="0035402D" w:rsidP="00DD65D1"/>
    <w:p w14:paraId="6454EA32" w14:textId="77777777" w:rsidR="0035402D" w:rsidRPr="00DD65D1" w:rsidRDefault="002C441B" w:rsidP="00DD65D1">
      <w:r w:rsidRPr="00DD65D1">
        <w:t xml:space="preserve">Para ésta parte del requerimiento, </w:t>
      </w:r>
      <w:r w:rsidRPr="00DD65D1">
        <w:rPr>
          <w:b/>
        </w:rPr>
        <w:t>EL SUJETO OBLIGADO</w:t>
      </w:r>
      <w:r w:rsidRPr="00DD65D1">
        <w:t xml:space="preserve"> precisó que no se cuenta con programas ni políticas para la separación de residuos sólidos; no obstante lo anterior, no se pronunció respecto a la normatividad vigente empleada para la disposición y manejo de los residuos, dejando de igual manera en estado de incertidumbre a </w:t>
      </w:r>
      <w:r w:rsidRPr="00DD65D1">
        <w:rPr>
          <w:b/>
        </w:rPr>
        <w:t>LA PARTE RECURRENTE</w:t>
      </w:r>
      <w:r w:rsidRPr="00DD65D1">
        <w:t>.</w:t>
      </w:r>
    </w:p>
    <w:p w14:paraId="28A96F36" w14:textId="77777777" w:rsidR="0035402D" w:rsidRPr="00DD65D1" w:rsidRDefault="0035402D" w:rsidP="00DD65D1"/>
    <w:p w14:paraId="071C2571" w14:textId="77777777" w:rsidR="0035402D" w:rsidRPr="00DD65D1" w:rsidRDefault="002C441B" w:rsidP="00DD65D1">
      <w:r w:rsidRPr="00DD65D1">
        <w:t>En atención a lo anterior, es importante destacar que el Estado mexicano sí contempla disposiciones normativas que refieren a la protección al ambiente en materia de prevención y gestión integral de residuos, como lo es de manera enunciativa, más no limitativa la Ley General para la Prevención y Gestión Integral de los Residuos, la cual tiene por objeto garantizar el derecho de toda persona al medio ambiente sano y propiciar el desarrollo sustentable a través de la prevención de la generación, valorización y gestión integral de los residuos peligrosos, mineros y metalúrgicos, sólidos urbanos, de manejo especial; prevenir la contaminación de sitios con estos residuos y llevar a cabo su remediación dentro del territorio nacional.</w:t>
      </w:r>
    </w:p>
    <w:p w14:paraId="5DD503B7" w14:textId="77777777" w:rsidR="0035402D" w:rsidRPr="00DD65D1" w:rsidRDefault="0035402D" w:rsidP="00DD65D1"/>
    <w:p w14:paraId="4FFC6F00" w14:textId="77777777" w:rsidR="0035402D" w:rsidRPr="00DD65D1" w:rsidRDefault="002C441B" w:rsidP="00DD65D1">
      <w:pPr>
        <w:rPr>
          <w:b/>
        </w:rPr>
      </w:pPr>
      <w:r w:rsidRPr="00DD65D1">
        <w:t xml:space="preserve">Luego entonces, la parte del requerimiento realizada por el solicitante relativo a la normatividad aplicable para la disposición de residuos sólidos, no fue colmada por </w:t>
      </w:r>
      <w:r w:rsidRPr="00DD65D1">
        <w:rPr>
          <w:b/>
        </w:rPr>
        <w:t>EL SUJETO OBLIGADO.</w:t>
      </w:r>
    </w:p>
    <w:p w14:paraId="223B45F1" w14:textId="77777777" w:rsidR="0035402D" w:rsidRPr="00DD65D1" w:rsidRDefault="0035402D" w:rsidP="00DD65D1">
      <w:pPr>
        <w:rPr>
          <w:b/>
        </w:rPr>
      </w:pPr>
    </w:p>
    <w:p w14:paraId="56F6FA74" w14:textId="77777777" w:rsidR="0035402D" w:rsidRPr="00DD65D1" w:rsidRDefault="002C441B" w:rsidP="00DD65D1">
      <w:pPr>
        <w:tabs>
          <w:tab w:val="left" w:pos="4667"/>
        </w:tabs>
        <w:rPr>
          <w:b/>
        </w:rPr>
      </w:pPr>
      <w:r w:rsidRPr="00DD65D1">
        <w:rPr>
          <w:b/>
        </w:rPr>
        <w:t xml:space="preserve">4. Estadísticas: Cantidad de residuos sólidos generados en el municipio, desglosada por tipos (orgánicos, inorgánicos, peligrosos) y el porcentaje de residuos reciclados, </w:t>
      </w:r>
      <w:proofErr w:type="spellStart"/>
      <w:r w:rsidRPr="00DD65D1">
        <w:rPr>
          <w:b/>
        </w:rPr>
        <w:t>compostados</w:t>
      </w:r>
      <w:proofErr w:type="spellEnd"/>
      <w:r w:rsidRPr="00DD65D1">
        <w:rPr>
          <w:b/>
        </w:rPr>
        <w:t xml:space="preserve"> o depositados en rellenos sanitarios. </w:t>
      </w:r>
    </w:p>
    <w:p w14:paraId="5BF30E0E" w14:textId="77777777" w:rsidR="0035402D" w:rsidRPr="00DD65D1" w:rsidRDefault="0035402D" w:rsidP="00DD65D1">
      <w:pPr>
        <w:tabs>
          <w:tab w:val="left" w:pos="4667"/>
        </w:tabs>
        <w:rPr>
          <w:b/>
        </w:rPr>
      </w:pPr>
    </w:p>
    <w:p w14:paraId="166F07BB" w14:textId="77777777" w:rsidR="0035402D" w:rsidRPr="00DD65D1" w:rsidRDefault="002C441B" w:rsidP="00DD65D1">
      <w:pPr>
        <w:tabs>
          <w:tab w:val="left" w:pos="4667"/>
        </w:tabs>
      </w:pPr>
      <w:r w:rsidRPr="00DD65D1">
        <w:t xml:space="preserve">Para la parte del requerimiento que se aborda, </w:t>
      </w:r>
      <w:r w:rsidRPr="00DD65D1">
        <w:rPr>
          <w:b/>
        </w:rPr>
        <w:t xml:space="preserve">EL SUJETO OBLIGADO </w:t>
      </w:r>
      <w:r w:rsidRPr="00DD65D1">
        <w:t xml:space="preserve">señaló que la cantidad de residuos colectados en el periodo 2023-2024 asciende a 44,954.90 toneladas; así mismo apuntó que no se cuenta con recolección de residuos peligrosos. Ahora bien sobre éste mismo punto </w:t>
      </w:r>
      <w:r w:rsidRPr="00DD65D1">
        <w:rPr>
          <w:b/>
        </w:rPr>
        <w:t xml:space="preserve">LA PARTE RECURRENTE </w:t>
      </w:r>
      <w:r w:rsidRPr="00DD65D1">
        <w:t xml:space="preserve">refirió al momento de expresar su inconformidad que faltó el pronunciamiento sobre la cantidad de residuos sólidos generados en el municipio, desglosados por tipo de residuos. </w:t>
      </w:r>
    </w:p>
    <w:p w14:paraId="3C883FD7" w14:textId="77777777" w:rsidR="0035402D" w:rsidRPr="00DD65D1" w:rsidRDefault="0035402D" w:rsidP="00DD65D1">
      <w:pPr>
        <w:tabs>
          <w:tab w:val="left" w:pos="4667"/>
        </w:tabs>
      </w:pPr>
    </w:p>
    <w:p w14:paraId="5205E9B4" w14:textId="77777777" w:rsidR="0035402D" w:rsidRPr="00DD65D1" w:rsidRDefault="002C441B" w:rsidP="00DD65D1">
      <w:pPr>
        <w:tabs>
          <w:tab w:val="left" w:pos="2834"/>
          <w:tab w:val="right" w:pos="8838"/>
        </w:tabs>
        <w:ind w:left="-108" w:right="-105"/>
      </w:pPr>
      <w:r w:rsidRPr="00DD65D1">
        <w:t xml:space="preserve">Ante tal situación es de indicarse que, no se advierte precepto normativo alguno que obligue al </w:t>
      </w:r>
      <w:r w:rsidRPr="00DD65D1">
        <w:rPr>
          <w:b/>
        </w:rPr>
        <w:t>SUJETO OBLIGADO</w:t>
      </w:r>
      <w:r w:rsidRPr="00DD65D1">
        <w:t xml:space="preserve"> contar con un el desglose de los tipos de residuos que son recolectados, por lo que dicha parte de la solicitud, se tiene por colmada.</w:t>
      </w:r>
    </w:p>
    <w:p w14:paraId="47E38CFC" w14:textId="77777777" w:rsidR="0035402D" w:rsidRPr="00DD65D1" w:rsidRDefault="0035402D" w:rsidP="00DD65D1">
      <w:pPr>
        <w:tabs>
          <w:tab w:val="left" w:pos="2834"/>
          <w:tab w:val="right" w:pos="8838"/>
        </w:tabs>
        <w:ind w:left="-108" w:right="-105"/>
      </w:pPr>
    </w:p>
    <w:p w14:paraId="7FA47D47" w14:textId="77777777" w:rsidR="0035402D" w:rsidRPr="00DD65D1" w:rsidRDefault="002C441B" w:rsidP="00DD65D1">
      <w:pPr>
        <w:pBdr>
          <w:top w:val="nil"/>
          <w:left w:val="nil"/>
          <w:bottom w:val="nil"/>
          <w:right w:val="nil"/>
          <w:between w:val="nil"/>
        </w:pBdr>
      </w:pPr>
      <w:r w:rsidRPr="00DD65D1">
        <w:t>Robustece lo hasta aquí expuesto, lo previsto por el artículo 12, párrafo segundo de la Ley de Transparencia y Acceso a la Información Pública del Estado de México y Municipios y el Criterio 03/17 emitido por el Instituto Nacional de Transparencia, Acceso a la Información y Protección de Datos Personales, que la letra establecen lo siguiente:</w:t>
      </w:r>
    </w:p>
    <w:p w14:paraId="646715E9" w14:textId="77777777" w:rsidR="0035402D" w:rsidRPr="00DD65D1" w:rsidRDefault="0035402D" w:rsidP="00DD65D1">
      <w:pPr>
        <w:pBdr>
          <w:top w:val="nil"/>
          <w:left w:val="nil"/>
          <w:bottom w:val="nil"/>
          <w:right w:val="nil"/>
          <w:between w:val="nil"/>
        </w:pBdr>
        <w:spacing w:line="240" w:lineRule="auto"/>
      </w:pPr>
    </w:p>
    <w:p w14:paraId="61C07511" w14:textId="77777777" w:rsidR="0035402D" w:rsidRPr="00DD65D1" w:rsidRDefault="002C441B" w:rsidP="00DD65D1">
      <w:pPr>
        <w:pStyle w:val="Puesto"/>
        <w:ind w:firstLine="567"/>
      </w:pPr>
      <w:r w:rsidRPr="00DD65D1">
        <w:rPr>
          <w:b/>
        </w:rPr>
        <w:t>Artículo 12.</w:t>
      </w:r>
      <w:r w:rsidRPr="00DD65D1">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F57FCD2" w14:textId="77777777" w:rsidR="0035402D" w:rsidRPr="00DD65D1" w:rsidRDefault="0035402D" w:rsidP="00DD65D1"/>
    <w:p w14:paraId="5D8AD07D" w14:textId="77777777" w:rsidR="0035402D" w:rsidRPr="00DD65D1" w:rsidRDefault="002C441B" w:rsidP="00DD65D1">
      <w:pPr>
        <w:pStyle w:val="Puesto"/>
        <w:ind w:firstLine="567"/>
      </w:pPr>
      <w:r w:rsidRPr="00DD65D1">
        <w:rPr>
          <w:b/>
        </w:rPr>
        <w:lastRenderedPageBreak/>
        <w:t xml:space="preserve">“No existe obligación de elaborar documentos ad hoc para atender las solicitudes de acceso a la información. </w:t>
      </w:r>
      <w:r w:rsidRPr="00DD65D1">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316D4133" w14:textId="77777777" w:rsidR="0035402D" w:rsidRPr="00DD65D1" w:rsidRDefault="0035402D" w:rsidP="00DD65D1">
      <w:pPr>
        <w:rPr>
          <w:b/>
        </w:rPr>
      </w:pPr>
    </w:p>
    <w:p w14:paraId="476B09AF" w14:textId="77777777" w:rsidR="0035402D" w:rsidRPr="00DD65D1" w:rsidRDefault="002C441B" w:rsidP="00DD65D1">
      <w:pPr>
        <w:tabs>
          <w:tab w:val="left" w:pos="2834"/>
          <w:tab w:val="right" w:pos="8838"/>
        </w:tabs>
        <w:ind w:left="-108" w:right="-105"/>
        <w:rPr>
          <w:b/>
          <w:u w:val="single"/>
        </w:rPr>
      </w:pPr>
      <w:r w:rsidRPr="00DD65D1">
        <w:t xml:space="preserve">Llegados a este punto, se colige que </w:t>
      </w:r>
      <w:r w:rsidRPr="00DD65D1">
        <w:rPr>
          <w:b/>
        </w:rPr>
        <w:t xml:space="preserve">EL SUJETO OBLIGADO </w:t>
      </w:r>
      <w:r w:rsidRPr="00DD65D1">
        <w:t xml:space="preserve">no colmó totalmente con el derecho de acceso a la información ejercido por </w:t>
      </w:r>
      <w:r w:rsidRPr="00DD65D1">
        <w:rPr>
          <w:b/>
        </w:rPr>
        <w:t>LA PARTE RECURRENTE</w:t>
      </w:r>
      <w:r w:rsidRPr="00DD65D1">
        <w:t>, por lo que se estima prudente ordenar el soporte documental donde conste el presupuesto asignado y ejercido para la gestión de residuos sólidos, al mayor grado de desagregación; el porcentaje de cobertura de recolección de residuos, indicando áreas atendidas y pendientes y la normatividad para la disposición y manejo de residuos sólidos del 1 de enero de 2023 al 19 de noviembre de 2024.</w:t>
      </w:r>
    </w:p>
    <w:p w14:paraId="705F5557" w14:textId="77777777" w:rsidR="0035402D" w:rsidRPr="00DD65D1" w:rsidRDefault="0035402D" w:rsidP="00DD65D1"/>
    <w:p w14:paraId="1459D17C" w14:textId="77777777" w:rsidR="0035402D" w:rsidRPr="00DD65D1" w:rsidRDefault="002C441B" w:rsidP="00DD65D1">
      <w:pPr>
        <w:pStyle w:val="Ttulo3"/>
        <w:spacing w:line="360" w:lineRule="auto"/>
      </w:pPr>
      <w:bookmarkStart w:id="29" w:name="_heading=h.4k668n3" w:colFirst="0" w:colLast="0"/>
      <w:bookmarkEnd w:id="29"/>
      <w:r w:rsidRPr="00DD65D1">
        <w:t>d) Versión pública.</w:t>
      </w:r>
    </w:p>
    <w:p w14:paraId="54C644A8" w14:textId="77777777" w:rsidR="0035402D" w:rsidRPr="00DD65D1" w:rsidRDefault="002C441B" w:rsidP="00DD65D1">
      <w:r w:rsidRPr="00DD65D1">
        <w:t xml:space="preserve">Para el caso de que el o los documentos de los cuales se ordena su entrega contengan datos personales susceptibles de ser testados, deberán ser entregados en </w:t>
      </w:r>
      <w:r w:rsidRPr="00DD65D1">
        <w:rPr>
          <w:b/>
        </w:rPr>
        <w:t>versión pública</w:t>
      </w:r>
      <w:r w:rsidRPr="00DD65D1">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544CD3A" w14:textId="77777777" w:rsidR="0035402D" w:rsidRPr="00DD65D1" w:rsidRDefault="0035402D" w:rsidP="00DD65D1"/>
    <w:p w14:paraId="4B820F00" w14:textId="77777777" w:rsidR="0035402D" w:rsidRPr="00DD65D1" w:rsidRDefault="002C441B" w:rsidP="00DD65D1">
      <w:r w:rsidRPr="00DD65D1">
        <w:t>A este respecto, los artículos 3, fracciones IX, XX, XXI y XLV; 51 y 52 de la Ley de Transparencia y Acceso a la Información Pública del Estado de México y Municipios establecen:</w:t>
      </w:r>
    </w:p>
    <w:p w14:paraId="5786402D" w14:textId="77777777" w:rsidR="0035402D" w:rsidRPr="00DD65D1" w:rsidRDefault="0035402D" w:rsidP="00DD65D1"/>
    <w:p w14:paraId="5458DBA2" w14:textId="77777777" w:rsidR="0035402D" w:rsidRPr="00DD65D1" w:rsidRDefault="002C441B" w:rsidP="00DD65D1">
      <w:pPr>
        <w:pStyle w:val="Puesto"/>
        <w:spacing w:line="360" w:lineRule="auto"/>
        <w:ind w:firstLine="567"/>
      </w:pPr>
      <w:r w:rsidRPr="00DD65D1">
        <w:rPr>
          <w:b/>
        </w:rPr>
        <w:t xml:space="preserve">“Artículo 3. </w:t>
      </w:r>
      <w:r w:rsidRPr="00DD65D1">
        <w:t xml:space="preserve">Para los efectos de la presente Ley se entenderá por: </w:t>
      </w:r>
    </w:p>
    <w:p w14:paraId="6FEEB528" w14:textId="77777777" w:rsidR="0035402D" w:rsidRPr="00DD65D1" w:rsidRDefault="002C441B" w:rsidP="00DD65D1">
      <w:pPr>
        <w:pStyle w:val="Puesto"/>
        <w:spacing w:line="360" w:lineRule="auto"/>
        <w:ind w:firstLine="567"/>
      </w:pPr>
      <w:r w:rsidRPr="00DD65D1">
        <w:rPr>
          <w:b/>
        </w:rPr>
        <w:t>IX.</w:t>
      </w:r>
      <w:r w:rsidRPr="00DD65D1">
        <w:t xml:space="preserve"> </w:t>
      </w:r>
      <w:r w:rsidRPr="00DD65D1">
        <w:rPr>
          <w:b/>
        </w:rPr>
        <w:t xml:space="preserve">Datos personales: </w:t>
      </w:r>
      <w:r w:rsidRPr="00DD65D1">
        <w:t xml:space="preserve">La información concerniente a una persona, identificada o identificable según lo dispuesto por la Ley de Protección de Datos Personales del Estado de México; </w:t>
      </w:r>
    </w:p>
    <w:p w14:paraId="33A8C188" w14:textId="77777777" w:rsidR="0035402D" w:rsidRPr="00DD65D1" w:rsidRDefault="0035402D" w:rsidP="00DD65D1"/>
    <w:p w14:paraId="6C155DF0" w14:textId="77777777" w:rsidR="0035402D" w:rsidRPr="00DD65D1" w:rsidRDefault="002C441B" w:rsidP="00DD65D1">
      <w:pPr>
        <w:pStyle w:val="Puesto"/>
        <w:spacing w:line="360" w:lineRule="auto"/>
        <w:ind w:firstLine="567"/>
      </w:pPr>
      <w:r w:rsidRPr="00DD65D1">
        <w:rPr>
          <w:b/>
        </w:rPr>
        <w:t>XX.</w:t>
      </w:r>
      <w:r w:rsidRPr="00DD65D1">
        <w:t xml:space="preserve"> </w:t>
      </w:r>
      <w:r w:rsidRPr="00DD65D1">
        <w:rPr>
          <w:b/>
        </w:rPr>
        <w:t>Información clasificada:</w:t>
      </w:r>
      <w:r w:rsidRPr="00DD65D1">
        <w:t xml:space="preserve"> Aquella considerada por la presente Ley como reservada o confidencial; </w:t>
      </w:r>
    </w:p>
    <w:p w14:paraId="0AC1B0BC" w14:textId="77777777" w:rsidR="0035402D" w:rsidRPr="00DD65D1" w:rsidRDefault="0035402D" w:rsidP="00DD65D1"/>
    <w:p w14:paraId="43A5C92E" w14:textId="77777777" w:rsidR="0035402D" w:rsidRPr="00DD65D1" w:rsidRDefault="002C441B" w:rsidP="00DD65D1">
      <w:pPr>
        <w:pStyle w:val="Puesto"/>
        <w:spacing w:line="360" w:lineRule="auto"/>
        <w:ind w:firstLine="567"/>
      </w:pPr>
      <w:r w:rsidRPr="00DD65D1">
        <w:rPr>
          <w:b/>
        </w:rPr>
        <w:t>XXI.</w:t>
      </w:r>
      <w:r w:rsidRPr="00DD65D1">
        <w:t xml:space="preserve"> </w:t>
      </w:r>
      <w:r w:rsidRPr="00DD65D1">
        <w:rPr>
          <w:b/>
        </w:rPr>
        <w:t>Información confidencial</w:t>
      </w:r>
      <w:r w:rsidRPr="00DD65D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A23BBFB" w14:textId="77777777" w:rsidR="0035402D" w:rsidRPr="00DD65D1" w:rsidRDefault="0035402D" w:rsidP="00DD65D1"/>
    <w:p w14:paraId="57EF76F5" w14:textId="77777777" w:rsidR="0035402D" w:rsidRPr="00DD65D1" w:rsidRDefault="002C441B" w:rsidP="00DD65D1">
      <w:pPr>
        <w:pStyle w:val="Puesto"/>
        <w:spacing w:line="360" w:lineRule="auto"/>
        <w:ind w:firstLine="567"/>
      </w:pPr>
      <w:r w:rsidRPr="00DD65D1">
        <w:rPr>
          <w:b/>
        </w:rPr>
        <w:t>XLV. Versión pública:</w:t>
      </w:r>
      <w:r w:rsidRPr="00DD65D1">
        <w:t xml:space="preserve"> Documento en el que se elimine, suprime o borra la información clasificada como reservada o confidencial para permitir su acceso. </w:t>
      </w:r>
    </w:p>
    <w:p w14:paraId="18B368A0" w14:textId="77777777" w:rsidR="0035402D" w:rsidRPr="00DD65D1" w:rsidRDefault="0035402D" w:rsidP="00DD65D1"/>
    <w:p w14:paraId="35C190E0" w14:textId="77777777" w:rsidR="0035402D" w:rsidRPr="00DD65D1" w:rsidRDefault="002C441B" w:rsidP="00DD65D1">
      <w:pPr>
        <w:pStyle w:val="Puesto"/>
        <w:spacing w:line="360" w:lineRule="auto"/>
        <w:ind w:firstLine="567"/>
      </w:pPr>
      <w:r w:rsidRPr="00DD65D1">
        <w:rPr>
          <w:b/>
        </w:rPr>
        <w:t>Artículo 51.</w:t>
      </w:r>
      <w:r w:rsidRPr="00DD65D1">
        <w:t xml:space="preserve"> Los sujetos obligados designaran a un responsable para atender la Unidad de Transparencia, quien fungirá como enlace entre éstos y los solicitantes. Dicha Unidad será la encargada de tramitar internamente la solicitud de información </w:t>
      </w:r>
      <w:r w:rsidRPr="00DD65D1">
        <w:rPr>
          <w:b/>
        </w:rPr>
        <w:t xml:space="preserve">y tendrá la responsabilidad de verificar en cada caso que la misma no sea confidencial o reservada. </w:t>
      </w:r>
      <w:r w:rsidRPr="00DD65D1">
        <w:t xml:space="preserve">Dicha Unidad contará con las facultades internas necesarias para gestionar la </w:t>
      </w:r>
      <w:r w:rsidRPr="00DD65D1">
        <w:lastRenderedPageBreak/>
        <w:t>atención a las solicitudes de información en los términos de la Ley General y la presente Ley.</w:t>
      </w:r>
    </w:p>
    <w:p w14:paraId="5DDFB78B" w14:textId="77777777" w:rsidR="0035402D" w:rsidRPr="00DD65D1" w:rsidRDefault="0035402D" w:rsidP="00DD65D1"/>
    <w:p w14:paraId="6A9124FD" w14:textId="77777777" w:rsidR="0035402D" w:rsidRPr="00DD65D1" w:rsidRDefault="002C441B" w:rsidP="00DD65D1">
      <w:pPr>
        <w:pStyle w:val="Puesto"/>
        <w:spacing w:line="360" w:lineRule="auto"/>
        <w:ind w:firstLine="567"/>
      </w:pPr>
      <w:r w:rsidRPr="00DD65D1">
        <w:rPr>
          <w:b/>
        </w:rPr>
        <w:t>Artículo 52.</w:t>
      </w:r>
      <w:r w:rsidRPr="00DD65D1">
        <w:t xml:space="preserve"> Las solicitudes de acceso a la información y las respuestas que se les dé, incluyendo, en su caso, </w:t>
      </w:r>
      <w:r w:rsidRPr="00DD65D1">
        <w:rPr>
          <w:u w:val="single"/>
        </w:rPr>
        <w:t>la información entregada, así como las resoluciones a los recursos que en su caso se promuevan serán públicas, y de ser el caso que contenga datos personales que deban ser protegidos se podrá dar su acceso en su versión pública</w:t>
      </w:r>
      <w:r w:rsidRPr="00DD65D1">
        <w:t xml:space="preserve">, siempre y cuando la resolución de referencia se someta a un proceso de disociación, es decir, no haga identificable al titular de tales datos personales.” </w:t>
      </w:r>
      <w:r w:rsidRPr="00DD65D1">
        <w:rPr>
          <w:i w:val="0"/>
        </w:rPr>
        <w:t>(Énfasis añadido)</w:t>
      </w:r>
    </w:p>
    <w:p w14:paraId="5D44E16A" w14:textId="77777777" w:rsidR="0035402D" w:rsidRPr="00DD65D1" w:rsidRDefault="0035402D" w:rsidP="00DD65D1"/>
    <w:p w14:paraId="368881BD" w14:textId="77777777" w:rsidR="0035402D" w:rsidRPr="00DD65D1" w:rsidRDefault="002C441B" w:rsidP="00DD65D1">
      <w:r w:rsidRPr="00DD65D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DE60E85" w14:textId="77777777" w:rsidR="0035402D" w:rsidRPr="00DD65D1" w:rsidRDefault="0035402D" w:rsidP="00DD65D1"/>
    <w:p w14:paraId="6DC7DC81" w14:textId="77777777" w:rsidR="0035402D" w:rsidRPr="00DD65D1" w:rsidRDefault="002C441B" w:rsidP="00DD65D1">
      <w:pPr>
        <w:pStyle w:val="Puesto"/>
        <w:spacing w:line="360" w:lineRule="auto"/>
        <w:ind w:firstLine="567"/>
      </w:pPr>
      <w:r w:rsidRPr="00DD65D1">
        <w:rPr>
          <w:b/>
        </w:rPr>
        <w:t>“Artículo 22.</w:t>
      </w:r>
      <w:r w:rsidRPr="00DD65D1">
        <w:t xml:space="preserve"> Todo tratamiento de datos personales que efectúe el responsable deberá estar justificado por finalidades concretas, lícitas, explícitas y legítimas, relacionadas con las atribuciones que la normatividad aplicable les confiera. </w:t>
      </w:r>
    </w:p>
    <w:p w14:paraId="2763390D" w14:textId="77777777" w:rsidR="0035402D" w:rsidRPr="00DD65D1" w:rsidRDefault="0035402D" w:rsidP="00DD65D1"/>
    <w:p w14:paraId="249068B0" w14:textId="77777777" w:rsidR="0035402D" w:rsidRPr="00DD65D1" w:rsidRDefault="002C441B" w:rsidP="00DD65D1">
      <w:pPr>
        <w:pStyle w:val="Puesto"/>
        <w:spacing w:line="360" w:lineRule="auto"/>
        <w:ind w:firstLine="567"/>
      </w:pPr>
      <w:r w:rsidRPr="00DD65D1">
        <w:rPr>
          <w:b/>
        </w:rPr>
        <w:t>Artículo 38.</w:t>
      </w:r>
      <w:r w:rsidRPr="00DD65D1">
        <w:t xml:space="preserve"> Con independencia del tipo de sistema y base de datos en el que se encuentren los datos personales o el tipo de tratamiento que se efectúe, el responsable adoptará, establecerá, mantendrá y documentará las medidas de seguridad administrativas, </w:t>
      </w:r>
      <w:r w:rsidRPr="00DD65D1">
        <w:lastRenderedPageBreak/>
        <w:t>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D65D1">
        <w:rPr>
          <w:b/>
        </w:rPr>
        <w:t>”</w:t>
      </w:r>
      <w:r w:rsidRPr="00DD65D1">
        <w:t xml:space="preserve"> </w:t>
      </w:r>
    </w:p>
    <w:p w14:paraId="530CEDEB" w14:textId="77777777" w:rsidR="0035402D" w:rsidRPr="00DD65D1" w:rsidRDefault="0035402D" w:rsidP="00DD65D1">
      <w:pPr>
        <w:rPr>
          <w:i/>
        </w:rPr>
      </w:pPr>
    </w:p>
    <w:p w14:paraId="3210433D" w14:textId="77777777" w:rsidR="0035402D" w:rsidRPr="00DD65D1" w:rsidRDefault="002C441B" w:rsidP="00DD65D1">
      <w:r w:rsidRPr="00DD65D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4F04018" w14:textId="77777777" w:rsidR="0035402D" w:rsidRPr="00DD65D1" w:rsidRDefault="0035402D" w:rsidP="00DD65D1"/>
    <w:p w14:paraId="7FD7B6C0" w14:textId="77777777" w:rsidR="0035402D" w:rsidRPr="00DD65D1" w:rsidRDefault="002C441B" w:rsidP="00DD65D1">
      <w:r w:rsidRPr="00DD65D1">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D65D1">
        <w:rPr>
          <w:b/>
        </w:rPr>
        <w:t>EL SUJETO OBLIGADO,</w:t>
      </w:r>
      <w:r w:rsidRPr="00DD65D1">
        <w:t xml:space="preserve"> por lo que, todo dato personal susceptible de clasificación debe ser protegido.</w:t>
      </w:r>
    </w:p>
    <w:p w14:paraId="118AE262" w14:textId="77777777" w:rsidR="0035402D" w:rsidRPr="00DD65D1" w:rsidRDefault="0035402D" w:rsidP="00DD65D1"/>
    <w:p w14:paraId="181B7C2E" w14:textId="77777777" w:rsidR="0035402D" w:rsidRPr="00DD65D1" w:rsidRDefault="002C441B" w:rsidP="00DD65D1">
      <w:r w:rsidRPr="00DD65D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177BB7D" w14:textId="77777777" w:rsidR="0035402D" w:rsidRPr="00DD65D1" w:rsidRDefault="0035402D" w:rsidP="00DD65D1"/>
    <w:p w14:paraId="19608EE4" w14:textId="77777777" w:rsidR="0035402D" w:rsidRPr="00DD65D1" w:rsidRDefault="002C441B" w:rsidP="00DD65D1">
      <w:r w:rsidRPr="00DD65D1">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w:t>
      </w:r>
      <w:r w:rsidRPr="00DD65D1">
        <w:lastRenderedPageBreak/>
        <w:t>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8568AA2" w14:textId="77777777" w:rsidR="0035402D" w:rsidRPr="00DD65D1" w:rsidRDefault="0035402D" w:rsidP="00DD65D1"/>
    <w:p w14:paraId="1B113F79" w14:textId="77777777" w:rsidR="0035402D" w:rsidRPr="00DD65D1" w:rsidRDefault="002C441B" w:rsidP="00DD65D1">
      <w:pPr>
        <w:jc w:val="center"/>
        <w:rPr>
          <w:b/>
          <w:i/>
        </w:rPr>
      </w:pPr>
      <w:r w:rsidRPr="00DD65D1">
        <w:rPr>
          <w:b/>
          <w:i/>
        </w:rPr>
        <w:t>Ley de Transparencia y Acceso a la Información Pública del Estado de México y Municipios</w:t>
      </w:r>
    </w:p>
    <w:p w14:paraId="7FBCB788" w14:textId="77777777" w:rsidR="0035402D" w:rsidRPr="00DD65D1" w:rsidRDefault="0035402D" w:rsidP="00DD65D1"/>
    <w:p w14:paraId="05D9CD8D" w14:textId="77777777" w:rsidR="0035402D" w:rsidRPr="00DD65D1" w:rsidRDefault="002C441B" w:rsidP="00DD65D1">
      <w:pPr>
        <w:pStyle w:val="Puesto"/>
        <w:spacing w:line="360" w:lineRule="auto"/>
        <w:ind w:firstLine="567"/>
      </w:pPr>
      <w:r w:rsidRPr="00DD65D1">
        <w:rPr>
          <w:b/>
        </w:rPr>
        <w:t xml:space="preserve">“Artículo 49. </w:t>
      </w:r>
      <w:r w:rsidRPr="00DD65D1">
        <w:t>Los Comités de Transparencia tendrán las siguientes atribuciones:</w:t>
      </w:r>
    </w:p>
    <w:p w14:paraId="0FAF587E" w14:textId="77777777" w:rsidR="0035402D" w:rsidRPr="00DD65D1" w:rsidRDefault="002C441B" w:rsidP="00DD65D1">
      <w:pPr>
        <w:pStyle w:val="Puesto"/>
        <w:spacing w:line="360" w:lineRule="auto"/>
        <w:ind w:firstLine="567"/>
      </w:pPr>
      <w:r w:rsidRPr="00DD65D1">
        <w:rPr>
          <w:b/>
        </w:rPr>
        <w:t>VIII.</w:t>
      </w:r>
      <w:r w:rsidRPr="00DD65D1">
        <w:t xml:space="preserve"> Aprobar, modificar o revocar la clasificación de la información;</w:t>
      </w:r>
    </w:p>
    <w:p w14:paraId="54E28B13" w14:textId="77777777" w:rsidR="0035402D" w:rsidRPr="00DD65D1" w:rsidRDefault="0035402D" w:rsidP="00DD65D1"/>
    <w:p w14:paraId="11FE45AD" w14:textId="77777777" w:rsidR="0035402D" w:rsidRPr="00DD65D1" w:rsidRDefault="002C441B" w:rsidP="00DD65D1">
      <w:pPr>
        <w:pStyle w:val="Puesto"/>
        <w:spacing w:line="360" w:lineRule="auto"/>
        <w:ind w:firstLine="567"/>
      </w:pPr>
      <w:r w:rsidRPr="00DD65D1">
        <w:rPr>
          <w:b/>
        </w:rPr>
        <w:t>Artículo 132.</w:t>
      </w:r>
      <w:r w:rsidRPr="00DD65D1">
        <w:t xml:space="preserve"> La clasificación de la información se llevará a cabo en el momento en que:</w:t>
      </w:r>
    </w:p>
    <w:p w14:paraId="62C3B54B" w14:textId="77777777" w:rsidR="0035402D" w:rsidRPr="00DD65D1" w:rsidRDefault="002C441B" w:rsidP="00DD65D1">
      <w:pPr>
        <w:pStyle w:val="Puesto"/>
        <w:spacing w:line="360" w:lineRule="auto"/>
        <w:ind w:firstLine="567"/>
      </w:pPr>
      <w:r w:rsidRPr="00DD65D1">
        <w:rPr>
          <w:b/>
        </w:rPr>
        <w:t>I.</w:t>
      </w:r>
      <w:r w:rsidRPr="00DD65D1">
        <w:t xml:space="preserve"> Se reciba una solicitud de acceso a la información;</w:t>
      </w:r>
    </w:p>
    <w:p w14:paraId="090EE7F9" w14:textId="77777777" w:rsidR="0035402D" w:rsidRPr="00DD65D1" w:rsidRDefault="002C441B" w:rsidP="00DD65D1">
      <w:pPr>
        <w:pStyle w:val="Puesto"/>
        <w:spacing w:line="360" w:lineRule="auto"/>
        <w:ind w:firstLine="567"/>
      </w:pPr>
      <w:r w:rsidRPr="00DD65D1">
        <w:rPr>
          <w:b/>
        </w:rPr>
        <w:t>II.</w:t>
      </w:r>
      <w:r w:rsidRPr="00DD65D1">
        <w:t xml:space="preserve"> Se determine mediante resolución de autoridad competente; o</w:t>
      </w:r>
    </w:p>
    <w:p w14:paraId="1BE5FA40" w14:textId="77777777" w:rsidR="0035402D" w:rsidRPr="00DD65D1" w:rsidRDefault="002C441B" w:rsidP="00DD65D1">
      <w:pPr>
        <w:pStyle w:val="Puesto"/>
        <w:spacing w:line="360" w:lineRule="auto"/>
        <w:ind w:firstLine="567"/>
        <w:rPr>
          <w:b/>
        </w:rPr>
      </w:pPr>
      <w:r w:rsidRPr="00DD65D1">
        <w:rPr>
          <w:b/>
        </w:rPr>
        <w:t>III.</w:t>
      </w:r>
      <w:r w:rsidRPr="00DD65D1">
        <w:t xml:space="preserve"> Se generen versiones públicas para dar cumplimiento a las obligaciones de transparencia previstas en esta Ley.</w:t>
      </w:r>
      <w:r w:rsidRPr="00DD65D1">
        <w:rPr>
          <w:b/>
        </w:rPr>
        <w:t>”</w:t>
      </w:r>
    </w:p>
    <w:p w14:paraId="60BE24F7" w14:textId="77777777" w:rsidR="0035402D" w:rsidRPr="00DD65D1" w:rsidRDefault="0035402D" w:rsidP="00DD65D1"/>
    <w:p w14:paraId="799D0F03" w14:textId="77777777" w:rsidR="0035402D" w:rsidRPr="00DD65D1" w:rsidRDefault="002C441B" w:rsidP="00DD65D1">
      <w:pPr>
        <w:pStyle w:val="Puesto"/>
        <w:spacing w:line="360" w:lineRule="auto"/>
        <w:ind w:firstLine="567"/>
      </w:pPr>
      <w:r w:rsidRPr="00DD65D1">
        <w:rPr>
          <w:b/>
        </w:rPr>
        <w:t>“Segundo. -</w:t>
      </w:r>
      <w:r w:rsidRPr="00DD65D1">
        <w:t xml:space="preserve"> Para efectos de los presentes Lineamientos Generales, se entenderá por:</w:t>
      </w:r>
    </w:p>
    <w:p w14:paraId="1955ECE3" w14:textId="77777777" w:rsidR="0035402D" w:rsidRPr="00DD65D1" w:rsidRDefault="002C441B" w:rsidP="00DD65D1">
      <w:pPr>
        <w:pStyle w:val="Puesto"/>
        <w:spacing w:line="360" w:lineRule="auto"/>
        <w:ind w:firstLine="567"/>
      </w:pPr>
      <w:r w:rsidRPr="00DD65D1">
        <w:rPr>
          <w:b/>
        </w:rPr>
        <w:t>XVIII.</w:t>
      </w:r>
      <w:r w:rsidRPr="00DD65D1">
        <w:t xml:space="preserve">  </w:t>
      </w:r>
      <w:r w:rsidRPr="00DD65D1">
        <w:rPr>
          <w:b/>
        </w:rPr>
        <w:t>Versión pública:</w:t>
      </w:r>
      <w:r w:rsidRPr="00DD65D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06D919E" w14:textId="77777777" w:rsidR="0035402D" w:rsidRPr="00DD65D1" w:rsidRDefault="0035402D" w:rsidP="00DD65D1">
      <w:pPr>
        <w:pStyle w:val="Puesto"/>
        <w:spacing w:line="360" w:lineRule="auto"/>
        <w:ind w:firstLine="567"/>
      </w:pPr>
    </w:p>
    <w:p w14:paraId="56780302" w14:textId="77777777" w:rsidR="0035402D" w:rsidRPr="00DD65D1" w:rsidRDefault="002C441B" w:rsidP="00DD65D1">
      <w:pPr>
        <w:pStyle w:val="Puesto"/>
        <w:spacing w:line="360" w:lineRule="auto"/>
        <w:ind w:firstLine="567"/>
        <w:rPr>
          <w:b/>
        </w:rPr>
      </w:pPr>
      <w:r w:rsidRPr="00DD65D1">
        <w:rPr>
          <w:b/>
        </w:rPr>
        <w:t>Lineamientos Generales en materia de Clasificación y Desclasificación de la Información</w:t>
      </w:r>
    </w:p>
    <w:p w14:paraId="55184ECC" w14:textId="77777777" w:rsidR="0035402D" w:rsidRPr="00DD65D1" w:rsidRDefault="0035402D" w:rsidP="00DD65D1">
      <w:pPr>
        <w:pStyle w:val="Puesto"/>
        <w:spacing w:line="360" w:lineRule="auto"/>
        <w:ind w:firstLine="567"/>
      </w:pPr>
    </w:p>
    <w:p w14:paraId="2093D79B" w14:textId="77777777" w:rsidR="0035402D" w:rsidRPr="00DD65D1" w:rsidRDefault="002C441B" w:rsidP="00DD65D1">
      <w:pPr>
        <w:pStyle w:val="Puesto"/>
        <w:spacing w:line="360" w:lineRule="auto"/>
        <w:ind w:firstLine="567"/>
      </w:pPr>
      <w:r w:rsidRPr="00DD65D1">
        <w:rPr>
          <w:b/>
        </w:rPr>
        <w:t>Cuarto.</w:t>
      </w:r>
      <w:r w:rsidRPr="00DD65D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2C31392" w14:textId="77777777" w:rsidR="0035402D" w:rsidRPr="00DD65D1" w:rsidRDefault="002C441B" w:rsidP="00DD65D1">
      <w:pPr>
        <w:pStyle w:val="Puesto"/>
        <w:spacing w:line="360" w:lineRule="auto"/>
        <w:ind w:firstLine="567"/>
      </w:pPr>
      <w:r w:rsidRPr="00DD65D1">
        <w:t>Los sujetos obligados deberán aplicar, de manera estricta, las excepciones al derecho de acceso a la información y sólo podrán invocarlas cuando acrediten su procedencia.</w:t>
      </w:r>
    </w:p>
    <w:p w14:paraId="70D2C611" w14:textId="77777777" w:rsidR="0035402D" w:rsidRPr="00DD65D1" w:rsidRDefault="0035402D" w:rsidP="00DD65D1"/>
    <w:p w14:paraId="610567F2" w14:textId="77777777" w:rsidR="0035402D" w:rsidRPr="00DD65D1" w:rsidRDefault="002C441B" w:rsidP="00DD65D1">
      <w:pPr>
        <w:pStyle w:val="Puesto"/>
        <w:spacing w:line="360" w:lineRule="auto"/>
        <w:ind w:firstLine="567"/>
      </w:pPr>
      <w:r w:rsidRPr="00DD65D1">
        <w:rPr>
          <w:b/>
        </w:rPr>
        <w:t>Quinto.</w:t>
      </w:r>
      <w:r w:rsidRPr="00DD65D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7718CCD" w14:textId="77777777" w:rsidR="0035402D" w:rsidRPr="00DD65D1" w:rsidRDefault="0035402D" w:rsidP="00DD65D1"/>
    <w:p w14:paraId="4A335ECD" w14:textId="77777777" w:rsidR="0035402D" w:rsidRPr="00DD65D1" w:rsidRDefault="002C441B" w:rsidP="00DD65D1">
      <w:pPr>
        <w:pStyle w:val="Puesto"/>
        <w:spacing w:line="360" w:lineRule="auto"/>
        <w:ind w:firstLine="567"/>
      </w:pPr>
      <w:r w:rsidRPr="00DD65D1">
        <w:rPr>
          <w:b/>
        </w:rPr>
        <w:t>Sexto.</w:t>
      </w:r>
      <w:r w:rsidRPr="00DD65D1">
        <w:t xml:space="preserve"> Se deroga.</w:t>
      </w:r>
    </w:p>
    <w:p w14:paraId="2FC8BF82" w14:textId="77777777" w:rsidR="0035402D" w:rsidRPr="00DD65D1" w:rsidRDefault="0035402D" w:rsidP="00DD65D1"/>
    <w:p w14:paraId="43679A52" w14:textId="77777777" w:rsidR="0035402D" w:rsidRPr="00DD65D1" w:rsidRDefault="002C441B" w:rsidP="00DD65D1">
      <w:pPr>
        <w:pStyle w:val="Puesto"/>
        <w:spacing w:line="360" w:lineRule="auto"/>
        <w:ind w:firstLine="567"/>
      </w:pPr>
      <w:r w:rsidRPr="00DD65D1">
        <w:rPr>
          <w:b/>
        </w:rPr>
        <w:t>Séptimo.</w:t>
      </w:r>
      <w:r w:rsidRPr="00DD65D1">
        <w:t xml:space="preserve"> La clasificación de la información se llevará a cabo en el momento en que:</w:t>
      </w:r>
    </w:p>
    <w:p w14:paraId="78980930" w14:textId="77777777" w:rsidR="0035402D" w:rsidRPr="00DD65D1" w:rsidRDefault="002C441B" w:rsidP="00DD65D1">
      <w:pPr>
        <w:pStyle w:val="Puesto"/>
        <w:spacing w:line="360" w:lineRule="auto"/>
        <w:ind w:firstLine="567"/>
      </w:pPr>
      <w:r w:rsidRPr="00DD65D1">
        <w:rPr>
          <w:b/>
        </w:rPr>
        <w:t>I.</w:t>
      </w:r>
      <w:r w:rsidRPr="00DD65D1">
        <w:t xml:space="preserve">        Se reciba una solicitud de acceso a la información;</w:t>
      </w:r>
    </w:p>
    <w:p w14:paraId="7BA568A0" w14:textId="77777777" w:rsidR="0035402D" w:rsidRPr="00DD65D1" w:rsidRDefault="002C441B" w:rsidP="00DD65D1">
      <w:pPr>
        <w:pStyle w:val="Puesto"/>
        <w:spacing w:line="360" w:lineRule="auto"/>
        <w:ind w:firstLine="567"/>
      </w:pPr>
      <w:r w:rsidRPr="00DD65D1">
        <w:rPr>
          <w:b/>
        </w:rPr>
        <w:t>II.</w:t>
      </w:r>
      <w:r w:rsidRPr="00DD65D1">
        <w:t xml:space="preserve">       Se determine mediante resolución del Comité de Transparencia, el órgano garante competente, o en cumplimiento a una sentencia del Poder Judicial; o</w:t>
      </w:r>
    </w:p>
    <w:p w14:paraId="13ABBB70" w14:textId="77777777" w:rsidR="0035402D" w:rsidRPr="00DD65D1" w:rsidRDefault="002C441B" w:rsidP="00DD65D1">
      <w:pPr>
        <w:pStyle w:val="Puesto"/>
        <w:spacing w:line="360" w:lineRule="auto"/>
        <w:ind w:firstLine="567"/>
      </w:pPr>
      <w:r w:rsidRPr="00DD65D1">
        <w:rPr>
          <w:b/>
        </w:rPr>
        <w:lastRenderedPageBreak/>
        <w:t>III.</w:t>
      </w:r>
      <w:r w:rsidRPr="00DD65D1">
        <w:t xml:space="preserve">      Se generen versiones públicas para dar cumplimiento a las obligaciones de transparencia previstas en la Ley General, la Ley Federal y las correspondientes de las entidades federativas.</w:t>
      </w:r>
    </w:p>
    <w:p w14:paraId="3E426E29" w14:textId="77777777" w:rsidR="0035402D" w:rsidRPr="00DD65D1" w:rsidRDefault="002C441B" w:rsidP="00DD65D1">
      <w:pPr>
        <w:pStyle w:val="Puesto"/>
        <w:spacing w:line="360" w:lineRule="auto"/>
        <w:ind w:firstLine="567"/>
      </w:pPr>
      <w:r w:rsidRPr="00DD65D1">
        <w:t xml:space="preserve">Los titulares de las áreas deberán revisar la información requerida al momento de la recepción de una solicitud de acceso, para verificar, conforme a su naturaleza, si encuadra en una causal de reserva o de confidencialidad. </w:t>
      </w:r>
    </w:p>
    <w:p w14:paraId="1588F6C2" w14:textId="77777777" w:rsidR="0035402D" w:rsidRPr="00DD65D1" w:rsidRDefault="0035402D" w:rsidP="00DD65D1"/>
    <w:p w14:paraId="426F3E7A" w14:textId="77777777" w:rsidR="0035402D" w:rsidRPr="00DD65D1" w:rsidRDefault="002C441B" w:rsidP="00DD65D1">
      <w:pPr>
        <w:pStyle w:val="Puesto"/>
        <w:spacing w:line="360" w:lineRule="auto"/>
        <w:ind w:firstLine="567"/>
      </w:pPr>
      <w:r w:rsidRPr="00DD65D1">
        <w:rPr>
          <w:b/>
        </w:rPr>
        <w:t>Octavo.</w:t>
      </w:r>
      <w:r w:rsidRPr="00DD65D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0BCAB88" w14:textId="77777777" w:rsidR="0035402D" w:rsidRPr="00DD65D1" w:rsidRDefault="002C441B" w:rsidP="00DD65D1">
      <w:pPr>
        <w:pStyle w:val="Puesto"/>
        <w:spacing w:line="360" w:lineRule="auto"/>
        <w:ind w:firstLine="567"/>
      </w:pPr>
      <w:r w:rsidRPr="00DD65D1">
        <w:t>Para motivar la clasificación se deberán señalar las razones o circunstancias especiales que lo llevaron a concluir que el caso particular se ajusta al supuesto previsto por la norma legal invocada como fundamento.</w:t>
      </w:r>
    </w:p>
    <w:p w14:paraId="210D58C0" w14:textId="77777777" w:rsidR="0035402D" w:rsidRPr="00DD65D1" w:rsidRDefault="002C441B" w:rsidP="00DD65D1">
      <w:pPr>
        <w:pStyle w:val="Puesto"/>
        <w:spacing w:line="360" w:lineRule="auto"/>
        <w:ind w:firstLine="567"/>
      </w:pPr>
      <w:r w:rsidRPr="00DD65D1">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8127726" w14:textId="77777777" w:rsidR="0035402D" w:rsidRPr="00DD65D1" w:rsidRDefault="0035402D" w:rsidP="00DD65D1"/>
    <w:p w14:paraId="1771A587" w14:textId="77777777" w:rsidR="0035402D" w:rsidRPr="00DD65D1" w:rsidRDefault="002C441B" w:rsidP="00DD65D1">
      <w:pPr>
        <w:pStyle w:val="Puesto"/>
        <w:spacing w:line="360" w:lineRule="auto"/>
        <w:ind w:firstLine="567"/>
      </w:pPr>
      <w:r w:rsidRPr="00DD65D1">
        <w:rPr>
          <w:b/>
        </w:rPr>
        <w:t>Noveno.</w:t>
      </w:r>
      <w:r w:rsidRPr="00DD65D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DE7F2C6" w14:textId="77777777" w:rsidR="0035402D" w:rsidRPr="00DD65D1" w:rsidRDefault="0035402D" w:rsidP="00DD65D1"/>
    <w:p w14:paraId="465981C0" w14:textId="77777777" w:rsidR="0035402D" w:rsidRPr="00DD65D1" w:rsidRDefault="002C441B" w:rsidP="00DD65D1">
      <w:pPr>
        <w:pStyle w:val="Puesto"/>
        <w:spacing w:line="360" w:lineRule="auto"/>
        <w:ind w:firstLine="567"/>
      </w:pPr>
      <w:r w:rsidRPr="00DD65D1">
        <w:rPr>
          <w:b/>
        </w:rPr>
        <w:t>Décimo.</w:t>
      </w:r>
      <w:r w:rsidRPr="00DD65D1">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DD65D1">
        <w:lastRenderedPageBreak/>
        <w:t>conocimientos técnicos y legales que le permitan manejar adecuadamente la información clasificada, en los términos de la Ley General de Archivo, Lineamientos para la Organización y Conservación de Archivos y demás normatividad aplicable.</w:t>
      </w:r>
    </w:p>
    <w:p w14:paraId="72D38B46" w14:textId="77777777" w:rsidR="0035402D" w:rsidRPr="00DD65D1" w:rsidRDefault="002C441B" w:rsidP="00DD65D1">
      <w:pPr>
        <w:pStyle w:val="Puesto"/>
        <w:spacing w:line="360" w:lineRule="auto"/>
        <w:ind w:firstLine="567"/>
      </w:pPr>
      <w:r w:rsidRPr="00DD65D1">
        <w:t>En ausencia de los titulares de las áreas, la información será clasificada o desclasificada por la persona que lo supla, en términos de la normativa que rija la actuación del sujeto obligado.</w:t>
      </w:r>
    </w:p>
    <w:p w14:paraId="3892E52E" w14:textId="77777777" w:rsidR="0035402D" w:rsidRPr="00DD65D1" w:rsidRDefault="002C441B" w:rsidP="00DD65D1">
      <w:pPr>
        <w:pStyle w:val="Puesto"/>
        <w:spacing w:line="360" w:lineRule="auto"/>
        <w:ind w:firstLine="567"/>
        <w:rPr>
          <w:b/>
        </w:rPr>
      </w:pPr>
      <w:r w:rsidRPr="00DD65D1">
        <w:rPr>
          <w:b/>
        </w:rPr>
        <w:t>Décimo primero.</w:t>
      </w:r>
      <w:r w:rsidRPr="00DD65D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D65D1">
        <w:rPr>
          <w:b/>
        </w:rPr>
        <w:t>”</w:t>
      </w:r>
    </w:p>
    <w:p w14:paraId="766EED26" w14:textId="77777777" w:rsidR="0035402D" w:rsidRPr="00DD65D1" w:rsidRDefault="0035402D" w:rsidP="00DD65D1"/>
    <w:p w14:paraId="188CCA09" w14:textId="77777777" w:rsidR="0035402D" w:rsidRPr="00DD65D1" w:rsidRDefault="002C441B" w:rsidP="00DD65D1">
      <w:r w:rsidRPr="00DD65D1">
        <w:t xml:space="preserve">Consecuentemente, se destaca que la versión pública que elabore </w:t>
      </w:r>
      <w:r w:rsidRPr="00DD65D1">
        <w:rPr>
          <w:b/>
        </w:rPr>
        <w:t>EL SUJETO OBLIGADO</w:t>
      </w:r>
      <w:r w:rsidRPr="00DD65D1">
        <w:t xml:space="preserve"> debe cumplir con las formalidades exigidas en la Ley, por lo que para tal efecto emitirá el </w:t>
      </w:r>
      <w:r w:rsidRPr="00DD65D1">
        <w:rPr>
          <w:b/>
        </w:rPr>
        <w:t>Acuerdo del Comité de Transparencia</w:t>
      </w:r>
      <w:r w:rsidRPr="00DD65D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C2F7F3A" w14:textId="77777777" w:rsidR="0035402D" w:rsidRPr="00DD65D1" w:rsidRDefault="0035402D" w:rsidP="00DD65D1">
      <w:pPr>
        <w:pBdr>
          <w:top w:val="nil"/>
          <w:left w:val="nil"/>
          <w:bottom w:val="nil"/>
          <w:right w:val="nil"/>
          <w:between w:val="nil"/>
        </w:pBdr>
        <w:ind w:right="-28"/>
      </w:pPr>
    </w:p>
    <w:p w14:paraId="7530CA9B" w14:textId="77777777" w:rsidR="0035402D" w:rsidRPr="00DD65D1" w:rsidRDefault="002C441B" w:rsidP="00DD65D1">
      <w:pPr>
        <w:pStyle w:val="Ttulo3"/>
        <w:spacing w:line="360" w:lineRule="auto"/>
      </w:pPr>
      <w:bookmarkStart w:id="30" w:name="_heading=h.2zbgiuw" w:colFirst="0" w:colLast="0"/>
      <w:bookmarkEnd w:id="30"/>
      <w:r w:rsidRPr="00DD65D1">
        <w:t>e) Conclusión.</w:t>
      </w:r>
    </w:p>
    <w:p w14:paraId="6BD983EF" w14:textId="77777777" w:rsidR="0035402D" w:rsidRPr="00DD65D1" w:rsidRDefault="002C441B" w:rsidP="00DD65D1">
      <w:pPr>
        <w:widowControl w:val="0"/>
        <w:tabs>
          <w:tab w:val="left" w:pos="1701"/>
          <w:tab w:val="left" w:pos="1843"/>
        </w:tabs>
      </w:pPr>
      <w:r w:rsidRPr="00DD65D1">
        <w:t xml:space="preserve">En razón de lo anteriormente expuesto, este Instituto estima que las razones o motivos de </w:t>
      </w:r>
      <w:r w:rsidRPr="00DD65D1">
        <w:lastRenderedPageBreak/>
        <w:t xml:space="preserve">inconformidad hechos valer por </w:t>
      </w:r>
      <w:r w:rsidRPr="00DD65D1">
        <w:rPr>
          <w:b/>
        </w:rPr>
        <w:t>EL RECURRENTE</w:t>
      </w:r>
      <w:r w:rsidRPr="00DD65D1">
        <w:t xml:space="preserve"> devienen </w:t>
      </w:r>
      <w:r w:rsidRPr="00DD65D1">
        <w:rPr>
          <w:b/>
        </w:rPr>
        <w:t>parcialmente fundadas</w:t>
      </w:r>
      <w:r w:rsidRPr="00DD65D1">
        <w:t xml:space="preserve">; motivo por el cual, este Órgano Garante determina </w:t>
      </w:r>
      <w:r w:rsidRPr="00DD65D1">
        <w:rPr>
          <w:b/>
        </w:rPr>
        <w:t xml:space="preserve">MODIFICAR </w:t>
      </w:r>
      <w:r w:rsidRPr="00DD65D1">
        <w:t xml:space="preserve">la respuesta otorgada por </w:t>
      </w:r>
      <w:r w:rsidRPr="00DD65D1">
        <w:rPr>
          <w:b/>
        </w:rPr>
        <w:t xml:space="preserve">EL SUJETO OBLIGADO, </w:t>
      </w:r>
      <w:r w:rsidRPr="00DD65D1">
        <w:t>en términos del artículo 186, fracción II de la Ley de Transparencia y Acceso a la Información Pública del Estado de México y Municipios por las razones expuestas en el presente considerando.</w:t>
      </w:r>
    </w:p>
    <w:p w14:paraId="12A749C2" w14:textId="77777777" w:rsidR="0035402D" w:rsidRPr="00DD65D1" w:rsidRDefault="0035402D" w:rsidP="00DD65D1">
      <w:pPr>
        <w:widowControl w:val="0"/>
        <w:tabs>
          <w:tab w:val="left" w:pos="1701"/>
          <w:tab w:val="left" w:pos="1843"/>
        </w:tabs>
      </w:pPr>
    </w:p>
    <w:p w14:paraId="36C55A8A" w14:textId="77777777" w:rsidR="0035402D" w:rsidRPr="00DD65D1" w:rsidRDefault="002C441B" w:rsidP="00DD65D1">
      <w:pPr>
        <w:ind w:right="-93"/>
      </w:pPr>
      <w:r w:rsidRPr="00DD65D1">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C2F296A" w14:textId="77777777" w:rsidR="0035402D" w:rsidRPr="00DD65D1" w:rsidRDefault="0035402D" w:rsidP="00DD65D1"/>
    <w:p w14:paraId="485493B6" w14:textId="77777777" w:rsidR="0035402D" w:rsidRPr="00DD65D1" w:rsidRDefault="002C441B" w:rsidP="00DD65D1">
      <w:pPr>
        <w:pStyle w:val="Ttulo1"/>
      </w:pPr>
      <w:bookmarkStart w:id="31" w:name="_heading=h.1egqt2p" w:colFirst="0" w:colLast="0"/>
      <w:bookmarkEnd w:id="31"/>
      <w:r w:rsidRPr="00DD65D1">
        <w:t>RESUELVE</w:t>
      </w:r>
    </w:p>
    <w:p w14:paraId="6FB37C8A" w14:textId="77777777" w:rsidR="0035402D" w:rsidRPr="00DD65D1" w:rsidRDefault="0035402D" w:rsidP="00DD65D1">
      <w:pPr>
        <w:ind w:right="113"/>
        <w:rPr>
          <w:b/>
        </w:rPr>
      </w:pPr>
    </w:p>
    <w:p w14:paraId="53BDA8A7" w14:textId="77777777" w:rsidR="0035402D" w:rsidRPr="00DD65D1" w:rsidRDefault="002C441B" w:rsidP="00DD65D1">
      <w:pPr>
        <w:widowControl w:val="0"/>
      </w:pPr>
      <w:r w:rsidRPr="00DD65D1">
        <w:rPr>
          <w:b/>
        </w:rPr>
        <w:t>PRIMERO.</w:t>
      </w:r>
      <w:r w:rsidRPr="00DD65D1">
        <w:t xml:space="preserve"> Se </w:t>
      </w:r>
      <w:r w:rsidRPr="00DD65D1">
        <w:rPr>
          <w:b/>
        </w:rPr>
        <w:t>MODIFICA</w:t>
      </w:r>
      <w:r w:rsidRPr="00DD65D1">
        <w:t xml:space="preserve"> la respuesta entregada por el </w:t>
      </w:r>
      <w:r w:rsidRPr="00DD65D1">
        <w:rPr>
          <w:b/>
        </w:rPr>
        <w:t>SUJETO OBLIGADO</w:t>
      </w:r>
      <w:r w:rsidRPr="00DD65D1">
        <w:t xml:space="preserve"> en la solicitud de información </w:t>
      </w:r>
      <w:r w:rsidRPr="00DD65D1">
        <w:rPr>
          <w:b/>
        </w:rPr>
        <w:t>00203/LERMA/IP/2024</w:t>
      </w:r>
      <w:r w:rsidRPr="00DD65D1">
        <w:t xml:space="preserve">, por resultar </w:t>
      </w:r>
      <w:r w:rsidRPr="00DD65D1">
        <w:rPr>
          <w:b/>
        </w:rPr>
        <w:t>PARCIALMENTE FUNDADAS</w:t>
      </w:r>
      <w:r w:rsidRPr="00DD65D1">
        <w:t xml:space="preserve"> las razones o motivos de inconformidad hechos valer por </w:t>
      </w:r>
      <w:r w:rsidRPr="00DD65D1">
        <w:rPr>
          <w:b/>
        </w:rPr>
        <w:t>LA PARTE RECURRENTE</w:t>
      </w:r>
      <w:r w:rsidRPr="00DD65D1">
        <w:t xml:space="preserve"> en el Recurso de Revisión </w:t>
      </w:r>
      <w:r w:rsidRPr="00DD65D1">
        <w:rPr>
          <w:b/>
        </w:rPr>
        <w:t xml:space="preserve">07627/INFOEM/IP/RR/2024 </w:t>
      </w:r>
      <w:r w:rsidRPr="00DD65D1">
        <w:t xml:space="preserve">en términos del considerando </w:t>
      </w:r>
      <w:r w:rsidRPr="00DD65D1">
        <w:rPr>
          <w:b/>
        </w:rPr>
        <w:t>SEGUNDO</w:t>
      </w:r>
      <w:r w:rsidRPr="00DD65D1">
        <w:t xml:space="preserve"> de la presente Resolución.</w:t>
      </w:r>
    </w:p>
    <w:p w14:paraId="2DFBE583" w14:textId="77777777" w:rsidR="0035402D" w:rsidRPr="00DD65D1" w:rsidRDefault="0035402D" w:rsidP="00DD65D1">
      <w:pPr>
        <w:widowControl w:val="0"/>
      </w:pPr>
    </w:p>
    <w:p w14:paraId="33A09A13" w14:textId="77777777" w:rsidR="0035402D" w:rsidRPr="00DD65D1" w:rsidRDefault="002C441B" w:rsidP="00DD65D1">
      <w:pPr>
        <w:ind w:right="-93"/>
      </w:pPr>
      <w:r w:rsidRPr="00DD65D1">
        <w:rPr>
          <w:b/>
        </w:rPr>
        <w:t>SEGUNDO.</w:t>
      </w:r>
      <w:r w:rsidRPr="00DD65D1">
        <w:t xml:space="preserve"> Se </w:t>
      </w:r>
      <w:r w:rsidRPr="00DD65D1">
        <w:rPr>
          <w:b/>
        </w:rPr>
        <w:t xml:space="preserve">ORDENA </w:t>
      </w:r>
      <w:r w:rsidRPr="00DD65D1">
        <w:t xml:space="preserve">al </w:t>
      </w:r>
      <w:r w:rsidRPr="00DD65D1">
        <w:rPr>
          <w:b/>
        </w:rPr>
        <w:t>SUJETO OBLIGADO</w:t>
      </w:r>
      <w:r w:rsidRPr="00DD65D1">
        <w:t xml:space="preserve">, a efecto de que, entregue a través del </w:t>
      </w:r>
      <w:r w:rsidRPr="00DD65D1">
        <w:rPr>
          <w:b/>
        </w:rPr>
        <w:t>SAIMEX</w:t>
      </w:r>
      <w:r w:rsidRPr="00DD65D1">
        <w:t xml:space="preserve">, de ser procedente en </w:t>
      </w:r>
      <w:r w:rsidRPr="00DD65D1">
        <w:rPr>
          <w:b/>
        </w:rPr>
        <w:t xml:space="preserve">versión pública, </w:t>
      </w:r>
      <w:r w:rsidRPr="00DD65D1">
        <w:t>del 1 de enero de 2023 al 19 de noviembre de 2024,</w:t>
      </w:r>
      <w:r w:rsidRPr="00DD65D1">
        <w:rPr>
          <w:b/>
        </w:rPr>
        <w:t xml:space="preserve"> </w:t>
      </w:r>
      <w:r w:rsidRPr="00DD65D1">
        <w:t>los documentos donde conste lo siguiente:</w:t>
      </w:r>
    </w:p>
    <w:p w14:paraId="33438952" w14:textId="77777777" w:rsidR="0035402D" w:rsidRPr="00DD65D1" w:rsidRDefault="0035402D" w:rsidP="00DD65D1">
      <w:pPr>
        <w:pStyle w:val="Puesto"/>
        <w:ind w:left="851" w:right="822"/>
        <w:rPr>
          <w:b/>
        </w:rPr>
      </w:pPr>
    </w:p>
    <w:p w14:paraId="40F7CE07" w14:textId="47E83EE3" w:rsidR="0035402D" w:rsidRPr="00DD65D1" w:rsidRDefault="00AE32D8" w:rsidP="00DD65D1">
      <w:pPr>
        <w:numPr>
          <w:ilvl w:val="0"/>
          <w:numId w:val="4"/>
        </w:numPr>
        <w:pBdr>
          <w:top w:val="nil"/>
          <w:left w:val="nil"/>
          <w:bottom w:val="nil"/>
          <w:right w:val="nil"/>
          <w:between w:val="nil"/>
        </w:pBdr>
        <w:tabs>
          <w:tab w:val="left" w:pos="4667"/>
        </w:tabs>
        <w:spacing w:line="240" w:lineRule="auto"/>
        <w:ind w:left="851" w:right="822"/>
        <w:rPr>
          <w:rFonts w:eastAsia="Palatino Linotype" w:cs="Palatino Linotype"/>
          <w:b/>
          <w:i/>
          <w:szCs w:val="22"/>
        </w:rPr>
      </w:pPr>
      <w:r w:rsidRPr="00DD65D1">
        <w:rPr>
          <w:rFonts w:eastAsia="Palatino Linotype" w:cs="Palatino Linotype"/>
          <w:b/>
          <w:i/>
          <w:szCs w:val="22"/>
        </w:rPr>
        <w:t>Al mayor grado de desagregación</w:t>
      </w:r>
      <w:r w:rsidR="00970A42" w:rsidRPr="00DD65D1">
        <w:rPr>
          <w:rFonts w:eastAsia="Palatino Linotype" w:cs="Palatino Linotype"/>
          <w:b/>
          <w:i/>
          <w:szCs w:val="22"/>
        </w:rPr>
        <w:t xml:space="preserve"> e</w:t>
      </w:r>
      <w:r w:rsidR="002C441B" w:rsidRPr="00DD65D1">
        <w:rPr>
          <w:rFonts w:eastAsia="Palatino Linotype" w:cs="Palatino Linotype"/>
          <w:b/>
          <w:i/>
          <w:szCs w:val="22"/>
        </w:rPr>
        <w:t>l presupuesto asignado y ejercido para la gestión de residuos sólidos.</w:t>
      </w:r>
    </w:p>
    <w:p w14:paraId="7DA7C811" w14:textId="77777777" w:rsidR="0035402D" w:rsidRPr="00DD65D1" w:rsidRDefault="002C441B" w:rsidP="00DD65D1">
      <w:pPr>
        <w:numPr>
          <w:ilvl w:val="0"/>
          <w:numId w:val="4"/>
        </w:numPr>
        <w:pBdr>
          <w:top w:val="nil"/>
          <w:left w:val="nil"/>
          <w:bottom w:val="nil"/>
          <w:right w:val="nil"/>
          <w:between w:val="nil"/>
        </w:pBdr>
        <w:tabs>
          <w:tab w:val="left" w:pos="4667"/>
        </w:tabs>
        <w:spacing w:line="240" w:lineRule="auto"/>
        <w:ind w:left="851" w:right="822"/>
        <w:rPr>
          <w:rFonts w:eastAsia="Palatino Linotype" w:cs="Palatino Linotype"/>
          <w:b/>
          <w:i/>
          <w:szCs w:val="22"/>
        </w:rPr>
      </w:pPr>
      <w:r w:rsidRPr="00DD65D1">
        <w:rPr>
          <w:rFonts w:eastAsia="Palatino Linotype" w:cs="Palatino Linotype"/>
          <w:b/>
          <w:i/>
          <w:szCs w:val="22"/>
        </w:rPr>
        <w:lastRenderedPageBreak/>
        <w:t>El porcentaje de cobertura de recolección de residuos, así como las áreas atendidas y pendientes.</w:t>
      </w:r>
    </w:p>
    <w:p w14:paraId="28B3391A" w14:textId="77777777" w:rsidR="0035402D" w:rsidRPr="00DD65D1" w:rsidRDefault="002C441B" w:rsidP="00DD65D1">
      <w:pPr>
        <w:numPr>
          <w:ilvl w:val="0"/>
          <w:numId w:val="4"/>
        </w:numPr>
        <w:pBdr>
          <w:top w:val="nil"/>
          <w:left w:val="nil"/>
          <w:bottom w:val="nil"/>
          <w:right w:val="nil"/>
          <w:between w:val="nil"/>
        </w:pBdr>
        <w:tabs>
          <w:tab w:val="left" w:pos="4667"/>
        </w:tabs>
        <w:spacing w:line="240" w:lineRule="auto"/>
        <w:ind w:left="851" w:right="822"/>
        <w:rPr>
          <w:rFonts w:eastAsia="Palatino Linotype" w:cs="Palatino Linotype"/>
          <w:b/>
          <w:i/>
          <w:szCs w:val="22"/>
        </w:rPr>
      </w:pPr>
      <w:r w:rsidRPr="00DD65D1">
        <w:rPr>
          <w:rFonts w:eastAsia="Palatino Linotype" w:cs="Palatino Linotype"/>
          <w:b/>
          <w:i/>
          <w:szCs w:val="22"/>
        </w:rPr>
        <w:t xml:space="preserve"> Normatividad vigente para la disposición y manejo de residuos sólidos.</w:t>
      </w:r>
    </w:p>
    <w:p w14:paraId="7EA256E9" w14:textId="77777777" w:rsidR="0035402D" w:rsidRPr="00DD65D1" w:rsidRDefault="0035402D" w:rsidP="00DD65D1">
      <w:pPr>
        <w:tabs>
          <w:tab w:val="left" w:pos="4667"/>
        </w:tabs>
        <w:spacing w:line="240" w:lineRule="auto"/>
        <w:ind w:left="851" w:right="822"/>
        <w:rPr>
          <w:b/>
          <w:i/>
        </w:rPr>
      </w:pPr>
    </w:p>
    <w:p w14:paraId="34ED18E3" w14:textId="77777777" w:rsidR="0035402D" w:rsidRPr="00DD65D1" w:rsidRDefault="002C441B" w:rsidP="00DD65D1">
      <w:pPr>
        <w:spacing w:line="240" w:lineRule="auto"/>
        <w:ind w:left="851" w:right="822"/>
        <w:rPr>
          <w:i/>
        </w:rPr>
      </w:pPr>
      <w:r w:rsidRPr="00DD65D1">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6E09A34" w14:textId="77777777" w:rsidR="0035402D" w:rsidRPr="00DD65D1" w:rsidRDefault="0035402D" w:rsidP="00DD65D1">
      <w:pPr>
        <w:spacing w:line="240" w:lineRule="auto"/>
        <w:ind w:left="851" w:right="822"/>
        <w:rPr>
          <w:i/>
        </w:rPr>
      </w:pPr>
    </w:p>
    <w:p w14:paraId="71887948" w14:textId="77777777" w:rsidR="0035402D" w:rsidRPr="00DD65D1" w:rsidRDefault="002C441B" w:rsidP="00DD65D1">
      <w:pPr>
        <w:spacing w:line="240" w:lineRule="auto"/>
        <w:ind w:left="851" w:right="822"/>
        <w:rPr>
          <w:i/>
        </w:rPr>
      </w:pPr>
      <w:r w:rsidRPr="00DD65D1">
        <w:rPr>
          <w:i/>
        </w:rPr>
        <w:t xml:space="preserve">Para el caso en que no se cuente con la información que se ordena en el numeral 2, bastará con que </w:t>
      </w:r>
      <w:r w:rsidRPr="00DD65D1">
        <w:rPr>
          <w:b/>
          <w:i/>
        </w:rPr>
        <w:t xml:space="preserve">EL SUJETO OBLIGADO </w:t>
      </w:r>
      <w:r w:rsidRPr="00DD65D1">
        <w:rPr>
          <w:i/>
        </w:rPr>
        <w:t>lo haga del conocimiento del particular.</w:t>
      </w:r>
    </w:p>
    <w:p w14:paraId="1BA1A86F" w14:textId="77777777" w:rsidR="0035402D" w:rsidRPr="00DD65D1" w:rsidRDefault="0035402D" w:rsidP="00DD65D1">
      <w:pPr>
        <w:ind w:right="-28"/>
      </w:pPr>
    </w:p>
    <w:p w14:paraId="23C765BF" w14:textId="77777777" w:rsidR="0035402D" w:rsidRPr="00DD65D1" w:rsidRDefault="002C441B" w:rsidP="00DD65D1">
      <w:r w:rsidRPr="00DD65D1">
        <w:rPr>
          <w:b/>
        </w:rPr>
        <w:t>TERCERO.</w:t>
      </w:r>
      <w:r w:rsidRPr="00DD65D1">
        <w:t xml:space="preserve"> </w:t>
      </w:r>
      <w:r w:rsidRPr="00DD65D1">
        <w:rPr>
          <w:b/>
        </w:rPr>
        <w:t xml:space="preserve">Notifíquese </w:t>
      </w:r>
      <w:r w:rsidRPr="00DD65D1">
        <w:t>vía Sistema de Acceso a la Información Mexiquense (</w:t>
      </w:r>
      <w:r w:rsidRPr="00DD65D1">
        <w:rPr>
          <w:b/>
        </w:rPr>
        <w:t>SAIMEX)</w:t>
      </w:r>
      <w:r w:rsidRPr="00DD65D1">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970570" w14:textId="77777777" w:rsidR="0035402D" w:rsidRPr="00DD65D1" w:rsidRDefault="0035402D" w:rsidP="00DD65D1"/>
    <w:p w14:paraId="43B8643E" w14:textId="77777777" w:rsidR="0035402D" w:rsidRPr="00DD65D1" w:rsidRDefault="002C441B" w:rsidP="00DD65D1">
      <w:pPr>
        <w:rPr>
          <w:b/>
        </w:rPr>
      </w:pPr>
      <w:r w:rsidRPr="00DD65D1">
        <w:rPr>
          <w:b/>
        </w:rPr>
        <w:t>CUARTO.</w:t>
      </w:r>
      <w:r w:rsidRPr="00DD65D1">
        <w:t xml:space="preserve"> Notifíquese a </w:t>
      </w:r>
      <w:r w:rsidRPr="00DD65D1">
        <w:rPr>
          <w:b/>
        </w:rPr>
        <w:t>LA PARTE RECURRENTE</w:t>
      </w:r>
      <w:r w:rsidRPr="00DD65D1">
        <w:t xml:space="preserve"> la presente resolución vía Sistema de Acceso a la Información Mexiquense </w:t>
      </w:r>
      <w:r w:rsidRPr="00DD65D1">
        <w:rPr>
          <w:b/>
        </w:rPr>
        <w:t>(SAIMEX).</w:t>
      </w:r>
    </w:p>
    <w:p w14:paraId="13EA6E1A" w14:textId="77777777" w:rsidR="0035402D" w:rsidRPr="00DD65D1" w:rsidRDefault="0035402D" w:rsidP="00DD65D1"/>
    <w:p w14:paraId="238E8B2D" w14:textId="77777777" w:rsidR="0035402D" w:rsidRPr="00DD65D1" w:rsidRDefault="002C441B" w:rsidP="00DD65D1">
      <w:r w:rsidRPr="00DD65D1">
        <w:rPr>
          <w:b/>
        </w:rPr>
        <w:t>QUINTO</w:t>
      </w:r>
      <w:r w:rsidRPr="00DD65D1">
        <w:t xml:space="preserve">. Hágase del conocimiento a </w:t>
      </w:r>
      <w:r w:rsidRPr="00DD65D1">
        <w:rPr>
          <w:b/>
        </w:rPr>
        <w:t>LA PARTE RECURRENTE</w:t>
      </w:r>
      <w:r w:rsidRPr="00DD65D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49A51A3" w14:textId="77777777" w:rsidR="0035402D" w:rsidRPr="00DD65D1" w:rsidRDefault="002C441B" w:rsidP="00DD65D1">
      <w:r w:rsidRPr="00DD65D1">
        <w:rPr>
          <w:b/>
        </w:rPr>
        <w:lastRenderedPageBreak/>
        <w:t>SEXTO.</w:t>
      </w:r>
      <w:r w:rsidRPr="00DD65D1">
        <w:t xml:space="preserve"> De conformidad con el artículo 198 de la Ley de Transparencia y Acceso a la Información Pública del Estado de México y Municipios, el </w:t>
      </w:r>
      <w:r w:rsidRPr="00DD65D1">
        <w:rPr>
          <w:b/>
        </w:rPr>
        <w:t>SUJETO OBLIGADO</w:t>
      </w:r>
      <w:r w:rsidRPr="00DD65D1">
        <w:t xml:space="preserve"> podrá solicitar una ampliación de plazo de manera fundada y motivada, para el cumplimiento de la presente resolución.</w:t>
      </w:r>
    </w:p>
    <w:p w14:paraId="1F3ABC13" w14:textId="77777777" w:rsidR="0035402D" w:rsidRPr="00DD65D1" w:rsidRDefault="0035402D" w:rsidP="00DD65D1">
      <w:pPr>
        <w:ind w:right="113"/>
        <w:rPr>
          <w:b/>
        </w:rPr>
      </w:pPr>
    </w:p>
    <w:p w14:paraId="2B4DE0EC" w14:textId="77777777" w:rsidR="0035402D" w:rsidRPr="00DD65D1" w:rsidRDefault="002C441B" w:rsidP="00DD65D1">
      <w:bookmarkStart w:id="32" w:name="_heading=h.3ygebqi" w:colFirst="0" w:colLast="0"/>
      <w:bookmarkEnd w:id="32"/>
      <w:r w:rsidRPr="00DD65D1">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p>
    <w:p w14:paraId="65BA842A" w14:textId="77777777" w:rsidR="0035402D" w:rsidRPr="00DD65D1" w:rsidRDefault="002C441B" w:rsidP="00DD65D1">
      <w:pPr>
        <w:tabs>
          <w:tab w:val="left" w:pos="2325"/>
        </w:tabs>
        <w:rPr>
          <w:sz w:val="12"/>
          <w:szCs w:val="12"/>
        </w:rPr>
      </w:pPr>
      <w:r w:rsidRPr="00DD65D1">
        <w:rPr>
          <w:sz w:val="12"/>
          <w:szCs w:val="12"/>
        </w:rPr>
        <w:t>SCMM/AGZ/DEMF/DLM</w:t>
      </w:r>
    </w:p>
    <w:p w14:paraId="3F6D3592" w14:textId="77777777" w:rsidR="0035402D" w:rsidRPr="00DD65D1" w:rsidRDefault="0035402D" w:rsidP="00DD65D1">
      <w:pPr>
        <w:ind w:right="-93"/>
      </w:pPr>
    </w:p>
    <w:p w14:paraId="5BACF49C" w14:textId="77777777" w:rsidR="0035402D" w:rsidRPr="00DD65D1" w:rsidRDefault="0035402D" w:rsidP="00DD65D1">
      <w:pPr>
        <w:ind w:right="-93"/>
      </w:pPr>
    </w:p>
    <w:p w14:paraId="1530E4F5" w14:textId="77777777" w:rsidR="0035402D" w:rsidRPr="00DD65D1" w:rsidRDefault="0035402D" w:rsidP="00DD65D1">
      <w:pPr>
        <w:ind w:right="-93"/>
      </w:pPr>
    </w:p>
    <w:p w14:paraId="0FCC4E25" w14:textId="77777777" w:rsidR="0035402D" w:rsidRPr="00DD65D1" w:rsidRDefault="0035402D" w:rsidP="00DD65D1">
      <w:pPr>
        <w:ind w:right="-93"/>
      </w:pPr>
    </w:p>
    <w:p w14:paraId="2BDE8B54" w14:textId="77777777" w:rsidR="0035402D" w:rsidRPr="00DD65D1" w:rsidRDefault="0035402D" w:rsidP="00DD65D1">
      <w:pPr>
        <w:ind w:right="-93"/>
      </w:pPr>
    </w:p>
    <w:p w14:paraId="1393DD9A" w14:textId="77777777" w:rsidR="0035402D" w:rsidRPr="00DD65D1" w:rsidRDefault="0035402D" w:rsidP="00DD65D1">
      <w:pPr>
        <w:ind w:right="-93"/>
      </w:pPr>
    </w:p>
    <w:p w14:paraId="2AA90662" w14:textId="77777777" w:rsidR="0035402D" w:rsidRPr="00DD65D1" w:rsidRDefault="0035402D" w:rsidP="00DD65D1">
      <w:pPr>
        <w:ind w:right="-93"/>
      </w:pPr>
    </w:p>
    <w:p w14:paraId="3166A23D" w14:textId="77777777" w:rsidR="0035402D" w:rsidRPr="00DD65D1" w:rsidRDefault="0035402D" w:rsidP="00DD65D1">
      <w:pPr>
        <w:ind w:right="-93"/>
      </w:pPr>
    </w:p>
    <w:p w14:paraId="496AC052" w14:textId="77777777" w:rsidR="0035402D" w:rsidRPr="00DD65D1" w:rsidRDefault="0035402D" w:rsidP="00DD65D1">
      <w:pPr>
        <w:tabs>
          <w:tab w:val="center" w:pos="4568"/>
        </w:tabs>
        <w:ind w:right="-93"/>
      </w:pPr>
    </w:p>
    <w:p w14:paraId="1F60F28B" w14:textId="77777777" w:rsidR="0035402D" w:rsidRPr="00DD65D1" w:rsidRDefault="0035402D" w:rsidP="00DD65D1">
      <w:pPr>
        <w:tabs>
          <w:tab w:val="center" w:pos="4568"/>
        </w:tabs>
        <w:ind w:right="-93"/>
      </w:pPr>
    </w:p>
    <w:p w14:paraId="65456F6C" w14:textId="77777777" w:rsidR="0035402D" w:rsidRPr="00DD65D1" w:rsidRDefault="0035402D" w:rsidP="00DD65D1">
      <w:pPr>
        <w:tabs>
          <w:tab w:val="center" w:pos="4568"/>
        </w:tabs>
        <w:ind w:right="-93"/>
      </w:pPr>
    </w:p>
    <w:p w14:paraId="33D07387" w14:textId="77777777" w:rsidR="0035402D" w:rsidRPr="00DD65D1" w:rsidRDefault="0035402D" w:rsidP="00DD65D1">
      <w:pPr>
        <w:tabs>
          <w:tab w:val="center" w:pos="4568"/>
        </w:tabs>
        <w:ind w:right="-93"/>
      </w:pPr>
    </w:p>
    <w:p w14:paraId="5EECCE18" w14:textId="77777777" w:rsidR="0035402D" w:rsidRPr="00DD65D1" w:rsidRDefault="0035402D" w:rsidP="00DD65D1">
      <w:pPr>
        <w:tabs>
          <w:tab w:val="center" w:pos="4568"/>
        </w:tabs>
        <w:ind w:right="-93"/>
      </w:pPr>
    </w:p>
    <w:p w14:paraId="3DAB5692" w14:textId="77777777" w:rsidR="0035402D" w:rsidRPr="00DD65D1" w:rsidRDefault="0035402D" w:rsidP="00DD65D1">
      <w:pPr>
        <w:tabs>
          <w:tab w:val="center" w:pos="4568"/>
        </w:tabs>
        <w:ind w:right="-93"/>
      </w:pPr>
    </w:p>
    <w:p w14:paraId="7124EF6F" w14:textId="77777777" w:rsidR="0035402D" w:rsidRPr="00DD65D1" w:rsidRDefault="0035402D" w:rsidP="00DD65D1">
      <w:pPr>
        <w:tabs>
          <w:tab w:val="center" w:pos="4568"/>
        </w:tabs>
        <w:ind w:right="-93"/>
      </w:pPr>
    </w:p>
    <w:p w14:paraId="310271B5" w14:textId="77777777" w:rsidR="0035402D" w:rsidRPr="00DD65D1" w:rsidRDefault="0035402D" w:rsidP="00DD65D1">
      <w:pPr>
        <w:tabs>
          <w:tab w:val="center" w:pos="4568"/>
        </w:tabs>
        <w:ind w:right="-93"/>
      </w:pPr>
    </w:p>
    <w:p w14:paraId="45D0F44F" w14:textId="77777777" w:rsidR="0035402D" w:rsidRPr="00DD65D1" w:rsidRDefault="0035402D" w:rsidP="00DD65D1">
      <w:pPr>
        <w:tabs>
          <w:tab w:val="center" w:pos="4568"/>
        </w:tabs>
        <w:ind w:right="-93"/>
      </w:pPr>
    </w:p>
    <w:p w14:paraId="7C396671" w14:textId="77777777" w:rsidR="0035402D" w:rsidRPr="00DD65D1" w:rsidRDefault="0035402D" w:rsidP="00DD65D1">
      <w:pPr>
        <w:tabs>
          <w:tab w:val="center" w:pos="4568"/>
        </w:tabs>
        <w:ind w:right="-93"/>
      </w:pPr>
    </w:p>
    <w:p w14:paraId="411C04E5" w14:textId="77777777" w:rsidR="0035402D" w:rsidRPr="00DD65D1" w:rsidRDefault="0035402D" w:rsidP="00DD65D1">
      <w:pPr>
        <w:tabs>
          <w:tab w:val="center" w:pos="4568"/>
        </w:tabs>
        <w:ind w:right="-93"/>
      </w:pPr>
    </w:p>
    <w:p w14:paraId="6AF4AB2B" w14:textId="77777777" w:rsidR="0035402D" w:rsidRPr="00DD65D1" w:rsidRDefault="0035402D" w:rsidP="00DD65D1">
      <w:pPr>
        <w:tabs>
          <w:tab w:val="center" w:pos="4568"/>
        </w:tabs>
        <w:ind w:right="-93"/>
      </w:pPr>
    </w:p>
    <w:p w14:paraId="475772A1" w14:textId="77777777" w:rsidR="0035402D" w:rsidRPr="00DD65D1" w:rsidRDefault="0035402D" w:rsidP="00DD65D1">
      <w:pPr>
        <w:tabs>
          <w:tab w:val="center" w:pos="4568"/>
        </w:tabs>
        <w:ind w:right="-93"/>
      </w:pPr>
    </w:p>
    <w:p w14:paraId="00D55472" w14:textId="77777777" w:rsidR="0035402D" w:rsidRPr="00DD65D1" w:rsidRDefault="0035402D" w:rsidP="00DD65D1">
      <w:pPr>
        <w:tabs>
          <w:tab w:val="center" w:pos="4568"/>
        </w:tabs>
        <w:ind w:right="-93"/>
      </w:pPr>
    </w:p>
    <w:p w14:paraId="1315579C" w14:textId="77777777" w:rsidR="0035402D" w:rsidRPr="00DD65D1" w:rsidRDefault="0035402D" w:rsidP="00DD65D1">
      <w:pPr>
        <w:tabs>
          <w:tab w:val="center" w:pos="4568"/>
        </w:tabs>
        <w:ind w:right="-93"/>
      </w:pPr>
    </w:p>
    <w:p w14:paraId="34CEA602" w14:textId="77777777" w:rsidR="0035402D" w:rsidRPr="00DD65D1" w:rsidRDefault="0035402D" w:rsidP="00DD65D1">
      <w:pPr>
        <w:tabs>
          <w:tab w:val="center" w:pos="4568"/>
        </w:tabs>
        <w:ind w:right="-93"/>
      </w:pPr>
    </w:p>
    <w:p w14:paraId="76C371C1" w14:textId="77777777" w:rsidR="0035402D" w:rsidRPr="00DD65D1" w:rsidRDefault="0035402D" w:rsidP="00DD65D1"/>
    <w:sectPr w:rsidR="0035402D" w:rsidRPr="00DD65D1">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BB18E" w14:textId="77777777" w:rsidR="0018539E" w:rsidRDefault="0018539E">
      <w:pPr>
        <w:spacing w:line="240" w:lineRule="auto"/>
      </w:pPr>
      <w:r>
        <w:separator/>
      </w:r>
    </w:p>
  </w:endnote>
  <w:endnote w:type="continuationSeparator" w:id="0">
    <w:p w14:paraId="1D507ADB" w14:textId="77777777" w:rsidR="0018539E" w:rsidRDefault="00185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4CFB6" w14:textId="77777777" w:rsidR="0035402D" w:rsidRDefault="0035402D">
    <w:pPr>
      <w:tabs>
        <w:tab w:val="center" w:pos="4550"/>
        <w:tab w:val="left" w:pos="5818"/>
      </w:tabs>
      <w:ind w:right="260"/>
      <w:jc w:val="right"/>
      <w:rPr>
        <w:color w:val="071320"/>
        <w:sz w:val="24"/>
        <w:szCs w:val="24"/>
      </w:rPr>
    </w:pPr>
  </w:p>
  <w:p w14:paraId="2A9170EE" w14:textId="77777777" w:rsidR="0035402D" w:rsidRDefault="0035402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39D1F" w14:textId="77777777" w:rsidR="0035402D" w:rsidRDefault="002C441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E4D9F">
      <w:rPr>
        <w:noProof/>
        <w:color w:val="0A1D30"/>
        <w:sz w:val="24"/>
        <w:szCs w:val="24"/>
      </w:rPr>
      <w:t>31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E4D9F">
      <w:rPr>
        <w:noProof/>
        <w:color w:val="0A1D30"/>
        <w:sz w:val="24"/>
        <w:szCs w:val="24"/>
      </w:rPr>
      <w:t>34</w:t>
    </w:r>
    <w:r>
      <w:rPr>
        <w:color w:val="0A1D30"/>
        <w:sz w:val="24"/>
        <w:szCs w:val="24"/>
      </w:rPr>
      <w:fldChar w:fldCharType="end"/>
    </w:r>
  </w:p>
  <w:p w14:paraId="594F6209" w14:textId="77777777" w:rsidR="0035402D" w:rsidRDefault="0035402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F5AA9" w14:textId="77777777" w:rsidR="0018539E" w:rsidRDefault="0018539E">
      <w:pPr>
        <w:spacing w:line="240" w:lineRule="auto"/>
      </w:pPr>
      <w:r>
        <w:separator/>
      </w:r>
    </w:p>
  </w:footnote>
  <w:footnote w:type="continuationSeparator" w:id="0">
    <w:p w14:paraId="6540CF4E" w14:textId="77777777" w:rsidR="0018539E" w:rsidRDefault="0018539E">
      <w:pPr>
        <w:spacing w:line="240" w:lineRule="auto"/>
      </w:pPr>
      <w:r>
        <w:continuationSeparator/>
      </w:r>
    </w:p>
  </w:footnote>
  <w:footnote w:id="1">
    <w:p w14:paraId="33812452" w14:textId="77777777" w:rsidR="0035402D" w:rsidRDefault="002C441B">
      <w:pPr>
        <w:pBdr>
          <w:top w:val="nil"/>
          <w:left w:val="nil"/>
          <w:bottom w:val="nil"/>
          <w:right w:val="nil"/>
          <w:between w:val="nil"/>
        </w:pBdr>
        <w:spacing w:line="240" w:lineRule="auto"/>
        <w:rPr>
          <w:rFonts w:eastAsia="Palatino Linotype" w:cs="Palatino Linotype"/>
          <w:i/>
          <w:color w:val="000000"/>
          <w:sz w:val="20"/>
        </w:rPr>
      </w:pPr>
      <w:r>
        <w:rPr>
          <w:vertAlign w:val="superscript"/>
        </w:rPr>
        <w:footnoteRef/>
      </w:r>
      <w:r>
        <w:rPr>
          <w:rFonts w:eastAsia="Palatino Linotype" w:cs="Palatino Linotype"/>
          <w:i/>
          <w:color w:val="000000"/>
          <w:sz w:val="20"/>
        </w:rPr>
        <w:t xml:space="preserve"> “LEY ORGÁNICA MUNICIPAL DEL ESTADO DE MÉXICO</w:t>
      </w:r>
    </w:p>
    <w:p w14:paraId="7C5B3899" w14:textId="77777777" w:rsidR="0035402D" w:rsidRDefault="002C441B">
      <w:pPr>
        <w:pBdr>
          <w:top w:val="nil"/>
          <w:left w:val="nil"/>
          <w:bottom w:val="nil"/>
          <w:right w:val="nil"/>
          <w:between w:val="nil"/>
        </w:pBdr>
        <w:spacing w:line="240" w:lineRule="auto"/>
        <w:rPr>
          <w:rFonts w:eastAsia="Palatino Linotype" w:cs="Palatino Linotype"/>
          <w:i/>
          <w:color w:val="000000"/>
          <w:sz w:val="20"/>
        </w:rPr>
      </w:pPr>
      <w:r>
        <w:rPr>
          <w:rFonts w:eastAsia="Palatino Linotype" w:cs="Palatino Linotype"/>
          <w:b/>
          <w:i/>
          <w:color w:val="000000"/>
          <w:sz w:val="20"/>
        </w:rPr>
        <w:t>Artículo 99.-</w:t>
      </w:r>
      <w:r>
        <w:rPr>
          <w:rFonts w:eastAsia="Palatino Linotype" w:cs="Palatino Linotype"/>
          <w:i/>
          <w:color w:val="000000"/>
          <w:sz w:val="20"/>
        </w:rPr>
        <w:t xml:space="preserve"> El presidente municipal presentará anualmente al ayuntamiento a más tardar el 20 de diciembre, el proyecto de presupuesto de egresos, para su consideración y aprobación.</w:t>
      </w:r>
    </w:p>
    <w:p w14:paraId="52974B7A" w14:textId="77777777" w:rsidR="0035402D" w:rsidRDefault="0035402D">
      <w:pPr>
        <w:pBdr>
          <w:top w:val="nil"/>
          <w:left w:val="nil"/>
          <w:bottom w:val="nil"/>
          <w:right w:val="nil"/>
          <w:between w:val="nil"/>
        </w:pBdr>
        <w:spacing w:line="240" w:lineRule="auto"/>
        <w:rPr>
          <w:rFonts w:eastAsia="Palatino Linotype" w:cs="Palatino Linotype"/>
          <w:i/>
          <w:color w:val="000000"/>
          <w:sz w:val="20"/>
        </w:rPr>
      </w:pPr>
    </w:p>
    <w:p w14:paraId="113777F1" w14:textId="77777777" w:rsidR="0035402D" w:rsidRDefault="002C441B">
      <w:pPr>
        <w:pBdr>
          <w:top w:val="nil"/>
          <w:left w:val="nil"/>
          <w:bottom w:val="nil"/>
          <w:right w:val="nil"/>
          <w:between w:val="nil"/>
        </w:pBdr>
        <w:spacing w:line="240" w:lineRule="auto"/>
        <w:rPr>
          <w:rFonts w:eastAsia="Palatino Linotype" w:cs="Palatino Linotype"/>
          <w:i/>
          <w:color w:val="000000"/>
          <w:sz w:val="20"/>
        </w:rPr>
      </w:pPr>
      <w:r>
        <w:rPr>
          <w:rFonts w:eastAsia="Palatino Linotype" w:cs="Palatino Linotype"/>
          <w:b/>
          <w:i/>
          <w:color w:val="000000"/>
          <w:sz w:val="20"/>
        </w:rPr>
        <w:t>Artículo 101.</w:t>
      </w:r>
      <w:r>
        <w:rPr>
          <w:rFonts w:eastAsia="Palatino Linotype" w:cs="Palatino Linotype"/>
          <w:i/>
          <w:color w:val="000000"/>
          <w:sz w:val="20"/>
        </w:rPr>
        <w:t xml:space="preserve">- El proyecto del presupuesto de egresos se integrará básicamente con: </w:t>
      </w:r>
    </w:p>
    <w:p w14:paraId="18010C41" w14:textId="77777777" w:rsidR="0035402D" w:rsidRDefault="002C441B">
      <w:pPr>
        <w:pBdr>
          <w:top w:val="nil"/>
          <w:left w:val="nil"/>
          <w:bottom w:val="nil"/>
          <w:right w:val="nil"/>
          <w:between w:val="nil"/>
        </w:pBdr>
        <w:spacing w:line="240" w:lineRule="auto"/>
        <w:rPr>
          <w:rFonts w:eastAsia="Palatino Linotype" w:cs="Palatino Linotype"/>
          <w:i/>
          <w:color w:val="000000"/>
          <w:sz w:val="20"/>
        </w:rPr>
      </w:pPr>
      <w:r>
        <w:rPr>
          <w:rFonts w:eastAsia="Palatino Linotype" w:cs="Palatino Linotype"/>
          <w:i/>
          <w:color w:val="000000"/>
          <w:sz w:val="20"/>
        </w:rPr>
        <w:t xml:space="preserve">I. Los programas en que se señalen objetivos, metas y unidades responsables para su ejecución, así como la valuación estimada del programa; </w:t>
      </w:r>
    </w:p>
    <w:p w14:paraId="7B3FD9D3" w14:textId="77777777" w:rsidR="0035402D" w:rsidRDefault="002C441B">
      <w:pPr>
        <w:pBdr>
          <w:top w:val="nil"/>
          <w:left w:val="nil"/>
          <w:bottom w:val="nil"/>
          <w:right w:val="nil"/>
          <w:between w:val="nil"/>
        </w:pBdr>
        <w:spacing w:line="240" w:lineRule="auto"/>
        <w:rPr>
          <w:rFonts w:eastAsia="Palatino Linotype" w:cs="Palatino Linotype"/>
          <w:i/>
          <w:color w:val="000000"/>
          <w:sz w:val="20"/>
        </w:rPr>
      </w:pPr>
      <w:r>
        <w:rPr>
          <w:rFonts w:eastAsia="Palatino Linotype" w:cs="Palatino Linotype"/>
          <w:i/>
          <w:color w:val="000000"/>
          <w:sz w:val="20"/>
        </w:rPr>
        <w:t>II. Estimación de los ingresos y gastos del ejercicio fiscal calendarizados;</w:t>
      </w:r>
    </w:p>
    <w:p w14:paraId="5B94670A" w14:textId="77777777" w:rsidR="0035402D" w:rsidRDefault="002C441B">
      <w:pPr>
        <w:pBdr>
          <w:top w:val="nil"/>
          <w:left w:val="nil"/>
          <w:bottom w:val="nil"/>
          <w:right w:val="nil"/>
          <w:between w:val="nil"/>
        </w:pBdr>
        <w:spacing w:line="240" w:lineRule="auto"/>
        <w:rPr>
          <w:rFonts w:ascii="Aptos" w:eastAsia="Aptos" w:hAnsi="Aptos" w:cs="Aptos"/>
          <w:color w:val="000000"/>
          <w:sz w:val="20"/>
        </w:rPr>
      </w:pPr>
      <w:r>
        <w:rPr>
          <w:rFonts w:eastAsia="Palatino Linotype" w:cs="Palatino Linotype"/>
          <w:i/>
          <w:color w:val="000000"/>
          <w:sz w:val="20"/>
        </w:rPr>
        <w:t>III. Situación de la deuda pública, incluyendo el contingente económico de los litigios laborales en los que el ayuntamiento forme 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3E67" w14:textId="77777777" w:rsidR="0035402D" w:rsidRDefault="0035402D">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5402D" w14:paraId="7BE197CD" w14:textId="77777777">
      <w:trPr>
        <w:trHeight w:val="144"/>
        <w:jc w:val="right"/>
      </w:trPr>
      <w:tc>
        <w:tcPr>
          <w:tcW w:w="2727" w:type="dxa"/>
        </w:tcPr>
        <w:p w14:paraId="2677CF2F" w14:textId="77777777" w:rsidR="0035402D" w:rsidRDefault="002C441B">
          <w:pPr>
            <w:tabs>
              <w:tab w:val="right" w:pos="8838"/>
            </w:tabs>
            <w:ind w:left="-74" w:right="-105"/>
            <w:rPr>
              <w:b/>
            </w:rPr>
          </w:pPr>
          <w:r>
            <w:rPr>
              <w:b/>
            </w:rPr>
            <w:t>Recurso de Revisión:</w:t>
          </w:r>
        </w:p>
      </w:tc>
      <w:tc>
        <w:tcPr>
          <w:tcW w:w="3402" w:type="dxa"/>
        </w:tcPr>
        <w:p w14:paraId="5D5408C7" w14:textId="77777777" w:rsidR="0035402D" w:rsidRDefault="002C441B">
          <w:pPr>
            <w:tabs>
              <w:tab w:val="right" w:pos="8838"/>
            </w:tabs>
            <w:ind w:left="-74" w:right="-105"/>
          </w:pPr>
          <w:r>
            <w:t xml:space="preserve">07627/INFOEM/IP/RR/2024 </w:t>
          </w:r>
        </w:p>
      </w:tc>
    </w:tr>
    <w:tr w:rsidR="0035402D" w14:paraId="4EF3EA12" w14:textId="77777777">
      <w:trPr>
        <w:trHeight w:val="283"/>
        <w:jc w:val="right"/>
      </w:trPr>
      <w:tc>
        <w:tcPr>
          <w:tcW w:w="2727" w:type="dxa"/>
        </w:tcPr>
        <w:p w14:paraId="188987B0" w14:textId="77777777" w:rsidR="0035402D" w:rsidRDefault="002C441B">
          <w:pPr>
            <w:tabs>
              <w:tab w:val="right" w:pos="8838"/>
            </w:tabs>
            <w:ind w:left="-74" w:right="-105"/>
            <w:rPr>
              <w:b/>
            </w:rPr>
          </w:pPr>
          <w:r>
            <w:rPr>
              <w:b/>
            </w:rPr>
            <w:t>Sujeto Obligado:</w:t>
          </w:r>
        </w:p>
      </w:tc>
      <w:tc>
        <w:tcPr>
          <w:tcW w:w="3402" w:type="dxa"/>
        </w:tcPr>
        <w:p w14:paraId="6F273A49" w14:textId="77777777" w:rsidR="0035402D" w:rsidRDefault="002C441B">
          <w:pPr>
            <w:tabs>
              <w:tab w:val="left" w:pos="2834"/>
              <w:tab w:val="right" w:pos="8838"/>
            </w:tabs>
            <w:ind w:left="-108" w:right="-105"/>
          </w:pPr>
          <w:r>
            <w:t>Ayuntamiento de Lerma</w:t>
          </w:r>
        </w:p>
      </w:tc>
    </w:tr>
    <w:tr w:rsidR="0035402D" w14:paraId="0D069270" w14:textId="77777777">
      <w:trPr>
        <w:trHeight w:val="283"/>
        <w:jc w:val="right"/>
      </w:trPr>
      <w:tc>
        <w:tcPr>
          <w:tcW w:w="2727" w:type="dxa"/>
        </w:tcPr>
        <w:p w14:paraId="7E678F93" w14:textId="77777777" w:rsidR="0035402D" w:rsidRDefault="002C441B">
          <w:pPr>
            <w:tabs>
              <w:tab w:val="right" w:pos="8838"/>
            </w:tabs>
            <w:ind w:left="-74" w:right="-105"/>
            <w:rPr>
              <w:b/>
            </w:rPr>
          </w:pPr>
          <w:r>
            <w:rPr>
              <w:b/>
            </w:rPr>
            <w:t>Comisionada Ponente:</w:t>
          </w:r>
        </w:p>
      </w:tc>
      <w:tc>
        <w:tcPr>
          <w:tcW w:w="3402" w:type="dxa"/>
        </w:tcPr>
        <w:p w14:paraId="65FBEED7" w14:textId="77777777" w:rsidR="0035402D" w:rsidRDefault="002C441B">
          <w:pPr>
            <w:tabs>
              <w:tab w:val="right" w:pos="8838"/>
            </w:tabs>
            <w:ind w:left="-108" w:right="-105"/>
          </w:pPr>
          <w:r>
            <w:t>Sharon Cristina Morales Martínez</w:t>
          </w:r>
        </w:p>
      </w:tc>
    </w:tr>
  </w:tbl>
  <w:p w14:paraId="502C8E7B" w14:textId="77777777" w:rsidR="0035402D" w:rsidRDefault="002C441B">
    <w:pPr>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10E0D1B" wp14:editId="63198279">
          <wp:simplePos x="0" y="0"/>
          <wp:positionH relativeFrom="margin">
            <wp:posOffset>-995042</wp:posOffset>
          </wp:positionH>
          <wp:positionV relativeFrom="margin">
            <wp:posOffset>-1782443</wp:posOffset>
          </wp:positionV>
          <wp:extent cx="8426450" cy="1097280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E0482" w14:textId="77777777" w:rsidR="0035402D" w:rsidRDefault="0035402D">
    <w:pPr>
      <w:widowControl w:val="0"/>
      <w:pBdr>
        <w:top w:val="nil"/>
        <w:left w:val="nil"/>
        <w:bottom w:val="nil"/>
        <w:right w:val="nil"/>
        <w:between w:val="nil"/>
      </w:pBdr>
      <w:spacing w:line="276" w:lineRule="auto"/>
      <w:jc w:val="left"/>
      <w:rPr>
        <w:color w:val="000000"/>
        <w:sz w:val="14"/>
        <w:szCs w:val="14"/>
      </w:rPr>
    </w:pPr>
  </w:p>
  <w:tbl>
    <w:tblPr>
      <w:tblStyle w:val="a1"/>
      <w:tblW w:w="6660" w:type="dxa"/>
      <w:tblInd w:w="2552" w:type="dxa"/>
      <w:tblLayout w:type="fixed"/>
      <w:tblLook w:val="0400" w:firstRow="0" w:lastRow="0" w:firstColumn="0" w:lastColumn="0" w:noHBand="0" w:noVBand="1"/>
    </w:tblPr>
    <w:tblGrid>
      <w:gridCol w:w="283"/>
      <w:gridCol w:w="6377"/>
    </w:tblGrid>
    <w:tr w:rsidR="0035402D" w14:paraId="4A11D081" w14:textId="77777777">
      <w:trPr>
        <w:trHeight w:val="1435"/>
      </w:trPr>
      <w:tc>
        <w:tcPr>
          <w:tcW w:w="283" w:type="dxa"/>
          <w:shd w:val="clear" w:color="auto" w:fill="auto"/>
        </w:tcPr>
        <w:p w14:paraId="36FF937E" w14:textId="77777777" w:rsidR="0035402D" w:rsidRDefault="0035402D">
          <w:pPr>
            <w:tabs>
              <w:tab w:val="right" w:pos="4273"/>
            </w:tabs>
            <w:rPr>
              <w:rFonts w:ascii="Garamond" w:eastAsia="Garamond" w:hAnsi="Garamond" w:cs="Garamond"/>
            </w:rPr>
          </w:pPr>
        </w:p>
      </w:tc>
      <w:tc>
        <w:tcPr>
          <w:tcW w:w="6378" w:type="dxa"/>
          <w:shd w:val="clear" w:color="auto" w:fill="auto"/>
        </w:tcPr>
        <w:p w14:paraId="05CA1F52" w14:textId="77777777" w:rsidR="0035402D" w:rsidRDefault="0035402D">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35402D" w14:paraId="64C2B7A3" w14:textId="77777777">
            <w:trPr>
              <w:trHeight w:val="144"/>
            </w:trPr>
            <w:tc>
              <w:tcPr>
                <w:tcW w:w="2790" w:type="dxa"/>
              </w:tcPr>
              <w:p w14:paraId="36203866" w14:textId="77777777" w:rsidR="0035402D" w:rsidRDefault="002C441B">
                <w:pPr>
                  <w:tabs>
                    <w:tab w:val="right" w:pos="8838"/>
                  </w:tabs>
                  <w:ind w:left="-74" w:right="-105"/>
                  <w:rPr>
                    <w:b/>
                  </w:rPr>
                </w:pPr>
                <w:bookmarkStart w:id="0" w:name="_heading=h.147n2zr" w:colFirst="0" w:colLast="0"/>
                <w:bookmarkEnd w:id="0"/>
                <w:r>
                  <w:rPr>
                    <w:b/>
                  </w:rPr>
                  <w:t>Recurso de Revisión:</w:t>
                </w:r>
              </w:p>
            </w:tc>
            <w:tc>
              <w:tcPr>
                <w:tcW w:w="3345" w:type="dxa"/>
              </w:tcPr>
              <w:p w14:paraId="0D206FF5" w14:textId="77777777" w:rsidR="0035402D" w:rsidRDefault="002C441B">
                <w:pPr>
                  <w:tabs>
                    <w:tab w:val="right" w:pos="8838"/>
                  </w:tabs>
                  <w:ind w:left="-74" w:right="-105"/>
                </w:pPr>
                <w:r>
                  <w:t xml:space="preserve">07627/INFOEM/IP/RR/2024 </w:t>
                </w:r>
              </w:p>
            </w:tc>
            <w:tc>
              <w:tcPr>
                <w:tcW w:w="3405" w:type="dxa"/>
              </w:tcPr>
              <w:p w14:paraId="3073C7BF" w14:textId="77777777" w:rsidR="0035402D" w:rsidRDefault="0035402D">
                <w:pPr>
                  <w:tabs>
                    <w:tab w:val="right" w:pos="8838"/>
                  </w:tabs>
                  <w:ind w:left="-74" w:right="-105"/>
                </w:pPr>
              </w:p>
            </w:tc>
          </w:tr>
          <w:tr w:rsidR="0035402D" w14:paraId="7AFC820E" w14:textId="77777777">
            <w:trPr>
              <w:trHeight w:val="144"/>
            </w:trPr>
            <w:tc>
              <w:tcPr>
                <w:tcW w:w="2790" w:type="dxa"/>
              </w:tcPr>
              <w:p w14:paraId="1D0BCC79" w14:textId="77777777" w:rsidR="0035402D" w:rsidRDefault="002C441B">
                <w:pPr>
                  <w:tabs>
                    <w:tab w:val="right" w:pos="8838"/>
                  </w:tabs>
                  <w:ind w:left="-74" w:right="-105"/>
                  <w:rPr>
                    <w:b/>
                  </w:rPr>
                </w:pPr>
                <w:bookmarkStart w:id="1" w:name="_heading=h.3o7alnk" w:colFirst="0" w:colLast="0"/>
                <w:bookmarkEnd w:id="1"/>
                <w:r>
                  <w:rPr>
                    <w:b/>
                  </w:rPr>
                  <w:t>Recurrente:</w:t>
                </w:r>
              </w:p>
            </w:tc>
            <w:tc>
              <w:tcPr>
                <w:tcW w:w="3345" w:type="dxa"/>
              </w:tcPr>
              <w:p w14:paraId="68AFF2C8" w14:textId="1E7B3C41" w:rsidR="0035402D" w:rsidRDefault="00B149B4">
                <w:pPr>
                  <w:tabs>
                    <w:tab w:val="left" w:pos="3122"/>
                    <w:tab w:val="right" w:pos="8838"/>
                  </w:tabs>
                  <w:ind w:left="-105" w:right="-105"/>
                </w:pPr>
                <w:r>
                  <w:t>XXXXX XXXXXXX XXXXXXXXX XXXXXXXX</w:t>
                </w:r>
              </w:p>
            </w:tc>
            <w:tc>
              <w:tcPr>
                <w:tcW w:w="3405" w:type="dxa"/>
              </w:tcPr>
              <w:p w14:paraId="4101BEAB" w14:textId="77777777" w:rsidR="0035402D" w:rsidRDefault="0035402D">
                <w:pPr>
                  <w:tabs>
                    <w:tab w:val="left" w:pos="3122"/>
                    <w:tab w:val="right" w:pos="8838"/>
                  </w:tabs>
                  <w:ind w:left="-105" w:right="-105"/>
                </w:pPr>
              </w:p>
            </w:tc>
          </w:tr>
          <w:tr w:rsidR="0035402D" w14:paraId="3FD922A6" w14:textId="77777777">
            <w:trPr>
              <w:trHeight w:val="283"/>
            </w:trPr>
            <w:tc>
              <w:tcPr>
                <w:tcW w:w="2790" w:type="dxa"/>
              </w:tcPr>
              <w:p w14:paraId="44164E6B" w14:textId="77777777" w:rsidR="0035402D" w:rsidRDefault="002C441B">
                <w:pPr>
                  <w:tabs>
                    <w:tab w:val="right" w:pos="8838"/>
                  </w:tabs>
                  <w:ind w:left="-74" w:right="-105"/>
                  <w:rPr>
                    <w:b/>
                  </w:rPr>
                </w:pPr>
                <w:r>
                  <w:rPr>
                    <w:b/>
                  </w:rPr>
                  <w:t>Sujeto Obligado:</w:t>
                </w:r>
              </w:p>
            </w:tc>
            <w:tc>
              <w:tcPr>
                <w:tcW w:w="3345" w:type="dxa"/>
              </w:tcPr>
              <w:p w14:paraId="26CB381D" w14:textId="77777777" w:rsidR="0035402D" w:rsidRDefault="002C441B">
                <w:pPr>
                  <w:tabs>
                    <w:tab w:val="left" w:pos="2834"/>
                    <w:tab w:val="right" w:pos="8838"/>
                  </w:tabs>
                  <w:ind w:left="-108" w:right="-105"/>
                </w:pPr>
                <w:r>
                  <w:t>Ayuntamiento de Lerma</w:t>
                </w:r>
              </w:p>
            </w:tc>
            <w:tc>
              <w:tcPr>
                <w:tcW w:w="3405" w:type="dxa"/>
              </w:tcPr>
              <w:p w14:paraId="5D3470D2" w14:textId="77777777" w:rsidR="0035402D" w:rsidRDefault="0035402D">
                <w:pPr>
                  <w:tabs>
                    <w:tab w:val="left" w:pos="2834"/>
                    <w:tab w:val="right" w:pos="8838"/>
                  </w:tabs>
                  <w:ind w:left="-108" w:right="-105"/>
                </w:pPr>
              </w:p>
            </w:tc>
          </w:tr>
          <w:tr w:rsidR="0035402D" w14:paraId="39A770C9" w14:textId="77777777">
            <w:trPr>
              <w:trHeight w:val="283"/>
            </w:trPr>
            <w:tc>
              <w:tcPr>
                <w:tcW w:w="2790" w:type="dxa"/>
              </w:tcPr>
              <w:p w14:paraId="08130589" w14:textId="77777777" w:rsidR="0035402D" w:rsidRDefault="002C441B">
                <w:pPr>
                  <w:tabs>
                    <w:tab w:val="right" w:pos="8838"/>
                  </w:tabs>
                  <w:ind w:left="-74" w:right="-105"/>
                  <w:rPr>
                    <w:b/>
                  </w:rPr>
                </w:pPr>
                <w:r>
                  <w:rPr>
                    <w:b/>
                  </w:rPr>
                  <w:t>Comisionada Ponente:</w:t>
                </w:r>
              </w:p>
            </w:tc>
            <w:tc>
              <w:tcPr>
                <w:tcW w:w="3345" w:type="dxa"/>
              </w:tcPr>
              <w:p w14:paraId="5CC81A55" w14:textId="77777777" w:rsidR="0035402D" w:rsidRDefault="002C441B">
                <w:pPr>
                  <w:tabs>
                    <w:tab w:val="right" w:pos="8838"/>
                  </w:tabs>
                  <w:ind w:left="-108" w:right="-105"/>
                </w:pPr>
                <w:r>
                  <w:t>Sharon Cristina Morales Martínez</w:t>
                </w:r>
              </w:p>
            </w:tc>
            <w:tc>
              <w:tcPr>
                <w:tcW w:w="3405" w:type="dxa"/>
              </w:tcPr>
              <w:p w14:paraId="03A70640" w14:textId="77777777" w:rsidR="0035402D" w:rsidRDefault="0035402D">
                <w:pPr>
                  <w:tabs>
                    <w:tab w:val="right" w:pos="8838"/>
                  </w:tabs>
                  <w:ind w:left="-108" w:right="-105"/>
                </w:pPr>
              </w:p>
            </w:tc>
          </w:tr>
        </w:tbl>
        <w:p w14:paraId="679E96F3" w14:textId="77777777" w:rsidR="0035402D" w:rsidRDefault="0035402D">
          <w:pPr>
            <w:tabs>
              <w:tab w:val="right" w:pos="8838"/>
            </w:tabs>
            <w:ind w:left="-28"/>
            <w:rPr>
              <w:rFonts w:ascii="Arial" w:eastAsia="Arial" w:hAnsi="Arial" w:cs="Arial"/>
              <w:b/>
            </w:rPr>
          </w:pPr>
        </w:p>
      </w:tc>
    </w:tr>
  </w:tbl>
  <w:p w14:paraId="2878B1BE" w14:textId="77777777" w:rsidR="0035402D" w:rsidRDefault="0018539E">
    <w:pPr>
      <w:rPr>
        <w:color w:val="000000"/>
      </w:rPr>
    </w:pPr>
    <w:r>
      <w:rPr>
        <w:color w:val="000000"/>
        <w:sz w:val="36"/>
        <w:szCs w:val="36"/>
      </w:rPr>
      <w:pict w14:anchorId="64AF4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417"/>
    <w:multiLevelType w:val="multilevel"/>
    <w:tmpl w:val="1BAC1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1B2C68"/>
    <w:multiLevelType w:val="multilevel"/>
    <w:tmpl w:val="A5D8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A715C"/>
    <w:multiLevelType w:val="multilevel"/>
    <w:tmpl w:val="486E1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C30355"/>
    <w:multiLevelType w:val="multilevel"/>
    <w:tmpl w:val="1842F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2D"/>
    <w:rsid w:val="000674A6"/>
    <w:rsid w:val="0018539E"/>
    <w:rsid w:val="002C441B"/>
    <w:rsid w:val="0035402D"/>
    <w:rsid w:val="00427D6C"/>
    <w:rsid w:val="004E4D9F"/>
    <w:rsid w:val="00970A42"/>
    <w:rsid w:val="00AE32D8"/>
    <w:rsid w:val="00B149B4"/>
    <w:rsid w:val="00BE0A66"/>
    <w:rsid w:val="00D85DB2"/>
    <w:rsid w:val="00DD65D1"/>
    <w:rsid w:val="00F47F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1E0435"/>
  <w15:docId w15:val="{F8EB8C17-04A8-436F-A3AE-77C12E31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3">
    <w:name w:val="3"/>
    <w:basedOn w:val="TableNormal0"/>
    <w:pPr>
      <w:spacing w:line="240" w:lineRule="auto"/>
    </w:pPr>
    <w:tblPr>
      <w:tblStyleRowBandSize w:val="1"/>
      <w:tblStyleColBandSize w:val="1"/>
      <w:tblCellMar>
        <w:left w:w="108" w:type="dxa"/>
        <w:right w:w="108"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DvUeCvHpKdJ6sCRcPolwVd1Q==">CgMxLjAyCWguMjNja3Z2ZDIIaC5paHY2MzYyCWguMzJoaW9xejIJaC40MW1naG1sMgloLjFobXN5eXMyCWguNDFtZ2htbDIJaC4yZ3JxcnVlMghoLnZ4MTIyNzIJaC4zZndva3EwMgloLjF2MXl1eHQyCWguNGYxbWRsbTIJaC4yNmluMXJnMgloLjJ1NndudGYyCWguMzVua3VuMjIJaC4xOWM2eTE4MgloLjN0YnVncDEyCWguMjhoNHF3dTIIaC5ubWYxNG4yCWguMzdtMmpzZzIJaC4xeTgxMHR3MgloLjFtcmN1MDkyCWguNDZyMGNvMjIJaC4ybHdhbXZ2MgloLjExMWt4M28yCWguMmJuNndzeDIJaC4zbDE4ZnJoMgloLjIwNmlwemEyCWguNGs2NjhuMzIJaC4yemJnaXV3MgloLjFlZ3F0MnAyCWguM3lnZWJxaTIJaC4xNDduMnpyMgloLjNvN2Fsbms4AHIhMWxGbDJtdE1VYWJFUGVPdkFkVzRhUWxfNmI3MFV0SX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34</Pages>
  <Words>8642</Words>
  <Characters>47537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2025-02-07T19:19:00Z</cp:lastPrinted>
  <dcterms:created xsi:type="dcterms:W3CDTF">2025-02-04T17:38:00Z</dcterms:created>
  <dcterms:modified xsi:type="dcterms:W3CDTF">2025-03-18T19:23:00Z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