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3F1A8" w14:textId="77777777" w:rsidR="00E97930" w:rsidRDefault="00E97930" w:rsidP="00A23A91">
      <w:pPr>
        <w:widowControl w:val="0"/>
        <w:pBdr>
          <w:top w:val="nil"/>
          <w:left w:val="nil"/>
          <w:bottom w:val="nil"/>
          <w:right w:val="nil"/>
          <w:between w:val="nil"/>
        </w:pBdr>
        <w:spacing w:line="360" w:lineRule="auto"/>
      </w:pPr>
    </w:p>
    <w:p w14:paraId="3B1A8F4D" w14:textId="77777777" w:rsidR="00E97930" w:rsidRDefault="00E97930" w:rsidP="00A23A91">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bookmarkStart w:id="0" w:name="_heading=h.1o9x626q3ofc" w:colFirst="0" w:colLast="0"/>
      <w:bookmarkEnd w:id="0"/>
    </w:p>
    <w:p w14:paraId="04F84B94" w14:textId="77777777" w:rsidR="00E97930" w:rsidRDefault="001C2B4E" w:rsidP="00A23A91">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RECURSO DE REVISIÓN 02541/INFOEM/IP/RR/2025</w:t>
      </w:r>
    </w:p>
    <w:p w14:paraId="44780EA2" w14:textId="77777777" w:rsidR="00E97930" w:rsidRDefault="00E97930" w:rsidP="00A23A91">
      <w:pPr>
        <w:keepNext/>
        <w:keepLines/>
        <w:pBdr>
          <w:top w:val="nil"/>
          <w:left w:val="nil"/>
          <w:bottom w:val="nil"/>
          <w:right w:val="nil"/>
          <w:between w:val="nil"/>
        </w:pBdr>
        <w:spacing w:line="360" w:lineRule="auto"/>
        <w:rPr>
          <w:rFonts w:ascii="Palatino Linotype" w:eastAsia="Palatino Linotype" w:hAnsi="Palatino Linotype" w:cs="Palatino Linotype"/>
          <w:color w:val="000000"/>
          <w:sz w:val="22"/>
          <w:szCs w:val="22"/>
        </w:rPr>
      </w:pPr>
    </w:p>
    <w:sdt>
      <w:sdtPr>
        <w:id w:val="-796484491"/>
        <w:docPartObj>
          <w:docPartGallery w:val="Table of Contents"/>
          <w:docPartUnique/>
        </w:docPartObj>
      </w:sdtPr>
      <w:sdtEndPr/>
      <w:sdtContent>
        <w:p w14:paraId="4CD63A96" w14:textId="77777777" w:rsidR="00E97930" w:rsidRDefault="001C2B4E" w:rsidP="00A23A91">
          <w:pPr>
            <w:pBdr>
              <w:top w:val="nil"/>
              <w:left w:val="nil"/>
              <w:bottom w:val="nil"/>
              <w:right w:val="nil"/>
              <w:between w:val="nil"/>
            </w:pBdr>
            <w:tabs>
              <w:tab w:val="right" w:pos="8828"/>
            </w:tabs>
            <w:spacing w:line="360" w:lineRule="auto"/>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fatnzi9vbjli">
            <w:r w:rsidR="00E97930">
              <w:rPr>
                <w:rFonts w:ascii="Palatino Linotype" w:eastAsia="Palatino Linotype" w:hAnsi="Palatino Linotype" w:cs="Palatino Linotype"/>
                <w:color w:val="000000"/>
                <w:sz w:val="22"/>
                <w:szCs w:val="22"/>
              </w:rPr>
              <w:t>A N T E C E D E N T E S</w:t>
            </w:r>
          </w:hyperlink>
          <w:hyperlink w:anchor="_heading=h.fatnzi9vbjli">
            <w:r w:rsidR="00E97930">
              <w:rPr>
                <w:rFonts w:ascii="Calibri" w:eastAsia="Calibri" w:hAnsi="Calibri" w:cs="Calibri"/>
                <w:color w:val="000000"/>
                <w:sz w:val="22"/>
                <w:szCs w:val="22"/>
              </w:rPr>
              <w:tab/>
              <w:t>2</w:t>
            </w:r>
          </w:hyperlink>
        </w:p>
        <w:p w14:paraId="51926F3F"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j7yt9fhah8yp">
            <w:r w:rsidR="00E97930">
              <w:rPr>
                <w:rFonts w:ascii="Palatino Linotype" w:eastAsia="Palatino Linotype" w:hAnsi="Palatino Linotype" w:cs="Palatino Linotype"/>
                <w:color w:val="000000"/>
                <w:sz w:val="22"/>
                <w:szCs w:val="22"/>
              </w:rPr>
              <w:t>I. Presentación de la solicitud de información</w:t>
            </w:r>
          </w:hyperlink>
          <w:hyperlink w:anchor="_heading=h.j7yt9fhah8yp">
            <w:r w:rsidR="00E97930">
              <w:rPr>
                <w:rFonts w:ascii="Calibri" w:eastAsia="Calibri" w:hAnsi="Calibri" w:cs="Calibri"/>
                <w:color w:val="000000"/>
                <w:sz w:val="22"/>
                <w:szCs w:val="22"/>
              </w:rPr>
              <w:tab/>
              <w:t>2</w:t>
            </w:r>
          </w:hyperlink>
        </w:p>
        <w:p w14:paraId="79C2AD28"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8xcs6n9w4jjm">
            <w:r w:rsidR="00E97930">
              <w:rPr>
                <w:rFonts w:ascii="Palatino Linotype" w:eastAsia="Palatino Linotype" w:hAnsi="Palatino Linotype" w:cs="Palatino Linotype"/>
                <w:color w:val="000000"/>
                <w:sz w:val="22"/>
                <w:szCs w:val="22"/>
              </w:rPr>
              <w:t>II. Solicitud de Aclaración</w:t>
            </w:r>
          </w:hyperlink>
          <w:hyperlink w:anchor="_heading=h.8xcs6n9w4jjm">
            <w:r w:rsidR="00E97930">
              <w:rPr>
                <w:rFonts w:ascii="Calibri" w:eastAsia="Calibri" w:hAnsi="Calibri" w:cs="Calibri"/>
                <w:color w:val="000000"/>
                <w:sz w:val="22"/>
                <w:szCs w:val="22"/>
              </w:rPr>
              <w:tab/>
              <w:t>4</w:t>
            </w:r>
          </w:hyperlink>
        </w:p>
        <w:p w14:paraId="3C79DF9A"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vr1leyhkd84u">
            <w:r w:rsidR="00E97930">
              <w:rPr>
                <w:rFonts w:ascii="Palatino Linotype" w:eastAsia="Palatino Linotype" w:hAnsi="Palatino Linotype" w:cs="Palatino Linotype"/>
                <w:color w:val="000000"/>
                <w:sz w:val="22"/>
                <w:szCs w:val="22"/>
              </w:rPr>
              <w:t>III. Desahogo de la aclaración por parte del Solicitante.</w:t>
            </w:r>
          </w:hyperlink>
          <w:hyperlink w:anchor="_heading=h.vr1leyhkd84u">
            <w:r w:rsidR="00E97930">
              <w:rPr>
                <w:rFonts w:ascii="Calibri" w:eastAsia="Calibri" w:hAnsi="Calibri" w:cs="Calibri"/>
                <w:color w:val="000000"/>
                <w:sz w:val="22"/>
                <w:szCs w:val="22"/>
              </w:rPr>
              <w:tab/>
              <w:t>5</w:t>
            </w:r>
          </w:hyperlink>
        </w:p>
        <w:p w14:paraId="2A83EB64"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8xcs6n9w4jjm">
            <w:r w:rsidR="00E97930">
              <w:rPr>
                <w:rFonts w:ascii="Palatino Linotype" w:eastAsia="Palatino Linotype" w:hAnsi="Palatino Linotype" w:cs="Palatino Linotype"/>
                <w:color w:val="000000"/>
                <w:sz w:val="22"/>
                <w:szCs w:val="22"/>
              </w:rPr>
              <w:t>IV. Respuesta del Sujeto Obligado</w:t>
            </w:r>
          </w:hyperlink>
          <w:hyperlink w:anchor="_heading=h.8xcs6n9w4jjm">
            <w:r w:rsidR="00E97930">
              <w:rPr>
                <w:rFonts w:ascii="Calibri" w:eastAsia="Calibri" w:hAnsi="Calibri" w:cs="Calibri"/>
                <w:color w:val="000000"/>
                <w:sz w:val="22"/>
                <w:szCs w:val="22"/>
              </w:rPr>
              <w:tab/>
              <w:t>5</w:t>
            </w:r>
          </w:hyperlink>
        </w:p>
        <w:p w14:paraId="21EA2A01"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e63oxktz2v54">
            <w:r w:rsidR="00E97930">
              <w:rPr>
                <w:rFonts w:ascii="Palatino Linotype" w:eastAsia="Palatino Linotype" w:hAnsi="Palatino Linotype" w:cs="Palatino Linotype"/>
                <w:color w:val="000000"/>
                <w:sz w:val="22"/>
                <w:szCs w:val="22"/>
              </w:rPr>
              <w:t>V. Interposición del Recurso de Revisión</w:t>
            </w:r>
          </w:hyperlink>
          <w:hyperlink w:anchor="_heading=h.e63oxktz2v54">
            <w:r w:rsidR="00E97930">
              <w:rPr>
                <w:rFonts w:ascii="Calibri" w:eastAsia="Calibri" w:hAnsi="Calibri" w:cs="Calibri"/>
                <w:color w:val="000000"/>
                <w:sz w:val="22"/>
                <w:szCs w:val="22"/>
              </w:rPr>
              <w:tab/>
              <w:t>6</w:t>
            </w:r>
          </w:hyperlink>
        </w:p>
        <w:p w14:paraId="2F5A3790"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efkxc14qt9k3">
            <w:r w:rsidR="00E97930">
              <w:rPr>
                <w:rFonts w:ascii="Palatino Linotype" w:eastAsia="Palatino Linotype" w:hAnsi="Palatino Linotype" w:cs="Palatino Linotype"/>
                <w:color w:val="000000"/>
                <w:sz w:val="22"/>
                <w:szCs w:val="22"/>
              </w:rPr>
              <w:t>VI. Trámite del Recurso de Revisión ante este Instituto</w:t>
            </w:r>
          </w:hyperlink>
          <w:hyperlink w:anchor="_heading=h.efkxc14qt9k3">
            <w:r w:rsidR="00E97930">
              <w:rPr>
                <w:rFonts w:ascii="Calibri" w:eastAsia="Calibri" w:hAnsi="Calibri" w:cs="Calibri"/>
                <w:color w:val="000000"/>
                <w:sz w:val="22"/>
                <w:szCs w:val="22"/>
              </w:rPr>
              <w:tab/>
              <w:t>6</w:t>
            </w:r>
          </w:hyperlink>
        </w:p>
        <w:p w14:paraId="331268EE" w14:textId="77777777" w:rsidR="00E97930" w:rsidRDefault="0040259C" w:rsidP="00A23A91">
          <w:pPr>
            <w:pBdr>
              <w:top w:val="nil"/>
              <w:left w:val="nil"/>
              <w:bottom w:val="nil"/>
              <w:right w:val="nil"/>
              <w:between w:val="nil"/>
            </w:pBdr>
            <w:tabs>
              <w:tab w:val="right" w:pos="8828"/>
            </w:tabs>
            <w:spacing w:line="360" w:lineRule="auto"/>
            <w:rPr>
              <w:rFonts w:ascii="Calibri" w:eastAsia="Calibri" w:hAnsi="Calibri" w:cs="Calibri"/>
              <w:color w:val="000000"/>
              <w:sz w:val="24"/>
              <w:szCs w:val="24"/>
            </w:rPr>
          </w:pPr>
          <w:hyperlink w:anchor="_heading=h.j1i4m2ohptz8">
            <w:r w:rsidR="00E97930">
              <w:rPr>
                <w:rFonts w:ascii="Palatino Linotype" w:eastAsia="Palatino Linotype" w:hAnsi="Palatino Linotype" w:cs="Palatino Linotype"/>
                <w:color w:val="000000"/>
                <w:sz w:val="22"/>
                <w:szCs w:val="22"/>
              </w:rPr>
              <w:t>C O N S I D E R A N D O S</w:t>
            </w:r>
          </w:hyperlink>
          <w:hyperlink w:anchor="_heading=h.j1i4m2ohptz8">
            <w:r w:rsidR="00E97930">
              <w:rPr>
                <w:rFonts w:ascii="Calibri" w:eastAsia="Calibri" w:hAnsi="Calibri" w:cs="Calibri"/>
                <w:color w:val="000000"/>
                <w:sz w:val="22"/>
                <w:szCs w:val="22"/>
              </w:rPr>
              <w:tab/>
              <w:t>8</w:t>
            </w:r>
          </w:hyperlink>
        </w:p>
        <w:p w14:paraId="64502F3A"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xfv6c6cbp5ks">
            <w:r w:rsidR="00E97930">
              <w:rPr>
                <w:rFonts w:ascii="Palatino Linotype" w:eastAsia="Palatino Linotype" w:hAnsi="Palatino Linotype" w:cs="Palatino Linotype"/>
                <w:color w:val="000000"/>
                <w:sz w:val="22"/>
                <w:szCs w:val="22"/>
              </w:rPr>
              <w:t>PRIMERO. Competencia</w:t>
            </w:r>
          </w:hyperlink>
          <w:hyperlink w:anchor="_heading=h.xfv6c6cbp5ks">
            <w:r w:rsidR="00E97930">
              <w:rPr>
                <w:rFonts w:ascii="Calibri" w:eastAsia="Calibri" w:hAnsi="Calibri" w:cs="Calibri"/>
                <w:color w:val="000000"/>
                <w:sz w:val="22"/>
                <w:szCs w:val="22"/>
              </w:rPr>
              <w:tab/>
              <w:t>8</w:t>
            </w:r>
          </w:hyperlink>
        </w:p>
        <w:p w14:paraId="7330A9D2"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2mk1z1x8g1p">
            <w:r w:rsidR="00E97930">
              <w:rPr>
                <w:rFonts w:ascii="Palatino Linotype" w:eastAsia="Palatino Linotype" w:hAnsi="Palatino Linotype" w:cs="Palatino Linotype"/>
                <w:color w:val="000000"/>
                <w:sz w:val="22"/>
                <w:szCs w:val="22"/>
              </w:rPr>
              <w:t>SEGUNDO. Causales de improcedencia y sobreseimiento</w:t>
            </w:r>
          </w:hyperlink>
          <w:hyperlink w:anchor="_heading=h.2mk1z1x8g1p">
            <w:r w:rsidR="00E97930">
              <w:rPr>
                <w:rFonts w:ascii="Calibri" w:eastAsia="Calibri" w:hAnsi="Calibri" w:cs="Calibri"/>
                <w:color w:val="000000"/>
                <w:sz w:val="22"/>
                <w:szCs w:val="22"/>
              </w:rPr>
              <w:tab/>
              <w:t>9</w:t>
            </w:r>
          </w:hyperlink>
        </w:p>
        <w:p w14:paraId="2CEFD0C1"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rpfq3bkainb2">
            <w:r w:rsidR="00E97930">
              <w:rPr>
                <w:rFonts w:ascii="Palatino Linotype" w:eastAsia="Palatino Linotype" w:hAnsi="Palatino Linotype" w:cs="Palatino Linotype"/>
                <w:color w:val="000000"/>
                <w:sz w:val="22"/>
                <w:szCs w:val="22"/>
              </w:rPr>
              <w:t>TERCERO. Determinación de la Controversia</w:t>
            </w:r>
          </w:hyperlink>
          <w:hyperlink w:anchor="_heading=h.rpfq3bkainb2">
            <w:r w:rsidR="00E97930">
              <w:rPr>
                <w:rFonts w:ascii="Calibri" w:eastAsia="Calibri" w:hAnsi="Calibri" w:cs="Calibri"/>
                <w:color w:val="000000"/>
                <w:sz w:val="22"/>
                <w:szCs w:val="22"/>
              </w:rPr>
              <w:tab/>
              <w:t>10</w:t>
            </w:r>
          </w:hyperlink>
        </w:p>
        <w:p w14:paraId="07285282"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h8tpf2p3vejq">
            <w:r w:rsidR="00E97930">
              <w:rPr>
                <w:rFonts w:ascii="Palatino Linotype" w:eastAsia="Palatino Linotype" w:hAnsi="Palatino Linotype" w:cs="Palatino Linotype"/>
                <w:color w:val="000000"/>
                <w:sz w:val="22"/>
                <w:szCs w:val="22"/>
              </w:rPr>
              <w:t>CUARTO. Marco normativo aplicable en materia de transparencia y acceso a la información pública</w:t>
            </w:r>
          </w:hyperlink>
          <w:hyperlink w:anchor="_heading=h.h8tpf2p3vejq">
            <w:r w:rsidR="00E97930">
              <w:rPr>
                <w:rFonts w:ascii="Calibri" w:eastAsia="Calibri" w:hAnsi="Calibri" w:cs="Calibri"/>
                <w:color w:val="000000"/>
                <w:sz w:val="22"/>
                <w:szCs w:val="22"/>
              </w:rPr>
              <w:tab/>
              <w:t>13</w:t>
            </w:r>
          </w:hyperlink>
        </w:p>
        <w:p w14:paraId="30F20943"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jauwddie30w3">
            <w:r w:rsidR="00E97930">
              <w:rPr>
                <w:rFonts w:ascii="Palatino Linotype" w:eastAsia="Palatino Linotype" w:hAnsi="Palatino Linotype" w:cs="Palatino Linotype"/>
                <w:color w:val="000000"/>
                <w:sz w:val="22"/>
                <w:szCs w:val="22"/>
              </w:rPr>
              <w:t>QUINTO. Estudio de Fondo</w:t>
            </w:r>
          </w:hyperlink>
          <w:hyperlink w:anchor="_heading=h.jauwddie30w3">
            <w:r w:rsidR="00E97930">
              <w:rPr>
                <w:rFonts w:ascii="Calibri" w:eastAsia="Calibri" w:hAnsi="Calibri" w:cs="Calibri"/>
                <w:color w:val="000000"/>
                <w:sz w:val="22"/>
                <w:szCs w:val="22"/>
              </w:rPr>
              <w:tab/>
              <w:t>14</w:t>
            </w:r>
          </w:hyperlink>
        </w:p>
        <w:p w14:paraId="505A267B" w14:textId="77777777" w:rsidR="00E97930" w:rsidRDefault="0040259C" w:rsidP="00A23A91">
          <w:pPr>
            <w:pBdr>
              <w:top w:val="nil"/>
              <w:left w:val="nil"/>
              <w:bottom w:val="nil"/>
              <w:right w:val="nil"/>
              <w:between w:val="nil"/>
            </w:pBdr>
            <w:tabs>
              <w:tab w:val="right" w:pos="8828"/>
            </w:tabs>
            <w:spacing w:line="360" w:lineRule="auto"/>
            <w:ind w:left="220"/>
            <w:jc w:val="both"/>
            <w:rPr>
              <w:rFonts w:ascii="Calibri" w:eastAsia="Calibri" w:hAnsi="Calibri" w:cs="Calibri"/>
              <w:color w:val="000000"/>
              <w:sz w:val="24"/>
              <w:szCs w:val="24"/>
            </w:rPr>
          </w:pPr>
          <w:hyperlink w:anchor="_heading=h.6wvi52tlthj8">
            <w:r w:rsidR="00E97930">
              <w:rPr>
                <w:rFonts w:ascii="Palatino Linotype" w:eastAsia="Palatino Linotype" w:hAnsi="Palatino Linotype" w:cs="Palatino Linotype"/>
                <w:color w:val="000000"/>
                <w:sz w:val="22"/>
                <w:szCs w:val="22"/>
              </w:rPr>
              <w:t>SEXTO. Decisión</w:t>
            </w:r>
          </w:hyperlink>
          <w:hyperlink w:anchor="_heading=h.6wvi52tlthj8">
            <w:r w:rsidR="00E97930">
              <w:rPr>
                <w:rFonts w:ascii="Calibri" w:eastAsia="Calibri" w:hAnsi="Calibri" w:cs="Calibri"/>
                <w:color w:val="000000"/>
                <w:sz w:val="22"/>
                <w:szCs w:val="22"/>
              </w:rPr>
              <w:tab/>
              <w:t>29</w:t>
            </w:r>
          </w:hyperlink>
        </w:p>
        <w:p w14:paraId="2D83200A" w14:textId="77777777" w:rsidR="00E97930" w:rsidRDefault="0040259C" w:rsidP="00A23A91">
          <w:pPr>
            <w:pBdr>
              <w:top w:val="nil"/>
              <w:left w:val="nil"/>
              <w:bottom w:val="nil"/>
              <w:right w:val="nil"/>
              <w:between w:val="nil"/>
            </w:pBdr>
            <w:tabs>
              <w:tab w:val="right" w:pos="8828"/>
            </w:tabs>
            <w:spacing w:line="360" w:lineRule="auto"/>
            <w:rPr>
              <w:rFonts w:ascii="Calibri" w:eastAsia="Calibri" w:hAnsi="Calibri" w:cs="Calibri"/>
              <w:color w:val="000000"/>
              <w:sz w:val="24"/>
              <w:szCs w:val="24"/>
            </w:rPr>
          </w:pPr>
          <w:hyperlink w:anchor="_heading=h.gvp5g39g5sqk">
            <w:r w:rsidR="00E97930">
              <w:rPr>
                <w:rFonts w:ascii="Palatino Linotype" w:eastAsia="Palatino Linotype" w:hAnsi="Palatino Linotype" w:cs="Palatino Linotype"/>
                <w:color w:val="000000"/>
                <w:sz w:val="22"/>
                <w:szCs w:val="22"/>
              </w:rPr>
              <w:t>R E S U E L V E</w:t>
            </w:r>
          </w:hyperlink>
          <w:hyperlink w:anchor="_heading=h.gvp5g39g5sqk">
            <w:r w:rsidR="00E97930">
              <w:rPr>
                <w:rFonts w:ascii="Calibri" w:eastAsia="Calibri" w:hAnsi="Calibri" w:cs="Calibri"/>
                <w:color w:val="000000"/>
                <w:sz w:val="22"/>
                <w:szCs w:val="22"/>
              </w:rPr>
              <w:tab/>
              <w:t>30</w:t>
            </w:r>
          </w:hyperlink>
        </w:p>
        <w:p w14:paraId="1A70F3EE" w14:textId="77777777" w:rsidR="00E97930" w:rsidRDefault="001C2B4E" w:rsidP="00A23A91">
          <w:pPr>
            <w:spacing w:line="360" w:lineRule="auto"/>
            <w:jc w:val="both"/>
            <w:rPr>
              <w:rFonts w:ascii="Palatino Linotype" w:eastAsia="Palatino Linotype" w:hAnsi="Palatino Linotype" w:cs="Palatino Linotype"/>
              <w:sz w:val="22"/>
              <w:szCs w:val="22"/>
            </w:rPr>
          </w:pPr>
          <w:r>
            <w:fldChar w:fldCharType="end"/>
          </w:r>
        </w:p>
      </w:sdtContent>
    </w:sdt>
    <w:p w14:paraId="7A4AB232" w14:textId="77777777" w:rsidR="00E97930" w:rsidRDefault="001C2B4E" w:rsidP="00A23A91">
      <w:pPr>
        <w:spacing w:line="360" w:lineRule="auto"/>
        <w:rPr>
          <w:rFonts w:ascii="Palatino Linotype" w:eastAsia="Palatino Linotype" w:hAnsi="Palatino Linotype" w:cs="Palatino Linotype"/>
          <w:sz w:val="22"/>
          <w:szCs w:val="22"/>
        </w:rPr>
      </w:pPr>
      <w:r>
        <w:br w:type="page"/>
      </w:r>
    </w:p>
    <w:p w14:paraId="1EA325F9" w14:textId="77777777" w:rsidR="00E97930" w:rsidRDefault="00E97930" w:rsidP="00A23A91">
      <w:pPr>
        <w:spacing w:line="360" w:lineRule="auto"/>
        <w:jc w:val="both"/>
        <w:rPr>
          <w:rFonts w:ascii="Palatino Linotype" w:eastAsia="Palatino Linotype" w:hAnsi="Palatino Linotype" w:cs="Palatino Linotype"/>
          <w:sz w:val="22"/>
          <w:szCs w:val="22"/>
        </w:rPr>
      </w:pPr>
    </w:p>
    <w:p w14:paraId="73F47408" w14:textId="49125D46"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del </w:t>
      </w:r>
      <w:r w:rsidR="00D629F5">
        <w:rPr>
          <w:rFonts w:ascii="Palatino Linotype" w:eastAsia="Palatino Linotype" w:hAnsi="Palatino Linotype" w:cs="Palatino Linotype"/>
          <w:sz w:val="22"/>
          <w:szCs w:val="22"/>
        </w:rPr>
        <w:t xml:space="preserve">dieciocho </w:t>
      </w:r>
      <w:r>
        <w:rPr>
          <w:rFonts w:ascii="Palatino Linotype" w:eastAsia="Palatino Linotype" w:hAnsi="Palatino Linotype" w:cs="Palatino Linotype"/>
          <w:sz w:val="22"/>
          <w:szCs w:val="22"/>
        </w:rPr>
        <w:t>de septiembre de dos mil veinticinco.</w:t>
      </w:r>
    </w:p>
    <w:p w14:paraId="0414480D" w14:textId="77777777" w:rsidR="00E97930" w:rsidRDefault="00E97930" w:rsidP="00A23A91">
      <w:pPr>
        <w:spacing w:line="360" w:lineRule="auto"/>
        <w:rPr>
          <w:rFonts w:ascii="Palatino Linotype" w:eastAsia="Palatino Linotype" w:hAnsi="Palatino Linotype" w:cs="Palatino Linotype"/>
          <w:sz w:val="22"/>
          <w:szCs w:val="22"/>
        </w:rPr>
      </w:pPr>
    </w:p>
    <w:p w14:paraId="191CD8FE"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9843CF">
        <w:rPr>
          <w:rFonts w:ascii="Palatino Linotype" w:eastAsia="Palatino Linotype" w:hAnsi="Palatino Linotype" w:cs="Palatino Linotype"/>
          <w:b/>
          <w:sz w:val="22"/>
          <w:szCs w:val="22"/>
        </w:rPr>
        <w:t>02541/INFOEM/IP/RR/2025</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color w:val="0D0D0D"/>
          <w:sz w:val="22"/>
          <w:szCs w:val="22"/>
        </w:rPr>
        <w:t xml:space="preserve">interpuesto por </w:t>
      </w:r>
      <w:r>
        <w:rPr>
          <w:rFonts w:ascii="Palatino Linotype" w:eastAsia="Palatino Linotype" w:hAnsi="Palatino Linotype" w:cs="Palatino Linotype"/>
          <w:sz w:val="22"/>
          <w:szCs w:val="22"/>
        </w:rPr>
        <w:t xml:space="preserve">el </w:t>
      </w:r>
      <w:r>
        <w:rPr>
          <w:rFonts w:ascii="Palatino Linotype" w:eastAsia="Palatino Linotype" w:hAnsi="Palatino Linotype" w:cs="Palatino Linotype"/>
          <w:color w:val="0D0D0D"/>
          <w:sz w:val="22"/>
          <w:szCs w:val="22"/>
        </w:rPr>
        <w:t xml:space="preserve">Recurrente o Particular, en contra de la </w:t>
      </w:r>
      <w:bookmarkStart w:id="1" w:name="_GoBack"/>
      <w:r w:rsidRPr="009843CF">
        <w:rPr>
          <w:rFonts w:ascii="Palatino Linotype" w:eastAsia="Palatino Linotype" w:hAnsi="Palatino Linotype" w:cs="Palatino Linotype"/>
          <w:b/>
          <w:sz w:val="22"/>
          <w:szCs w:val="22"/>
        </w:rPr>
        <w:t>Comisión del Agua del Estado de México</w:t>
      </w:r>
      <w:bookmarkEnd w:id="1"/>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00063/CAEM/IP/2025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02BD3995"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056AA2C" w14:textId="77777777" w:rsidR="00E97930" w:rsidRDefault="001C2B4E" w:rsidP="00A23A91">
      <w:pPr>
        <w:pStyle w:val="Ttulo1"/>
        <w:spacing w:before="0" w:after="0" w:line="360" w:lineRule="auto"/>
        <w:jc w:val="center"/>
        <w:rPr>
          <w:rFonts w:ascii="Palatino Linotype" w:eastAsia="Palatino Linotype" w:hAnsi="Palatino Linotype" w:cs="Palatino Linotype"/>
          <w:b/>
          <w:color w:val="000000"/>
          <w:sz w:val="22"/>
          <w:szCs w:val="22"/>
        </w:rPr>
      </w:pPr>
      <w:bookmarkStart w:id="2" w:name="_heading=h.fatnzi9vbjli" w:colFirst="0" w:colLast="0"/>
      <w:bookmarkEnd w:id="2"/>
      <w:r>
        <w:rPr>
          <w:rFonts w:ascii="Palatino Linotype" w:eastAsia="Palatino Linotype" w:hAnsi="Palatino Linotype" w:cs="Palatino Linotype"/>
          <w:b/>
          <w:color w:val="000000"/>
          <w:sz w:val="22"/>
          <w:szCs w:val="22"/>
        </w:rPr>
        <w:t>A N T E C E D E N T E S</w:t>
      </w:r>
    </w:p>
    <w:p w14:paraId="07CB37CD" w14:textId="77777777" w:rsidR="00E97930" w:rsidRDefault="00E97930" w:rsidP="00A23A91">
      <w:pPr>
        <w:spacing w:line="360" w:lineRule="auto"/>
      </w:pPr>
    </w:p>
    <w:p w14:paraId="1A28677A"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3" w:name="_heading=h.j7yt9fhah8yp" w:colFirst="0" w:colLast="0"/>
      <w:bookmarkEnd w:id="3"/>
      <w:r>
        <w:rPr>
          <w:rFonts w:ascii="Palatino Linotype" w:eastAsia="Palatino Linotype" w:hAnsi="Palatino Linotype" w:cs="Palatino Linotype"/>
          <w:b/>
          <w:color w:val="000000"/>
          <w:sz w:val="22"/>
          <w:szCs w:val="22"/>
        </w:rPr>
        <w:t>I. Presentación de la solicitud de información</w:t>
      </w:r>
    </w:p>
    <w:p w14:paraId="1B16690C" w14:textId="77777777" w:rsidR="00E97930" w:rsidRDefault="00E97930" w:rsidP="00A23A9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14:paraId="45C8ADE7" w14:textId="77777777" w:rsidR="00E97930" w:rsidRDefault="001C2B4E" w:rsidP="00A23A9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veintinueve de enero de dos mil veinticinco, el Particular presentó una solicitud de acceso a la información pública, a través del Sistema de Acceso a la Información Mexiquense, en lo sucesivo el SAIMEX, ante la Comisión del Agua del Estado de México, mediante la cual requirió lo siguiente:</w:t>
      </w:r>
    </w:p>
    <w:p w14:paraId="3EC447C4" w14:textId="77777777" w:rsidR="00E97930" w:rsidRDefault="00E97930" w:rsidP="00A23A9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color w:val="000000"/>
        </w:rPr>
      </w:pPr>
    </w:p>
    <w:p w14:paraId="0B0203AC"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67538C50" w14:textId="77777777" w:rsidR="00E97930" w:rsidRDefault="001C2B4E" w:rsidP="00A23A91">
      <w:pPr>
        <w:spacing w:line="360" w:lineRule="auto"/>
        <w:ind w:left="567" w:right="567"/>
        <w:jc w:val="both"/>
        <w:rPr>
          <w:rFonts w:ascii="Palatino Linotype" w:eastAsia="Palatino Linotype" w:hAnsi="Palatino Linotype" w:cs="Palatino Linotype"/>
          <w:i/>
        </w:rPr>
      </w:pPr>
      <w:bookmarkStart w:id="4" w:name="_heading=h.6gxcm6qn46z7" w:colFirst="0" w:colLast="0"/>
      <w:bookmarkEnd w:id="4"/>
      <w:r>
        <w:rPr>
          <w:rFonts w:ascii="Palatino Linotype" w:eastAsia="Palatino Linotype" w:hAnsi="Palatino Linotype" w:cs="Palatino Linotype"/>
          <w:i/>
        </w:rPr>
        <w:t xml:space="preserve">A la vocal Ejecutivo de la Comisión del Agua y demás autoridades competentes de ese organismo, se les solicita respetuosamente, nos informe el número de bajas de personal por renuncia o remoción, los nombres de los servidores públicos que causaron baja des </w:t>
      </w:r>
      <w:proofErr w:type="spellStart"/>
      <w:r>
        <w:rPr>
          <w:rFonts w:ascii="Palatino Linotype" w:eastAsia="Palatino Linotype" w:hAnsi="Palatino Linotype" w:cs="Palatino Linotype"/>
          <w:i/>
        </w:rPr>
        <w:t>de el</w:t>
      </w:r>
      <w:proofErr w:type="spellEnd"/>
      <w:r>
        <w:rPr>
          <w:rFonts w:ascii="Palatino Linotype" w:eastAsia="Palatino Linotype" w:hAnsi="Palatino Linotype" w:cs="Palatino Linotype"/>
          <w:i/>
        </w:rPr>
        <w:t xml:space="preserve"> inicio de su administración (por remoción o renuncia) y el número de cheques que por finiquito se han expedido a favor de dichos </w:t>
      </w:r>
      <w:proofErr w:type="spellStart"/>
      <w:r>
        <w:rPr>
          <w:rFonts w:ascii="Palatino Linotype" w:eastAsia="Palatino Linotype" w:hAnsi="Palatino Linotype" w:cs="Palatino Linotype"/>
          <w:i/>
        </w:rPr>
        <w:t>extrabajadores</w:t>
      </w:r>
      <w:proofErr w:type="spellEnd"/>
      <w:r>
        <w:rPr>
          <w:rFonts w:ascii="Palatino Linotype" w:eastAsia="Palatino Linotype" w:hAnsi="Palatino Linotype" w:cs="Palatino Linotype"/>
          <w:i/>
        </w:rPr>
        <w:t xml:space="preserve">. Asimismo, le solicitamos amablemente nos informe si alguno de los Directores Generales a su digno cargo ha cometido actos de discriminación, de </w:t>
      </w:r>
      <w:r>
        <w:rPr>
          <w:rFonts w:ascii="Palatino Linotype" w:eastAsia="Palatino Linotype" w:hAnsi="Palatino Linotype" w:cs="Palatino Linotype"/>
          <w:i/>
        </w:rPr>
        <w:lastRenderedPageBreak/>
        <w:t xml:space="preserve">privación al salario o mandado paralizar la entrega de los ches de finiquitos a los trabajadores que causaron baja desde el 15 de noviembre del 2024 a la fecha de la presentación de la presente solicitud, para lo cual solicitamos todas las </w:t>
      </w:r>
      <w:proofErr w:type="spellStart"/>
      <w:r>
        <w:rPr>
          <w:rFonts w:ascii="Palatino Linotype" w:eastAsia="Palatino Linotype" w:hAnsi="Palatino Linotype" w:cs="Palatino Linotype"/>
          <w:i/>
        </w:rPr>
        <w:t>constanciasen</w:t>
      </w:r>
      <w:proofErr w:type="spellEnd"/>
      <w:r>
        <w:rPr>
          <w:rFonts w:ascii="Palatino Linotype" w:eastAsia="Palatino Linotype" w:hAnsi="Palatino Linotype" w:cs="Palatino Linotype"/>
          <w:i/>
        </w:rPr>
        <w:t xml:space="preserve"> su versión pública de las renuncias, emociones y cheques de finiquito en trámite o entregados a los ex servidores públicos mencionados. Finalmente, le solicitamos nos informe cuál es la normatividad y los tiempos para la entrega de finiquitos y el personal y nombres de los servidores públicos responsables en la falta de entrega de finiquitos a los </w:t>
      </w:r>
      <w:proofErr w:type="spellStart"/>
      <w:r>
        <w:rPr>
          <w:rFonts w:ascii="Palatino Linotype" w:eastAsia="Palatino Linotype" w:hAnsi="Palatino Linotype" w:cs="Palatino Linotype"/>
          <w:i/>
        </w:rPr>
        <w:t>extrabajadores</w:t>
      </w:r>
      <w:proofErr w:type="spellEnd"/>
      <w:r>
        <w:rPr>
          <w:rFonts w:ascii="Palatino Linotype" w:eastAsia="Palatino Linotype" w:hAnsi="Palatino Linotype" w:cs="Palatino Linotype"/>
          <w:i/>
        </w:rPr>
        <w:t xml:space="preserve">. Finalmente, solicitamos se nos informe si existen quejas y actos de intimidación por los cuales se ha privado a dichos </w:t>
      </w:r>
      <w:proofErr w:type="spellStart"/>
      <w:r>
        <w:rPr>
          <w:rFonts w:ascii="Palatino Linotype" w:eastAsia="Palatino Linotype" w:hAnsi="Palatino Linotype" w:cs="Palatino Linotype"/>
          <w:i/>
        </w:rPr>
        <w:t>extrabajadores</w:t>
      </w:r>
      <w:proofErr w:type="spellEnd"/>
      <w:r>
        <w:rPr>
          <w:rFonts w:ascii="Palatino Linotype" w:eastAsia="Palatino Linotype" w:hAnsi="Palatino Linotype" w:cs="Palatino Linotype"/>
          <w:i/>
        </w:rPr>
        <w:t xml:space="preserve"> de la entrega de finiquitos y si esa </w:t>
      </w:r>
      <w:proofErr w:type="spellStart"/>
      <w:r>
        <w:rPr>
          <w:rFonts w:ascii="Palatino Linotype" w:eastAsia="Palatino Linotype" w:hAnsi="Palatino Linotype" w:cs="Palatino Linotype"/>
          <w:i/>
        </w:rPr>
        <w:t>Vocalia</w:t>
      </w:r>
      <w:proofErr w:type="spellEnd"/>
      <w:r>
        <w:rPr>
          <w:rFonts w:ascii="Palatino Linotype" w:eastAsia="Palatino Linotype" w:hAnsi="Palatino Linotype" w:cs="Palatino Linotype"/>
          <w:i/>
        </w:rPr>
        <w:t xml:space="preserve"> ha denunciado ante el órgano interno la falta de entrega de finiquitos a los </w:t>
      </w:r>
      <w:proofErr w:type="spellStart"/>
      <w:r>
        <w:rPr>
          <w:rFonts w:ascii="Palatino Linotype" w:eastAsia="Palatino Linotype" w:hAnsi="Palatino Linotype" w:cs="Palatino Linotype"/>
          <w:i/>
        </w:rPr>
        <w:t>extrabajadores</w:t>
      </w:r>
      <w:proofErr w:type="spellEnd"/>
      <w:r>
        <w:rPr>
          <w:rFonts w:ascii="Palatino Linotype" w:eastAsia="Palatino Linotype" w:hAnsi="Palatino Linotype" w:cs="Palatino Linotype"/>
          <w:i/>
        </w:rPr>
        <w:t xml:space="preserve"> afectados que causaron baja del 01 de agosto del 2024 a la fecha de la presentación de esta solicitud.”  (Sic).</w:t>
      </w:r>
    </w:p>
    <w:p w14:paraId="0B3AC710" w14:textId="77777777" w:rsidR="00E97930" w:rsidRDefault="001C2B4E" w:rsidP="00A23A91">
      <w:pPr>
        <w:pBdr>
          <w:top w:val="nil"/>
          <w:left w:val="nil"/>
          <w:bottom w:val="nil"/>
          <w:right w:val="nil"/>
          <w:between w:val="nil"/>
        </w:pBdr>
        <w:tabs>
          <w:tab w:val="left" w:pos="567"/>
        </w:tabs>
        <w:spacing w:line="360" w:lineRule="auto"/>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b/>
      </w:r>
    </w:p>
    <w:p w14:paraId="68F356CD"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5A55D3D5" w14:textId="77777777" w:rsidR="00E97930" w:rsidRDefault="00E97930" w:rsidP="00A23A91">
      <w:pPr>
        <w:tabs>
          <w:tab w:val="left" w:pos="4667"/>
        </w:tabs>
        <w:spacing w:line="360" w:lineRule="auto"/>
        <w:ind w:right="567"/>
        <w:jc w:val="both"/>
        <w:rPr>
          <w:rFonts w:ascii="Palatino Linotype" w:eastAsia="Palatino Linotype" w:hAnsi="Palatino Linotype" w:cs="Palatino Linotype"/>
          <w:sz w:val="22"/>
          <w:szCs w:val="22"/>
        </w:rPr>
      </w:pPr>
    </w:p>
    <w:p w14:paraId="29AC78A8"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5" w:name="_heading=h.8xcs6n9w4jjm" w:colFirst="0" w:colLast="0"/>
      <w:bookmarkEnd w:id="5"/>
      <w:r>
        <w:rPr>
          <w:rFonts w:ascii="Palatino Linotype" w:eastAsia="Palatino Linotype" w:hAnsi="Palatino Linotype" w:cs="Palatino Linotype"/>
          <w:b/>
          <w:color w:val="000000"/>
          <w:sz w:val="22"/>
          <w:szCs w:val="22"/>
        </w:rPr>
        <w:t>II. Respuesta del Sujeto Obligado</w:t>
      </w:r>
    </w:p>
    <w:p w14:paraId="589D9C8C"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18B86B2"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fecha veinte de febrero de dos mil veinticinco, 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Sujeto Obligado dio respuesta a la solicitud de acceso a la información a través del SAIMEX, por medio de la digitalización de los documentos siguientes:</w:t>
      </w:r>
    </w:p>
    <w:p w14:paraId="50BB1A5A"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4EED7AC"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 Oficio número 219C0110010000S/00151/2025, de fecha de su presentación, suscrito por el Titular de la Unidad de Transparencia, dirigido al Solicitante, por medio del cual precisa que remite el oficio número 219C01160000200L/145/2025 de la Dirección General de Asuntos Jurídicos, y el oficio 219C0117L/0391/2025 de la Dirección de Administración y Finanzas por los cuales se otorga respuesta a la solicitud de información.</w:t>
      </w:r>
    </w:p>
    <w:p w14:paraId="49D4A751" w14:textId="77777777" w:rsidR="00E97930" w:rsidRDefault="00E97930" w:rsidP="00A23A91">
      <w:pPr>
        <w:spacing w:line="360" w:lineRule="auto"/>
        <w:jc w:val="both"/>
        <w:rPr>
          <w:rFonts w:ascii="Palatino Linotype" w:eastAsia="Palatino Linotype" w:hAnsi="Palatino Linotype" w:cs="Palatino Linotype"/>
          <w:sz w:val="22"/>
          <w:szCs w:val="22"/>
        </w:rPr>
      </w:pPr>
    </w:p>
    <w:p w14:paraId="7E23B35A"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ii) Oficio número 219C0117L/0391/2025, del diecinueve de febrero de dos mil veinticinco, suscrito por la Directora General de Administración y Finanzas, dirigido al Titular de la Unidad de Transparencia, por medio del cual manifiesta y expone esencialmente lo siguiente:</w:t>
      </w:r>
    </w:p>
    <w:p w14:paraId="3AA4773C" w14:textId="77777777" w:rsidR="00E97930" w:rsidRDefault="00E97930" w:rsidP="00A23A91">
      <w:pPr>
        <w:spacing w:line="360" w:lineRule="auto"/>
        <w:jc w:val="both"/>
        <w:rPr>
          <w:rFonts w:ascii="Palatino Linotype" w:eastAsia="Palatino Linotype" w:hAnsi="Palatino Linotype" w:cs="Palatino Linotype"/>
          <w:sz w:val="22"/>
          <w:szCs w:val="22"/>
        </w:rPr>
      </w:pPr>
    </w:p>
    <w:p w14:paraId="527F163B"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084C2AD"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Considerando lo anterior, previa búsqueda exhaustiva y razonable se adjunta relación con las bajas efectuadas durante el periodo comprendido del 24 de noviembre de 2024 al 31 de enero de 2025 siendo imprescindible señalar que durante los meses de diciembre y enero se generaron 373 finiquitos reiterando que en noviembre no obran registros.</w:t>
      </w:r>
    </w:p>
    <w:p w14:paraId="302D609C"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57DFFA97" w14:textId="57ABBE5C"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Por otro lado, debe considerarse respecto a </w:t>
      </w:r>
      <w:r>
        <w:rPr>
          <w:rFonts w:ascii="Palatino Linotype" w:eastAsia="Palatino Linotype" w:hAnsi="Palatino Linotype" w:cs="Palatino Linotype"/>
          <w:b/>
          <w:i/>
        </w:rPr>
        <w:t>“Asimismo, le solicitamos</w:t>
      </w:r>
      <w:r w:rsidR="00A23A91">
        <w:rPr>
          <w:rFonts w:ascii="Palatino Linotype" w:eastAsia="Palatino Linotype" w:hAnsi="Palatino Linotype" w:cs="Palatino Linotype"/>
          <w:b/>
          <w:i/>
        </w:rPr>
        <w:t xml:space="preserve"> </w:t>
      </w:r>
      <w:r>
        <w:rPr>
          <w:rFonts w:ascii="Palatino Linotype" w:eastAsia="Palatino Linotype" w:hAnsi="Palatino Linotype" w:cs="Palatino Linotype"/>
          <w:b/>
          <w:i/>
        </w:rPr>
        <w:t>amablemente nos informe si alguno de los Directores Generales a su digno cargo ha cometido actos de discriminación, de privación al salario o mando</w:t>
      </w:r>
      <w:r w:rsidR="00A23A91">
        <w:rPr>
          <w:rFonts w:ascii="Palatino Linotype" w:eastAsia="Palatino Linotype" w:hAnsi="Palatino Linotype" w:cs="Palatino Linotype"/>
          <w:b/>
          <w:i/>
        </w:rPr>
        <w:t xml:space="preserve"> </w:t>
      </w:r>
      <w:r>
        <w:rPr>
          <w:rFonts w:ascii="Palatino Linotype" w:eastAsia="Palatino Linotype" w:hAnsi="Palatino Linotype" w:cs="Palatino Linotype"/>
          <w:b/>
          <w:i/>
        </w:rPr>
        <w:t xml:space="preserve">paralizar la entrega de los ches de finiquitos a los trabajadores que causaron baja desde el 15 de noviembre del 2024 a la fecha de la presentación de la presen-te solicitud,” (SIC), “Final-mente, solicitamos se nos informe si existen quejas y actos de intimidación por los cuales se ha privado a dichos </w:t>
      </w:r>
      <w:proofErr w:type="spellStart"/>
      <w:r>
        <w:rPr>
          <w:rFonts w:ascii="Palatino Linotype" w:eastAsia="Palatino Linotype" w:hAnsi="Palatino Linotype" w:cs="Palatino Linotype"/>
          <w:b/>
          <w:i/>
        </w:rPr>
        <w:t>extrabajadores</w:t>
      </w:r>
      <w:proofErr w:type="spellEnd"/>
      <w:r>
        <w:rPr>
          <w:rFonts w:ascii="Palatino Linotype" w:eastAsia="Palatino Linotype" w:hAnsi="Palatino Linotype" w:cs="Palatino Linotype"/>
          <w:b/>
          <w:i/>
        </w:rPr>
        <w:t xml:space="preserve"> de la entrega de finiquitos y si esa </w:t>
      </w:r>
      <w:proofErr w:type="spellStart"/>
      <w:r>
        <w:rPr>
          <w:rFonts w:ascii="Palatino Linotype" w:eastAsia="Palatino Linotype" w:hAnsi="Palatino Linotype" w:cs="Palatino Linotype"/>
          <w:b/>
          <w:i/>
        </w:rPr>
        <w:t>Vocalia</w:t>
      </w:r>
      <w:proofErr w:type="spellEnd"/>
      <w:r>
        <w:rPr>
          <w:rFonts w:ascii="Palatino Linotype" w:eastAsia="Palatino Linotype" w:hAnsi="Palatino Linotype" w:cs="Palatino Linotype"/>
          <w:b/>
          <w:i/>
        </w:rPr>
        <w:t xml:space="preserve"> ha denunciado ante el órgano interno la falta de entrega de finiquitos a los </w:t>
      </w:r>
      <w:proofErr w:type="spellStart"/>
      <w:r>
        <w:rPr>
          <w:rFonts w:ascii="Palatino Linotype" w:eastAsia="Palatino Linotype" w:hAnsi="Palatino Linotype" w:cs="Palatino Linotype"/>
          <w:b/>
          <w:i/>
        </w:rPr>
        <w:t>extrabajadores</w:t>
      </w:r>
      <w:proofErr w:type="spellEnd"/>
      <w:r>
        <w:rPr>
          <w:rFonts w:ascii="Palatino Linotype" w:eastAsia="Palatino Linotype" w:hAnsi="Palatino Linotype" w:cs="Palatino Linotype"/>
          <w:b/>
          <w:i/>
        </w:rPr>
        <w:t xml:space="preserve"> afectados que causaron baja del 01 de agosto del2024 a la fecha de la presentación de esta solicitud.” (SIC) y, “y el personal y </w:t>
      </w:r>
      <w:proofErr w:type="spellStart"/>
      <w:r>
        <w:rPr>
          <w:rFonts w:ascii="Palatino Linotype" w:eastAsia="Palatino Linotype" w:hAnsi="Palatino Linotype" w:cs="Palatino Linotype"/>
          <w:b/>
          <w:i/>
        </w:rPr>
        <w:t>nom-bres</w:t>
      </w:r>
      <w:proofErr w:type="spellEnd"/>
      <w:r>
        <w:rPr>
          <w:rFonts w:ascii="Palatino Linotype" w:eastAsia="Palatino Linotype" w:hAnsi="Palatino Linotype" w:cs="Palatino Linotype"/>
          <w:b/>
          <w:i/>
        </w:rPr>
        <w:t xml:space="preserve"> de los servidores públicos responsables en la falta de entrega de finiquitos a los </w:t>
      </w:r>
      <w:proofErr w:type="spellStart"/>
      <w:r>
        <w:rPr>
          <w:rFonts w:ascii="Palatino Linotype" w:eastAsia="Palatino Linotype" w:hAnsi="Palatino Linotype" w:cs="Palatino Linotype"/>
          <w:b/>
          <w:i/>
        </w:rPr>
        <w:t>extrabajadores</w:t>
      </w:r>
      <w:proofErr w:type="spellEnd"/>
      <w:r>
        <w:rPr>
          <w:rFonts w:ascii="Palatino Linotype" w:eastAsia="Palatino Linotype" w:hAnsi="Palatino Linotype" w:cs="Palatino Linotype"/>
          <w:b/>
          <w:i/>
        </w:rPr>
        <w:t>” (SIC)</w:t>
      </w:r>
      <w:r>
        <w:rPr>
          <w:rFonts w:ascii="Palatino Linotype" w:eastAsia="Palatino Linotype" w:hAnsi="Palatino Linotype" w:cs="Palatino Linotype"/>
          <w:i/>
        </w:rPr>
        <w:t xml:space="preserve"> que esta Dirección General no ostenta funciones para pronunciarse al respecto.</w:t>
      </w:r>
    </w:p>
    <w:p w14:paraId="469D5C5B"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1DECDF4F" w14:textId="72B2BA6B" w:rsidR="00E97930" w:rsidRDefault="001C2B4E" w:rsidP="00A23A91">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i/>
        </w:rPr>
        <w:t xml:space="preserve">En atención, </w:t>
      </w:r>
      <w:r>
        <w:rPr>
          <w:rFonts w:ascii="Palatino Linotype" w:eastAsia="Palatino Linotype" w:hAnsi="Palatino Linotype" w:cs="Palatino Linotype"/>
          <w:b/>
          <w:i/>
        </w:rPr>
        <w:t>“para lo cual solicitamos todas las constancias</w:t>
      </w:r>
      <w:r w:rsidR="00A23A91">
        <w:rPr>
          <w:rFonts w:ascii="Palatino Linotype" w:eastAsia="Palatino Linotype" w:hAnsi="Palatino Linotype" w:cs="Palatino Linotype"/>
          <w:b/>
          <w:i/>
        </w:rPr>
        <w:t xml:space="preserve"> </w:t>
      </w:r>
      <w:r>
        <w:rPr>
          <w:rFonts w:ascii="Palatino Linotype" w:eastAsia="Palatino Linotype" w:hAnsi="Palatino Linotype" w:cs="Palatino Linotype"/>
          <w:b/>
          <w:i/>
        </w:rPr>
        <w:t xml:space="preserve">en su versión pública de las renuncias, emociones y cheques de finiquito en trámite o entregados a los ex servidores públicos mencionados” </w:t>
      </w:r>
      <w:r>
        <w:rPr>
          <w:rFonts w:ascii="Palatino Linotype" w:eastAsia="Palatino Linotype" w:hAnsi="Palatino Linotype" w:cs="Palatino Linotype"/>
          <w:i/>
        </w:rPr>
        <w:t xml:space="preserve">se externa que no se generan constancias de </w:t>
      </w:r>
      <w:r>
        <w:rPr>
          <w:rFonts w:ascii="Palatino Linotype" w:eastAsia="Palatino Linotype" w:hAnsi="Palatino Linotype" w:cs="Palatino Linotype"/>
          <w:b/>
          <w:i/>
        </w:rPr>
        <w:t>“renuncias, emociones y cheques de finiquito”.</w:t>
      </w:r>
    </w:p>
    <w:p w14:paraId="233FA1C8" w14:textId="77777777" w:rsidR="00E97930" w:rsidRDefault="00E97930" w:rsidP="00A23A91">
      <w:pPr>
        <w:spacing w:line="360" w:lineRule="auto"/>
        <w:ind w:left="567" w:right="567"/>
        <w:jc w:val="both"/>
        <w:rPr>
          <w:rFonts w:ascii="Palatino Linotype" w:eastAsia="Palatino Linotype" w:hAnsi="Palatino Linotype" w:cs="Palatino Linotype"/>
          <w:b/>
          <w:i/>
        </w:rPr>
      </w:pPr>
    </w:p>
    <w:p w14:paraId="5B2E4574"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Ahora bien, en atención a: </w:t>
      </w:r>
      <w:r>
        <w:rPr>
          <w:rFonts w:ascii="Palatino Linotype" w:eastAsia="Palatino Linotype" w:hAnsi="Palatino Linotype" w:cs="Palatino Linotype"/>
          <w:b/>
          <w:i/>
        </w:rPr>
        <w:t>“Finalmente, le solicitamos nos informe cuál es la normatividad y los tiempos para la entrega de finiquitos”</w:t>
      </w:r>
      <w:r>
        <w:rPr>
          <w:rFonts w:ascii="Palatino Linotype" w:eastAsia="Palatino Linotype" w:hAnsi="Palatino Linotype" w:cs="Palatino Linotype"/>
          <w:i/>
        </w:rPr>
        <w:t xml:space="preserve"> (SIC) se comunica que principalmente consiste en:</w:t>
      </w:r>
    </w:p>
    <w:p w14:paraId="192B5E24"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2FC74D3E"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Ley Federal del Trabajo;</w:t>
      </w:r>
    </w:p>
    <w:p w14:paraId="0BEB05EA"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Ley del Trabajo de los Servidores Públicos del Estado de México y Municipios;</w:t>
      </w:r>
    </w:p>
    <w:p w14:paraId="524E92EF"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Reglamento de Condiciones Generales de Trabajo de los Servidores Públicos de la Comisión de Agua del Estado de México;</w:t>
      </w:r>
    </w:p>
    <w:p w14:paraId="2B67CC1E"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Manual de Normas y Procedimientos de Derecho y Administración de Personal;</w:t>
      </w:r>
    </w:p>
    <w:p w14:paraId="480E66F3"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Procedimiento: para la Certificación de adeudo o no adeudos, Carta de No Adeudo y Finiquito</w:t>
      </w:r>
    </w:p>
    <w:p w14:paraId="6B906020" w14:textId="77777777" w:rsidR="00E97930" w:rsidRDefault="00E97930" w:rsidP="00A23A91">
      <w:pPr>
        <w:tabs>
          <w:tab w:val="left" w:pos="4667"/>
        </w:tabs>
        <w:spacing w:line="360" w:lineRule="auto"/>
        <w:ind w:left="567" w:right="567"/>
        <w:jc w:val="both"/>
        <w:rPr>
          <w:rFonts w:ascii="Palatino Linotype" w:eastAsia="Palatino Linotype" w:hAnsi="Palatino Linotype" w:cs="Palatino Linotype"/>
          <w:i/>
        </w:rPr>
      </w:pPr>
    </w:p>
    <w:p w14:paraId="1CC4A264"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Respecto a los tiempos para la entrega de finiquito, se adjunta copia simple de las páginas del procedimiento: para la Certificación de adeudo o no adeudo, Carta de No adeudo y Finiquito en las cuales se hace alusión al mismo.</w:t>
      </w:r>
    </w:p>
    <w:p w14:paraId="3E96860F"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FA1BBFA"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6AB52715"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iii) Extracto del “Procedimiento: Para la Certificación de Adeudo o No Adeudo, Carta de No Adeudo y Finiquito.</w:t>
      </w:r>
    </w:p>
    <w:p w14:paraId="42A9327C"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7002A16D"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iv) Relación de bajas de personal Grupo Tláloc, del veinticuatro de noviembre de dos mil veinticuatro al treinta y uno de enero de dos mil veinticinco.</w:t>
      </w:r>
    </w:p>
    <w:p w14:paraId="2FF7BF65"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4E7655A4"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 Relación de bajas de personal de base, del veinticuatro de noviembre de dos mil veinticuatro al treinta y uno de enero de dos mil veinticinco.</w:t>
      </w:r>
    </w:p>
    <w:p w14:paraId="2CC04727"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67765D16"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lastRenderedPageBreak/>
        <w:t>vi</w:t>
      </w:r>
      <w:proofErr w:type="gramEnd"/>
      <w:r>
        <w:rPr>
          <w:rFonts w:ascii="Palatino Linotype" w:eastAsia="Palatino Linotype" w:hAnsi="Palatino Linotype" w:cs="Palatino Linotype"/>
          <w:sz w:val="22"/>
          <w:szCs w:val="22"/>
        </w:rPr>
        <w:t>) Procedimiento Para la Certificación de Adeudo o No Adeudo, Carta de No Adeudo y Finiquito de febrero de dos mil veintidós.</w:t>
      </w:r>
    </w:p>
    <w:p w14:paraId="42DDFE7E"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5978F805"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vii) Ley de los Servidores Públicos del Estado de México y Municipios.</w:t>
      </w:r>
    </w:p>
    <w:p w14:paraId="10CFC644"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0DF5C824"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viii) Ley Federal del Trabajo.</w:t>
      </w:r>
    </w:p>
    <w:p w14:paraId="290BD1B7"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45791BA4"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ix) Reglamento de Condiciones Generales de Trabajo de los Servidores Públicos Generales de la Comisión del Agua del Estado de México.</w:t>
      </w:r>
    </w:p>
    <w:p w14:paraId="52264B54"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2224ACCF" w14:textId="77777777" w:rsidR="00E97930" w:rsidRDefault="001C2B4E" w:rsidP="00A23A91">
      <w:pPr>
        <w:tabs>
          <w:tab w:val="left" w:pos="4667"/>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 Oficio número 219C01160000200L/145/2025 del vente de febrero de dos mil veinticinco, suscrito por la Dirección General de Asuntos Jurídicos e Igualdad de Género, a través del cual manifiesta y expone esencialmente lo siguiente:</w:t>
      </w:r>
    </w:p>
    <w:p w14:paraId="74064C20" w14:textId="77777777" w:rsidR="00E97930" w:rsidRDefault="00E97930" w:rsidP="00A23A91">
      <w:pPr>
        <w:tabs>
          <w:tab w:val="left" w:pos="4667"/>
        </w:tabs>
        <w:spacing w:line="360" w:lineRule="auto"/>
        <w:jc w:val="both"/>
        <w:rPr>
          <w:rFonts w:ascii="Palatino Linotype" w:eastAsia="Palatino Linotype" w:hAnsi="Palatino Linotype" w:cs="Palatino Linotype"/>
          <w:sz w:val="22"/>
          <w:szCs w:val="22"/>
        </w:rPr>
      </w:pPr>
    </w:p>
    <w:p w14:paraId="30A35A0B"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5C21990"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Al respecto y derivado de las facultades y atribuciones contenidas en el Reglamento Interior y en el Manual General de Organizaciones de la Comisión del Agua del Estado de México, por lo que respecta a esta Dirección General de Asuntos Jurídicos e Igualdad de Género, se hace de su conocimiento que el número de cheques que por finiquito se ha expedido en el periodo solicitado a favor de dichos trabajadores, asciende a 470 (cuatrocientos setenta), asimismo se informa que de conformidad con la Ley de Transparencia y Acceso  a la Información pública del Estado de México y Municipios, respecto de los cheques que se encuentran en trámite no es viable su otorgamiento en virtud de que derivan de un procedimiento administrativo que no está firme y se encuentra substanciándose, en virtud de contener datos que son indispensables para el cobro del titular de dichos cheques, respecto a los cheques entregados, es importante señalar que para constancia y entrega se implementan los formatos contenidos en el Procedimiento: para la certificación de adeudo o no adeudo, carta de no adeudo y finiquito.”, misma que puede consultarse en el siguiente </w:t>
      </w:r>
      <w:r>
        <w:rPr>
          <w:rFonts w:ascii="Palatino Linotype" w:eastAsia="Palatino Linotype" w:hAnsi="Palatino Linotype" w:cs="Palatino Linotype"/>
          <w:i/>
        </w:rPr>
        <w:lastRenderedPageBreak/>
        <w:t xml:space="preserve">link: </w:t>
      </w:r>
      <w:hyperlink r:id="rId8">
        <w:r w:rsidR="00E97930">
          <w:rPr>
            <w:rFonts w:ascii="Palatino Linotype" w:eastAsia="Palatino Linotype" w:hAnsi="Palatino Linotype" w:cs="Palatino Linotype"/>
            <w:i/>
            <w:color w:val="0563C1"/>
            <w:u w:val="single"/>
          </w:rPr>
          <w:t>https://caem.edomex.gob.mx/sites/agua.edomex.mx/files/files/TramitesServicios/MejorasRegulatorias/ManualesyProce/Procedimientos/26ProceCertifiAdeudoNoAdeudoyFibiquito.pdf</w:t>
        </w:r>
      </w:hyperlink>
      <w:r>
        <w:rPr>
          <w:rFonts w:ascii="Palatino Linotype" w:eastAsia="Palatino Linotype" w:hAnsi="Palatino Linotype" w:cs="Palatino Linotype"/>
          <w:i/>
        </w:rPr>
        <w:t>, sirva de referencia la siguiente captura de pantalla, aunado a lo anterior se regresa constancia de las gestiones realizadas por esta Dirección General al área competente:</w:t>
      </w:r>
    </w:p>
    <w:p w14:paraId="025B5A52" w14:textId="77777777" w:rsidR="00E97930" w:rsidRDefault="00E97930" w:rsidP="00A23A91">
      <w:pPr>
        <w:tabs>
          <w:tab w:val="left" w:pos="4667"/>
        </w:tabs>
        <w:spacing w:line="360" w:lineRule="auto"/>
        <w:ind w:left="567" w:right="567"/>
        <w:jc w:val="both"/>
        <w:rPr>
          <w:rFonts w:ascii="Palatino Linotype" w:eastAsia="Palatino Linotype" w:hAnsi="Palatino Linotype" w:cs="Palatino Linotype"/>
          <w:i/>
        </w:rPr>
      </w:pPr>
    </w:p>
    <w:p w14:paraId="05A4A754" w14:textId="77777777" w:rsidR="00E97930" w:rsidRDefault="001C2B4E" w:rsidP="00A23A91">
      <w:pPr>
        <w:tabs>
          <w:tab w:val="left" w:pos="4667"/>
        </w:tabs>
        <w:spacing w:line="360" w:lineRule="auto"/>
        <w:ind w:left="567" w:right="567"/>
        <w:jc w:val="center"/>
        <w:rPr>
          <w:rFonts w:ascii="Palatino Linotype" w:eastAsia="Palatino Linotype" w:hAnsi="Palatino Linotype" w:cs="Palatino Linotype"/>
          <w:i/>
        </w:rPr>
      </w:pPr>
      <w:r>
        <w:rPr>
          <w:rFonts w:ascii="Palatino Linotype" w:eastAsia="Palatino Linotype" w:hAnsi="Palatino Linotype" w:cs="Palatino Linotype"/>
          <w:i/>
          <w:noProof/>
        </w:rPr>
        <w:drawing>
          <wp:inline distT="0" distB="0" distL="0" distR="0" wp14:anchorId="1FE830BF" wp14:editId="29A2C99C">
            <wp:extent cx="4822190" cy="1341120"/>
            <wp:effectExtent l="0" t="0" r="0" b="0"/>
            <wp:docPr id="17300017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22190" cy="1341120"/>
                    </a:xfrm>
                    <a:prstGeom prst="rect">
                      <a:avLst/>
                    </a:prstGeom>
                    <a:ln/>
                  </pic:spPr>
                </pic:pic>
              </a:graphicData>
            </a:graphic>
          </wp:inline>
        </w:drawing>
      </w:r>
    </w:p>
    <w:p w14:paraId="18B3E317" w14:textId="77777777" w:rsidR="00E97930" w:rsidRDefault="00E97930" w:rsidP="00A23A91">
      <w:pPr>
        <w:tabs>
          <w:tab w:val="left" w:pos="4667"/>
        </w:tabs>
        <w:spacing w:line="360" w:lineRule="auto"/>
        <w:ind w:left="567" w:right="567"/>
        <w:jc w:val="center"/>
        <w:rPr>
          <w:rFonts w:ascii="Palatino Linotype" w:eastAsia="Palatino Linotype" w:hAnsi="Palatino Linotype" w:cs="Palatino Linotype"/>
          <w:i/>
        </w:rPr>
      </w:pPr>
    </w:p>
    <w:p w14:paraId="481B9BD9"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Respecto al cuestionamiento de actos de discriminación, de privación al salario o mandado paralizar la entrega de los cheques de finiquitos a los trabajadores que causaron baja desde el 15 de noviembre del 2024 a la fecha de la </w:t>
      </w:r>
      <w:proofErr w:type="spellStart"/>
      <w:r>
        <w:rPr>
          <w:rFonts w:ascii="Palatino Linotype" w:eastAsia="Palatino Linotype" w:hAnsi="Palatino Linotype" w:cs="Palatino Linotype"/>
          <w:i/>
        </w:rPr>
        <w:t>rpesentación</w:t>
      </w:r>
      <w:proofErr w:type="spellEnd"/>
      <w:r>
        <w:rPr>
          <w:rFonts w:ascii="Palatino Linotype" w:eastAsia="Palatino Linotype" w:hAnsi="Palatino Linotype" w:cs="Palatino Linotype"/>
          <w:i/>
        </w:rPr>
        <w:t xml:space="preserve"> de la presente solicitud, se informa que por lo que hace a esta Dirección General, no se tiene evidencia de que se haya emitido o cometido actos de discriminación, privación al </w:t>
      </w:r>
      <w:proofErr w:type="spellStart"/>
      <w:r>
        <w:rPr>
          <w:rFonts w:ascii="Palatino Linotype" w:eastAsia="Palatino Linotype" w:hAnsi="Palatino Linotype" w:cs="Palatino Linotype"/>
          <w:i/>
        </w:rPr>
        <w:t>salarioo</w:t>
      </w:r>
      <w:proofErr w:type="spellEnd"/>
      <w:r>
        <w:rPr>
          <w:rFonts w:ascii="Palatino Linotype" w:eastAsia="Palatino Linotype" w:hAnsi="Palatino Linotype" w:cs="Palatino Linotype"/>
          <w:i/>
        </w:rPr>
        <w:t xml:space="preserve"> mandado a paralizar la entrega de los cheques de finiquitos a los trabajadores que causaron baja en el periodo mencionado, derivado de que en todo momento se sigue el procedimiento establecido en la normatividad aplicable el cual puede ser consultado en el link electrónico: </w:t>
      </w:r>
      <w:hyperlink r:id="rId10">
        <w:r w:rsidR="00E97930">
          <w:rPr>
            <w:rFonts w:ascii="Palatino Linotype" w:eastAsia="Palatino Linotype" w:hAnsi="Palatino Linotype" w:cs="Palatino Linotype"/>
            <w:i/>
            <w:color w:val="0563C1"/>
            <w:u w:val="single"/>
          </w:rPr>
          <w:t>https://caem.edomex.gob.mx/marco-normativo</w:t>
        </w:r>
      </w:hyperlink>
      <w:r>
        <w:rPr>
          <w:rFonts w:ascii="Palatino Linotype" w:eastAsia="Palatino Linotype" w:hAnsi="Palatino Linotype" w:cs="Palatino Linotype"/>
          <w:i/>
        </w:rPr>
        <w:t>.</w:t>
      </w:r>
    </w:p>
    <w:p w14:paraId="6636AEC1" w14:textId="77777777" w:rsidR="00E97930" w:rsidRDefault="00E97930" w:rsidP="00A23A91">
      <w:pPr>
        <w:tabs>
          <w:tab w:val="left" w:pos="4667"/>
        </w:tabs>
        <w:spacing w:line="360" w:lineRule="auto"/>
        <w:ind w:left="567" w:right="567"/>
        <w:jc w:val="both"/>
        <w:rPr>
          <w:rFonts w:ascii="Palatino Linotype" w:eastAsia="Palatino Linotype" w:hAnsi="Palatino Linotype" w:cs="Palatino Linotype"/>
          <w:i/>
        </w:rPr>
      </w:pPr>
    </w:p>
    <w:p w14:paraId="5ADB1F3E"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A </w:t>
      </w:r>
      <w:proofErr w:type="spellStart"/>
      <w:r>
        <w:rPr>
          <w:rFonts w:ascii="Palatino Linotype" w:eastAsia="Palatino Linotype" w:hAnsi="Palatino Linotype" w:cs="Palatino Linotype"/>
          <w:i/>
        </w:rPr>
        <w:t>unado</w:t>
      </w:r>
      <w:proofErr w:type="spellEnd"/>
      <w:r>
        <w:rPr>
          <w:rFonts w:ascii="Palatino Linotype" w:eastAsia="Palatino Linotype" w:hAnsi="Palatino Linotype" w:cs="Palatino Linotype"/>
          <w:i/>
        </w:rPr>
        <w:t xml:space="preserve"> a lo anterior con respecto a la normativa aplicable y tiempos para la entrega de finiquitos, se encuentra contemplada en el Manual General de Organización de la Comisión del Agua del Estado de México, relacionado con los numerales de la estructura orgánica 229B61100 función 17,  y 229B61102 función 16 “Elaborar el cálculo de los finiquitos y liquidaciones del personal de la Comisión, así como efectuar su control y trámite de acuerdo a la normatividad establecida”, asimismo se hace del conocimiento del solicitante la existencia del “Procedimiento: para la certificación de adeudo o no adeudo, carta de no adeudo y finiquito.”, misma que puede </w:t>
      </w:r>
      <w:r>
        <w:rPr>
          <w:rFonts w:ascii="Palatino Linotype" w:eastAsia="Palatino Linotype" w:hAnsi="Palatino Linotype" w:cs="Palatino Linotype"/>
          <w:i/>
        </w:rPr>
        <w:lastRenderedPageBreak/>
        <w:t xml:space="preserve">consultarse en el siguiente link: </w:t>
      </w:r>
      <w:hyperlink r:id="rId11">
        <w:r w:rsidR="00E97930">
          <w:rPr>
            <w:rFonts w:ascii="Palatino Linotype" w:eastAsia="Palatino Linotype" w:hAnsi="Palatino Linotype" w:cs="Palatino Linotype"/>
            <w:i/>
            <w:color w:val="0563C1"/>
            <w:u w:val="single"/>
          </w:rPr>
          <w:t>https://caem.edomex.gob.mx/sites/agua.edomex.mx/files/files/TramitesServicios/MejorasRegulatorias/ManualesyProce/Procedimientos/26ProceCertifiAdeudoNoAdeudoyFibiquito.pdf</w:t>
        </w:r>
      </w:hyperlink>
    </w:p>
    <w:p w14:paraId="234A7467" w14:textId="77777777" w:rsidR="00E97930" w:rsidRDefault="00E97930" w:rsidP="00A23A91">
      <w:pPr>
        <w:tabs>
          <w:tab w:val="left" w:pos="4667"/>
        </w:tabs>
        <w:spacing w:line="360" w:lineRule="auto"/>
        <w:ind w:left="567" w:right="567"/>
        <w:jc w:val="both"/>
        <w:rPr>
          <w:rFonts w:ascii="Palatino Linotype" w:eastAsia="Palatino Linotype" w:hAnsi="Palatino Linotype" w:cs="Palatino Linotype"/>
          <w:i/>
        </w:rPr>
      </w:pPr>
    </w:p>
    <w:p w14:paraId="7A6055F3"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Finalmente. Con respecto a los demás requerimientos del solicitante, se hace de su conocimiento que, no le corresponde a esta Dirección proporcionar la información solicitada. </w:t>
      </w:r>
    </w:p>
    <w:p w14:paraId="5CCE56DE" w14:textId="77777777" w:rsidR="00E97930" w:rsidRDefault="001C2B4E" w:rsidP="00A23A91">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2E76BC5" w14:textId="77777777" w:rsidR="00E97930" w:rsidRDefault="00E97930" w:rsidP="00A23A91">
      <w:pPr>
        <w:tabs>
          <w:tab w:val="left" w:pos="4667"/>
        </w:tabs>
        <w:spacing w:line="360" w:lineRule="auto"/>
        <w:ind w:left="567" w:right="567"/>
        <w:jc w:val="both"/>
        <w:rPr>
          <w:rFonts w:ascii="Palatino Linotype" w:eastAsia="Palatino Linotype" w:hAnsi="Palatino Linotype" w:cs="Palatino Linotype"/>
          <w:i/>
        </w:rPr>
      </w:pPr>
    </w:p>
    <w:p w14:paraId="331E5EB3"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6" w:name="_heading=h.e63oxktz2v54" w:colFirst="0" w:colLast="0"/>
      <w:bookmarkEnd w:id="6"/>
      <w:r>
        <w:rPr>
          <w:rFonts w:ascii="Palatino Linotype" w:eastAsia="Palatino Linotype" w:hAnsi="Palatino Linotype" w:cs="Palatino Linotype"/>
          <w:b/>
          <w:color w:val="000000"/>
          <w:sz w:val="22"/>
          <w:szCs w:val="22"/>
        </w:rPr>
        <w:t>III. Interposición del Recurso de Revisión</w:t>
      </w:r>
    </w:p>
    <w:p w14:paraId="2F23D5DD"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CD05B27" w14:textId="77777777" w:rsidR="00E97930" w:rsidRDefault="001C2B4E" w:rsidP="00A23A91">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Con fecha seis de marzo de dos mil veinticinco, se recibió en este Instituto, a través del SAIMEX, el Recurso de Revisión interpuesto por la parte Recurrente, en contra de la respuesta de la Comisión del Agua del Estado de México, en los siguientes términos:</w:t>
      </w:r>
    </w:p>
    <w:p w14:paraId="30458ECE"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7784520B"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2A4C6EB4"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“Se impugna por ilegal e incongruente la respuesta a la presente solicitud</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513FA8DC"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123DE5FA" w14:textId="77777777" w:rsidR="00E97930" w:rsidRDefault="001C2B4E" w:rsidP="00A23A91">
      <w:pPr>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6BAC6A6E"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En efecto la solicitud de información vulnera los derechos de acceso a la información de esta parte solicitante, ya que la autoridad que responde la presente solicitud omite considerar que la expedición de un finiquito no es </w:t>
      </w:r>
      <w:proofErr w:type="spellStart"/>
      <w:r>
        <w:rPr>
          <w:rFonts w:ascii="Palatino Linotype" w:eastAsia="Palatino Linotype" w:hAnsi="Palatino Linotype" w:cs="Palatino Linotype"/>
          <w:i/>
        </w:rPr>
        <w:t>un"procedimiento</w:t>
      </w:r>
      <w:proofErr w:type="spellEnd"/>
      <w:r>
        <w:rPr>
          <w:rFonts w:ascii="Palatino Linotype" w:eastAsia="Palatino Linotype" w:hAnsi="Palatino Linotype" w:cs="Palatino Linotype"/>
          <w:i/>
        </w:rPr>
        <w:t xml:space="preserve"> administrativo" si no un trámite conforme al propio Código de procedimientos administrativos y bajo tal falacia argumentativa pretende negar a esta parte solicitante la información de los finiquitos pendiente de entrega aunado a que no advierte que la parte respondiente tenga legitimidad para responder en representación de la Vocal Ejecutiva, ya que se conoce que dicha servidora pública ejerce el servicio público con desvío de poder y arbitrariamente, </w:t>
      </w:r>
      <w:proofErr w:type="spellStart"/>
      <w:r>
        <w:rPr>
          <w:rFonts w:ascii="Palatino Linotype" w:eastAsia="Palatino Linotype" w:hAnsi="Palatino Linotype" w:cs="Palatino Linotype"/>
          <w:i/>
        </w:rPr>
        <w:t>xomo</w:t>
      </w:r>
      <w:proofErr w:type="spellEnd"/>
      <w:r>
        <w:rPr>
          <w:rFonts w:ascii="Palatino Linotype" w:eastAsia="Palatino Linotype" w:hAnsi="Palatino Linotype" w:cs="Palatino Linotype"/>
          <w:i/>
        </w:rPr>
        <w:t xml:space="preserve"> es el caso de la incompleta respuesta de solicitud aunado a que conforme al Manual Administrativo de esa Comisión compete a la Dirección General de Administración y Finanzas lo relativo a los finiquitos de los extra </w:t>
      </w:r>
      <w:proofErr w:type="spellStart"/>
      <w:r>
        <w:rPr>
          <w:rFonts w:ascii="Palatino Linotype" w:eastAsia="Palatino Linotype" w:hAnsi="Palatino Linotype" w:cs="Palatino Linotype"/>
          <w:i/>
        </w:rPr>
        <w:t>ajafores</w:t>
      </w:r>
      <w:proofErr w:type="spellEnd"/>
      <w:r>
        <w:rPr>
          <w:rFonts w:ascii="Palatino Linotype" w:eastAsia="Palatino Linotype" w:hAnsi="Palatino Linotype" w:cs="Palatino Linotype"/>
          <w:i/>
        </w:rPr>
        <w:t xml:space="preserve">, por lo anterior al ser </w:t>
      </w:r>
      <w:r>
        <w:rPr>
          <w:rFonts w:ascii="Palatino Linotype" w:eastAsia="Palatino Linotype" w:hAnsi="Palatino Linotype" w:cs="Palatino Linotype"/>
          <w:i/>
        </w:rPr>
        <w:lastRenderedPageBreak/>
        <w:t xml:space="preserve">imprecisa, carente de fundamentación y motivación, al vulnerar los principios de objetividad e imparcialidad la respuesta del área jurídica y toda aquella que conlleva a la no respuesta de todos los puntos solicitados se solicita a ese H. instituto revoque la resolución impugnada y resuelva en suplencia de la queja lo conducente, por virtud de que la respuesta de mérito vulnera los artículos 1, 7, 14, 16 y 22 de la Constitución Política de los Estados Unidos Mexicanos y los principios que rigen la máxima publicidad, certeza, objetividad, </w:t>
      </w:r>
      <w:proofErr w:type="spellStart"/>
      <w:r>
        <w:rPr>
          <w:rFonts w:ascii="Palatino Linotype" w:eastAsia="Palatino Linotype" w:hAnsi="Palatino Linotype" w:cs="Palatino Linotype"/>
          <w:i/>
        </w:rPr>
        <w:t>etc</w:t>
      </w:r>
      <w:proofErr w:type="spellEnd"/>
      <w:r>
        <w:rPr>
          <w:rFonts w:ascii="Palatino Linotype" w:eastAsia="Palatino Linotype" w:hAnsi="Palatino Linotype" w:cs="Palatino Linotype"/>
          <w:i/>
        </w:rPr>
        <w:t>, que en materia de transparencia tutela la Ley de la materia a favor de este peticionario</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r>
        <w:rPr>
          <w:rFonts w:ascii="Palatino Linotype" w:eastAsia="Palatino Linotype" w:hAnsi="Palatino Linotype" w:cs="Palatino Linotype"/>
          <w:i/>
          <w:color w:val="000000"/>
        </w:rPr>
        <w:t>(Sic)</w:t>
      </w:r>
    </w:p>
    <w:p w14:paraId="507BEA28"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3CD2E576"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7" w:name="_heading=h.efkxc14qt9k3" w:colFirst="0" w:colLast="0"/>
      <w:bookmarkEnd w:id="7"/>
      <w:r>
        <w:rPr>
          <w:rFonts w:ascii="Palatino Linotype" w:eastAsia="Palatino Linotype" w:hAnsi="Palatino Linotype" w:cs="Palatino Linotype"/>
          <w:b/>
          <w:color w:val="000000"/>
          <w:sz w:val="22"/>
          <w:szCs w:val="22"/>
        </w:rPr>
        <w:t>VI. Trámite del Recurso de Revisión ante este Instituto</w:t>
      </w:r>
    </w:p>
    <w:p w14:paraId="01B9AD0C"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4B305C48"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seis de marzo de dos mil veinticinco, el SAIMEX, asignó el número de expediente </w:t>
      </w:r>
      <w:r>
        <w:rPr>
          <w:rFonts w:ascii="Palatino Linotype" w:eastAsia="Palatino Linotype" w:hAnsi="Palatino Linotype" w:cs="Palatino Linotype"/>
          <w:b/>
          <w:sz w:val="22"/>
          <w:szCs w:val="22"/>
        </w:rPr>
        <w:t>02541/INFOEM/IP/RR/2025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19511578"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56B168DF"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del Recurso de Revisión. </w:t>
      </w:r>
      <w:r>
        <w:rPr>
          <w:rFonts w:ascii="Palatino Linotype" w:eastAsia="Palatino Linotype" w:hAnsi="Palatino Linotype" w:cs="Palatino Linotype"/>
          <w:sz w:val="22"/>
          <w:szCs w:val="22"/>
        </w:rPr>
        <w:t>El once de marzo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6F110967" w14:textId="77777777" w:rsidR="00E97930" w:rsidRDefault="00E97930" w:rsidP="00A23A91">
      <w:pPr>
        <w:spacing w:line="360" w:lineRule="auto"/>
        <w:jc w:val="both"/>
        <w:rPr>
          <w:rFonts w:ascii="Palatino Linotype" w:eastAsia="Palatino Linotype" w:hAnsi="Palatino Linotype" w:cs="Palatino Linotype"/>
          <w:sz w:val="22"/>
          <w:szCs w:val="22"/>
        </w:rPr>
      </w:pPr>
    </w:p>
    <w:p w14:paraId="7BA29ED0"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c) Informe Justificado. </w:t>
      </w:r>
      <w:r>
        <w:rPr>
          <w:rFonts w:ascii="Palatino Linotype" w:eastAsia="Palatino Linotype" w:hAnsi="Palatino Linotype" w:cs="Palatino Linotype"/>
          <w:sz w:val="22"/>
          <w:szCs w:val="22"/>
        </w:rPr>
        <w:t>Con fecha veintiuno de marzo de dos mil veinticinco, se recibió en este Instituto, a través del SAIMEX, el Informe Justificado, por parte del Sujeto Obligado, a través de la digitalización de los documentos siguientes:</w:t>
      </w:r>
    </w:p>
    <w:p w14:paraId="28B38F12"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B84629C"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 Oficio </w:t>
      </w:r>
      <w:proofErr w:type="spellStart"/>
      <w:r>
        <w:rPr>
          <w:rFonts w:ascii="Palatino Linotype" w:eastAsia="Palatino Linotype" w:hAnsi="Palatino Linotype" w:cs="Palatino Linotype"/>
          <w:sz w:val="22"/>
          <w:szCs w:val="22"/>
        </w:rPr>
        <w:t>numero</w:t>
      </w:r>
      <w:proofErr w:type="spellEnd"/>
      <w:r>
        <w:rPr>
          <w:rFonts w:ascii="Palatino Linotype" w:eastAsia="Palatino Linotype" w:hAnsi="Palatino Linotype" w:cs="Palatino Linotype"/>
          <w:sz w:val="22"/>
          <w:szCs w:val="22"/>
        </w:rPr>
        <w:t xml:space="preserve"> 219C01100003000S-UT/329/2025 de fecha de su presentación, suscrito por el Titular de la Unidad de Transparencia, dirigido al Comisionado Ponente, por medio del cual manifiesta y expone esencialmente lo siguiente:</w:t>
      </w:r>
    </w:p>
    <w:p w14:paraId="70C7AF92"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7A75705"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9C232B5"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Asimismo, esta Unidad requirió mediante oficios 219C011000001000S-UT/313/2025 (Anexo 1) y 219C01100001000S-UT/312/2025 (Anexo 2) a la Dirección General de Asuntos Jurídicos e Igualdad de Género y a la Dirección General de Administración y Finanzas sucesivamente la información y/o documentación correspondiente al contenido de la solicitud de información 00063/CAEM/IP/2025 a la cual le recae el Recurso de Revisión 02541/INFOEM/IP/RR/2024.</w:t>
      </w:r>
    </w:p>
    <w:p w14:paraId="1A202611" w14:textId="77777777" w:rsidR="00E97930" w:rsidRDefault="00E97930" w:rsidP="00A23A91">
      <w:pPr>
        <w:spacing w:line="360" w:lineRule="auto"/>
        <w:ind w:left="567" w:right="567"/>
        <w:jc w:val="both"/>
        <w:rPr>
          <w:rFonts w:ascii="Palatino Linotype" w:eastAsia="Palatino Linotype" w:hAnsi="Palatino Linotype" w:cs="Palatino Linotype"/>
          <w:i/>
        </w:rPr>
      </w:pPr>
    </w:p>
    <w:p w14:paraId="5E612B9F"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En respuesta al oficio antes citado, la Dirección General de Asuntos Jurídicos e Igualdad de Género, emitió su respuesta mediante oficio 219C0116000200L/225/2025 (Anexo 3) en la cual manifiesta lo siguiente:</w:t>
      </w:r>
    </w:p>
    <w:p w14:paraId="50D35D9C"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C9F48F8"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Así mismo en respuesta al oficio antes citado, la Dirección General de Administración y Finanzas emitió su respuesta mediante oficio 219C0117L/768/2025 (Anexo 4) en el cual manifiesta lo siguiente:</w:t>
      </w:r>
    </w:p>
    <w:p w14:paraId="45BF28A3" w14:textId="77777777" w:rsidR="00E97930" w:rsidRDefault="001C2B4E" w:rsidP="00A23A91">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86C730"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A944B56"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Oficio número 219C011000001000S-UT/313/2025 del veinte de marzo de dos mil veinticinco, suscrito por el Titular de la Unidad de Transparencia, dirigido al Director </w:t>
      </w:r>
      <w:r>
        <w:rPr>
          <w:rFonts w:ascii="Palatino Linotype" w:eastAsia="Palatino Linotype" w:hAnsi="Palatino Linotype" w:cs="Palatino Linotype"/>
          <w:sz w:val="22"/>
          <w:szCs w:val="22"/>
        </w:rPr>
        <w:lastRenderedPageBreak/>
        <w:t>General de Asuntos Jurídicos e Igualdad de Género, por medio del cual le requiere que presente su informe justificado.</w:t>
      </w:r>
    </w:p>
    <w:p w14:paraId="661B0658"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5CF5196"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iii) Oficio número 219C011000001000S-UT/312/2025 del veinte de marzo de dos mil veinticinco, suscrito por el Titular de la Unidad de Transparencia, dirigido a la Directora General de Administración y Finanzas, por medio del cual le requiere que presente su informe justificado.</w:t>
      </w:r>
    </w:p>
    <w:p w14:paraId="6D79A561"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ECA7BC9"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iv) Oficio número 219C01160000200L/225/2025 de fecha de su presentación, suscrito por la Titular de la Dirección General de Asuntos Jurídicos e Igualdad de Género, a través del cual manifiesta y expone esencialmente ratifica su respuesta inicial.</w:t>
      </w:r>
    </w:p>
    <w:p w14:paraId="68FBD078"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F796E94"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 Oficio número 219C0117L/0768/2025, del diecinueve de febrero de dos mil veinticinco, suscrito por la Directora General de Administración y Finanzas, dirigido al Titular de la Unidad de Transparencia, por medio del cual esencialmente ratifica su respuesta inicial.</w:t>
      </w:r>
    </w:p>
    <w:p w14:paraId="1093D539"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2679AB1"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El trece de mayo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69945BB1" w14:textId="77777777" w:rsidR="00D629F5" w:rsidRDefault="00D629F5" w:rsidP="00A23A91">
      <w:pPr>
        <w:spacing w:line="360" w:lineRule="auto"/>
        <w:jc w:val="both"/>
        <w:rPr>
          <w:rFonts w:ascii="Palatino Linotype" w:eastAsia="Palatino Linotype" w:hAnsi="Palatino Linotype" w:cs="Palatino Linotype"/>
          <w:sz w:val="22"/>
          <w:szCs w:val="22"/>
        </w:rPr>
      </w:pPr>
    </w:p>
    <w:p w14:paraId="13F2E8B1" w14:textId="141C4374" w:rsidR="00D629F5" w:rsidRPr="00AC17E4" w:rsidRDefault="00D629F5" w:rsidP="00D629F5">
      <w:pPr>
        <w:spacing w:line="360" w:lineRule="auto"/>
        <w:contextualSpacing/>
        <w:jc w:val="both"/>
        <w:rPr>
          <w:rFonts w:ascii="Palatino Linotype" w:eastAsia="Batang" w:hAnsi="Palatino Linotype" w:cs="Tahoma"/>
          <w:b/>
          <w:bCs/>
          <w:color w:val="000000"/>
          <w:sz w:val="22"/>
          <w:szCs w:val="22"/>
          <w:lang w:eastAsia="en-US"/>
        </w:rPr>
      </w:pPr>
      <w:r>
        <w:rPr>
          <w:rFonts w:ascii="Palatino Linotype" w:hAnsi="Palatino Linotype" w:cs="Tahoma"/>
          <w:b/>
          <w:sz w:val="22"/>
          <w:szCs w:val="22"/>
        </w:rPr>
        <w:t>d</w:t>
      </w:r>
      <w:r w:rsidRPr="00AC17E4">
        <w:rPr>
          <w:rFonts w:ascii="Palatino Linotype" w:hAnsi="Palatino Linotype" w:cs="Tahoma"/>
          <w:b/>
          <w:sz w:val="22"/>
          <w:szCs w:val="22"/>
        </w:rPr>
        <w:t xml:space="preserve">) </w:t>
      </w:r>
      <w:r w:rsidRPr="00AC17E4">
        <w:rPr>
          <w:rFonts w:ascii="Palatino Linotype" w:hAnsi="Palatino Linotype" w:cs="Tahoma"/>
          <w:b/>
          <w:bCs/>
          <w:sz w:val="22"/>
          <w:szCs w:val="22"/>
        </w:rPr>
        <w:t xml:space="preserve">Vista del informe justificado. </w:t>
      </w:r>
      <w:r w:rsidRPr="00AC17E4">
        <w:rPr>
          <w:rFonts w:ascii="Palatino Linotype" w:hAnsi="Palatino Linotype" w:cs="Tahoma"/>
          <w:sz w:val="22"/>
          <w:szCs w:val="22"/>
        </w:rPr>
        <w:t xml:space="preserve">El </w:t>
      </w:r>
      <w:r>
        <w:rPr>
          <w:rFonts w:ascii="Palatino Linotype" w:hAnsi="Palatino Linotype" w:cs="Tahoma"/>
          <w:sz w:val="22"/>
          <w:szCs w:val="22"/>
        </w:rPr>
        <w:t xml:space="preserve">diecisiete de junio </w:t>
      </w:r>
      <w:r w:rsidRPr="00AC17E4">
        <w:rPr>
          <w:rFonts w:ascii="Palatino Linotype" w:hAnsi="Palatino Linotype" w:cs="Tahoma"/>
          <w:sz w:val="22"/>
          <w:szCs w:val="22"/>
        </w:rPr>
        <w:t xml:space="preserve">de dos mil veinticinco, se dictó acuerdo mediante el cual </w:t>
      </w:r>
      <w:r w:rsidRPr="00AC17E4">
        <w:rPr>
          <w:rFonts w:ascii="Palatino Linotype" w:hAnsi="Palatino Linotype" w:cs="Tahoma"/>
          <w:bCs/>
          <w:sz w:val="22"/>
          <w:szCs w:val="22"/>
        </w:rPr>
        <w:t>se puso a la vista del Particular, el Informe Justificado</w:t>
      </w:r>
      <w:r w:rsidRPr="00AC17E4">
        <w:rPr>
          <w:rFonts w:ascii="Palatino Linotype" w:hAnsi="Palatino Linotype" w:cs="Tahoma"/>
          <w:sz w:val="22"/>
          <w:szCs w:val="22"/>
        </w:rPr>
        <w:t xml:space="preserve"> entregado por el Sujeto Obligado, el cual fue notificado, a través del SAIMEX, el mismo día. </w:t>
      </w:r>
    </w:p>
    <w:p w14:paraId="2BA62782"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20466A57" w14:textId="77777777" w:rsidR="00E97930" w:rsidRDefault="001C2B4E" w:rsidP="00A23A91">
      <w:pPr>
        <w:spacing w:line="360" w:lineRule="auto"/>
        <w:jc w:val="both"/>
        <w:rPr>
          <w:rFonts w:ascii="Palatino Linotype" w:eastAsia="Palatino Linotype" w:hAnsi="Palatino Linotype" w:cs="Palatino Linotype"/>
          <w:sz w:val="22"/>
          <w:szCs w:val="22"/>
        </w:rPr>
      </w:pPr>
      <w:bookmarkStart w:id="8" w:name="_heading=h.m6q6uyq0w42h" w:colFirst="0" w:colLast="0"/>
      <w:bookmarkEnd w:id="8"/>
      <w:r>
        <w:rPr>
          <w:rFonts w:ascii="Palatino Linotype" w:eastAsia="Palatino Linotype" w:hAnsi="Palatino Linotype" w:cs="Palatino Linotype"/>
          <w:b/>
          <w:sz w:val="22"/>
          <w:szCs w:val="22"/>
        </w:rPr>
        <w:t>e) Cierre de instrucción.</w:t>
      </w:r>
      <w:r>
        <w:rPr>
          <w:rFonts w:ascii="Palatino Linotype" w:eastAsia="Palatino Linotype" w:hAnsi="Palatino Linotype" w:cs="Palatino Linotype"/>
          <w:sz w:val="22"/>
          <w:szCs w:val="22"/>
        </w:rPr>
        <w:t xml:space="preserve"> El diecisiete de septiembre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486A435A"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2FA6B2EE" w14:textId="77777777" w:rsidR="00E97930" w:rsidRDefault="001C2B4E" w:rsidP="00A23A9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92B2922" w14:textId="77777777" w:rsidR="00E97930" w:rsidRDefault="00E97930" w:rsidP="00A23A91">
      <w:pPr>
        <w:spacing w:line="360" w:lineRule="auto"/>
        <w:jc w:val="both"/>
        <w:rPr>
          <w:rFonts w:ascii="Palatino Linotype" w:eastAsia="Palatino Linotype" w:hAnsi="Palatino Linotype" w:cs="Palatino Linotype"/>
          <w:color w:val="000000"/>
          <w:sz w:val="22"/>
          <w:szCs w:val="22"/>
        </w:rPr>
      </w:pPr>
    </w:p>
    <w:p w14:paraId="77D5BA91" w14:textId="77777777" w:rsidR="00E97930" w:rsidRDefault="001C2B4E" w:rsidP="00A23A91">
      <w:pPr>
        <w:pStyle w:val="Ttulo1"/>
        <w:spacing w:before="0" w:after="0" w:line="360" w:lineRule="auto"/>
        <w:jc w:val="center"/>
        <w:rPr>
          <w:rFonts w:ascii="Palatino Linotype" w:eastAsia="Palatino Linotype" w:hAnsi="Palatino Linotype" w:cs="Palatino Linotype"/>
          <w:b/>
          <w:color w:val="000000"/>
          <w:sz w:val="22"/>
          <w:szCs w:val="22"/>
        </w:rPr>
      </w:pPr>
      <w:bookmarkStart w:id="9" w:name="_heading=h.j1i4m2ohptz8" w:colFirst="0" w:colLast="0"/>
      <w:bookmarkEnd w:id="9"/>
      <w:r>
        <w:rPr>
          <w:rFonts w:ascii="Palatino Linotype" w:eastAsia="Palatino Linotype" w:hAnsi="Palatino Linotype" w:cs="Palatino Linotype"/>
          <w:b/>
          <w:color w:val="000000"/>
          <w:sz w:val="22"/>
          <w:szCs w:val="22"/>
        </w:rPr>
        <w:t>C O N S I D E R A N D O S</w:t>
      </w:r>
    </w:p>
    <w:p w14:paraId="5D6335E0" w14:textId="77777777" w:rsidR="00E97930" w:rsidRDefault="00E97930" w:rsidP="00A23A91">
      <w:pPr>
        <w:spacing w:line="360" w:lineRule="auto"/>
      </w:pPr>
    </w:p>
    <w:p w14:paraId="4216AD1D"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10" w:name="_heading=h.xfv6c6cbp5ks" w:colFirst="0" w:colLast="0"/>
      <w:bookmarkEnd w:id="10"/>
      <w:r>
        <w:rPr>
          <w:rFonts w:ascii="Palatino Linotype" w:eastAsia="Palatino Linotype" w:hAnsi="Palatino Linotype" w:cs="Palatino Linotype"/>
          <w:b/>
          <w:color w:val="000000"/>
          <w:sz w:val="22"/>
          <w:szCs w:val="22"/>
        </w:rPr>
        <w:t>PRIMERO. Competencia</w:t>
      </w:r>
    </w:p>
    <w:p w14:paraId="7AFC0A19" w14:textId="77777777" w:rsidR="00E97930" w:rsidRDefault="00E97930" w:rsidP="00A23A91">
      <w:pPr>
        <w:spacing w:line="360" w:lineRule="auto"/>
      </w:pPr>
    </w:p>
    <w:p w14:paraId="321C55BF"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 trigésimo noveno, cuadragésimo y cuadragésimo primero, fracciones I, II, III, IV y V de la Constitución Política del Estado Libre y Soberano de México;</w:t>
      </w:r>
    </w:p>
    <w:p w14:paraId="04125330"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E0E00E6" w14:textId="77777777" w:rsidR="00E97930" w:rsidRDefault="00E97930" w:rsidP="00A23A91">
      <w:pPr>
        <w:spacing w:line="360" w:lineRule="auto"/>
        <w:jc w:val="both"/>
        <w:rPr>
          <w:rFonts w:ascii="Palatino Linotype" w:eastAsia="Palatino Linotype" w:hAnsi="Palatino Linotype" w:cs="Palatino Linotype"/>
          <w:color w:val="000000"/>
          <w:sz w:val="22"/>
          <w:szCs w:val="22"/>
        </w:rPr>
      </w:pPr>
    </w:p>
    <w:p w14:paraId="0A4554B2"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11" w:name="_heading=h.2mk1z1x8g1p" w:colFirst="0" w:colLast="0"/>
      <w:bookmarkEnd w:id="11"/>
      <w:r>
        <w:rPr>
          <w:rFonts w:ascii="Palatino Linotype" w:eastAsia="Palatino Linotype" w:hAnsi="Palatino Linotype" w:cs="Palatino Linotype"/>
          <w:b/>
          <w:color w:val="000000"/>
          <w:sz w:val="22"/>
          <w:szCs w:val="22"/>
        </w:rPr>
        <w:t>SEGUNDO. Causales de improcedencia y sobreseimiento</w:t>
      </w:r>
    </w:p>
    <w:p w14:paraId="20CEDBAD"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3ACE395D"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147B837F" w14:textId="77777777" w:rsidR="00E97930" w:rsidRDefault="00E97930" w:rsidP="00A23A91">
      <w:pPr>
        <w:spacing w:line="360" w:lineRule="auto"/>
        <w:jc w:val="both"/>
        <w:rPr>
          <w:rFonts w:ascii="Palatino Linotype" w:eastAsia="Palatino Linotype" w:hAnsi="Palatino Linotype" w:cs="Palatino Linotype"/>
          <w:b/>
          <w:color w:val="000000"/>
          <w:sz w:val="22"/>
          <w:szCs w:val="22"/>
        </w:rPr>
      </w:pPr>
    </w:p>
    <w:p w14:paraId="61706964" w14:textId="77777777" w:rsidR="00E97930" w:rsidRDefault="001C2B4E" w:rsidP="00A23A91">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3087FB65"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BC411E7"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BEFBE4E"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764AC0D"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292FEA" w14:textId="77777777" w:rsidR="00E97930" w:rsidRDefault="00E97930" w:rsidP="00A23A91">
      <w:pPr>
        <w:spacing w:line="360" w:lineRule="auto"/>
        <w:jc w:val="both"/>
        <w:rPr>
          <w:rFonts w:ascii="Palatino Linotype" w:eastAsia="Palatino Linotype" w:hAnsi="Palatino Linotype" w:cs="Palatino Linotype"/>
          <w:sz w:val="22"/>
          <w:szCs w:val="22"/>
        </w:rPr>
      </w:pPr>
    </w:p>
    <w:p w14:paraId="231FD889" w14:textId="77777777" w:rsidR="00E97930" w:rsidRDefault="001C2B4E" w:rsidP="00A23A91">
      <w:pPr>
        <w:spacing w:line="360" w:lineRule="auto"/>
        <w:jc w:val="both"/>
        <w:rPr>
          <w:rFonts w:ascii="Palatino Linotype" w:eastAsia="Palatino Linotype" w:hAnsi="Palatino Linotype" w:cs="Palatino Linotype"/>
          <w:sz w:val="22"/>
          <w:szCs w:val="22"/>
        </w:rPr>
      </w:pPr>
      <w:bookmarkStart w:id="12" w:name="_heading=h.lpi22m3cmuci" w:colFirst="0" w:colLast="0"/>
      <w:bookmarkEnd w:id="12"/>
      <w:r>
        <w:rPr>
          <w:rFonts w:ascii="Palatino Linotype" w:eastAsia="Palatino Linotype" w:hAnsi="Palatino Linotype" w:cs="Palatino Linotype"/>
          <w:sz w:val="22"/>
          <w:szCs w:val="22"/>
        </w:rPr>
        <w:lastRenderedPageBreak/>
        <w:t>Asimismo, se actualiza la causal de procedencia del Recurso de Revisión establecida en el artículo 179, fracción V, de la Ley de Transparencia y Acceso a la Información Pública del Estado de México y Municipios, referente a la entrega de información incompleta.</w:t>
      </w:r>
    </w:p>
    <w:p w14:paraId="17C2BFE9" w14:textId="77777777" w:rsidR="00E97930" w:rsidRDefault="00E97930" w:rsidP="00A23A91">
      <w:pPr>
        <w:spacing w:line="360" w:lineRule="auto"/>
        <w:jc w:val="both"/>
        <w:rPr>
          <w:rFonts w:ascii="Palatino Linotype" w:eastAsia="Palatino Linotype" w:hAnsi="Palatino Linotype" w:cs="Palatino Linotype"/>
          <w:sz w:val="22"/>
          <w:szCs w:val="22"/>
        </w:rPr>
      </w:pPr>
    </w:p>
    <w:p w14:paraId="254913B4" w14:textId="77777777" w:rsidR="00E97930" w:rsidRDefault="001C2B4E" w:rsidP="00A23A91">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sobreseimiento.</w:t>
      </w:r>
    </w:p>
    <w:p w14:paraId="7F85B3DB"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4751E619"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2BF52B91" w14:textId="77777777" w:rsidR="00E97930" w:rsidRDefault="00E97930" w:rsidP="00A23A91">
      <w:pPr>
        <w:spacing w:line="360" w:lineRule="auto"/>
        <w:jc w:val="both"/>
        <w:rPr>
          <w:rFonts w:ascii="Palatino Linotype" w:eastAsia="Palatino Linotype" w:hAnsi="Palatino Linotype" w:cs="Palatino Linotype"/>
          <w:sz w:val="22"/>
          <w:szCs w:val="22"/>
        </w:rPr>
      </w:pPr>
    </w:p>
    <w:p w14:paraId="77953563" w14:textId="77777777" w:rsidR="00E97930" w:rsidRDefault="001C2B4E" w:rsidP="00A23A9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esa tesitura 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Pr>
          <w:rFonts w:ascii="Palatino Linotype" w:eastAsia="Palatino Linotype" w:hAnsi="Palatino Linotype" w:cs="Palatino Linotype"/>
          <w:b/>
          <w:color w:val="000000"/>
          <w:sz w:val="22"/>
          <w:szCs w:val="22"/>
        </w:rPr>
        <w:t xml:space="preserve"> no se configuran las causales establecidas en las fracciones I, II, III y V, </w:t>
      </w:r>
      <w:r>
        <w:rPr>
          <w:rFonts w:ascii="Palatino Linotype" w:eastAsia="Palatino Linotype" w:hAnsi="Palatino Linotype" w:cs="Palatino Linotype"/>
          <w:color w:val="000000"/>
          <w:sz w:val="22"/>
          <w:szCs w:val="22"/>
        </w:rPr>
        <w:t xml:space="preserve">toda vez que no hay constancias en el expediente en que se actúa, de que la Recurrente se haya desistido, haya fallecido, o bien, </w:t>
      </w:r>
      <w:r>
        <w:rPr>
          <w:rFonts w:ascii="Palatino Linotype" w:eastAsia="Palatino Linotype" w:hAnsi="Palatino Linotype" w:cs="Palatino Linotype"/>
          <w:sz w:val="22"/>
          <w:szCs w:val="22"/>
        </w:rPr>
        <w:t>que le Recurso de Revisión haya queda sin materia</w:t>
      </w:r>
      <w:r>
        <w:rPr>
          <w:rFonts w:ascii="Palatino Linotype" w:eastAsia="Palatino Linotype" w:hAnsi="Palatino Linotype" w:cs="Palatino Linotype"/>
          <w:color w:val="000000"/>
          <w:sz w:val="22"/>
          <w:szCs w:val="22"/>
        </w:rPr>
        <w:t xml:space="preserve">. </w:t>
      </w:r>
    </w:p>
    <w:p w14:paraId="322DFD65" w14:textId="77777777" w:rsidR="00E97930" w:rsidRDefault="001C2B4E" w:rsidP="00A23A9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295ECADC"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Ahora bien, por lo que hace a la hipótesis prevista en la </w:t>
      </w:r>
      <w:r>
        <w:rPr>
          <w:rFonts w:ascii="Palatino Linotype" w:eastAsia="Palatino Linotype" w:hAnsi="Palatino Linotype" w:cs="Palatino Linotype"/>
          <w:b/>
          <w:color w:val="0C0C0C"/>
          <w:sz w:val="22"/>
          <w:szCs w:val="22"/>
        </w:rPr>
        <w:t>fracción IV</w:t>
      </w:r>
      <w:r>
        <w:rPr>
          <w:rFonts w:ascii="Palatino Linotype" w:eastAsia="Palatino Linotype" w:hAnsi="Palatino Linotype" w:cs="Palatino Linotype"/>
          <w:color w:val="0C0C0C"/>
          <w:sz w:val="22"/>
          <w:szCs w:val="22"/>
        </w:rPr>
        <w:t>, a saber, que, una vez admitido el Recurso de Revisión, aparezca alguna causal de improcedencia en términos de la presente Ley, resulta necesario analizar las causales, establecidas en el artículo 191, fracción VI, de dicho ordenamiento jurídico</w:t>
      </w:r>
      <w:r>
        <w:rPr>
          <w:rFonts w:ascii="Palatino Linotype" w:eastAsia="Palatino Linotype" w:hAnsi="Palatino Linotype" w:cs="Palatino Linotype"/>
          <w:color w:val="0D0D0D"/>
          <w:sz w:val="22"/>
          <w:szCs w:val="22"/>
        </w:rPr>
        <w:t>,</w:t>
      </w:r>
      <w:r>
        <w:rPr>
          <w:rFonts w:ascii="Palatino Linotype" w:eastAsia="Palatino Linotype" w:hAnsi="Palatino Linotype" w:cs="Palatino Linotype"/>
          <w:sz w:val="22"/>
          <w:szCs w:val="22"/>
        </w:rPr>
        <w:t xml:space="preserve"> establece que el Recurso de Revisión será desechado por improcedente, cuando la solicitud de información se trate de una consulta.</w:t>
      </w:r>
    </w:p>
    <w:p w14:paraId="3499121E"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F58EB94" w14:textId="755D42F2" w:rsidR="00E97930" w:rsidRPr="00A23A91"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con el fin de verificar si se actualiza la causal de improcedencia, es necesario precisar que el Recurrente requirió</w:t>
      </w:r>
      <w:r w:rsidR="00A23A91">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entre otras cosas</w:t>
      </w:r>
      <w:r w:rsidR="00A23A91">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r w:rsidRPr="00A23A91">
        <w:rPr>
          <w:rFonts w:ascii="Palatino Linotype" w:eastAsia="Palatino Linotype" w:hAnsi="Palatino Linotype" w:cs="Palatino Linotype"/>
          <w:i/>
          <w:sz w:val="22"/>
          <w:szCs w:val="22"/>
        </w:rPr>
        <w:t xml:space="preserve">“Asimismo, le solicitamos amablemente nos informe si alguno de los Directores Generales a su digno cargo ha cometido actos de discriminación, de privación al salario o mandado paralizar la entrega de los ches de finiquitos a los </w:t>
      </w:r>
      <w:r w:rsidRPr="00A23A91">
        <w:rPr>
          <w:rFonts w:ascii="Palatino Linotype" w:eastAsia="Palatino Linotype" w:hAnsi="Palatino Linotype" w:cs="Palatino Linotype"/>
          <w:i/>
          <w:sz w:val="22"/>
          <w:szCs w:val="22"/>
        </w:rPr>
        <w:lastRenderedPageBreak/>
        <w:t>trabajadores que causaron baja desde el 15 de noviembre del 2024 a la fecha de la presentación de la presente solicitud</w:t>
      </w:r>
      <w:r w:rsidR="00A23A91">
        <w:rPr>
          <w:rFonts w:ascii="Palatino Linotype" w:eastAsia="Palatino Linotype" w:hAnsi="Palatino Linotype" w:cs="Palatino Linotype"/>
          <w:i/>
          <w:color w:val="000000"/>
          <w:sz w:val="22"/>
          <w:szCs w:val="22"/>
        </w:rPr>
        <w:t>….</w:t>
      </w:r>
      <w:r w:rsidR="00A23A91" w:rsidRPr="00A23A91">
        <w:t xml:space="preserve"> </w:t>
      </w:r>
      <w:r w:rsidR="00A23A91" w:rsidRPr="00A23A91">
        <w:rPr>
          <w:rFonts w:ascii="Palatino Linotype" w:eastAsia="Palatino Linotype" w:hAnsi="Palatino Linotype" w:cs="Palatino Linotype"/>
          <w:i/>
          <w:color w:val="000000"/>
          <w:sz w:val="22"/>
          <w:szCs w:val="22"/>
        </w:rPr>
        <w:t xml:space="preserve">Finalmente, solicitamos se nos informe si existen quejas y actos de intimidación por los cuales se ha privado a dichos </w:t>
      </w:r>
      <w:proofErr w:type="spellStart"/>
      <w:r w:rsidR="00A23A91" w:rsidRPr="00A23A91">
        <w:rPr>
          <w:rFonts w:ascii="Palatino Linotype" w:eastAsia="Palatino Linotype" w:hAnsi="Palatino Linotype" w:cs="Palatino Linotype"/>
          <w:i/>
          <w:color w:val="000000"/>
          <w:sz w:val="22"/>
          <w:szCs w:val="22"/>
        </w:rPr>
        <w:t>extrabajadores</w:t>
      </w:r>
      <w:proofErr w:type="spellEnd"/>
      <w:r w:rsidR="00A23A91" w:rsidRPr="00A23A91">
        <w:rPr>
          <w:rFonts w:ascii="Palatino Linotype" w:eastAsia="Palatino Linotype" w:hAnsi="Palatino Linotype" w:cs="Palatino Linotype"/>
          <w:i/>
          <w:color w:val="000000"/>
          <w:sz w:val="22"/>
          <w:szCs w:val="22"/>
        </w:rPr>
        <w:t xml:space="preserve"> de la entrega de finiquitos y si esa </w:t>
      </w:r>
      <w:proofErr w:type="spellStart"/>
      <w:r w:rsidR="00A23A91" w:rsidRPr="00A23A91">
        <w:rPr>
          <w:rFonts w:ascii="Palatino Linotype" w:eastAsia="Palatino Linotype" w:hAnsi="Palatino Linotype" w:cs="Palatino Linotype"/>
          <w:i/>
          <w:color w:val="000000"/>
          <w:sz w:val="22"/>
          <w:szCs w:val="22"/>
        </w:rPr>
        <w:t>Vocalia</w:t>
      </w:r>
      <w:proofErr w:type="spellEnd"/>
      <w:r w:rsidR="00A23A91" w:rsidRPr="00A23A91">
        <w:rPr>
          <w:rFonts w:ascii="Palatino Linotype" w:eastAsia="Palatino Linotype" w:hAnsi="Palatino Linotype" w:cs="Palatino Linotype"/>
          <w:i/>
          <w:color w:val="000000"/>
          <w:sz w:val="22"/>
          <w:szCs w:val="22"/>
        </w:rPr>
        <w:t xml:space="preserve"> ha denunciado ante el órgano interno la falta de entrega de finiquitos a los </w:t>
      </w:r>
      <w:proofErr w:type="spellStart"/>
      <w:r w:rsidR="00A23A91" w:rsidRPr="00A23A91">
        <w:rPr>
          <w:rFonts w:ascii="Palatino Linotype" w:eastAsia="Palatino Linotype" w:hAnsi="Palatino Linotype" w:cs="Palatino Linotype"/>
          <w:i/>
          <w:color w:val="000000"/>
          <w:sz w:val="22"/>
          <w:szCs w:val="22"/>
        </w:rPr>
        <w:t>extrabajadores</w:t>
      </w:r>
      <w:proofErr w:type="spellEnd"/>
      <w:r w:rsidR="00A23A91" w:rsidRPr="00A23A91">
        <w:rPr>
          <w:rFonts w:ascii="Palatino Linotype" w:eastAsia="Palatino Linotype" w:hAnsi="Palatino Linotype" w:cs="Palatino Linotype"/>
          <w:i/>
          <w:color w:val="000000"/>
          <w:sz w:val="22"/>
          <w:szCs w:val="22"/>
        </w:rPr>
        <w:t xml:space="preserve"> afectados que causaron baja del 01 de agosto del 2024 a la fecha de la presentación de esta solicitud.</w:t>
      </w:r>
      <w:r w:rsidRPr="00A23A91">
        <w:rPr>
          <w:rFonts w:ascii="Palatino Linotype" w:eastAsia="Palatino Linotype" w:hAnsi="Palatino Linotype" w:cs="Palatino Linotype"/>
          <w:i/>
          <w:color w:val="000000"/>
          <w:sz w:val="22"/>
          <w:szCs w:val="22"/>
        </w:rPr>
        <w:t>” (</w:t>
      </w:r>
      <w:proofErr w:type="gramStart"/>
      <w:r w:rsidRPr="00A23A91">
        <w:rPr>
          <w:rFonts w:ascii="Palatino Linotype" w:eastAsia="Palatino Linotype" w:hAnsi="Palatino Linotype" w:cs="Palatino Linotype"/>
          <w:i/>
          <w:color w:val="000000"/>
          <w:sz w:val="22"/>
          <w:szCs w:val="22"/>
        </w:rPr>
        <w:t>sic</w:t>
      </w:r>
      <w:proofErr w:type="gramEnd"/>
      <w:r w:rsidRPr="00A23A91">
        <w:rPr>
          <w:rFonts w:ascii="Palatino Linotype" w:eastAsia="Palatino Linotype" w:hAnsi="Palatino Linotype" w:cs="Palatino Linotype"/>
          <w:i/>
          <w:color w:val="000000"/>
          <w:sz w:val="22"/>
          <w:szCs w:val="22"/>
        </w:rPr>
        <w:t>).</w:t>
      </w:r>
    </w:p>
    <w:p w14:paraId="41526F12"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27BEB5F" w14:textId="51099E8B"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De tal circunstancia</w:t>
      </w:r>
      <w:r>
        <w:rPr>
          <w:rFonts w:ascii="Palatino Linotype" w:eastAsia="Palatino Linotype" w:hAnsi="Palatino Linotype" w:cs="Palatino Linotype"/>
          <w:sz w:val="22"/>
          <w:szCs w:val="22"/>
        </w:rPr>
        <w:t>, se puede colegir, que el Particular requiere un pronunciamiento específico sobre una cuestión concreta</w:t>
      </w:r>
      <w:r w:rsidR="00A23A91">
        <w:rPr>
          <w:rFonts w:ascii="Palatino Linotype" w:eastAsia="Palatino Linotype" w:hAnsi="Palatino Linotype" w:cs="Palatino Linotype"/>
          <w:sz w:val="22"/>
          <w:szCs w:val="22"/>
        </w:rPr>
        <w:t xml:space="preserve"> y varios cuestionamientos</w:t>
      </w:r>
      <w:r>
        <w:rPr>
          <w:rFonts w:ascii="Palatino Linotype" w:eastAsia="Palatino Linotype" w:hAnsi="Palatino Linotype" w:cs="Palatino Linotype"/>
          <w:sz w:val="22"/>
          <w:szCs w:val="22"/>
        </w:rPr>
        <w:t>, lo cual implicaría que el Sujeto Obligado para</w:t>
      </w:r>
      <w:r>
        <w:rPr>
          <w:rFonts w:ascii="Palatino Linotype" w:eastAsia="Palatino Linotype" w:hAnsi="Palatino Linotype" w:cs="Palatino Linotype"/>
          <w:color w:val="0C0C0C"/>
          <w:sz w:val="22"/>
          <w:szCs w:val="22"/>
        </w:rPr>
        <w:t xml:space="preserve"> atenderlo, </w:t>
      </w:r>
      <w:r>
        <w:rPr>
          <w:rFonts w:ascii="Palatino Linotype" w:eastAsia="Palatino Linotype" w:hAnsi="Palatino Linotype" w:cs="Palatino Linotype"/>
          <w:b/>
          <w:color w:val="0C0C0C"/>
          <w:sz w:val="22"/>
          <w:szCs w:val="22"/>
        </w:rPr>
        <w:t>emitiera uno o varios documentos que den contestación de manera categórica</w:t>
      </w:r>
      <w:r w:rsidR="00A23A91">
        <w:rPr>
          <w:rFonts w:ascii="Palatino Linotype" w:eastAsia="Palatino Linotype" w:hAnsi="Palatino Linotype" w:cs="Palatino Linotype"/>
          <w:b/>
          <w:color w:val="0C0C0C"/>
          <w:sz w:val="22"/>
          <w:szCs w:val="22"/>
        </w:rPr>
        <w:t xml:space="preserve"> y específica</w:t>
      </w:r>
      <w:r>
        <w:rPr>
          <w:rFonts w:ascii="Palatino Linotype" w:eastAsia="Palatino Linotype" w:hAnsi="Palatino Linotype" w:cs="Palatino Linotype"/>
          <w:b/>
          <w:color w:val="0C0C0C"/>
          <w:sz w:val="22"/>
          <w:szCs w:val="22"/>
        </w:rPr>
        <w:t xml:space="preserve"> a dicha petición, con el fin contestar los cuestionamientos referidos; s</w:t>
      </w:r>
      <w:r>
        <w:rPr>
          <w:rFonts w:ascii="Palatino Linotype" w:eastAsia="Palatino Linotype" w:hAnsi="Palatino Linotype" w:cs="Palatino Linotype"/>
          <w:color w:val="0C0C0C"/>
          <w:sz w:val="22"/>
          <w:szCs w:val="22"/>
        </w:rPr>
        <w:t>obre el particular, cabe traer a colación los artículos 2°, fracción II; 3°, fracción XI y 18 de la Ley de Transparencia y Acceso a la Información Pública del Estado de México y Municipios, los cuales disponen lo siguiente:</w:t>
      </w:r>
    </w:p>
    <w:p w14:paraId="37014938" w14:textId="77777777" w:rsidR="00E97930" w:rsidRDefault="00E97930" w:rsidP="00A23A91">
      <w:pPr>
        <w:spacing w:line="360" w:lineRule="auto"/>
        <w:jc w:val="both"/>
        <w:rPr>
          <w:rFonts w:ascii="Palatino Linotype" w:eastAsia="Palatino Linotype" w:hAnsi="Palatino Linotype" w:cs="Palatino Linotype"/>
          <w:color w:val="0C0C0C"/>
          <w:sz w:val="22"/>
          <w:szCs w:val="22"/>
        </w:rPr>
      </w:pPr>
    </w:p>
    <w:p w14:paraId="4762BB8A" w14:textId="77777777" w:rsidR="00E97930" w:rsidRDefault="001C2B4E" w:rsidP="00A23A9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Que uno de los objetivos de la Ley es proveer lo necesario para garantizar a toda persona el derecho de acceso a la información pública;</w:t>
      </w:r>
    </w:p>
    <w:p w14:paraId="31C180F0" w14:textId="77777777" w:rsidR="00E97930" w:rsidRDefault="00E97930" w:rsidP="00A23A91">
      <w:pPr>
        <w:spacing w:line="360" w:lineRule="auto"/>
        <w:jc w:val="both"/>
        <w:rPr>
          <w:rFonts w:ascii="Palatino Linotype" w:eastAsia="Palatino Linotype" w:hAnsi="Palatino Linotype" w:cs="Palatino Linotype"/>
          <w:color w:val="0C0C0C"/>
          <w:sz w:val="22"/>
          <w:szCs w:val="22"/>
        </w:rPr>
      </w:pPr>
    </w:p>
    <w:p w14:paraId="677C4EED" w14:textId="77777777" w:rsidR="00E97930" w:rsidRDefault="001C2B4E" w:rsidP="00A23A9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w:t>
      </w:r>
    </w:p>
    <w:p w14:paraId="26ECCED6" w14:textId="77777777" w:rsidR="00E97930" w:rsidRDefault="00E97930" w:rsidP="00A23A91">
      <w:pPr>
        <w:spacing w:line="360" w:lineRule="auto"/>
        <w:ind w:firstLine="60"/>
        <w:jc w:val="both"/>
        <w:rPr>
          <w:rFonts w:ascii="Palatino Linotype" w:eastAsia="Palatino Linotype" w:hAnsi="Palatino Linotype" w:cs="Palatino Linotype"/>
          <w:color w:val="0C0C0C"/>
          <w:sz w:val="22"/>
          <w:szCs w:val="22"/>
        </w:rPr>
      </w:pPr>
    </w:p>
    <w:p w14:paraId="65C7C16E" w14:textId="77777777" w:rsidR="00E97930" w:rsidRDefault="001C2B4E" w:rsidP="00A23A9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3B54830F"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lastRenderedPageBreak/>
        <w:t xml:space="preserve"> </w:t>
      </w:r>
    </w:p>
    <w:p w14:paraId="11AAC0EF" w14:textId="77777777" w:rsidR="00A23A91" w:rsidRDefault="00A23A91" w:rsidP="00A23A91">
      <w:pPr>
        <w:spacing w:line="360" w:lineRule="auto"/>
        <w:jc w:val="both"/>
        <w:rPr>
          <w:rFonts w:ascii="Palatino Linotype" w:eastAsia="Palatino Linotype" w:hAnsi="Palatino Linotype" w:cs="Palatino Linotype"/>
          <w:color w:val="0C0C0C"/>
          <w:sz w:val="22"/>
          <w:szCs w:val="22"/>
        </w:rPr>
      </w:pPr>
    </w:p>
    <w:p w14:paraId="3434B815"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Aunado a lo anterior, el artículo 4° de dicho ordenamiento jurídico, establece que la información es aquella generada, obtenida, adquirida, transformada por los sujetos obligados, o en su caso, la tengan en su posesión, será pública y accesible para cualquier persona.</w:t>
      </w:r>
    </w:p>
    <w:p w14:paraId="6586CB1A"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7F2A9D9A"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20ED1223"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41DD7F7D"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Situación que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 </w:t>
      </w:r>
    </w:p>
    <w:p w14:paraId="6970AFC8"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23146F8A"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De tales circunstancias, se colige que los sujetos obligados únicamente están constreñidos a proporcionar la documentación que obre en sus archivos; por lo que, no están obligados a generar o elaborar documentos ad hoc, como es el caso de proporcionar respuesta a las peticiones realizadas tanto en la solicitud, como en el Recurso de Revisión.</w:t>
      </w:r>
    </w:p>
    <w:p w14:paraId="6207B97A" w14:textId="77777777" w:rsidR="00E97930" w:rsidRDefault="00E97930" w:rsidP="00A23A91">
      <w:pPr>
        <w:spacing w:line="360" w:lineRule="auto"/>
        <w:jc w:val="both"/>
        <w:rPr>
          <w:rFonts w:ascii="Palatino Linotype" w:eastAsia="Palatino Linotype" w:hAnsi="Palatino Linotype" w:cs="Palatino Linotype"/>
          <w:color w:val="0C0C0C"/>
          <w:sz w:val="22"/>
          <w:szCs w:val="22"/>
        </w:rPr>
      </w:pPr>
    </w:p>
    <w:p w14:paraId="5D636DF0"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Robustece lo anterior el Criterio de Interpretación, con clave de control número SO/003/2017, de la Segunda Época, emitido por el Instituto Nacional de Transparencia, Acceso a la Información y Protección de Datos Personales, que a continuación se cita:</w:t>
      </w:r>
    </w:p>
    <w:p w14:paraId="4A7D6A40"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4861FFD4" w14:textId="77777777" w:rsidR="00E97930" w:rsidRDefault="001C2B4E" w:rsidP="00A23A91">
      <w:pPr>
        <w:spacing w:line="360" w:lineRule="auto"/>
        <w:ind w:left="567" w:right="567"/>
        <w:jc w:val="both"/>
        <w:rPr>
          <w:rFonts w:ascii="Palatino Linotype" w:eastAsia="Palatino Linotype" w:hAnsi="Palatino Linotype" w:cs="Palatino Linotype"/>
          <w:i/>
          <w:color w:val="0C0C0C"/>
        </w:rPr>
      </w:pPr>
      <w:r>
        <w:rPr>
          <w:rFonts w:ascii="Palatino Linotype" w:eastAsia="Palatino Linotype" w:hAnsi="Palatino Linotype" w:cs="Palatino Linotype"/>
          <w:b/>
          <w:i/>
          <w:color w:val="0C0C0C"/>
        </w:rPr>
        <w:lastRenderedPageBreak/>
        <w:t>“No existe obligación de elaborar documentos ad hoc para atender las solicitudes de acceso a la información.</w:t>
      </w:r>
      <w:r>
        <w:rPr>
          <w:rFonts w:ascii="Palatino Linotype" w:eastAsia="Palatino Linotype" w:hAnsi="Palatino Linotype" w:cs="Palatino Linotype"/>
          <w:i/>
          <w:color w:val="0C0C0C"/>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2A0350A"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071FB659"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Conforme a lo anterior, se advierte que la respuesta a los requerimientos de información</w:t>
      </w:r>
      <w:r>
        <w:rPr>
          <w:rFonts w:ascii="Palatino Linotype" w:eastAsia="Palatino Linotype" w:hAnsi="Palatino Linotype" w:cs="Palatino Linotype"/>
          <w:b/>
          <w:color w:val="0C0C0C"/>
          <w:sz w:val="22"/>
          <w:szCs w:val="22"/>
        </w:rPr>
        <w:t xml:space="preserve">, corresponden a un derecho de petición </w:t>
      </w:r>
      <w:r>
        <w:rPr>
          <w:rFonts w:ascii="Palatino Linotype" w:eastAsia="Palatino Linotype" w:hAnsi="Palatino Linotype" w:cs="Palatino Linotype"/>
          <w:color w:val="0C0C0C"/>
          <w:sz w:val="22"/>
          <w:szCs w:val="22"/>
        </w:rPr>
        <w:t xml:space="preserve">y no así una solicitud de acceso a información pública que pueda ser atendida mediante una expresión documental; pues corresponde a varias afirmaciones que implicarían elaborar un documento </w:t>
      </w:r>
      <w:r>
        <w:rPr>
          <w:rFonts w:ascii="Palatino Linotype" w:eastAsia="Palatino Linotype" w:hAnsi="Palatino Linotype" w:cs="Palatino Linotype"/>
          <w:i/>
          <w:color w:val="0C0C0C"/>
          <w:sz w:val="22"/>
          <w:szCs w:val="22"/>
        </w:rPr>
        <w:t>ad hoc</w:t>
      </w:r>
      <w:r>
        <w:rPr>
          <w:rFonts w:ascii="Palatino Linotype" w:eastAsia="Palatino Linotype" w:hAnsi="Palatino Linotype" w:cs="Palatino Linotype"/>
          <w:color w:val="0C0C0C"/>
          <w:sz w:val="22"/>
          <w:szCs w:val="22"/>
        </w:rPr>
        <w:t>, con una contestación categórica y específica.</w:t>
      </w:r>
    </w:p>
    <w:p w14:paraId="66A33598" w14:textId="77777777" w:rsidR="00E97930" w:rsidRDefault="001C2B4E" w:rsidP="00A23A91">
      <w:pPr>
        <w:spacing w:line="360" w:lineRule="auto"/>
        <w:jc w:val="both"/>
        <w:rPr>
          <w:rFonts w:ascii="Palatino Linotype" w:eastAsia="Palatino Linotype" w:hAnsi="Palatino Linotype" w:cs="Palatino Linotype"/>
          <w:i/>
          <w:color w:val="0C0C0C"/>
          <w:sz w:val="22"/>
          <w:szCs w:val="22"/>
        </w:rPr>
      </w:pPr>
      <w:r>
        <w:rPr>
          <w:rFonts w:ascii="Palatino Linotype" w:eastAsia="Palatino Linotype" w:hAnsi="Palatino Linotype" w:cs="Palatino Linotype"/>
          <w:i/>
          <w:color w:val="0C0C0C"/>
          <w:sz w:val="22"/>
          <w:szCs w:val="22"/>
        </w:rPr>
        <w:t xml:space="preserve"> </w:t>
      </w:r>
    </w:p>
    <w:p w14:paraId="1E4BEA14"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establece lo siguiente:</w:t>
      </w:r>
    </w:p>
    <w:p w14:paraId="615FBD48"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30ED5FF4" w14:textId="77777777" w:rsidR="00E97930" w:rsidRDefault="001C2B4E" w:rsidP="00A23A91">
      <w:pPr>
        <w:spacing w:line="360" w:lineRule="auto"/>
        <w:ind w:left="567" w:right="567"/>
        <w:jc w:val="both"/>
        <w:rPr>
          <w:rFonts w:ascii="Palatino Linotype" w:eastAsia="Palatino Linotype" w:hAnsi="Palatino Linotype" w:cs="Palatino Linotype"/>
          <w:i/>
          <w:color w:val="0C0C0C"/>
        </w:rPr>
      </w:pPr>
      <w:r>
        <w:rPr>
          <w:rFonts w:ascii="Palatino Linotype" w:eastAsia="Palatino Linotype" w:hAnsi="Palatino Linotype" w:cs="Palatino Linotype"/>
          <w:b/>
          <w:i/>
          <w:color w:val="0C0C0C"/>
        </w:rPr>
        <w:t xml:space="preserve">“DERECHO DE PETICIÓN. SUS ELEMENTOS. </w:t>
      </w:r>
      <w:r>
        <w:rPr>
          <w:rFonts w:ascii="Palatino Linotype" w:eastAsia="Palatino Linotype" w:hAnsi="Palatino Linotype" w:cs="Palatino Linotype"/>
          <w:i/>
          <w:color w:val="0C0C0C"/>
        </w:rPr>
        <w:t xml:space="preserve">El denominado "derecho de petición", acorde con los criterios de los tribunales del Poder Judicial de la Federación, es la garantía </w:t>
      </w:r>
      <w:r>
        <w:rPr>
          <w:rFonts w:ascii="Palatino Linotype" w:eastAsia="Palatino Linotype" w:hAnsi="Palatino Linotype" w:cs="Palatino Linotype"/>
          <w:i/>
          <w:color w:val="0C0C0C"/>
        </w:rPr>
        <w:lastRenderedPageBreak/>
        <w:t xml:space="preserve">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proofErr w:type="spellStart"/>
      <w:r>
        <w:rPr>
          <w:rFonts w:ascii="Palatino Linotype" w:eastAsia="Palatino Linotype" w:hAnsi="Palatino Linotype" w:cs="Palatino Linotype"/>
          <w:i/>
          <w:color w:val="0C0C0C"/>
        </w:rPr>
        <w:t>promovente</w:t>
      </w:r>
      <w:proofErr w:type="spellEnd"/>
      <w:r>
        <w:rPr>
          <w:rFonts w:ascii="Palatino Linotype" w:eastAsia="Palatino Linotype" w:hAnsi="Palatino Linotype" w:cs="Palatino Linotype"/>
          <w:i/>
          <w:color w:val="0C0C0C"/>
        </w:rPr>
        <w:t>,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1D86E397"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 xml:space="preserve"> </w:t>
      </w:r>
    </w:p>
    <w:p w14:paraId="5AD5EA6D" w14:textId="77777777" w:rsidR="00E97930" w:rsidRDefault="001C2B4E" w:rsidP="00A23A91">
      <w:pPr>
        <w:spacing w:line="360" w:lineRule="auto"/>
        <w:jc w:val="both"/>
        <w:rPr>
          <w:rFonts w:ascii="Palatino Linotype" w:eastAsia="Palatino Linotype" w:hAnsi="Palatino Linotype" w:cs="Palatino Linotype"/>
          <w:color w:val="0C0C0C"/>
          <w:sz w:val="22"/>
          <w:szCs w:val="22"/>
        </w:rPr>
      </w:pPr>
      <w:r>
        <w:rPr>
          <w:rFonts w:ascii="Palatino Linotype" w:eastAsia="Palatino Linotype" w:hAnsi="Palatino Linotype" w:cs="Palatino Linotype"/>
          <w:color w:val="0C0C0C"/>
          <w:sz w:val="22"/>
          <w:szCs w:val="22"/>
        </w:rPr>
        <w:t>Así, se advierte que el derecho de petición, es una prerrogativa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5B8F37E1" w14:textId="77777777" w:rsidR="00E97930" w:rsidRDefault="001C2B4E" w:rsidP="00A23A91">
      <w:pPr>
        <w:spacing w:line="360" w:lineRule="auto"/>
        <w:jc w:val="both"/>
        <w:rPr>
          <w:rFonts w:ascii="Palatino Linotype" w:eastAsia="Palatino Linotype" w:hAnsi="Palatino Linotype" w:cs="Palatino Linotype"/>
          <w:i/>
          <w:color w:val="0C0C0C"/>
          <w:sz w:val="22"/>
          <w:szCs w:val="22"/>
        </w:rPr>
      </w:pPr>
      <w:r>
        <w:rPr>
          <w:rFonts w:ascii="Palatino Linotype" w:eastAsia="Palatino Linotype" w:hAnsi="Palatino Linotype" w:cs="Palatino Linotype"/>
          <w:i/>
          <w:color w:val="0C0C0C"/>
          <w:sz w:val="22"/>
          <w:szCs w:val="22"/>
        </w:rPr>
        <w:t xml:space="preserve"> </w:t>
      </w:r>
    </w:p>
    <w:p w14:paraId="205F9C3D" w14:textId="77777777" w:rsidR="00E97930" w:rsidRDefault="001C2B4E" w:rsidP="00A23A9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sz w:val="22"/>
          <w:szCs w:val="22"/>
        </w:rPr>
        <w:t xml:space="preserve">De tal circunstancia, se puede colegir que el requerimiento de información realizado por el Recurrente, se trata de una consulta y derecho de petición que implicaría la generación de un documento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y, por lo tanto, no es procedente la vía del derecho de acceso a la información. </w:t>
      </w:r>
    </w:p>
    <w:p w14:paraId="0EF9A069"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98BA43A"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w:t>
      </w:r>
      <w:r>
        <w:rPr>
          <w:rFonts w:ascii="Palatino Linotype" w:eastAsia="Palatino Linotype" w:hAnsi="Palatino Linotype" w:cs="Palatino Linotype"/>
          <w:b/>
          <w:sz w:val="22"/>
          <w:szCs w:val="22"/>
        </w:rPr>
        <w:t>actualiza la causal de desechamiento establecida en el artículo 191, fracción VI, de la Ley de Transparencia y Acceso a la Información Pública del Estado de México y Municipios,</w:t>
      </w:r>
      <w:r>
        <w:rPr>
          <w:rFonts w:ascii="Palatino Linotype" w:eastAsia="Palatino Linotype" w:hAnsi="Palatino Linotype" w:cs="Palatino Linotype"/>
          <w:sz w:val="22"/>
          <w:szCs w:val="22"/>
        </w:rPr>
        <w:t xml:space="preserve"> por lo que lo procedente es </w:t>
      </w:r>
      <w:r>
        <w:rPr>
          <w:rFonts w:ascii="Palatino Linotype" w:eastAsia="Palatino Linotype" w:hAnsi="Palatino Linotype" w:cs="Palatino Linotype"/>
          <w:b/>
          <w:sz w:val="22"/>
          <w:szCs w:val="22"/>
        </w:rPr>
        <w:t>SOBRESEER PARCIALMENTE</w:t>
      </w:r>
      <w:r>
        <w:rPr>
          <w:rFonts w:ascii="Palatino Linotype" w:eastAsia="Palatino Linotype" w:hAnsi="Palatino Linotype" w:cs="Palatino Linotype"/>
          <w:sz w:val="22"/>
          <w:szCs w:val="22"/>
        </w:rPr>
        <w:t xml:space="preserve"> el presente Recurso de Revisión, al actualizarse el supuesto previsto en el </w:t>
      </w:r>
      <w:r>
        <w:rPr>
          <w:rFonts w:ascii="Palatino Linotype" w:eastAsia="Palatino Linotype" w:hAnsi="Palatino Linotype" w:cs="Palatino Linotype"/>
          <w:b/>
          <w:sz w:val="22"/>
          <w:szCs w:val="22"/>
        </w:rPr>
        <w:t>artículo 192, fracción IV</w:t>
      </w:r>
      <w:r>
        <w:rPr>
          <w:rFonts w:ascii="Palatino Linotype" w:eastAsia="Palatino Linotype" w:hAnsi="Palatino Linotype" w:cs="Palatino Linotype"/>
          <w:sz w:val="22"/>
          <w:szCs w:val="22"/>
        </w:rPr>
        <w:t>, en relación con el diverso 186, fracción I, de ese ordenamiento legal.</w:t>
      </w:r>
    </w:p>
    <w:p w14:paraId="1D2814DF" w14:textId="77777777" w:rsidR="00E97930" w:rsidRDefault="00E97930" w:rsidP="00A23A91">
      <w:pPr>
        <w:spacing w:line="360" w:lineRule="auto"/>
        <w:jc w:val="both"/>
        <w:rPr>
          <w:rFonts w:ascii="Palatino Linotype" w:eastAsia="Palatino Linotype" w:hAnsi="Palatino Linotype" w:cs="Palatino Linotype"/>
          <w:sz w:val="22"/>
          <w:szCs w:val="22"/>
        </w:rPr>
      </w:pPr>
    </w:p>
    <w:p w14:paraId="25B573A6"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No obstante, toda vez que no ha quedado sin materia, el requerimiento de información, resulta procedente entrar al fondo del asunto.</w:t>
      </w:r>
    </w:p>
    <w:p w14:paraId="3D226978"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C34E2FA"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13" w:name="_heading=h.rpfq3bkainb2" w:colFirst="0" w:colLast="0"/>
      <w:bookmarkEnd w:id="13"/>
      <w:r>
        <w:rPr>
          <w:rFonts w:ascii="Palatino Linotype" w:eastAsia="Palatino Linotype" w:hAnsi="Palatino Linotype" w:cs="Palatino Linotype"/>
          <w:b/>
          <w:color w:val="000000"/>
          <w:sz w:val="22"/>
          <w:szCs w:val="22"/>
        </w:rPr>
        <w:t>TERCERO. Determinación de la Controversia</w:t>
      </w:r>
    </w:p>
    <w:p w14:paraId="43F48E7A"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80AA954"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 xml:space="preserve">Con el objeto de ilustrar la controversia planteada, resulta </w:t>
      </w:r>
      <w:r>
        <w:rPr>
          <w:rFonts w:ascii="Palatino Linotype" w:eastAsia="Palatino Linotype" w:hAnsi="Palatino Linotype" w:cs="Palatino Linotype"/>
          <w:sz w:val="22"/>
          <w:szCs w:val="22"/>
        </w:rPr>
        <w:t>necesario realizar un cuadro con la solicitud, la respuesta emitida, la inconformidad planteada, y el informe justificado conforme a lo siguiente:</w:t>
      </w:r>
    </w:p>
    <w:p w14:paraId="6C0EA82C"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551"/>
        <w:gridCol w:w="2126"/>
        <w:gridCol w:w="1462"/>
      </w:tblGrid>
      <w:tr w:rsidR="00E97930" w:rsidRPr="00D629F5" w14:paraId="650D05DE" w14:textId="77777777">
        <w:trPr>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A5A5A5"/>
          </w:tcPr>
          <w:p w14:paraId="095683B8" w14:textId="77777777" w:rsidR="00E97930" w:rsidRPr="00D629F5" w:rsidRDefault="001C2B4E" w:rsidP="00A23A91">
            <w:pPr>
              <w:spacing w:line="360" w:lineRule="auto"/>
              <w:jc w:val="center"/>
              <w:rPr>
                <w:rFonts w:ascii="Palatino Linotype" w:eastAsia="Palatino Linotype" w:hAnsi="Palatino Linotype" w:cs="Palatino Linotype"/>
                <w:b/>
              </w:rPr>
            </w:pPr>
            <w:bookmarkStart w:id="14" w:name="_heading=h.juiwlwruh21g" w:colFirst="0" w:colLast="0"/>
            <w:bookmarkEnd w:id="14"/>
            <w:r w:rsidRPr="00D629F5">
              <w:rPr>
                <w:rFonts w:ascii="Palatino Linotype" w:eastAsia="Palatino Linotype" w:hAnsi="Palatino Linotype" w:cs="Palatino Linotype"/>
                <w:b/>
              </w:rPr>
              <w:t xml:space="preserve">Solicitud </w:t>
            </w:r>
          </w:p>
        </w:tc>
        <w:tc>
          <w:tcPr>
            <w:tcW w:w="2551" w:type="dxa"/>
            <w:tcBorders>
              <w:top w:val="single" w:sz="4" w:space="0" w:color="000000"/>
              <w:left w:val="single" w:sz="4" w:space="0" w:color="000000"/>
              <w:bottom w:val="single" w:sz="4" w:space="0" w:color="000000"/>
              <w:right w:val="single" w:sz="4" w:space="0" w:color="000000"/>
            </w:tcBorders>
            <w:shd w:val="clear" w:color="auto" w:fill="A5A5A5"/>
          </w:tcPr>
          <w:p w14:paraId="5707D454" w14:textId="77777777" w:rsidR="00E97930" w:rsidRPr="00D629F5" w:rsidRDefault="001C2B4E" w:rsidP="00A23A91">
            <w:pPr>
              <w:spacing w:line="360" w:lineRule="auto"/>
              <w:jc w:val="center"/>
              <w:rPr>
                <w:rFonts w:ascii="Palatino Linotype" w:eastAsia="Palatino Linotype" w:hAnsi="Palatino Linotype" w:cs="Palatino Linotype"/>
                <w:b/>
              </w:rPr>
            </w:pPr>
            <w:r w:rsidRPr="00D629F5">
              <w:rPr>
                <w:rFonts w:ascii="Palatino Linotype" w:eastAsia="Palatino Linotype" w:hAnsi="Palatino Linotype" w:cs="Palatino Linotype"/>
                <w:b/>
              </w:rPr>
              <w:t>Respuesta</w:t>
            </w:r>
          </w:p>
        </w:tc>
        <w:tc>
          <w:tcPr>
            <w:tcW w:w="2126" w:type="dxa"/>
            <w:tcBorders>
              <w:top w:val="single" w:sz="4" w:space="0" w:color="000000"/>
              <w:left w:val="single" w:sz="4" w:space="0" w:color="000000"/>
              <w:bottom w:val="single" w:sz="4" w:space="0" w:color="000000"/>
              <w:right w:val="single" w:sz="4" w:space="0" w:color="000000"/>
            </w:tcBorders>
            <w:shd w:val="clear" w:color="auto" w:fill="A5A5A5"/>
          </w:tcPr>
          <w:p w14:paraId="626973FA" w14:textId="77777777" w:rsidR="00E97930" w:rsidRPr="00D629F5" w:rsidRDefault="001C2B4E" w:rsidP="00A23A91">
            <w:pPr>
              <w:spacing w:line="360" w:lineRule="auto"/>
              <w:jc w:val="center"/>
              <w:rPr>
                <w:rFonts w:ascii="Palatino Linotype" w:eastAsia="Palatino Linotype" w:hAnsi="Palatino Linotype" w:cs="Palatino Linotype"/>
                <w:b/>
              </w:rPr>
            </w:pPr>
            <w:r w:rsidRPr="00D629F5">
              <w:rPr>
                <w:rFonts w:ascii="Palatino Linotype" w:eastAsia="Palatino Linotype" w:hAnsi="Palatino Linotype" w:cs="Palatino Linotype"/>
                <w:b/>
              </w:rPr>
              <w:t>Agravio</w:t>
            </w:r>
          </w:p>
        </w:tc>
        <w:tc>
          <w:tcPr>
            <w:tcW w:w="1462" w:type="dxa"/>
            <w:tcBorders>
              <w:top w:val="single" w:sz="4" w:space="0" w:color="000000"/>
              <w:left w:val="single" w:sz="4" w:space="0" w:color="000000"/>
              <w:bottom w:val="single" w:sz="4" w:space="0" w:color="000000"/>
              <w:right w:val="single" w:sz="4" w:space="0" w:color="000000"/>
            </w:tcBorders>
            <w:shd w:val="clear" w:color="auto" w:fill="A5A5A5"/>
          </w:tcPr>
          <w:p w14:paraId="02933962" w14:textId="77777777" w:rsidR="00E97930" w:rsidRPr="00D629F5" w:rsidRDefault="001C2B4E" w:rsidP="00A23A91">
            <w:pPr>
              <w:spacing w:line="360" w:lineRule="auto"/>
              <w:jc w:val="center"/>
              <w:rPr>
                <w:rFonts w:ascii="Palatino Linotype" w:eastAsia="Palatino Linotype" w:hAnsi="Palatino Linotype" w:cs="Palatino Linotype"/>
                <w:b/>
              </w:rPr>
            </w:pPr>
            <w:r w:rsidRPr="00D629F5">
              <w:rPr>
                <w:rFonts w:ascii="Palatino Linotype" w:eastAsia="Palatino Linotype" w:hAnsi="Palatino Linotype" w:cs="Palatino Linotype"/>
                <w:b/>
              </w:rPr>
              <w:t>Informe Justificado</w:t>
            </w:r>
          </w:p>
        </w:tc>
      </w:tr>
      <w:tr w:rsidR="00E97930" w:rsidRPr="00D629F5" w14:paraId="6D3EE4CC" w14:textId="77777777">
        <w:trPr>
          <w:jc w:val="center"/>
        </w:trPr>
        <w:tc>
          <w:tcPr>
            <w:tcW w:w="2689" w:type="dxa"/>
            <w:tcBorders>
              <w:top w:val="single" w:sz="4" w:space="0" w:color="000000"/>
              <w:left w:val="single" w:sz="4" w:space="0" w:color="000000"/>
              <w:bottom w:val="single" w:sz="4" w:space="0" w:color="000000"/>
              <w:right w:val="single" w:sz="4" w:space="0" w:color="000000"/>
            </w:tcBorders>
          </w:tcPr>
          <w:p w14:paraId="3FA7085E"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bookmarkStart w:id="15" w:name="_heading=h.3jaffqfxsqod" w:colFirst="0" w:colLast="0"/>
            <w:bookmarkEnd w:id="15"/>
          </w:p>
          <w:p w14:paraId="05F8CC27"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4BCAB04"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44F990CB"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5349B81"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E3E82F3" w14:textId="77777777" w:rsidR="00E97930" w:rsidRPr="00D629F5" w:rsidRDefault="001C2B4E" w:rsidP="00A23A91">
            <w:pPr>
              <w:tabs>
                <w:tab w:val="left" w:pos="4962"/>
              </w:tabs>
              <w:spacing w:line="360" w:lineRule="auto"/>
              <w:jc w:val="both"/>
              <w:rPr>
                <w:rFonts w:ascii="Palatino Linotype" w:eastAsia="Palatino Linotype" w:hAnsi="Palatino Linotype" w:cs="Palatino Linotype"/>
                <w:color w:val="000000"/>
              </w:rPr>
            </w:pPr>
            <w:r w:rsidRPr="00D629F5">
              <w:rPr>
                <w:rFonts w:ascii="Palatino Linotype" w:eastAsia="Palatino Linotype" w:hAnsi="Palatino Linotype" w:cs="Palatino Linotype"/>
                <w:color w:val="000000"/>
              </w:rPr>
              <w:lastRenderedPageBreak/>
              <w:t>i) La cantidad de bajas de personal por renuncia o remoción;</w:t>
            </w:r>
          </w:p>
          <w:p w14:paraId="51D43E62"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566A1E5A" w14:textId="77777777" w:rsidR="00E97930" w:rsidRPr="00D629F5" w:rsidRDefault="001C2B4E" w:rsidP="00A23A91">
            <w:pPr>
              <w:tabs>
                <w:tab w:val="left" w:pos="4962"/>
              </w:tabs>
              <w:spacing w:line="360" w:lineRule="auto"/>
              <w:jc w:val="both"/>
              <w:rPr>
                <w:rFonts w:ascii="Palatino Linotype" w:eastAsia="Palatino Linotype" w:hAnsi="Palatino Linotype" w:cs="Palatino Linotype"/>
                <w:color w:val="000000"/>
              </w:rPr>
            </w:pPr>
            <w:r w:rsidRPr="00D629F5">
              <w:rPr>
                <w:rFonts w:ascii="Palatino Linotype" w:eastAsia="Palatino Linotype" w:hAnsi="Palatino Linotype" w:cs="Palatino Linotype"/>
                <w:color w:val="000000"/>
              </w:rPr>
              <w:t>ii) Renuncias, y remociones expedidas y en trámite;</w:t>
            </w:r>
          </w:p>
          <w:p w14:paraId="401B39FD"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6F8C69D6"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78C52928"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EC8CB75"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8321EF2" w14:textId="77777777" w:rsidR="00E97930" w:rsidRPr="00D629F5" w:rsidRDefault="001C2B4E" w:rsidP="00A23A91">
            <w:pPr>
              <w:tabs>
                <w:tab w:val="left" w:pos="4962"/>
              </w:tabs>
              <w:spacing w:line="360" w:lineRule="auto"/>
              <w:jc w:val="both"/>
              <w:rPr>
                <w:rFonts w:ascii="Palatino Linotype" w:eastAsia="Palatino Linotype" w:hAnsi="Palatino Linotype" w:cs="Palatino Linotype"/>
                <w:color w:val="000000"/>
              </w:rPr>
            </w:pPr>
            <w:r w:rsidRPr="00D629F5">
              <w:rPr>
                <w:rFonts w:ascii="Palatino Linotype" w:eastAsia="Palatino Linotype" w:hAnsi="Palatino Linotype" w:cs="Palatino Linotype"/>
                <w:color w:val="000000"/>
              </w:rPr>
              <w:t>iii) Cheques de finiquito;</w:t>
            </w:r>
          </w:p>
          <w:p w14:paraId="75DA02C7"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47A97677"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4B329BE8"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6F93E39A"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178F805C"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773C152C"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57052B53"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7C5BF02E"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6E1A1D87"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7AEBB7F4"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FFD0BD8"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69BC2F37"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030D5D24"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32BADE7C" w14:textId="77777777" w:rsidR="00E97930" w:rsidRPr="00D629F5" w:rsidRDefault="00E97930" w:rsidP="00A23A91">
            <w:pPr>
              <w:tabs>
                <w:tab w:val="left" w:pos="4962"/>
              </w:tabs>
              <w:spacing w:line="360" w:lineRule="auto"/>
              <w:jc w:val="both"/>
              <w:rPr>
                <w:rFonts w:ascii="Palatino Linotype" w:eastAsia="Palatino Linotype" w:hAnsi="Palatino Linotype" w:cs="Palatino Linotype"/>
                <w:color w:val="000000"/>
              </w:rPr>
            </w:pPr>
          </w:p>
          <w:p w14:paraId="6E569567" w14:textId="77777777" w:rsid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6328F560" w14:textId="77777777" w:rsid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64FDE49F" w14:textId="77777777" w:rsid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43940E50" w14:textId="77777777" w:rsid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7346234F" w14:textId="77777777" w:rsid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0A88612B" w14:textId="77777777" w:rsid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08C09CDB" w14:textId="64C5923F" w:rsidR="00E97930" w:rsidRPr="00D629F5" w:rsidRDefault="001C2B4E" w:rsidP="00A23A91">
            <w:pPr>
              <w:tabs>
                <w:tab w:val="left" w:pos="4962"/>
              </w:tabs>
              <w:spacing w:line="360" w:lineRule="auto"/>
              <w:jc w:val="both"/>
              <w:rPr>
                <w:rFonts w:ascii="Palatino Linotype" w:eastAsia="Palatino Linotype" w:hAnsi="Palatino Linotype" w:cs="Palatino Linotype"/>
                <w:color w:val="000000"/>
              </w:rPr>
            </w:pPr>
            <w:r w:rsidRPr="00D629F5">
              <w:rPr>
                <w:rFonts w:ascii="Palatino Linotype" w:eastAsia="Palatino Linotype" w:hAnsi="Palatino Linotype" w:cs="Palatino Linotype"/>
                <w:color w:val="000000"/>
              </w:rPr>
              <w:t>iv)  Normatividad en la que se indiquen los términos para la entrega de finiquitos;</w:t>
            </w:r>
          </w:p>
          <w:p w14:paraId="07A0601D" w14:textId="77777777" w:rsidR="00D629F5" w:rsidRPr="00D629F5" w:rsidRDefault="00D629F5" w:rsidP="00A23A91">
            <w:pPr>
              <w:tabs>
                <w:tab w:val="left" w:pos="4962"/>
              </w:tabs>
              <w:spacing w:line="360" w:lineRule="auto"/>
              <w:jc w:val="both"/>
              <w:rPr>
                <w:rFonts w:ascii="Palatino Linotype" w:eastAsia="Palatino Linotype" w:hAnsi="Palatino Linotype" w:cs="Palatino Linotype"/>
                <w:color w:val="000000"/>
              </w:rPr>
            </w:pPr>
          </w:p>
          <w:p w14:paraId="00FF0A7D" w14:textId="18F65B12" w:rsidR="00E97930" w:rsidRPr="00D629F5" w:rsidRDefault="001C2B4E" w:rsidP="00A23A91">
            <w:pPr>
              <w:tabs>
                <w:tab w:val="left" w:pos="4962"/>
              </w:tabs>
              <w:spacing w:line="360" w:lineRule="auto"/>
              <w:jc w:val="both"/>
              <w:rPr>
                <w:rFonts w:ascii="Palatino Linotype" w:eastAsia="Palatino Linotype" w:hAnsi="Palatino Linotype" w:cs="Palatino Linotype"/>
                <w:color w:val="000000"/>
              </w:rPr>
            </w:pPr>
            <w:r w:rsidRPr="00D629F5">
              <w:rPr>
                <w:rFonts w:ascii="Palatino Linotype" w:eastAsia="Palatino Linotype" w:hAnsi="Palatino Linotype" w:cs="Palatino Linotype"/>
                <w:color w:val="000000"/>
              </w:rPr>
              <w:t xml:space="preserve">vi) Servidores Públicos responsables de la entrega de finiquitos; </w:t>
            </w:r>
          </w:p>
        </w:tc>
        <w:tc>
          <w:tcPr>
            <w:tcW w:w="2551" w:type="dxa"/>
            <w:tcBorders>
              <w:top w:val="single" w:sz="4" w:space="0" w:color="000000"/>
              <w:left w:val="single" w:sz="4" w:space="0" w:color="000000"/>
              <w:bottom w:val="single" w:sz="4" w:space="0" w:color="000000"/>
              <w:right w:val="single" w:sz="4" w:space="0" w:color="000000"/>
            </w:tcBorders>
          </w:tcPr>
          <w:p w14:paraId="5342106F"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lastRenderedPageBreak/>
              <w:t xml:space="preserve">La Dirección General de Administración y Finanzas informó lo siguiente: </w:t>
            </w:r>
          </w:p>
          <w:p w14:paraId="287D66EA" w14:textId="77777777" w:rsidR="00E97930" w:rsidRPr="00D629F5" w:rsidRDefault="00E97930" w:rsidP="00A23A91">
            <w:pPr>
              <w:spacing w:line="360" w:lineRule="auto"/>
              <w:jc w:val="both"/>
              <w:rPr>
                <w:rFonts w:ascii="Palatino Linotype" w:eastAsia="Palatino Linotype" w:hAnsi="Palatino Linotype" w:cs="Palatino Linotype"/>
              </w:rPr>
            </w:pPr>
          </w:p>
          <w:p w14:paraId="6DE1F639"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lastRenderedPageBreak/>
              <w:t>Proporcionó los listados de bajas efectuadas del veinticuatro de noviembre de 2024, al treinta y uno de enero de 2025.</w:t>
            </w:r>
          </w:p>
          <w:p w14:paraId="10AFD309" w14:textId="77777777" w:rsidR="00E97930" w:rsidRPr="00D629F5" w:rsidRDefault="00E97930" w:rsidP="00A23A91">
            <w:pPr>
              <w:spacing w:line="360" w:lineRule="auto"/>
              <w:jc w:val="both"/>
              <w:rPr>
                <w:rFonts w:ascii="Palatino Linotype" w:eastAsia="Palatino Linotype" w:hAnsi="Palatino Linotype" w:cs="Palatino Linotype"/>
              </w:rPr>
            </w:pPr>
          </w:p>
          <w:p w14:paraId="443FAA28"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t>Precisó que se habían efectuado trescientas setenta y tres finiquitos en los meses de diciembre de 2024, y enero de 2025.</w:t>
            </w:r>
          </w:p>
          <w:p w14:paraId="596F889C" w14:textId="77777777" w:rsidR="00E97930" w:rsidRPr="00D629F5" w:rsidRDefault="00E97930" w:rsidP="00A23A91">
            <w:pPr>
              <w:spacing w:line="360" w:lineRule="auto"/>
              <w:jc w:val="both"/>
              <w:rPr>
                <w:rFonts w:ascii="Palatino Linotype" w:eastAsia="Palatino Linotype" w:hAnsi="Palatino Linotype" w:cs="Palatino Linotype"/>
              </w:rPr>
            </w:pPr>
          </w:p>
          <w:p w14:paraId="26D8BED6"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t xml:space="preserve">La Dirección General de Asuntos Jurídicos e Igualdad de Género informó, que en el periodo solicitado, se habían expedido cuatrocientos setenta cheques por finiquito a </w:t>
            </w:r>
            <w:proofErr w:type="spellStart"/>
            <w:r w:rsidRPr="00D629F5">
              <w:rPr>
                <w:rFonts w:ascii="Palatino Linotype" w:eastAsia="Palatino Linotype" w:hAnsi="Palatino Linotype" w:cs="Palatino Linotype"/>
              </w:rPr>
              <w:t>extrabajadores</w:t>
            </w:r>
            <w:proofErr w:type="spellEnd"/>
            <w:r w:rsidRPr="00D629F5">
              <w:rPr>
                <w:rFonts w:ascii="Palatino Linotype" w:eastAsia="Palatino Linotype" w:hAnsi="Palatino Linotype" w:cs="Palatino Linotype"/>
              </w:rPr>
              <w:t>,</w:t>
            </w:r>
          </w:p>
          <w:p w14:paraId="641DDC60" w14:textId="77777777" w:rsidR="00E97930" w:rsidRPr="00D629F5" w:rsidRDefault="00E97930" w:rsidP="00A23A91">
            <w:pPr>
              <w:spacing w:line="360" w:lineRule="auto"/>
              <w:jc w:val="both"/>
              <w:rPr>
                <w:rFonts w:ascii="Palatino Linotype" w:eastAsia="Palatino Linotype" w:hAnsi="Palatino Linotype" w:cs="Palatino Linotype"/>
              </w:rPr>
            </w:pPr>
          </w:p>
          <w:p w14:paraId="689C3766"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t xml:space="preserve">Respecto de los cheques en trámite, no era procedente su entrega al encontrarse ante la presencia de procedimientos </w:t>
            </w:r>
            <w:r w:rsidRPr="00D629F5">
              <w:rPr>
                <w:rFonts w:ascii="Palatino Linotype" w:eastAsia="Palatino Linotype" w:hAnsi="Palatino Linotype" w:cs="Palatino Linotype"/>
              </w:rPr>
              <w:lastRenderedPageBreak/>
              <w:t xml:space="preserve">administrativos y en substanciación.  </w:t>
            </w:r>
          </w:p>
          <w:p w14:paraId="4C062CCE" w14:textId="77777777" w:rsidR="00E97930" w:rsidRPr="00D629F5" w:rsidRDefault="00E97930" w:rsidP="00A23A91">
            <w:pPr>
              <w:spacing w:line="360" w:lineRule="auto"/>
              <w:jc w:val="both"/>
              <w:rPr>
                <w:rFonts w:ascii="Palatino Linotype" w:eastAsia="Palatino Linotype" w:hAnsi="Palatino Linotype" w:cs="Palatino Linotype"/>
              </w:rPr>
            </w:pPr>
          </w:p>
          <w:p w14:paraId="23F1B221"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t>Proporcionó la normatividad aplicable.</w:t>
            </w:r>
          </w:p>
          <w:p w14:paraId="75814415" w14:textId="77777777" w:rsidR="00E97930" w:rsidRPr="00D629F5" w:rsidRDefault="00E97930" w:rsidP="00A23A91">
            <w:pPr>
              <w:spacing w:line="360" w:lineRule="auto"/>
              <w:jc w:val="both"/>
              <w:rPr>
                <w:rFonts w:ascii="Palatino Linotype" w:eastAsia="Palatino Linotype" w:hAnsi="Palatino Linotype" w:cs="Palatino Linotype"/>
              </w:rPr>
            </w:pPr>
          </w:p>
          <w:p w14:paraId="7B538673" w14:textId="77777777" w:rsidR="00D629F5" w:rsidRPr="00D629F5" w:rsidRDefault="00D629F5" w:rsidP="00A23A91">
            <w:pPr>
              <w:spacing w:line="360" w:lineRule="auto"/>
              <w:jc w:val="both"/>
              <w:rPr>
                <w:rFonts w:ascii="Palatino Linotype" w:eastAsia="Palatino Linotype" w:hAnsi="Palatino Linotype" w:cs="Palatino Linotype"/>
              </w:rPr>
            </w:pPr>
          </w:p>
          <w:p w14:paraId="475C91CA" w14:textId="77777777" w:rsidR="00D629F5" w:rsidRPr="00D629F5" w:rsidRDefault="00D629F5" w:rsidP="00A23A91">
            <w:pPr>
              <w:spacing w:line="360" w:lineRule="auto"/>
              <w:jc w:val="both"/>
              <w:rPr>
                <w:rFonts w:ascii="Palatino Linotype" w:eastAsia="Palatino Linotype" w:hAnsi="Palatino Linotype" w:cs="Palatino Linotype"/>
              </w:rPr>
            </w:pPr>
          </w:p>
          <w:p w14:paraId="7B1DD063" w14:textId="514B0DC8"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t>No se pronunció.</w:t>
            </w:r>
          </w:p>
          <w:p w14:paraId="41D0626C" w14:textId="77777777" w:rsidR="00E97930" w:rsidRPr="00D629F5" w:rsidRDefault="00E97930" w:rsidP="00A23A91">
            <w:pPr>
              <w:spacing w:line="360" w:lineRule="auto"/>
              <w:jc w:val="both"/>
              <w:rPr>
                <w:rFonts w:ascii="Palatino Linotype" w:eastAsia="Palatino Linotype" w:hAnsi="Palatino Linotype" w:cs="Palatino Linotype"/>
              </w:rPr>
            </w:pPr>
          </w:p>
          <w:p w14:paraId="02E56D60" w14:textId="77777777" w:rsidR="00E97930" w:rsidRPr="00D629F5" w:rsidRDefault="00E97930" w:rsidP="00A23A91">
            <w:pPr>
              <w:spacing w:line="360" w:lineRule="auto"/>
              <w:jc w:val="both"/>
              <w:rPr>
                <w:rFonts w:ascii="Palatino Linotype" w:eastAsia="Palatino Linotype" w:hAnsi="Palatino Linotype" w:cs="Palatino Linotype"/>
              </w:rPr>
            </w:pPr>
          </w:p>
        </w:tc>
        <w:tc>
          <w:tcPr>
            <w:tcW w:w="2126" w:type="dxa"/>
            <w:tcBorders>
              <w:top w:val="single" w:sz="4" w:space="0" w:color="000000"/>
              <w:left w:val="single" w:sz="4" w:space="0" w:color="000000"/>
              <w:bottom w:val="single" w:sz="4" w:space="0" w:color="000000"/>
              <w:right w:val="single" w:sz="4" w:space="0" w:color="000000"/>
            </w:tcBorders>
          </w:tcPr>
          <w:p w14:paraId="36A1A1B7" w14:textId="77777777" w:rsidR="00E97930" w:rsidRPr="00D629F5" w:rsidRDefault="001C2B4E" w:rsidP="00A23A91">
            <w:pPr>
              <w:spacing w:line="360" w:lineRule="auto"/>
              <w:jc w:val="both"/>
              <w:rPr>
                <w:rFonts w:ascii="Palatino Linotype" w:eastAsia="Palatino Linotype" w:hAnsi="Palatino Linotype" w:cs="Palatino Linotype"/>
              </w:rPr>
            </w:pPr>
            <w:r w:rsidRPr="00D629F5">
              <w:rPr>
                <w:rFonts w:ascii="Palatino Linotype" w:eastAsia="Palatino Linotype" w:hAnsi="Palatino Linotype" w:cs="Palatino Linotype"/>
              </w:rPr>
              <w:lastRenderedPageBreak/>
              <w:t xml:space="preserve">Se agravió de la entrega de información incompleta, al precisar que no le </w:t>
            </w:r>
            <w:r w:rsidRPr="00D629F5">
              <w:rPr>
                <w:rFonts w:ascii="Palatino Linotype" w:eastAsia="Palatino Linotype" w:hAnsi="Palatino Linotype" w:cs="Palatino Linotype"/>
              </w:rPr>
              <w:lastRenderedPageBreak/>
              <w:t>habían proporcionado los finiquitos requeridos, lo cual actualiza la causal de procedencia establecida en el artículo 179, fracción V de la Ley de la materia.</w:t>
            </w:r>
          </w:p>
        </w:tc>
        <w:tc>
          <w:tcPr>
            <w:tcW w:w="1462" w:type="dxa"/>
            <w:tcBorders>
              <w:top w:val="single" w:sz="4" w:space="0" w:color="000000"/>
              <w:left w:val="single" w:sz="4" w:space="0" w:color="000000"/>
              <w:bottom w:val="single" w:sz="4" w:space="0" w:color="000000"/>
              <w:right w:val="single" w:sz="4" w:space="0" w:color="000000"/>
            </w:tcBorders>
          </w:tcPr>
          <w:p w14:paraId="71C5B8E7" w14:textId="77777777" w:rsidR="00E97930" w:rsidRPr="00D629F5" w:rsidRDefault="001C2B4E" w:rsidP="00A23A91">
            <w:pPr>
              <w:spacing w:line="360" w:lineRule="auto"/>
              <w:jc w:val="center"/>
              <w:rPr>
                <w:rFonts w:ascii="Palatino Linotype" w:eastAsia="Palatino Linotype" w:hAnsi="Palatino Linotype" w:cs="Palatino Linotype"/>
              </w:rPr>
            </w:pPr>
            <w:r w:rsidRPr="00D629F5">
              <w:rPr>
                <w:rFonts w:ascii="Palatino Linotype" w:eastAsia="Palatino Linotype" w:hAnsi="Palatino Linotype" w:cs="Palatino Linotype"/>
              </w:rPr>
              <w:lastRenderedPageBreak/>
              <w:t>Ratifica</w:t>
            </w:r>
          </w:p>
          <w:p w14:paraId="49537B71" w14:textId="77777777" w:rsidR="00E97930" w:rsidRPr="00D629F5" w:rsidRDefault="00E97930" w:rsidP="00A23A91">
            <w:pPr>
              <w:spacing w:line="360" w:lineRule="auto"/>
              <w:jc w:val="center"/>
              <w:rPr>
                <w:rFonts w:ascii="Palatino Linotype" w:eastAsia="Palatino Linotype" w:hAnsi="Palatino Linotype" w:cs="Palatino Linotype"/>
              </w:rPr>
            </w:pPr>
          </w:p>
          <w:p w14:paraId="22B36BE7" w14:textId="77777777" w:rsidR="00E97930" w:rsidRPr="00D629F5" w:rsidRDefault="00E97930" w:rsidP="00A23A91">
            <w:pPr>
              <w:spacing w:line="360" w:lineRule="auto"/>
              <w:jc w:val="center"/>
              <w:rPr>
                <w:rFonts w:ascii="Palatino Linotype" w:eastAsia="Palatino Linotype" w:hAnsi="Palatino Linotype" w:cs="Palatino Linotype"/>
              </w:rPr>
            </w:pPr>
          </w:p>
          <w:p w14:paraId="583F4C31" w14:textId="77777777" w:rsidR="00E97930" w:rsidRPr="00D629F5" w:rsidRDefault="00E97930" w:rsidP="00A23A91">
            <w:pPr>
              <w:spacing w:line="360" w:lineRule="auto"/>
              <w:jc w:val="center"/>
              <w:rPr>
                <w:rFonts w:ascii="Palatino Linotype" w:eastAsia="Palatino Linotype" w:hAnsi="Palatino Linotype" w:cs="Palatino Linotype"/>
              </w:rPr>
            </w:pPr>
          </w:p>
          <w:p w14:paraId="0F5AD463" w14:textId="77777777" w:rsidR="00E97930" w:rsidRPr="00D629F5" w:rsidRDefault="00E97930" w:rsidP="00A23A91">
            <w:pPr>
              <w:spacing w:line="360" w:lineRule="auto"/>
              <w:jc w:val="center"/>
              <w:rPr>
                <w:rFonts w:ascii="Palatino Linotype" w:eastAsia="Palatino Linotype" w:hAnsi="Palatino Linotype" w:cs="Palatino Linotype"/>
              </w:rPr>
            </w:pPr>
          </w:p>
          <w:p w14:paraId="2A92929D" w14:textId="77777777" w:rsidR="00E97930" w:rsidRPr="00D629F5" w:rsidRDefault="00E97930" w:rsidP="00A23A91">
            <w:pPr>
              <w:spacing w:line="360" w:lineRule="auto"/>
              <w:jc w:val="center"/>
              <w:rPr>
                <w:rFonts w:ascii="Palatino Linotype" w:eastAsia="Palatino Linotype" w:hAnsi="Palatino Linotype" w:cs="Palatino Linotype"/>
              </w:rPr>
            </w:pPr>
          </w:p>
          <w:p w14:paraId="540F50CC" w14:textId="77777777" w:rsidR="00E97930" w:rsidRPr="00D629F5" w:rsidRDefault="00E97930" w:rsidP="00A23A91">
            <w:pPr>
              <w:spacing w:line="360" w:lineRule="auto"/>
              <w:jc w:val="center"/>
              <w:rPr>
                <w:rFonts w:ascii="Palatino Linotype" w:eastAsia="Palatino Linotype" w:hAnsi="Palatino Linotype" w:cs="Palatino Linotype"/>
              </w:rPr>
            </w:pPr>
          </w:p>
          <w:p w14:paraId="6A9B920D" w14:textId="77777777" w:rsidR="00E97930" w:rsidRPr="00D629F5" w:rsidRDefault="00E97930" w:rsidP="00A23A91">
            <w:pPr>
              <w:spacing w:line="360" w:lineRule="auto"/>
              <w:jc w:val="center"/>
              <w:rPr>
                <w:rFonts w:ascii="Palatino Linotype" w:eastAsia="Palatino Linotype" w:hAnsi="Palatino Linotype" w:cs="Palatino Linotype"/>
              </w:rPr>
            </w:pPr>
          </w:p>
        </w:tc>
      </w:tr>
    </w:tbl>
    <w:p w14:paraId="20DC4B6A"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E45EB2A" w14:textId="77777777" w:rsidR="00E97930" w:rsidRDefault="001C2B4E" w:rsidP="00A23A91">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 a que tuviera derecho.</w:t>
      </w:r>
    </w:p>
    <w:p w14:paraId="1B5B72F1" w14:textId="77777777" w:rsidR="00E97930" w:rsidRDefault="00E97930" w:rsidP="00A23A91">
      <w:pPr>
        <w:spacing w:line="360" w:lineRule="auto"/>
        <w:jc w:val="both"/>
        <w:rPr>
          <w:rFonts w:ascii="Palatino Linotype" w:eastAsia="Palatino Linotype" w:hAnsi="Palatino Linotype" w:cs="Palatino Linotype"/>
          <w:color w:val="000000"/>
          <w:sz w:val="22"/>
          <w:szCs w:val="22"/>
        </w:rPr>
      </w:pPr>
    </w:p>
    <w:p w14:paraId="1E55425F" w14:textId="77777777" w:rsidR="00E97930" w:rsidRDefault="001C2B4E" w:rsidP="00A23A91">
      <w:pPr>
        <w:pStyle w:val="Ttulo2"/>
        <w:spacing w:before="0" w:after="0" w:line="360" w:lineRule="auto"/>
        <w:jc w:val="both"/>
        <w:rPr>
          <w:rFonts w:ascii="Palatino Linotype" w:eastAsia="Palatino Linotype" w:hAnsi="Palatino Linotype" w:cs="Palatino Linotype"/>
          <w:b/>
          <w:color w:val="000000"/>
          <w:sz w:val="22"/>
          <w:szCs w:val="22"/>
        </w:rPr>
      </w:pPr>
      <w:bookmarkStart w:id="16" w:name="_heading=h.h8tpf2p3vejq" w:colFirst="0" w:colLast="0"/>
      <w:bookmarkEnd w:id="16"/>
      <w:r>
        <w:rPr>
          <w:rFonts w:ascii="Palatino Linotype" w:eastAsia="Palatino Linotype" w:hAnsi="Palatino Linotype" w:cs="Palatino Linotype"/>
          <w:b/>
          <w:color w:val="000000"/>
          <w:sz w:val="22"/>
          <w:szCs w:val="22"/>
        </w:rPr>
        <w:t>CUARTO. Marco normativo aplicable en materia de transparencia y acceso a la información pública</w:t>
      </w:r>
    </w:p>
    <w:p w14:paraId="47E0008A"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778199A7"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1F08E9C"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449BC2B9"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68A1B0F"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1B3CDEDA"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093E00DA"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2AB372C1"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41461B7F"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3999B89F"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94C6B4D"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63BD4402"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E6F52A"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2D583070"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17" w:name="_heading=h.jauwddie30w3" w:colFirst="0" w:colLast="0"/>
      <w:bookmarkEnd w:id="17"/>
      <w:r>
        <w:rPr>
          <w:rFonts w:ascii="Palatino Linotype" w:eastAsia="Palatino Linotype" w:hAnsi="Palatino Linotype" w:cs="Palatino Linotype"/>
          <w:b/>
          <w:color w:val="000000"/>
          <w:sz w:val="22"/>
          <w:szCs w:val="22"/>
        </w:rPr>
        <w:t>QUINTO. Estudio de Fondo</w:t>
      </w:r>
    </w:p>
    <w:p w14:paraId="2B470CFC"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1A3A770C" w14:textId="77777777" w:rsidR="00A23A91" w:rsidRDefault="00A23A91" w:rsidP="00A23A91">
      <w:pPr>
        <w:spacing w:line="360" w:lineRule="auto"/>
        <w:jc w:val="both"/>
        <w:rPr>
          <w:rFonts w:ascii="Palatino Linotype" w:eastAsia="Palatino Linotype" w:hAnsi="Palatino Linotype" w:cs="Palatino Linotype"/>
          <w:b/>
          <w:sz w:val="22"/>
          <w:szCs w:val="22"/>
        </w:rPr>
      </w:pPr>
    </w:p>
    <w:p w14:paraId="5FC9E049"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Expuestas las posturas de las partes, se procede a realizar el análisis del agravio hecho valer por la ahora Recurrente, concerniente a la entrega de información incompleta, por lo que, resulta necesario analizar dicha circunstancia.</w:t>
      </w:r>
    </w:p>
    <w:p w14:paraId="5EAE27F6"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5A3FE13B"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el artículo 108 de la Constitución Política de los Estados Unidos Mexicanos, con relación al diverso 130 de la Constitución Política del Estado Libre y Soberano de México, establecen que se considera como servidor público a toda persona que desempeñe un empleo, cargo o comisión en alguno de los poderes del Estado, organismos autónomos, en los municipios y organismos auxiliares, así como los titulares o quienes hagan sus veces en empresas de participación estatal o municipal, sociedades o asociaciones asimiladas a éstas y en los fideicomisos públicos.</w:t>
      </w:r>
    </w:p>
    <w:p w14:paraId="5FB07E9B"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10F5E8E9"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tema, el artículo 92 de la Ley del Trabajo de los Servidores Públicos del Estado de México, precisa que el trabajador gubernamental o la institución pública, podrá rescindir en cualquier momento la relación laboral.</w:t>
      </w:r>
    </w:p>
    <w:p w14:paraId="44F4FC00"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5745F2D"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se trae por analogía el procedimiento denominado “031 Baja de Servidora Públicas y Servidores Públicos Generales y de Confianza”, del Manual de Normas y Procedimientos de Desarrollo y Administración de Personal emitido por la Secretaría de Finanzas del Estado de México, cuyo objetivo principal es procesar el movimiento de baja de trabajadores gubernamentales que dejan de prestar sus servicios a la institución pública y dar por concluida la relación laboral; además, precisa que las razones de baja, serán las siguientes:</w:t>
      </w:r>
    </w:p>
    <w:p w14:paraId="5C73E649"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5566D69"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Renuncia;</w:t>
      </w:r>
    </w:p>
    <w:p w14:paraId="3FB04EC1"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Fallecimiento;</w:t>
      </w:r>
    </w:p>
    <w:p w14:paraId="69CA1462"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Recisión de la relación laboral;</w:t>
      </w:r>
    </w:p>
    <w:p w14:paraId="087CDE61"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Aplicación de resolución de autoridad competente;</w:t>
      </w:r>
    </w:p>
    <w:p w14:paraId="396BDC7F"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Pensión por jubilación, retiro y tiempo de servicios o inhabilitación;</w:t>
      </w:r>
    </w:p>
    <w:p w14:paraId="79F6C2E2"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Mutuo consentimiento de las partes, y</w:t>
      </w:r>
    </w:p>
    <w:p w14:paraId="0A9F54A3" w14:textId="77777777" w:rsidR="00E97930" w:rsidRDefault="001C2B4E" w:rsidP="00A23A91">
      <w:pPr>
        <w:widowControl w:val="0"/>
        <w:numPr>
          <w:ilvl w:val="0"/>
          <w:numId w:val="3"/>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Vencimiento o conclusión de obra determinada.</w:t>
      </w:r>
    </w:p>
    <w:p w14:paraId="1D7EA07F"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1DDFF338"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este sentido, es de señalar, que los alcances del requerimiento de acceso a la información pública del Particular versan en obtener los comprobantes de pago de los finiquitos firmados por los servidores públicos que se desempeñaron en las distintas áreas del Sujeto Obligado. Al respecto, es necesario poder conceptualizar la palabra </w:t>
      </w:r>
      <w:r>
        <w:rPr>
          <w:rFonts w:ascii="Palatino Linotype" w:eastAsia="Palatino Linotype" w:hAnsi="Palatino Linotype" w:cs="Palatino Linotype"/>
          <w:i/>
          <w:sz w:val="22"/>
          <w:szCs w:val="22"/>
        </w:rPr>
        <w:t xml:space="preserve">“finiquito”, </w:t>
      </w:r>
      <w:r>
        <w:rPr>
          <w:rFonts w:ascii="Palatino Linotype" w:eastAsia="Palatino Linotype" w:hAnsi="Palatino Linotype" w:cs="Palatino Linotype"/>
          <w:sz w:val="22"/>
          <w:szCs w:val="22"/>
        </w:rPr>
        <w:t xml:space="preserve">por lo que, de manera enunciativa más no limitativa, la Tesis Aislada con número de registro 347545, Quinta Época, tomo XC, página 2090, publicada en el Semanario Judicial de la Federación, establece: </w:t>
      </w:r>
    </w:p>
    <w:p w14:paraId="33825EF8"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2B822FB4" w14:textId="77777777" w:rsidR="00E97930" w:rsidRDefault="001C2B4E" w:rsidP="00A23A91">
      <w:pPr>
        <w:widowControl w:val="0"/>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FINIQUITO.</w:t>
      </w:r>
      <w:r>
        <w:rPr>
          <w:rFonts w:ascii="Palatino Linotype" w:eastAsia="Palatino Linotype" w:hAnsi="Palatino Linotype" w:cs="Palatino Linotype"/>
          <w:i/>
        </w:rPr>
        <w:t xml:space="preserve">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 </w:t>
      </w:r>
    </w:p>
    <w:p w14:paraId="3C6CDD8A"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77BC61C"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este sentido, se infiere que el finiquito deriva de un acuerdo de voluntades, es decir, es necesario que medie un convenio, previo al pago de las obligaciones contraídas, por parte del patrón al trabajador. De lo anterior, se advierte que el finiquito, es la recisión laboral, cuando mediante acuerdo de voluntades, se liquidan las obligaciones que tiene el patrón de pagar al trabajador, las cantidades correspondientes por los derechos laborales que tiene el trabajador a recibir.</w:t>
      </w:r>
    </w:p>
    <w:p w14:paraId="226BE4E2"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23CDB5BB" w14:textId="77777777" w:rsidR="00A23A91" w:rsidRDefault="00A23A91" w:rsidP="00A23A91">
      <w:pPr>
        <w:widowControl w:val="0"/>
        <w:spacing w:line="360" w:lineRule="auto"/>
        <w:jc w:val="both"/>
        <w:rPr>
          <w:rFonts w:ascii="Palatino Linotype" w:eastAsia="Palatino Linotype" w:hAnsi="Palatino Linotype" w:cs="Palatino Linotype"/>
          <w:sz w:val="22"/>
          <w:szCs w:val="22"/>
        </w:rPr>
      </w:pPr>
    </w:p>
    <w:p w14:paraId="20387B3C"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Ahora bien, este Instituto localizó una nota periodística visible en el siguiente enlace para su consulta, </w:t>
      </w:r>
      <w:hyperlink r:id="rId12">
        <w:r w:rsidR="00E97930">
          <w:rPr>
            <w:rFonts w:ascii="Palatino Linotype" w:eastAsia="Palatino Linotype" w:hAnsi="Palatino Linotype" w:cs="Palatino Linotype"/>
            <w:color w:val="0563C1"/>
            <w:sz w:val="22"/>
            <w:szCs w:val="22"/>
            <w:u w:val="single"/>
          </w:rPr>
          <w:t>https://www.milenio.com/politica/delfina-gomez-hace-ajustes-en-caem-y-otras-areas-de-la-administracion</w:t>
        </w:r>
      </w:hyperlink>
      <w:r>
        <w:rPr>
          <w:rFonts w:ascii="Palatino Linotype" w:eastAsia="Palatino Linotype" w:hAnsi="Palatino Linotype" w:cs="Palatino Linotype"/>
          <w:sz w:val="22"/>
          <w:szCs w:val="22"/>
        </w:rPr>
        <w:t xml:space="preserve">, en la que se localizó que la Gobernadora del Estado de México, Delfina Gómez Álvarez, realizó ajustes en áreas prioritarias de la Administración estatal entre la que destaca la Comisión de Agua del Estado de México, en la que se incorporó como Directora General Mónica Antonio </w:t>
      </w:r>
      <w:proofErr w:type="spellStart"/>
      <w:r>
        <w:rPr>
          <w:rFonts w:ascii="Palatino Linotype" w:eastAsia="Palatino Linotype" w:hAnsi="Palatino Linotype" w:cs="Palatino Linotype"/>
          <w:sz w:val="22"/>
          <w:szCs w:val="22"/>
        </w:rPr>
        <w:t>Antonio</w:t>
      </w:r>
      <w:proofErr w:type="spellEnd"/>
      <w:r>
        <w:rPr>
          <w:rFonts w:ascii="Palatino Linotype" w:eastAsia="Palatino Linotype" w:hAnsi="Palatino Linotype" w:cs="Palatino Linotype"/>
          <w:sz w:val="22"/>
          <w:szCs w:val="22"/>
        </w:rPr>
        <w:t xml:space="preserve"> a partir del treinta de diciembre de dos mil veinticuatro. </w:t>
      </w:r>
    </w:p>
    <w:p w14:paraId="31DC6B10"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0B2EA951" w14:textId="77777777" w:rsidR="00E97930" w:rsidRDefault="001C2B4E" w:rsidP="00A23A91">
      <w:pPr>
        <w:widowControl w:val="0"/>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logra vislumbrar que la pretensión del ahora Recurrente, es obtener los documentos que contengan la siguiente información:</w:t>
      </w:r>
    </w:p>
    <w:p w14:paraId="18225023"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7768FBAB" w14:textId="77777777" w:rsidR="00E97930" w:rsidRDefault="001C2B4E" w:rsidP="00A23A91">
      <w:pPr>
        <w:numPr>
          <w:ilvl w:val="0"/>
          <w:numId w:val="9"/>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cantidad de bajas de personal por renuncia o remoción del treinta de diciembre de dos mil veinticuatro al veintinueve de enero de dos mil veinticinco;</w:t>
      </w:r>
    </w:p>
    <w:p w14:paraId="118BCEBA" w14:textId="77777777" w:rsidR="00E97930" w:rsidRDefault="001C2B4E" w:rsidP="00A23A91">
      <w:pPr>
        <w:numPr>
          <w:ilvl w:val="0"/>
          <w:numId w:val="9"/>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Renuncias, y remociones expedidas y en trámite del quince de noviembre de dos mil veinticuatro al veintinueve de enero de dos mil veinticinco;</w:t>
      </w:r>
    </w:p>
    <w:p w14:paraId="3B8675EF" w14:textId="77777777" w:rsidR="00E97930" w:rsidRDefault="001C2B4E" w:rsidP="00A23A91">
      <w:pPr>
        <w:numPr>
          <w:ilvl w:val="0"/>
          <w:numId w:val="9"/>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Cheques de finiquito del quince de noviembre de dos mil veinticuatro al veintinueve de enero de dos mil veinticinco;</w:t>
      </w:r>
    </w:p>
    <w:p w14:paraId="30672CCA" w14:textId="77777777" w:rsidR="00E97930" w:rsidRDefault="001C2B4E" w:rsidP="00A23A91">
      <w:pPr>
        <w:numPr>
          <w:ilvl w:val="0"/>
          <w:numId w:val="9"/>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Normatividad en la que se indiquen los términos para la entrega de finiquitos;</w:t>
      </w:r>
    </w:p>
    <w:p w14:paraId="012E087E" w14:textId="77777777" w:rsidR="00E97930" w:rsidRDefault="001C2B4E" w:rsidP="00A23A91">
      <w:pPr>
        <w:numPr>
          <w:ilvl w:val="0"/>
          <w:numId w:val="9"/>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Servidores Públicos responsables de la entrega de finiquitos; </w:t>
      </w:r>
    </w:p>
    <w:p w14:paraId="44CD047C"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0831F133" w14:textId="76611D32"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de las constancias que obran en el expediente, se logra vislumbrar que el Sujeto Obligado turnó las solicitudes de información a la Dirección General de Administración, y a la Dirección General de Asuntos Jurídicos</w:t>
      </w:r>
      <w:r w:rsidR="00A23A91">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w:t>
      </w:r>
      <w:r>
        <w:rPr>
          <w:rFonts w:ascii="Palatino Linotype" w:eastAsia="Palatino Linotype" w:hAnsi="Palatino Linotype" w:cs="Palatino Linotype"/>
          <w:sz w:val="22"/>
          <w:szCs w:val="22"/>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EFEF76F" w14:textId="77777777" w:rsidR="00E97930" w:rsidRDefault="00E97930" w:rsidP="00A23A91">
      <w:pPr>
        <w:spacing w:line="360" w:lineRule="auto"/>
        <w:jc w:val="both"/>
        <w:rPr>
          <w:rFonts w:ascii="Palatino Linotype" w:eastAsia="Palatino Linotype" w:hAnsi="Palatino Linotype" w:cs="Palatino Linotype"/>
          <w:sz w:val="22"/>
          <w:szCs w:val="22"/>
        </w:rPr>
      </w:pPr>
    </w:p>
    <w:p w14:paraId="16674939" w14:textId="30A909BD"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resulta necesario traer a estudio los numerales 229B11000, 229B70000 y 229B60000 los cuales establecen que la Comisión de Agua del Estado de México, para el ejercicio de sus atribuciones contará con diversas unidades administrativas entre las que se localizan las siguientes:</w:t>
      </w:r>
    </w:p>
    <w:p w14:paraId="1370D8C4"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2BC80FE" w14:textId="77777777" w:rsidR="00E97930" w:rsidRDefault="001C2B4E" w:rsidP="00A23A9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Dirección General de Asuntos Jurídicos: </w:t>
      </w:r>
      <w:r>
        <w:rPr>
          <w:rFonts w:ascii="Palatino Linotype" w:eastAsia="Palatino Linotype" w:hAnsi="Palatino Linotype" w:cs="Palatino Linotype"/>
          <w:color w:val="000000"/>
          <w:sz w:val="22"/>
          <w:szCs w:val="22"/>
        </w:rPr>
        <w:t>Encargada de organizar, coordinar y controlar las acciones legales que incidan en el ámbito de competencia de la Comisión, así como asesorar y validar la suscripción de contratos, convenios, acuerdos y actos legales celebrados con instituciones, autoridades, personas jurídicas colectivas o físicas y asesorar jurídicamente a las unidades administrativas de la Comisión, a los organismos operadores, a los municipios y a particulares, respecto a los asuntos competencia de la misma, dicha área mediante el Departamento de Asuntos Laborales además, contará con el ejercicio de diversas funciones entre las que destacan las siguientes:</w:t>
      </w:r>
    </w:p>
    <w:p w14:paraId="14AD38AA" w14:textId="77777777" w:rsidR="00E97930" w:rsidRDefault="00E97930" w:rsidP="00A23A91">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sz w:val="22"/>
          <w:szCs w:val="22"/>
        </w:rPr>
      </w:pPr>
    </w:p>
    <w:p w14:paraId="54638190"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Representar a la Comisión y a sus unidades administrativas en los asuntos jurídicos en los que sean parte, previo mandato que al respecto otorgue la/el Vocal Ejecutivo y realizar el oportuno seguimiento a los procedimientos jurídicos hasta su conclusión; </w:t>
      </w:r>
    </w:p>
    <w:p w14:paraId="086E5DD0"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Substanciar los juicios en los que la Comisión sea parte, en defensa y representación de sus intereses, en los asuntos en materia laboral;</w:t>
      </w:r>
    </w:p>
    <w:p w14:paraId="0D11A8A4"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Substanciar los procedimientos y procesos en materia laboral, ante las instancias legales competentes;</w:t>
      </w:r>
    </w:p>
    <w:p w14:paraId="797F5844"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Intervenir en cada una de las fases procedimentales que se contemplan en los conflictos obrero patronales y, en su caso, interponer el juicio de amparo correspondiente;</w:t>
      </w:r>
    </w:p>
    <w:p w14:paraId="256A2DDA"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Vigilar el estricto cumplimiento de la normatividad interna, referente a las condiciones generales de trabajo de las servidoras públicas/los servidores públicos de la Comisión y, en su caso, imponer las sanciones que procedan; y</w:t>
      </w:r>
    </w:p>
    <w:p w14:paraId="756DD57D"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Desahogar el procedimiento relacionado con la rescisión de la relación laboral existente entre las servidoras públicas/los servidores públicos y la Comisión.</w:t>
      </w:r>
    </w:p>
    <w:p w14:paraId="11A41FB0"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0605F67" w14:textId="77777777" w:rsidR="00E97930" w:rsidRDefault="001C2B4E" w:rsidP="00A23A91">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Dirección General de Administración y Finanzas: </w:t>
      </w:r>
      <w:r>
        <w:rPr>
          <w:rFonts w:ascii="Palatino Linotype" w:eastAsia="Palatino Linotype" w:hAnsi="Palatino Linotype" w:cs="Palatino Linotype"/>
          <w:color w:val="000000"/>
          <w:sz w:val="22"/>
          <w:szCs w:val="22"/>
        </w:rPr>
        <w:t>Se encargará de establecer los planes y programas para la adecuada administración de los recursos financieros, humanos, materiales, técnicos y de servicios generales que requiere la Comisión para el desarrollo integral de sus funciones y realizar las actividades encomendadas por atribución fiscal, para el ejercicio de sus atribuciones contará con diversas unidades administrativas entre otras la Subdirección de Administración de Personal quien a su vez se auxiliará del Departamento de Registro y Control de Personal, quienes en su conjunto contarán con diversas funciones entre otras la siguientes:</w:t>
      </w:r>
    </w:p>
    <w:p w14:paraId="6C38E2A8" w14:textId="77777777" w:rsidR="00E97930" w:rsidRDefault="00E97930" w:rsidP="00A23A91">
      <w:pPr>
        <w:pBdr>
          <w:top w:val="nil"/>
          <w:left w:val="nil"/>
          <w:bottom w:val="nil"/>
          <w:right w:val="nil"/>
          <w:between w:val="nil"/>
        </w:pBdr>
        <w:spacing w:line="360" w:lineRule="auto"/>
        <w:ind w:left="1440"/>
        <w:jc w:val="both"/>
        <w:rPr>
          <w:rFonts w:ascii="Palatino Linotype" w:eastAsia="Palatino Linotype" w:hAnsi="Palatino Linotype" w:cs="Palatino Linotype"/>
          <w:color w:val="000000"/>
          <w:sz w:val="22"/>
          <w:szCs w:val="22"/>
        </w:rPr>
      </w:pPr>
    </w:p>
    <w:p w14:paraId="5D5C4AFA"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Desarrollar acciones orientadas a eficientar la administración y desarrollo del personal de la Comisión;</w:t>
      </w:r>
    </w:p>
    <w:p w14:paraId="38B55414"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Vigiar que se actualice de forma permanente los expedientes personales de las servidoras públicas/los servidores públicos de la Comisión;</w:t>
      </w:r>
    </w:p>
    <w:p w14:paraId="1F675564"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Vigilar el cumplimiento de los ordenamientos jurídicos y administrativos que rigen la relación laboral tanto del personal sindicalizado como de confianza;</w:t>
      </w:r>
    </w:p>
    <w:p w14:paraId="5A4393CD"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Supervisar que se aplique las sanciones legales y administrativas en caso de incumplimiento de las políticas y normas en materia de personal;</w:t>
      </w:r>
    </w:p>
    <w:p w14:paraId="6D89FB55"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Previa autorización de la/el Vocal Ejecutivo, supervisar el trámite, registro y control de los nombramientos, ascensos, remociones, cambios de adscripción, control de asistencia y puntualidad y bajas de personal;</w:t>
      </w:r>
    </w:p>
    <w:p w14:paraId="617BE03E"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Supervisar el cálculo de los gastos por concepto de finiquitos por bajas o por jubilación del personal; y</w:t>
      </w:r>
    </w:p>
    <w:p w14:paraId="685687CF" w14:textId="77777777" w:rsidR="00E97930" w:rsidRDefault="001C2B4E" w:rsidP="00A23A9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Capturar y tramitar los movimientos del personal adscrito a las unidades administrativas de la Comisión, tales como: Altas, bajas, cambios de percepciones, cambios de adscripción, promociones y demás movimientos establecidos por la norma administrativa.</w:t>
      </w:r>
    </w:p>
    <w:p w14:paraId="5AA4EF82"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48529DE"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w:t>
      </w:r>
      <w:r>
        <w:rPr>
          <w:rFonts w:ascii="Palatino Linotype" w:eastAsia="Palatino Linotype" w:hAnsi="Palatino Linotype" w:cs="Palatino Linotype"/>
          <w:color w:val="0D0D0D"/>
          <w:sz w:val="22"/>
          <w:szCs w:val="22"/>
        </w:rPr>
        <w:t>Sujeto Obligado</w:t>
      </w:r>
      <w:r>
        <w:rPr>
          <w:rFonts w:ascii="Palatino Linotype" w:eastAsia="Palatino Linotype" w:hAnsi="Palatino Linotype" w:cs="Palatino Linotype"/>
          <w:sz w:val="22"/>
          <w:szCs w:val="22"/>
        </w:rPr>
        <w:t xml:space="preserve">, si bien turnó la solicitud de información a la Dirección General de Administración, y a la Dirección General de Asuntos Jurídicos unidades administrativas competentes, lo cierto es que omitió gestionar la solicitud de información a la Contraloría Interna unidad administrativa competente para conocer de lo requerido relacionado con la substanciación de procedimientos internos iniciados en contra de los servidores públicos, por lo que, cumplió con </w:t>
      </w:r>
      <w:proofErr w:type="spellStart"/>
      <w:r>
        <w:rPr>
          <w:rFonts w:ascii="Palatino Linotype" w:eastAsia="Palatino Linotype" w:hAnsi="Palatino Linotype" w:cs="Palatino Linotype"/>
          <w:sz w:val="22"/>
          <w:szCs w:val="22"/>
        </w:rPr>
        <w:t>parde</w:t>
      </w:r>
      <w:proofErr w:type="spellEnd"/>
      <w:r>
        <w:rPr>
          <w:rFonts w:ascii="Palatino Linotype" w:eastAsia="Palatino Linotype" w:hAnsi="Palatino Linotype" w:cs="Palatino Linotype"/>
          <w:sz w:val="22"/>
          <w:szCs w:val="22"/>
        </w:rPr>
        <w:t xml:space="preserve"> del procedimiento de búsqueda establecido en el artículo 162 de la Ley de la materia.</w:t>
      </w:r>
    </w:p>
    <w:p w14:paraId="03A3E2BF" w14:textId="77777777" w:rsidR="00E97930" w:rsidRDefault="00E97930" w:rsidP="00A23A91">
      <w:pPr>
        <w:spacing w:line="360" w:lineRule="auto"/>
        <w:jc w:val="both"/>
        <w:rPr>
          <w:rFonts w:ascii="Palatino Linotype" w:eastAsia="Palatino Linotype" w:hAnsi="Palatino Linotype" w:cs="Palatino Linotype"/>
          <w:color w:val="000000"/>
          <w:sz w:val="22"/>
          <w:szCs w:val="22"/>
        </w:rPr>
      </w:pPr>
    </w:p>
    <w:p w14:paraId="413E7C99"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Establecido lo anterior, se procede analizar la respuesta proporcionada a efecto de determinar si con la información remitida atiende lo solicitado por el Ahora Recurrente o, por el contrario, resulta procedente ordenar lo conducente, situación que se realiza conforme a lo siguiente:</w:t>
      </w:r>
    </w:p>
    <w:p w14:paraId="153ED0CD" w14:textId="77777777" w:rsidR="00E97930" w:rsidRDefault="00E97930" w:rsidP="00A23A91">
      <w:pPr>
        <w:spacing w:line="360" w:lineRule="auto"/>
        <w:jc w:val="both"/>
        <w:rPr>
          <w:rFonts w:ascii="Palatino Linotype" w:eastAsia="Palatino Linotype" w:hAnsi="Palatino Linotype" w:cs="Palatino Linotype"/>
          <w:sz w:val="22"/>
          <w:szCs w:val="22"/>
        </w:rPr>
      </w:pPr>
    </w:p>
    <w:p w14:paraId="25DD0C6F" w14:textId="77777777" w:rsidR="00E97930" w:rsidRDefault="001C2B4E" w:rsidP="00A23A91">
      <w:pPr>
        <w:numPr>
          <w:ilvl w:val="0"/>
          <w:numId w:val="8"/>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La cantidad de bajas de personal por renuncia o remoción del treinta de diciembre de dos mil veinticuatro al veintinueve de enero de dos mil veinticinco;</w:t>
      </w:r>
    </w:p>
    <w:p w14:paraId="2C32CE80"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3428C59D"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en respuesta, la Dirección de Administración y finanzas proporcionó los documentos que daban cuenta de las bajas de personal requerido, en la temporalidad solicitada, situación que se logra advertir conforme a lo siguiente:</w:t>
      </w:r>
    </w:p>
    <w:p w14:paraId="1B31EBF5"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6535DA43"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noProof/>
          <w:color w:val="000000"/>
          <w:sz w:val="22"/>
          <w:szCs w:val="22"/>
        </w:rPr>
        <w:drawing>
          <wp:inline distT="0" distB="0" distL="0" distR="0" wp14:anchorId="651D1E51" wp14:editId="2920EF8E">
            <wp:extent cx="5956300" cy="2633980"/>
            <wp:effectExtent l="0" t="0" r="0" b="0"/>
            <wp:docPr id="173000170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956300" cy="2633980"/>
                    </a:xfrm>
                    <a:prstGeom prst="rect">
                      <a:avLst/>
                    </a:prstGeom>
                    <a:ln/>
                  </pic:spPr>
                </pic:pic>
              </a:graphicData>
            </a:graphic>
          </wp:inline>
        </w:drawing>
      </w:r>
    </w:p>
    <w:p w14:paraId="5E032863"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3A3134F5" w14:textId="77777777" w:rsidR="00E97930" w:rsidRDefault="001C2B4E" w:rsidP="00A23A91">
      <w:pPr>
        <w:tabs>
          <w:tab w:val="left" w:pos="4962"/>
        </w:tabs>
        <w:spacing w:line="360" w:lineRule="auto"/>
        <w:jc w:val="both"/>
      </w:pPr>
      <w:r>
        <w:rPr>
          <w:rFonts w:ascii="Palatino Linotype" w:eastAsia="Palatino Linotype" w:hAnsi="Palatino Linotype" w:cs="Palatino Linotype"/>
          <w:noProof/>
          <w:color w:val="000000"/>
          <w:sz w:val="22"/>
          <w:szCs w:val="22"/>
        </w:rPr>
        <w:lastRenderedPageBreak/>
        <w:drawing>
          <wp:inline distT="0" distB="0" distL="0" distR="0" wp14:anchorId="6F92E42A" wp14:editId="71480755">
            <wp:extent cx="5730875" cy="2005965"/>
            <wp:effectExtent l="0" t="0" r="0" b="0"/>
            <wp:docPr id="17300017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730875" cy="2005965"/>
                    </a:xfrm>
                    <a:prstGeom prst="rect">
                      <a:avLst/>
                    </a:prstGeom>
                    <a:ln/>
                  </pic:spPr>
                </pic:pic>
              </a:graphicData>
            </a:graphic>
          </wp:inline>
        </w:drawing>
      </w:r>
    </w:p>
    <w:p w14:paraId="0CC9706D"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26EABBC6"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de la revisión de los documentos proporcionados se logra vislumbrar que contienen el nombre del personal, fecha de baja, categoría, nivel o rango, adscripción y el motivo de baja, en el periodo requerido, por lo que resulta procedente validar dichos documentos, y en consecuencia tener por atendida esta parte de la solicitud.</w:t>
      </w:r>
    </w:p>
    <w:p w14:paraId="16325AEC"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24D6C7DC" w14:textId="77777777" w:rsidR="00E97930" w:rsidRDefault="001C2B4E" w:rsidP="00A23A91">
      <w:pPr>
        <w:numPr>
          <w:ilvl w:val="0"/>
          <w:numId w:val="8"/>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Renuncias, y remociones expedidas y en trámite del quince de noviembre de dos mil veinticuatro al veintinueve de enero de dos mil veinticinco;</w:t>
      </w:r>
    </w:p>
    <w:p w14:paraId="5EBDF845"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38EA557E"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resulta oportuno recordar que los documentos que daban cuenta de las bajas del personal requerido, contienen el motivo de la baja del personal en el que se logró vislumbrar que fue a través de renuncia, jubilación, fallecimiento y recisión laboral, sin embargo, el Sujeto Obligado omitió proporcionar los documentos relacionados con las renuncias y las remociones del personal dado de baja.</w:t>
      </w:r>
    </w:p>
    <w:p w14:paraId="10DEA83B"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48E890A9"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Sobre el tema el artículo 1.8, fracción IX, del Código Administrativo del Estado de México, establece que para que un acto administrativo tenga validez, deberá guardar congruencia con lo solicitado. Además, resulta necesario traer por analogía, el Criterio de Interpretación, con clave de control SO/002/2017, de la Segunda Época, emitido por el Instituto Nacional de </w:t>
      </w:r>
      <w:r>
        <w:rPr>
          <w:rFonts w:ascii="Palatino Linotype" w:eastAsia="Palatino Linotype" w:hAnsi="Palatino Linotype" w:cs="Palatino Linotype"/>
          <w:color w:val="000000"/>
          <w:sz w:val="22"/>
          <w:szCs w:val="22"/>
        </w:rPr>
        <w:lastRenderedPageBreak/>
        <w:t>Transparencia, Acceso a la Información y Protección de Datos Personales, del cual se desprende que todo acto administrativo debe apegarse al Principio de Congruencia, el cual implica que exista concordancia entre el requerimiento formulado y la respuesta entregada.</w:t>
      </w:r>
    </w:p>
    <w:p w14:paraId="1D028A33"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057C8219"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Conforme a lo expuesto, este Organismo Garante considera procedente ordenar los documentos que den cuenta de las renuncias y remociones del personal dado de baja y señaladas en respuesta a efecto de dar cumplimiento a los artículos 12 y 160 de la Ley de Transparencia.</w:t>
      </w:r>
    </w:p>
    <w:p w14:paraId="1497BC12"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1C16C0DA" w14:textId="77777777" w:rsidR="00E97930" w:rsidRDefault="001C2B4E" w:rsidP="00A23A91">
      <w:pPr>
        <w:numPr>
          <w:ilvl w:val="0"/>
          <w:numId w:val="8"/>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Cheques de pago por finiquito del quince de noviembre de dos mil veinticuatro al veintinueve de enero de dos mil veinticinco;</w:t>
      </w:r>
    </w:p>
    <w:p w14:paraId="2FF13B85" w14:textId="77777777" w:rsidR="00E97930" w:rsidRDefault="00E97930" w:rsidP="00A23A91">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b/>
          <w:color w:val="000000"/>
          <w:sz w:val="22"/>
          <w:szCs w:val="22"/>
        </w:rPr>
      </w:pPr>
    </w:p>
    <w:p w14:paraId="54852C5D"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respuesta, tanto el Sujeto Obligado a través de la Dirección General de Administración y Finanzas, y la Dirección General de Asuntos Jurídicos, unidades administrativas competentes, precisaron que habían expedido setenta cheques por concepto de finiquito a </w:t>
      </w:r>
      <w:proofErr w:type="spellStart"/>
      <w:r>
        <w:rPr>
          <w:rFonts w:ascii="Palatino Linotype" w:eastAsia="Palatino Linotype" w:hAnsi="Palatino Linotype" w:cs="Palatino Linotype"/>
          <w:color w:val="000000"/>
          <w:sz w:val="22"/>
          <w:szCs w:val="22"/>
        </w:rPr>
        <w:t>extrabajadores</w:t>
      </w:r>
      <w:proofErr w:type="spellEnd"/>
      <w:r>
        <w:rPr>
          <w:rFonts w:ascii="Palatino Linotype" w:eastAsia="Palatino Linotype" w:hAnsi="Palatino Linotype" w:cs="Palatino Linotype"/>
          <w:color w:val="000000"/>
          <w:sz w:val="22"/>
          <w:szCs w:val="22"/>
        </w:rPr>
        <w:t xml:space="preserve"> del quince de noviembre de dos mil veinticuatro al veintinueve de enero de dos mil veinticinco. </w:t>
      </w:r>
    </w:p>
    <w:p w14:paraId="1403DDD4"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7361D306"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No obstante, el ahora Recurrente se inconformó porque no le habían proporcionado la expresión documental que dieran cuenta de los pagos de los finiquitos referidos  así como de los cheques que dieran cuenta del pago realizado a los </w:t>
      </w:r>
      <w:proofErr w:type="spellStart"/>
      <w:r>
        <w:rPr>
          <w:rFonts w:ascii="Palatino Linotype" w:eastAsia="Palatino Linotype" w:hAnsi="Palatino Linotype" w:cs="Palatino Linotype"/>
          <w:color w:val="000000"/>
          <w:sz w:val="22"/>
          <w:szCs w:val="22"/>
        </w:rPr>
        <w:t>extrabajadores</w:t>
      </w:r>
      <w:proofErr w:type="spellEnd"/>
      <w:r>
        <w:rPr>
          <w:rFonts w:ascii="Palatino Linotype" w:eastAsia="Palatino Linotype" w:hAnsi="Palatino Linotype" w:cs="Palatino Linotype"/>
          <w:color w:val="000000"/>
          <w:sz w:val="22"/>
          <w:szCs w:val="22"/>
        </w:rPr>
        <w:t xml:space="preserve">, por lo que deberá realizar una búsqueda exhaustiva y razonable en los archivos de todas las unidades administrativas competentes, a efecto de que entregue la expresión documental de que cuenta de los cheques derivados de los finiquitos referidos en respuesta, a efecto de que </w:t>
      </w:r>
      <w:proofErr w:type="spellStart"/>
      <w:r>
        <w:rPr>
          <w:rFonts w:ascii="Palatino Linotype" w:eastAsia="Palatino Linotype" w:hAnsi="Palatino Linotype" w:cs="Palatino Linotype"/>
          <w:color w:val="000000"/>
          <w:sz w:val="22"/>
          <w:szCs w:val="22"/>
        </w:rPr>
        <w:t>de</w:t>
      </w:r>
      <w:proofErr w:type="spellEnd"/>
      <w:r>
        <w:rPr>
          <w:rFonts w:ascii="Palatino Linotype" w:eastAsia="Palatino Linotype" w:hAnsi="Palatino Linotype" w:cs="Palatino Linotype"/>
          <w:color w:val="000000"/>
          <w:sz w:val="22"/>
          <w:szCs w:val="22"/>
        </w:rPr>
        <w:t xml:space="preserve"> cumplimiento a lo dispuesto por los artículos 12 y 160 de la Ley de Transparencia.</w:t>
      </w:r>
    </w:p>
    <w:p w14:paraId="0AE97230" w14:textId="77777777" w:rsidR="00E97930" w:rsidRDefault="00E97930" w:rsidP="00A23A91">
      <w:pPr>
        <w:spacing w:line="360" w:lineRule="auto"/>
        <w:jc w:val="both"/>
        <w:rPr>
          <w:rFonts w:ascii="Palatino Linotype" w:eastAsia="Palatino Linotype" w:hAnsi="Palatino Linotype" w:cs="Palatino Linotype"/>
          <w:sz w:val="22"/>
          <w:szCs w:val="22"/>
        </w:rPr>
      </w:pPr>
    </w:p>
    <w:p w14:paraId="38CE4938" w14:textId="77777777" w:rsidR="00E97930" w:rsidRDefault="001C2B4E" w:rsidP="00A23A91">
      <w:pPr>
        <w:numPr>
          <w:ilvl w:val="0"/>
          <w:numId w:val="8"/>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lastRenderedPageBreak/>
        <w:t>Normatividad en la que se indiquen los términos para la entrega de finiquitos;</w:t>
      </w:r>
    </w:p>
    <w:p w14:paraId="5CDBC282" w14:textId="77777777" w:rsidR="00E97930" w:rsidRDefault="00E97930" w:rsidP="00A23A91">
      <w:pPr>
        <w:tabs>
          <w:tab w:val="left" w:pos="4962"/>
        </w:tabs>
        <w:spacing w:line="360" w:lineRule="auto"/>
        <w:jc w:val="both"/>
        <w:rPr>
          <w:rFonts w:ascii="Palatino Linotype" w:eastAsia="Palatino Linotype" w:hAnsi="Palatino Linotype" w:cs="Palatino Linotype"/>
          <w:b/>
          <w:color w:val="000000"/>
          <w:sz w:val="22"/>
          <w:szCs w:val="22"/>
        </w:rPr>
      </w:pPr>
    </w:p>
    <w:p w14:paraId="75C1D4E8"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En respuesta, tanto la Dirección General de Administración como la Dirección de Asuntos Jurídicos proporcionaron la siguiente normatividad:</w:t>
      </w:r>
    </w:p>
    <w:p w14:paraId="2811C6C3"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4D02F1B1"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Ley Federal del Trabajo;</w:t>
      </w:r>
    </w:p>
    <w:p w14:paraId="04FEFEC0"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Ley del Trabajo de los Servidores Públicos del Estado de México y Municipios;</w:t>
      </w:r>
    </w:p>
    <w:p w14:paraId="457FD15C"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Reglamento de Condiciones Generales de Trabajo de los Servidores Públicos de la Comisión de Agua del Estado de México;</w:t>
      </w:r>
    </w:p>
    <w:p w14:paraId="538F8672"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Manual de Normas y Procedimientos de Derecho y Administración de Personal;</w:t>
      </w:r>
    </w:p>
    <w:p w14:paraId="44259CF4" w14:textId="77777777" w:rsidR="00E97930" w:rsidRDefault="001C2B4E" w:rsidP="00A23A91">
      <w:pPr>
        <w:numPr>
          <w:ilvl w:val="0"/>
          <w:numId w:val="1"/>
        </w:numPr>
        <w:pBdr>
          <w:top w:val="nil"/>
          <w:left w:val="nil"/>
          <w:bottom w:val="nil"/>
          <w:right w:val="nil"/>
          <w:between w:val="nil"/>
        </w:pBdr>
        <w:spacing w:line="360" w:lineRule="auto"/>
        <w:ind w:left="927" w:right="56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Procedimiento: para la Certificación de adeudo o no adeudos, Carta de No Adeudo y Finiquito</w:t>
      </w:r>
    </w:p>
    <w:p w14:paraId="720318CD"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7BDB5A58"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Así, de la revisión de la normatividad proporcionada, se logró advertir que el denominado “Procedimiento para la Certificación de Adeudo o no Adeudo, Carta de No Adeudo y Finiquito” contiene el procedimiento tanto para el trabajador como para las unidades administrativas encargadas de efectuar el pago del finiquito previo cumplimiento de los requisitos correspondientes, por lo que se considera atendido el presente punto.</w:t>
      </w:r>
    </w:p>
    <w:p w14:paraId="2925D523"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2B6E5A3C" w14:textId="77777777" w:rsidR="00E97930" w:rsidRDefault="001C2B4E" w:rsidP="00A23A91">
      <w:pPr>
        <w:numPr>
          <w:ilvl w:val="0"/>
          <w:numId w:val="8"/>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Servidores Públicos responsables de la entrega de finiquitos; </w:t>
      </w:r>
    </w:p>
    <w:p w14:paraId="43888451"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6748ED11"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Al respecto, el Sujeto Obligado omitió pronunciarse sobre los documentos que dieran cuenta de los servidores públicos responsables de la entrega de los finiquitos que se entregan a los trabajadores que causan baja laboral.</w:t>
      </w:r>
    </w:p>
    <w:p w14:paraId="7E8E0562" w14:textId="77777777" w:rsidR="00E97930" w:rsidRDefault="001C2B4E" w:rsidP="00A23A91">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Por lo anterior, el Sujeto Obligado a través de sus unidades administrativas competentes </w:t>
      </w:r>
      <w:proofErr w:type="gramStart"/>
      <w:r>
        <w:rPr>
          <w:rFonts w:ascii="Palatino Linotype" w:eastAsia="Palatino Linotype" w:hAnsi="Palatino Linotype" w:cs="Palatino Linotype"/>
          <w:color w:val="000000"/>
          <w:sz w:val="22"/>
          <w:szCs w:val="22"/>
        </w:rPr>
        <w:t>deberán</w:t>
      </w:r>
      <w:proofErr w:type="gramEnd"/>
      <w:r>
        <w:rPr>
          <w:rFonts w:ascii="Palatino Linotype" w:eastAsia="Palatino Linotype" w:hAnsi="Palatino Linotype" w:cs="Palatino Linotype"/>
          <w:color w:val="000000"/>
          <w:sz w:val="22"/>
          <w:szCs w:val="22"/>
        </w:rPr>
        <w:t xml:space="preserve"> realizar una búsqueda exhaustiva y razonable a efecto de que proporcione los documentos donde se advierta el nombre de los servidores públicos encargados de realizar la entrega de los finiquitos correspondientes a los trabajadores que causaron baja al veintinueve de enero de dos mil veinticinco.</w:t>
      </w:r>
    </w:p>
    <w:p w14:paraId="297186A6" w14:textId="77777777" w:rsidR="00E97930" w:rsidRDefault="00E97930" w:rsidP="00A23A91">
      <w:pPr>
        <w:tabs>
          <w:tab w:val="left" w:pos="4962"/>
        </w:tabs>
        <w:spacing w:line="360" w:lineRule="auto"/>
        <w:jc w:val="both"/>
        <w:rPr>
          <w:rFonts w:ascii="Palatino Linotype" w:eastAsia="Palatino Linotype" w:hAnsi="Palatino Linotype" w:cs="Palatino Linotype"/>
          <w:color w:val="000000"/>
          <w:sz w:val="22"/>
          <w:szCs w:val="22"/>
        </w:rPr>
      </w:pPr>
    </w:p>
    <w:p w14:paraId="0ABFC7C1" w14:textId="77777777" w:rsidR="00E97930" w:rsidRDefault="001C2B4E" w:rsidP="00A23A91">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En este sentido, este Organismo Garante advierte que si bien, el Sujeto Obligado atendió en parte la solicitud de información, lo cierto es que omitió pronunciarse sobre todos los puntos requeridos, lo cual da como resultado que el agravio resulte </w:t>
      </w:r>
      <w:r>
        <w:rPr>
          <w:rFonts w:ascii="Palatino Linotype" w:eastAsia="Palatino Linotype" w:hAnsi="Palatino Linotype" w:cs="Palatino Linotype"/>
          <w:b/>
          <w:sz w:val="22"/>
          <w:szCs w:val="22"/>
        </w:rPr>
        <w:t xml:space="preserve">FUNDADO. </w:t>
      </w:r>
    </w:p>
    <w:p w14:paraId="7A5EEEB5" w14:textId="77777777" w:rsidR="00E97930" w:rsidRDefault="00E97930" w:rsidP="00A23A91">
      <w:pPr>
        <w:spacing w:line="360" w:lineRule="auto"/>
        <w:jc w:val="both"/>
        <w:rPr>
          <w:rFonts w:ascii="Palatino Linotype" w:eastAsia="Palatino Linotype" w:hAnsi="Palatino Linotype" w:cs="Palatino Linotype"/>
          <w:b/>
          <w:sz w:val="22"/>
          <w:szCs w:val="22"/>
        </w:rPr>
      </w:pPr>
    </w:p>
    <w:p w14:paraId="26F88D6B" w14:textId="77777777" w:rsidR="00E97930" w:rsidRDefault="001C2B4E" w:rsidP="00A23A91">
      <w:pPr>
        <w:spacing w:line="360" w:lineRule="auto"/>
        <w:jc w:val="both"/>
        <w:rPr>
          <w:rFonts w:ascii="Palatino Linotype" w:eastAsia="Palatino Linotype" w:hAnsi="Palatino Linotype" w:cs="Palatino Linotype"/>
          <w:sz w:val="22"/>
          <w:szCs w:val="22"/>
        </w:rPr>
      </w:pPr>
      <w:proofErr w:type="gramStart"/>
      <w:r>
        <w:rPr>
          <w:rFonts w:ascii="Palatino Linotype" w:eastAsia="Palatino Linotype" w:hAnsi="Palatino Linotype" w:cs="Palatino Linotype"/>
          <w:sz w:val="22"/>
          <w:szCs w:val="22"/>
        </w:rPr>
        <w:t>por</w:t>
      </w:r>
      <w:proofErr w:type="gramEnd"/>
      <w:r>
        <w:rPr>
          <w:rFonts w:ascii="Palatino Linotype" w:eastAsia="Palatino Linotype" w:hAnsi="Palatino Linotype" w:cs="Palatino Linotype"/>
          <w:sz w:val="22"/>
          <w:szCs w:val="22"/>
        </w:rPr>
        <w:t xml:space="preserve"> lo que, este Instituto considera que, el Sujeto Obligado para atender los puntos de la solicitud faltantes deberá realizar una búsqueda exhaustiva y razonable en todas sus unidades administrativas competentes, a efecto de que realice la entrega de los documentos que den cuenta de lo siguiente:</w:t>
      </w:r>
    </w:p>
    <w:p w14:paraId="2855F87F"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52AE393" w14:textId="77777777" w:rsidR="00E97930" w:rsidRDefault="001C2B4E" w:rsidP="00A23A91">
      <w:pPr>
        <w:numPr>
          <w:ilvl w:val="0"/>
          <w:numId w:val="1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renuncias y remociones, derivados de las bajas de personal señalados en respuesta;</w:t>
      </w:r>
    </w:p>
    <w:p w14:paraId="59694429" w14:textId="77777777" w:rsidR="00E97930" w:rsidRDefault="001C2B4E" w:rsidP="00A23A91">
      <w:pPr>
        <w:numPr>
          <w:ilvl w:val="0"/>
          <w:numId w:val="1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setenta cheques de finiquito señalados en respuesta;</w:t>
      </w:r>
    </w:p>
    <w:p w14:paraId="3668B6DB" w14:textId="77777777" w:rsidR="00E97930" w:rsidRDefault="001C2B4E" w:rsidP="00A23A91">
      <w:pPr>
        <w:numPr>
          <w:ilvl w:val="0"/>
          <w:numId w:val="10"/>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Servidores Públicos responsables de la entrega de finiquitos; </w:t>
      </w:r>
    </w:p>
    <w:p w14:paraId="0834D46E"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DC62379" w14:textId="77777777" w:rsidR="00E97930" w:rsidRDefault="001C2B4E" w:rsidP="00A23A91">
      <w:pPr>
        <w:spacing w:line="360" w:lineRule="auto"/>
        <w:jc w:val="both"/>
        <w:rPr>
          <w:rFonts w:ascii="Palatino Linotype" w:eastAsia="Palatino Linotype" w:hAnsi="Palatino Linotype" w:cs="Palatino Linotype"/>
          <w:sz w:val="22"/>
          <w:szCs w:val="22"/>
        </w:rPr>
      </w:pPr>
      <w:bookmarkStart w:id="18" w:name="_heading=h.r33z88ki11ul" w:colFirst="0" w:colLast="0"/>
      <w:bookmarkEnd w:id="18"/>
      <w:r>
        <w:rPr>
          <w:rFonts w:ascii="Palatino Linotype" w:eastAsia="Palatino Linotype" w:hAnsi="Palatino Linotype" w:cs="Palatino Linotype"/>
          <w:sz w:val="22"/>
          <w:szCs w:val="22"/>
        </w:rPr>
        <w:t>Por lo que, en el presente caso, deberá entregar la expresión documental que den cuenta de lo peticionado;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A66852D" w14:textId="5FE764AF"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 De esta manera, el derecho de acceso a la información pública se satisface en aquellos casos en que se entregue el soporte documental en el que conste la información solicitada, sin necesidad de elaborar documentos </w:t>
      </w:r>
      <w:r>
        <w:rPr>
          <w:rFonts w:ascii="Palatino Linotype" w:eastAsia="Palatino Linotype" w:hAnsi="Palatino Linotype" w:cs="Palatino Linotype"/>
          <w:i/>
          <w:sz w:val="22"/>
          <w:szCs w:val="22"/>
        </w:rPr>
        <w:t>ad hoc</w:t>
      </w:r>
      <w:r>
        <w:rPr>
          <w:rFonts w:ascii="Palatino Linotype" w:eastAsia="Palatino Linotype" w:hAnsi="Palatino Linotype" w:cs="Palatino Linotype"/>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3A0FE178"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E49956F"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w:t>
      </w:r>
    </w:p>
    <w:p w14:paraId="37F678D3" w14:textId="77777777" w:rsidR="00E97930" w:rsidRDefault="00E97930" w:rsidP="00A23A91">
      <w:pPr>
        <w:spacing w:line="360" w:lineRule="auto"/>
        <w:jc w:val="both"/>
        <w:rPr>
          <w:rFonts w:ascii="Palatino Linotype" w:eastAsia="Palatino Linotype" w:hAnsi="Palatino Linotype" w:cs="Palatino Linotype"/>
          <w:color w:val="000000"/>
          <w:sz w:val="22"/>
          <w:szCs w:val="22"/>
        </w:rPr>
      </w:pPr>
    </w:p>
    <w:p w14:paraId="058604A8"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este Instituto considera que el Sujeto Obligado deberá proporcionar lo solicitado,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16D57E2"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5AD12B14"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AE596BB" w14:textId="77777777" w:rsidR="00E97930" w:rsidRDefault="001C2B4E" w:rsidP="00A23A91">
      <w:pPr>
        <w:pStyle w:val="Ttulo2"/>
        <w:spacing w:before="0" w:after="0" w:line="360" w:lineRule="auto"/>
        <w:rPr>
          <w:rFonts w:ascii="Palatino Linotype" w:eastAsia="Palatino Linotype" w:hAnsi="Palatino Linotype" w:cs="Palatino Linotype"/>
          <w:b/>
          <w:color w:val="000000"/>
          <w:sz w:val="22"/>
          <w:szCs w:val="22"/>
        </w:rPr>
      </w:pPr>
      <w:bookmarkStart w:id="19" w:name="_heading=h.6wvi52tlthj8" w:colFirst="0" w:colLast="0"/>
      <w:bookmarkEnd w:id="19"/>
      <w:r>
        <w:rPr>
          <w:rFonts w:ascii="Palatino Linotype" w:eastAsia="Palatino Linotype" w:hAnsi="Palatino Linotype" w:cs="Palatino Linotype"/>
          <w:b/>
          <w:color w:val="000000"/>
          <w:sz w:val="22"/>
          <w:szCs w:val="22"/>
        </w:rPr>
        <w:lastRenderedPageBreak/>
        <w:t>SEXTO. Decisión</w:t>
      </w:r>
    </w:p>
    <w:p w14:paraId="74D442A5"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E0DB56C" w14:textId="77777777" w:rsidR="00E97930" w:rsidRDefault="001C2B4E" w:rsidP="00A23A91">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III,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 respuesta otorgada a la solicitud de información 00063/CAEM/IP/2025, a efecto de que, proporcione en su caso en versión pública la información solicitada.</w:t>
      </w:r>
    </w:p>
    <w:p w14:paraId="3EF59EEA" w14:textId="77777777" w:rsidR="00E97930" w:rsidRDefault="00E97930" w:rsidP="00A23A91">
      <w:pPr>
        <w:tabs>
          <w:tab w:val="left" w:pos="4962"/>
        </w:tabs>
        <w:spacing w:line="360" w:lineRule="auto"/>
        <w:jc w:val="both"/>
        <w:rPr>
          <w:rFonts w:ascii="Palatino Linotype" w:eastAsia="Palatino Linotype" w:hAnsi="Palatino Linotype" w:cs="Palatino Linotype"/>
          <w:sz w:val="22"/>
          <w:szCs w:val="22"/>
        </w:rPr>
      </w:pPr>
    </w:p>
    <w:p w14:paraId="6FDE5710" w14:textId="77777777" w:rsidR="00E97930" w:rsidRDefault="001C2B4E" w:rsidP="00A23A91">
      <w:pPr>
        <w:spacing w:line="360" w:lineRule="auto"/>
        <w:jc w:val="both"/>
        <w:rPr>
          <w:rFonts w:ascii="Palatino Linotype" w:eastAsia="Palatino Linotype" w:hAnsi="Palatino Linotype" w:cs="Palatino Linotype"/>
          <w:b/>
          <w:color w:val="000000"/>
          <w:sz w:val="22"/>
          <w:szCs w:val="22"/>
        </w:rPr>
      </w:pPr>
      <w:bookmarkStart w:id="20" w:name="_heading=h.5ox75ochzu95" w:colFirst="0" w:colLast="0"/>
      <w:bookmarkEnd w:id="20"/>
      <w:r>
        <w:rPr>
          <w:rFonts w:ascii="Palatino Linotype" w:eastAsia="Palatino Linotype" w:hAnsi="Palatino Linotype" w:cs="Palatino Linotype"/>
          <w:b/>
          <w:color w:val="000000"/>
          <w:sz w:val="22"/>
          <w:szCs w:val="22"/>
        </w:rPr>
        <w:t>Términos de la Resolución para el Recurrente</w:t>
      </w:r>
    </w:p>
    <w:p w14:paraId="3FBEFBC5" w14:textId="77777777" w:rsidR="00E97930" w:rsidRDefault="00E97930" w:rsidP="00A23A91">
      <w:pPr>
        <w:spacing w:line="360" w:lineRule="auto"/>
        <w:jc w:val="both"/>
        <w:rPr>
          <w:rFonts w:ascii="Palatino Linotype" w:eastAsia="Palatino Linotype" w:hAnsi="Palatino Linotype" w:cs="Palatino Linotype"/>
          <w:b/>
          <w:color w:val="FF0000"/>
          <w:sz w:val="22"/>
          <w:szCs w:val="22"/>
        </w:rPr>
      </w:pPr>
    </w:p>
    <w:p w14:paraId="7777AAFC" w14:textId="3B0416B3" w:rsidR="00A23A91" w:rsidRDefault="001C2B4E" w:rsidP="00A23A91">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Se le hace del conocimiento al Particular, que, en el presente caso, se le concede la razón, pues la Comisión de Agua del Estado de México, no entregó la información de manera completa</w:t>
      </w:r>
      <w:r w:rsidR="00A23A91">
        <w:rPr>
          <w:rFonts w:ascii="Palatino Linotype" w:eastAsia="Palatino Linotype" w:hAnsi="Palatino Linotype" w:cs="Palatino Linotype"/>
          <w:color w:val="000000"/>
          <w:sz w:val="22"/>
          <w:szCs w:val="22"/>
        </w:rPr>
        <w:t>; por lo que deberá proporcionar lo faltante.</w:t>
      </w:r>
    </w:p>
    <w:p w14:paraId="7D2BD4B9" w14:textId="77777777" w:rsidR="00A23A91" w:rsidRDefault="00A23A91" w:rsidP="00A23A91">
      <w:pPr>
        <w:spacing w:line="360" w:lineRule="auto"/>
        <w:jc w:val="both"/>
        <w:rPr>
          <w:rFonts w:ascii="Palatino Linotype" w:eastAsia="Palatino Linotype" w:hAnsi="Palatino Linotype" w:cs="Palatino Linotype"/>
          <w:color w:val="000000"/>
          <w:sz w:val="22"/>
          <w:szCs w:val="22"/>
        </w:rPr>
      </w:pPr>
    </w:p>
    <w:p w14:paraId="21C46D5D" w14:textId="77777777" w:rsidR="00A23A91" w:rsidRPr="00A23A91" w:rsidRDefault="00A23A91" w:rsidP="00A23A91">
      <w:pPr>
        <w:spacing w:line="360" w:lineRule="auto"/>
        <w:jc w:val="both"/>
        <w:rPr>
          <w:rFonts w:ascii="Palatino Linotype" w:eastAsia="Palatino Linotype" w:hAnsi="Palatino Linotype" w:cs="Palatino Linotype"/>
          <w:color w:val="000000"/>
          <w:sz w:val="22"/>
          <w:szCs w:val="22"/>
        </w:rPr>
      </w:pPr>
      <w:r w:rsidRPr="00A23A91">
        <w:rPr>
          <w:rFonts w:ascii="Palatino Linotype" w:eastAsia="Palatino Linotype" w:hAnsi="Palatino Linotype" w:cs="Palatino Linotype"/>
          <w:color w:val="000000"/>
          <w:sz w:val="22"/>
          <w:szCs w:val="22"/>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54A388B" w14:textId="77777777" w:rsidR="00E97930" w:rsidRDefault="00E97930" w:rsidP="00A23A91">
      <w:pPr>
        <w:spacing w:line="360" w:lineRule="auto"/>
        <w:ind w:right="-93"/>
        <w:jc w:val="both"/>
        <w:rPr>
          <w:rFonts w:ascii="Palatino Linotype" w:eastAsia="Palatino Linotype" w:hAnsi="Palatino Linotype" w:cs="Palatino Linotype"/>
          <w:color w:val="000000"/>
          <w:sz w:val="22"/>
          <w:szCs w:val="22"/>
        </w:rPr>
      </w:pPr>
    </w:p>
    <w:p w14:paraId="5B67DC60" w14:textId="77777777" w:rsidR="00E97930" w:rsidRDefault="001C2B4E" w:rsidP="00A23A91">
      <w:pPr>
        <w:spacing w:line="360" w:lineRule="auto"/>
        <w:ind w:right="-93"/>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3A7E2B56" w14:textId="77777777" w:rsidR="00E97930" w:rsidRDefault="00E97930" w:rsidP="00A23A91">
      <w:pPr>
        <w:spacing w:line="360" w:lineRule="auto"/>
        <w:ind w:right="-93"/>
        <w:jc w:val="both"/>
        <w:rPr>
          <w:rFonts w:ascii="Palatino Linotype" w:eastAsia="Palatino Linotype" w:hAnsi="Palatino Linotype" w:cs="Palatino Linotype"/>
          <w:sz w:val="22"/>
          <w:szCs w:val="22"/>
        </w:rPr>
      </w:pPr>
    </w:p>
    <w:p w14:paraId="155161A1" w14:textId="77777777" w:rsidR="00E97930" w:rsidRDefault="001C2B4E" w:rsidP="00A23A91">
      <w:pPr>
        <w:pStyle w:val="Ttulo1"/>
        <w:spacing w:before="0" w:after="0" w:line="360" w:lineRule="auto"/>
        <w:jc w:val="center"/>
        <w:rPr>
          <w:rFonts w:ascii="Palatino Linotype" w:eastAsia="Palatino Linotype" w:hAnsi="Palatino Linotype" w:cs="Palatino Linotype"/>
          <w:b/>
          <w:color w:val="000000"/>
          <w:sz w:val="22"/>
          <w:szCs w:val="22"/>
        </w:rPr>
      </w:pPr>
      <w:bookmarkStart w:id="21" w:name="_heading=h.gvp5g39g5sqk" w:colFirst="0" w:colLast="0"/>
      <w:bookmarkEnd w:id="21"/>
      <w:r>
        <w:rPr>
          <w:rFonts w:ascii="Palatino Linotype" w:eastAsia="Palatino Linotype" w:hAnsi="Palatino Linotype" w:cs="Palatino Linotype"/>
          <w:b/>
          <w:color w:val="000000"/>
          <w:sz w:val="22"/>
          <w:szCs w:val="22"/>
        </w:rPr>
        <w:t>R E S U E L V E</w:t>
      </w:r>
    </w:p>
    <w:p w14:paraId="6E1B19BA" w14:textId="77777777" w:rsidR="00E97930" w:rsidRDefault="00E97930" w:rsidP="00A23A91">
      <w:pPr>
        <w:spacing w:line="360" w:lineRule="auto"/>
        <w:ind w:right="-28"/>
        <w:jc w:val="both"/>
        <w:rPr>
          <w:rFonts w:ascii="Palatino Linotype" w:eastAsia="Palatino Linotype" w:hAnsi="Palatino Linotype" w:cs="Palatino Linotype"/>
          <w:b/>
          <w:sz w:val="22"/>
          <w:szCs w:val="22"/>
        </w:rPr>
      </w:pPr>
    </w:p>
    <w:p w14:paraId="20B6F646" w14:textId="77777777" w:rsidR="00E97930" w:rsidRDefault="001C2B4E" w:rsidP="00A23A91">
      <w:pPr>
        <w:widowControl w:val="0"/>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Sujeto Obligado</w:t>
      </w:r>
      <w:r>
        <w:rPr>
          <w:rFonts w:ascii="Palatino Linotype" w:eastAsia="Palatino Linotype" w:hAnsi="Palatino Linotype" w:cs="Palatino Linotype"/>
          <w:color w:val="0D0D0D"/>
          <w:sz w:val="22"/>
          <w:szCs w:val="22"/>
        </w:rPr>
        <w:t>,</w:t>
      </w:r>
      <w:r>
        <w:rPr>
          <w:rFonts w:ascii="Palatino Linotype" w:eastAsia="Palatino Linotype" w:hAnsi="Palatino Linotype" w:cs="Palatino Linotype"/>
          <w:sz w:val="22"/>
          <w:szCs w:val="22"/>
        </w:rPr>
        <w:t xml:space="preserve"> a la solicitud de información 00063/CAEM/IP/2025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26129F18" w14:textId="77777777" w:rsidR="00E97930" w:rsidRDefault="00E97930" w:rsidP="00A23A91">
      <w:pPr>
        <w:widowControl w:val="0"/>
        <w:spacing w:line="360" w:lineRule="auto"/>
        <w:jc w:val="both"/>
        <w:rPr>
          <w:rFonts w:ascii="Palatino Linotype" w:eastAsia="Palatino Linotype" w:hAnsi="Palatino Linotype" w:cs="Palatino Linotype"/>
          <w:sz w:val="22"/>
          <w:szCs w:val="22"/>
        </w:rPr>
      </w:pPr>
    </w:p>
    <w:p w14:paraId="336E1005"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 a través del SAIMEX, previa búsqueda exhaustiva y razonable en sus unidades administrativas competentes, en si caso en versión pública, los documentos que den cuenta de lo siguiente:</w:t>
      </w:r>
    </w:p>
    <w:p w14:paraId="2069616A" w14:textId="77777777" w:rsidR="00E97930" w:rsidRDefault="00E97930" w:rsidP="00A23A91">
      <w:pPr>
        <w:spacing w:line="360" w:lineRule="auto"/>
        <w:jc w:val="both"/>
        <w:rPr>
          <w:rFonts w:ascii="Palatino Linotype" w:eastAsia="Palatino Linotype" w:hAnsi="Palatino Linotype" w:cs="Palatino Linotype"/>
          <w:sz w:val="22"/>
          <w:szCs w:val="22"/>
        </w:rPr>
      </w:pPr>
    </w:p>
    <w:p w14:paraId="05CAF1EF" w14:textId="77777777" w:rsidR="00E97930" w:rsidRDefault="001C2B4E" w:rsidP="00A23A91">
      <w:pPr>
        <w:numPr>
          <w:ilvl w:val="0"/>
          <w:numId w:val="1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Las renuncias y remociones, derivados de las bajas de personal señalados en respuesta;</w:t>
      </w:r>
    </w:p>
    <w:p w14:paraId="06AF751B" w14:textId="77777777" w:rsidR="00A23A91" w:rsidRDefault="00A23A91" w:rsidP="00A23A91">
      <w:pPr>
        <w:pBdr>
          <w:top w:val="nil"/>
          <w:left w:val="nil"/>
          <w:bottom w:val="nil"/>
          <w:right w:val="nil"/>
          <w:between w:val="nil"/>
        </w:pBdr>
        <w:tabs>
          <w:tab w:val="left" w:pos="4962"/>
        </w:tabs>
        <w:spacing w:line="360" w:lineRule="auto"/>
        <w:ind w:left="720"/>
        <w:jc w:val="both"/>
        <w:rPr>
          <w:rFonts w:ascii="Palatino Linotype" w:eastAsia="Palatino Linotype" w:hAnsi="Palatino Linotype" w:cs="Palatino Linotype"/>
          <w:color w:val="000000"/>
          <w:sz w:val="22"/>
          <w:szCs w:val="22"/>
        </w:rPr>
      </w:pPr>
    </w:p>
    <w:p w14:paraId="55B009CE" w14:textId="17947A8B" w:rsidR="00E97930" w:rsidRDefault="001C2B4E" w:rsidP="00A23A91">
      <w:pPr>
        <w:numPr>
          <w:ilvl w:val="0"/>
          <w:numId w:val="1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Los setenta cheques de finiquito señalados en respuesta</w:t>
      </w:r>
      <w:r w:rsidR="00A23A91">
        <w:rPr>
          <w:rFonts w:ascii="Palatino Linotype" w:eastAsia="Palatino Linotype" w:hAnsi="Palatino Linotype" w:cs="Palatino Linotype"/>
          <w:color w:val="000000"/>
          <w:sz w:val="22"/>
          <w:szCs w:val="22"/>
        </w:rPr>
        <w:t>, y</w:t>
      </w:r>
    </w:p>
    <w:p w14:paraId="5ABD7862" w14:textId="77777777" w:rsidR="00A23A91" w:rsidRDefault="00A23A91" w:rsidP="00A23A91">
      <w:pPr>
        <w:pStyle w:val="Prrafodelista"/>
        <w:rPr>
          <w:rFonts w:ascii="Palatino Linotype" w:eastAsia="Palatino Linotype" w:hAnsi="Palatino Linotype" w:cs="Palatino Linotype"/>
          <w:color w:val="000000"/>
          <w:sz w:val="22"/>
          <w:szCs w:val="22"/>
        </w:rPr>
      </w:pPr>
    </w:p>
    <w:p w14:paraId="5D751593" w14:textId="4541108C" w:rsidR="00E97930" w:rsidRDefault="00A23A91" w:rsidP="00A23A91">
      <w:pPr>
        <w:numPr>
          <w:ilvl w:val="0"/>
          <w:numId w:val="11"/>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Nombre de los servidores públicos en funciones al veintinueve de enero de dos mil veinticinco, responsables de la entrega de finiquitos.</w:t>
      </w:r>
    </w:p>
    <w:p w14:paraId="5D5448A9" w14:textId="77777777" w:rsidR="00E97930" w:rsidRDefault="00E97930" w:rsidP="00A23A91">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14:paraId="057462A6" w14:textId="0F15A25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Para la entrega de la información, deberá proporcionar el Acuerdo de Clasificación donde el Comité de Transparencia, confirme la eliminación de los datos </w:t>
      </w:r>
      <w:r w:rsidR="00A23A91">
        <w:rPr>
          <w:rFonts w:ascii="Palatino Linotype" w:eastAsia="Palatino Linotype" w:hAnsi="Palatino Linotype" w:cs="Palatino Linotype"/>
          <w:sz w:val="22"/>
          <w:szCs w:val="22"/>
        </w:rPr>
        <w:t>o información,</w:t>
      </w:r>
      <w:r>
        <w:rPr>
          <w:rFonts w:ascii="Palatino Linotype" w:eastAsia="Palatino Linotype" w:hAnsi="Palatino Linotype" w:cs="Palatino Linotype"/>
          <w:sz w:val="22"/>
          <w:szCs w:val="22"/>
        </w:rPr>
        <w:t xml:space="preserve"> de los documentos, en la versión pública, de conformidad con los artículos 49, fracciones II y VIII, 132, fracción II, 143, fracción I, y 149 de la Ley de Transparencia y Acceso a la Información Pública del Estado de México y Municipios. </w:t>
      </w:r>
    </w:p>
    <w:p w14:paraId="5CF93951"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A8F9FBB"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Pr>
          <w:rFonts w:ascii="Palatino Linotype" w:eastAsia="Palatino Linotype" w:hAnsi="Palatino Linotype" w:cs="Palatino Linotype"/>
          <w:sz w:val="22"/>
          <w:szCs w:val="22"/>
        </w:rPr>
        <w:lastRenderedPageBreak/>
        <w:t>conformidad con lo previsto en los artículos 198, 200, fracción III, 214, 215 y 216 de la Ley referida.</w:t>
      </w:r>
    </w:p>
    <w:p w14:paraId="22EFB5CE"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11E76C0"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BE9890"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72EFACF8" w14:textId="77777777"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FCB8C12" w14:textId="77777777" w:rsidR="00E97930" w:rsidRDefault="00E97930" w:rsidP="00A23A91">
      <w:pPr>
        <w:spacing w:line="360" w:lineRule="auto"/>
        <w:jc w:val="both"/>
        <w:rPr>
          <w:rFonts w:ascii="Palatino Linotype" w:eastAsia="Palatino Linotype" w:hAnsi="Palatino Linotype" w:cs="Palatino Linotype"/>
          <w:sz w:val="22"/>
          <w:szCs w:val="22"/>
        </w:rPr>
      </w:pPr>
    </w:p>
    <w:p w14:paraId="6EC9709E" w14:textId="5658D8DD" w:rsidR="00E97930" w:rsidRDefault="001C2B4E" w:rsidP="00A23A91">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629F5">
        <w:rPr>
          <w:rFonts w:ascii="Palatino Linotype" w:eastAsia="Palatino Linotype" w:hAnsi="Palatino Linotype" w:cs="Palatino Linotype"/>
          <w:sz w:val="22"/>
          <w:szCs w:val="22"/>
        </w:rPr>
        <w:t xml:space="preserve"> (AUSENCIA JUSTIFICADA)</w:t>
      </w:r>
      <w:r>
        <w:rPr>
          <w:rFonts w:ascii="Palatino Linotype" w:eastAsia="Palatino Linotype" w:hAnsi="Palatino Linotype" w:cs="Palatino Linotype"/>
          <w:sz w:val="22"/>
          <w:szCs w:val="22"/>
        </w:rPr>
        <w:t>, LUIS GUSTAVO PARRA NORIEGA Y GUADALUPE RAMÍREZ PEÑA, EN LA TRIGÉSIMA TERCERA SESIÓN ORDINARIA, CELEBRADA EL DIECIOCHO DE SEPTIEMBRE DE DOS MIL VEINTICINCO, ANTE EL SECRETARIO TÉCNICO DEL PLENO, ALEXIS TAPIA RAMÍREZ.</w:t>
      </w:r>
    </w:p>
    <w:p w14:paraId="40F254C2" w14:textId="77777777" w:rsidR="00E97930" w:rsidRDefault="00E97930" w:rsidP="00A23A91">
      <w:pPr>
        <w:spacing w:line="360" w:lineRule="auto"/>
        <w:rPr>
          <w:rFonts w:ascii="Palatino Linotype" w:eastAsia="Palatino Linotype" w:hAnsi="Palatino Linotype" w:cs="Palatino Linotype"/>
        </w:rPr>
      </w:pPr>
    </w:p>
    <w:p w14:paraId="2BAA7DF4" w14:textId="77777777" w:rsidR="00E97930" w:rsidRDefault="00E97930" w:rsidP="00A23A91">
      <w:pPr>
        <w:spacing w:line="360" w:lineRule="auto"/>
        <w:rPr>
          <w:rFonts w:ascii="Palatino Linotype" w:eastAsia="Palatino Linotype" w:hAnsi="Palatino Linotype" w:cs="Palatino Linotype"/>
        </w:rPr>
      </w:pPr>
    </w:p>
    <w:p w14:paraId="46AECD8F" w14:textId="77777777" w:rsidR="00E97930" w:rsidRDefault="00E97930" w:rsidP="00A23A91">
      <w:pPr>
        <w:spacing w:line="360" w:lineRule="auto"/>
        <w:rPr>
          <w:rFonts w:ascii="Palatino Linotype" w:eastAsia="Palatino Linotype" w:hAnsi="Palatino Linotype" w:cs="Palatino Linotype"/>
        </w:rPr>
      </w:pPr>
    </w:p>
    <w:p w14:paraId="3B10D193" w14:textId="77777777" w:rsidR="00E97930" w:rsidRDefault="00E97930" w:rsidP="00A23A91">
      <w:pPr>
        <w:spacing w:line="360" w:lineRule="auto"/>
        <w:rPr>
          <w:rFonts w:ascii="Palatino Linotype" w:eastAsia="Palatino Linotype" w:hAnsi="Palatino Linotype" w:cs="Palatino Linotype"/>
        </w:rPr>
      </w:pPr>
    </w:p>
    <w:p w14:paraId="0F44BA17" w14:textId="77777777" w:rsidR="00E97930" w:rsidRDefault="00E97930" w:rsidP="00A23A91">
      <w:pPr>
        <w:spacing w:line="360" w:lineRule="auto"/>
        <w:rPr>
          <w:rFonts w:ascii="Palatino Linotype" w:eastAsia="Palatino Linotype" w:hAnsi="Palatino Linotype" w:cs="Palatino Linotype"/>
        </w:rPr>
      </w:pPr>
    </w:p>
    <w:p w14:paraId="5AA3B4FC" w14:textId="77777777" w:rsidR="00E97930" w:rsidRDefault="00E97930" w:rsidP="00A23A91">
      <w:pPr>
        <w:spacing w:line="360" w:lineRule="auto"/>
        <w:rPr>
          <w:rFonts w:ascii="Palatino Linotype" w:eastAsia="Palatino Linotype" w:hAnsi="Palatino Linotype" w:cs="Palatino Linotype"/>
        </w:rPr>
      </w:pPr>
    </w:p>
    <w:p w14:paraId="5562FCF7" w14:textId="77777777" w:rsidR="00E97930" w:rsidRDefault="00E97930" w:rsidP="00A23A91">
      <w:pPr>
        <w:spacing w:line="360" w:lineRule="auto"/>
        <w:rPr>
          <w:rFonts w:ascii="Palatino Linotype" w:eastAsia="Palatino Linotype" w:hAnsi="Palatino Linotype" w:cs="Palatino Linotype"/>
        </w:rPr>
      </w:pPr>
    </w:p>
    <w:p w14:paraId="1A1E3AF4" w14:textId="77777777" w:rsidR="00E97930" w:rsidRDefault="00E97930" w:rsidP="00A23A91">
      <w:pPr>
        <w:spacing w:line="360" w:lineRule="auto"/>
        <w:rPr>
          <w:rFonts w:ascii="Palatino Linotype" w:eastAsia="Palatino Linotype" w:hAnsi="Palatino Linotype" w:cs="Palatino Linotype"/>
        </w:rPr>
      </w:pPr>
    </w:p>
    <w:p w14:paraId="14C8524D" w14:textId="77777777" w:rsidR="00E97930" w:rsidRDefault="00E97930" w:rsidP="00A23A91">
      <w:pPr>
        <w:spacing w:line="360" w:lineRule="auto"/>
        <w:rPr>
          <w:rFonts w:ascii="Palatino Linotype" w:eastAsia="Palatino Linotype" w:hAnsi="Palatino Linotype" w:cs="Palatino Linotype"/>
        </w:rPr>
      </w:pPr>
    </w:p>
    <w:p w14:paraId="640A00AA" w14:textId="77777777" w:rsidR="00E97930" w:rsidRDefault="00E97930" w:rsidP="00A23A91">
      <w:pPr>
        <w:spacing w:line="360" w:lineRule="auto"/>
        <w:rPr>
          <w:rFonts w:ascii="Palatino Linotype" w:eastAsia="Palatino Linotype" w:hAnsi="Palatino Linotype" w:cs="Palatino Linotype"/>
        </w:rPr>
      </w:pPr>
    </w:p>
    <w:p w14:paraId="6EC87427" w14:textId="77777777" w:rsidR="00E97930" w:rsidRDefault="00E97930" w:rsidP="00A23A91">
      <w:pPr>
        <w:spacing w:line="360" w:lineRule="auto"/>
      </w:pPr>
    </w:p>
    <w:p w14:paraId="1B1CDE07" w14:textId="77777777" w:rsidR="00E97930" w:rsidRDefault="00E97930" w:rsidP="00A23A91">
      <w:pPr>
        <w:spacing w:line="360" w:lineRule="auto"/>
      </w:pPr>
    </w:p>
    <w:p w14:paraId="3D7E6EB6" w14:textId="77777777" w:rsidR="00E97930" w:rsidRDefault="00E97930" w:rsidP="00A23A91">
      <w:pPr>
        <w:spacing w:line="360" w:lineRule="auto"/>
      </w:pPr>
    </w:p>
    <w:p w14:paraId="366A107D" w14:textId="77777777" w:rsidR="00E97930" w:rsidRDefault="00E97930" w:rsidP="00A23A91">
      <w:pPr>
        <w:spacing w:line="360" w:lineRule="auto"/>
      </w:pPr>
    </w:p>
    <w:p w14:paraId="1E07531E" w14:textId="77777777" w:rsidR="00E97930" w:rsidRDefault="00E97930" w:rsidP="00A23A91">
      <w:pPr>
        <w:spacing w:line="360" w:lineRule="auto"/>
      </w:pPr>
    </w:p>
    <w:p w14:paraId="1A0C7939" w14:textId="77777777" w:rsidR="00E97930" w:rsidRDefault="00E97930" w:rsidP="00A23A91">
      <w:pPr>
        <w:spacing w:line="360" w:lineRule="auto"/>
      </w:pPr>
    </w:p>
    <w:p w14:paraId="6B933295" w14:textId="77777777" w:rsidR="00E97930" w:rsidRDefault="00E97930" w:rsidP="00A23A91">
      <w:pPr>
        <w:spacing w:line="360" w:lineRule="auto"/>
      </w:pPr>
    </w:p>
    <w:p w14:paraId="090864C9" w14:textId="77777777" w:rsidR="00E97930" w:rsidRDefault="00E97930" w:rsidP="00A23A91">
      <w:pPr>
        <w:spacing w:line="360" w:lineRule="auto"/>
      </w:pPr>
    </w:p>
    <w:p w14:paraId="220F20CE" w14:textId="77777777" w:rsidR="00E97930" w:rsidRDefault="00E97930" w:rsidP="00A23A91">
      <w:pPr>
        <w:spacing w:line="360" w:lineRule="auto"/>
      </w:pPr>
    </w:p>
    <w:p w14:paraId="396A31A3" w14:textId="77777777" w:rsidR="00E97930" w:rsidRDefault="00E97930" w:rsidP="00A23A91">
      <w:pPr>
        <w:spacing w:line="360" w:lineRule="auto"/>
      </w:pPr>
    </w:p>
    <w:p w14:paraId="39FF19E6" w14:textId="77777777" w:rsidR="00E97930" w:rsidRDefault="00E97930" w:rsidP="00A23A91">
      <w:pPr>
        <w:spacing w:line="360" w:lineRule="auto"/>
      </w:pPr>
    </w:p>
    <w:p w14:paraId="0A9164AD" w14:textId="77777777" w:rsidR="00E97930" w:rsidRDefault="00E97930" w:rsidP="00A23A91">
      <w:pPr>
        <w:spacing w:line="360" w:lineRule="auto"/>
      </w:pPr>
    </w:p>
    <w:p w14:paraId="06CFE557" w14:textId="77777777" w:rsidR="00E97930" w:rsidRDefault="00E97930" w:rsidP="00A23A91">
      <w:pPr>
        <w:spacing w:line="360" w:lineRule="auto"/>
      </w:pPr>
    </w:p>
    <w:p w14:paraId="709DFFB0" w14:textId="77777777" w:rsidR="00E97930" w:rsidRDefault="00E97930" w:rsidP="00A23A91">
      <w:pPr>
        <w:spacing w:line="360" w:lineRule="auto"/>
      </w:pPr>
    </w:p>
    <w:p w14:paraId="7866EEE8" w14:textId="77777777" w:rsidR="00E97930" w:rsidRDefault="00E97930" w:rsidP="00A23A91">
      <w:pPr>
        <w:spacing w:line="360" w:lineRule="auto"/>
      </w:pPr>
    </w:p>
    <w:sectPr w:rsidR="00E97930">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0BA67" w14:textId="77777777" w:rsidR="0040259C" w:rsidRDefault="0040259C">
      <w:r>
        <w:separator/>
      </w:r>
    </w:p>
  </w:endnote>
  <w:endnote w:type="continuationSeparator" w:id="0">
    <w:p w14:paraId="69C8B9C8" w14:textId="77777777" w:rsidR="0040259C" w:rsidRDefault="0040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60804" w14:textId="77777777" w:rsidR="00E97930" w:rsidRDefault="001C2B4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sidR="008B1A57">
      <w:rPr>
        <w:rFonts w:ascii="Palatino Linotype" w:eastAsia="Palatino Linotype" w:hAnsi="Palatino Linotype" w:cs="Palatino Linotype"/>
        <w:b/>
        <w:color w:val="000000"/>
        <w:sz w:val="22"/>
        <w:szCs w:val="22"/>
      </w:rPr>
      <w:fldChar w:fldCharType="separate"/>
    </w:r>
    <w:r w:rsidR="008B1A57">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4D3E5718" w14:textId="77777777" w:rsidR="00E97930" w:rsidRDefault="00E9793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6FE1" w14:textId="77777777" w:rsidR="00E97930" w:rsidRDefault="001C2B4E">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B1A57">
      <w:rPr>
        <w:rFonts w:ascii="Palatino Linotype" w:eastAsia="Palatino Linotype" w:hAnsi="Palatino Linotype" w:cs="Palatino Linotype"/>
        <w:b/>
        <w:noProof/>
        <w:color w:val="000000"/>
        <w:sz w:val="22"/>
        <w:szCs w:val="22"/>
      </w:rPr>
      <w:t>37</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B1A57">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19D710CA" w14:textId="77777777" w:rsidR="00E97930" w:rsidRDefault="00E97930">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8F71C" w14:textId="77777777" w:rsidR="00E97930" w:rsidRDefault="001C2B4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B1A57">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B1A57">
      <w:rPr>
        <w:rFonts w:ascii="Palatino Linotype" w:eastAsia="Palatino Linotype" w:hAnsi="Palatino Linotype" w:cs="Palatino Linotype"/>
        <w:b/>
        <w:noProof/>
        <w:color w:val="000000"/>
        <w:sz w:val="22"/>
        <w:szCs w:val="22"/>
      </w:rPr>
      <w:t>38</w:t>
    </w:r>
    <w:r>
      <w:rPr>
        <w:rFonts w:ascii="Palatino Linotype" w:eastAsia="Palatino Linotype" w:hAnsi="Palatino Linotype" w:cs="Palatino Linotype"/>
        <w:b/>
        <w:color w:val="000000"/>
        <w:sz w:val="22"/>
        <w:szCs w:val="22"/>
      </w:rPr>
      <w:fldChar w:fldCharType="end"/>
    </w:r>
  </w:p>
  <w:p w14:paraId="6F2CCFB3" w14:textId="77777777" w:rsidR="00E97930" w:rsidRDefault="00E9793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8CF9D" w14:textId="77777777" w:rsidR="0040259C" w:rsidRDefault="0040259C">
      <w:r>
        <w:separator/>
      </w:r>
    </w:p>
  </w:footnote>
  <w:footnote w:type="continuationSeparator" w:id="0">
    <w:p w14:paraId="04410A32" w14:textId="77777777" w:rsidR="0040259C" w:rsidRDefault="00402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4C707" w14:textId="77777777" w:rsidR="00E97930" w:rsidRDefault="00E97930">
    <w:pPr>
      <w:widowControl w:val="0"/>
      <w:pBdr>
        <w:top w:val="nil"/>
        <w:left w:val="nil"/>
        <w:bottom w:val="nil"/>
        <w:right w:val="nil"/>
        <w:between w:val="nil"/>
      </w:pBdr>
      <w:spacing w:line="276" w:lineRule="auto"/>
    </w:pPr>
  </w:p>
  <w:tbl>
    <w:tblPr>
      <w:tblStyle w:val="a0"/>
      <w:tblW w:w="9705" w:type="dxa"/>
      <w:tblInd w:w="0" w:type="dxa"/>
      <w:tblLayout w:type="fixed"/>
      <w:tblLook w:val="0400" w:firstRow="0" w:lastRow="0" w:firstColumn="0" w:lastColumn="0" w:noHBand="0" w:noVBand="1"/>
    </w:tblPr>
    <w:tblGrid>
      <w:gridCol w:w="2972"/>
      <w:gridCol w:w="6733"/>
    </w:tblGrid>
    <w:tr w:rsidR="00E97930" w14:paraId="026716F1" w14:textId="77777777">
      <w:trPr>
        <w:trHeight w:val="1435"/>
      </w:trPr>
      <w:tc>
        <w:tcPr>
          <w:tcW w:w="2972" w:type="dxa"/>
        </w:tcPr>
        <w:p w14:paraId="7F141ECC" w14:textId="77777777" w:rsidR="00E97930" w:rsidRDefault="00E97930">
          <w:pPr>
            <w:tabs>
              <w:tab w:val="right" w:pos="4273"/>
            </w:tabs>
            <w:spacing w:line="256" w:lineRule="auto"/>
            <w:rPr>
              <w:rFonts w:ascii="Garamond" w:eastAsia="Garamond" w:hAnsi="Garamond" w:cs="Garamond"/>
              <w:sz w:val="22"/>
              <w:szCs w:val="22"/>
            </w:rPr>
          </w:pPr>
        </w:p>
      </w:tc>
      <w:tc>
        <w:tcPr>
          <w:tcW w:w="6733" w:type="dxa"/>
        </w:tcPr>
        <w:p w14:paraId="41EE6E59" w14:textId="77777777" w:rsidR="00E97930" w:rsidRDefault="00E9793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1"/>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E97930" w14:paraId="7DAB3E1F" w14:textId="77777777">
            <w:trPr>
              <w:trHeight w:val="144"/>
            </w:trPr>
            <w:tc>
              <w:tcPr>
                <w:tcW w:w="2447" w:type="dxa"/>
              </w:tcPr>
              <w:p w14:paraId="730C1815" w14:textId="77777777" w:rsidR="00E97930" w:rsidRDefault="001C2B4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3204CFF8" w14:textId="77777777" w:rsidR="00E97930" w:rsidRDefault="001C2B4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E97930" w14:paraId="4510D97A" w14:textId="77777777">
            <w:trPr>
              <w:trHeight w:val="283"/>
            </w:trPr>
            <w:tc>
              <w:tcPr>
                <w:tcW w:w="2447" w:type="dxa"/>
              </w:tcPr>
              <w:p w14:paraId="2D7B3415" w14:textId="77777777" w:rsidR="00E97930" w:rsidRDefault="001C2B4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A89D72D" w14:textId="77777777" w:rsidR="00E97930" w:rsidRDefault="001C2B4E">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E97930" w14:paraId="741CCE70" w14:textId="77777777">
            <w:trPr>
              <w:trHeight w:val="283"/>
            </w:trPr>
            <w:tc>
              <w:tcPr>
                <w:tcW w:w="2447" w:type="dxa"/>
              </w:tcPr>
              <w:p w14:paraId="3273E806" w14:textId="77777777" w:rsidR="00E97930" w:rsidRDefault="001C2B4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23990BB1" w14:textId="77777777" w:rsidR="00E97930" w:rsidRDefault="001C2B4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41625327" w14:textId="77777777" w:rsidR="00E97930" w:rsidRDefault="00E97930">
                <w:pPr>
                  <w:tabs>
                    <w:tab w:val="right" w:pos="8838"/>
                  </w:tabs>
                  <w:ind w:left="-74" w:right="-105"/>
                  <w:jc w:val="both"/>
                  <w:rPr>
                    <w:rFonts w:ascii="Palatino Linotype" w:eastAsia="Palatino Linotype" w:hAnsi="Palatino Linotype" w:cs="Palatino Linotype"/>
                    <w:b/>
                    <w:sz w:val="22"/>
                    <w:szCs w:val="22"/>
                  </w:rPr>
                </w:pPr>
              </w:p>
            </w:tc>
          </w:tr>
        </w:tbl>
        <w:p w14:paraId="1028A5A3" w14:textId="77777777" w:rsidR="00E97930" w:rsidRDefault="00E97930">
          <w:pPr>
            <w:tabs>
              <w:tab w:val="right" w:pos="8838"/>
            </w:tabs>
            <w:spacing w:line="256" w:lineRule="auto"/>
            <w:ind w:left="-28"/>
            <w:jc w:val="both"/>
            <w:rPr>
              <w:rFonts w:ascii="Arial" w:eastAsia="Arial" w:hAnsi="Arial" w:cs="Arial"/>
              <w:b/>
              <w:sz w:val="22"/>
              <w:szCs w:val="22"/>
            </w:rPr>
          </w:pPr>
        </w:p>
      </w:tc>
    </w:tr>
  </w:tbl>
  <w:p w14:paraId="47E7BBEB" w14:textId="77777777" w:rsidR="00E97930" w:rsidRDefault="001C2B4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79A8DEC" wp14:editId="6F4367BB">
          <wp:simplePos x="0" y="0"/>
          <wp:positionH relativeFrom="margin">
            <wp:posOffset>-1381124</wp:posOffset>
          </wp:positionH>
          <wp:positionV relativeFrom="margin">
            <wp:posOffset>-1611629</wp:posOffset>
          </wp:positionV>
          <wp:extent cx="5612130" cy="7308215"/>
          <wp:effectExtent l="0" t="0" r="0" b="0"/>
          <wp:wrapNone/>
          <wp:docPr id="173000169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3E141" w14:textId="77777777" w:rsidR="00E97930" w:rsidRDefault="00E97930">
    <w:pPr>
      <w:widowControl w:val="0"/>
      <w:pBdr>
        <w:top w:val="nil"/>
        <w:left w:val="nil"/>
        <w:bottom w:val="nil"/>
        <w:right w:val="nil"/>
        <w:between w:val="nil"/>
      </w:pBdr>
      <w:spacing w:line="276" w:lineRule="auto"/>
      <w:rPr>
        <w:color w:val="000000"/>
      </w:rPr>
    </w:pPr>
  </w:p>
  <w:tbl>
    <w:tblPr>
      <w:tblStyle w:val="a2"/>
      <w:tblW w:w="9356" w:type="dxa"/>
      <w:tblInd w:w="0" w:type="dxa"/>
      <w:tblLayout w:type="fixed"/>
      <w:tblLook w:val="0400" w:firstRow="0" w:lastRow="0" w:firstColumn="0" w:lastColumn="0" w:noHBand="0" w:noVBand="1"/>
    </w:tblPr>
    <w:tblGrid>
      <w:gridCol w:w="1985"/>
      <w:gridCol w:w="7371"/>
    </w:tblGrid>
    <w:tr w:rsidR="00E97930" w14:paraId="0E9FCD9F" w14:textId="77777777">
      <w:trPr>
        <w:trHeight w:val="1435"/>
      </w:trPr>
      <w:tc>
        <w:tcPr>
          <w:tcW w:w="1985" w:type="dxa"/>
        </w:tcPr>
        <w:p w14:paraId="08A55355" w14:textId="77777777" w:rsidR="00E97930" w:rsidRDefault="00E97930">
          <w:pPr>
            <w:tabs>
              <w:tab w:val="right" w:pos="4273"/>
            </w:tabs>
            <w:spacing w:line="256" w:lineRule="auto"/>
            <w:rPr>
              <w:rFonts w:ascii="Garamond" w:eastAsia="Garamond" w:hAnsi="Garamond" w:cs="Garamond"/>
              <w:sz w:val="22"/>
              <w:szCs w:val="22"/>
            </w:rPr>
          </w:pPr>
        </w:p>
      </w:tc>
      <w:tc>
        <w:tcPr>
          <w:tcW w:w="7371" w:type="dxa"/>
        </w:tcPr>
        <w:p w14:paraId="497A99C1" w14:textId="77777777" w:rsidR="00E97930" w:rsidRDefault="00E97930">
          <w:pPr>
            <w:rPr>
              <w:sz w:val="28"/>
              <w:szCs w:val="28"/>
            </w:rPr>
          </w:pPr>
        </w:p>
        <w:tbl>
          <w:tblPr>
            <w:tblStyle w:val="a3"/>
            <w:tblW w:w="8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576"/>
            <w:gridCol w:w="3255"/>
            <w:gridCol w:w="1241"/>
          </w:tblGrid>
          <w:tr w:rsidR="00E97930" w14:paraId="654D48AB" w14:textId="77777777">
            <w:trPr>
              <w:trHeight w:val="194"/>
            </w:trPr>
            <w:tc>
              <w:tcPr>
                <w:tcW w:w="3576" w:type="dxa"/>
              </w:tcPr>
              <w:p w14:paraId="7F694B97" w14:textId="77777777" w:rsidR="00E97930" w:rsidRDefault="001C2B4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55" w:type="dxa"/>
              </w:tcPr>
              <w:p w14:paraId="0585CED4" w14:textId="77777777" w:rsidR="00E97930" w:rsidRDefault="001C2B4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02541/INFOEM/IP/RR/2025</w:t>
                </w:r>
              </w:p>
            </w:tc>
            <w:tc>
              <w:tcPr>
                <w:tcW w:w="1241" w:type="dxa"/>
              </w:tcPr>
              <w:p w14:paraId="795C4EF0" w14:textId="77777777" w:rsidR="00E97930" w:rsidRDefault="00E97930">
                <w:pPr>
                  <w:tabs>
                    <w:tab w:val="right" w:pos="8838"/>
                  </w:tabs>
                  <w:ind w:left="-114" w:right="-105"/>
                  <w:jc w:val="both"/>
                  <w:rPr>
                    <w:rFonts w:ascii="Palatino Linotype" w:eastAsia="Palatino Linotype" w:hAnsi="Palatino Linotype" w:cs="Palatino Linotype"/>
                    <w:sz w:val="22"/>
                    <w:szCs w:val="22"/>
                  </w:rPr>
                </w:pPr>
              </w:p>
            </w:tc>
          </w:tr>
          <w:tr w:rsidR="00E97930" w14:paraId="0B7EB92C" w14:textId="77777777">
            <w:trPr>
              <w:trHeight w:val="88"/>
            </w:trPr>
            <w:tc>
              <w:tcPr>
                <w:tcW w:w="3576" w:type="dxa"/>
              </w:tcPr>
              <w:p w14:paraId="60E9AF25" w14:textId="77777777" w:rsidR="00E97930" w:rsidRDefault="001C2B4E">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55" w:type="dxa"/>
              </w:tcPr>
              <w:p w14:paraId="7FF11546" w14:textId="77777777" w:rsidR="00E97930" w:rsidRDefault="001C2B4E">
                <w:pPr>
                  <w:tabs>
                    <w:tab w:val="left" w:pos="2834"/>
                    <w:tab w:val="right" w:pos="8838"/>
                  </w:tabs>
                  <w:ind w:left="-11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Comisión del Agua del Estado de México</w:t>
                </w:r>
              </w:p>
            </w:tc>
            <w:tc>
              <w:tcPr>
                <w:tcW w:w="1241" w:type="dxa"/>
              </w:tcPr>
              <w:p w14:paraId="5ECA21C7" w14:textId="77777777" w:rsidR="00E97930" w:rsidRDefault="00E97930">
                <w:pPr>
                  <w:tabs>
                    <w:tab w:val="left" w:pos="2834"/>
                    <w:tab w:val="right" w:pos="8838"/>
                  </w:tabs>
                  <w:ind w:left="-114"/>
                  <w:jc w:val="both"/>
                  <w:rPr>
                    <w:rFonts w:ascii="Palatino Linotype" w:eastAsia="Palatino Linotype" w:hAnsi="Palatino Linotype" w:cs="Palatino Linotype"/>
                    <w:sz w:val="22"/>
                    <w:szCs w:val="22"/>
                  </w:rPr>
                </w:pPr>
              </w:p>
            </w:tc>
          </w:tr>
          <w:tr w:rsidR="00E97930" w14:paraId="687D1A6B" w14:textId="77777777">
            <w:trPr>
              <w:trHeight w:val="383"/>
            </w:trPr>
            <w:tc>
              <w:tcPr>
                <w:tcW w:w="3576" w:type="dxa"/>
              </w:tcPr>
              <w:p w14:paraId="1792735A" w14:textId="77777777" w:rsidR="00E97930" w:rsidRDefault="001C2B4E">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55" w:type="dxa"/>
              </w:tcPr>
              <w:p w14:paraId="685FF72B" w14:textId="77777777" w:rsidR="00E97930" w:rsidRDefault="001C2B4E">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1241" w:type="dxa"/>
              </w:tcPr>
              <w:p w14:paraId="449A24A8" w14:textId="77777777" w:rsidR="00E97930" w:rsidRDefault="00E97930">
                <w:pPr>
                  <w:tabs>
                    <w:tab w:val="right" w:pos="8838"/>
                  </w:tabs>
                  <w:ind w:left="-114" w:right="-105"/>
                  <w:jc w:val="both"/>
                  <w:rPr>
                    <w:rFonts w:ascii="Palatino Linotype" w:eastAsia="Palatino Linotype" w:hAnsi="Palatino Linotype" w:cs="Palatino Linotype"/>
                    <w:sz w:val="22"/>
                    <w:szCs w:val="22"/>
                  </w:rPr>
                </w:pPr>
              </w:p>
            </w:tc>
          </w:tr>
        </w:tbl>
        <w:p w14:paraId="226B6F76" w14:textId="77777777" w:rsidR="00E97930" w:rsidRDefault="00E97930">
          <w:pPr>
            <w:tabs>
              <w:tab w:val="right" w:pos="8838"/>
            </w:tabs>
            <w:spacing w:line="256" w:lineRule="auto"/>
            <w:ind w:left="-28"/>
            <w:jc w:val="both"/>
            <w:rPr>
              <w:rFonts w:ascii="Arial" w:eastAsia="Arial" w:hAnsi="Arial" w:cs="Arial"/>
              <w:b/>
              <w:sz w:val="22"/>
              <w:szCs w:val="22"/>
            </w:rPr>
          </w:pPr>
        </w:p>
      </w:tc>
    </w:tr>
  </w:tbl>
  <w:p w14:paraId="23A018BE" w14:textId="77777777" w:rsidR="00E97930" w:rsidRDefault="001C2B4E">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07EF5857" wp14:editId="041CA833">
          <wp:simplePos x="0" y="0"/>
          <wp:positionH relativeFrom="margin">
            <wp:posOffset>-1153159</wp:posOffset>
          </wp:positionH>
          <wp:positionV relativeFrom="margin">
            <wp:posOffset>-1539239</wp:posOffset>
          </wp:positionV>
          <wp:extent cx="7835900" cy="10203815"/>
          <wp:effectExtent l="0" t="0" r="0" b="0"/>
          <wp:wrapNone/>
          <wp:docPr id="173000169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63470" w14:textId="77777777" w:rsidR="00E97930" w:rsidRDefault="00E97930">
    <w:pPr>
      <w:widowControl w:val="0"/>
      <w:pBdr>
        <w:top w:val="nil"/>
        <w:left w:val="nil"/>
        <w:bottom w:val="nil"/>
        <w:right w:val="nil"/>
        <w:between w:val="nil"/>
      </w:pBdr>
      <w:spacing w:line="276" w:lineRule="auto"/>
      <w:rPr>
        <w:color w:val="000000"/>
      </w:rPr>
    </w:pPr>
  </w:p>
  <w:tbl>
    <w:tblPr>
      <w:tblStyle w:val="a4"/>
      <w:tblW w:w="9214" w:type="dxa"/>
      <w:tblInd w:w="0" w:type="dxa"/>
      <w:tblLayout w:type="fixed"/>
      <w:tblLook w:val="0400" w:firstRow="0" w:lastRow="0" w:firstColumn="0" w:lastColumn="0" w:noHBand="0" w:noVBand="1"/>
    </w:tblPr>
    <w:tblGrid>
      <w:gridCol w:w="1560"/>
      <w:gridCol w:w="7654"/>
    </w:tblGrid>
    <w:tr w:rsidR="00E97930" w14:paraId="18A17A2F" w14:textId="77777777">
      <w:trPr>
        <w:trHeight w:val="1435"/>
      </w:trPr>
      <w:tc>
        <w:tcPr>
          <w:tcW w:w="1560" w:type="dxa"/>
        </w:tcPr>
        <w:p w14:paraId="18169404" w14:textId="77777777" w:rsidR="00E97930" w:rsidRDefault="00E97930">
          <w:pPr>
            <w:tabs>
              <w:tab w:val="right" w:pos="4273"/>
            </w:tabs>
            <w:spacing w:line="256" w:lineRule="auto"/>
            <w:rPr>
              <w:rFonts w:ascii="Garamond" w:eastAsia="Garamond" w:hAnsi="Garamond" w:cs="Garamond"/>
              <w:sz w:val="22"/>
              <w:szCs w:val="22"/>
            </w:rPr>
          </w:pPr>
        </w:p>
      </w:tc>
      <w:tc>
        <w:tcPr>
          <w:tcW w:w="7654" w:type="dxa"/>
        </w:tcPr>
        <w:p w14:paraId="35392370" w14:textId="77777777" w:rsidR="00E97930" w:rsidRDefault="00E9793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5"/>
            <w:tblW w:w="7683" w:type="dxa"/>
            <w:tblInd w:w="25" w:type="dxa"/>
            <w:tblBorders>
              <w:top w:val="nil"/>
              <w:left w:val="nil"/>
              <w:bottom w:val="nil"/>
              <w:right w:val="nil"/>
              <w:insideH w:val="nil"/>
              <w:insideV w:val="nil"/>
            </w:tblBorders>
            <w:tblLayout w:type="fixed"/>
            <w:tblLook w:val="0400" w:firstRow="0" w:lastRow="0" w:firstColumn="0" w:lastColumn="0" w:noHBand="0" w:noVBand="1"/>
          </w:tblPr>
          <w:tblGrid>
            <w:gridCol w:w="3839"/>
            <w:gridCol w:w="3391"/>
            <w:gridCol w:w="453"/>
          </w:tblGrid>
          <w:tr w:rsidR="00E97930" w14:paraId="404FE255" w14:textId="77777777">
            <w:trPr>
              <w:gridAfter w:val="1"/>
              <w:wAfter w:w="453" w:type="dxa"/>
              <w:trHeight w:val="132"/>
            </w:trPr>
            <w:tc>
              <w:tcPr>
                <w:tcW w:w="3839" w:type="dxa"/>
              </w:tcPr>
              <w:p w14:paraId="6C114C30" w14:textId="77777777" w:rsidR="00E97930" w:rsidRDefault="001C2B4E">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391" w:type="dxa"/>
              </w:tcPr>
              <w:p w14:paraId="6EA4B8BB" w14:textId="77777777" w:rsidR="00E97930" w:rsidRDefault="001C2B4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02541/INFOEM/IP/RR/2025 </w:t>
                </w:r>
              </w:p>
            </w:tc>
          </w:tr>
          <w:tr w:rsidR="00E97930" w14:paraId="5F18DF87" w14:textId="77777777">
            <w:trPr>
              <w:gridAfter w:val="1"/>
              <w:wAfter w:w="453" w:type="dxa"/>
              <w:trHeight w:val="132"/>
            </w:trPr>
            <w:tc>
              <w:tcPr>
                <w:tcW w:w="3839" w:type="dxa"/>
              </w:tcPr>
              <w:p w14:paraId="53AAAF38" w14:textId="77777777" w:rsidR="00E97930" w:rsidRDefault="001C2B4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391" w:type="dxa"/>
              </w:tcPr>
              <w:p w14:paraId="5610D71A" w14:textId="77777777" w:rsidR="00E97930" w:rsidRDefault="00E97930">
                <w:pPr>
                  <w:tabs>
                    <w:tab w:val="left" w:pos="3122"/>
                    <w:tab w:val="right" w:pos="8838"/>
                  </w:tabs>
                  <w:ind w:left="-74" w:right="-105"/>
                  <w:jc w:val="both"/>
                  <w:rPr>
                    <w:rFonts w:ascii="Palatino Linotype" w:eastAsia="Palatino Linotype" w:hAnsi="Palatino Linotype" w:cs="Palatino Linotype"/>
                    <w:sz w:val="22"/>
                    <w:szCs w:val="22"/>
                  </w:rPr>
                </w:pPr>
              </w:p>
            </w:tc>
          </w:tr>
          <w:tr w:rsidR="00E97930" w14:paraId="593B7538" w14:textId="77777777">
            <w:trPr>
              <w:gridAfter w:val="1"/>
              <w:wAfter w:w="453" w:type="dxa"/>
              <w:trHeight w:val="261"/>
            </w:trPr>
            <w:tc>
              <w:tcPr>
                <w:tcW w:w="3839" w:type="dxa"/>
              </w:tcPr>
              <w:p w14:paraId="58442B23" w14:textId="77777777" w:rsidR="00E97930" w:rsidRDefault="001C2B4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391" w:type="dxa"/>
              </w:tcPr>
              <w:p w14:paraId="4A37C989" w14:textId="77777777" w:rsidR="00E97930" w:rsidRDefault="001C2B4E">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Comisión del Agua del Estado de México</w:t>
                </w:r>
              </w:p>
            </w:tc>
          </w:tr>
          <w:tr w:rsidR="00E97930" w14:paraId="6235342F" w14:textId="77777777">
            <w:trPr>
              <w:trHeight w:val="261"/>
            </w:trPr>
            <w:tc>
              <w:tcPr>
                <w:tcW w:w="3839" w:type="dxa"/>
              </w:tcPr>
              <w:p w14:paraId="590CC720" w14:textId="77777777" w:rsidR="00E97930" w:rsidRDefault="001C2B4E">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844" w:type="dxa"/>
                <w:gridSpan w:val="2"/>
              </w:tcPr>
              <w:p w14:paraId="5A3FF209" w14:textId="77777777" w:rsidR="00E97930" w:rsidRDefault="001C2B4E">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2E1FE503" w14:textId="77777777" w:rsidR="00E97930" w:rsidRDefault="00E97930">
          <w:pPr>
            <w:tabs>
              <w:tab w:val="right" w:pos="8838"/>
            </w:tabs>
            <w:spacing w:line="256" w:lineRule="auto"/>
            <w:ind w:left="-28"/>
            <w:jc w:val="both"/>
            <w:rPr>
              <w:rFonts w:ascii="Arial" w:eastAsia="Arial" w:hAnsi="Arial" w:cs="Arial"/>
              <w:b/>
              <w:sz w:val="22"/>
              <w:szCs w:val="22"/>
            </w:rPr>
          </w:pPr>
        </w:p>
      </w:tc>
    </w:tr>
  </w:tbl>
  <w:p w14:paraId="05D92B9A" w14:textId="77777777" w:rsidR="00E97930" w:rsidRDefault="0040259C">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5A6D4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59.15pt;margin-top:-120.85pt;width:663.5pt;height:12in;z-index:-251657728;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B5749"/>
    <w:multiLevelType w:val="multilevel"/>
    <w:tmpl w:val="C1429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7120F16"/>
    <w:multiLevelType w:val="multilevel"/>
    <w:tmpl w:val="E19A6D38"/>
    <w:lvl w:ilvl="0">
      <w:start w:val="8"/>
      <w:numFmt w:val="bullet"/>
      <w:lvlText w:val="-"/>
      <w:lvlJc w:val="left"/>
      <w:pPr>
        <w:ind w:left="1440" w:hanging="360"/>
      </w:pPr>
      <w:rPr>
        <w:rFonts w:ascii="Palatino Linotype" w:eastAsia="Palatino Linotype" w:hAnsi="Palatino Linotype" w:cs="Palatino Linotype"/>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3FCF1823"/>
    <w:multiLevelType w:val="multilevel"/>
    <w:tmpl w:val="63D080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66BF"/>
    <w:multiLevelType w:val="multilevel"/>
    <w:tmpl w:val="F18E8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3240D02"/>
    <w:multiLevelType w:val="multilevel"/>
    <w:tmpl w:val="89C6D3E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2A4FA2"/>
    <w:multiLevelType w:val="multilevel"/>
    <w:tmpl w:val="9E78DEC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F2A3136"/>
    <w:multiLevelType w:val="multilevel"/>
    <w:tmpl w:val="5CBCEC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D009E2"/>
    <w:multiLevelType w:val="multilevel"/>
    <w:tmpl w:val="C3F40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2E3B93"/>
    <w:multiLevelType w:val="multilevel"/>
    <w:tmpl w:val="55F27D0C"/>
    <w:lvl w:ilvl="0">
      <w:start w:val="1"/>
      <w:numFmt w:val="bullet"/>
      <w:lvlText w:val="●"/>
      <w:lvlJc w:val="left"/>
      <w:pPr>
        <w:ind w:left="1440" w:hanging="360"/>
      </w:pPr>
      <w:rPr>
        <w:rFonts w:ascii="Noto Sans Symbols" w:eastAsia="Noto Sans Symbols" w:hAnsi="Noto Sans Symbols" w:cs="Noto Sans Symbols"/>
        <w:b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EFF0A93"/>
    <w:multiLevelType w:val="multilevel"/>
    <w:tmpl w:val="B84E01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8357CC"/>
    <w:multiLevelType w:val="multilevel"/>
    <w:tmpl w:val="0398305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num w:numId="1">
    <w:abstractNumId w:val="3"/>
  </w:num>
  <w:num w:numId="2">
    <w:abstractNumId w:val="0"/>
  </w:num>
  <w:num w:numId="3">
    <w:abstractNumId w:val="10"/>
  </w:num>
  <w:num w:numId="4">
    <w:abstractNumId w:val="5"/>
  </w:num>
  <w:num w:numId="5">
    <w:abstractNumId w:val="1"/>
  </w:num>
  <w:num w:numId="6">
    <w:abstractNumId w:val="7"/>
  </w:num>
  <w:num w:numId="7">
    <w:abstractNumId w:val="8"/>
  </w:num>
  <w:num w:numId="8">
    <w:abstractNumId w:val="4"/>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930"/>
    <w:rsid w:val="001C2B4E"/>
    <w:rsid w:val="003B4B3B"/>
    <w:rsid w:val="0040259C"/>
    <w:rsid w:val="00641A6D"/>
    <w:rsid w:val="008B1A57"/>
    <w:rsid w:val="009843CF"/>
    <w:rsid w:val="009A56D0"/>
    <w:rsid w:val="00A23A91"/>
    <w:rsid w:val="00D629F5"/>
    <w:rsid w:val="00E97930"/>
    <w:rsid w:val="00FA27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3E4A22"/>
  <w15:docId w15:val="{BB8FA8AA-0A1C-446F-8FBF-CFAD7264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Ttulo2">
    <w:name w:val="heading 2"/>
    <w:basedOn w:val="Normal"/>
    <w:next w:val="Normal"/>
    <w:uiPriority w:val="9"/>
    <w:unhideWhenUsed/>
    <w:qFormat/>
    <w:pPr>
      <w:keepNext/>
      <w:keepLines/>
      <w:spacing w:before="160" w:after="80"/>
      <w:outlineLvl w:val="1"/>
    </w:pPr>
    <w:rPr>
      <w:rFonts w:ascii="Calibri" w:eastAsia="Calibri" w:hAnsi="Calibri" w:cs="Calibri"/>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F5500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500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500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uiPriority w:val="10"/>
    <w:qFormat/>
    <w:pPr>
      <w:spacing w:after="80"/>
    </w:pPr>
    <w:rPr>
      <w:rFonts w:ascii="Calibri" w:eastAsia="Calibri" w:hAnsi="Calibri" w:cs="Calibri"/>
      <w:sz w:val="56"/>
      <w:szCs w:val="56"/>
    </w:rPr>
  </w:style>
  <w:style w:type="character" w:customStyle="1" w:styleId="Ttulo1Car">
    <w:name w:val="Título 1 Car"/>
    <w:basedOn w:val="Fuentedeprrafopredeter"/>
    <w:uiPriority w:val="9"/>
    <w:rsid w:val="00F5500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rsid w:val="00F5500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F55000"/>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F55000"/>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F55000"/>
    <w:rPr>
      <w:rFonts w:eastAsiaTheme="majorEastAsia" w:cstheme="majorBidi"/>
      <w:color w:val="2F5496" w:themeColor="accent1" w:themeShade="BF"/>
    </w:rPr>
  </w:style>
  <w:style w:type="character" w:customStyle="1" w:styleId="Ttulo6Car">
    <w:name w:val="Título 6 Car"/>
    <w:basedOn w:val="Fuentedeprrafopredeter"/>
    <w:uiPriority w:val="9"/>
    <w:semiHidden/>
    <w:rsid w:val="00F5500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500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500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5000"/>
    <w:rPr>
      <w:rFonts w:eastAsiaTheme="majorEastAsia" w:cstheme="majorBidi"/>
      <w:color w:val="272727" w:themeColor="text1" w:themeTint="D8"/>
    </w:rPr>
  </w:style>
  <w:style w:type="character" w:customStyle="1" w:styleId="TtuloCar">
    <w:name w:val="Título Car"/>
    <w:basedOn w:val="Fuentedeprrafopredeter"/>
    <w:uiPriority w:val="10"/>
    <w:rsid w:val="00F55000"/>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F5500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5000"/>
    <w:pPr>
      <w:spacing w:before="160"/>
      <w:jc w:val="center"/>
    </w:pPr>
    <w:rPr>
      <w:i/>
      <w:iCs/>
      <w:color w:val="404040" w:themeColor="text1" w:themeTint="BF"/>
    </w:rPr>
  </w:style>
  <w:style w:type="character" w:customStyle="1" w:styleId="CitaCar">
    <w:name w:val="Cita Car"/>
    <w:basedOn w:val="Fuentedeprrafopredeter"/>
    <w:link w:val="Cita"/>
    <w:uiPriority w:val="29"/>
    <w:rsid w:val="00F5500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5000"/>
    <w:pPr>
      <w:ind w:left="720"/>
      <w:contextualSpacing/>
    </w:pPr>
  </w:style>
  <w:style w:type="character" w:styleId="nfasisintenso">
    <w:name w:val="Intense Emphasis"/>
    <w:basedOn w:val="Fuentedeprrafopredeter"/>
    <w:uiPriority w:val="21"/>
    <w:qFormat/>
    <w:rsid w:val="00F55000"/>
    <w:rPr>
      <w:i/>
      <w:iCs/>
      <w:color w:val="2F5496" w:themeColor="accent1" w:themeShade="BF"/>
    </w:rPr>
  </w:style>
  <w:style w:type="paragraph" w:styleId="Citadestacada">
    <w:name w:val="Intense Quote"/>
    <w:basedOn w:val="Normal"/>
    <w:next w:val="Normal"/>
    <w:link w:val="CitadestacadaCar"/>
    <w:uiPriority w:val="30"/>
    <w:qFormat/>
    <w:rsid w:val="00F550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55000"/>
    <w:rPr>
      <w:i/>
      <w:iCs/>
      <w:color w:val="2F5496" w:themeColor="accent1" w:themeShade="BF"/>
    </w:rPr>
  </w:style>
  <w:style w:type="character" w:styleId="Referenciaintensa">
    <w:name w:val="Intense Reference"/>
    <w:basedOn w:val="Fuentedeprrafopredeter"/>
    <w:uiPriority w:val="32"/>
    <w:qFormat/>
    <w:rsid w:val="00F55000"/>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F55000"/>
  </w:style>
  <w:style w:type="table" w:styleId="Tablaconcuadrcula">
    <w:name w:val="Table Grid"/>
    <w:basedOn w:val="Tablanormal"/>
    <w:uiPriority w:val="39"/>
    <w:rsid w:val="00F55000"/>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5000"/>
    <w:pPr>
      <w:tabs>
        <w:tab w:val="center" w:pos="4419"/>
        <w:tab w:val="right" w:pos="8838"/>
      </w:tabs>
    </w:pPr>
  </w:style>
  <w:style w:type="character" w:customStyle="1" w:styleId="EncabezadoCar">
    <w:name w:val="Encabezado Car"/>
    <w:basedOn w:val="Fuentedeprrafopredeter"/>
    <w:link w:val="Encabezado"/>
    <w:uiPriority w:val="99"/>
    <w:rsid w:val="00F5500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F55000"/>
    <w:pPr>
      <w:tabs>
        <w:tab w:val="center" w:pos="4419"/>
        <w:tab w:val="right" w:pos="8838"/>
      </w:tabs>
    </w:pPr>
  </w:style>
  <w:style w:type="character" w:customStyle="1" w:styleId="PiedepginaCar">
    <w:name w:val="Pie de página Car"/>
    <w:basedOn w:val="Fuentedeprrafopredeter"/>
    <w:link w:val="Piedepgina"/>
    <w:uiPriority w:val="99"/>
    <w:rsid w:val="00F55000"/>
    <w:rPr>
      <w:rFonts w:ascii="Times New Roman" w:eastAsia="Times New Roman" w:hAnsi="Times New Roman" w:cs="Times New Roman"/>
      <w:kern w:val="0"/>
      <w:sz w:val="20"/>
      <w:szCs w:val="20"/>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55000"/>
    <w:rPr>
      <w:color w:val="0563C1" w:themeColor="hyperlink"/>
      <w:u w:val="single"/>
    </w:rPr>
  </w:style>
  <w:style w:type="paragraph" w:styleId="TtulodeTDC">
    <w:name w:val="TOC Heading"/>
    <w:next w:val="Normal"/>
    <w:uiPriority w:val="39"/>
    <w:unhideWhenUsed/>
    <w:qFormat/>
    <w:rsid w:val="00F55000"/>
    <w:pPr>
      <w:spacing w:before="240"/>
    </w:pPr>
    <w:rPr>
      <w:sz w:val="32"/>
      <w:szCs w:val="32"/>
    </w:rPr>
  </w:style>
  <w:style w:type="paragraph" w:styleId="TDC2">
    <w:name w:val="toc 2"/>
    <w:basedOn w:val="Normal"/>
    <w:next w:val="Normal"/>
    <w:autoRedefine/>
    <w:uiPriority w:val="39"/>
    <w:unhideWhenUsed/>
    <w:rsid w:val="00F55000"/>
    <w:pPr>
      <w:tabs>
        <w:tab w:val="right" w:leader="dot" w:pos="8828"/>
      </w:tabs>
      <w:spacing w:after="100" w:line="360" w:lineRule="auto"/>
      <w:ind w:left="220"/>
      <w:contextualSpacing/>
      <w:jc w:val="both"/>
    </w:pPr>
    <w:rPr>
      <w:rFonts w:asciiTheme="minorHAnsi" w:eastAsiaTheme="minorEastAsia" w:hAnsiTheme="minorHAnsi"/>
      <w:sz w:val="22"/>
      <w:szCs w:val="22"/>
    </w:rPr>
  </w:style>
  <w:style w:type="paragraph" w:styleId="TDC1">
    <w:name w:val="toc 1"/>
    <w:basedOn w:val="Normal"/>
    <w:next w:val="Normal"/>
    <w:autoRedefine/>
    <w:uiPriority w:val="39"/>
    <w:unhideWhenUsed/>
    <w:rsid w:val="00F55000"/>
    <w:pPr>
      <w:spacing w:after="100" w:line="259" w:lineRule="auto"/>
    </w:pPr>
    <w:rPr>
      <w:rFonts w:asciiTheme="minorHAnsi" w:eastAsiaTheme="minorEastAsia" w:hAnsiTheme="minorHAnsi"/>
      <w:sz w:val="22"/>
      <w:szCs w:val="22"/>
    </w:rPr>
  </w:style>
  <w:style w:type="table" w:customStyle="1" w:styleId="Tablaconcuadrcula1">
    <w:name w:val="Tabla con cuadrícula1"/>
    <w:basedOn w:val="Tablanormal"/>
    <w:uiPriority w:val="39"/>
    <w:qFormat/>
    <w:rsid w:val="00F55000"/>
    <w:rPr>
      <w:rFonts w:ascii="Calibri" w:eastAsia="Calibri" w:hAnsi="Calibri"/>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414D81"/>
    <w:rPr>
      <w:color w:val="605E5C"/>
      <w:shd w:val="clear" w:color="auto" w:fill="E1DFDD"/>
    </w:rPr>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753365">
      <w:bodyDiv w:val="1"/>
      <w:marLeft w:val="0"/>
      <w:marRight w:val="0"/>
      <w:marTop w:val="0"/>
      <w:marBottom w:val="0"/>
      <w:divBdr>
        <w:top w:val="none" w:sz="0" w:space="0" w:color="auto"/>
        <w:left w:val="none" w:sz="0" w:space="0" w:color="auto"/>
        <w:bottom w:val="none" w:sz="0" w:space="0" w:color="auto"/>
        <w:right w:val="none" w:sz="0" w:space="0" w:color="auto"/>
      </w:divBdr>
    </w:div>
    <w:div w:id="2135557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em.edomex.gob.mx/sites/agua.edomex.mx/files/files/TramitesServicios/MejorasRegulatorias/ManualesyProce/Procedimientos/26ProceCertifiAdeudoNoAdeudoyFibiquito.pdf"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lenio.com/politica/delfina-gomez-hace-ajustes-en-caem-y-otras-areas-de-la-administrac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em.edomex.gob.mx/sites/agua.edomex.mx/files/files/TramitesServicios/MejorasRegulatorias/ManualesyProce/Procedimientos/26ProceCertifiAdeudoNoAdeudoyFibiquit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em.edomex.gob.mx/marco-normativ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oLTprcmBwK+YHh6QZdLhr5P2g==">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9065</Words>
  <Characters>49858</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USUARIO</cp:lastModifiedBy>
  <cp:revision>3</cp:revision>
  <cp:lastPrinted>2025-09-19T00:17:00Z</cp:lastPrinted>
  <dcterms:created xsi:type="dcterms:W3CDTF">2025-09-19T00:17:00Z</dcterms:created>
  <dcterms:modified xsi:type="dcterms:W3CDTF">2025-09-19T00:18:00Z</dcterms:modified>
</cp:coreProperties>
</file>