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9BC89" w14:textId="77777777" w:rsidR="00E70697" w:rsidRPr="00AA51A6" w:rsidRDefault="003C6837">
      <w:pPr>
        <w:spacing w:line="360" w:lineRule="auto"/>
        <w:ind w:right="49"/>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AA51A6">
        <w:rPr>
          <w:rFonts w:ascii="Palatino Linotype" w:eastAsia="Palatino Linotype" w:hAnsi="Palatino Linotype" w:cs="Palatino Linotype"/>
          <w:b/>
          <w:sz w:val="22"/>
          <w:szCs w:val="22"/>
        </w:rPr>
        <w:t xml:space="preserve">nueve de julio de dos mil veinticinco. </w:t>
      </w:r>
    </w:p>
    <w:p w14:paraId="54E2C536" w14:textId="77777777" w:rsidR="00E70697" w:rsidRPr="00AA51A6" w:rsidRDefault="00E70697">
      <w:pPr>
        <w:spacing w:line="360" w:lineRule="auto"/>
        <w:ind w:right="49"/>
        <w:jc w:val="both"/>
        <w:rPr>
          <w:rFonts w:ascii="Palatino Linotype" w:eastAsia="Palatino Linotype" w:hAnsi="Palatino Linotype" w:cs="Palatino Linotype"/>
          <w:sz w:val="22"/>
          <w:szCs w:val="22"/>
        </w:rPr>
      </w:pPr>
    </w:p>
    <w:p w14:paraId="1AB482C2" w14:textId="793C5BE2" w:rsidR="00E70697" w:rsidRPr="00AA51A6" w:rsidRDefault="003C6837">
      <w:pPr>
        <w:spacing w:line="360" w:lineRule="auto"/>
        <w:ind w:right="49"/>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t xml:space="preserve">VISTOS </w:t>
      </w:r>
      <w:r w:rsidRPr="00AA51A6">
        <w:rPr>
          <w:rFonts w:ascii="Palatino Linotype" w:eastAsia="Palatino Linotype" w:hAnsi="Palatino Linotype" w:cs="Palatino Linotype"/>
          <w:sz w:val="22"/>
          <w:szCs w:val="22"/>
        </w:rPr>
        <w:t xml:space="preserve">los expedientes relativos a los recursos de revisión </w:t>
      </w:r>
      <w:r w:rsidRPr="00AA51A6">
        <w:rPr>
          <w:rFonts w:ascii="Palatino Linotype" w:eastAsia="Palatino Linotype" w:hAnsi="Palatino Linotype" w:cs="Palatino Linotype"/>
          <w:b/>
          <w:sz w:val="22"/>
          <w:szCs w:val="22"/>
        </w:rPr>
        <w:t xml:space="preserve">03489/INFOEM/IP/RR/2025, 03490/INFOEM/IP/RR/2025 y 03491/INFOEM/IP/RR/2025 acumulados, </w:t>
      </w:r>
      <w:r w:rsidRPr="00AA51A6">
        <w:rPr>
          <w:rFonts w:ascii="Palatino Linotype" w:eastAsia="Palatino Linotype" w:hAnsi="Palatino Linotype" w:cs="Palatino Linotype"/>
          <w:sz w:val="22"/>
          <w:szCs w:val="22"/>
        </w:rPr>
        <w:t xml:space="preserve">interpuestos por </w:t>
      </w:r>
      <w:r w:rsidR="00E63438" w:rsidRPr="00E63438">
        <w:rPr>
          <w:rFonts w:ascii="Palatino Linotype" w:eastAsia="Palatino Linotype" w:hAnsi="Palatino Linotype" w:cs="Palatino Linotype"/>
          <w:b/>
          <w:sz w:val="22"/>
          <w:szCs w:val="22"/>
        </w:rPr>
        <w:t>XXXXXX XXXXX XXXXXX</w:t>
      </w:r>
      <w:r w:rsidRPr="00AA51A6">
        <w:rPr>
          <w:rFonts w:ascii="Palatino Linotype" w:eastAsia="Palatino Linotype" w:hAnsi="Palatino Linotype" w:cs="Palatino Linotype"/>
          <w:sz w:val="22"/>
          <w:szCs w:val="22"/>
        </w:rPr>
        <w:t xml:space="preserve">, en lo sucesivo la parte </w:t>
      </w:r>
      <w:r w:rsidRPr="00AA51A6">
        <w:rPr>
          <w:rFonts w:ascii="Palatino Linotype" w:eastAsia="Palatino Linotype" w:hAnsi="Palatino Linotype" w:cs="Palatino Linotype"/>
          <w:b/>
          <w:sz w:val="22"/>
          <w:szCs w:val="22"/>
        </w:rPr>
        <w:t>Recurrente</w:t>
      </w:r>
      <w:r w:rsidRPr="00AA51A6">
        <w:rPr>
          <w:rFonts w:ascii="Palatino Linotype" w:eastAsia="Palatino Linotype" w:hAnsi="Palatino Linotype" w:cs="Palatino Linotype"/>
          <w:sz w:val="22"/>
          <w:szCs w:val="22"/>
        </w:rPr>
        <w:t xml:space="preserve">, en contra de la respuesta a sus solicitudes de información por parte del </w:t>
      </w:r>
      <w:r w:rsidRPr="00AA51A6">
        <w:rPr>
          <w:rFonts w:ascii="Palatino Linotype" w:eastAsia="Palatino Linotype" w:hAnsi="Palatino Linotype" w:cs="Palatino Linotype"/>
          <w:b/>
          <w:sz w:val="22"/>
          <w:szCs w:val="22"/>
        </w:rPr>
        <w:t>El Organismo Descentralizado de Agua Potable Alcantarillado y Saneamiento del Municipio de Ixtapaluca denominado por sus siglas, O.D.A.P.A.S</w:t>
      </w:r>
      <w:r w:rsidRPr="00AA51A6">
        <w:rPr>
          <w:rFonts w:ascii="Palatino Linotype" w:eastAsia="Palatino Linotype" w:hAnsi="Palatino Linotype" w:cs="Palatino Linotype"/>
          <w:sz w:val="22"/>
          <w:szCs w:val="22"/>
        </w:rPr>
        <w:t xml:space="preserve">, en lo sucesivo el </w:t>
      </w:r>
      <w:r w:rsidRPr="00AA51A6">
        <w:rPr>
          <w:rFonts w:ascii="Palatino Linotype" w:eastAsia="Palatino Linotype" w:hAnsi="Palatino Linotype" w:cs="Palatino Linotype"/>
          <w:b/>
          <w:sz w:val="22"/>
          <w:szCs w:val="22"/>
        </w:rPr>
        <w:t xml:space="preserve">Sujeto Obligado; </w:t>
      </w:r>
      <w:r w:rsidRPr="00AA51A6">
        <w:rPr>
          <w:rFonts w:ascii="Palatino Linotype" w:eastAsia="Palatino Linotype" w:hAnsi="Palatino Linotype" w:cs="Palatino Linotype"/>
          <w:sz w:val="22"/>
          <w:szCs w:val="22"/>
        </w:rPr>
        <w:t>se procede a dictar la presente resolución, con base en lo siguiente.</w:t>
      </w:r>
    </w:p>
    <w:p w14:paraId="1A0913A9" w14:textId="77777777" w:rsidR="00E70697" w:rsidRPr="00AA51A6" w:rsidRDefault="00E70697">
      <w:pPr>
        <w:spacing w:line="360" w:lineRule="auto"/>
        <w:ind w:right="49"/>
        <w:jc w:val="both"/>
        <w:rPr>
          <w:rFonts w:ascii="Palatino Linotype" w:eastAsia="Palatino Linotype" w:hAnsi="Palatino Linotype" w:cs="Palatino Linotype"/>
          <w:sz w:val="22"/>
          <w:szCs w:val="22"/>
        </w:rPr>
      </w:pPr>
    </w:p>
    <w:p w14:paraId="6944034C" w14:textId="77777777" w:rsidR="00E70697" w:rsidRPr="00AA51A6" w:rsidRDefault="003C6837">
      <w:pPr>
        <w:spacing w:line="360" w:lineRule="auto"/>
        <w:ind w:right="49"/>
        <w:jc w:val="center"/>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I.</w:t>
      </w:r>
      <w:r w:rsidRPr="00AA51A6">
        <w:rPr>
          <w:rFonts w:ascii="Palatino Linotype" w:eastAsia="Palatino Linotype" w:hAnsi="Palatino Linotype" w:cs="Palatino Linotype"/>
          <w:b/>
          <w:sz w:val="22"/>
          <w:szCs w:val="22"/>
        </w:rPr>
        <w:tab/>
        <w:t>A N T E C E D E N T E S</w:t>
      </w:r>
    </w:p>
    <w:p w14:paraId="713F70B2" w14:textId="77777777" w:rsidR="00E70697" w:rsidRPr="00AA51A6" w:rsidRDefault="00E70697">
      <w:pPr>
        <w:spacing w:line="360" w:lineRule="auto"/>
        <w:ind w:right="49"/>
        <w:jc w:val="both"/>
        <w:rPr>
          <w:rFonts w:ascii="Palatino Linotype" w:eastAsia="Palatino Linotype" w:hAnsi="Palatino Linotype" w:cs="Palatino Linotype"/>
          <w:sz w:val="22"/>
          <w:szCs w:val="22"/>
        </w:rPr>
      </w:pPr>
    </w:p>
    <w:p w14:paraId="29D340B2" w14:textId="77777777" w:rsidR="00E70697" w:rsidRPr="00AA51A6" w:rsidRDefault="003C6837">
      <w:pPr>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t>1.</w:t>
      </w:r>
      <w:r w:rsidRPr="00AA51A6">
        <w:rPr>
          <w:rFonts w:ascii="Palatino Linotype" w:eastAsia="Palatino Linotype" w:hAnsi="Palatino Linotype" w:cs="Palatino Linotype"/>
          <w:sz w:val="22"/>
          <w:szCs w:val="22"/>
        </w:rPr>
        <w:t xml:space="preserve"> </w:t>
      </w:r>
      <w:r w:rsidRPr="00AA51A6">
        <w:rPr>
          <w:rFonts w:ascii="Palatino Linotype" w:eastAsia="Palatino Linotype" w:hAnsi="Palatino Linotype" w:cs="Palatino Linotype"/>
          <w:b/>
          <w:sz w:val="22"/>
          <w:szCs w:val="22"/>
        </w:rPr>
        <w:t>Solicitudes de Acceso a la Información. El veinticinco de febrero de dos mil veinticinco</w:t>
      </w:r>
      <w:r w:rsidRPr="00AA51A6">
        <w:rPr>
          <w:rFonts w:ascii="Palatino Linotype" w:eastAsia="Palatino Linotype" w:hAnsi="Palatino Linotype" w:cs="Palatino Linotype"/>
          <w:sz w:val="22"/>
          <w:szCs w:val="22"/>
        </w:rPr>
        <w:t xml:space="preserve">, </w:t>
      </w:r>
      <w:r w:rsidRPr="00AA51A6">
        <w:rPr>
          <w:rFonts w:ascii="Palatino Linotype" w:eastAsia="Palatino Linotype" w:hAnsi="Palatino Linotype" w:cs="Palatino Linotype"/>
          <w:b/>
          <w:sz w:val="22"/>
          <w:szCs w:val="22"/>
        </w:rPr>
        <w:t>LA PARTE</w:t>
      </w:r>
      <w:r w:rsidRPr="00AA51A6">
        <w:rPr>
          <w:rFonts w:ascii="Palatino Linotype" w:eastAsia="Palatino Linotype" w:hAnsi="Palatino Linotype" w:cs="Palatino Linotype"/>
          <w:sz w:val="22"/>
          <w:szCs w:val="22"/>
        </w:rPr>
        <w:t xml:space="preserve"> </w:t>
      </w:r>
      <w:r w:rsidRPr="00AA51A6">
        <w:rPr>
          <w:rFonts w:ascii="Palatino Linotype" w:eastAsia="Palatino Linotype" w:hAnsi="Palatino Linotype" w:cs="Palatino Linotype"/>
          <w:b/>
          <w:sz w:val="22"/>
          <w:szCs w:val="22"/>
        </w:rPr>
        <w:t>RECURRENTE</w:t>
      </w:r>
      <w:r w:rsidRPr="00AA51A6">
        <w:rPr>
          <w:rFonts w:ascii="Palatino Linotype" w:eastAsia="Palatino Linotype" w:hAnsi="Palatino Linotype" w:cs="Palatino Linotype"/>
          <w:sz w:val="22"/>
          <w:szCs w:val="22"/>
        </w:rPr>
        <w:t xml:space="preserve"> formuló solicitudes de acceso a información pública a través del </w:t>
      </w:r>
      <w:r w:rsidRPr="00AA51A6">
        <w:rPr>
          <w:rFonts w:ascii="Palatino Linotype" w:eastAsia="Palatino Linotype" w:hAnsi="Palatino Linotype" w:cs="Palatino Linotype"/>
          <w:b/>
          <w:sz w:val="22"/>
          <w:szCs w:val="22"/>
        </w:rPr>
        <w:t>SAIMEX</w:t>
      </w:r>
      <w:r w:rsidRPr="00AA51A6">
        <w:rPr>
          <w:rFonts w:ascii="Palatino Linotype" w:eastAsia="Palatino Linotype" w:hAnsi="Palatino Linotype" w:cs="Palatino Linotype"/>
          <w:sz w:val="22"/>
          <w:szCs w:val="22"/>
        </w:rPr>
        <w:t>, en las que requirió lo siguiente:</w:t>
      </w:r>
    </w:p>
    <w:p w14:paraId="2865B306" w14:textId="77777777" w:rsidR="00E70697" w:rsidRPr="00AA51A6" w:rsidRDefault="00E70697">
      <w:pPr>
        <w:spacing w:line="360" w:lineRule="auto"/>
        <w:jc w:val="both"/>
        <w:rPr>
          <w:rFonts w:ascii="Palatino Linotype" w:eastAsia="Palatino Linotype" w:hAnsi="Palatino Linotype" w:cs="Palatino Linotype"/>
          <w:sz w:val="22"/>
          <w:szCs w:val="22"/>
        </w:rPr>
      </w:pPr>
    </w:p>
    <w:tbl>
      <w:tblPr>
        <w:tblStyle w:val="af3"/>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2022B7" w:rsidRPr="00AA51A6" w14:paraId="72106F66" w14:textId="77777777">
        <w:tc>
          <w:tcPr>
            <w:tcW w:w="3256" w:type="dxa"/>
            <w:shd w:val="clear" w:color="auto" w:fill="D9D9D9"/>
          </w:tcPr>
          <w:p w14:paraId="6091B628" w14:textId="77777777" w:rsidR="00E70697" w:rsidRPr="00AA51A6" w:rsidRDefault="003C6837">
            <w:pPr>
              <w:spacing w:line="360" w:lineRule="auto"/>
              <w:jc w:val="both"/>
              <w:rPr>
                <w:rFonts w:ascii="Palatino Linotype" w:eastAsia="Palatino Linotype" w:hAnsi="Palatino Linotype" w:cs="Palatino Linotype"/>
                <w:b/>
                <w:i/>
                <w:sz w:val="22"/>
                <w:szCs w:val="22"/>
              </w:rPr>
            </w:pPr>
            <w:bookmarkStart w:id="0" w:name="_heading=h.1fob9te" w:colFirst="0" w:colLast="0"/>
            <w:bookmarkEnd w:id="0"/>
            <w:r w:rsidRPr="00AA51A6">
              <w:rPr>
                <w:rFonts w:ascii="Palatino Linotype" w:eastAsia="Palatino Linotype" w:hAnsi="Palatino Linotype" w:cs="Palatino Linotype"/>
                <w:b/>
                <w:i/>
                <w:sz w:val="22"/>
                <w:szCs w:val="22"/>
              </w:rPr>
              <w:t>Número de solicitud</w:t>
            </w:r>
          </w:p>
        </w:tc>
        <w:tc>
          <w:tcPr>
            <w:tcW w:w="5670" w:type="dxa"/>
            <w:shd w:val="clear" w:color="auto" w:fill="D9D9D9"/>
          </w:tcPr>
          <w:p w14:paraId="51061996" w14:textId="77777777" w:rsidR="00E70697" w:rsidRPr="00AA51A6" w:rsidRDefault="003C6837">
            <w:pPr>
              <w:spacing w:line="360" w:lineRule="auto"/>
              <w:jc w:val="both"/>
              <w:rPr>
                <w:rFonts w:ascii="Palatino Linotype" w:eastAsia="Palatino Linotype" w:hAnsi="Palatino Linotype" w:cs="Palatino Linotype"/>
                <w:b/>
                <w:i/>
                <w:sz w:val="22"/>
                <w:szCs w:val="22"/>
              </w:rPr>
            </w:pPr>
            <w:r w:rsidRPr="00AA51A6">
              <w:rPr>
                <w:rFonts w:ascii="Palatino Linotype" w:eastAsia="Palatino Linotype" w:hAnsi="Palatino Linotype" w:cs="Palatino Linotype"/>
                <w:b/>
                <w:i/>
                <w:sz w:val="22"/>
                <w:szCs w:val="22"/>
              </w:rPr>
              <w:t>Información requerida.</w:t>
            </w:r>
          </w:p>
        </w:tc>
      </w:tr>
      <w:tr w:rsidR="002022B7" w:rsidRPr="00AA51A6" w14:paraId="3B00F2A1" w14:textId="77777777">
        <w:trPr>
          <w:trHeight w:val="564"/>
        </w:trPr>
        <w:tc>
          <w:tcPr>
            <w:tcW w:w="3256" w:type="dxa"/>
          </w:tcPr>
          <w:p w14:paraId="7B8E8912" w14:textId="77777777" w:rsidR="00E70697" w:rsidRPr="00AA51A6" w:rsidRDefault="003C6837">
            <w:pPr>
              <w:spacing w:line="360" w:lineRule="auto"/>
              <w:jc w:val="both"/>
              <w:rPr>
                <w:rFonts w:ascii="Palatino Linotype" w:eastAsia="Palatino Linotype" w:hAnsi="Palatino Linotype" w:cs="Palatino Linotype"/>
                <w:b/>
                <w:sz w:val="22"/>
                <w:szCs w:val="22"/>
              </w:rPr>
            </w:pPr>
            <w:bookmarkStart w:id="1" w:name="_heading=h.3znysh7" w:colFirst="0" w:colLast="0"/>
            <w:bookmarkEnd w:id="1"/>
            <w:r w:rsidRPr="00AA51A6">
              <w:rPr>
                <w:rFonts w:ascii="Palatino Linotype" w:eastAsia="Palatino Linotype" w:hAnsi="Palatino Linotype" w:cs="Palatino Linotype"/>
                <w:b/>
                <w:sz w:val="22"/>
                <w:szCs w:val="22"/>
              </w:rPr>
              <w:t>00008/OASIXTAPAL/IP/2025</w:t>
            </w:r>
          </w:p>
        </w:tc>
        <w:tc>
          <w:tcPr>
            <w:tcW w:w="5670" w:type="dxa"/>
          </w:tcPr>
          <w:p w14:paraId="262D82D5" w14:textId="77777777" w:rsidR="00E70697" w:rsidRPr="00AA51A6" w:rsidRDefault="003C6837">
            <w:pPr>
              <w:spacing w:line="360" w:lineRule="auto"/>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 xml:space="preserve">Solicito al OPDAPAS del municipio de Ixtapaluca el desglose de los gastos de los ingresos recaudados por el suministro de agua potable durante el año 2022, de lo que denominan gasto </w:t>
            </w:r>
            <w:r w:rsidRPr="00AA51A6">
              <w:rPr>
                <w:rFonts w:ascii="Palatino Linotype" w:eastAsia="Palatino Linotype" w:hAnsi="Palatino Linotype" w:cs="Palatino Linotype"/>
                <w:i/>
                <w:sz w:val="22"/>
                <w:szCs w:val="22"/>
              </w:rPr>
              <w:lastRenderedPageBreak/>
              <w:t>corriente equivalente a $116,589,224.47; así como los documentos que demuestren la forma en la que fue ejecutado dicho gasto corriente, todo esto en versiones pública.</w:t>
            </w:r>
          </w:p>
        </w:tc>
      </w:tr>
      <w:tr w:rsidR="002022B7" w:rsidRPr="00AA51A6" w14:paraId="15A955A2" w14:textId="77777777">
        <w:tc>
          <w:tcPr>
            <w:tcW w:w="3256" w:type="dxa"/>
          </w:tcPr>
          <w:p w14:paraId="2E68EEBE" w14:textId="77777777" w:rsidR="00E70697" w:rsidRPr="00AA51A6" w:rsidRDefault="003C6837">
            <w:pPr>
              <w:spacing w:line="360" w:lineRule="auto"/>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lastRenderedPageBreak/>
              <w:t>00006/OASIXTAPAL/IP/2025</w:t>
            </w:r>
          </w:p>
        </w:tc>
        <w:tc>
          <w:tcPr>
            <w:tcW w:w="5670" w:type="dxa"/>
          </w:tcPr>
          <w:p w14:paraId="0A9BCA37" w14:textId="77777777" w:rsidR="00E70697" w:rsidRPr="00AA51A6" w:rsidRDefault="003C6837">
            <w:pPr>
              <w:spacing w:line="360" w:lineRule="auto"/>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Solicito al OPDAPAS del municipio de Ixtapaluca el desglose de los gastos de los ingresos recaudados por el suministro de agua potable durante el año 2024, de lo que denominan gasto corriente equivalente a $123,738,458.26; así como los documentos que demuestren la forma en la que fue ejecutado dicho gasto corriente, todo esto en versiones pública.</w:t>
            </w:r>
          </w:p>
        </w:tc>
      </w:tr>
      <w:tr w:rsidR="002022B7" w:rsidRPr="00AA51A6" w14:paraId="30C35AC4" w14:textId="77777777">
        <w:tc>
          <w:tcPr>
            <w:tcW w:w="3256" w:type="dxa"/>
          </w:tcPr>
          <w:p w14:paraId="1C46DD6E" w14:textId="77777777" w:rsidR="00E70697" w:rsidRPr="00AA51A6" w:rsidRDefault="003C6837">
            <w:pPr>
              <w:spacing w:line="360" w:lineRule="auto"/>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00007/OASIXTAPAL/IP/2025</w:t>
            </w:r>
          </w:p>
        </w:tc>
        <w:tc>
          <w:tcPr>
            <w:tcW w:w="5670" w:type="dxa"/>
          </w:tcPr>
          <w:p w14:paraId="65A97390" w14:textId="77777777" w:rsidR="00E70697" w:rsidRPr="00AA51A6" w:rsidRDefault="003C6837">
            <w:pPr>
              <w:spacing w:line="360" w:lineRule="auto"/>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Solicito al OPDAPAS del municipio de Ixtapaluca el desglose de los gastos de los ingresos recaudados por el suministro de agua potable durante el año 2023, de lo que denominan gasto corriente equivalente a $104,844,366.39; así como los documentos que demuestren la forma en la que fue ejecutado dicho gasto corriente, todo esto en versiones pública.</w:t>
            </w:r>
          </w:p>
        </w:tc>
      </w:tr>
    </w:tbl>
    <w:p w14:paraId="517DE9EB" w14:textId="77777777" w:rsidR="00E70697" w:rsidRPr="00AA51A6" w:rsidRDefault="00E70697">
      <w:pPr>
        <w:spacing w:line="360" w:lineRule="auto"/>
        <w:ind w:right="49"/>
        <w:jc w:val="both"/>
        <w:rPr>
          <w:rFonts w:ascii="Palatino Linotype" w:eastAsia="Palatino Linotype" w:hAnsi="Palatino Linotype" w:cs="Palatino Linotype"/>
          <w:b/>
          <w:sz w:val="22"/>
          <w:szCs w:val="22"/>
        </w:rPr>
      </w:pPr>
    </w:p>
    <w:p w14:paraId="6683B89B" w14:textId="77777777" w:rsidR="00E70697" w:rsidRPr="00AA51A6" w:rsidRDefault="003C6837">
      <w:pPr>
        <w:numPr>
          <w:ilvl w:val="0"/>
          <w:numId w:val="5"/>
        </w:numPr>
        <w:pBdr>
          <w:top w:val="nil"/>
          <w:left w:val="nil"/>
          <w:bottom w:val="nil"/>
          <w:right w:val="nil"/>
          <w:between w:val="nil"/>
        </w:pBdr>
        <w:spacing w:line="360" w:lineRule="auto"/>
        <w:ind w:left="284" w:right="49"/>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 xml:space="preserve">El Recurrente adjuntó los documentos 2022_OI </w:t>
      </w:r>
      <w:proofErr w:type="spellStart"/>
      <w:r w:rsidRPr="00AA51A6">
        <w:rPr>
          <w:rFonts w:ascii="Palatino Linotype" w:eastAsia="Palatino Linotype" w:hAnsi="Palatino Linotype" w:cs="Palatino Linotype"/>
          <w:b/>
          <w:sz w:val="22"/>
          <w:szCs w:val="22"/>
        </w:rPr>
        <w:t>FINyA</w:t>
      </w:r>
      <w:proofErr w:type="spellEnd"/>
      <w:r w:rsidRPr="00AA51A6">
        <w:rPr>
          <w:rFonts w:ascii="Palatino Linotype" w:eastAsia="Palatino Linotype" w:hAnsi="Palatino Linotype" w:cs="Palatino Linotype"/>
          <w:b/>
          <w:sz w:val="22"/>
          <w:szCs w:val="22"/>
        </w:rPr>
        <w:t xml:space="preserve"> </w:t>
      </w:r>
      <w:proofErr w:type="spellStart"/>
      <w:r w:rsidRPr="00AA51A6">
        <w:rPr>
          <w:rFonts w:ascii="Palatino Linotype" w:eastAsia="Palatino Linotype" w:hAnsi="Palatino Linotype" w:cs="Palatino Linotype"/>
          <w:b/>
          <w:sz w:val="22"/>
          <w:szCs w:val="22"/>
        </w:rPr>
        <w:t>COyP</w:t>
      </w:r>
      <w:proofErr w:type="spellEnd"/>
      <w:r w:rsidRPr="00AA51A6">
        <w:rPr>
          <w:rFonts w:ascii="Palatino Linotype" w:eastAsia="Palatino Linotype" w:hAnsi="Palatino Linotype" w:cs="Palatino Linotype"/>
          <w:b/>
          <w:sz w:val="22"/>
          <w:szCs w:val="22"/>
        </w:rPr>
        <w:t xml:space="preserve"> 030 2025; 2024_OI </w:t>
      </w:r>
      <w:proofErr w:type="spellStart"/>
      <w:r w:rsidRPr="00AA51A6">
        <w:rPr>
          <w:rFonts w:ascii="Palatino Linotype" w:eastAsia="Palatino Linotype" w:hAnsi="Palatino Linotype" w:cs="Palatino Linotype"/>
          <w:b/>
          <w:sz w:val="22"/>
          <w:szCs w:val="22"/>
        </w:rPr>
        <w:t>FINyA</w:t>
      </w:r>
      <w:proofErr w:type="spellEnd"/>
      <w:r w:rsidRPr="00AA51A6">
        <w:rPr>
          <w:rFonts w:ascii="Palatino Linotype" w:eastAsia="Palatino Linotype" w:hAnsi="Palatino Linotype" w:cs="Palatino Linotype"/>
          <w:b/>
          <w:sz w:val="22"/>
          <w:szCs w:val="22"/>
        </w:rPr>
        <w:t xml:space="preserve"> </w:t>
      </w:r>
      <w:proofErr w:type="spellStart"/>
      <w:r w:rsidRPr="00AA51A6">
        <w:rPr>
          <w:rFonts w:ascii="Palatino Linotype" w:eastAsia="Palatino Linotype" w:hAnsi="Palatino Linotype" w:cs="Palatino Linotype"/>
          <w:b/>
          <w:sz w:val="22"/>
          <w:szCs w:val="22"/>
        </w:rPr>
        <w:t>COyP</w:t>
      </w:r>
      <w:proofErr w:type="spellEnd"/>
      <w:r w:rsidRPr="00AA51A6">
        <w:rPr>
          <w:rFonts w:ascii="Palatino Linotype" w:eastAsia="Palatino Linotype" w:hAnsi="Palatino Linotype" w:cs="Palatino Linotype"/>
          <w:b/>
          <w:sz w:val="22"/>
          <w:szCs w:val="22"/>
        </w:rPr>
        <w:t xml:space="preserve"> 032 2025; 2023_OI </w:t>
      </w:r>
      <w:proofErr w:type="spellStart"/>
      <w:r w:rsidRPr="00AA51A6">
        <w:rPr>
          <w:rFonts w:ascii="Palatino Linotype" w:eastAsia="Palatino Linotype" w:hAnsi="Palatino Linotype" w:cs="Palatino Linotype"/>
          <w:b/>
          <w:sz w:val="22"/>
          <w:szCs w:val="22"/>
        </w:rPr>
        <w:t>FINyA</w:t>
      </w:r>
      <w:proofErr w:type="spellEnd"/>
      <w:r w:rsidRPr="00AA51A6">
        <w:rPr>
          <w:rFonts w:ascii="Palatino Linotype" w:eastAsia="Palatino Linotype" w:hAnsi="Palatino Linotype" w:cs="Palatino Linotype"/>
          <w:b/>
          <w:sz w:val="22"/>
          <w:szCs w:val="22"/>
        </w:rPr>
        <w:t xml:space="preserve"> </w:t>
      </w:r>
      <w:proofErr w:type="spellStart"/>
      <w:r w:rsidRPr="00AA51A6">
        <w:rPr>
          <w:rFonts w:ascii="Palatino Linotype" w:eastAsia="Palatino Linotype" w:hAnsi="Palatino Linotype" w:cs="Palatino Linotype"/>
          <w:b/>
          <w:sz w:val="22"/>
          <w:szCs w:val="22"/>
        </w:rPr>
        <w:t>COyP</w:t>
      </w:r>
      <w:proofErr w:type="spellEnd"/>
      <w:r w:rsidRPr="00AA51A6">
        <w:rPr>
          <w:rFonts w:ascii="Palatino Linotype" w:eastAsia="Palatino Linotype" w:hAnsi="Palatino Linotype" w:cs="Palatino Linotype"/>
          <w:b/>
          <w:sz w:val="22"/>
          <w:szCs w:val="22"/>
        </w:rPr>
        <w:t xml:space="preserve"> 031 2025: </w:t>
      </w:r>
      <w:r w:rsidRPr="00AA51A6">
        <w:rPr>
          <w:rFonts w:ascii="Palatino Linotype" w:eastAsia="Palatino Linotype" w:hAnsi="Palatino Linotype" w:cs="Palatino Linotype"/>
          <w:sz w:val="22"/>
          <w:szCs w:val="22"/>
        </w:rPr>
        <w:t>Oficios emitidos por el Coordinador de Contabilidad y Presupuesto en el que constan los ingresos recaudados por el suministro de agua potable durante los años 2022, 2023, y 2024.</w:t>
      </w:r>
    </w:p>
    <w:p w14:paraId="664E0326" w14:textId="77777777" w:rsidR="00E70697" w:rsidRPr="00AA51A6" w:rsidRDefault="00E70697">
      <w:pPr>
        <w:spacing w:line="360" w:lineRule="auto"/>
        <w:ind w:right="49"/>
        <w:jc w:val="both"/>
        <w:rPr>
          <w:rFonts w:ascii="Palatino Linotype" w:eastAsia="Palatino Linotype" w:hAnsi="Palatino Linotype" w:cs="Palatino Linotype"/>
          <w:b/>
          <w:sz w:val="22"/>
          <w:szCs w:val="22"/>
        </w:rPr>
      </w:pPr>
    </w:p>
    <w:p w14:paraId="59DBB7C6" w14:textId="77777777" w:rsidR="00E70697" w:rsidRPr="00AA51A6" w:rsidRDefault="003C6837">
      <w:pPr>
        <w:spacing w:line="360" w:lineRule="auto"/>
        <w:ind w:right="49"/>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lastRenderedPageBreak/>
        <w:t>Modalidad elegida para la entrega de la información:</w:t>
      </w:r>
      <w:r w:rsidRPr="00AA51A6">
        <w:rPr>
          <w:rFonts w:ascii="Palatino Linotype" w:eastAsia="Palatino Linotype" w:hAnsi="Palatino Linotype" w:cs="Palatino Linotype"/>
          <w:sz w:val="22"/>
          <w:szCs w:val="22"/>
        </w:rPr>
        <w:t xml:space="preserve"> a través del Sistema de Acceso a la Información Mexiquense (SAIMEX).</w:t>
      </w:r>
    </w:p>
    <w:p w14:paraId="5D260124" w14:textId="77777777" w:rsidR="00E70697" w:rsidRPr="00AA51A6" w:rsidRDefault="00E70697">
      <w:pPr>
        <w:spacing w:line="360" w:lineRule="auto"/>
        <w:jc w:val="both"/>
        <w:rPr>
          <w:rFonts w:ascii="Palatino Linotype" w:eastAsia="Palatino Linotype" w:hAnsi="Palatino Linotype" w:cs="Palatino Linotype"/>
          <w:sz w:val="22"/>
          <w:szCs w:val="22"/>
        </w:rPr>
      </w:pPr>
    </w:p>
    <w:p w14:paraId="1606B698" w14:textId="77777777" w:rsidR="00E70697" w:rsidRPr="00AA51A6" w:rsidRDefault="003C6837">
      <w:pPr>
        <w:widowControl w:val="0"/>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t>3. Respuesta.</w:t>
      </w:r>
      <w:r w:rsidRPr="00AA51A6">
        <w:rPr>
          <w:rFonts w:ascii="Palatino Linotype" w:eastAsia="Palatino Linotype" w:hAnsi="Palatino Linotype" w:cs="Palatino Linotype"/>
          <w:sz w:val="22"/>
          <w:szCs w:val="22"/>
        </w:rPr>
        <w:t xml:space="preserve"> El </w:t>
      </w:r>
      <w:r w:rsidRPr="00AA51A6">
        <w:rPr>
          <w:rFonts w:ascii="Palatino Linotype" w:eastAsia="Palatino Linotype" w:hAnsi="Palatino Linotype" w:cs="Palatino Linotype"/>
          <w:b/>
          <w:sz w:val="22"/>
          <w:szCs w:val="22"/>
        </w:rPr>
        <w:t>veinte</w:t>
      </w:r>
      <w:r w:rsidRPr="00AA51A6">
        <w:rPr>
          <w:rFonts w:ascii="Palatino Linotype" w:eastAsia="Palatino Linotype" w:hAnsi="Palatino Linotype" w:cs="Palatino Linotype"/>
          <w:sz w:val="22"/>
          <w:szCs w:val="22"/>
        </w:rPr>
        <w:t xml:space="preserve"> </w:t>
      </w:r>
      <w:r w:rsidRPr="00AA51A6">
        <w:rPr>
          <w:rFonts w:ascii="Palatino Linotype" w:eastAsia="Palatino Linotype" w:hAnsi="Palatino Linotype" w:cs="Palatino Linotype"/>
          <w:b/>
          <w:sz w:val="22"/>
          <w:szCs w:val="22"/>
        </w:rPr>
        <w:t>de marzo de dos mil veinticinco</w:t>
      </w:r>
      <w:r w:rsidRPr="00AA51A6">
        <w:rPr>
          <w:rFonts w:ascii="Palatino Linotype" w:eastAsia="Palatino Linotype" w:hAnsi="Palatino Linotype" w:cs="Palatino Linotype"/>
          <w:sz w:val="22"/>
          <w:szCs w:val="22"/>
        </w:rPr>
        <w:t>, el Sujeto Obligado dio respuesta a las solicitudes en los siguientes términos:</w:t>
      </w:r>
    </w:p>
    <w:p w14:paraId="1A97AA01" w14:textId="77777777" w:rsidR="00E70697" w:rsidRPr="00AA51A6" w:rsidRDefault="00E70697">
      <w:pPr>
        <w:widowControl w:val="0"/>
        <w:spacing w:line="360" w:lineRule="auto"/>
        <w:jc w:val="both"/>
        <w:rPr>
          <w:rFonts w:ascii="Palatino Linotype" w:eastAsia="Palatino Linotype" w:hAnsi="Palatino Linotype" w:cs="Palatino Linotype"/>
          <w:sz w:val="22"/>
          <w:szCs w:val="22"/>
        </w:rPr>
      </w:pPr>
    </w:p>
    <w:tbl>
      <w:tblPr>
        <w:tblStyle w:val="af4"/>
        <w:tblW w:w="96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9"/>
        <w:gridCol w:w="6804"/>
      </w:tblGrid>
      <w:tr w:rsidR="002022B7" w:rsidRPr="00AA51A6" w14:paraId="7700A5EA" w14:textId="77777777">
        <w:trPr>
          <w:trHeight w:val="564"/>
        </w:trPr>
        <w:tc>
          <w:tcPr>
            <w:tcW w:w="2809" w:type="dxa"/>
          </w:tcPr>
          <w:p w14:paraId="4761B876" w14:textId="77777777" w:rsidR="00E70697" w:rsidRPr="00AA51A6" w:rsidRDefault="003C6837">
            <w:pPr>
              <w:spacing w:line="360" w:lineRule="auto"/>
              <w:jc w:val="center"/>
              <w:rPr>
                <w:rFonts w:ascii="Palatino Linotype" w:eastAsia="Palatino Linotype" w:hAnsi="Palatino Linotype" w:cs="Palatino Linotype"/>
                <w:b/>
                <w:i/>
                <w:sz w:val="22"/>
                <w:szCs w:val="22"/>
              </w:rPr>
            </w:pPr>
            <w:r w:rsidRPr="00AA51A6">
              <w:rPr>
                <w:rFonts w:ascii="Palatino Linotype" w:eastAsia="Palatino Linotype" w:hAnsi="Palatino Linotype" w:cs="Palatino Linotype"/>
                <w:b/>
                <w:i/>
                <w:sz w:val="22"/>
                <w:szCs w:val="22"/>
              </w:rPr>
              <w:t>SOLICITUD</w:t>
            </w:r>
          </w:p>
        </w:tc>
        <w:tc>
          <w:tcPr>
            <w:tcW w:w="6804" w:type="dxa"/>
          </w:tcPr>
          <w:p w14:paraId="0AEE6761" w14:textId="77777777" w:rsidR="00E70697" w:rsidRPr="00AA51A6" w:rsidRDefault="003C6837">
            <w:pPr>
              <w:spacing w:line="360" w:lineRule="auto"/>
              <w:ind w:right="317"/>
              <w:jc w:val="center"/>
              <w:rPr>
                <w:rFonts w:ascii="Palatino Linotype" w:eastAsia="Palatino Linotype" w:hAnsi="Palatino Linotype" w:cs="Palatino Linotype"/>
                <w:b/>
                <w:i/>
                <w:sz w:val="22"/>
                <w:szCs w:val="22"/>
              </w:rPr>
            </w:pPr>
            <w:r w:rsidRPr="00AA51A6">
              <w:rPr>
                <w:rFonts w:ascii="Palatino Linotype" w:eastAsia="Palatino Linotype" w:hAnsi="Palatino Linotype" w:cs="Palatino Linotype"/>
                <w:b/>
                <w:i/>
                <w:sz w:val="22"/>
                <w:szCs w:val="22"/>
              </w:rPr>
              <w:t>RESPUESTA.</w:t>
            </w:r>
          </w:p>
        </w:tc>
      </w:tr>
      <w:tr w:rsidR="002022B7" w:rsidRPr="00AA51A6" w14:paraId="4FD7145A" w14:textId="77777777">
        <w:trPr>
          <w:trHeight w:val="564"/>
        </w:trPr>
        <w:tc>
          <w:tcPr>
            <w:tcW w:w="2809" w:type="dxa"/>
            <w:shd w:val="clear" w:color="auto" w:fill="auto"/>
          </w:tcPr>
          <w:p w14:paraId="6EE9EC41" w14:textId="77777777" w:rsidR="00E70697" w:rsidRPr="00AA51A6" w:rsidRDefault="003C6837">
            <w:pPr>
              <w:spacing w:line="360" w:lineRule="auto"/>
              <w:ind w:right="-115"/>
              <w:jc w:val="both"/>
              <w:rPr>
                <w:rFonts w:ascii="Palatino Linotype" w:eastAsia="Palatino Linotype" w:hAnsi="Palatino Linotype" w:cs="Palatino Linotype"/>
                <w:b/>
                <w:i/>
                <w:sz w:val="22"/>
                <w:szCs w:val="22"/>
              </w:rPr>
            </w:pPr>
            <w:r w:rsidRPr="00AA51A6">
              <w:rPr>
                <w:rFonts w:ascii="Palatino Linotype" w:eastAsia="Palatino Linotype" w:hAnsi="Palatino Linotype" w:cs="Palatino Linotype"/>
                <w:b/>
                <w:sz w:val="22"/>
                <w:szCs w:val="22"/>
              </w:rPr>
              <w:t>00008/OASIXTAPAL/IP/2025</w:t>
            </w:r>
          </w:p>
        </w:tc>
        <w:tc>
          <w:tcPr>
            <w:tcW w:w="6804" w:type="dxa"/>
            <w:shd w:val="clear" w:color="auto" w:fill="auto"/>
          </w:tcPr>
          <w:p w14:paraId="1F196955" w14:textId="77777777" w:rsidR="00E70697" w:rsidRPr="00AA51A6" w:rsidRDefault="003C6837">
            <w:pPr>
              <w:spacing w:line="360" w:lineRule="auto"/>
              <w:ind w:right="27"/>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CEAB520" w14:textId="77777777" w:rsidR="00E70697" w:rsidRPr="00AA51A6" w:rsidRDefault="003C6837">
            <w:pPr>
              <w:spacing w:line="360" w:lineRule="auto"/>
              <w:ind w:right="27"/>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Sea este el medio por el cual aprovecho para enviarle un cordial saludo, así mismo hago entrega de la respuesta emitida por el área poseedora de la información respecto de la solicitud en cuestión. Finalmente se adjunta el link mediante el cual podrá consultar de manera directa la información requerida, así mismo es importante señalar que una vez entrando a dicho link, en la parte superior derecha podrá encontrar la sección de “Consultar Periodos Anteriores” donde podrá obtener información de los años requeridos. </w:t>
            </w:r>
            <w:r w:rsidRPr="00AA51A6">
              <w:rPr>
                <w:rFonts w:ascii="Palatino Linotype" w:eastAsia="Palatino Linotype" w:hAnsi="Palatino Linotype" w:cs="Palatino Linotype"/>
                <w:b/>
                <w:sz w:val="22"/>
                <w:szCs w:val="22"/>
              </w:rPr>
              <w:t>https://ipomex.org.mx/ipomex/#/info-fraccion/32/286/12</w:t>
            </w:r>
            <w:r w:rsidRPr="00AA51A6">
              <w:rPr>
                <w:rFonts w:ascii="Palatino Linotype" w:eastAsia="Palatino Linotype" w:hAnsi="Palatino Linotype" w:cs="Palatino Linotype"/>
                <w:sz w:val="22"/>
                <w:szCs w:val="22"/>
              </w:rPr>
              <w:t xml:space="preserve"> Sin más por el momento, quedo de Usted.</w:t>
            </w:r>
          </w:p>
          <w:p w14:paraId="43335EE5" w14:textId="77777777" w:rsidR="00E70697" w:rsidRPr="00AA51A6" w:rsidRDefault="00E70697">
            <w:pPr>
              <w:spacing w:line="360" w:lineRule="auto"/>
              <w:jc w:val="both"/>
              <w:rPr>
                <w:rFonts w:ascii="Palatino Linotype" w:eastAsia="Palatino Linotype" w:hAnsi="Palatino Linotype" w:cs="Palatino Linotype"/>
                <w:b/>
                <w:i/>
                <w:sz w:val="22"/>
                <w:szCs w:val="22"/>
              </w:rPr>
            </w:pPr>
          </w:p>
          <w:p w14:paraId="24CC61F7" w14:textId="77777777" w:rsidR="00E70697" w:rsidRPr="00AA51A6" w:rsidRDefault="003C6837">
            <w:pPr>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t xml:space="preserve">OI </w:t>
            </w:r>
            <w:proofErr w:type="spellStart"/>
            <w:r w:rsidRPr="00AA51A6">
              <w:rPr>
                <w:rFonts w:ascii="Palatino Linotype" w:eastAsia="Palatino Linotype" w:hAnsi="Palatino Linotype" w:cs="Palatino Linotype"/>
                <w:b/>
                <w:sz w:val="22"/>
                <w:szCs w:val="22"/>
              </w:rPr>
              <w:t>FINyA</w:t>
            </w:r>
            <w:proofErr w:type="spellEnd"/>
            <w:r w:rsidRPr="00AA51A6">
              <w:rPr>
                <w:rFonts w:ascii="Palatino Linotype" w:eastAsia="Palatino Linotype" w:hAnsi="Palatino Linotype" w:cs="Palatino Linotype"/>
                <w:b/>
                <w:sz w:val="22"/>
                <w:szCs w:val="22"/>
              </w:rPr>
              <w:t xml:space="preserve"> </w:t>
            </w:r>
            <w:proofErr w:type="spellStart"/>
            <w:r w:rsidRPr="00AA51A6">
              <w:rPr>
                <w:rFonts w:ascii="Palatino Linotype" w:eastAsia="Palatino Linotype" w:hAnsi="Palatino Linotype" w:cs="Palatino Linotype"/>
                <w:b/>
                <w:sz w:val="22"/>
                <w:szCs w:val="22"/>
              </w:rPr>
              <w:t>COyP</w:t>
            </w:r>
            <w:proofErr w:type="spellEnd"/>
            <w:r w:rsidRPr="00AA51A6">
              <w:rPr>
                <w:rFonts w:ascii="Palatino Linotype" w:eastAsia="Palatino Linotype" w:hAnsi="Palatino Linotype" w:cs="Palatino Linotype"/>
                <w:b/>
                <w:sz w:val="22"/>
                <w:szCs w:val="22"/>
              </w:rPr>
              <w:t xml:space="preserve"> 072 2025.pdf: </w:t>
            </w:r>
            <w:r w:rsidRPr="00AA51A6">
              <w:rPr>
                <w:rFonts w:ascii="Palatino Linotype" w:eastAsia="Palatino Linotype" w:hAnsi="Palatino Linotype" w:cs="Palatino Linotype"/>
                <w:sz w:val="22"/>
                <w:szCs w:val="22"/>
              </w:rPr>
              <w:t xml:space="preserve">Oficio suscrito por el Coordinador de Contabilidad y Presupuesto en el que refiere que proporciona una dirección electrónica donde consta el desglose de los gastos recaudados por el suministro de agua potable durante el año 2022. </w:t>
            </w:r>
          </w:p>
        </w:tc>
      </w:tr>
      <w:tr w:rsidR="002022B7" w:rsidRPr="00AA51A6" w14:paraId="7B8AF3C1" w14:textId="77777777">
        <w:tc>
          <w:tcPr>
            <w:tcW w:w="2809" w:type="dxa"/>
          </w:tcPr>
          <w:p w14:paraId="09348F73" w14:textId="77777777" w:rsidR="00E70697" w:rsidRPr="00AA51A6" w:rsidRDefault="003C6837">
            <w:pPr>
              <w:spacing w:line="360" w:lineRule="auto"/>
              <w:ind w:right="-115"/>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lastRenderedPageBreak/>
              <w:t>00006/OASIXTAPAL/IP/2025</w:t>
            </w:r>
          </w:p>
        </w:tc>
        <w:tc>
          <w:tcPr>
            <w:tcW w:w="6804" w:type="dxa"/>
          </w:tcPr>
          <w:p w14:paraId="406FDE95" w14:textId="77777777" w:rsidR="00E70697" w:rsidRPr="00AA51A6" w:rsidRDefault="003C683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EBACFA0" w14:textId="77777777" w:rsidR="00E70697" w:rsidRPr="00AA51A6" w:rsidRDefault="003C683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Sea este el medio por el cual aprovecho para enviarle un cordial saludo, así mismo hago entrega de la respuesta emitida por el área poseedora de la información respecto de la solicitud en cuestión. Finalmente se adjunta el link mediante el cual podrá consultar de manera directa la información requerida, así mismo es importante señalar que una vez entrando a dicho link, en la parte superior derecha podrá encontrar la sección de “Consultar Periodos Anteriores” donde podrá obtener información de los años requeridos. </w:t>
            </w:r>
            <w:r w:rsidRPr="00AA51A6">
              <w:rPr>
                <w:rFonts w:ascii="Palatino Linotype" w:eastAsia="Palatino Linotype" w:hAnsi="Palatino Linotype" w:cs="Palatino Linotype"/>
                <w:b/>
                <w:sz w:val="22"/>
                <w:szCs w:val="22"/>
              </w:rPr>
              <w:t>https://ipomex.org.mx/ipomex/#/info-fraccion/32/286/12</w:t>
            </w:r>
            <w:r w:rsidRPr="00AA51A6">
              <w:rPr>
                <w:rFonts w:ascii="Palatino Linotype" w:eastAsia="Palatino Linotype" w:hAnsi="Palatino Linotype" w:cs="Palatino Linotype"/>
                <w:sz w:val="22"/>
                <w:szCs w:val="22"/>
              </w:rPr>
              <w:t xml:space="preserve"> Sin más por el momento, quedo de Usted.</w:t>
            </w:r>
          </w:p>
          <w:p w14:paraId="7FBBEA43" w14:textId="77777777" w:rsidR="00E70697" w:rsidRPr="00AA51A6" w:rsidRDefault="00E706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71714EF" w14:textId="77777777" w:rsidR="00E70697" w:rsidRPr="00AA51A6" w:rsidRDefault="003C683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lastRenderedPageBreak/>
              <w:t xml:space="preserve">OI </w:t>
            </w:r>
            <w:proofErr w:type="spellStart"/>
            <w:r w:rsidRPr="00AA51A6">
              <w:rPr>
                <w:rFonts w:ascii="Palatino Linotype" w:eastAsia="Palatino Linotype" w:hAnsi="Palatino Linotype" w:cs="Palatino Linotype"/>
                <w:b/>
                <w:sz w:val="22"/>
                <w:szCs w:val="22"/>
              </w:rPr>
              <w:t>FINyA</w:t>
            </w:r>
            <w:proofErr w:type="spellEnd"/>
            <w:r w:rsidRPr="00AA51A6">
              <w:rPr>
                <w:rFonts w:ascii="Palatino Linotype" w:eastAsia="Palatino Linotype" w:hAnsi="Palatino Linotype" w:cs="Palatino Linotype"/>
                <w:b/>
                <w:sz w:val="22"/>
                <w:szCs w:val="22"/>
              </w:rPr>
              <w:t xml:space="preserve"> </w:t>
            </w:r>
            <w:proofErr w:type="spellStart"/>
            <w:r w:rsidRPr="00AA51A6">
              <w:rPr>
                <w:rFonts w:ascii="Palatino Linotype" w:eastAsia="Palatino Linotype" w:hAnsi="Palatino Linotype" w:cs="Palatino Linotype"/>
                <w:b/>
                <w:sz w:val="22"/>
                <w:szCs w:val="22"/>
              </w:rPr>
              <w:t>COyP</w:t>
            </w:r>
            <w:proofErr w:type="spellEnd"/>
            <w:r w:rsidRPr="00AA51A6">
              <w:rPr>
                <w:rFonts w:ascii="Palatino Linotype" w:eastAsia="Palatino Linotype" w:hAnsi="Palatino Linotype" w:cs="Palatino Linotype"/>
                <w:b/>
                <w:sz w:val="22"/>
                <w:szCs w:val="22"/>
              </w:rPr>
              <w:t xml:space="preserve"> 063 2025.pdf: </w:t>
            </w:r>
            <w:r w:rsidRPr="00AA51A6">
              <w:rPr>
                <w:rFonts w:ascii="Palatino Linotype" w:eastAsia="Palatino Linotype" w:hAnsi="Palatino Linotype" w:cs="Palatino Linotype"/>
                <w:sz w:val="22"/>
                <w:szCs w:val="22"/>
              </w:rPr>
              <w:t>Oficio suscrito por el Coordinador de Contabilidad y Presupuesto en el que refiere que proporciona una dirección electrónica donde consta el desglose de los gastos recaudados por el suministro de agua potable durante el año 2024.</w:t>
            </w:r>
          </w:p>
        </w:tc>
      </w:tr>
      <w:tr w:rsidR="002022B7" w:rsidRPr="00AA51A6" w14:paraId="53653016" w14:textId="77777777">
        <w:tc>
          <w:tcPr>
            <w:tcW w:w="2809" w:type="dxa"/>
          </w:tcPr>
          <w:p w14:paraId="1CB638A3" w14:textId="77777777" w:rsidR="00E70697" w:rsidRPr="00AA51A6" w:rsidRDefault="003C6837">
            <w:pPr>
              <w:spacing w:line="360" w:lineRule="auto"/>
              <w:ind w:right="-115"/>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lastRenderedPageBreak/>
              <w:t>00007/OASIXTAPAL/IP/2025</w:t>
            </w:r>
          </w:p>
        </w:tc>
        <w:tc>
          <w:tcPr>
            <w:tcW w:w="6804" w:type="dxa"/>
          </w:tcPr>
          <w:p w14:paraId="15A79311" w14:textId="77777777" w:rsidR="00E70697" w:rsidRPr="00AA51A6" w:rsidRDefault="003C6837">
            <w:pPr>
              <w:spacing w:line="360" w:lineRule="auto"/>
              <w:ind w:right="317"/>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8C1C273" w14:textId="77777777" w:rsidR="00E70697" w:rsidRPr="00AA51A6" w:rsidRDefault="003C6837">
            <w:pPr>
              <w:spacing w:line="360" w:lineRule="auto"/>
              <w:ind w:right="317"/>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Sea este el medio por el cual aprovecho para enviarle un cordial saludo, así mismo hago entrega de la respuesta emitida por el área poseedora de la información respecto de la solicitud en cuestión. Finalmente se adjunta el link mediante el cual podrá consultar de manera directa la información requerida, así mismo es importante señalar que una vez entrando a dicho link, en la parte superior derecha podrá encontrar la sección de “Consultar Periodos Anteriores” donde podrá obtener información de los años requeridos. https://ipomex.org.mx/ipomex/#/info-fraccion/32/286/12 Sin más por el momento, quedo de Usted.</w:t>
            </w:r>
          </w:p>
          <w:p w14:paraId="1C4D965D" w14:textId="77777777" w:rsidR="00E70697" w:rsidRPr="00AA51A6" w:rsidRDefault="00E70697">
            <w:pPr>
              <w:spacing w:line="360" w:lineRule="auto"/>
              <w:ind w:right="317"/>
              <w:jc w:val="both"/>
              <w:rPr>
                <w:rFonts w:ascii="Palatino Linotype" w:eastAsia="Palatino Linotype" w:hAnsi="Palatino Linotype" w:cs="Palatino Linotype"/>
                <w:sz w:val="22"/>
                <w:szCs w:val="22"/>
              </w:rPr>
            </w:pPr>
          </w:p>
          <w:p w14:paraId="678E266E" w14:textId="77777777" w:rsidR="00E70697" w:rsidRPr="00AA51A6" w:rsidRDefault="003C6837">
            <w:pPr>
              <w:spacing w:line="360" w:lineRule="auto"/>
              <w:ind w:right="317"/>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 xml:space="preserve">OI </w:t>
            </w:r>
            <w:proofErr w:type="spellStart"/>
            <w:r w:rsidRPr="00AA51A6">
              <w:rPr>
                <w:rFonts w:ascii="Palatino Linotype" w:eastAsia="Palatino Linotype" w:hAnsi="Palatino Linotype" w:cs="Palatino Linotype"/>
                <w:b/>
                <w:sz w:val="22"/>
                <w:szCs w:val="22"/>
              </w:rPr>
              <w:t>FINyA</w:t>
            </w:r>
            <w:proofErr w:type="spellEnd"/>
            <w:r w:rsidRPr="00AA51A6">
              <w:rPr>
                <w:rFonts w:ascii="Palatino Linotype" w:eastAsia="Palatino Linotype" w:hAnsi="Palatino Linotype" w:cs="Palatino Linotype"/>
                <w:b/>
                <w:sz w:val="22"/>
                <w:szCs w:val="22"/>
              </w:rPr>
              <w:t xml:space="preserve"> </w:t>
            </w:r>
            <w:proofErr w:type="spellStart"/>
            <w:r w:rsidRPr="00AA51A6">
              <w:rPr>
                <w:rFonts w:ascii="Palatino Linotype" w:eastAsia="Palatino Linotype" w:hAnsi="Palatino Linotype" w:cs="Palatino Linotype"/>
                <w:b/>
                <w:sz w:val="22"/>
                <w:szCs w:val="22"/>
              </w:rPr>
              <w:t>COyP</w:t>
            </w:r>
            <w:proofErr w:type="spellEnd"/>
            <w:r w:rsidRPr="00AA51A6">
              <w:rPr>
                <w:rFonts w:ascii="Palatino Linotype" w:eastAsia="Palatino Linotype" w:hAnsi="Palatino Linotype" w:cs="Palatino Linotype"/>
                <w:b/>
                <w:sz w:val="22"/>
                <w:szCs w:val="22"/>
              </w:rPr>
              <w:t xml:space="preserve"> 062 2025.pdf: </w:t>
            </w:r>
            <w:r w:rsidRPr="00AA51A6">
              <w:rPr>
                <w:rFonts w:ascii="Palatino Linotype" w:eastAsia="Palatino Linotype" w:hAnsi="Palatino Linotype" w:cs="Palatino Linotype"/>
                <w:sz w:val="22"/>
                <w:szCs w:val="22"/>
              </w:rPr>
              <w:t xml:space="preserve">Oficio suscrito por el Coordinador de Contabilidad y Presupuesto en el que refiere que </w:t>
            </w:r>
            <w:r w:rsidRPr="00AA51A6">
              <w:rPr>
                <w:rFonts w:ascii="Palatino Linotype" w:eastAsia="Palatino Linotype" w:hAnsi="Palatino Linotype" w:cs="Palatino Linotype"/>
                <w:sz w:val="22"/>
                <w:szCs w:val="22"/>
              </w:rPr>
              <w:lastRenderedPageBreak/>
              <w:t>proporciona una dirección electrónica donde consta el desglose de los gastos recaudados por el suministro de agua potable durante el año 2023.</w:t>
            </w:r>
          </w:p>
        </w:tc>
      </w:tr>
    </w:tbl>
    <w:p w14:paraId="6BF2ABEF" w14:textId="77777777" w:rsidR="00E70697" w:rsidRPr="00AA51A6" w:rsidRDefault="00E70697">
      <w:pPr>
        <w:widowControl w:val="0"/>
        <w:spacing w:line="360" w:lineRule="auto"/>
        <w:jc w:val="both"/>
        <w:rPr>
          <w:rFonts w:ascii="Palatino Linotype" w:eastAsia="Palatino Linotype" w:hAnsi="Palatino Linotype" w:cs="Palatino Linotype"/>
          <w:sz w:val="22"/>
          <w:szCs w:val="22"/>
        </w:rPr>
      </w:pPr>
    </w:p>
    <w:p w14:paraId="57BAD7E6" w14:textId="77777777" w:rsidR="00E70697" w:rsidRPr="00AA51A6" w:rsidRDefault="003C6837">
      <w:pPr>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t xml:space="preserve">3. Del Recurso de Revisión. </w:t>
      </w:r>
      <w:r w:rsidRPr="00AA51A6">
        <w:rPr>
          <w:rFonts w:ascii="Palatino Linotype" w:eastAsia="Palatino Linotype" w:hAnsi="Palatino Linotype" w:cs="Palatino Linotype"/>
          <w:sz w:val="22"/>
          <w:szCs w:val="22"/>
        </w:rPr>
        <w:t>Inconforme con las respuestas del</w:t>
      </w:r>
      <w:r w:rsidRPr="00AA51A6">
        <w:rPr>
          <w:rFonts w:ascii="Palatino Linotype" w:eastAsia="Palatino Linotype" w:hAnsi="Palatino Linotype" w:cs="Palatino Linotype"/>
          <w:b/>
          <w:sz w:val="22"/>
          <w:szCs w:val="22"/>
        </w:rPr>
        <w:t xml:space="preserve"> SUJETO OBLIGADO, </w:t>
      </w:r>
      <w:r w:rsidRPr="00AA51A6">
        <w:rPr>
          <w:rFonts w:ascii="Palatino Linotype" w:eastAsia="Palatino Linotype" w:hAnsi="Palatino Linotype" w:cs="Palatino Linotype"/>
          <w:sz w:val="22"/>
          <w:szCs w:val="22"/>
        </w:rPr>
        <w:t xml:space="preserve">en fecha </w:t>
      </w:r>
      <w:r w:rsidRPr="00AA51A6">
        <w:rPr>
          <w:rFonts w:ascii="Palatino Linotype" w:eastAsia="Palatino Linotype" w:hAnsi="Palatino Linotype" w:cs="Palatino Linotype"/>
          <w:b/>
          <w:sz w:val="22"/>
          <w:szCs w:val="22"/>
        </w:rPr>
        <w:t xml:space="preserve">veinticinco de marzo de dos mil veinticinco, LA PARTE RECURRENTE </w:t>
      </w:r>
      <w:r w:rsidRPr="00AA51A6">
        <w:rPr>
          <w:rFonts w:ascii="Palatino Linotype" w:eastAsia="Palatino Linotype" w:hAnsi="Palatino Linotype" w:cs="Palatino Linotype"/>
          <w:sz w:val="22"/>
          <w:szCs w:val="22"/>
        </w:rPr>
        <w:t xml:space="preserve">interpuso los recursos de revisión y manifestó lo siguiente: </w:t>
      </w:r>
    </w:p>
    <w:p w14:paraId="35F977EF" w14:textId="77777777" w:rsidR="00E70697" w:rsidRPr="00AA51A6" w:rsidRDefault="00E70697">
      <w:pPr>
        <w:spacing w:line="360" w:lineRule="auto"/>
        <w:jc w:val="both"/>
        <w:rPr>
          <w:rFonts w:ascii="Palatino Linotype" w:eastAsia="Palatino Linotype" w:hAnsi="Palatino Linotype" w:cs="Palatino Linotype"/>
          <w:sz w:val="22"/>
          <w:szCs w:val="22"/>
        </w:rPr>
      </w:pPr>
    </w:p>
    <w:p w14:paraId="3E7ADC73" w14:textId="77777777" w:rsidR="00E70697" w:rsidRPr="00AA51A6" w:rsidRDefault="003C6837">
      <w:pPr>
        <w:spacing w:line="360" w:lineRule="auto"/>
        <w:ind w:right="560"/>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03489/INFOEM/IP/RR/2025:</w:t>
      </w:r>
    </w:p>
    <w:p w14:paraId="0A67EC57" w14:textId="77777777" w:rsidR="00E70697" w:rsidRPr="00AA51A6" w:rsidRDefault="003C6837">
      <w:pPr>
        <w:spacing w:line="360" w:lineRule="auto"/>
        <w:ind w:left="567" w:right="560"/>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b/>
          <w:i/>
          <w:sz w:val="22"/>
          <w:szCs w:val="22"/>
        </w:rPr>
        <w:t>Acto Impugnado:</w:t>
      </w:r>
      <w:r w:rsidRPr="00AA51A6">
        <w:rPr>
          <w:rFonts w:ascii="Palatino Linotype" w:eastAsia="Palatino Linotype" w:hAnsi="Palatino Linotype" w:cs="Palatino Linotype"/>
          <w:i/>
          <w:sz w:val="22"/>
          <w:szCs w:val="22"/>
        </w:rPr>
        <w:t xml:space="preserve"> “El formato en el que se presume la entrega de la información no facilita su acceso a la misma.”</w:t>
      </w:r>
    </w:p>
    <w:p w14:paraId="4FE280CC" w14:textId="77777777" w:rsidR="00E70697" w:rsidRPr="00AA51A6" w:rsidRDefault="003C6837">
      <w:pPr>
        <w:spacing w:line="360" w:lineRule="auto"/>
        <w:ind w:left="567" w:right="560"/>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b/>
          <w:i/>
          <w:sz w:val="22"/>
          <w:szCs w:val="22"/>
        </w:rPr>
        <w:t>Motivo de inconformidad:</w:t>
      </w:r>
      <w:r w:rsidRPr="00AA51A6">
        <w:rPr>
          <w:rFonts w:ascii="Palatino Linotype" w:eastAsia="Palatino Linotype" w:hAnsi="Palatino Linotype" w:cs="Palatino Linotype"/>
          <w:i/>
          <w:sz w:val="22"/>
          <w:szCs w:val="22"/>
        </w:rPr>
        <w:t xml:space="preserve"> “El formato en el que se entregó la información no facilita su acceso.”</w:t>
      </w:r>
    </w:p>
    <w:p w14:paraId="3F73FEFB" w14:textId="77777777" w:rsidR="00E70697" w:rsidRPr="00AA51A6" w:rsidRDefault="00E70697">
      <w:pPr>
        <w:spacing w:line="360" w:lineRule="auto"/>
        <w:ind w:left="567" w:right="560"/>
        <w:jc w:val="both"/>
        <w:rPr>
          <w:rFonts w:ascii="Palatino Linotype" w:eastAsia="Palatino Linotype" w:hAnsi="Palatino Linotype" w:cs="Palatino Linotype"/>
          <w:i/>
          <w:sz w:val="22"/>
          <w:szCs w:val="22"/>
        </w:rPr>
      </w:pPr>
    </w:p>
    <w:p w14:paraId="6009BA19" w14:textId="77777777" w:rsidR="00E70697" w:rsidRPr="00AA51A6" w:rsidRDefault="003C6837">
      <w:pPr>
        <w:spacing w:line="360" w:lineRule="auto"/>
        <w:ind w:right="560"/>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b/>
          <w:sz w:val="22"/>
          <w:szCs w:val="22"/>
        </w:rPr>
        <w:t>03490/INFOEM/IP/RR/2025</w:t>
      </w:r>
    </w:p>
    <w:p w14:paraId="703545E5" w14:textId="77777777" w:rsidR="00E70697" w:rsidRPr="00AA51A6" w:rsidRDefault="003C6837">
      <w:pPr>
        <w:spacing w:line="360" w:lineRule="auto"/>
        <w:ind w:left="567" w:right="560"/>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b/>
          <w:i/>
          <w:sz w:val="22"/>
          <w:szCs w:val="22"/>
        </w:rPr>
        <w:t>Acto Impugnado:</w:t>
      </w:r>
      <w:r w:rsidRPr="00AA51A6">
        <w:rPr>
          <w:rFonts w:ascii="Palatino Linotype" w:eastAsia="Palatino Linotype" w:hAnsi="Palatino Linotype" w:cs="Palatino Linotype"/>
          <w:i/>
          <w:sz w:val="22"/>
          <w:szCs w:val="22"/>
        </w:rPr>
        <w:t xml:space="preserve"> “El formato en el que se presume la entrega de la información no facilita su acceso a la misma.”</w:t>
      </w:r>
    </w:p>
    <w:p w14:paraId="46C742D9" w14:textId="77777777" w:rsidR="00E70697" w:rsidRPr="00AA51A6" w:rsidRDefault="003C6837">
      <w:pPr>
        <w:spacing w:line="360" w:lineRule="auto"/>
        <w:ind w:left="567" w:right="560"/>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b/>
          <w:i/>
          <w:sz w:val="22"/>
          <w:szCs w:val="22"/>
        </w:rPr>
        <w:t>Motivo de inconformidad:</w:t>
      </w:r>
      <w:r w:rsidRPr="00AA51A6">
        <w:rPr>
          <w:rFonts w:ascii="Palatino Linotype" w:eastAsia="Palatino Linotype" w:hAnsi="Palatino Linotype" w:cs="Palatino Linotype"/>
          <w:i/>
          <w:sz w:val="22"/>
          <w:szCs w:val="22"/>
        </w:rPr>
        <w:t xml:space="preserve"> “El formato en el que se entregó la información no facilita su acceso”</w:t>
      </w:r>
    </w:p>
    <w:p w14:paraId="655C64F5" w14:textId="77777777" w:rsidR="00E70697" w:rsidRPr="00AA51A6" w:rsidRDefault="00E70697">
      <w:pPr>
        <w:spacing w:line="360" w:lineRule="auto"/>
        <w:ind w:left="567" w:right="560"/>
        <w:jc w:val="both"/>
        <w:rPr>
          <w:rFonts w:ascii="Palatino Linotype" w:eastAsia="Palatino Linotype" w:hAnsi="Palatino Linotype" w:cs="Palatino Linotype"/>
          <w:i/>
          <w:sz w:val="22"/>
          <w:szCs w:val="22"/>
        </w:rPr>
      </w:pPr>
    </w:p>
    <w:p w14:paraId="2499FAF3" w14:textId="77777777" w:rsidR="00E70697" w:rsidRPr="00AA51A6" w:rsidRDefault="003C6837">
      <w:pPr>
        <w:spacing w:line="360" w:lineRule="auto"/>
        <w:ind w:right="56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t>03491/INFOEM/IP/RR/2025:</w:t>
      </w:r>
    </w:p>
    <w:p w14:paraId="423CFDFD" w14:textId="77777777" w:rsidR="00E70697" w:rsidRPr="00AA51A6" w:rsidRDefault="003C6837">
      <w:pPr>
        <w:spacing w:line="360" w:lineRule="auto"/>
        <w:ind w:left="567" w:right="560"/>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b/>
          <w:i/>
          <w:sz w:val="22"/>
          <w:szCs w:val="22"/>
        </w:rPr>
        <w:lastRenderedPageBreak/>
        <w:t>Acto Impugnado:</w:t>
      </w:r>
      <w:r w:rsidRPr="00AA51A6">
        <w:rPr>
          <w:rFonts w:ascii="Palatino Linotype" w:eastAsia="Palatino Linotype" w:hAnsi="Palatino Linotype" w:cs="Palatino Linotype"/>
          <w:i/>
          <w:sz w:val="22"/>
          <w:szCs w:val="22"/>
        </w:rPr>
        <w:t xml:space="preserve"> “El formato en el que se presume la entrega de la información no facilita su acceso a la misma.”</w:t>
      </w:r>
    </w:p>
    <w:p w14:paraId="38E8B837" w14:textId="77777777" w:rsidR="00E70697" w:rsidRPr="00AA51A6" w:rsidRDefault="003C6837">
      <w:pPr>
        <w:spacing w:line="360" w:lineRule="auto"/>
        <w:ind w:left="567" w:right="560"/>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b/>
          <w:i/>
          <w:sz w:val="22"/>
          <w:szCs w:val="22"/>
        </w:rPr>
        <w:t>Motivo de inconformidad:</w:t>
      </w:r>
      <w:r w:rsidRPr="00AA51A6">
        <w:rPr>
          <w:rFonts w:ascii="Palatino Linotype" w:eastAsia="Palatino Linotype" w:hAnsi="Palatino Linotype" w:cs="Palatino Linotype"/>
          <w:i/>
          <w:sz w:val="22"/>
          <w:szCs w:val="22"/>
        </w:rPr>
        <w:t xml:space="preserve"> “El formato en el que se entregó la información no facilita su acceso.”</w:t>
      </w:r>
    </w:p>
    <w:p w14:paraId="52EFDFA2" w14:textId="77777777" w:rsidR="00E70697" w:rsidRPr="00AA51A6" w:rsidRDefault="003C6837">
      <w:pPr>
        <w:spacing w:line="360" w:lineRule="auto"/>
        <w:ind w:right="56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El Recurrente adjuntó a los escritos de recurso de revisión </w:t>
      </w:r>
    </w:p>
    <w:p w14:paraId="576338E5" w14:textId="77777777" w:rsidR="00E70697" w:rsidRPr="00AA51A6" w:rsidRDefault="003C6837">
      <w:pPr>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t xml:space="preserve">4. Turno. </w:t>
      </w:r>
      <w:r w:rsidRPr="00AA51A6">
        <w:rPr>
          <w:rFonts w:ascii="Palatino Linotype" w:eastAsia="Palatino Linotype" w:hAnsi="Palatino Linotype" w:cs="Palatino Linotype"/>
          <w:sz w:val="22"/>
          <w:szCs w:val="22"/>
        </w:rPr>
        <w:t>De conformidad con el artículo 185 fracción I de la Ley Transparencia y Acceso a la Información Pública, los recursos de revisión fueron</w:t>
      </w:r>
      <w:r w:rsidRPr="00AA51A6">
        <w:rPr>
          <w:rFonts w:ascii="Palatino Linotype" w:eastAsia="Palatino Linotype" w:hAnsi="Palatino Linotype" w:cs="Palatino Linotype"/>
          <w:b/>
          <w:sz w:val="22"/>
          <w:szCs w:val="22"/>
        </w:rPr>
        <w:t xml:space="preserve"> </w:t>
      </w:r>
      <w:r w:rsidRPr="00AA51A6">
        <w:rPr>
          <w:rFonts w:ascii="Palatino Linotype" w:eastAsia="Palatino Linotype" w:hAnsi="Palatino Linotype" w:cs="Palatino Linotype"/>
          <w:sz w:val="22"/>
          <w:szCs w:val="22"/>
        </w:rPr>
        <w:t xml:space="preserve">turnados de la siguiente manera a efecto de presentar al Pleno los proyectos de resolución correspondientes: </w:t>
      </w:r>
    </w:p>
    <w:p w14:paraId="148A8A60" w14:textId="77777777" w:rsidR="00E70697" w:rsidRPr="00AA51A6" w:rsidRDefault="00E70697">
      <w:pPr>
        <w:spacing w:line="360" w:lineRule="auto"/>
        <w:jc w:val="both"/>
        <w:rPr>
          <w:rFonts w:ascii="Palatino Linotype" w:eastAsia="Palatino Linotype" w:hAnsi="Palatino Linotype" w:cs="Palatino Linotype"/>
          <w:sz w:val="22"/>
          <w:szCs w:val="22"/>
        </w:rPr>
      </w:pPr>
    </w:p>
    <w:tbl>
      <w:tblPr>
        <w:tblStyle w:val="af5"/>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2022B7" w:rsidRPr="00AA51A6" w14:paraId="160EBEA1" w14:textId="77777777">
        <w:tc>
          <w:tcPr>
            <w:tcW w:w="4460" w:type="dxa"/>
            <w:shd w:val="clear" w:color="auto" w:fill="DDD9C4"/>
          </w:tcPr>
          <w:p w14:paraId="21EB4EE8" w14:textId="77777777" w:rsidR="00E70697" w:rsidRPr="00AA51A6" w:rsidRDefault="003C6837">
            <w:pPr>
              <w:spacing w:line="360" w:lineRule="auto"/>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Recurso de Revisión</w:t>
            </w:r>
          </w:p>
        </w:tc>
        <w:tc>
          <w:tcPr>
            <w:tcW w:w="4461" w:type="dxa"/>
            <w:shd w:val="clear" w:color="auto" w:fill="DDD9C4"/>
          </w:tcPr>
          <w:p w14:paraId="5B3EDF70" w14:textId="77777777" w:rsidR="00E70697" w:rsidRPr="00AA51A6" w:rsidRDefault="003C6837">
            <w:pPr>
              <w:spacing w:line="360" w:lineRule="auto"/>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Comisionada</w:t>
            </w:r>
          </w:p>
        </w:tc>
      </w:tr>
      <w:tr w:rsidR="002022B7" w:rsidRPr="00AA51A6" w14:paraId="48E9E32A" w14:textId="77777777">
        <w:tc>
          <w:tcPr>
            <w:tcW w:w="4460" w:type="dxa"/>
          </w:tcPr>
          <w:p w14:paraId="4EB3F264" w14:textId="77777777" w:rsidR="00E70697" w:rsidRPr="00AA51A6" w:rsidRDefault="003C6837">
            <w:pPr>
              <w:spacing w:line="360" w:lineRule="auto"/>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03489/INFOEM/IP/RR/2025</w:t>
            </w:r>
          </w:p>
        </w:tc>
        <w:tc>
          <w:tcPr>
            <w:tcW w:w="4461" w:type="dxa"/>
          </w:tcPr>
          <w:p w14:paraId="6866C03D" w14:textId="77777777" w:rsidR="00E70697" w:rsidRPr="00AA51A6" w:rsidRDefault="003C6837">
            <w:pPr>
              <w:spacing w:line="360" w:lineRule="auto"/>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Comisionada Guadalupe Ramírez Peña.</w:t>
            </w:r>
          </w:p>
        </w:tc>
      </w:tr>
      <w:tr w:rsidR="002022B7" w:rsidRPr="00AA51A6" w14:paraId="5D09562C" w14:textId="77777777">
        <w:tc>
          <w:tcPr>
            <w:tcW w:w="4460" w:type="dxa"/>
          </w:tcPr>
          <w:p w14:paraId="4FBC9787" w14:textId="77777777" w:rsidR="00E70697" w:rsidRPr="00AA51A6" w:rsidRDefault="003C6837">
            <w:pPr>
              <w:spacing w:line="360" w:lineRule="auto"/>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03490/INFOEM/IP/RR/2025</w:t>
            </w:r>
          </w:p>
        </w:tc>
        <w:tc>
          <w:tcPr>
            <w:tcW w:w="4461" w:type="dxa"/>
          </w:tcPr>
          <w:p w14:paraId="110DE4A5" w14:textId="77777777" w:rsidR="00E70697" w:rsidRPr="00AA51A6" w:rsidRDefault="003C6837">
            <w:pPr>
              <w:spacing w:line="360" w:lineRule="auto"/>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Comisionado José Martínez Vilchis.</w:t>
            </w:r>
          </w:p>
        </w:tc>
      </w:tr>
      <w:tr w:rsidR="002022B7" w:rsidRPr="00AA51A6" w14:paraId="633AE2DB" w14:textId="77777777">
        <w:tc>
          <w:tcPr>
            <w:tcW w:w="4460" w:type="dxa"/>
          </w:tcPr>
          <w:p w14:paraId="4A3BB3B8" w14:textId="77777777" w:rsidR="00E70697" w:rsidRPr="00AA51A6" w:rsidRDefault="003C6837">
            <w:pPr>
              <w:spacing w:line="360" w:lineRule="auto"/>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03491/INFOEM/IP/RR/2025</w:t>
            </w:r>
          </w:p>
        </w:tc>
        <w:tc>
          <w:tcPr>
            <w:tcW w:w="4461" w:type="dxa"/>
          </w:tcPr>
          <w:p w14:paraId="6F6A7C99" w14:textId="77777777" w:rsidR="00E70697" w:rsidRPr="00AA51A6" w:rsidRDefault="003C6837">
            <w:pPr>
              <w:spacing w:line="360" w:lineRule="auto"/>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Comisionado Luis Gustavo Parra Noriega.</w:t>
            </w:r>
          </w:p>
        </w:tc>
      </w:tr>
    </w:tbl>
    <w:p w14:paraId="651DCD57" w14:textId="77777777" w:rsidR="00E70697" w:rsidRPr="00AA51A6" w:rsidRDefault="00E70697">
      <w:pPr>
        <w:spacing w:line="360" w:lineRule="auto"/>
        <w:jc w:val="both"/>
        <w:rPr>
          <w:rFonts w:ascii="Palatino Linotype" w:eastAsia="Palatino Linotype" w:hAnsi="Palatino Linotype" w:cs="Palatino Linotype"/>
          <w:sz w:val="22"/>
          <w:szCs w:val="22"/>
        </w:rPr>
      </w:pPr>
    </w:p>
    <w:p w14:paraId="435B5E05" w14:textId="77777777" w:rsidR="00E70697" w:rsidRPr="00AA51A6" w:rsidRDefault="003C6837">
      <w:pPr>
        <w:spacing w:line="360" w:lineRule="auto"/>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 xml:space="preserve">5. Admisiones. </w:t>
      </w:r>
      <w:r w:rsidRPr="00AA51A6">
        <w:rPr>
          <w:rFonts w:ascii="Palatino Linotype" w:eastAsia="Palatino Linotype" w:hAnsi="Palatino Linotype" w:cs="Palatino Linotype"/>
          <w:sz w:val="22"/>
          <w:szCs w:val="22"/>
        </w:rPr>
        <w:t xml:space="preserve">El </w:t>
      </w:r>
      <w:r w:rsidRPr="00AA51A6">
        <w:rPr>
          <w:rFonts w:ascii="Palatino Linotype" w:eastAsia="Palatino Linotype" w:hAnsi="Palatino Linotype" w:cs="Palatino Linotype"/>
          <w:b/>
          <w:sz w:val="22"/>
          <w:szCs w:val="22"/>
        </w:rPr>
        <w:t>veintisiete</w:t>
      </w:r>
      <w:r w:rsidRPr="00AA51A6">
        <w:rPr>
          <w:rFonts w:ascii="Palatino Linotype" w:eastAsia="Palatino Linotype" w:hAnsi="Palatino Linotype" w:cs="Palatino Linotype"/>
          <w:sz w:val="22"/>
          <w:szCs w:val="22"/>
        </w:rPr>
        <w:t xml:space="preserve"> y</w:t>
      </w:r>
      <w:r w:rsidRPr="00AA51A6">
        <w:rPr>
          <w:rFonts w:ascii="Palatino Linotype" w:eastAsia="Palatino Linotype" w:hAnsi="Palatino Linotype" w:cs="Palatino Linotype"/>
          <w:b/>
          <w:sz w:val="22"/>
          <w:szCs w:val="22"/>
        </w:rPr>
        <w:t xml:space="preserve"> veintiocho de marzo de dos mil veinticinco</w:t>
      </w:r>
      <w:r w:rsidRPr="00AA51A6">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admitieron a trámite los recursos de revisión</w:t>
      </w:r>
      <w:r w:rsidRPr="00AA51A6">
        <w:rPr>
          <w:rFonts w:ascii="Palatino Linotype" w:eastAsia="Palatino Linotype" w:hAnsi="Palatino Linotype" w:cs="Palatino Linotype"/>
          <w:b/>
          <w:sz w:val="22"/>
          <w:szCs w:val="22"/>
        </w:rPr>
        <w:t>.</w:t>
      </w:r>
    </w:p>
    <w:p w14:paraId="2332B05F" w14:textId="77777777" w:rsidR="00E70697" w:rsidRPr="00AA51A6" w:rsidRDefault="00E70697">
      <w:pPr>
        <w:spacing w:line="360" w:lineRule="auto"/>
        <w:jc w:val="both"/>
        <w:rPr>
          <w:rFonts w:ascii="Palatino Linotype" w:eastAsia="Palatino Linotype" w:hAnsi="Palatino Linotype" w:cs="Palatino Linotype"/>
          <w:b/>
          <w:sz w:val="22"/>
          <w:szCs w:val="22"/>
        </w:rPr>
      </w:pPr>
    </w:p>
    <w:p w14:paraId="6AA4FC15" w14:textId="77777777" w:rsidR="00E70697" w:rsidRPr="00AA51A6" w:rsidRDefault="003C6837">
      <w:pPr>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t xml:space="preserve">6. Manifestaciones. </w:t>
      </w:r>
      <w:r w:rsidRPr="00AA51A6">
        <w:rPr>
          <w:rFonts w:ascii="Palatino Linotype" w:eastAsia="Palatino Linotype" w:hAnsi="Palatino Linotype" w:cs="Palatino Linotype"/>
          <w:sz w:val="22"/>
          <w:szCs w:val="22"/>
        </w:rPr>
        <w:t xml:space="preserve">En el apartado de manifestaciones, el Sujeto Obligado rindió su informe justificado el </w:t>
      </w:r>
      <w:r w:rsidRPr="00AA51A6">
        <w:rPr>
          <w:rFonts w:ascii="Palatino Linotype" w:eastAsia="Palatino Linotype" w:hAnsi="Palatino Linotype" w:cs="Palatino Linotype"/>
          <w:b/>
          <w:sz w:val="22"/>
          <w:szCs w:val="22"/>
        </w:rPr>
        <w:t>siete de abril de dos mil veintic</w:t>
      </w:r>
      <w:r w:rsidRPr="00AA51A6">
        <w:rPr>
          <w:rFonts w:ascii="Palatino Linotype" w:eastAsia="Palatino Linotype" w:hAnsi="Palatino Linotype" w:cs="Palatino Linotype"/>
          <w:sz w:val="22"/>
          <w:szCs w:val="22"/>
        </w:rPr>
        <w:t>i</w:t>
      </w:r>
      <w:r w:rsidRPr="00AA51A6">
        <w:rPr>
          <w:rFonts w:ascii="Palatino Linotype" w:eastAsia="Palatino Linotype" w:hAnsi="Palatino Linotype" w:cs="Palatino Linotype"/>
          <w:b/>
          <w:sz w:val="22"/>
          <w:szCs w:val="22"/>
        </w:rPr>
        <w:t>nco</w:t>
      </w:r>
      <w:r w:rsidRPr="00AA51A6">
        <w:rPr>
          <w:rFonts w:ascii="Palatino Linotype" w:eastAsia="Palatino Linotype" w:hAnsi="Palatino Linotype" w:cs="Palatino Linotype"/>
          <w:sz w:val="22"/>
          <w:szCs w:val="22"/>
        </w:rPr>
        <w:t xml:space="preserve">, dichos informes justificados se pusieron a </w:t>
      </w:r>
      <w:r w:rsidRPr="00AA51A6">
        <w:rPr>
          <w:rFonts w:ascii="Palatino Linotype" w:eastAsia="Palatino Linotype" w:hAnsi="Palatino Linotype" w:cs="Palatino Linotype"/>
          <w:sz w:val="22"/>
          <w:szCs w:val="22"/>
        </w:rPr>
        <w:lastRenderedPageBreak/>
        <w:t xml:space="preserve">la vista del Recurrente el </w:t>
      </w:r>
      <w:r w:rsidRPr="00AA51A6">
        <w:rPr>
          <w:rFonts w:ascii="Palatino Linotype" w:eastAsia="Palatino Linotype" w:hAnsi="Palatino Linotype" w:cs="Palatino Linotype"/>
          <w:b/>
          <w:sz w:val="22"/>
          <w:szCs w:val="22"/>
        </w:rPr>
        <w:t>dieciséis</w:t>
      </w:r>
      <w:r w:rsidRPr="00AA51A6">
        <w:rPr>
          <w:rFonts w:ascii="Palatino Linotype" w:eastAsia="Palatino Linotype" w:hAnsi="Palatino Linotype" w:cs="Palatino Linotype"/>
          <w:sz w:val="22"/>
          <w:szCs w:val="22"/>
        </w:rPr>
        <w:t xml:space="preserve"> </w:t>
      </w:r>
      <w:r w:rsidRPr="00AA51A6">
        <w:rPr>
          <w:rFonts w:ascii="Palatino Linotype" w:eastAsia="Palatino Linotype" w:hAnsi="Palatino Linotype" w:cs="Palatino Linotype"/>
          <w:b/>
          <w:sz w:val="22"/>
          <w:szCs w:val="22"/>
        </w:rPr>
        <w:t>de junio de dos mil veinticinco</w:t>
      </w:r>
      <w:r w:rsidRPr="00AA51A6">
        <w:rPr>
          <w:rFonts w:ascii="Palatino Linotype" w:eastAsia="Palatino Linotype" w:hAnsi="Palatino Linotype" w:cs="Palatino Linotype"/>
          <w:sz w:val="22"/>
          <w:szCs w:val="22"/>
        </w:rPr>
        <w:t>; sin embargo, se describe su contenido medular, siendo el siguiente:</w:t>
      </w:r>
    </w:p>
    <w:p w14:paraId="5667AE15" w14:textId="77777777" w:rsidR="00E70697" w:rsidRPr="00AA51A6" w:rsidRDefault="00E70697">
      <w:pPr>
        <w:spacing w:line="360" w:lineRule="auto"/>
        <w:jc w:val="both"/>
        <w:rPr>
          <w:rFonts w:ascii="Palatino Linotype" w:eastAsia="Palatino Linotype" w:hAnsi="Palatino Linotype" w:cs="Palatino Linotype"/>
          <w:sz w:val="22"/>
          <w:szCs w:val="22"/>
        </w:rPr>
      </w:pPr>
    </w:p>
    <w:p w14:paraId="628E5084" w14:textId="77777777" w:rsidR="00E70697" w:rsidRPr="00AA51A6" w:rsidRDefault="003C6837">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t xml:space="preserve">03489/INFOEM/IP/RR/2025: </w:t>
      </w:r>
      <w:r w:rsidRPr="00AA51A6">
        <w:rPr>
          <w:rFonts w:ascii="Palatino Linotype" w:eastAsia="Palatino Linotype" w:hAnsi="Palatino Linotype" w:cs="Palatino Linotype"/>
          <w:sz w:val="22"/>
          <w:szCs w:val="22"/>
        </w:rPr>
        <w:t>Documento identificado con el nombre INFORME JUSTIFICADO 03489 2025.pdf, mediante el cual ratifica la respuesta inicial</w:t>
      </w:r>
    </w:p>
    <w:p w14:paraId="08B3BF95" w14:textId="77777777" w:rsidR="00E70697" w:rsidRPr="00AA51A6" w:rsidRDefault="00E70697">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72C9729F" w14:textId="77777777" w:rsidR="00E70697" w:rsidRPr="00AA51A6" w:rsidRDefault="003C6837">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t xml:space="preserve">03490/INFOEM/IP/RR/2025: </w:t>
      </w:r>
      <w:r w:rsidRPr="00AA51A6">
        <w:rPr>
          <w:rFonts w:ascii="Palatino Linotype" w:eastAsia="Palatino Linotype" w:hAnsi="Palatino Linotype" w:cs="Palatino Linotype"/>
          <w:sz w:val="22"/>
          <w:szCs w:val="22"/>
        </w:rPr>
        <w:t>Documento identificado con el nombre INFORME JUSTIFICADO 03490 2025.pdf mediante el cual ratifica la respuesta inicial</w:t>
      </w:r>
    </w:p>
    <w:p w14:paraId="353F2025" w14:textId="77777777" w:rsidR="00E70697" w:rsidRPr="00AA51A6" w:rsidRDefault="00E70697">
      <w:pPr>
        <w:pBdr>
          <w:top w:val="nil"/>
          <w:left w:val="nil"/>
          <w:bottom w:val="nil"/>
          <w:right w:val="nil"/>
          <w:between w:val="nil"/>
        </w:pBdr>
        <w:spacing w:line="360" w:lineRule="auto"/>
        <w:ind w:left="360"/>
        <w:jc w:val="both"/>
        <w:rPr>
          <w:rFonts w:ascii="Palatino Linotype" w:eastAsia="Palatino Linotype" w:hAnsi="Palatino Linotype" w:cs="Palatino Linotype"/>
          <w:b/>
          <w:sz w:val="22"/>
          <w:szCs w:val="22"/>
        </w:rPr>
      </w:pPr>
    </w:p>
    <w:p w14:paraId="51C0F1F3" w14:textId="77777777" w:rsidR="00E70697" w:rsidRPr="00AA51A6" w:rsidRDefault="003C6837">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 xml:space="preserve">03491/INFOEM/IP/RR/2025: </w:t>
      </w:r>
      <w:r w:rsidRPr="00AA51A6">
        <w:rPr>
          <w:rFonts w:ascii="Palatino Linotype" w:eastAsia="Palatino Linotype" w:hAnsi="Palatino Linotype" w:cs="Palatino Linotype"/>
          <w:sz w:val="22"/>
          <w:szCs w:val="22"/>
        </w:rPr>
        <w:t>Documento identificado como INFORME JUSTIFICADO 03491 2025.pdf mediante el cual ratifica la respuesta inicial</w:t>
      </w:r>
    </w:p>
    <w:p w14:paraId="720ECE31" w14:textId="77777777" w:rsidR="00E70697" w:rsidRPr="00AA51A6" w:rsidRDefault="00E70697">
      <w:pPr>
        <w:pBdr>
          <w:top w:val="nil"/>
          <w:left w:val="nil"/>
          <w:bottom w:val="nil"/>
          <w:right w:val="nil"/>
          <w:between w:val="nil"/>
        </w:pBdr>
        <w:spacing w:line="360" w:lineRule="auto"/>
        <w:ind w:left="720"/>
        <w:rPr>
          <w:rFonts w:ascii="Palatino Linotype" w:eastAsia="Palatino Linotype" w:hAnsi="Palatino Linotype" w:cs="Palatino Linotype"/>
          <w:b/>
          <w:sz w:val="22"/>
          <w:szCs w:val="22"/>
        </w:rPr>
      </w:pPr>
    </w:p>
    <w:p w14:paraId="3D09229D" w14:textId="77777777" w:rsidR="00E70697" w:rsidRPr="00AA51A6" w:rsidRDefault="003C6837">
      <w:pPr>
        <w:spacing w:line="360" w:lineRule="auto"/>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 xml:space="preserve">7. Acumulación. A través de la Décima Segunda Sesión Ordinaria de fecha dos de abril de dos mil veinticinco </w:t>
      </w:r>
      <w:r w:rsidRPr="00AA51A6">
        <w:rPr>
          <w:rFonts w:ascii="Palatino Linotype" w:eastAsia="Palatino Linotype" w:hAnsi="Palatino Linotype" w:cs="Palatino Linotype"/>
          <w:sz w:val="22"/>
          <w:szCs w:val="22"/>
        </w:rPr>
        <w:t xml:space="preserve">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turnados a la </w:t>
      </w:r>
      <w:r w:rsidRPr="00AA51A6">
        <w:rPr>
          <w:rFonts w:ascii="Palatino Linotype" w:eastAsia="Palatino Linotype" w:hAnsi="Palatino Linotype" w:cs="Palatino Linotype"/>
          <w:b/>
          <w:sz w:val="22"/>
          <w:szCs w:val="22"/>
        </w:rPr>
        <w:t xml:space="preserve">Comisionada Guadalupe Ramírez Peña. </w:t>
      </w:r>
    </w:p>
    <w:p w14:paraId="2281C1C5" w14:textId="77777777" w:rsidR="00E70697" w:rsidRPr="00AA51A6" w:rsidRDefault="00E70697">
      <w:pPr>
        <w:spacing w:line="360" w:lineRule="auto"/>
        <w:jc w:val="both"/>
        <w:rPr>
          <w:rFonts w:ascii="Palatino Linotype" w:eastAsia="Palatino Linotype" w:hAnsi="Palatino Linotype" w:cs="Palatino Linotype"/>
          <w:b/>
          <w:sz w:val="22"/>
          <w:szCs w:val="22"/>
        </w:rPr>
      </w:pPr>
    </w:p>
    <w:p w14:paraId="66F36926" w14:textId="77777777" w:rsidR="00E70697" w:rsidRPr="00AA51A6" w:rsidRDefault="003C683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2" w:name="_heading=h.xxfxscl0hvst" w:colFirst="0" w:colLast="0"/>
      <w:bookmarkEnd w:id="2"/>
      <w:r w:rsidRPr="00AA51A6">
        <w:rPr>
          <w:rFonts w:ascii="Palatino Linotype" w:eastAsia="Palatino Linotype" w:hAnsi="Palatino Linotype" w:cs="Palatino Linotype"/>
          <w:b/>
          <w:sz w:val="22"/>
          <w:szCs w:val="22"/>
        </w:rPr>
        <w:t xml:space="preserve">8. Requerimiento de Información Adicional: </w:t>
      </w:r>
      <w:r w:rsidRPr="00AA51A6">
        <w:rPr>
          <w:rFonts w:ascii="Palatino Linotype" w:eastAsia="Palatino Linotype" w:hAnsi="Palatino Linotype" w:cs="Palatino Linotype"/>
          <w:sz w:val="22"/>
          <w:szCs w:val="22"/>
        </w:rPr>
        <w:t>El diecinueve de junio de dos mil veinticinco se requirió al Sujeto Obligado vía correo electrónico que precisara la siguiente información:</w:t>
      </w:r>
    </w:p>
    <w:p w14:paraId="2315B4B1" w14:textId="77777777" w:rsidR="00E70697" w:rsidRPr="00AA51A6" w:rsidRDefault="00E706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2C1B4A2" w14:textId="77777777" w:rsidR="00E70697" w:rsidRPr="00AA51A6" w:rsidRDefault="003C6837">
      <w:pPr>
        <w:pBdr>
          <w:top w:val="nil"/>
          <w:left w:val="nil"/>
          <w:bottom w:val="nil"/>
          <w:right w:val="nil"/>
          <w:between w:val="nil"/>
        </w:pBdr>
        <w:spacing w:line="360" w:lineRule="auto"/>
        <w:ind w:left="567"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lastRenderedPageBreak/>
        <w:t>1. Especifique los conceptos de gasto corresponden a gasto corriente;</w:t>
      </w:r>
    </w:p>
    <w:p w14:paraId="2C3B6586" w14:textId="77777777" w:rsidR="00E70697" w:rsidRPr="00AA51A6" w:rsidRDefault="003C6837">
      <w:pPr>
        <w:pBdr>
          <w:top w:val="nil"/>
          <w:left w:val="nil"/>
          <w:bottom w:val="nil"/>
          <w:right w:val="nil"/>
          <w:between w:val="nil"/>
        </w:pBdr>
        <w:spacing w:line="360" w:lineRule="auto"/>
        <w:ind w:left="567"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 xml:space="preserve">2. Indique a qué cuenta se destinaron los ingresos generados por la recaudación por el suministro de agua de los ejercicios fiscales 2022, 2023 y 2024; </w:t>
      </w:r>
    </w:p>
    <w:p w14:paraId="7DB281C5" w14:textId="77777777" w:rsidR="00E70697" w:rsidRPr="00AA51A6" w:rsidRDefault="003C6837">
      <w:pPr>
        <w:pBdr>
          <w:top w:val="nil"/>
          <w:left w:val="nil"/>
          <w:bottom w:val="nil"/>
          <w:right w:val="nil"/>
          <w:between w:val="nil"/>
        </w:pBdr>
        <w:spacing w:line="360" w:lineRule="auto"/>
        <w:ind w:left="567"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 xml:space="preserve">3. Precise si la cuenta mencionada en el inciso anterior se utiliza exclusivamente para este concepto o si es compartida con otras recaudaciones o ingresos. </w:t>
      </w:r>
    </w:p>
    <w:p w14:paraId="44295655" w14:textId="77777777" w:rsidR="00E70697" w:rsidRPr="00AA51A6" w:rsidRDefault="003C6837">
      <w:pPr>
        <w:pBdr>
          <w:top w:val="nil"/>
          <w:left w:val="nil"/>
          <w:bottom w:val="nil"/>
          <w:right w:val="nil"/>
          <w:between w:val="nil"/>
        </w:pBdr>
        <w:spacing w:line="360" w:lineRule="auto"/>
        <w:ind w:left="567"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 xml:space="preserve">4. Proporcione el soporte documental del ejercicio de los recursos públicos provenientes de la recaudación de ingresos por suministro de agua, durante el ejercicio fiscal 2022 por la cantidad de $116,589,224.47, monto señalado en respuesta a la solicitud 00003/OASIXTAPAL/IP/2025; </w:t>
      </w:r>
    </w:p>
    <w:p w14:paraId="00E1C6C9" w14:textId="77777777" w:rsidR="00E70697" w:rsidRPr="00AA51A6" w:rsidRDefault="003C6837">
      <w:pPr>
        <w:pBdr>
          <w:top w:val="nil"/>
          <w:left w:val="nil"/>
          <w:bottom w:val="nil"/>
          <w:right w:val="nil"/>
          <w:between w:val="nil"/>
        </w:pBdr>
        <w:spacing w:line="360" w:lineRule="auto"/>
        <w:ind w:left="567"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 xml:space="preserve">5. Proporcione el soporte documental del ejercicio de los recursos públicos provenientes de la recaudación de ingresos por suministro de agua, durante el ejercicio fiscal 2023 por la cantidad de $104,844,366.39, monto señalado en respuesta a la solicitud 00004/OASIXTAPAL/IP/2025; </w:t>
      </w:r>
    </w:p>
    <w:p w14:paraId="7093C091" w14:textId="77777777" w:rsidR="00E70697" w:rsidRPr="00AA51A6" w:rsidRDefault="003C6837">
      <w:pPr>
        <w:pBdr>
          <w:top w:val="nil"/>
          <w:left w:val="nil"/>
          <w:bottom w:val="nil"/>
          <w:right w:val="nil"/>
          <w:between w:val="nil"/>
        </w:pBdr>
        <w:spacing w:line="360" w:lineRule="auto"/>
        <w:ind w:left="567"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 xml:space="preserve">6. Proporcione el soporte documental del ejercicio de los recursos públicos provenientes de la recaudación de ingresos por suministro de agua, durante el ejercicio fiscal 2023 por la cantidad de $123,738,458.26, monto señalado en respuesta a la solicitud 00005/OASIXTAPAL/IP/2025; </w:t>
      </w:r>
    </w:p>
    <w:p w14:paraId="6F4F79AE" w14:textId="77777777" w:rsidR="00E70697" w:rsidRPr="00AA51A6" w:rsidRDefault="003C6837">
      <w:pPr>
        <w:pBdr>
          <w:top w:val="nil"/>
          <w:left w:val="nil"/>
          <w:bottom w:val="nil"/>
          <w:right w:val="nil"/>
          <w:between w:val="nil"/>
        </w:pBdr>
        <w:spacing w:line="360" w:lineRule="auto"/>
        <w:ind w:left="567" w:right="843"/>
        <w:jc w:val="both"/>
        <w:rPr>
          <w:rFonts w:ascii="Palatino Linotype" w:eastAsia="Palatino Linotype" w:hAnsi="Palatino Linotype" w:cs="Palatino Linotype"/>
          <w:b/>
          <w:i/>
          <w:sz w:val="22"/>
          <w:szCs w:val="22"/>
        </w:rPr>
      </w:pPr>
      <w:r w:rsidRPr="00AA51A6">
        <w:rPr>
          <w:rFonts w:ascii="Palatino Linotype" w:eastAsia="Palatino Linotype" w:hAnsi="Palatino Linotype" w:cs="Palatino Linotype"/>
          <w:i/>
          <w:sz w:val="22"/>
          <w:szCs w:val="22"/>
        </w:rPr>
        <w:t>7. De ser el caso que no se cuente con la información respecto a los documentos comprobatorios del ejercicio de los recursos públicos provenientes de la recaudación de ingresos por suministro de agua potable de los ejercicios fiscales 2022, 2023 y 2024, deberá fundar y motivar su respuesta</w:t>
      </w:r>
    </w:p>
    <w:p w14:paraId="56FBE918" w14:textId="77777777" w:rsidR="00E70697" w:rsidRPr="00AA51A6" w:rsidRDefault="00E70697">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192A1251" w14:textId="77777777" w:rsidR="00E70697" w:rsidRPr="00AA51A6" w:rsidRDefault="003C6837">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lastRenderedPageBreak/>
        <w:t xml:space="preserve">10. </w:t>
      </w:r>
      <w:r w:rsidRPr="00AA51A6">
        <w:rPr>
          <w:rFonts w:ascii="Palatino Linotype" w:eastAsia="Palatino Linotype" w:hAnsi="Palatino Linotype" w:cs="Palatino Linotype"/>
          <w:sz w:val="22"/>
          <w:szCs w:val="22"/>
        </w:rPr>
        <w:t>El Sujeto Obligado dio respuesta al requerimiento de información adicional señalando lo siguiente:</w:t>
      </w:r>
      <w:r w:rsidRPr="00AA51A6">
        <w:rPr>
          <w:rFonts w:ascii="Palatino Linotype" w:eastAsia="Palatino Linotype" w:hAnsi="Palatino Linotype" w:cs="Palatino Linotype"/>
          <w:b/>
          <w:sz w:val="22"/>
          <w:szCs w:val="22"/>
        </w:rPr>
        <w:t xml:space="preserve"> </w:t>
      </w:r>
    </w:p>
    <w:p w14:paraId="7E0D63AC" w14:textId="77777777" w:rsidR="00E70697" w:rsidRPr="00AA51A6" w:rsidRDefault="00E70697">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2B5AACE" w14:textId="77777777" w:rsidR="00E70697" w:rsidRPr="00AA51A6" w:rsidRDefault="003C6837">
      <w:pPr>
        <w:numPr>
          <w:ilvl w:val="0"/>
          <w:numId w:val="1"/>
        </w:numPr>
        <w:pBdr>
          <w:top w:val="nil"/>
          <w:left w:val="nil"/>
          <w:bottom w:val="nil"/>
          <w:right w:val="nil"/>
          <w:between w:val="nil"/>
        </w:pBdr>
        <w:spacing w:line="360" w:lineRule="auto"/>
        <w:ind w:left="567"/>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Gasto corriente corresponde a erogaciones realizadas por las dependencias, entidades públicas y municipios con cargo a los capítulos 1000, 2000, 3000 y 4000;</w:t>
      </w:r>
    </w:p>
    <w:p w14:paraId="6E667B46" w14:textId="77777777" w:rsidR="00E70697" w:rsidRPr="00AA51A6" w:rsidRDefault="003C6837">
      <w:pPr>
        <w:numPr>
          <w:ilvl w:val="0"/>
          <w:numId w:val="1"/>
        </w:numPr>
        <w:pBdr>
          <w:top w:val="nil"/>
          <w:left w:val="nil"/>
          <w:bottom w:val="nil"/>
          <w:right w:val="nil"/>
          <w:between w:val="nil"/>
        </w:pBdr>
        <w:spacing w:line="360" w:lineRule="auto"/>
        <w:ind w:left="567"/>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Los ingresos generados por la recaudación por el suministro de agua fueron destinados al registro contable de las cuentas bancarias debidamente registradas: Cuenta de Recursos Propios.</w:t>
      </w:r>
    </w:p>
    <w:p w14:paraId="6C940F7C" w14:textId="77777777" w:rsidR="00E70697" w:rsidRPr="00AA51A6" w:rsidRDefault="003C6837">
      <w:pPr>
        <w:numPr>
          <w:ilvl w:val="0"/>
          <w:numId w:val="1"/>
        </w:numPr>
        <w:pBdr>
          <w:top w:val="nil"/>
          <w:left w:val="nil"/>
          <w:bottom w:val="nil"/>
          <w:right w:val="nil"/>
          <w:between w:val="nil"/>
        </w:pBdr>
        <w:spacing w:line="360" w:lineRule="auto"/>
        <w:ind w:left="567"/>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La cuenta bancaria de recursos propios almacena los ingresos del Organismo de Agua Potable Alcantarillado y Saneamiento del Municipio de Ixtapaluca denominado por sus siglas, O.D.A.P.A.S</w:t>
      </w:r>
    </w:p>
    <w:p w14:paraId="0722E6FC" w14:textId="77777777" w:rsidR="00E70697" w:rsidRPr="00AA51A6" w:rsidRDefault="003C6837">
      <w:pPr>
        <w:numPr>
          <w:ilvl w:val="0"/>
          <w:numId w:val="1"/>
        </w:numPr>
        <w:pBdr>
          <w:top w:val="nil"/>
          <w:left w:val="nil"/>
          <w:bottom w:val="nil"/>
          <w:right w:val="nil"/>
          <w:between w:val="nil"/>
        </w:pBdr>
        <w:spacing w:line="360" w:lineRule="auto"/>
        <w:ind w:left="567"/>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Respecto al soporte documental del ejercicio de los recursos públicos provenientes de la recaudación de ingresos por suministro de agua, durante los ejercicios fiscales 2022, 2023 y 2024, entregó direcciones electrónicas que contienen la siguiente información:</w:t>
      </w:r>
    </w:p>
    <w:p w14:paraId="61040A6A" w14:textId="77777777" w:rsidR="00E70697" w:rsidRPr="00AA51A6" w:rsidRDefault="003C6837">
      <w:pPr>
        <w:numPr>
          <w:ilvl w:val="0"/>
          <w:numId w:val="5"/>
        </w:numPr>
        <w:pBdr>
          <w:top w:val="nil"/>
          <w:left w:val="nil"/>
          <w:bottom w:val="nil"/>
          <w:right w:val="nil"/>
          <w:between w:val="nil"/>
        </w:pBdr>
        <w:spacing w:line="360" w:lineRule="auto"/>
        <w:ind w:left="1134"/>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 xml:space="preserve">Estado Analítico del Ejercicio del Presupuesto de Egresos Detallado del uno de enero al treinta de septiembre de 2022. </w:t>
      </w:r>
    </w:p>
    <w:p w14:paraId="73107F8A" w14:textId="77777777" w:rsidR="00E70697" w:rsidRPr="00AA51A6" w:rsidRDefault="003C6837">
      <w:pPr>
        <w:numPr>
          <w:ilvl w:val="0"/>
          <w:numId w:val="5"/>
        </w:numPr>
        <w:pBdr>
          <w:top w:val="nil"/>
          <w:left w:val="nil"/>
          <w:bottom w:val="nil"/>
          <w:right w:val="nil"/>
          <w:between w:val="nil"/>
        </w:pBdr>
        <w:spacing w:line="360" w:lineRule="auto"/>
        <w:ind w:left="1134"/>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 xml:space="preserve">Estado Analítico del Ejercicio del Presupuesto de Egresos Detallado del uno de enero al treinta de septiembre de 2023. </w:t>
      </w:r>
    </w:p>
    <w:p w14:paraId="5AF9B4B6" w14:textId="77777777" w:rsidR="00E70697" w:rsidRPr="00AA51A6" w:rsidRDefault="003C6837">
      <w:pPr>
        <w:numPr>
          <w:ilvl w:val="0"/>
          <w:numId w:val="5"/>
        </w:numPr>
        <w:pBdr>
          <w:top w:val="nil"/>
          <w:left w:val="nil"/>
          <w:bottom w:val="nil"/>
          <w:right w:val="nil"/>
          <w:between w:val="nil"/>
        </w:pBdr>
        <w:spacing w:line="360" w:lineRule="auto"/>
        <w:ind w:left="1134"/>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 xml:space="preserve">Estado Analítico del Ejercicio del Presupuesto de Egresos Detallado del uno de enero al treinta de septiembre de 2024. </w:t>
      </w:r>
    </w:p>
    <w:p w14:paraId="38969364" w14:textId="77777777" w:rsidR="00E70697" w:rsidRPr="00AA51A6" w:rsidRDefault="00E70697">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3A1450A" w14:textId="77777777" w:rsidR="00E70697" w:rsidRPr="00AA51A6" w:rsidRDefault="003C6837">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lastRenderedPageBreak/>
        <w:t>11. Ampliación de plazo. El tres de julio de dos mil veinticinco</w:t>
      </w:r>
      <w:r w:rsidRPr="00AA51A6">
        <w:rPr>
          <w:rFonts w:ascii="Palatino Linotype" w:eastAsia="Palatino Linotype" w:hAnsi="Palatino Linotype" w:cs="Palatino Linotype"/>
          <w:sz w:val="22"/>
          <w:szCs w:val="22"/>
        </w:rPr>
        <w:t>, se notificó el acuerdo mediante el cual se amplió el plazo para emitir resolución por un periodo de quince días hábiles.</w:t>
      </w:r>
    </w:p>
    <w:p w14:paraId="5CE23EB6" w14:textId="77777777" w:rsidR="00E70697" w:rsidRPr="00AA51A6" w:rsidRDefault="003C6837">
      <w:pPr>
        <w:spacing w:line="360" w:lineRule="auto"/>
        <w:ind w:right="49"/>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E8CC127" w14:textId="77777777" w:rsidR="00E70697" w:rsidRPr="00AA51A6" w:rsidRDefault="003C6837">
      <w:pPr>
        <w:spacing w:line="360" w:lineRule="auto"/>
        <w:ind w:right="49"/>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 </w:t>
      </w:r>
    </w:p>
    <w:p w14:paraId="28DAEABB" w14:textId="77777777" w:rsidR="00E70697" w:rsidRPr="00AA51A6" w:rsidRDefault="003C6837">
      <w:pPr>
        <w:spacing w:line="360" w:lineRule="auto"/>
        <w:ind w:right="49"/>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16BE19F" w14:textId="77777777" w:rsidR="00E70697" w:rsidRPr="00AA51A6" w:rsidRDefault="003C6837">
      <w:pPr>
        <w:spacing w:line="360" w:lineRule="auto"/>
        <w:ind w:right="49"/>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 </w:t>
      </w:r>
    </w:p>
    <w:p w14:paraId="52BB7ADC" w14:textId="77777777" w:rsidR="00E70697" w:rsidRPr="00AA51A6" w:rsidRDefault="003C6837">
      <w:pPr>
        <w:spacing w:line="360" w:lineRule="auto"/>
        <w:ind w:right="49"/>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D652B8D" w14:textId="77777777" w:rsidR="00E70697" w:rsidRPr="00AA51A6" w:rsidRDefault="00E70697">
      <w:pPr>
        <w:spacing w:line="360" w:lineRule="auto"/>
        <w:ind w:right="49"/>
        <w:jc w:val="both"/>
        <w:rPr>
          <w:rFonts w:ascii="Palatino Linotype" w:eastAsia="Palatino Linotype" w:hAnsi="Palatino Linotype" w:cs="Palatino Linotype"/>
          <w:sz w:val="22"/>
          <w:szCs w:val="22"/>
        </w:rPr>
      </w:pPr>
    </w:p>
    <w:p w14:paraId="2D44B410" w14:textId="77777777" w:rsidR="00E70697" w:rsidRPr="00AA51A6" w:rsidRDefault="003C6837">
      <w:pPr>
        <w:spacing w:line="360" w:lineRule="auto"/>
        <w:ind w:right="49"/>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FBC9CC2" w14:textId="77777777" w:rsidR="00E70697" w:rsidRPr="00AA51A6" w:rsidRDefault="00E70697">
      <w:pPr>
        <w:spacing w:line="360" w:lineRule="auto"/>
        <w:ind w:right="49"/>
        <w:jc w:val="both"/>
        <w:rPr>
          <w:rFonts w:ascii="Palatino Linotype" w:eastAsia="Palatino Linotype" w:hAnsi="Palatino Linotype" w:cs="Palatino Linotype"/>
          <w:sz w:val="22"/>
          <w:szCs w:val="22"/>
        </w:rPr>
      </w:pPr>
    </w:p>
    <w:p w14:paraId="41D69B3D" w14:textId="77777777" w:rsidR="00E70697" w:rsidRPr="00AA51A6" w:rsidRDefault="003C6837">
      <w:pPr>
        <w:spacing w:line="360" w:lineRule="auto"/>
        <w:ind w:right="49"/>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10E480D" w14:textId="77777777" w:rsidR="00E70697" w:rsidRPr="00AA51A6" w:rsidRDefault="00E70697">
      <w:pPr>
        <w:spacing w:line="360" w:lineRule="auto"/>
        <w:ind w:right="49"/>
        <w:jc w:val="both"/>
        <w:rPr>
          <w:rFonts w:ascii="Palatino Linotype" w:eastAsia="Palatino Linotype" w:hAnsi="Palatino Linotype" w:cs="Palatino Linotype"/>
          <w:sz w:val="22"/>
          <w:szCs w:val="22"/>
        </w:rPr>
      </w:pPr>
    </w:p>
    <w:p w14:paraId="7BEF1334" w14:textId="77777777" w:rsidR="00E70697" w:rsidRPr="00AA51A6" w:rsidRDefault="003C6837">
      <w:pPr>
        <w:tabs>
          <w:tab w:val="left" w:pos="709"/>
        </w:tabs>
        <w:spacing w:line="360" w:lineRule="auto"/>
        <w:ind w:left="567" w:right="56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t>a)    Complejidad del asunto:</w:t>
      </w:r>
      <w:r w:rsidRPr="00AA51A6">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1DC0B518" w14:textId="77777777" w:rsidR="00E70697" w:rsidRPr="00AA51A6" w:rsidRDefault="003C6837">
      <w:pPr>
        <w:tabs>
          <w:tab w:val="left" w:pos="709"/>
        </w:tabs>
        <w:spacing w:line="360" w:lineRule="auto"/>
        <w:ind w:left="567" w:right="56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t>b)   Actividad Procesal del interesado</w:t>
      </w:r>
      <w:r w:rsidRPr="00AA51A6">
        <w:rPr>
          <w:rFonts w:ascii="Palatino Linotype" w:eastAsia="Palatino Linotype" w:hAnsi="Palatino Linotype" w:cs="Palatino Linotype"/>
          <w:sz w:val="22"/>
          <w:szCs w:val="22"/>
        </w:rPr>
        <w:t>: Acciones u omisiones del interesado.</w:t>
      </w:r>
    </w:p>
    <w:p w14:paraId="04F00F4C" w14:textId="77777777" w:rsidR="00E70697" w:rsidRPr="00AA51A6" w:rsidRDefault="003C6837">
      <w:pPr>
        <w:tabs>
          <w:tab w:val="left" w:pos="851"/>
        </w:tabs>
        <w:spacing w:line="360" w:lineRule="auto"/>
        <w:ind w:left="567" w:right="56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t>c)  Conducta de la Autoridad:</w:t>
      </w:r>
      <w:r w:rsidRPr="00AA51A6">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08878538" w14:textId="77777777" w:rsidR="00E70697" w:rsidRPr="00AA51A6" w:rsidRDefault="003C6837">
      <w:pPr>
        <w:tabs>
          <w:tab w:val="left" w:pos="851"/>
        </w:tabs>
        <w:spacing w:line="360" w:lineRule="auto"/>
        <w:ind w:left="567" w:right="56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t>d) La afectación generada en la situación jurídica de la persona involucrada en el proceso:</w:t>
      </w:r>
      <w:r w:rsidRPr="00AA51A6">
        <w:rPr>
          <w:rFonts w:ascii="Palatino Linotype" w:eastAsia="Palatino Linotype" w:hAnsi="Palatino Linotype" w:cs="Palatino Linotype"/>
          <w:sz w:val="22"/>
          <w:szCs w:val="22"/>
        </w:rPr>
        <w:t xml:space="preserve"> Violación a sus derechos humanos.</w:t>
      </w:r>
    </w:p>
    <w:p w14:paraId="520E6812" w14:textId="77777777" w:rsidR="00E70697" w:rsidRPr="00AA51A6" w:rsidRDefault="00E70697">
      <w:pPr>
        <w:spacing w:line="360" w:lineRule="auto"/>
        <w:ind w:right="49"/>
        <w:jc w:val="both"/>
        <w:rPr>
          <w:rFonts w:ascii="Palatino Linotype" w:eastAsia="Palatino Linotype" w:hAnsi="Palatino Linotype" w:cs="Palatino Linotype"/>
          <w:sz w:val="22"/>
          <w:szCs w:val="22"/>
        </w:rPr>
      </w:pPr>
    </w:p>
    <w:p w14:paraId="0DBB5342" w14:textId="77777777" w:rsidR="00E70697" w:rsidRPr="00AA51A6" w:rsidRDefault="003C6837">
      <w:pPr>
        <w:spacing w:line="360" w:lineRule="auto"/>
        <w:ind w:right="49"/>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75C0D9" w14:textId="77777777" w:rsidR="00E70697" w:rsidRPr="00AA51A6" w:rsidRDefault="003C6837">
      <w:pPr>
        <w:spacing w:line="360" w:lineRule="auto"/>
        <w:ind w:right="49"/>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 </w:t>
      </w:r>
    </w:p>
    <w:p w14:paraId="4E7435AC" w14:textId="77777777" w:rsidR="00E70697" w:rsidRPr="00AA51A6" w:rsidRDefault="003C6837">
      <w:pPr>
        <w:spacing w:line="360" w:lineRule="auto"/>
        <w:ind w:right="49"/>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AA51A6">
        <w:rPr>
          <w:rFonts w:ascii="Palatino Linotype" w:eastAsia="Palatino Linotype" w:hAnsi="Palatino Linotype" w:cs="Palatino Linotype"/>
          <w:b/>
          <w:sz w:val="22"/>
          <w:szCs w:val="22"/>
        </w:rPr>
        <w:t xml:space="preserve">TÉRMINOS PROCESALES. PARA DETERMINAR SI UN FUNCIONARIO JUDICIAL ACTUÓ INDEBIDAMENTE POR NO </w:t>
      </w:r>
      <w:r w:rsidRPr="00AA51A6">
        <w:rPr>
          <w:rFonts w:ascii="Palatino Linotype" w:eastAsia="Palatino Linotype" w:hAnsi="Palatino Linotype" w:cs="Palatino Linotype"/>
          <w:b/>
          <w:sz w:val="22"/>
          <w:szCs w:val="22"/>
        </w:rPr>
        <w:lastRenderedPageBreak/>
        <w:t>RESPETARLOS SE DEBE ATENDER AL PRESUPUESTO QUE CONSIDERÓ EL LEGISLADOR AL FIJARLOS Y LAS CARACTERÍSTICAS DEL CASO.”</w:t>
      </w:r>
      <w:r w:rsidRPr="00AA51A6">
        <w:rPr>
          <w:rFonts w:ascii="Palatino Linotype" w:eastAsia="Palatino Linotype" w:hAnsi="Palatino Linotype" w:cs="Palatino Linotype"/>
          <w:sz w:val="22"/>
          <w:szCs w:val="22"/>
        </w:rPr>
        <w:t>, visible en la Gaceta del Seminario Judicial de la Federación con el registro digital 205635.</w:t>
      </w:r>
    </w:p>
    <w:p w14:paraId="5B3BF674" w14:textId="77777777" w:rsidR="00E70697" w:rsidRPr="00AA51A6" w:rsidRDefault="003C6837">
      <w:pPr>
        <w:spacing w:line="360" w:lineRule="auto"/>
        <w:ind w:right="49"/>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 </w:t>
      </w:r>
    </w:p>
    <w:p w14:paraId="266A9A5B" w14:textId="77777777" w:rsidR="00E70697" w:rsidRPr="00AA51A6" w:rsidRDefault="003C6837">
      <w:pPr>
        <w:spacing w:line="360" w:lineRule="auto"/>
        <w:ind w:right="49"/>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2B06335" w14:textId="77777777" w:rsidR="00E70697" w:rsidRPr="00AA51A6" w:rsidRDefault="00E70697">
      <w:pPr>
        <w:spacing w:line="360" w:lineRule="auto"/>
        <w:ind w:right="49"/>
        <w:jc w:val="both"/>
        <w:rPr>
          <w:rFonts w:ascii="Palatino Linotype" w:eastAsia="Palatino Linotype" w:hAnsi="Palatino Linotype" w:cs="Palatino Linotype"/>
          <w:sz w:val="22"/>
          <w:szCs w:val="22"/>
        </w:rPr>
      </w:pPr>
    </w:p>
    <w:p w14:paraId="23DAD367" w14:textId="77777777" w:rsidR="00E70697" w:rsidRPr="00AA51A6" w:rsidRDefault="003C6837">
      <w:pPr>
        <w:spacing w:line="360" w:lineRule="auto"/>
        <w:ind w:right="49"/>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1CECE685" w14:textId="77777777" w:rsidR="00E70697" w:rsidRPr="00AA51A6" w:rsidRDefault="00E70697">
      <w:pPr>
        <w:spacing w:line="360" w:lineRule="auto"/>
        <w:ind w:right="49"/>
        <w:jc w:val="both"/>
        <w:rPr>
          <w:rFonts w:ascii="Palatino Linotype" w:eastAsia="Palatino Linotype" w:hAnsi="Palatino Linotype" w:cs="Palatino Linotype"/>
          <w:sz w:val="22"/>
          <w:szCs w:val="22"/>
        </w:rPr>
      </w:pPr>
    </w:p>
    <w:p w14:paraId="47543676" w14:textId="77777777" w:rsidR="00E70697" w:rsidRPr="00AA51A6" w:rsidRDefault="003C6837">
      <w:pPr>
        <w:spacing w:line="360" w:lineRule="auto"/>
        <w:ind w:left="567" w:right="56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t xml:space="preserve"> “PLAZO RAZONABLE PARA RESOLVER. DIMENSIÓN Y EFECTOS DE ESTE CONCEPTO CUANDO SE ADUCE EXCESIVA CARGA DE TRABAJO.”</w:t>
      </w:r>
      <w:r w:rsidRPr="00AA51A6">
        <w:rPr>
          <w:rFonts w:ascii="Palatino Linotype" w:eastAsia="Palatino Linotype" w:hAnsi="Palatino Linotype" w:cs="Palatino Linotype"/>
          <w:sz w:val="22"/>
          <w:szCs w:val="22"/>
        </w:rPr>
        <w:t xml:space="preserve"> consultable en el Seminario Judicial de la Federación y su gaceta, con el registro digital 2002351.</w:t>
      </w:r>
    </w:p>
    <w:p w14:paraId="04BA24E9" w14:textId="77777777" w:rsidR="00E70697" w:rsidRPr="00AA51A6" w:rsidRDefault="003C6837">
      <w:pPr>
        <w:spacing w:line="360" w:lineRule="auto"/>
        <w:ind w:left="567" w:right="56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lastRenderedPageBreak/>
        <w:t>“PLAZO RAZONABLE PARA RESOLVER. CONCEPTO Y ELEMENTOS QUE LO INTEGRAN A LA LUZ DEL DERECHO INTERNACIONAL DE LOS DERECHOS HUMANOS.”,</w:t>
      </w:r>
      <w:r w:rsidRPr="00AA51A6">
        <w:rPr>
          <w:rFonts w:ascii="Palatino Linotype" w:eastAsia="Palatino Linotype" w:hAnsi="Palatino Linotype" w:cs="Palatino Linotype"/>
          <w:sz w:val="22"/>
          <w:szCs w:val="22"/>
        </w:rPr>
        <w:t xml:space="preserve"> visible en el Seminario Judicial de la Federación y su gaceta, con el registro digital 2002350.</w:t>
      </w:r>
    </w:p>
    <w:p w14:paraId="7426C287" w14:textId="77777777" w:rsidR="00E70697" w:rsidRPr="00AA51A6" w:rsidRDefault="00E7069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E01A49D" w14:textId="77777777" w:rsidR="00E70697" w:rsidRPr="00AA51A6" w:rsidRDefault="003C683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Por ello, este organismo garante comprometido con la tutela de los derechos humanos confiados señala que este exceso del plazo legal para resolver el presente asunto resulta de carácter excepcional. </w:t>
      </w:r>
    </w:p>
    <w:p w14:paraId="7014E057" w14:textId="77777777" w:rsidR="00E70697" w:rsidRPr="00AA51A6" w:rsidRDefault="00E70697">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BEF6A7B" w14:textId="77777777" w:rsidR="00E70697" w:rsidRPr="00AA51A6" w:rsidRDefault="003C683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3" w:name="_heading=h.6k7eqol20o6n" w:colFirst="0" w:colLast="0"/>
      <w:bookmarkEnd w:id="3"/>
      <w:r w:rsidRPr="00AA51A6">
        <w:rPr>
          <w:rFonts w:ascii="Palatino Linotype" w:eastAsia="Palatino Linotype" w:hAnsi="Palatino Linotype" w:cs="Palatino Linotype"/>
          <w:b/>
          <w:sz w:val="22"/>
          <w:szCs w:val="22"/>
        </w:rPr>
        <w:t>12. Cierre de instrucción</w:t>
      </w:r>
      <w:r w:rsidRPr="00AA51A6">
        <w:rPr>
          <w:rFonts w:ascii="Palatino Linotype" w:eastAsia="Palatino Linotype" w:hAnsi="Palatino Linotype" w:cs="Palatino Linotype"/>
          <w:sz w:val="22"/>
          <w:szCs w:val="22"/>
        </w:rPr>
        <w:t xml:space="preserve">. En fecha </w:t>
      </w:r>
      <w:r w:rsidRPr="00AA51A6">
        <w:rPr>
          <w:rFonts w:ascii="Palatino Linotype" w:eastAsia="Palatino Linotype" w:hAnsi="Palatino Linotype" w:cs="Palatino Linotype"/>
          <w:b/>
          <w:sz w:val="22"/>
          <w:szCs w:val="22"/>
        </w:rPr>
        <w:t>tres julio de dos mil veinticinco</w:t>
      </w:r>
      <w:r w:rsidRPr="00AA51A6">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 </w:t>
      </w:r>
    </w:p>
    <w:p w14:paraId="5AD4DAB5" w14:textId="77777777" w:rsidR="00E70697" w:rsidRPr="00AA51A6" w:rsidRDefault="00E706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2D72C7E" w14:textId="77777777" w:rsidR="00E70697" w:rsidRPr="00AA51A6" w:rsidRDefault="003C6837">
      <w:pPr>
        <w:spacing w:line="360" w:lineRule="auto"/>
        <w:ind w:right="49"/>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03D2B658" w14:textId="77777777" w:rsidR="00E70697" w:rsidRPr="00AA51A6" w:rsidRDefault="00E70697">
      <w:pPr>
        <w:spacing w:line="360" w:lineRule="auto"/>
        <w:ind w:right="49"/>
        <w:jc w:val="both"/>
        <w:rPr>
          <w:rFonts w:ascii="Palatino Linotype" w:eastAsia="Palatino Linotype" w:hAnsi="Palatino Linotype" w:cs="Palatino Linotype"/>
          <w:sz w:val="22"/>
          <w:szCs w:val="22"/>
        </w:rPr>
      </w:pPr>
    </w:p>
    <w:p w14:paraId="45A9F5E8" w14:textId="77777777" w:rsidR="00E70697" w:rsidRPr="00AA51A6" w:rsidRDefault="003C6837">
      <w:pPr>
        <w:spacing w:line="360" w:lineRule="auto"/>
        <w:ind w:right="49"/>
        <w:jc w:val="center"/>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II.</w:t>
      </w:r>
      <w:r w:rsidRPr="00AA51A6">
        <w:rPr>
          <w:rFonts w:ascii="Palatino Linotype" w:eastAsia="Palatino Linotype" w:hAnsi="Palatino Linotype" w:cs="Palatino Linotype"/>
          <w:b/>
          <w:sz w:val="22"/>
          <w:szCs w:val="22"/>
        </w:rPr>
        <w:tab/>
        <w:t>C O N S I D E R A N D O:</w:t>
      </w:r>
    </w:p>
    <w:p w14:paraId="244B9801" w14:textId="77777777" w:rsidR="00E70697" w:rsidRPr="00AA51A6" w:rsidRDefault="00E70697">
      <w:pPr>
        <w:spacing w:line="360" w:lineRule="auto"/>
        <w:ind w:right="49"/>
        <w:jc w:val="both"/>
        <w:rPr>
          <w:rFonts w:ascii="Palatino Linotype" w:eastAsia="Palatino Linotype" w:hAnsi="Palatino Linotype" w:cs="Palatino Linotype"/>
          <w:sz w:val="22"/>
          <w:szCs w:val="22"/>
        </w:rPr>
      </w:pPr>
    </w:p>
    <w:p w14:paraId="03132639" w14:textId="77777777" w:rsidR="00E70697" w:rsidRPr="00AA51A6" w:rsidRDefault="003C6837">
      <w:pPr>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t>Primero. Competencia.</w:t>
      </w:r>
      <w:r w:rsidRPr="00AA51A6">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w:t>
      </w:r>
      <w:r w:rsidRPr="00AA51A6">
        <w:rPr>
          <w:rFonts w:ascii="Palatino Linotype" w:eastAsia="Palatino Linotype" w:hAnsi="Palatino Linotype" w:cs="Palatino Linotype"/>
          <w:sz w:val="22"/>
          <w:szCs w:val="22"/>
        </w:rPr>
        <w:lastRenderedPageBreak/>
        <w:t>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0AE139B" w14:textId="77777777" w:rsidR="00E70697" w:rsidRPr="00AA51A6" w:rsidRDefault="003C6837">
      <w:pPr>
        <w:spacing w:before="240" w:after="240"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t xml:space="preserve">Segundo. Oportunidad y Procedibilidad del Recurso de Revisión. </w:t>
      </w:r>
      <w:r w:rsidRPr="00AA51A6">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132CBF3" w14:textId="77777777" w:rsidR="00E70697" w:rsidRPr="00AA51A6" w:rsidRDefault="003C6837">
      <w:pPr>
        <w:spacing w:before="240" w:after="240"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14C6DAF5" w14:textId="77777777" w:rsidR="00E70697" w:rsidRPr="00AA51A6" w:rsidRDefault="003C6837">
      <w:pPr>
        <w:spacing w:line="360" w:lineRule="auto"/>
        <w:ind w:left="851" w:right="900"/>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b/>
          <w:i/>
          <w:sz w:val="22"/>
          <w:szCs w:val="22"/>
        </w:rPr>
        <w:t xml:space="preserve">“Artículo 178. </w:t>
      </w:r>
      <w:r w:rsidRPr="00AA51A6">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BCAACE4" w14:textId="77777777" w:rsidR="00E70697" w:rsidRPr="00AA51A6" w:rsidRDefault="003C6837">
      <w:pPr>
        <w:spacing w:before="240" w:after="240" w:line="360" w:lineRule="auto"/>
        <w:ind w:right="49"/>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w:t>
      </w:r>
      <w:r w:rsidRPr="00AA51A6">
        <w:rPr>
          <w:rFonts w:ascii="Palatino Linotype" w:eastAsia="Palatino Linotype" w:hAnsi="Palatino Linotype" w:cs="Palatino Linotype"/>
          <w:sz w:val="22"/>
          <w:szCs w:val="22"/>
        </w:rPr>
        <w:lastRenderedPageBreak/>
        <w:t xml:space="preserve">información entregada por los sujetos obligados, podrán interponer recurso de revisión de manera directa o por medios electrónicos dentro de los quince días hábiles siguientes a la fecha de notificación de la respuesta, y, toda vez que el </w:t>
      </w:r>
      <w:r w:rsidRPr="00AA51A6">
        <w:rPr>
          <w:rFonts w:ascii="Palatino Linotype" w:eastAsia="Palatino Linotype" w:hAnsi="Palatino Linotype" w:cs="Palatino Linotype"/>
          <w:b/>
          <w:sz w:val="22"/>
          <w:szCs w:val="22"/>
        </w:rPr>
        <w:t>SUJETO OBLIGADO</w:t>
      </w:r>
      <w:r w:rsidRPr="00AA51A6">
        <w:rPr>
          <w:rFonts w:ascii="Palatino Linotype" w:eastAsia="Palatino Linotype" w:hAnsi="Palatino Linotype" w:cs="Palatino Linotype"/>
          <w:sz w:val="22"/>
          <w:szCs w:val="22"/>
        </w:rPr>
        <w:t xml:space="preserve"> remitió la respuesta a las solicitudes de información los días </w:t>
      </w:r>
      <w:r w:rsidRPr="00AA51A6">
        <w:rPr>
          <w:rFonts w:ascii="Palatino Linotype" w:eastAsia="Palatino Linotype" w:hAnsi="Palatino Linotype" w:cs="Palatino Linotype"/>
          <w:b/>
          <w:sz w:val="22"/>
          <w:szCs w:val="22"/>
        </w:rPr>
        <w:t xml:space="preserve">veinte de marzo de dos mil veinticinco, </w:t>
      </w:r>
      <w:r w:rsidRPr="00AA51A6">
        <w:rPr>
          <w:rFonts w:ascii="Palatino Linotype" w:eastAsia="Palatino Linotype" w:hAnsi="Palatino Linotype" w:cs="Palatino Linotype"/>
          <w:sz w:val="22"/>
          <w:szCs w:val="22"/>
        </w:rPr>
        <w:t xml:space="preserve">mientras que el recurso de revisión interpuesto por la parte </w:t>
      </w:r>
      <w:r w:rsidRPr="00AA51A6">
        <w:rPr>
          <w:rFonts w:ascii="Palatino Linotype" w:eastAsia="Palatino Linotype" w:hAnsi="Palatino Linotype" w:cs="Palatino Linotype"/>
          <w:b/>
          <w:sz w:val="22"/>
          <w:szCs w:val="22"/>
        </w:rPr>
        <w:t>RECURRENTE</w:t>
      </w:r>
      <w:r w:rsidRPr="00AA51A6">
        <w:rPr>
          <w:rFonts w:ascii="Palatino Linotype" w:eastAsia="Palatino Linotype" w:hAnsi="Palatino Linotype" w:cs="Palatino Linotype"/>
          <w:sz w:val="22"/>
          <w:szCs w:val="22"/>
        </w:rPr>
        <w:t xml:space="preserve">, se tuvieron por presentados el </w:t>
      </w:r>
      <w:r w:rsidRPr="00AA51A6">
        <w:rPr>
          <w:rFonts w:ascii="Palatino Linotype" w:eastAsia="Palatino Linotype" w:hAnsi="Palatino Linotype" w:cs="Palatino Linotype"/>
          <w:b/>
          <w:sz w:val="22"/>
          <w:szCs w:val="22"/>
        </w:rPr>
        <w:t>veinticinco de marzo del año dos mil veinticinco</w:t>
      </w:r>
      <w:r w:rsidRPr="00AA51A6">
        <w:rPr>
          <w:rFonts w:ascii="Palatino Linotype" w:eastAsia="Palatino Linotype" w:hAnsi="Palatino Linotype" w:cs="Palatino Linotype"/>
          <w:sz w:val="22"/>
          <w:szCs w:val="22"/>
        </w:rPr>
        <w:t>; esto es, al tercer día hábil siguiente al que se tuvo conocimiento de la respuesta respectivamente.</w:t>
      </w:r>
    </w:p>
    <w:p w14:paraId="19577B8A" w14:textId="77777777" w:rsidR="00E70697" w:rsidRPr="00AA51A6" w:rsidRDefault="003C6837">
      <w:pPr>
        <w:spacing w:before="240" w:after="240"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IX de la ley de la materia, que a la letra dice:</w:t>
      </w:r>
    </w:p>
    <w:p w14:paraId="4C2B0AA7" w14:textId="77777777" w:rsidR="00E70697" w:rsidRPr="00AA51A6" w:rsidRDefault="003C6837">
      <w:pPr>
        <w:spacing w:line="360" w:lineRule="auto"/>
        <w:ind w:left="851" w:right="1041"/>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w:t>
      </w:r>
      <w:r w:rsidRPr="00AA51A6">
        <w:rPr>
          <w:rFonts w:ascii="Palatino Linotype" w:eastAsia="Palatino Linotype" w:hAnsi="Palatino Linotype" w:cs="Palatino Linotype"/>
          <w:b/>
          <w:i/>
          <w:sz w:val="22"/>
          <w:szCs w:val="22"/>
        </w:rPr>
        <w:t xml:space="preserve">Artículo 179. </w:t>
      </w:r>
      <w:r w:rsidRPr="00AA51A6">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A447CA0" w14:textId="77777777" w:rsidR="00E70697" w:rsidRPr="00AA51A6" w:rsidRDefault="003C6837">
      <w:pPr>
        <w:spacing w:line="360" w:lineRule="auto"/>
        <w:ind w:left="851" w:right="1041"/>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w:t>
      </w:r>
    </w:p>
    <w:p w14:paraId="206DE117" w14:textId="77777777" w:rsidR="00E70697" w:rsidRPr="00AA51A6" w:rsidRDefault="003C6837">
      <w:pPr>
        <w:spacing w:line="360" w:lineRule="auto"/>
        <w:ind w:left="851" w:right="1041"/>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IX. La entrega o puesta a disposición de información en un formato incomprensible y/o no accesible para el solicitante” (Sic</w:t>
      </w:r>
    </w:p>
    <w:p w14:paraId="3260F677" w14:textId="77777777" w:rsidR="00E70697" w:rsidRPr="00AA51A6" w:rsidRDefault="003C6837">
      <w:pPr>
        <w:spacing w:line="360" w:lineRule="auto"/>
        <w:ind w:left="851" w:right="1041"/>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w:t>
      </w:r>
    </w:p>
    <w:p w14:paraId="4CDBF52B" w14:textId="77777777" w:rsidR="00E70697" w:rsidRPr="00AA51A6" w:rsidRDefault="00E70697">
      <w:pPr>
        <w:spacing w:line="360" w:lineRule="auto"/>
        <w:ind w:left="851" w:right="1041"/>
        <w:jc w:val="both"/>
        <w:rPr>
          <w:rFonts w:ascii="Palatino Linotype" w:eastAsia="Palatino Linotype" w:hAnsi="Palatino Linotype" w:cs="Palatino Linotype"/>
          <w:i/>
          <w:sz w:val="22"/>
          <w:szCs w:val="22"/>
        </w:rPr>
      </w:pPr>
    </w:p>
    <w:p w14:paraId="2D594678" w14:textId="77777777" w:rsidR="00E70697" w:rsidRPr="00AA51A6" w:rsidRDefault="003C6837">
      <w:pPr>
        <w:spacing w:before="240" w:after="240" w:line="360" w:lineRule="auto"/>
        <w:jc w:val="both"/>
        <w:rPr>
          <w:sz w:val="22"/>
          <w:szCs w:val="22"/>
        </w:rPr>
      </w:pPr>
      <w:r w:rsidRPr="00AA51A6">
        <w:rPr>
          <w:rFonts w:ascii="Palatino Linotype" w:eastAsia="Palatino Linotype" w:hAnsi="Palatino Linotype" w:cs="Palatino Linotype"/>
          <w:b/>
          <w:sz w:val="22"/>
          <w:szCs w:val="22"/>
        </w:rPr>
        <w:t>Tercero. Análisis de las causales de improcedencia y sobreseimiento del recurso de revisión.</w:t>
      </w:r>
      <w:r w:rsidRPr="00AA51A6">
        <w:rPr>
          <w:sz w:val="22"/>
          <w:szCs w:val="22"/>
        </w:rPr>
        <w:t xml:space="preserve"> </w:t>
      </w:r>
      <w:r w:rsidRPr="00AA51A6">
        <w:rPr>
          <w:rFonts w:ascii="Palatino Linotype" w:eastAsia="Palatino Linotype" w:hAnsi="Palatino Linotype" w:cs="Palatino Linotype"/>
          <w:sz w:val="22"/>
          <w:szCs w:val="22"/>
        </w:rPr>
        <w:t xml:space="preserve">Es menester resaltar que en el procedimiento de acceso a la información pública y de los </w:t>
      </w:r>
      <w:r w:rsidRPr="00AA51A6">
        <w:rPr>
          <w:rFonts w:ascii="Palatino Linotype" w:eastAsia="Palatino Linotype" w:hAnsi="Palatino Linotype" w:cs="Palatino Linotype"/>
          <w:sz w:val="22"/>
          <w:szCs w:val="22"/>
        </w:rPr>
        <w:lastRenderedPageBreak/>
        <w:t>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4F126E2" w14:textId="77777777" w:rsidR="00E70697" w:rsidRPr="00AA51A6" w:rsidRDefault="003C6837">
      <w:pPr>
        <w:tabs>
          <w:tab w:val="left" w:pos="1350"/>
        </w:tabs>
        <w:spacing w:line="360" w:lineRule="auto"/>
        <w:jc w:val="both"/>
        <w:rPr>
          <w:rFonts w:ascii="Palatino Linotype" w:eastAsia="Palatino Linotype" w:hAnsi="Palatino Linotype" w:cs="Palatino Linotype"/>
          <w:sz w:val="22"/>
          <w:szCs w:val="22"/>
        </w:rPr>
      </w:pPr>
      <w:r w:rsidRPr="00AA51A6">
        <w:rPr>
          <w:sz w:val="22"/>
          <w:szCs w:val="22"/>
        </w:rPr>
        <w:tab/>
      </w:r>
    </w:p>
    <w:p w14:paraId="426D9C45" w14:textId="77777777" w:rsidR="00E70697" w:rsidRPr="00AA51A6" w:rsidRDefault="003C6837">
      <w:pPr>
        <w:spacing w:line="360" w:lineRule="auto"/>
        <w:jc w:val="both"/>
        <w:rPr>
          <w:sz w:val="22"/>
          <w:szCs w:val="22"/>
        </w:rPr>
      </w:pPr>
      <w:r w:rsidRPr="00AA51A6">
        <w:rPr>
          <w:rFonts w:ascii="Palatino Linotype" w:eastAsia="Palatino Linotype" w:hAnsi="Palatino Linotype" w:cs="Palatino Linotype"/>
          <w:sz w:val="22"/>
          <w:szCs w:val="22"/>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este no se coarta por regular causas de improcedencia y sobreseimiento con tales fines.</w:t>
      </w:r>
    </w:p>
    <w:p w14:paraId="0210D9B0" w14:textId="77777777" w:rsidR="00E70697" w:rsidRPr="00AA51A6" w:rsidRDefault="00E70697">
      <w:pPr>
        <w:spacing w:line="360" w:lineRule="auto"/>
        <w:rPr>
          <w:sz w:val="22"/>
          <w:szCs w:val="22"/>
        </w:rPr>
      </w:pPr>
    </w:p>
    <w:p w14:paraId="5B7BE783" w14:textId="77777777" w:rsidR="00E70697" w:rsidRPr="00AA51A6" w:rsidRDefault="003C6837">
      <w:pPr>
        <w:spacing w:line="360" w:lineRule="auto"/>
        <w:ind w:right="51"/>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De manera preliminar en el caso concreto conviene analizar si se actualiza alguna de las causales de sobreseimiento del recurso de revisión.</w:t>
      </w:r>
    </w:p>
    <w:p w14:paraId="3B6D7DBC" w14:textId="77777777" w:rsidR="00E70697" w:rsidRPr="00AA51A6" w:rsidRDefault="00E70697">
      <w:pPr>
        <w:tabs>
          <w:tab w:val="left" w:pos="8647"/>
        </w:tabs>
        <w:spacing w:line="360" w:lineRule="auto"/>
        <w:jc w:val="both"/>
        <w:rPr>
          <w:rFonts w:ascii="Palatino Linotype" w:eastAsia="Palatino Linotype" w:hAnsi="Palatino Linotype" w:cs="Palatino Linotype"/>
          <w:b/>
          <w:sz w:val="22"/>
          <w:szCs w:val="22"/>
        </w:rPr>
      </w:pPr>
    </w:p>
    <w:p w14:paraId="727D6A6A" w14:textId="77777777" w:rsidR="00E70697" w:rsidRPr="00AA51A6" w:rsidRDefault="003C6837">
      <w:pPr>
        <w:spacing w:after="240"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Pr="00AA51A6">
        <w:rPr>
          <w:rFonts w:ascii="Palatino Linotype" w:eastAsia="Palatino Linotype" w:hAnsi="Palatino Linotype" w:cs="Palatino Linotype"/>
          <w:b/>
          <w:sz w:val="22"/>
          <w:szCs w:val="22"/>
        </w:rPr>
        <w:t xml:space="preserve">Organismo Descentralizado de Agua </w:t>
      </w:r>
      <w:r w:rsidRPr="00AA51A6">
        <w:rPr>
          <w:rFonts w:ascii="Palatino Linotype" w:eastAsia="Palatino Linotype" w:hAnsi="Palatino Linotype" w:cs="Palatino Linotype"/>
          <w:b/>
          <w:sz w:val="22"/>
          <w:szCs w:val="22"/>
        </w:rPr>
        <w:lastRenderedPageBreak/>
        <w:t>Potable Alcantarillado y Saneamiento del Municipio de Ixtapaluca denominado por sus siglas, O.D.A.P.A.S</w:t>
      </w:r>
      <w:r w:rsidRPr="00AA51A6">
        <w:rPr>
          <w:rFonts w:ascii="Palatino Linotype" w:eastAsia="Palatino Linotype" w:hAnsi="Palatino Linotype" w:cs="Palatino Linotype"/>
          <w:sz w:val="22"/>
          <w:szCs w:val="22"/>
        </w:rPr>
        <w:t xml:space="preserve">, la siguiente información: </w:t>
      </w:r>
    </w:p>
    <w:p w14:paraId="50684B89" w14:textId="77777777" w:rsidR="00E70697" w:rsidRPr="00AA51A6" w:rsidRDefault="003C6837">
      <w:pPr>
        <w:spacing w:after="240"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El desglose de los gastos de los ingresos recaudados por el suministro de agua potable durante el año 2022, 2023 y 2024, de lo que denominan gasto corriente equivalente a $116,589,224.47; $104,844,366.39 y $123,738,458.26 respectivamente,  así como los documentos que demuestren la forma en la que fue ejecutado dicho gasto corriente, todo esto en versiones pública</w:t>
      </w:r>
    </w:p>
    <w:p w14:paraId="4C269751" w14:textId="77777777" w:rsidR="00E70697" w:rsidRPr="00AA51A6" w:rsidRDefault="003C6837">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El Organismo de Agua de Ixtapaluca es la institución pública descentralizada encargada de brindar el servicio de suministro de agua potable, alcantarillado y saneamiento en el municipio. Esta responsabilidad implica no sólo la distribución eficiente y continua del recurso hídrico a los hogares, negocios y espacios públicos, sino también el mantenimiento y mejora de la infraestructura hidráulica que permite garantizar el acceso al agua en condiciones de calidad y cantidad adecuadas. A través de sus diversas áreas operativas, el organismo gestiona la captación, potabilización, distribución y monitoreo del agua, así como la recolección y tratamiento de las aguas residuales, buscando siempre la sostenibilidad ambiental y la protección de la salud pública.</w:t>
      </w:r>
    </w:p>
    <w:p w14:paraId="7F87E260" w14:textId="77777777" w:rsidR="00E70697" w:rsidRPr="00AA51A6" w:rsidRDefault="003C6837">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Además de su función técnica y operativa, </w:t>
      </w:r>
      <w:r w:rsidRPr="00AA51A6">
        <w:rPr>
          <w:rFonts w:ascii="Palatino Linotype" w:eastAsia="Palatino Linotype" w:hAnsi="Palatino Linotype" w:cs="Palatino Linotype"/>
          <w:b/>
          <w:sz w:val="22"/>
          <w:szCs w:val="22"/>
        </w:rPr>
        <w:t>el Organismo de Agua de Ixtapaluca tiene la atribución legal de recaudar las contribuciones correspondientes</w:t>
      </w:r>
      <w:r w:rsidRPr="00AA51A6">
        <w:rPr>
          <w:rFonts w:ascii="Palatino Linotype" w:eastAsia="Palatino Linotype" w:hAnsi="Palatino Linotype" w:cs="Palatino Linotype"/>
          <w:sz w:val="22"/>
          <w:szCs w:val="22"/>
        </w:rPr>
        <w:t xml:space="preserve"> a los servicios que presta. Esta facultad le permite emitir recibos, establecer tarifas conforme a la normativa vigente y ejecutar acciones administrativas para asegurar que los usuarios cumplan con sus obligaciones fiscales en relación con el uso del servicio. La recaudación no es un fin en sí mismo, sino un </w:t>
      </w:r>
      <w:r w:rsidRPr="00AA51A6">
        <w:rPr>
          <w:rFonts w:ascii="Palatino Linotype" w:eastAsia="Palatino Linotype" w:hAnsi="Palatino Linotype" w:cs="Palatino Linotype"/>
          <w:sz w:val="22"/>
          <w:szCs w:val="22"/>
        </w:rPr>
        <w:lastRenderedPageBreak/>
        <w:t>medio para sostener económicamente el funcionamiento del sistema hidráulico, financiar obras de infraestructura, modernizar tecnologías de distribución y saneamiento, y responder ante contingencias o situaciones de emergencia hídrica.</w:t>
      </w:r>
    </w:p>
    <w:p w14:paraId="1B0488EB" w14:textId="77777777" w:rsidR="00E70697" w:rsidRPr="00AA51A6" w:rsidRDefault="003C6837">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Por su parte, es obligación de la ciudadanía realizar el pago correspondiente por los servicios prestados. Este compromiso económico no sólo refleja un deber legal, sino también una corresponsabilidad social en la conservación y el buen manejo del recurso hídrico. La recaudación de ingresos por la prestación del servicio permite que el organismo mantenga la operatividad del sistema, realice inversiones en mantenimiento preventivo y correctivo, y garantice el acceso continuo al agua potable. </w:t>
      </w:r>
    </w:p>
    <w:p w14:paraId="18056595" w14:textId="77777777" w:rsidR="00E70697" w:rsidRPr="00AA51A6" w:rsidRDefault="003C6837">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El Organismo de Agua de Ixtapaluca y la ciudadanía mantienen una relación de responsabilidad: mientras el primero debe garantizar servicios esenciales y gestionar adecuadamente los recursos públicos, los habitantes del municipio tienen el deber de contribuir económicamente a través del pago de los derechos correspondientes. Solo a través de esta colaboración se puede lograr un servicio de agua eficiente, sustentable y equitativo para toda la población.</w:t>
      </w:r>
    </w:p>
    <w:p w14:paraId="2216C02D" w14:textId="77777777" w:rsidR="00E70697" w:rsidRPr="00AA51A6" w:rsidRDefault="003C6837">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Dicho lo anterior, es necesario traer a contexto que el Reglamento Interno del Sujeto Obligado establece que dentro de la estructura orgánica se localiza la Coordinación de Ingresos, área que tiene las siguientes atribuciones:</w:t>
      </w:r>
    </w:p>
    <w:p w14:paraId="5DD736EB" w14:textId="77777777" w:rsidR="00E70697" w:rsidRPr="00AA51A6" w:rsidRDefault="00E70697">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p>
    <w:p w14:paraId="2462B488" w14:textId="77777777" w:rsidR="00E70697" w:rsidRPr="00AA51A6" w:rsidRDefault="003C6837">
      <w:pPr>
        <w:pBdr>
          <w:top w:val="nil"/>
          <w:left w:val="nil"/>
          <w:bottom w:val="nil"/>
          <w:right w:val="nil"/>
          <w:between w:val="nil"/>
        </w:pBdr>
        <w:tabs>
          <w:tab w:val="left" w:pos="567"/>
        </w:tabs>
        <w:spacing w:line="360" w:lineRule="auto"/>
        <w:ind w:left="567" w:right="843"/>
        <w:jc w:val="center"/>
        <w:rPr>
          <w:rFonts w:ascii="Palatino Linotype" w:eastAsia="Palatino Linotype" w:hAnsi="Palatino Linotype" w:cs="Palatino Linotype"/>
          <w:b/>
          <w:i/>
          <w:sz w:val="22"/>
          <w:szCs w:val="22"/>
        </w:rPr>
      </w:pPr>
      <w:r w:rsidRPr="00AA51A6">
        <w:rPr>
          <w:rFonts w:ascii="Palatino Linotype" w:eastAsia="Palatino Linotype" w:hAnsi="Palatino Linotype" w:cs="Palatino Linotype"/>
          <w:b/>
          <w:i/>
          <w:sz w:val="22"/>
          <w:szCs w:val="22"/>
        </w:rPr>
        <w:t>SECCIÓN QUINTA</w:t>
      </w:r>
    </w:p>
    <w:p w14:paraId="79B4931B" w14:textId="77777777" w:rsidR="00E70697" w:rsidRPr="00AA51A6" w:rsidRDefault="003C6837">
      <w:pPr>
        <w:pBdr>
          <w:top w:val="nil"/>
          <w:left w:val="nil"/>
          <w:bottom w:val="nil"/>
          <w:right w:val="nil"/>
          <w:between w:val="nil"/>
        </w:pBdr>
        <w:tabs>
          <w:tab w:val="left" w:pos="567"/>
        </w:tabs>
        <w:spacing w:line="360" w:lineRule="auto"/>
        <w:ind w:left="567" w:right="843"/>
        <w:jc w:val="center"/>
        <w:rPr>
          <w:rFonts w:ascii="Palatino Linotype" w:eastAsia="Palatino Linotype" w:hAnsi="Palatino Linotype" w:cs="Palatino Linotype"/>
          <w:b/>
          <w:i/>
          <w:sz w:val="22"/>
          <w:szCs w:val="22"/>
        </w:rPr>
      </w:pPr>
      <w:r w:rsidRPr="00AA51A6">
        <w:rPr>
          <w:rFonts w:ascii="Palatino Linotype" w:eastAsia="Palatino Linotype" w:hAnsi="Palatino Linotype" w:cs="Palatino Linotype"/>
          <w:b/>
          <w:i/>
          <w:sz w:val="22"/>
          <w:szCs w:val="22"/>
        </w:rPr>
        <w:lastRenderedPageBreak/>
        <w:t>DE LA COORDINACIÓN DE INGRESOS</w:t>
      </w:r>
    </w:p>
    <w:p w14:paraId="1F7C5A83" w14:textId="77777777" w:rsidR="00E70697" w:rsidRPr="00AA51A6" w:rsidRDefault="003C6837">
      <w:pPr>
        <w:pBdr>
          <w:top w:val="nil"/>
          <w:left w:val="nil"/>
          <w:bottom w:val="nil"/>
          <w:right w:val="nil"/>
          <w:between w:val="nil"/>
        </w:pBdr>
        <w:tabs>
          <w:tab w:val="left" w:pos="567"/>
        </w:tabs>
        <w:spacing w:line="360" w:lineRule="auto"/>
        <w:ind w:left="567"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 xml:space="preserve">Artículo 34.- La Coordinación de Ingresos tendrá las siguientes atribuciones y funciones: </w:t>
      </w:r>
    </w:p>
    <w:p w14:paraId="00A9160E" w14:textId="77777777" w:rsidR="00E70697" w:rsidRPr="00AA51A6" w:rsidRDefault="003C6837">
      <w:pPr>
        <w:pBdr>
          <w:top w:val="nil"/>
          <w:left w:val="nil"/>
          <w:bottom w:val="nil"/>
          <w:right w:val="nil"/>
          <w:between w:val="nil"/>
        </w:pBdr>
        <w:tabs>
          <w:tab w:val="left" w:pos="567"/>
        </w:tabs>
        <w:spacing w:line="360" w:lineRule="auto"/>
        <w:ind w:left="567" w:right="843"/>
        <w:jc w:val="both"/>
        <w:rPr>
          <w:rFonts w:ascii="Palatino Linotype" w:eastAsia="Palatino Linotype" w:hAnsi="Palatino Linotype" w:cs="Palatino Linotype"/>
          <w:b/>
          <w:i/>
          <w:sz w:val="22"/>
          <w:szCs w:val="22"/>
        </w:rPr>
      </w:pPr>
      <w:r w:rsidRPr="00AA51A6">
        <w:rPr>
          <w:rFonts w:ascii="Palatino Linotype" w:eastAsia="Palatino Linotype" w:hAnsi="Palatino Linotype" w:cs="Palatino Linotype"/>
          <w:b/>
          <w:i/>
          <w:sz w:val="22"/>
          <w:szCs w:val="22"/>
        </w:rPr>
        <w:t xml:space="preserve">I. Recaudar y registrar en el sistema de gestión, todos los ingresos percibidos por parte de los usuarios; </w:t>
      </w:r>
    </w:p>
    <w:p w14:paraId="71BFCEFB" w14:textId="77777777" w:rsidR="00E70697" w:rsidRPr="00AA51A6" w:rsidRDefault="003C6837">
      <w:pPr>
        <w:pBdr>
          <w:top w:val="nil"/>
          <w:left w:val="nil"/>
          <w:bottom w:val="nil"/>
          <w:right w:val="nil"/>
          <w:between w:val="nil"/>
        </w:pBdr>
        <w:tabs>
          <w:tab w:val="left" w:pos="567"/>
        </w:tabs>
        <w:spacing w:line="360" w:lineRule="auto"/>
        <w:ind w:left="567" w:right="843"/>
        <w:jc w:val="both"/>
        <w:rPr>
          <w:rFonts w:ascii="Palatino Linotype" w:eastAsia="Palatino Linotype" w:hAnsi="Palatino Linotype" w:cs="Palatino Linotype"/>
          <w:b/>
          <w:i/>
          <w:sz w:val="22"/>
          <w:szCs w:val="22"/>
        </w:rPr>
      </w:pPr>
      <w:r w:rsidRPr="00AA51A6">
        <w:rPr>
          <w:rFonts w:ascii="Palatino Linotype" w:eastAsia="Palatino Linotype" w:hAnsi="Palatino Linotype" w:cs="Palatino Linotype"/>
          <w:b/>
          <w:i/>
          <w:sz w:val="22"/>
          <w:szCs w:val="22"/>
        </w:rPr>
        <w:t xml:space="preserve">II. Mantener el control y vigilar la recaudación tanto de la oficina central, cajas de recaudación e instituciones bancarias; </w:t>
      </w:r>
    </w:p>
    <w:p w14:paraId="6674605A" w14:textId="77777777" w:rsidR="00E70697" w:rsidRPr="00AA51A6" w:rsidRDefault="003C6837">
      <w:pPr>
        <w:pBdr>
          <w:top w:val="nil"/>
          <w:left w:val="nil"/>
          <w:bottom w:val="nil"/>
          <w:right w:val="nil"/>
          <w:between w:val="nil"/>
        </w:pBdr>
        <w:tabs>
          <w:tab w:val="left" w:pos="567"/>
        </w:tabs>
        <w:spacing w:line="360" w:lineRule="auto"/>
        <w:ind w:left="567" w:right="843"/>
        <w:jc w:val="both"/>
        <w:rPr>
          <w:rFonts w:ascii="Palatino Linotype" w:eastAsia="Palatino Linotype" w:hAnsi="Palatino Linotype" w:cs="Palatino Linotype"/>
          <w:b/>
          <w:i/>
          <w:sz w:val="22"/>
          <w:szCs w:val="22"/>
        </w:rPr>
      </w:pPr>
      <w:r w:rsidRPr="00AA51A6">
        <w:rPr>
          <w:rFonts w:ascii="Palatino Linotype" w:eastAsia="Palatino Linotype" w:hAnsi="Palatino Linotype" w:cs="Palatino Linotype"/>
          <w:b/>
          <w:i/>
          <w:sz w:val="22"/>
          <w:szCs w:val="22"/>
        </w:rPr>
        <w:t xml:space="preserve">III. Realizar el depósito de los ingresos que se recaudan en el Organismo en las cuentas bancarias referidas para tal efecto; </w:t>
      </w:r>
    </w:p>
    <w:p w14:paraId="19A15B1A" w14:textId="77777777" w:rsidR="00E70697" w:rsidRPr="00AA51A6" w:rsidRDefault="003C6837">
      <w:pPr>
        <w:pBdr>
          <w:top w:val="nil"/>
          <w:left w:val="nil"/>
          <w:bottom w:val="nil"/>
          <w:right w:val="nil"/>
          <w:between w:val="nil"/>
        </w:pBdr>
        <w:tabs>
          <w:tab w:val="left" w:pos="567"/>
        </w:tabs>
        <w:spacing w:line="360" w:lineRule="auto"/>
        <w:ind w:left="567" w:right="843"/>
        <w:jc w:val="both"/>
        <w:rPr>
          <w:rFonts w:ascii="Palatino Linotype" w:eastAsia="Palatino Linotype" w:hAnsi="Palatino Linotype" w:cs="Palatino Linotype"/>
          <w:b/>
          <w:i/>
          <w:sz w:val="22"/>
          <w:szCs w:val="22"/>
        </w:rPr>
      </w:pPr>
      <w:r w:rsidRPr="00AA51A6">
        <w:rPr>
          <w:rFonts w:ascii="Palatino Linotype" w:eastAsia="Palatino Linotype" w:hAnsi="Palatino Linotype" w:cs="Palatino Linotype"/>
          <w:b/>
          <w:i/>
          <w:sz w:val="22"/>
          <w:szCs w:val="22"/>
        </w:rPr>
        <w:t xml:space="preserve">IV. Elaborar los recibos oficiales, y emitir las facturaciones relativas a pagos de derechos prestados por el Organismo y en relación a los depósitos de otros ingresos; </w:t>
      </w:r>
    </w:p>
    <w:p w14:paraId="5E30B854" w14:textId="77777777" w:rsidR="00E70697" w:rsidRPr="00AA51A6" w:rsidRDefault="003C6837">
      <w:pPr>
        <w:pBdr>
          <w:top w:val="nil"/>
          <w:left w:val="nil"/>
          <w:bottom w:val="nil"/>
          <w:right w:val="nil"/>
          <w:between w:val="nil"/>
        </w:pBdr>
        <w:tabs>
          <w:tab w:val="left" w:pos="567"/>
        </w:tabs>
        <w:spacing w:line="360" w:lineRule="auto"/>
        <w:ind w:left="567"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w:t>
      </w:r>
    </w:p>
    <w:p w14:paraId="0E1C5E16" w14:textId="77777777" w:rsidR="00E70697" w:rsidRPr="00AA51A6" w:rsidRDefault="003C6837">
      <w:pPr>
        <w:pBdr>
          <w:top w:val="nil"/>
          <w:left w:val="nil"/>
          <w:bottom w:val="nil"/>
          <w:right w:val="nil"/>
          <w:between w:val="nil"/>
        </w:pBdr>
        <w:tabs>
          <w:tab w:val="left" w:pos="567"/>
        </w:tabs>
        <w:spacing w:line="360" w:lineRule="auto"/>
        <w:ind w:left="567"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 xml:space="preserve">XI. Coordinar la restricción del suministro de agua potable, drenaje o tomas clandestinas, en conjunto con la Coordinación jurídica, el Órgano Interno de Control y Gerencia Técnica de Operación, a usuarios que incurran en rezago de pago, desperdicio de vital líquido, así como el restablecimiento del mismo cuando proceda; </w:t>
      </w:r>
    </w:p>
    <w:p w14:paraId="71523739" w14:textId="77777777" w:rsidR="00E70697" w:rsidRPr="00AA51A6" w:rsidRDefault="003C6837">
      <w:pPr>
        <w:pBdr>
          <w:top w:val="nil"/>
          <w:left w:val="nil"/>
          <w:bottom w:val="nil"/>
          <w:right w:val="nil"/>
          <w:between w:val="nil"/>
        </w:pBdr>
        <w:tabs>
          <w:tab w:val="left" w:pos="567"/>
        </w:tabs>
        <w:spacing w:line="360" w:lineRule="auto"/>
        <w:ind w:left="567"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w:t>
      </w:r>
    </w:p>
    <w:p w14:paraId="7A1D7F9D" w14:textId="77777777" w:rsidR="00E70697" w:rsidRPr="00AA51A6" w:rsidRDefault="003C6837">
      <w:pPr>
        <w:pBdr>
          <w:top w:val="nil"/>
          <w:left w:val="nil"/>
          <w:bottom w:val="nil"/>
          <w:right w:val="nil"/>
          <w:between w:val="nil"/>
        </w:pBdr>
        <w:tabs>
          <w:tab w:val="left" w:pos="567"/>
        </w:tabs>
        <w:spacing w:line="360" w:lineRule="auto"/>
        <w:ind w:left="567"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XXV. Las demás que le confieran otros ordenamientos legales aplicables.</w:t>
      </w:r>
    </w:p>
    <w:p w14:paraId="58B59841" w14:textId="77777777" w:rsidR="00E70697" w:rsidRPr="00AA51A6" w:rsidRDefault="003C6837">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La Coordinación de Ingresos constituye una unidad estratégica dentro del Organismo de Agua de Ixtapaluca, cuya función esencial radica en la captación, administración y control de </w:t>
      </w:r>
      <w:r w:rsidRPr="00AA51A6">
        <w:rPr>
          <w:rFonts w:ascii="Palatino Linotype" w:eastAsia="Palatino Linotype" w:hAnsi="Palatino Linotype" w:cs="Palatino Linotype"/>
          <w:sz w:val="22"/>
          <w:szCs w:val="22"/>
        </w:rPr>
        <w:lastRenderedPageBreak/>
        <w:t xml:space="preserve">los recursos económicos derivados de los servicios prestados a los usuarios. Esta área tiene a su cargo </w:t>
      </w:r>
      <w:r w:rsidRPr="00AA51A6">
        <w:rPr>
          <w:rFonts w:ascii="Palatino Linotype" w:eastAsia="Palatino Linotype" w:hAnsi="Palatino Linotype" w:cs="Palatino Linotype"/>
          <w:b/>
          <w:sz w:val="22"/>
          <w:szCs w:val="22"/>
        </w:rPr>
        <w:t>la recaudación y el registro sistemático de todos los ingresos</w:t>
      </w:r>
      <w:r w:rsidRPr="00AA51A6">
        <w:rPr>
          <w:rFonts w:ascii="Palatino Linotype" w:eastAsia="Palatino Linotype" w:hAnsi="Palatino Linotype" w:cs="Palatino Linotype"/>
          <w:sz w:val="22"/>
          <w:szCs w:val="22"/>
        </w:rPr>
        <w:t xml:space="preserve">, ya sea a través de oficinas centrales, cajas de recaudación o instituciones bancarias, </w:t>
      </w:r>
      <w:r w:rsidRPr="00AA51A6">
        <w:rPr>
          <w:rFonts w:ascii="Palatino Linotype" w:eastAsia="Palatino Linotype" w:hAnsi="Palatino Linotype" w:cs="Palatino Linotype"/>
          <w:b/>
          <w:sz w:val="22"/>
          <w:szCs w:val="22"/>
        </w:rPr>
        <w:t>así como la emisión de recibos oficiales y facturación</w:t>
      </w:r>
      <w:r w:rsidRPr="00AA51A6">
        <w:rPr>
          <w:rFonts w:ascii="Palatino Linotype" w:eastAsia="Palatino Linotype" w:hAnsi="Palatino Linotype" w:cs="Palatino Linotype"/>
          <w:sz w:val="22"/>
          <w:szCs w:val="22"/>
        </w:rPr>
        <w:t xml:space="preserve"> conforme a la normatividad aplicable. Asimismo, es responsable de efectuar </w:t>
      </w:r>
      <w:r w:rsidRPr="00AA51A6">
        <w:rPr>
          <w:rFonts w:ascii="Palatino Linotype" w:eastAsia="Palatino Linotype" w:hAnsi="Palatino Linotype" w:cs="Palatino Linotype"/>
          <w:b/>
          <w:sz w:val="22"/>
          <w:szCs w:val="22"/>
        </w:rPr>
        <w:t>el depósito oportuno de dichos ingresos en las cuentas bancarias destinadas para tal fin</w:t>
      </w:r>
      <w:r w:rsidRPr="00AA51A6">
        <w:rPr>
          <w:rFonts w:ascii="Palatino Linotype" w:eastAsia="Palatino Linotype" w:hAnsi="Palatino Linotype" w:cs="Palatino Linotype"/>
          <w:sz w:val="22"/>
          <w:szCs w:val="22"/>
        </w:rPr>
        <w:t>, asegurando así la transparencia y eficiencia en el manejo financiero del Organismo.</w:t>
      </w:r>
    </w:p>
    <w:p w14:paraId="499ED6F2" w14:textId="77777777" w:rsidR="00E70697" w:rsidRPr="00AA51A6" w:rsidRDefault="003C6837">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Ahora bien, una vez que se tiene la captación de los ingresos y se realiza el depósito oportuno a las cuentas destinadas para ello, se realizar la ministración de los recursos conforme a las necesidades propias del Sujeto Obligado.</w:t>
      </w:r>
    </w:p>
    <w:p w14:paraId="6DA8D9E1" w14:textId="77777777" w:rsidR="00E70697" w:rsidRPr="00AA51A6" w:rsidRDefault="003C6837">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En el Reglamento Interno del Organismo Público Descentralizado para la Prestación de los Servicios de Agua Potable, Alcantarillado y Saneamiento del Municipio de Ixtapaluca (OPDAPAS), se establece una atribución compartida entre diversas unidades administrativas en relación con el egreso de recursos públicos. </w:t>
      </w:r>
    </w:p>
    <w:p w14:paraId="01BB7006" w14:textId="77777777" w:rsidR="00E70697" w:rsidRPr="00AA51A6" w:rsidRDefault="003C6837">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El </w:t>
      </w:r>
      <w:r w:rsidRPr="00AA51A6">
        <w:rPr>
          <w:rFonts w:ascii="Palatino Linotype" w:eastAsia="Palatino Linotype" w:hAnsi="Palatino Linotype" w:cs="Palatino Linotype"/>
          <w:b/>
          <w:sz w:val="22"/>
          <w:szCs w:val="22"/>
        </w:rPr>
        <w:t>Consejo Directivo</w:t>
      </w:r>
      <w:r w:rsidRPr="00AA51A6">
        <w:rPr>
          <w:rFonts w:ascii="Palatino Linotype" w:eastAsia="Palatino Linotype" w:hAnsi="Palatino Linotype" w:cs="Palatino Linotype"/>
          <w:sz w:val="22"/>
          <w:szCs w:val="22"/>
        </w:rPr>
        <w:t xml:space="preserve"> del OPDAPAS es el órgano colegiado de gobierno responsable de tomar decisiones fundamentales sobre la administración general del organismo, incluyendo la aprobación del presupuesto de egresos. Las determinaciones del Consejo son de carácter obligatorio para todas las áreas del organismo, incluida la Dirección General. El Presidente Municipal funge como Presidente del Consejo, y participan también representantes del Ayuntamiento, la CAEM, vocales ciudadanos y un comisario.</w:t>
      </w:r>
    </w:p>
    <w:p w14:paraId="0EC53D38" w14:textId="77777777" w:rsidR="00E70697" w:rsidRPr="00AA51A6" w:rsidRDefault="003C6837">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lastRenderedPageBreak/>
        <w:t xml:space="preserve">La </w:t>
      </w:r>
      <w:r w:rsidRPr="00AA51A6">
        <w:rPr>
          <w:rFonts w:ascii="Palatino Linotype" w:eastAsia="Palatino Linotype" w:hAnsi="Palatino Linotype" w:cs="Palatino Linotype"/>
          <w:b/>
          <w:sz w:val="22"/>
          <w:szCs w:val="22"/>
        </w:rPr>
        <w:t>Dirección General</w:t>
      </w:r>
      <w:r w:rsidRPr="00AA51A6">
        <w:rPr>
          <w:rFonts w:ascii="Palatino Linotype" w:eastAsia="Palatino Linotype" w:hAnsi="Palatino Linotype" w:cs="Palatino Linotype"/>
          <w:sz w:val="22"/>
          <w:szCs w:val="22"/>
        </w:rPr>
        <w:t>, de conformidad con el artículo 11 del Reglamento Interno, es encabezada por un titular designado por el Ayuntamiento y ratificado por el Consejo, tiene funciones clave en la administración y operación financiera del organismo. El Director General presenta anualmente los presupuestos de ingresos y egresos al Consejo, supervisa su ejecución, propone cuotas y tarifas, celebra convenios y realiza actos de administración y dominio previa autorización del Consejo. Asimismo, puede delegar facultades fiscales y administrativas a áreas correspondientes.</w:t>
      </w:r>
    </w:p>
    <w:p w14:paraId="3FCA592D" w14:textId="77777777" w:rsidR="00E70697" w:rsidRPr="00AA51A6" w:rsidRDefault="003C6837">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El </w:t>
      </w:r>
      <w:r w:rsidRPr="00AA51A6">
        <w:rPr>
          <w:rFonts w:ascii="Palatino Linotype" w:eastAsia="Palatino Linotype" w:hAnsi="Palatino Linotype" w:cs="Palatino Linotype"/>
          <w:b/>
          <w:sz w:val="22"/>
          <w:szCs w:val="22"/>
        </w:rPr>
        <w:t xml:space="preserve">Órgano Interno de Control, de acuerdo al artículo 19 del Reglamento en mención, </w:t>
      </w:r>
      <w:r w:rsidRPr="00AA51A6">
        <w:rPr>
          <w:rFonts w:ascii="Palatino Linotype" w:eastAsia="Palatino Linotype" w:hAnsi="Palatino Linotype" w:cs="Palatino Linotype"/>
          <w:sz w:val="22"/>
          <w:szCs w:val="22"/>
        </w:rPr>
        <w:t>también interviene indirectamente en la gestión del egreso, al fiscalizar el ejercicio del gasto público, verificar su congruencia con el presupuesto autorizado y realizar auditorías. Este órgano vigila el uso adecuado de los recursos federales y estatales, dictamina estados financieros, participa en la conciliación de bienes y verifica el cumplimiento de obligaciones fiscales y administrativas del organismo.</w:t>
      </w:r>
    </w:p>
    <w:p w14:paraId="50CBD6EF" w14:textId="77777777" w:rsidR="00E70697" w:rsidRPr="00AA51A6" w:rsidRDefault="003C6837">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La </w:t>
      </w:r>
      <w:r w:rsidRPr="00AA51A6">
        <w:rPr>
          <w:rFonts w:ascii="Palatino Linotype" w:eastAsia="Palatino Linotype" w:hAnsi="Palatino Linotype" w:cs="Palatino Linotype"/>
          <w:b/>
          <w:sz w:val="22"/>
          <w:szCs w:val="22"/>
        </w:rPr>
        <w:t>Gerencia de Finanzas y Administración</w:t>
      </w:r>
      <w:r w:rsidRPr="00AA51A6">
        <w:rPr>
          <w:rFonts w:ascii="Palatino Linotype" w:eastAsia="Palatino Linotype" w:hAnsi="Palatino Linotype" w:cs="Palatino Linotype"/>
          <w:sz w:val="22"/>
          <w:szCs w:val="22"/>
        </w:rPr>
        <w:t>, de acuerdo al artículo 28 del citado Reglamento, es directamente responsable de administrar los recursos del organismo conforme a la normatividad aplicable. Tiene atribuciones para elaborar, supervisar y ejecutar el presupuesto de egresos, presentar la cuenta pública ante el Órgano Superior de Fiscalización del Estado de México (OSFEM), proponer políticas financieras, supervisar registros contables y responder a observaciones fiscales. También puede representar al organismo en la firma de convenios y contratos, así como ejercer actos de autoridad fiscal en coordinación con otras áreas.</w:t>
      </w:r>
    </w:p>
    <w:p w14:paraId="37016285" w14:textId="77777777" w:rsidR="00E70697" w:rsidRPr="00AA51A6" w:rsidRDefault="003C6837">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lastRenderedPageBreak/>
        <w:t>En conjunto, estas autoridades forman una estructura que garantiza la legalidad, eficiencia y transparencia en el manejo de los recursos públicos, especialmente en lo relacionado con el egreso del recurso público proveniente de las recaudaciones por el suministro de agua potable, alcantarillado y saneamiento dentro del Municipio de Ixtapaluca, siendo el área encargada directamente de ministrar los recursos públicos la Gerencia de Finanzas y Administración. Dicha dependencia, de acuerdo al Manual de General de Organización establece que la Gerencia cuenta con las siguientes unidades administrativas:</w:t>
      </w:r>
    </w:p>
    <w:p w14:paraId="4B2D5E09" w14:textId="77777777" w:rsidR="00E70697" w:rsidRPr="00AA51A6" w:rsidRDefault="003C6837">
      <w:pPr>
        <w:pBdr>
          <w:top w:val="nil"/>
          <w:left w:val="nil"/>
          <w:bottom w:val="nil"/>
          <w:right w:val="nil"/>
          <w:between w:val="nil"/>
        </w:pBdr>
        <w:spacing w:line="360" w:lineRule="auto"/>
        <w:ind w:left="567"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 xml:space="preserve">1.1.8. Gerencia de Finanzas y Administración. </w:t>
      </w:r>
    </w:p>
    <w:p w14:paraId="267D5151" w14:textId="77777777" w:rsidR="00E70697" w:rsidRPr="00AA51A6" w:rsidRDefault="003C6837">
      <w:pPr>
        <w:pBdr>
          <w:top w:val="nil"/>
          <w:left w:val="nil"/>
          <w:bottom w:val="nil"/>
          <w:right w:val="nil"/>
          <w:between w:val="nil"/>
        </w:pBdr>
        <w:spacing w:line="360" w:lineRule="auto"/>
        <w:ind w:left="851"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 xml:space="preserve">1.1.8.1. Coordinación de Administración. </w:t>
      </w:r>
    </w:p>
    <w:p w14:paraId="30A5664B" w14:textId="77777777" w:rsidR="00E70697" w:rsidRPr="00AA51A6" w:rsidRDefault="003C6837">
      <w:pPr>
        <w:pBdr>
          <w:top w:val="nil"/>
          <w:left w:val="nil"/>
          <w:bottom w:val="nil"/>
          <w:right w:val="nil"/>
          <w:between w:val="nil"/>
        </w:pBdr>
        <w:spacing w:line="360" w:lineRule="auto"/>
        <w:ind w:left="1134"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 xml:space="preserve">1.1.8.1.1. Departamento de Recursos Materiales y Servicios Generales. </w:t>
      </w:r>
    </w:p>
    <w:p w14:paraId="54522B3A" w14:textId="77777777" w:rsidR="00E70697" w:rsidRPr="00AA51A6" w:rsidRDefault="003C6837">
      <w:pPr>
        <w:pBdr>
          <w:top w:val="nil"/>
          <w:left w:val="nil"/>
          <w:bottom w:val="nil"/>
          <w:right w:val="nil"/>
          <w:between w:val="nil"/>
        </w:pBdr>
        <w:spacing w:line="360" w:lineRule="auto"/>
        <w:ind w:left="1134"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 xml:space="preserve">1.1.8.1.2. Departamento de Atención a Usuarios. </w:t>
      </w:r>
    </w:p>
    <w:p w14:paraId="6F51440F" w14:textId="77777777" w:rsidR="00E70697" w:rsidRPr="00AA51A6" w:rsidRDefault="003C6837">
      <w:pPr>
        <w:pBdr>
          <w:top w:val="nil"/>
          <w:left w:val="nil"/>
          <w:bottom w:val="nil"/>
          <w:right w:val="nil"/>
          <w:between w:val="nil"/>
        </w:pBdr>
        <w:spacing w:line="360" w:lineRule="auto"/>
        <w:ind w:left="851" w:right="843"/>
        <w:jc w:val="both"/>
        <w:rPr>
          <w:rFonts w:ascii="Palatino Linotype" w:eastAsia="Palatino Linotype" w:hAnsi="Palatino Linotype" w:cs="Palatino Linotype"/>
          <w:b/>
          <w:i/>
          <w:sz w:val="22"/>
          <w:szCs w:val="22"/>
        </w:rPr>
      </w:pPr>
      <w:r w:rsidRPr="00AA51A6">
        <w:rPr>
          <w:rFonts w:ascii="Palatino Linotype" w:eastAsia="Palatino Linotype" w:hAnsi="Palatino Linotype" w:cs="Palatino Linotype"/>
          <w:b/>
          <w:i/>
          <w:sz w:val="22"/>
          <w:szCs w:val="22"/>
        </w:rPr>
        <w:t xml:space="preserve">1.1.8.2. Coordinación de Contabilidad y Presupuesto. </w:t>
      </w:r>
    </w:p>
    <w:p w14:paraId="1BACD42F" w14:textId="77777777" w:rsidR="00E70697" w:rsidRPr="00AA51A6" w:rsidRDefault="003C6837">
      <w:pPr>
        <w:pBdr>
          <w:top w:val="nil"/>
          <w:left w:val="nil"/>
          <w:bottom w:val="nil"/>
          <w:right w:val="nil"/>
          <w:between w:val="nil"/>
        </w:pBdr>
        <w:spacing w:line="360" w:lineRule="auto"/>
        <w:ind w:left="851"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1.1.8.3. Coordinación de Ingresos.</w:t>
      </w:r>
    </w:p>
    <w:p w14:paraId="5054D5BB" w14:textId="77777777" w:rsidR="00E70697" w:rsidRPr="00AA51A6" w:rsidRDefault="003C6837">
      <w:pPr>
        <w:pBdr>
          <w:top w:val="nil"/>
          <w:left w:val="nil"/>
          <w:bottom w:val="nil"/>
          <w:right w:val="nil"/>
          <w:between w:val="nil"/>
        </w:pBdr>
        <w:tabs>
          <w:tab w:val="left" w:pos="1701"/>
        </w:tabs>
        <w:spacing w:line="360" w:lineRule="auto"/>
        <w:ind w:left="1134"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 xml:space="preserve">1.1.8.3.1. Departamento de Doméstico. </w:t>
      </w:r>
    </w:p>
    <w:p w14:paraId="61984BC9" w14:textId="77777777" w:rsidR="00E70697" w:rsidRPr="00AA51A6" w:rsidRDefault="003C6837">
      <w:pPr>
        <w:pBdr>
          <w:top w:val="nil"/>
          <w:left w:val="nil"/>
          <w:bottom w:val="nil"/>
          <w:right w:val="nil"/>
          <w:between w:val="nil"/>
        </w:pBdr>
        <w:tabs>
          <w:tab w:val="left" w:pos="1701"/>
        </w:tabs>
        <w:spacing w:line="360" w:lineRule="auto"/>
        <w:ind w:left="1134"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 xml:space="preserve">1.1.8.3.2. Departamento Comercial. </w:t>
      </w:r>
    </w:p>
    <w:p w14:paraId="2AA04A98" w14:textId="77777777" w:rsidR="00E70697" w:rsidRPr="00AA51A6" w:rsidRDefault="003C6837">
      <w:pPr>
        <w:pBdr>
          <w:top w:val="nil"/>
          <w:left w:val="nil"/>
          <w:bottom w:val="nil"/>
          <w:right w:val="nil"/>
          <w:between w:val="nil"/>
        </w:pBdr>
        <w:tabs>
          <w:tab w:val="left" w:pos="1276"/>
        </w:tabs>
        <w:spacing w:line="360" w:lineRule="auto"/>
        <w:ind w:left="851"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 xml:space="preserve">1.1.8.4. Coordinación de Recursos Humanos. </w:t>
      </w:r>
    </w:p>
    <w:p w14:paraId="625A6443" w14:textId="77777777" w:rsidR="00E70697" w:rsidRPr="00AA51A6" w:rsidRDefault="003C6837">
      <w:pPr>
        <w:pBdr>
          <w:top w:val="nil"/>
          <w:left w:val="nil"/>
          <w:bottom w:val="nil"/>
          <w:right w:val="nil"/>
          <w:between w:val="nil"/>
        </w:pBdr>
        <w:tabs>
          <w:tab w:val="left" w:pos="1843"/>
        </w:tabs>
        <w:spacing w:line="360" w:lineRule="auto"/>
        <w:ind w:left="1134"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 xml:space="preserve">1.1.8.4.1. Departamento de Capacitación y Desarrollo del Personal. </w:t>
      </w:r>
    </w:p>
    <w:p w14:paraId="40C53D46" w14:textId="77777777" w:rsidR="00E70697" w:rsidRPr="00AA51A6" w:rsidRDefault="003C6837">
      <w:pPr>
        <w:pBdr>
          <w:top w:val="nil"/>
          <w:left w:val="nil"/>
          <w:bottom w:val="nil"/>
          <w:right w:val="nil"/>
          <w:between w:val="nil"/>
        </w:pBdr>
        <w:tabs>
          <w:tab w:val="left" w:pos="1418"/>
        </w:tabs>
        <w:spacing w:line="360" w:lineRule="auto"/>
        <w:ind w:left="851"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 xml:space="preserve">1.1.8.5. Unidad de Transparencia. </w:t>
      </w:r>
    </w:p>
    <w:p w14:paraId="69CC8596" w14:textId="77777777" w:rsidR="00E70697" w:rsidRPr="00AA51A6" w:rsidRDefault="003C6837">
      <w:pPr>
        <w:pBdr>
          <w:top w:val="nil"/>
          <w:left w:val="nil"/>
          <w:bottom w:val="nil"/>
          <w:right w:val="nil"/>
          <w:between w:val="nil"/>
        </w:pBdr>
        <w:tabs>
          <w:tab w:val="left" w:pos="1418"/>
        </w:tabs>
        <w:spacing w:line="360" w:lineRule="auto"/>
        <w:ind w:left="851"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1.1.8.6. Unidad de Información Planeación, Programación y Evaluación.</w:t>
      </w:r>
    </w:p>
    <w:p w14:paraId="662DBF8E" w14:textId="77777777" w:rsidR="00E70697" w:rsidRPr="00AA51A6" w:rsidRDefault="00E70697">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p>
    <w:p w14:paraId="041A924A" w14:textId="77777777" w:rsidR="00E70697" w:rsidRPr="00AA51A6" w:rsidRDefault="003C6837">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lastRenderedPageBreak/>
        <w:t>La Coordinación de Contabilidad y Presupuesto tiene como objetivo Coordinar y supervisar el establecimiento de criterios, lineamientos, procedimientos y sistema de carácter técnico administrativo, a fin de mantener un control que permita la correcta evaluación de la administración del gasto.</w:t>
      </w:r>
    </w:p>
    <w:p w14:paraId="0A6AE359" w14:textId="77777777" w:rsidR="00E70697" w:rsidRPr="00AA51A6" w:rsidRDefault="00E70697">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p>
    <w:p w14:paraId="41A0853B" w14:textId="77777777" w:rsidR="00E70697" w:rsidRPr="00AA51A6" w:rsidRDefault="003C6837">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Y entre sus funciones se encuentran las siguientes:</w:t>
      </w:r>
    </w:p>
    <w:p w14:paraId="4623EF3E" w14:textId="77777777" w:rsidR="00E70697" w:rsidRPr="00AA51A6" w:rsidRDefault="00E70697">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p>
    <w:p w14:paraId="6B9DE9F3" w14:textId="77777777" w:rsidR="00E70697" w:rsidRPr="00AA51A6" w:rsidRDefault="003C6837">
      <w:pPr>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b/>
          <w:i/>
          <w:sz w:val="22"/>
          <w:szCs w:val="22"/>
        </w:rPr>
        <w:t>Formula los informes contables y financieros conforme a la normatividad vigente</w:t>
      </w:r>
      <w:r w:rsidRPr="00AA51A6">
        <w:rPr>
          <w:rFonts w:ascii="Palatino Linotype" w:eastAsia="Palatino Linotype" w:hAnsi="Palatino Linotype" w:cs="Palatino Linotype"/>
          <w:i/>
          <w:sz w:val="22"/>
          <w:szCs w:val="22"/>
        </w:rPr>
        <w:t xml:space="preserve">. </w:t>
      </w:r>
    </w:p>
    <w:p w14:paraId="2424F39C" w14:textId="77777777" w:rsidR="00E70697" w:rsidRPr="00AA51A6" w:rsidRDefault="003C6837">
      <w:pPr>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sz w:val="22"/>
          <w:szCs w:val="22"/>
        </w:rPr>
      </w:pPr>
      <w:r w:rsidRPr="00AA51A6">
        <w:rPr>
          <w:rFonts w:ascii="Palatino Linotype" w:eastAsia="Palatino Linotype" w:hAnsi="Palatino Linotype" w:cs="Palatino Linotype"/>
          <w:b/>
          <w:i/>
          <w:sz w:val="22"/>
          <w:szCs w:val="22"/>
        </w:rPr>
        <w:t>Elaborar, integrar y remitir los informes mensuales al Órgano Superior de Fiscalización del Estado de México en tiempo y forma.</w:t>
      </w:r>
    </w:p>
    <w:p w14:paraId="38A2638A" w14:textId="77777777" w:rsidR="00E70697" w:rsidRPr="00AA51A6" w:rsidRDefault="003C6837">
      <w:pPr>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i/>
          <w:sz w:val="22"/>
          <w:szCs w:val="22"/>
        </w:rPr>
      </w:pPr>
      <w:r w:rsidRPr="00AA51A6">
        <w:rPr>
          <w:rFonts w:ascii="Palatino Linotype" w:eastAsia="Palatino Linotype" w:hAnsi="Palatino Linotype" w:cs="Palatino Linotype"/>
          <w:b/>
          <w:i/>
          <w:sz w:val="22"/>
          <w:szCs w:val="22"/>
        </w:rPr>
        <w:t xml:space="preserve">Integrar el presupuesto de ingresos y egresos. </w:t>
      </w:r>
    </w:p>
    <w:p w14:paraId="48D183FE" w14:textId="77777777" w:rsidR="00E70697" w:rsidRPr="00AA51A6" w:rsidRDefault="003C6837">
      <w:pPr>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Elaborar la cuenta pública y remitirla al Órgano Superior de Fiscalización del Estado de México en tiempo y forma.</w:t>
      </w:r>
    </w:p>
    <w:p w14:paraId="28C17F77" w14:textId="77777777" w:rsidR="00E70697" w:rsidRPr="00AA51A6" w:rsidRDefault="003C6837">
      <w:pPr>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Atender y solventar observaciones emitidas por el Órgano Superior de Fiscalización del Estado de México.</w:t>
      </w:r>
    </w:p>
    <w:p w14:paraId="2243CA0E" w14:textId="77777777" w:rsidR="00E70697" w:rsidRPr="00AA51A6" w:rsidRDefault="003C6837">
      <w:pPr>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Atender auditorías practicadas por los entes fiscalizadores.</w:t>
      </w:r>
    </w:p>
    <w:p w14:paraId="1DAB3C0D" w14:textId="77777777" w:rsidR="00E70697" w:rsidRPr="00AA51A6" w:rsidRDefault="003C6837">
      <w:pPr>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Determinar y vigilar el cumplimiento de las obligaciones fiscales del Organismo</w:t>
      </w:r>
    </w:p>
    <w:p w14:paraId="4D2B84B5" w14:textId="77777777" w:rsidR="00E70697" w:rsidRPr="00AA51A6" w:rsidRDefault="003C6837">
      <w:pPr>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Coadyuvar con las acciones del Sistema de Gestión de la Calidad y la Norma Mexicana para la Igualdad Laboral entre Hombres y Mujeres dentro del Organismo.</w:t>
      </w:r>
    </w:p>
    <w:p w14:paraId="198EE042" w14:textId="77777777" w:rsidR="00E70697" w:rsidRPr="00AA51A6" w:rsidRDefault="00E70697">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p>
    <w:p w14:paraId="193E08EA" w14:textId="77777777" w:rsidR="00E70697" w:rsidRPr="00AA51A6" w:rsidRDefault="003C6837">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Con base en las atribuciones descritas, se concluye que </w:t>
      </w:r>
      <w:r w:rsidRPr="00AA51A6">
        <w:rPr>
          <w:rFonts w:ascii="Palatino Linotype" w:eastAsia="Palatino Linotype" w:hAnsi="Palatino Linotype" w:cs="Palatino Linotype"/>
          <w:b/>
          <w:sz w:val="22"/>
          <w:szCs w:val="22"/>
        </w:rPr>
        <w:t>la Coordinación de Contabilidad y Presupuesto</w:t>
      </w:r>
      <w:r w:rsidRPr="00AA51A6">
        <w:rPr>
          <w:rFonts w:ascii="Palatino Linotype" w:eastAsia="Palatino Linotype" w:hAnsi="Palatino Linotype" w:cs="Palatino Linotype"/>
          <w:sz w:val="22"/>
          <w:szCs w:val="22"/>
        </w:rPr>
        <w:t xml:space="preserve"> es el área </w:t>
      </w:r>
      <w:r w:rsidRPr="00AA51A6">
        <w:rPr>
          <w:rFonts w:ascii="Palatino Linotype" w:eastAsia="Palatino Linotype" w:hAnsi="Palatino Linotype" w:cs="Palatino Linotype"/>
          <w:b/>
          <w:sz w:val="22"/>
          <w:szCs w:val="22"/>
        </w:rPr>
        <w:t>idónea y facultada</w:t>
      </w:r>
      <w:r w:rsidRPr="00AA51A6">
        <w:rPr>
          <w:rFonts w:ascii="Palatino Linotype" w:eastAsia="Palatino Linotype" w:hAnsi="Palatino Linotype" w:cs="Palatino Linotype"/>
          <w:sz w:val="22"/>
          <w:szCs w:val="22"/>
        </w:rPr>
        <w:t xml:space="preserve"> para </w:t>
      </w:r>
      <w:r w:rsidRPr="00AA51A6">
        <w:rPr>
          <w:rFonts w:ascii="Palatino Linotype" w:eastAsia="Palatino Linotype" w:hAnsi="Palatino Linotype" w:cs="Palatino Linotype"/>
          <w:b/>
          <w:sz w:val="22"/>
          <w:szCs w:val="22"/>
        </w:rPr>
        <w:t xml:space="preserve">generar, administrar y poseer la información </w:t>
      </w:r>
      <w:r w:rsidRPr="00AA51A6">
        <w:rPr>
          <w:rFonts w:ascii="Palatino Linotype" w:eastAsia="Palatino Linotype" w:hAnsi="Palatino Linotype" w:cs="Palatino Linotype"/>
          <w:b/>
          <w:sz w:val="22"/>
          <w:szCs w:val="22"/>
        </w:rPr>
        <w:lastRenderedPageBreak/>
        <w:t>relacionada con los egresos</w:t>
      </w:r>
      <w:r w:rsidRPr="00AA51A6">
        <w:rPr>
          <w:rFonts w:ascii="Palatino Linotype" w:eastAsia="Palatino Linotype" w:hAnsi="Palatino Linotype" w:cs="Palatino Linotype"/>
          <w:sz w:val="22"/>
          <w:szCs w:val="22"/>
        </w:rPr>
        <w:t xml:space="preserve"> del Organismo Público Descentralizado de Agua. Esta Coordinación no solo tiene la responsabilidad de integrar el presupuesto de ingresos y egresos, sino también de formular los informes contables y financieros en apego a la normatividad vigente, así como de elaborar y remitir en tiempo y forma la cuenta pública y los informes que se remiten al Órgano Superior de Fiscalización del Estado de México (OSFEM).</w:t>
      </w:r>
    </w:p>
    <w:p w14:paraId="7BE8B0AD" w14:textId="77777777" w:rsidR="00E70697" w:rsidRPr="00AA51A6" w:rsidRDefault="00E70697">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p>
    <w:p w14:paraId="28CEDB7A" w14:textId="77777777" w:rsidR="00E70697" w:rsidRPr="00AA51A6" w:rsidRDefault="003C683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Dicho lo anterior, se precisa que, quién dio respuesta a la solicitud es la </w:t>
      </w:r>
      <w:r w:rsidRPr="00AA51A6">
        <w:rPr>
          <w:rFonts w:ascii="Palatino Linotype" w:eastAsia="Palatino Linotype" w:hAnsi="Palatino Linotype" w:cs="Palatino Linotype"/>
          <w:b/>
          <w:sz w:val="22"/>
          <w:szCs w:val="22"/>
        </w:rPr>
        <w:t>Coordinación de Contabilidad y Presupuesto</w:t>
      </w:r>
      <w:r w:rsidRPr="00AA51A6">
        <w:rPr>
          <w:rFonts w:ascii="Palatino Linotype" w:eastAsia="Palatino Linotype" w:hAnsi="Palatino Linotype" w:cs="Palatino Linotype"/>
          <w:sz w:val="22"/>
          <w:szCs w:val="22"/>
        </w:rPr>
        <w:t xml:space="preserve">, siguiendo con ello el procedimiento para la atención a las solicitudes de acceso a la información, establecido en los artículos 151, 160, 162, 163, 164, 165 y 166, de la Ley de Transparencia y Acceso a la Información Pública del Estado de México y Municipios: </w:t>
      </w:r>
    </w:p>
    <w:p w14:paraId="22C6B043" w14:textId="77777777" w:rsidR="00E70697" w:rsidRPr="00AA51A6" w:rsidRDefault="00E706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B64C51E" w14:textId="77777777" w:rsidR="00E70697" w:rsidRPr="00AA51A6" w:rsidRDefault="003C6837">
      <w:pPr>
        <w:spacing w:after="240" w:line="360" w:lineRule="auto"/>
        <w:ind w:left="284"/>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23EAF461" w14:textId="77777777" w:rsidR="00E70697" w:rsidRPr="00AA51A6" w:rsidRDefault="003C6837">
      <w:pPr>
        <w:spacing w:after="240" w:line="360" w:lineRule="auto"/>
        <w:ind w:left="284"/>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07ADF6F9" w14:textId="77777777" w:rsidR="00E70697" w:rsidRPr="00AA51A6" w:rsidRDefault="003C6837">
      <w:pPr>
        <w:spacing w:after="240" w:line="360" w:lineRule="auto"/>
        <w:ind w:left="284"/>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lastRenderedPageBreak/>
        <w:t xml:space="preserve">Excepcionalmente, el plazo referido podrá ampliarse por siete días hábiles más, cuando existan razones fundadas y motivadas, a través del Comité de Transparencia; </w:t>
      </w:r>
    </w:p>
    <w:p w14:paraId="37E857BE" w14:textId="77777777" w:rsidR="00E70697" w:rsidRPr="00AA51A6" w:rsidRDefault="003C6837">
      <w:pPr>
        <w:spacing w:after="240" w:line="360" w:lineRule="auto"/>
        <w:ind w:left="284"/>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677AF115" w14:textId="77777777" w:rsidR="00E70697" w:rsidRPr="00AA51A6" w:rsidRDefault="003C6837">
      <w:pPr>
        <w:spacing w:after="240" w:line="360" w:lineRule="auto"/>
        <w:ind w:left="284"/>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727FA365" w14:textId="77777777" w:rsidR="00E70697" w:rsidRPr="00AA51A6" w:rsidRDefault="003C6837">
      <w:pPr>
        <w:spacing w:after="240" w:line="360" w:lineRule="auto"/>
        <w:ind w:left="284"/>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25AC41B2" w14:textId="77777777" w:rsidR="00E70697" w:rsidRPr="00AA51A6" w:rsidRDefault="003C683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En este orden de ideas, se reitera que la </w:t>
      </w:r>
      <w:r w:rsidRPr="00AA51A6">
        <w:rPr>
          <w:rFonts w:ascii="Palatino Linotype" w:eastAsia="Palatino Linotype" w:hAnsi="Palatino Linotype" w:cs="Palatino Linotype"/>
          <w:b/>
          <w:sz w:val="22"/>
          <w:szCs w:val="22"/>
        </w:rPr>
        <w:t xml:space="preserve">Coordinación de Contabilidad y Presupuesto es </w:t>
      </w:r>
      <w:r w:rsidRPr="00AA51A6">
        <w:rPr>
          <w:rFonts w:ascii="Palatino Linotype" w:eastAsia="Palatino Linotype" w:hAnsi="Palatino Linotype" w:cs="Palatino Linotype"/>
          <w:sz w:val="22"/>
          <w:szCs w:val="22"/>
        </w:rPr>
        <w:t>la unidad administrativa competente para generar, administrar y poseer la información, con lo que se acreditó la correcta búsqueda exhaustiva y razonable de la información.</w:t>
      </w:r>
    </w:p>
    <w:p w14:paraId="5C6101A2" w14:textId="77777777" w:rsidR="00E70697" w:rsidRPr="00AA51A6" w:rsidRDefault="00E706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08897FE" w14:textId="77777777" w:rsidR="00E70697" w:rsidRPr="00AA51A6" w:rsidRDefault="003C683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El Sujeto Obligado en sus respectivas respuestas entregó las siguientes direcciones electrónicas:</w:t>
      </w:r>
    </w:p>
    <w:p w14:paraId="633BB394" w14:textId="77777777" w:rsidR="00E70697" w:rsidRPr="00AA51A6" w:rsidRDefault="00E706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4651979" w14:textId="77777777" w:rsidR="00E70697" w:rsidRPr="00AA51A6" w:rsidRDefault="003C683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noProof/>
          <w:sz w:val="22"/>
          <w:szCs w:val="22"/>
        </w:rPr>
        <w:drawing>
          <wp:inline distT="0" distB="0" distL="0" distR="0" wp14:anchorId="0D48183A" wp14:editId="21D61EDF">
            <wp:extent cx="5756275" cy="3306445"/>
            <wp:effectExtent l="0" t="0" r="0"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56275" cy="3306445"/>
                    </a:xfrm>
                    <a:prstGeom prst="rect">
                      <a:avLst/>
                    </a:prstGeom>
                    <a:ln/>
                  </pic:spPr>
                </pic:pic>
              </a:graphicData>
            </a:graphic>
          </wp:inline>
        </w:drawing>
      </w:r>
    </w:p>
    <w:p w14:paraId="358EEF3B" w14:textId="77777777" w:rsidR="00E70697" w:rsidRPr="00AA51A6" w:rsidRDefault="00E706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77C6DB8" w14:textId="77777777" w:rsidR="00E70697" w:rsidRPr="00AA51A6" w:rsidRDefault="003C683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Al respecto es necesario precisar que la Ley de Transparencia y Acceso a la Información Pública del Estado de México y Municipios establece en su artículo 11 que en </w:t>
      </w:r>
      <w:r w:rsidRPr="00AA51A6">
        <w:rPr>
          <w:rFonts w:ascii="Palatino Linotype" w:eastAsia="Palatino Linotype" w:hAnsi="Palatino Linotype" w:cs="Palatino Linotype"/>
          <w:i/>
          <w:sz w:val="22"/>
          <w:szCs w:val="22"/>
        </w:rPr>
        <w:t xml:space="preserve">la entrega de la información se deberá garantizar que ésta sea </w:t>
      </w:r>
      <w:r w:rsidRPr="00AA51A6">
        <w:rPr>
          <w:rFonts w:ascii="Palatino Linotype" w:eastAsia="Palatino Linotype" w:hAnsi="Palatino Linotype" w:cs="Palatino Linotype"/>
          <w:b/>
          <w:i/>
          <w:sz w:val="22"/>
          <w:szCs w:val="22"/>
        </w:rPr>
        <w:t>accesible</w:t>
      </w:r>
      <w:r w:rsidRPr="00AA51A6">
        <w:rPr>
          <w:rFonts w:ascii="Palatino Linotype" w:eastAsia="Palatino Linotype" w:hAnsi="Palatino Linotype" w:cs="Palatino Linotype"/>
          <w:i/>
          <w:sz w:val="22"/>
          <w:szCs w:val="22"/>
        </w:rPr>
        <w:t xml:space="preserve">, </w:t>
      </w:r>
      <w:r w:rsidRPr="00AA51A6">
        <w:rPr>
          <w:rFonts w:ascii="Palatino Linotype" w:eastAsia="Palatino Linotype" w:hAnsi="Palatino Linotype" w:cs="Palatino Linotype"/>
          <w:b/>
          <w:i/>
          <w:sz w:val="22"/>
          <w:szCs w:val="22"/>
        </w:rPr>
        <w:t>actualizada, completa,</w:t>
      </w:r>
      <w:r w:rsidRPr="00AA51A6">
        <w:rPr>
          <w:rFonts w:ascii="Palatino Linotype" w:eastAsia="Palatino Linotype" w:hAnsi="Palatino Linotype" w:cs="Palatino Linotype"/>
          <w:i/>
          <w:sz w:val="22"/>
          <w:szCs w:val="22"/>
        </w:rPr>
        <w:t xml:space="preserve"> congruente, confiable, </w:t>
      </w:r>
      <w:r w:rsidRPr="00AA51A6">
        <w:rPr>
          <w:rFonts w:ascii="Palatino Linotype" w:eastAsia="Palatino Linotype" w:hAnsi="Palatino Linotype" w:cs="Palatino Linotype"/>
          <w:b/>
          <w:i/>
          <w:sz w:val="22"/>
          <w:szCs w:val="22"/>
        </w:rPr>
        <w:t>verificable</w:t>
      </w:r>
      <w:r w:rsidRPr="00AA51A6">
        <w:rPr>
          <w:rFonts w:ascii="Palatino Linotype" w:eastAsia="Palatino Linotype" w:hAnsi="Palatino Linotype" w:cs="Palatino Linotype"/>
          <w:i/>
          <w:sz w:val="22"/>
          <w:szCs w:val="22"/>
        </w:rPr>
        <w:t xml:space="preserve">, veraz, integral, oportuna y expedita. </w:t>
      </w:r>
      <w:r w:rsidRPr="00AA51A6">
        <w:rPr>
          <w:rFonts w:ascii="Palatino Linotype" w:eastAsia="Palatino Linotype" w:hAnsi="Palatino Linotype" w:cs="Palatino Linotype"/>
          <w:sz w:val="22"/>
          <w:szCs w:val="22"/>
        </w:rPr>
        <w:t>Asimismo, el artículo 161 de la Ley en comento, refiere lo siguiente:</w:t>
      </w:r>
    </w:p>
    <w:p w14:paraId="0B8A0A08" w14:textId="77777777" w:rsidR="00E70697" w:rsidRPr="00AA51A6" w:rsidRDefault="00E70697">
      <w:pPr>
        <w:pBdr>
          <w:top w:val="nil"/>
          <w:left w:val="nil"/>
          <w:bottom w:val="nil"/>
          <w:right w:val="nil"/>
          <w:between w:val="nil"/>
        </w:pBdr>
        <w:spacing w:line="360" w:lineRule="auto"/>
        <w:ind w:left="708"/>
        <w:jc w:val="both"/>
        <w:rPr>
          <w:rFonts w:ascii="Palatino Linotype" w:eastAsia="Palatino Linotype" w:hAnsi="Palatino Linotype" w:cs="Palatino Linotype"/>
          <w:sz w:val="22"/>
          <w:szCs w:val="22"/>
        </w:rPr>
      </w:pPr>
    </w:p>
    <w:p w14:paraId="49AF94BF" w14:textId="77777777" w:rsidR="00E70697" w:rsidRPr="00AA51A6" w:rsidRDefault="003C6837">
      <w:pPr>
        <w:spacing w:line="360" w:lineRule="auto"/>
        <w:ind w:left="567" w:right="567"/>
        <w:jc w:val="both"/>
        <w:rPr>
          <w:rFonts w:ascii="Palatino Linotype" w:eastAsia="Palatino Linotype" w:hAnsi="Palatino Linotype" w:cs="Palatino Linotype"/>
          <w:b/>
          <w:i/>
          <w:sz w:val="22"/>
          <w:szCs w:val="22"/>
        </w:rPr>
      </w:pPr>
      <w:r w:rsidRPr="00AA51A6">
        <w:rPr>
          <w:rFonts w:ascii="Palatino Linotype" w:eastAsia="Palatino Linotype" w:hAnsi="Palatino Linotype" w:cs="Palatino Linotype"/>
          <w:b/>
          <w:i/>
          <w:sz w:val="22"/>
          <w:szCs w:val="22"/>
        </w:rPr>
        <w:t xml:space="preserve">Artículo 161. Cuando la información requerida por el solicitante ya esté disponible al público </w:t>
      </w:r>
      <w:r w:rsidRPr="00AA51A6">
        <w:rPr>
          <w:rFonts w:ascii="Palatino Linotype" w:eastAsia="Palatino Linotype" w:hAnsi="Palatino Linotype" w:cs="Palatino Linotype"/>
          <w:i/>
          <w:sz w:val="22"/>
          <w:szCs w:val="22"/>
        </w:rPr>
        <w:t xml:space="preserve">en medios impresos, tales como libros, compendios, trípticos, registros públicos, </w:t>
      </w:r>
      <w:r w:rsidRPr="00AA51A6">
        <w:rPr>
          <w:rFonts w:ascii="Palatino Linotype" w:eastAsia="Palatino Linotype" w:hAnsi="Palatino Linotype" w:cs="Palatino Linotype"/>
          <w:b/>
          <w:i/>
          <w:sz w:val="22"/>
          <w:szCs w:val="22"/>
        </w:rPr>
        <w:t>en formatos electrónicos</w:t>
      </w:r>
      <w:r w:rsidRPr="00AA51A6">
        <w:rPr>
          <w:rFonts w:ascii="Palatino Linotype" w:eastAsia="Palatino Linotype" w:hAnsi="Palatino Linotype" w:cs="Palatino Linotype"/>
          <w:i/>
          <w:sz w:val="22"/>
          <w:szCs w:val="22"/>
        </w:rPr>
        <w:t xml:space="preserve"> disponibles en Internet o en cualquier otro medio, </w:t>
      </w:r>
      <w:r w:rsidRPr="00AA51A6">
        <w:rPr>
          <w:rFonts w:ascii="Palatino Linotype" w:eastAsia="Palatino Linotype" w:hAnsi="Palatino Linotype" w:cs="Palatino Linotype"/>
          <w:b/>
          <w:i/>
          <w:sz w:val="22"/>
          <w:szCs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6FEA33EF" w14:textId="77777777" w:rsidR="00E70697" w:rsidRPr="00AA51A6" w:rsidRDefault="003C6837">
      <w:pPr>
        <w:spacing w:line="360" w:lineRule="auto"/>
        <w:ind w:left="567" w:right="567"/>
        <w:jc w:val="both"/>
        <w:rPr>
          <w:rFonts w:ascii="Palatino Linotype" w:eastAsia="Palatino Linotype" w:hAnsi="Palatino Linotype" w:cs="Palatino Linotype"/>
          <w:b/>
          <w:i/>
          <w:sz w:val="22"/>
          <w:szCs w:val="22"/>
        </w:rPr>
      </w:pPr>
      <w:r w:rsidRPr="00AA51A6">
        <w:rPr>
          <w:rFonts w:ascii="Palatino Linotype" w:eastAsia="Palatino Linotype" w:hAnsi="Palatino Linotype" w:cs="Palatino Linotype"/>
          <w:b/>
          <w:i/>
          <w:sz w:val="22"/>
          <w:szCs w:val="22"/>
        </w:rPr>
        <w:t>(Énfasis añadido)</w:t>
      </w:r>
    </w:p>
    <w:p w14:paraId="06D73BC8" w14:textId="77777777" w:rsidR="00E70697" w:rsidRPr="00AA51A6" w:rsidRDefault="00E70697">
      <w:pPr>
        <w:spacing w:line="360" w:lineRule="auto"/>
        <w:ind w:left="567" w:right="567"/>
        <w:jc w:val="both"/>
        <w:rPr>
          <w:rFonts w:ascii="Palatino Linotype" w:eastAsia="Palatino Linotype" w:hAnsi="Palatino Linotype" w:cs="Palatino Linotype"/>
          <w:b/>
          <w:i/>
          <w:sz w:val="22"/>
          <w:szCs w:val="22"/>
        </w:rPr>
      </w:pPr>
    </w:p>
    <w:p w14:paraId="0A1D2720" w14:textId="77777777" w:rsidR="00E70697" w:rsidRPr="00AA51A6" w:rsidRDefault="003C683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w:t>
      </w:r>
      <w:r w:rsidRPr="00AA51A6">
        <w:rPr>
          <w:rFonts w:ascii="Palatino Linotype" w:eastAsia="Palatino Linotype" w:hAnsi="Palatino Linotype" w:cs="Palatino Linotype"/>
          <w:b/>
          <w:sz w:val="22"/>
          <w:szCs w:val="22"/>
        </w:rPr>
        <w:t>Esta dirección electrónica debe ser precisa, de tal modo que no implique realizar una búsqueda en toda la información que ahí se encuentre, debiendo cumplir</w:t>
      </w:r>
      <w:r w:rsidRPr="00AA51A6">
        <w:rPr>
          <w:rFonts w:ascii="Palatino Linotype" w:eastAsia="Palatino Linotype" w:hAnsi="Palatino Linotype" w:cs="Palatino Linotype"/>
          <w:sz w:val="22"/>
          <w:szCs w:val="22"/>
        </w:rPr>
        <w:t xml:space="preserve"> una serie de requisitos, a saber:</w:t>
      </w:r>
    </w:p>
    <w:p w14:paraId="1B72A455" w14:textId="77777777" w:rsidR="00E70697" w:rsidRPr="00AA51A6" w:rsidRDefault="00E70697">
      <w:pPr>
        <w:pBdr>
          <w:top w:val="nil"/>
          <w:left w:val="nil"/>
          <w:bottom w:val="nil"/>
          <w:right w:val="nil"/>
          <w:between w:val="nil"/>
        </w:pBdr>
        <w:spacing w:line="360" w:lineRule="auto"/>
        <w:ind w:left="720" w:right="48"/>
        <w:jc w:val="both"/>
        <w:rPr>
          <w:rFonts w:ascii="Palatino Linotype" w:eastAsia="Palatino Linotype" w:hAnsi="Palatino Linotype" w:cs="Palatino Linotype"/>
          <w:b/>
          <w:sz w:val="22"/>
          <w:szCs w:val="22"/>
        </w:rPr>
      </w:pPr>
    </w:p>
    <w:p w14:paraId="18172314" w14:textId="77777777" w:rsidR="00E70697" w:rsidRPr="00AA51A6" w:rsidRDefault="003C6837">
      <w:pPr>
        <w:numPr>
          <w:ilvl w:val="0"/>
          <w:numId w:val="7"/>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La dirección electrónica debe señalarse en un plazo no mayor a cinco días hábiles;</w:t>
      </w:r>
    </w:p>
    <w:p w14:paraId="4AA973B5" w14:textId="77777777" w:rsidR="00E70697" w:rsidRPr="00AA51A6" w:rsidRDefault="003C6837">
      <w:pPr>
        <w:numPr>
          <w:ilvl w:val="0"/>
          <w:numId w:val="7"/>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La dirección electrónica debe ser precisa, de tal modo que no implique realizar una búsqueda en toda la información que ahí se encuentre; y,</w:t>
      </w:r>
    </w:p>
    <w:p w14:paraId="61C8BE7E" w14:textId="77777777" w:rsidR="00E70697" w:rsidRPr="00AA51A6" w:rsidRDefault="003C6837">
      <w:pPr>
        <w:numPr>
          <w:ilvl w:val="0"/>
          <w:numId w:val="7"/>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lastRenderedPageBreak/>
        <w:t>La dirección electrónica debe ir acompañada del procedimiento a seguir, en caso de que la información se encuentre en distintos puntos del sitio electrónico referido; y,</w:t>
      </w:r>
    </w:p>
    <w:p w14:paraId="6D40DC82" w14:textId="77777777" w:rsidR="00E70697" w:rsidRPr="00AA51A6" w:rsidRDefault="003C6837">
      <w:pPr>
        <w:numPr>
          <w:ilvl w:val="0"/>
          <w:numId w:val="7"/>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u w:val="single"/>
        </w:rPr>
        <w:t>La dirección electrónica se debe entregar en formato abierto,</w:t>
      </w:r>
      <w:r w:rsidRPr="00AA51A6">
        <w:rPr>
          <w:rFonts w:ascii="Palatino Linotype" w:eastAsia="Palatino Linotype" w:hAnsi="Palatino Linotype" w:cs="Palatino Linotype"/>
          <w:b/>
          <w:sz w:val="22"/>
          <w:szCs w:val="22"/>
        </w:rPr>
        <w:t xml:space="preserve"> para que el Recurrente pueda copiar y pegar sin la necesidad de transcribir la liga electrónica.</w:t>
      </w:r>
    </w:p>
    <w:p w14:paraId="6C586747" w14:textId="77777777" w:rsidR="00E70697" w:rsidRPr="00AA51A6" w:rsidRDefault="003C6837">
      <w:pPr>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Ahora bien, de la revisión de esta, se logra vislumbrar que en encuentran en un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167EF8F8" w14:textId="77777777" w:rsidR="00E70697" w:rsidRPr="00AA51A6" w:rsidRDefault="00E70697">
      <w:pPr>
        <w:spacing w:line="360" w:lineRule="auto"/>
        <w:jc w:val="both"/>
        <w:rPr>
          <w:rFonts w:ascii="Palatino Linotype" w:eastAsia="Palatino Linotype" w:hAnsi="Palatino Linotype" w:cs="Palatino Linotype"/>
          <w:sz w:val="22"/>
          <w:szCs w:val="22"/>
        </w:rPr>
      </w:pPr>
    </w:p>
    <w:p w14:paraId="20220468" w14:textId="77777777" w:rsidR="00E70697" w:rsidRPr="00AA51A6" w:rsidRDefault="003C6837">
      <w:pPr>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540FDA1A" w14:textId="77777777" w:rsidR="00E70697" w:rsidRPr="00AA51A6" w:rsidRDefault="00E70697">
      <w:pPr>
        <w:spacing w:line="360" w:lineRule="auto"/>
        <w:jc w:val="both"/>
        <w:rPr>
          <w:rFonts w:ascii="Palatino Linotype" w:eastAsia="Palatino Linotype" w:hAnsi="Palatino Linotype" w:cs="Palatino Linotype"/>
          <w:sz w:val="22"/>
          <w:szCs w:val="22"/>
        </w:rPr>
      </w:pPr>
    </w:p>
    <w:p w14:paraId="7F2F0CDB" w14:textId="77777777" w:rsidR="00E70697" w:rsidRPr="00AA51A6" w:rsidRDefault="003C6837">
      <w:pPr>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En ese contexto, el artículo 3°, fracción VI y X, de la Ley General de Transparencia y Acceso a la Información Pública vigente a la fecha de la solicitud, con relación, al diverso 3°, fracciones VIII y XVI de la Ley de Transparencia y Acceso a la Información Pública del Estado de México y Municipios, precisan lo siguiente:</w:t>
      </w:r>
    </w:p>
    <w:p w14:paraId="4B0D1F99" w14:textId="77777777" w:rsidR="00E70697" w:rsidRPr="00AA51A6" w:rsidRDefault="00E70697">
      <w:pPr>
        <w:spacing w:line="360" w:lineRule="auto"/>
        <w:jc w:val="both"/>
        <w:rPr>
          <w:rFonts w:ascii="Palatino Linotype" w:eastAsia="Palatino Linotype" w:hAnsi="Palatino Linotype" w:cs="Palatino Linotype"/>
          <w:sz w:val="22"/>
          <w:szCs w:val="22"/>
        </w:rPr>
      </w:pPr>
    </w:p>
    <w:p w14:paraId="51821C1A" w14:textId="77777777" w:rsidR="00E70697" w:rsidRPr="00AA51A6" w:rsidRDefault="003C6837">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lastRenderedPageBreak/>
        <w:t xml:space="preserve">Dato abierto: </w:t>
      </w:r>
      <w:r w:rsidRPr="00AA51A6">
        <w:rPr>
          <w:rFonts w:ascii="Palatino Linotype" w:eastAsia="Palatino Linotype" w:hAnsi="Palatino Linotype" w:cs="Palatino Linotype"/>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077D0464" w14:textId="77777777" w:rsidR="00E70697" w:rsidRPr="00AA51A6" w:rsidRDefault="00E70697">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621E15DE" w14:textId="77777777" w:rsidR="00E70697" w:rsidRPr="00AA51A6" w:rsidRDefault="003C6837">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 xml:space="preserve">Formato accesible: </w:t>
      </w:r>
      <w:r w:rsidRPr="00AA51A6">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3739BF90" w14:textId="77777777" w:rsidR="00E70697" w:rsidRPr="00AA51A6" w:rsidRDefault="00E70697">
      <w:pPr>
        <w:spacing w:line="360" w:lineRule="auto"/>
        <w:jc w:val="both"/>
        <w:rPr>
          <w:rFonts w:ascii="Palatino Linotype" w:eastAsia="Palatino Linotype" w:hAnsi="Palatino Linotype" w:cs="Palatino Linotype"/>
          <w:sz w:val="22"/>
          <w:szCs w:val="22"/>
        </w:rPr>
      </w:pPr>
    </w:p>
    <w:p w14:paraId="3D76CFF4" w14:textId="77777777" w:rsidR="00E70697" w:rsidRPr="00AA51A6" w:rsidRDefault="003C6837">
      <w:pPr>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121498EA" w14:textId="77777777" w:rsidR="00E70697" w:rsidRPr="00AA51A6" w:rsidRDefault="00E70697">
      <w:pPr>
        <w:pBdr>
          <w:top w:val="nil"/>
          <w:left w:val="nil"/>
          <w:bottom w:val="nil"/>
          <w:right w:val="nil"/>
          <w:between w:val="nil"/>
        </w:pBdr>
        <w:spacing w:line="360" w:lineRule="auto"/>
        <w:ind w:left="720"/>
        <w:rPr>
          <w:rFonts w:ascii="Palatino Linotype" w:eastAsia="Palatino Linotype" w:hAnsi="Palatino Linotype" w:cs="Palatino Linotype"/>
          <w:b/>
          <w:sz w:val="22"/>
          <w:szCs w:val="22"/>
        </w:rPr>
      </w:pPr>
    </w:p>
    <w:p w14:paraId="3B3AF13F" w14:textId="77777777" w:rsidR="00E70697" w:rsidRPr="00AA51A6" w:rsidRDefault="003C683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En el presente asunto, el Sujeto Obligado en el oficio de respuesta entregó la dirección electrónica en formato cerrado, lo que propicia que el Recurrente deba transcribir cada uno de los caracteres, lo que facilita a errores y con ello la imposibilidad o dificultad para acceder a la información.</w:t>
      </w:r>
    </w:p>
    <w:p w14:paraId="5F45C61E" w14:textId="77777777" w:rsidR="00E70697" w:rsidRPr="00AA51A6" w:rsidRDefault="00E706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2CE4AA3" w14:textId="77777777" w:rsidR="00E70697" w:rsidRPr="00AA51A6" w:rsidRDefault="003C683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t>Sin embargo, en las mismas respuestas, el Sujeto Obligado señaló para todas las solicitudes</w:t>
      </w:r>
      <w:r w:rsidRPr="00AA51A6">
        <w:rPr>
          <w:rFonts w:ascii="Palatino Linotype" w:eastAsia="Palatino Linotype" w:hAnsi="Palatino Linotype" w:cs="Palatino Linotype"/>
          <w:sz w:val="22"/>
          <w:szCs w:val="22"/>
        </w:rPr>
        <w:t xml:space="preserve">: </w:t>
      </w:r>
    </w:p>
    <w:p w14:paraId="0F120B9C" w14:textId="77777777" w:rsidR="00E70697" w:rsidRPr="00AA51A6" w:rsidRDefault="003C6837">
      <w:pPr>
        <w:pBdr>
          <w:top w:val="nil"/>
          <w:left w:val="nil"/>
          <w:bottom w:val="nil"/>
          <w:right w:val="nil"/>
          <w:between w:val="nil"/>
        </w:pBdr>
        <w:spacing w:line="360" w:lineRule="auto"/>
        <w:ind w:left="567" w:right="843"/>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lastRenderedPageBreak/>
        <w:t xml:space="preserve">… se adjunta el link mediante el cual podrá consultar de manera directa la información requerida, así mismo es importante señalar que una vez entrando a dicho link, en la parte superior derecha podrá encontrar la sección de “Consultar Periodos Anteriores” donde podrá obtener información de los años requeridos. </w:t>
      </w:r>
      <w:hyperlink r:id="rId9" w:anchor="/info-fraccion/32/286/12">
        <w:r w:rsidRPr="00AA51A6">
          <w:rPr>
            <w:rFonts w:ascii="Palatino Linotype" w:eastAsia="Palatino Linotype" w:hAnsi="Palatino Linotype" w:cs="Palatino Linotype"/>
            <w:i/>
            <w:sz w:val="22"/>
            <w:szCs w:val="22"/>
            <w:u w:val="single"/>
          </w:rPr>
          <w:t>https://ipomex.org.mx/ipomex/#/info-fraccion/32/286/12</w:t>
        </w:r>
      </w:hyperlink>
      <w:r w:rsidRPr="00AA51A6">
        <w:rPr>
          <w:rFonts w:ascii="Palatino Linotype" w:eastAsia="Palatino Linotype" w:hAnsi="Palatino Linotype" w:cs="Palatino Linotype"/>
          <w:i/>
          <w:sz w:val="22"/>
          <w:szCs w:val="22"/>
        </w:rPr>
        <w:t xml:space="preserve"> Sin más por el momento, quedo de Usted. </w:t>
      </w:r>
    </w:p>
    <w:p w14:paraId="42542295" w14:textId="77777777" w:rsidR="00E70697" w:rsidRPr="00AA51A6" w:rsidRDefault="00E706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0BF8FD6" w14:textId="77777777" w:rsidR="00E70697" w:rsidRPr="00AA51A6" w:rsidRDefault="003C683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Al ingresar a la dirección electrónica remitida por el Sujeto Obligado, se tiene la siguiente información:</w:t>
      </w:r>
    </w:p>
    <w:p w14:paraId="3FFDD930" w14:textId="77777777" w:rsidR="00E70697" w:rsidRPr="00AA51A6" w:rsidRDefault="003C6837">
      <w:pPr>
        <w:pBdr>
          <w:top w:val="nil"/>
          <w:left w:val="nil"/>
          <w:bottom w:val="nil"/>
          <w:right w:val="nil"/>
          <w:between w:val="nil"/>
        </w:pBdr>
        <w:spacing w:line="360" w:lineRule="auto"/>
        <w:ind w:right="-150"/>
        <w:jc w:val="center"/>
        <w:rPr>
          <w:rFonts w:ascii="Palatino Linotype" w:eastAsia="Palatino Linotype" w:hAnsi="Palatino Linotype" w:cs="Palatino Linotype"/>
          <w:sz w:val="22"/>
          <w:szCs w:val="22"/>
        </w:rPr>
      </w:pPr>
      <w:r w:rsidRPr="00AA51A6">
        <w:rPr>
          <w:rFonts w:ascii="Palatino Linotype" w:eastAsia="Palatino Linotype" w:hAnsi="Palatino Linotype" w:cs="Palatino Linotype"/>
          <w:noProof/>
          <w:sz w:val="22"/>
          <w:szCs w:val="22"/>
        </w:rPr>
        <w:lastRenderedPageBreak/>
        <w:drawing>
          <wp:inline distT="0" distB="0" distL="0" distR="0" wp14:anchorId="2E6B1486" wp14:editId="5CFF2568">
            <wp:extent cx="5313946" cy="3701882"/>
            <wp:effectExtent l="0" t="0" r="0" b="0"/>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313946" cy="3701882"/>
                    </a:xfrm>
                    <a:prstGeom prst="rect">
                      <a:avLst/>
                    </a:prstGeom>
                    <a:ln/>
                  </pic:spPr>
                </pic:pic>
              </a:graphicData>
            </a:graphic>
          </wp:inline>
        </w:drawing>
      </w:r>
    </w:p>
    <w:p w14:paraId="0881D51E" w14:textId="77777777" w:rsidR="00E70697" w:rsidRPr="00AA51A6" w:rsidRDefault="003C683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noProof/>
          <w:sz w:val="22"/>
          <w:szCs w:val="22"/>
        </w:rPr>
        <w:lastRenderedPageBreak/>
        <w:drawing>
          <wp:inline distT="0" distB="0" distL="0" distR="0" wp14:anchorId="434AE09F" wp14:editId="2A98056F">
            <wp:extent cx="5756275" cy="5057140"/>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56275" cy="5057140"/>
                    </a:xfrm>
                    <a:prstGeom prst="rect">
                      <a:avLst/>
                    </a:prstGeom>
                    <a:ln/>
                  </pic:spPr>
                </pic:pic>
              </a:graphicData>
            </a:graphic>
          </wp:inline>
        </w:drawing>
      </w:r>
    </w:p>
    <w:p w14:paraId="77D988BB" w14:textId="77777777" w:rsidR="00E70697" w:rsidRPr="00AA51A6" w:rsidRDefault="00E706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F5F6DE9" w14:textId="77777777" w:rsidR="00E70697" w:rsidRPr="00AA51A6" w:rsidRDefault="003C683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Señalando que al seleccionar el apartado años anteriores, se localiza el ejercicio 2022 y 2023:</w:t>
      </w:r>
    </w:p>
    <w:p w14:paraId="3B0866C6" w14:textId="77777777" w:rsidR="00E70697" w:rsidRPr="00AA51A6" w:rsidRDefault="00E706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C5B9FC2" w14:textId="77777777" w:rsidR="00E70697" w:rsidRPr="00AA51A6" w:rsidRDefault="003C683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noProof/>
          <w:sz w:val="22"/>
          <w:szCs w:val="22"/>
        </w:rPr>
        <w:lastRenderedPageBreak/>
        <w:drawing>
          <wp:inline distT="0" distB="0" distL="0" distR="0" wp14:anchorId="25154CB7" wp14:editId="3D2CD6B5">
            <wp:extent cx="5756275" cy="3312160"/>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56275" cy="3312160"/>
                    </a:xfrm>
                    <a:prstGeom prst="rect">
                      <a:avLst/>
                    </a:prstGeom>
                    <a:ln/>
                  </pic:spPr>
                </pic:pic>
              </a:graphicData>
            </a:graphic>
          </wp:inline>
        </w:drawing>
      </w:r>
    </w:p>
    <w:p w14:paraId="720CA98B" w14:textId="77777777" w:rsidR="00E70697" w:rsidRPr="00AA51A6" w:rsidRDefault="00E706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AD1320E" w14:textId="77777777" w:rsidR="00E70697" w:rsidRPr="00AA51A6" w:rsidRDefault="003C683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Hasta este punto y contrario a lo que refiere el Particular en su recurso de revisión, se advierte que la dirección electrónica que proporcionó el Sujeto Obligado en la descripción de la respuesta sí es accesible y permite conocer información relacionada con la carátula del presupuesto de egresos de los ejercicios fiscales 2022, 2023 y 2024.</w:t>
      </w:r>
    </w:p>
    <w:p w14:paraId="767A26F6" w14:textId="77777777" w:rsidR="00E70697" w:rsidRPr="00AA51A6" w:rsidRDefault="00E706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735B084" w14:textId="77777777" w:rsidR="00E70697" w:rsidRPr="00AA51A6" w:rsidRDefault="003C683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Tal y como se aprecia en las imágenes de referencia, el Sujeto Obligado entregó los documentos donde consta el presupuesto de egresos y el presupuesto de ingresos; sin embargo, no de las documentales proporcionadas, aún y cuando se puede obtener acceso a la información, lo cierto es que no se contiene lo requerido por el particular.</w:t>
      </w:r>
    </w:p>
    <w:p w14:paraId="71C1893F" w14:textId="77777777" w:rsidR="00E70697" w:rsidRPr="00AA51A6" w:rsidRDefault="003C683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lastRenderedPageBreak/>
        <w:t>Ahora bien, el diecinueve de junio de dos mil veinticinco, a efecto de contar con mayores elementos para la emisión de la resolución, se realizó un requerimiento de información adicional, el cual fue desahogado por el Sujeto Obligado en los siguientes términos:</w:t>
      </w:r>
    </w:p>
    <w:p w14:paraId="28BB392A" w14:textId="77777777" w:rsidR="00E70697" w:rsidRPr="00AA51A6" w:rsidRDefault="00E70697">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p>
    <w:p w14:paraId="318CBCBA" w14:textId="77777777" w:rsidR="00E70697" w:rsidRPr="00AA51A6" w:rsidRDefault="003C683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Gasto corriente corresponde a erogaciones realizadas por las dependencias, entidades públicas y municipios con cargo a los capítulos 1000, 2000, 3000 y 4000;</w:t>
      </w:r>
    </w:p>
    <w:p w14:paraId="7F30F572" w14:textId="77777777" w:rsidR="00E70697" w:rsidRPr="00AA51A6" w:rsidRDefault="003C683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Los ingresos generados por la recaudación por el suministro de agua fueron destinados al registro contable de las cuentas bancarias debidamente registradas: Cuenta de Recursos Propios.</w:t>
      </w:r>
    </w:p>
    <w:p w14:paraId="14451A5E" w14:textId="77777777" w:rsidR="00E70697" w:rsidRPr="00AA51A6" w:rsidRDefault="003C683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La cuenta bancaria de recursos propios almacena los ingresos del Organismo de Agua Potable Alcantarillado y Saneamiento del Municipio de Ixtapaluca denominado por sus siglas, O.D.A.P.A.S</w:t>
      </w:r>
    </w:p>
    <w:p w14:paraId="3A1136AE" w14:textId="77777777" w:rsidR="00E70697" w:rsidRPr="00AA51A6" w:rsidRDefault="003C683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Respecto al soporte documental del ejercicio de los recursos públicos provenientes de la recaudación de ingresos por suministro de agua, durante los ejercicios fiscales 2022, 2023 y 2024, entregó direcciones electrónicas que contienen la siguiente información:</w:t>
      </w:r>
    </w:p>
    <w:p w14:paraId="416B8355" w14:textId="77777777" w:rsidR="00E70697" w:rsidRPr="00AA51A6" w:rsidRDefault="003C6837">
      <w:pPr>
        <w:numPr>
          <w:ilvl w:val="0"/>
          <w:numId w:val="5"/>
        </w:numPr>
        <w:pBdr>
          <w:top w:val="nil"/>
          <w:left w:val="nil"/>
          <w:bottom w:val="nil"/>
          <w:right w:val="nil"/>
          <w:between w:val="nil"/>
        </w:pBdr>
        <w:spacing w:line="360" w:lineRule="auto"/>
        <w:ind w:left="1134"/>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 xml:space="preserve">Estado Analítico del Ejercicio del Presupuesto de Egresos Detallado del uno de enero al treinta de septiembre de 2022. </w:t>
      </w:r>
    </w:p>
    <w:p w14:paraId="549A30B7" w14:textId="77777777" w:rsidR="00E70697" w:rsidRPr="00AA51A6" w:rsidRDefault="003C6837">
      <w:pPr>
        <w:numPr>
          <w:ilvl w:val="0"/>
          <w:numId w:val="5"/>
        </w:numPr>
        <w:pBdr>
          <w:top w:val="nil"/>
          <w:left w:val="nil"/>
          <w:bottom w:val="nil"/>
          <w:right w:val="nil"/>
          <w:between w:val="nil"/>
        </w:pBdr>
        <w:spacing w:line="360" w:lineRule="auto"/>
        <w:ind w:left="1134"/>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 xml:space="preserve">Estado Analítico del Ejercicio del Presupuesto de Egresos Detallado del uno de enero al treinta de septiembre de 2023. </w:t>
      </w:r>
    </w:p>
    <w:p w14:paraId="3A4BB858" w14:textId="77777777" w:rsidR="00E70697" w:rsidRPr="00AA51A6" w:rsidRDefault="003C6837">
      <w:pPr>
        <w:numPr>
          <w:ilvl w:val="0"/>
          <w:numId w:val="5"/>
        </w:numPr>
        <w:pBdr>
          <w:top w:val="nil"/>
          <w:left w:val="nil"/>
          <w:bottom w:val="nil"/>
          <w:right w:val="nil"/>
          <w:between w:val="nil"/>
        </w:pBdr>
        <w:spacing w:line="360" w:lineRule="auto"/>
        <w:ind w:left="1134"/>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t xml:space="preserve">Estado Analítico del Ejercicio del Presupuesto de Egresos Detallado del uno de enero al treinta de septiembre de 2024. </w:t>
      </w:r>
    </w:p>
    <w:p w14:paraId="05EBD5F9" w14:textId="77777777" w:rsidR="00E70697" w:rsidRPr="00AA51A6" w:rsidRDefault="003C6837">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A51A6">
        <w:rPr>
          <w:rFonts w:ascii="Palatino Linotype" w:eastAsia="Palatino Linotype" w:hAnsi="Palatino Linotype" w:cs="Palatino Linotype"/>
          <w:b/>
          <w:sz w:val="22"/>
          <w:szCs w:val="22"/>
        </w:rPr>
        <w:lastRenderedPageBreak/>
        <w:t>Se inserta imagen de la información relativa al año dos mil veinticuatro.</w:t>
      </w:r>
    </w:p>
    <w:p w14:paraId="437C684E" w14:textId="77777777" w:rsidR="00E70697" w:rsidRPr="00AA51A6" w:rsidRDefault="003C683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noProof/>
          <w:sz w:val="22"/>
          <w:szCs w:val="22"/>
        </w:rPr>
        <w:drawing>
          <wp:inline distT="0" distB="0" distL="0" distR="0" wp14:anchorId="7C35A981" wp14:editId="31B4AC34">
            <wp:extent cx="5756275" cy="4441190"/>
            <wp:effectExtent l="0" t="0" r="0" b="0"/>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756275" cy="4441190"/>
                    </a:xfrm>
                    <a:prstGeom prst="rect">
                      <a:avLst/>
                    </a:prstGeom>
                    <a:ln/>
                  </pic:spPr>
                </pic:pic>
              </a:graphicData>
            </a:graphic>
          </wp:inline>
        </w:drawing>
      </w:r>
    </w:p>
    <w:p w14:paraId="16BA50AE" w14:textId="77777777" w:rsidR="00E70697" w:rsidRPr="00AA51A6" w:rsidRDefault="003C683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noProof/>
          <w:sz w:val="22"/>
          <w:szCs w:val="22"/>
        </w:rPr>
        <w:lastRenderedPageBreak/>
        <w:drawing>
          <wp:inline distT="0" distB="0" distL="0" distR="0" wp14:anchorId="7B3F27EB" wp14:editId="40EB6B31">
            <wp:extent cx="5756275" cy="4371975"/>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56275" cy="4371975"/>
                    </a:xfrm>
                    <a:prstGeom prst="rect">
                      <a:avLst/>
                    </a:prstGeom>
                    <a:ln/>
                  </pic:spPr>
                </pic:pic>
              </a:graphicData>
            </a:graphic>
          </wp:inline>
        </w:drawing>
      </w:r>
    </w:p>
    <w:p w14:paraId="04B5DC9C" w14:textId="77777777" w:rsidR="00E70697" w:rsidRPr="00AA51A6" w:rsidRDefault="00E706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FDD0564" w14:textId="77777777" w:rsidR="00E70697" w:rsidRPr="00AA51A6" w:rsidRDefault="003C683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De la información vertida en contestación al requerimiento de información se llegan a las siguientes conclusiones:</w:t>
      </w:r>
    </w:p>
    <w:p w14:paraId="6D24BA6C" w14:textId="77777777" w:rsidR="00E70697" w:rsidRPr="00AA51A6" w:rsidRDefault="00E706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510AD0F" w14:textId="77777777" w:rsidR="00E70697" w:rsidRPr="00AA51A6" w:rsidRDefault="003C683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Los ingresos recaudados por el suministro de agua potable son enterados a la cuenta de recursos propios; sin embargo, esta cuenta, no es exclusiva para dichos ingresos, ya que dichas cuentas </w:t>
      </w:r>
      <w:r w:rsidRPr="00AA51A6">
        <w:rPr>
          <w:rFonts w:ascii="Palatino Linotype" w:eastAsia="Palatino Linotype" w:hAnsi="Palatino Linotype" w:cs="Palatino Linotype"/>
          <w:sz w:val="22"/>
          <w:szCs w:val="22"/>
        </w:rPr>
        <w:lastRenderedPageBreak/>
        <w:t xml:space="preserve">son </w:t>
      </w:r>
      <w:proofErr w:type="spellStart"/>
      <w:r w:rsidRPr="00AA51A6">
        <w:rPr>
          <w:rFonts w:ascii="Palatino Linotype" w:eastAsia="Palatino Linotype" w:hAnsi="Palatino Linotype" w:cs="Palatino Linotype"/>
          <w:sz w:val="22"/>
          <w:szCs w:val="22"/>
        </w:rPr>
        <w:t>aperturadas</w:t>
      </w:r>
      <w:proofErr w:type="spellEnd"/>
      <w:r w:rsidRPr="00AA51A6">
        <w:rPr>
          <w:rFonts w:ascii="Palatino Linotype" w:eastAsia="Palatino Linotype" w:hAnsi="Palatino Linotype" w:cs="Palatino Linotype"/>
          <w:sz w:val="22"/>
          <w:szCs w:val="22"/>
        </w:rPr>
        <w:t xml:space="preserve"> para ingresar todos los recursos provenientes de los trámites o servicios que ofrecen los entes públicos, para el caso del Organismo de Agua de Ixtapaluca, se ofertan los siguientes conceptos </w:t>
      </w:r>
    </w:p>
    <w:p w14:paraId="5BCBDA9C" w14:textId="77777777" w:rsidR="00E70697" w:rsidRPr="00AA51A6" w:rsidRDefault="00E706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68E7B6C" w14:textId="77777777" w:rsidR="00E70697" w:rsidRPr="00AA51A6" w:rsidRDefault="003C683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noProof/>
          <w:sz w:val="22"/>
          <w:szCs w:val="22"/>
        </w:rPr>
        <w:drawing>
          <wp:inline distT="0" distB="0" distL="0" distR="0" wp14:anchorId="227C045B" wp14:editId="0ABFCA77">
            <wp:extent cx="5756275" cy="3924935"/>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56275" cy="3924935"/>
                    </a:xfrm>
                    <a:prstGeom prst="rect">
                      <a:avLst/>
                    </a:prstGeom>
                    <a:ln/>
                  </pic:spPr>
                </pic:pic>
              </a:graphicData>
            </a:graphic>
          </wp:inline>
        </w:drawing>
      </w:r>
    </w:p>
    <w:p w14:paraId="1321B587" w14:textId="77777777" w:rsidR="00E70697" w:rsidRPr="00AA51A6" w:rsidRDefault="00E706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F3DC6F9" w14:textId="77777777" w:rsidR="00E70697" w:rsidRPr="00AA51A6" w:rsidRDefault="003C683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A manera de ejemplo, se informa el trámite de cambio de nombre: </w:t>
      </w:r>
    </w:p>
    <w:p w14:paraId="50070A82" w14:textId="77777777" w:rsidR="00E70697" w:rsidRPr="00AA51A6" w:rsidRDefault="00E706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92B0514" w14:textId="77777777" w:rsidR="00E70697" w:rsidRPr="00AA51A6" w:rsidRDefault="003C683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noProof/>
          <w:sz w:val="22"/>
          <w:szCs w:val="22"/>
        </w:rPr>
        <w:lastRenderedPageBreak/>
        <w:drawing>
          <wp:inline distT="0" distB="0" distL="0" distR="0" wp14:anchorId="7AC6DB91" wp14:editId="39E24D8D">
            <wp:extent cx="5756275" cy="2817495"/>
            <wp:effectExtent l="0" t="0" r="0" b="0"/>
            <wp:docPr id="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756275" cy="2817495"/>
                    </a:xfrm>
                    <a:prstGeom prst="rect">
                      <a:avLst/>
                    </a:prstGeom>
                    <a:ln/>
                  </pic:spPr>
                </pic:pic>
              </a:graphicData>
            </a:graphic>
          </wp:inline>
        </w:drawing>
      </w:r>
    </w:p>
    <w:p w14:paraId="426EA0AA" w14:textId="77777777" w:rsidR="00E70697" w:rsidRPr="00AA51A6" w:rsidRDefault="00E706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9166FC7" w14:textId="77777777" w:rsidR="00E70697" w:rsidRPr="00AA51A6" w:rsidRDefault="003C683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Tal y como se aprecia de la imagen de referencia, el cambio de nombre de algún servicio tiene costo de $938 (novecientos treinta y ocho pesos) los cuales son considerados ingresos propios y comparten la misma cuenta bancaria que los ingresos recaudados por el suministro de agua potable. </w:t>
      </w:r>
    </w:p>
    <w:p w14:paraId="5CCAECD9" w14:textId="77777777" w:rsidR="00E70697" w:rsidRPr="00AA51A6" w:rsidRDefault="00E706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FED2C94" w14:textId="77777777" w:rsidR="00E70697" w:rsidRPr="00AA51A6" w:rsidRDefault="003C683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Dado que todos los ingresos que recibe el Sujeto Obligado por los distintos trámites o servicios que ofrece se concentran en una sola cuenta bancaria, resulta imposible determinar con precisión el destino específico del recurso proveniente del suministro de agua.</w:t>
      </w:r>
    </w:p>
    <w:p w14:paraId="78D40B3F" w14:textId="77777777" w:rsidR="00E70697" w:rsidRPr="00AA51A6" w:rsidRDefault="00E706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9C055DC" w14:textId="77777777" w:rsidR="00E70697" w:rsidRPr="00AA51A6" w:rsidRDefault="003C683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Si bien, es posible identificar el origen de los ingresos que recibe el Sujeto Obligado, toda vez que se registran de acuerdo con su naturaleza y concepto específico, una vez que estos son </w:t>
      </w:r>
      <w:r w:rsidRPr="00AA51A6">
        <w:rPr>
          <w:rFonts w:ascii="Palatino Linotype" w:eastAsia="Palatino Linotype" w:hAnsi="Palatino Linotype" w:cs="Palatino Linotype"/>
          <w:sz w:val="22"/>
          <w:szCs w:val="22"/>
        </w:rPr>
        <w:lastRenderedPageBreak/>
        <w:t>enterados a la cuenta bancaria destinada a ingresos propios, se integran con los demás recursos captados por diversos servicios o trámites. Esta concentración de fondos al momento de realizar egresos genera una imposibilidad material para identificar de forma precisa a qué ingreso corresponde, ya que las erogaciones se realizan de manera global y sin una segregación operativa en el uso del recurso. En consecuencia, aunque el ingreso puede ser claramente rastreado, el destino específico del gasto no puede vincularse directamente a una fuente de ingreso determinada.</w:t>
      </w:r>
    </w:p>
    <w:p w14:paraId="62AAE15D" w14:textId="77777777" w:rsidR="00E70697" w:rsidRPr="00AA51A6" w:rsidRDefault="00E706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094A425" w14:textId="77777777" w:rsidR="00E70697" w:rsidRPr="00AA51A6" w:rsidRDefault="003C683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Por lo que, al no existir en los archivos del Sujeto Obligado algún documento que identifique de manera precisa y al grado de desagregación que requiere el particular, cabe señalar que el derecho de acceso a la información pública se satisface en aquellos casos en que se entregue el soporte documental en que conste la información pública, sin la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sirve de sustento el Criterio de Interpretación 03/17, emitido por el Pleno del entonces Instituto Nacional de Transparencia, Acceso a la Información y Protección de Datos Personales,  INAI, que dice: </w:t>
      </w:r>
    </w:p>
    <w:p w14:paraId="716A06D7" w14:textId="77777777" w:rsidR="00E70697" w:rsidRPr="00AA51A6" w:rsidRDefault="003C6837">
      <w:pPr>
        <w:pBdr>
          <w:top w:val="nil"/>
          <w:left w:val="nil"/>
          <w:bottom w:val="nil"/>
          <w:right w:val="nil"/>
          <w:between w:val="nil"/>
        </w:pBdr>
        <w:spacing w:after="160"/>
        <w:ind w:left="851" w:right="900"/>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i/>
          <w:sz w:val="22"/>
          <w:szCs w:val="22"/>
        </w:rPr>
        <w:t>“</w:t>
      </w:r>
      <w:r w:rsidRPr="00AA51A6">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AA51A6">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w:t>
      </w:r>
      <w:r w:rsidRPr="00AA51A6">
        <w:rPr>
          <w:rFonts w:ascii="Palatino Linotype" w:eastAsia="Palatino Linotype" w:hAnsi="Palatino Linotype" w:cs="Palatino Linotype"/>
          <w:i/>
          <w:sz w:val="22"/>
          <w:szCs w:val="22"/>
        </w:rPr>
        <w:lastRenderedPageBreak/>
        <w:t>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B95596C" w14:textId="77777777" w:rsidR="00E70697" w:rsidRPr="00AA51A6" w:rsidRDefault="00E70697">
      <w:pPr>
        <w:pBdr>
          <w:top w:val="nil"/>
          <w:left w:val="nil"/>
          <w:bottom w:val="nil"/>
          <w:right w:val="nil"/>
          <w:between w:val="nil"/>
        </w:pBdr>
        <w:ind w:left="720"/>
        <w:rPr>
          <w:rFonts w:ascii="Palatino Linotype" w:eastAsia="Palatino Linotype" w:hAnsi="Palatino Linotype" w:cs="Palatino Linotype"/>
          <w:sz w:val="22"/>
          <w:szCs w:val="22"/>
        </w:rPr>
      </w:pPr>
    </w:p>
    <w:p w14:paraId="7B944CB0" w14:textId="77777777" w:rsidR="00E70697" w:rsidRPr="00AA51A6" w:rsidRDefault="003C6837">
      <w:pPr>
        <w:spacing w:before="240" w:after="240" w:line="360" w:lineRule="auto"/>
        <w:ind w:right="96"/>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Por lo tanto, en virtud de  los argumentos expuestos con anterioridad así como del análisis realizado a las constancias que obran en el expediente electrónico, al no obrar en los archivos del Sujeto Obligado los documentos que den cuenta de lo requerido por el Particular, por no existir fuente obligacional de generarla al grado de desagregación solicitada, es que se determina </w:t>
      </w:r>
      <w:r w:rsidRPr="00AA51A6">
        <w:rPr>
          <w:rFonts w:ascii="Palatino Linotype" w:eastAsia="Palatino Linotype" w:hAnsi="Palatino Linotype" w:cs="Palatino Linotype"/>
          <w:i/>
          <w:sz w:val="22"/>
          <w:szCs w:val="22"/>
        </w:rPr>
        <w:t xml:space="preserve">sobreseer </w:t>
      </w:r>
      <w:r w:rsidRPr="00AA51A6">
        <w:rPr>
          <w:rFonts w:ascii="Palatino Linotype" w:eastAsia="Palatino Linotype" w:hAnsi="Palatino Linotype" w:cs="Palatino Linotype"/>
          <w:sz w:val="22"/>
          <w:szCs w:val="22"/>
        </w:rPr>
        <w:t>el presente recurso de revisión por actualizarse la causal de sobreseimiento prevista en la fracción V del artículo 192 de la Ley de Transparencia y Acceso a la Información Pública del Estado de México y Municipios, el que se transcribe a continuación, para un mejor entendimiento:</w:t>
      </w:r>
    </w:p>
    <w:p w14:paraId="034EEE95" w14:textId="77777777" w:rsidR="00E70697" w:rsidRPr="00AA51A6" w:rsidRDefault="003C6837">
      <w:pPr>
        <w:tabs>
          <w:tab w:val="left" w:pos="7938"/>
        </w:tabs>
        <w:spacing w:before="120" w:after="120"/>
        <w:ind w:left="851" w:right="902"/>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w:t>
      </w:r>
      <w:r w:rsidRPr="00AA51A6">
        <w:rPr>
          <w:rFonts w:ascii="Palatino Linotype" w:eastAsia="Palatino Linotype" w:hAnsi="Palatino Linotype" w:cs="Palatino Linotype"/>
          <w:b/>
          <w:i/>
          <w:sz w:val="22"/>
          <w:szCs w:val="22"/>
        </w:rPr>
        <w:t>Artículo 192.</w:t>
      </w:r>
      <w:r w:rsidRPr="00AA51A6">
        <w:rPr>
          <w:rFonts w:ascii="Palatino Linotype" w:eastAsia="Palatino Linotype" w:hAnsi="Palatino Linotype" w:cs="Palatino Linotype"/>
          <w:i/>
          <w:sz w:val="22"/>
          <w:szCs w:val="22"/>
        </w:rPr>
        <w:t xml:space="preserve"> El recurso será sobreseído, en todo o en parte, cuando una vez admitido, se actualicen alguno de los siguientes supuestos:</w:t>
      </w:r>
    </w:p>
    <w:p w14:paraId="06237A50" w14:textId="77777777" w:rsidR="00E70697" w:rsidRPr="00AA51A6" w:rsidRDefault="003C6837">
      <w:pPr>
        <w:tabs>
          <w:tab w:val="left" w:pos="7938"/>
        </w:tabs>
        <w:spacing w:before="120" w:after="120"/>
        <w:ind w:left="1134" w:right="902"/>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w:t>
      </w:r>
    </w:p>
    <w:p w14:paraId="1A17FAAD" w14:textId="77777777" w:rsidR="00E70697" w:rsidRPr="00AA51A6" w:rsidRDefault="003C6837">
      <w:pPr>
        <w:tabs>
          <w:tab w:val="left" w:pos="7938"/>
        </w:tabs>
        <w:spacing w:before="120" w:after="120"/>
        <w:ind w:left="851" w:right="902"/>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V. Cuando por cualquier motivo quede sin materia el recurso. “</w:t>
      </w:r>
    </w:p>
    <w:p w14:paraId="24F87E61" w14:textId="77777777" w:rsidR="00E70697" w:rsidRPr="00AA51A6" w:rsidRDefault="00E70697">
      <w:pPr>
        <w:tabs>
          <w:tab w:val="left" w:pos="7938"/>
        </w:tabs>
        <w:spacing w:before="120" w:after="120"/>
        <w:ind w:left="851" w:right="902"/>
        <w:jc w:val="both"/>
        <w:rPr>
          <w:rFonts w:ascii="Palatino Linotype" w:eastAsia="Palatino Linotype" w:hAnsi="Palatino Linotype" w:cs="Palatino Linotype"/>
          <w:i/>
          <w:sz w:val="22"/>
          <w:szCs w:val="22"/>
        </w:rPr>
      </w:pPr>
    </w:p>
    <w:p w14:paraId="6C151B07" w14:textId="77777777" w:rsidR="00E70697" w:rsidRPr="00AA51A6" w:rsidRDefault="003C6837">
      <w:pPr>
        <w:spacing w:before="240"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Siendo el </w:t>
      </w:r>
      <w:r w:rsidRPr="00AA51A6">
        <w:rPr>
          <w:rFonts w:ascii="Palatino Linotype" w:eastAsia="Palatino Linotype" w:hAnsi="Palatino Linotype" w:cs="Palatino Linotype"/>
          <w:i/>
          <w:sz w:val="22"/>
          <w:szCs w:val="22"/>
        </w:rPr>
        <w:t>sobreseimiento</w:t>
      </w:r>
      <w:r w:rsidRPr="00AA51A6">
        <w:rPr>
          <w:rFonts w:ascii="Palatino Linotype" w:eastAsia="Palatino Linotype" w:hAnsi="Palatino Linotype" w:cs="Palatino Linotype"/>
          <w:sz w:val="22"/>
          <w:szCs w:val="22"/>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w:t>
      </w:r>
      <w:r w:rsidRPr="00AA51A6">
        <w:rPr>
          <w:rFonts w:ascii="Palatino Linotype" w:eastAsia="Palatino Linotype" w:hAnsi="Palatino Linotype" w:cs="Palatino Linotype"/>
          <w:sz w:val="22"/>
          <w:szCs w:val="22"/>
        </w:rPr>
        <w:lastRenderedPageBreak/>
        <w:t>estudio de fondo del asunto de que se trate; lo anterior con apoyo en el criterio del Poder Judicial de la Federación con rubro:</w:t>
      </w:r>
    </w:p>
    <w:p w14:paraId="00BABE31" w14:textId="77777777" w:rsidR="00E70697" w:rsidRPr="00AA51A6" w:rsidRDefault="003C6837">
      <w:pPr>
        <w:spacing w:after="120"/>
        <w:ind w:left="851" w:right="902"/>
        <w:jc w:val="both"/>
        <w:rPr>
          <w:rFonts w:ascii="Palatino Linotype" w:eastAsia="Palatino Linotype" w:hAnsi="Palatino Linotype" w:cs="Palatino Linotype"/>
          <w:b/>
          <w:i/>
          <w:sz w:val="22"/>
          <w:szCs w:val="22"/>
        </w:rPr>
      </w:pPr>
      <w:r w:rsidRPr="00AA51A6">
        <w:rPr>
          <w:rFonts w:ascii="Palatino Linotype" w:eastAsia="Palatino Linotype" w:hAnsi="Palatino Linotype" w:cs="Palatino Linotype"/>
          <w:i/>
          <w:sz w:val="22"/>
          <w:szCs w:val="22"/>
        </w:rPr>
        <w:t>“</w:t>
      </w:r>
      <w:r w:rsidRPr="00AA51A6">
        <w:rPr>
          <w:rFonts w:ascii="Palatino Linotype" w:eastAsia="Palatino Linotype" w:hAnsi="Palatino Linotype" w:cs="Palatino Linotype"/>
          <w:b/>
          <w:i/>
          <w:sz w:val="22"/>
          <w:szCs w:val="22"/>
        </w:rPr>
        <w:t>SOBRESEIMIENTO, NO PERMITE ENTRAR AL ESTUDIO DE LAS CUESTIONES DE FONDO</w:t>
      </w:r>
    </w:p>
    <w:p w14:paraId="171F0331" w14:textId="77777777" w:rsidR="00E70697" w:rsidRPr="00AA51A6" w:rsidRDefault="003C6837">
      <w:pPr>
        <w:spacing w:before="120" w:after="120"/>
        <w:ind w:left="851" w:right="902"/>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1BCA3AC8" w14:textId="77777777" w:rsidR="00E70697" w:rsidRPr="00AA51A6" w:rsidRDefault="003C6837">
      <w:pPr>
        <w:spacing w:before="120" w:after="120"/>
        <w:ind w:left="851" w:right="902"/>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383DD0AD" w14:textId="77777777" w:rsidR="00E70697" w:rsidRPr="00AA51A6" w:rsidRDefault="003C6837">
      <w:pPr>
        <w:spacing w:before="240" w:after="240"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367B6004" w14:textId="77777777" w:rsidR="00E70697" w:rsidRPr="00AA51A6" w:rsidRDefault="003C6837">
      <w:pPr>
        <w:spacing w:before="120" w:after="120"/>
        <w:ind w:left="851" w:right="902"/>
        <w:jc w:val="both"/>
        <w:rPr>
          <w:rFonts w:ascii="Palatino Linotype" w:eastAsia="Palatino Linotype" w:hAnsi="Palatino Linotype" w:cs="Palatino Linotype"/>
          <w:b/>
          <w:i/>
          <w:sz w:val="22"/>
          <w:szCs w:val="22"/>
        </w:rPr>
      </w:pPr>
      <w:r w:rsidRPr="00AA51A6">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361F4F79" w14:textId="77777777" w:rsidR="00E70697" w:rsidRPr="00AA51A6" w:rsidRDefault="003C6837">
      <w:pPr>
        <w:spacing w:before="120" w:after="120"/>
        <w:ind w:left="851" w:right="902"/>
        <w:jc w:val="both"/>
        <w:rPr>
          <w:rFonts w:ascii="Palatino Linotype" w:eastAsia="Palatino Linotype" w:hAnsi="Palatino Linotype" w:cs="Palatino Linotype"/>
          <w:i/>
          <w:sz w:val="22"/>
          <w:szCs w:val="22"/>
        </w:rPr>
      </w:pPr>
      <w:r w:rsidRPr="00AA51A6">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w:t>
      </w:r>
      <w:r w:rsidRPr="00AA51A6">
        <w:rPr>
          <w:rFonts w:ascii="Palatino Linotype" w:eastAsia="Palatino Linotype" w:hAnsi="Palatino Linotype" w:cs="Palatino Linotype"/>
          <w:i/>
          <w:sz w:val="22"/>
          <w:szCs w:val="22"/>
        </w:rPr>
        <w:lastRenderedPageBreak/>
        <w:t>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AA51A6">
        <w:rPr>
          <w:rFonts w:ascii="Palatino Linotype" w:eastAsia="Palatino Linotype" w:hAnsi="Palatino Linotype" w:cs="Palatino Linotype"/>
          <w:sz w:val="22"/>
          <w:szCs w:val="22"/>
        </w:rPr>
        <w:tab/>
      </w:r>
    </w:p>
    <w:p w14:paraId="6A389C83" w14:textId="77777777" w:rsidR="00E70697" w:rsidRPr="00AA51A6" w:rsidRDefault="00E70697">
      <w:pPr>
        <w:spacing w:line="360" w:lineRule="auto"/>
        <w:jc w:val="both"/>
        <w:rPr>
          <w:rFonts w:ascii="Palatino Linotype" w:eastAsia="Palatino Linotype" w:hAnsi="Palatino Linotype" w:cs="Palatino Linotype"/>
          <w:sz w:val="22"/>
          <w:szCs w:val="22"/>
        </w:rPr>
      </w:pPr>
    </w:p>
    <w:p w14:paraId="18D93957" w14:textId="77777777" w:rsidR="00E70697" w:rsidRPr="00AA51A6" w:rsidRDefault="003C6837">
      <w:pPr>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 xml:space="preserve">Bajo ese tenor con fundamento en la segunda hipótesis de la fracción I del artículo 186, de la Ley de Transparencia y Acceso a la Información Pública del Estado de México y Municipios, se determina </w:t>
      </w:r>
      <w:r w:rsidRPr="00AA51A6">
        <w:rPr>
          <w:rFonts w:ascii="Palatino Linotype" w:eastAsia="Palatino Linotype" w:hAnsi="Palatino Linotype" w:cs="Palatino Linotype"/>
          <w:b/>
          <w:sz w:val="22"/>
          <w:szCs w:val="22"/>
        </w:rPr>
        <w:t>SOBRESEER los</w:t>
      </w:r>
      <w:r w:rsidRPr="00AA51A6">
        <w:rPr>
          <w:rFonts w:ascii="Palatino Linotype" w:eastAsia="Palatino Linotype" w:hAnsi="Palatino Linotype" w:cs="Palatino Linotype"/>
          <w:sz w:val="22"/>
          <w:szCs w:val="22"/>
        </w:rPr>
        <w:t xml:space="preserve"> Recursos de Revisión </w:t>
      </w:r>
      <w:r w:rsidRPr="00AA51A6">
        <w:rPr>
          <w:rFonts w:ascii="Palatino Linotype" w:eastAsia="Palatino Linotype" w:hAnsi="Palatino Linotype" w:cs="Palatino Linotype"/>
          <w:b/>
          <w:sz w:val="22"/>
          <w:szCs w:val="22"/>
        </w:rPr>
        <w:t>03489/INFOEM/IP/RR/2025, 03490/INFOEM/IP/RR/2025 y 03491/INFOEM/IP/RR/2025</w:t>
      </w:r>
      <w:r w:rsidRPr="00AA51A6">
        <w:rPr>
          <w:rFonts w:ascii="Palatino Linotype" w:eastAsia="Palatino Linotype" w:hAnsi="Palatino Linotype" w:cs="Palatino Linotype"/>
          <w:sz w:val="22"/>
          <w:szCs w:val="22"/>
        </w:rPr>
        <w:t>, que han sido materia del presente fallo, ya que no hay elementos precisos para atender los requerimientos planteados por el particular.</w:t>
      </w:r>
    </w:p>
    <w:p w14:paraId="607979B9" w14:textId="77777777" w:rsidR="00E70697" w:rsidRPr="00AA51A6" w:rsidRDefault="00E706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F3F941C" w14:textId="77777777" w:rsidR="00E70697" w:rsidRPr="00AA51A6" w:rsidRDefault="003C6837">
      <w:pPr>
        <w:numPr>
          <w:ilvl w:val="0"/>
          <w:numId w:val="2"/>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bookmarkStart w:id="4" w:name="_heading=h.jl0dlasot4f" w:colFirst="0" w:colLast="0"/>
      <w:bookmarkEnd w:id="4"/>
      <w:r w:rsidRPr="00AA51A6">
        <w:rPr>
          <w:rFonts w:ascii="Palatino Linotype" w:eastAsia="Palatino Linotype" w:hAnsi="Palatino Linotype" w:cs="Palatino Linotype"/>
          <w:b/>
          <w:sz w:val="22"/>
          <w:szCs w:val="22"/>
        </w:rPr>
        <w:t>R E S U E L V E:</w:t>
      </w:r>
    </w:p>
    <w:p w14:paraId="3521D136" w14:textId="77777777" w:rsidR="00E70697" w:rsidRPr="00AA51A6" w:rsidRDefault="003C6837">
      <w:pPr>
        <w:spacing w:before="240" w:after="240"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t xml:space="preserve">Primero. </w:t>
      </w:r>
      <w:r w:rsidRPr="00AA51A6">
        <w:rPr>
          <w:rFonts w:ascii="Palatino Linotype" w:eastAsia="Palatino Linotype" w:hAnsi="Palatino Linotype" w:cs="Palatino Linotype"/>
          <w:sz w:val="22"/>
          <w:szCs w:val="22"/>
        </w:rPr>
        <w:t xml:space="preserve">Se </w:t>
      </w:r>
      <w:r w:rsidRPr="00AA51A6">
        <w:rPr>
          <w:rFonts w:ascii="Palatino Linotype" w:eastAsia="Palatino Linotype" w:hAnsi="Palatino Linotype" w:cs="Palatino Linotype"/>
          <w:b/>
          <w:sz w:val="22"/>
          <w:szCs w:val="22"/>
        </w:rPr>
        <w:t>SOBRESEEN</w:t>
      </w:r>
      <w:r w:rsidRPr="00AA51A6">
        <w:rPr>
          <w:rFonts w:ascii="Palatino Linotype" w:eastAsia="Palatino Linotype" w:hAnsi="Palatino Linotype" w:cs="Palatino Linotype"/>
          <w:sz w:val="22"/>
          <w:szCs w:val="22"/>
        </w:rPr>
        <w:t xml:space="preserve"> el Recurso de Revisión </w:t>
      </w:r>
      <w:r w:rsidRPr="00AA51A6">
        <w:rPr>
          <w:rFonts w:ascii="Palatino Linotype" w:eastAsia="Palatino Linotype" w:hAnsi="Palatino Linotype" w:cs="Palatino Linotype"/>
          <w:b/>
          <w:sz w:val="22"/>
          <w:szCs w:val="22"/>
        </w:rPr>
        <w:t>03489/INFOEM/IP/RR/2025, 03490/INFOEM/IP/RR/2025 y 03491/INFOEM/IP/RR/2025</w:t>
      </w:r>
      <w:r w:rsidRPr="00AA51A6">
        <w:rPr>
          <w:rFonts w:ascii="Palatino Linotype" w:eastAsia="Palatino Linotype" w:hAnsi="Palatino Linotype" w:cs="Palatino Linotype"/>
          <w:sz w:val="22"/>
          <w:szCs w:val="22"/>
        </w:rPr>
        <w:t>, porque al quedarse sin materia</w:t>
      </w:r>
      <w:r w:rsidRPr="00AA51A6">
        <w:rPr>
          <w:rFonts w:ascii="Palatino Linotype" w:eastAsia="Palatino Linotype" w:hAnsi="Palatino Linotype" w:cs="Palatino Linotype"/>
          <w:b/>
          <w:sz w:val="22"/>
          <w:szCs w:val="22"/>
        </w:rPr>
        <w:t>,</w:t>
      </w:r>
      <w:r w:rsidRPr="00AA51A6">
        <w:rPr>
          <w:rFonts w:ascii="Palatino Linotype" w:eastAsia="Palatino Linotype" w:hAnsi="Palatino Linotype" w:cs="Palatino Linotype"/>
          <w:sz w:val="22"/>
          <w:szCs w:val="22"/>
        </w:rPr>
        <w:t xml:space="preserve"> se actualizó la causal prevista en el artículo 192, fracción V, de la Ley de Transparencia y Acceso a la Información Pública del Estado de México y Municipios, en términos del Considerando </w:t>
      </w:r>
      <w:r w:rsidRPr="00AA51A6">
        <w:rPr>
          <w:rFonts w:ascii="Palatino Linotype" w:eastAsia="Palatino Linotype" w:hAnsi="Palatino Linotype" w:cs="Palatino Linotype"/>
          <w:b/>
          <w:sz w:val="22"/>
          <w:szCs w:val="22"/>
        </w:rPr>
        <w:t xml:space="preserve">Tercero </w:t>
      </w:r>
      <w:r w:rsidRPr="00AA51A6">
        <w:rPr>
          <w:rFonts w:ascii="Palatino Linotype" w:eastAsia="Palatino Linotype" w:hAnsi="Palatino Linotype" w:cs="Palatino Linotype"/>
          <w:sz w:val="22"/>
          <w:szCs w:val="22"/>
        </w:rPr>
        <w:t>de la presente Resolución.</w:t>
      </w:r>
    </w:p>
    <w:p w14:paraId="6D63D2B1" w14:textId="77777777" w:rsidR="00E70697" w:rsidRPr="00AA51A6" w:rsidRDefault="003C6837">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t xml:space="preserve">Segundo. Notifíquese, </w:t>
      </w:r>
      <w:r w:rsidRPr="00AA51A6">
        <w:rPr>
          <w:rFonts w:ascii="Palatino Linotype" w:eastAsia="Palatino Linotype" w:hAnsi="Palatino Linotype" w:cs="Palatino Linotype"/>
          <w:sz w:val="22"/>
          <w:szCs w:val="22"/>
        </w:rPr>
        <w:t>vía</w:t>
      </w:r>
      <w:r w:rsidRPr="00AA51A6">
        <w:rPr>
          <w:rFonts w:ascii="Palatino Linotype" w:eastAsia="Palatino Linotype" w:hAnsi="Palatino Linotype" w:cs="Palatino Linotype"/>
          <w:b/>
          <w:sz w:val="22"/>
          <w:szCs w:val="22"/>
        </w:rPr>
        <w:t xml:space="preserve"> SAIMEX,</w:t>
      </w:r>
      <w:r w:rsidRPr="00AA51A6">
        <w:rPr>
          <w:rFonts w:ascii="Palatino Linotype" w:eastAsia="Palatino Linotype" w:hAnsi="Palatino Linotype" w:cs="Palatino Linotype"/>
          <w:sz w:val="22"/>
          <w:szCs w:val="22"/>
        </w:rPr>
        <w:t xml:space="preserve"> al Titular de la Unidad de Transparencia del </w:t>
      </w:r>
      <w:r w:rsidRPr="00AA51A6">
        <w:rPr>
          <w:rFonts w:ascii="Palatino Linotype" w:eastAsia="Palatino Linotype" w:hAnsi="Palatino Linotype" w:cs="Palatino Linotype"/>
          <w:b/>
          <w:sz w:val="22"/>
          <w:szCs w:val="22"/>
        </w:rPr>
        <w:t>Sujeto Obligado</w:t>
      </w:r>
      <w:r w:rsidRPr="00AA51A6">
        <w:rPr>
          <w:rFonts w:ascii="Palatino Linotype" w:eastAsia="Palatino Linotype" w:hAnsi="Palatino Linotype" w:cs="Palatino Linotype"/>
          <w:sz w:val="22"/>
          <w:szCs w:val="22"/>
        </w:rPr>
        <w:t xml:space="preserve"> la presente resolución, para su conocimiento.</w:t>
      </w:r>
    </w:p>
    <w:p w14:paraId="2996B47B" w14:textId="77777777" w:rsidR="00E70697" w:rsidRPr="00AA51A6" w:rsidRDefault="00E70697">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sz w:val="22"/>
          <w:szCs w:val="22"/>
        </w:rPr>
      </w:pPr>
    </w:p>
    <w:p w14:paraId="1596A6FB" w14:textId="77777777" w:rsidR="00E70697" w:rsidRPr="00AA51A6" w:rsidRDefault="003C6837">
      <w:pPr>
        <w:spacing w:line="360" w:lineRule="auto"/>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b/>
          <w:sz w:val="22"/>
          <w:szCs w:val="22"/>
        </w:rPr>
        <w:lastRenderedPageBreak/>
        <w:t xml:space="preserve">Tercero. Notifíquese, </w:t>
      </w:r>
      <w:r w:rsidRPr="00AA51A6">
        <w:rPr>
          <w:rFonts w:ascii="Palatino Linotype" w:eastAsia="Palatino Linotype" w:hAnsi="Palatino Linotype" w:cs="Palatino Linotype"/>
          <w:sz w:val="22"/>
          <w:szCs w:val="22"/>
        </w:rPr>
        <w:t>vía</w:t>
      </w:r>
      <w:r w:rsidRPr="00AA51A6">
        <w:rPr>
          <w:rFonts w:ascii="Palatino Linotype" w:eastAsia="Palatino Linotype" w:hAnsi="Palatino Linotype" w:cs="Palatino Linotype"/>
          <w:b/>
          <w:sz w:val="22"/>
          <w:szCs w:val="22"/>
        </w:rPr>
        <w:t xml:space="preserve"> SAIMEX</w:t>
      </w:r>
      <w:r w:rsidRPr="00AA51A6">
        <w:rPr>
          <w:rFonts w:ascii="Palatino Linotype" w:eastAsia="Palatino Linotype" w:hAnsi="Palatino Linotype" w:cs="Palatino Linotype"/>
          <w:sz w:val="22"/>
          <w:szCs w:val="22"/>
        </w:rPr>
        <w:t>, a</w:t>
      </w:r>
      <w:r w:rsidRPr="00AA51A6">
        <w:rPr>
          <w:rFonts w:ascii="Palatino Linotype" w:eastAsia="Palatino Linotype" w:hAnsi="Palatino Linotype" w:cs="Palatino Linotype"/>
          <w:b/>
          <w:sz w:val="22"/>
          <w:szCs w:val="22"/>
        </w:rPr>
        <w:t xml:space="preserve"> la parte</w:t>
      </w:r>
      <w:r w:rsidRPr="00AA51A6">
        <w:rPr>
          <w:rFonts w:ascii="Palatino Linotype" w:eastAsia="Palatino Linotype" w:hAnsi="Palatino Linotype" w:cs="Palatino Linotype"/>
          <w:sz w:val="22"/>
          <w:szCs w:val="22"/>
        </w:rPr>
        <w:t xml:space="preserve"> </w:t>
      </w:r>
      <w:r w:rsidRPr="00AA51A6">
        <w:rPr>
          <w:rFonts w:ascii="Palatino Linotype" w:eastAsia="Palatino Linotype" w:hAnsi="Palatino Linotype" w:cs="Palatino Linotype"/>
          <w:b/>
          <w:sz w:val="22"/>
          <w:szCs w:val="22"/>
        </w:rPr>
        <w:t>Recurrente</w:t>
      </w:r>
      <w:r w:rsidRPr="00AA51A6">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4F90ABEC" w14:textId="77777777" w:rsidR="00E70697" w:rsidRPr="00AA51A6" w:rsidRDefault="00E70697">
      <w:pPr>
        <w:spacing w:line="360" w:lineRule="auto"/>
        <w:jc w:val="both"/>
        <w:rPr>
          <w:rFonts w:ascii="Palatino Linotype" w:eastAsia="Palatino Linotype" w:hAnsi="Palatino Linotype" w:cs="Palatino Linotype"/>
          <w:b/>
          <w:sz w:val="22"/>
          <w:szCs w:val="22"/>
        </w:rPr>
      </w:pPr>
    </w:p>
    <w:p w14:paraId="7C20542C" w14:textId="0FA9906D" w:rsidR="00E70697" w:rsidRPr="002022B7" w:rsidRDefault="003C6837">
      <w:pPr>
        <w:spacing w:line="360" w:lineRule="auto"/>
        <w:ind w:right="-93"/>
        <w:jc w:val="both"/>
        <w:rPr>
          <w:rFonts w:ascii="Palatino Linotype" w:eastAsia="Palatino Linotype" w:hAnsi="Palatino Linotype" w:cs="Palatino Linotype"/>
          <w:sz w:val="22"/>
          <w:szCs w:val="22"/>
        </w:rPr>
      </w:pPr>
      <w:r w:rsidRPr="00AA51A6">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2022B7" w:rsidRPr="00AA51A6">
        <w:rPr>
          <w:rFonts w:ascii="Palatino Linotype" w:eastAsia="Palatino Linotype" w:hAnsi="Palatino Linotype" w:cs="Palatino Linotype"/>
          <w:sz w:val="22"/>
          <w:szCs w:val="22"/>
        </w:rPr>
        <w:t xml:space="preserve"> </w:t>
      </w:r>
      <w:r w:rsidR="002022B7" w:rsidRPr="00AA51A6">
        <w:rPr>
          <w:rFonts w:ascii="Palatino Linotype" w:eastAsia="Palatino Linotype" w:hAnsi="Palatino Linotype" w:cs="Palatino Linotype"/>
        </w:rPr>
        <w:t>(AUSENCIA JUSTIFICADA)</w:t>
      </w:r>
      <w:r w:rsidRPr="00AA51A6">
        <w:rPr>
          <w:rFonts w:ascii="Palatino Linotype" w:eastAsia="Palatino Linotype" w:hAnsi="Palatino Linotype" w:cs="Palatino Linotype"/>
          <w:sz w:val="22"/>
          <w:szCs w:val="22"/>
        </w:rPr>
        <w:t>, SHARON CRISTINA MORALES MARTÍNEZ, LUIS GUSTAVO PARRA NORIEGA Y GUADALUPE RAMÍREZ PEÑA; EN LA VIGÉSIMA QUINTA SESIÓN ORDINARIA CELEBRADA EL NUEVE DE JULIO DE DOS MIL VEINTICINCO, ANTE EL SECRETARIO TÉCNICO DEL PLENO ALEXIS TAPIA RAMÍREZ.</w:t>
      </w:r>
    </w:p>
    <w:p w14:paraId="7F4A1B36" w14:textId="77777777" w:rsidR="00E70697" w:rsidRPr="002022B7" w:rsidRDefault="00E70697">
      <w:pPr>
        <w:spacing w:line="360" w:lineRule="auto"/>
        <w:ind w:right="-93"/>
        <w:jc w:val="both"/>
        <w:rPr>
          <w:rFonts w:ascii="Palatino Linotype" w:eastAsia="Palatino Linotype" w:hAnsi="Palatino Linotype" w:cs="Palatino Linotype"/>
          <w:sz w:val="22"/>
          <w:szCs w:val="22"/>
        </w:rPr>
      </w:pPr>
    </w:p>
    <w:p w14:paraId="5902D0F0" w14:textId="77777777" w:rsidR="00E70697" w:rsidRPr="002022B7" w:rsidRDefault="00E70697">
      <w:pPr>
        <w:spacing w:line="360" w:lineRule="auto"/>
        <w:ind w:right="-93"/>
        <w:jc w:val="both"/>
        <w:rPr>
          <w:rFonts w:ascii="Palatino Linotype" w:eastAsia="Palatino Linotype" w:hAnsi="Palatino Linotype" w:cs="Palatino Linotype"/>
          <w:sz w:val="22"/>
          <w:szCs w:val="22"/>
        </w:rPr>
      </w:pPr>
    </w:p>
    <w:p w14:paraId="5C167DCC" w14:textId="77777777" w:rsidR="00E70697" w:rsidRPr="002022B7" w:rsidRDefault="00E70697">
      <w:pPr>
        <w:spacing w:line="360" w:lineRule="auto"/>
        <w:ind w:right="-93"/>
        <w:jc w:val="both"/>
        <w:rPr>
          <w:rFonts w:ascii="Palatino Linotype" w:eastAsia="Palatino Linotype" w:hAnsi="Palatino Linotype" w:cs="Palatino Linotype"/>
          <w:sz w:val="22"/>
          <w:szCs w:val="22"/>
        </w:rPr>
      </w:pPr>
    </w:p>
    <w:p w14:paraId="65E4E98D" w14:textId="77777777" w:rsidR="00E70697" w:rsidRPr="002022B7" w:rsidRDefault="00E70697">
      <w:pPr>
        <w:spacing w:line="360" w:lineRule="auto"/>
        <w:ind w:right="-93"/>
        <w:jc w:val="both"/>
        <w:rPr>
          <w:rFonts w:ascii="Palatino Linotype" w:eastAsia="Palatino Linotype" w:hAnsi="Palatino Linotype" w:cs="Palatino Linotype"/>
          <w:sz w:val="22"/>
          <w:szCs w:val="22"/>
        </w:rPr>
      </w:pPr>
    </w:p>
    <w:p w14:paraId="19E0BC63" w14:textId="77777777" w:rsidR="00E70697" w:rsidRPr="002022B7" w:rsidRDefault="00E70697">
      <w:pPr>
        <w:spacing w:line="360" w:lineRule="auto"/>
        <w:ind w:right="-93"/>
        <w:jc w:val="both"/>
        <w:rPr>
          <w:rFonts w:ascii="Palatino Linotype" w:eastAsia="Palatino Linotype" w:hAnsi="Palatino Linotype" w:cs="Palatino Linotype"/>
          <w:sz w:val="22"/>
          <w:szCs w:val="22"/>
        </w:rPr>
      </w:pPr>
    </w:p>
    <w:p w14:paraId="5DA7E699" w14:textId="77777777" w:rsidR="00E70697" w:rsidRPr="002022B7" w:rsidRDefault="00E70697">
      <w:pPr>
        <w:spacing w:line="360" w:lineRule="auto"/>
        <w:ind w:right="-93"/>
        <w:jc w:val="both"/>
        <w:rPr>
          <w:rFonts w:ascii="Palatino Linotype" w:eastAsia="Palatino Linotype" w:hAnsi="Palatino Linotype" w:cs="Palatino Linotype"/>
          <w:sz w:val="22"/>
          <w:szCs w:val="22"/>
        </w:rPr>
      </w:pPr>
    </w:p>
    <w:p w14:paraId="0D46641C" w14:textId="77777777" w:rsidR="00E70697" w:rsidRPr="002022B7" w:rsidRDefault="00E70697">
      <w:pPr>
        <w:spacing w:line="360" w:lineRule="auto"/>
        <w:ind w:right="-93"/>
        <w:jc w:val="both"/>
        <w:rPr>
          <w:rFonts w:ascii="Palatino Linotype" w:eastAsia="Palatino Linotype" w:hAnsi="Palatino Linotype" w:cs="Palatino Linotype"/>
          <w:sz w:val="22"/>
          <w:szCs w:val="22"/>
        </w:rPr>
      </w:pPr>
    </w:p>
    <w:p w14:paraId="607B488F" w14:textId="77777777" w:rsidR="00E70697" w:rsidRPr="002022B7" w:rsidRDefault="00E70697">
      <w:pPr>
        <w:spacing w:line="360" w:lineRule="auto"/>
        <w:ind w:right="-93"/>
        <w:jc w:val="both"/>
        <w:rPr>
          <w:rFonts w:ascii="Palatino Linotype" w:eastAsia="Palatino Linotype" w:hAnsi="Palatino Linotype" w:cs="Palatino Linotype"/>
          <w:sz w:val="22"/>
          <w:szCs w:val="22"/>
        </w:rPr>
      </w:pPr>
    </w:p>
    <w:p w14:paraId="749B6D3D" w14:textId="77777777" w:rsidR="00E70697" w:rsidRPr="002022B7" w:rsidRDefault="00E70697">
      <w:pPr>
        <w:spacing w:line="360" w:lineRule="auto"/>
        <w:ind w:right="-93"/>
        <w:jc w:val="both"/>
        <w:rPr>
          <w:rFonts w:ascii="Palatino Linotype" w:eastAsia="Palatino Linotype" w:hAnsi="Palatino Linotype" w:cs="Palatino Linotype"/>
          <w:sz w:val="22"/>
          <w:szCs w:val="22"/>
        </w:rPr>
      </w:pPr>
    </w:p>
    <w:p w14:paraId="09BAAE75" w14:textId="77777777" w:rsidR="00E70697" w:rsidRPr="002022B7" w:rsidRDefault="00E70697">
      <w:pPr>
        <w:spacing w:line="360" w:lineRule="auto"/>
        <w:ind w:right="-93"/>
        <w:jc w:val="both"/>
        <w:rPr>
          <w:rFonts w:ascii="Palatino Linotype" w:eastAsia="Palatino Linotype" w:hAnsi="Palatino Linotype" w:cs="Palatino Linotype"/>
          <w:sz w:val="22"/>
          <w:szCs w:val="22"/>
        </w:rPr>
      </w:pPr>
    </w:p>
    <w:p w14:paraId="59C36431" w14:textId="77777777" w:rsidR="00E70697" w:rsidRPr="002022B7" w:rsidRDefault="00E70697">
      <w:pPr>
        <w:spacing w:line="360" w:lineRule="auto"/>
        <w:ind w:right="-93"/>
        <w:jc w:val="both"/>
        <w:rPr>
          <w:rFonts w:ascii="Palatino Linotype" w:eastAsia="Palatino Linotype" w:hAnsi="Palatino Linotype" w:cs="Palatino Linotype"/>
          <w:sz w:val="22"/>
          <w:szCs w:val="22"/>
        </w:rPr>
      </w:pPr>
    </w:p>
    <w:p w14:paraId="37E793A7" w14:textId="77777777" w:rsidR="00E70697" w:rsidRPr="002022B7" w:rsidRDefault="00E70697">
      <w:pPr>
        <w:spacing w:line="360" w:lineRule="auto"/>
        <w:ind w:right="-93"/>
        <w:jc w:val="both"/>
        <w:rPr>
          <w:rFonts w:ascii="Palatino Linotype" w:eastAsia="Palatino Linotype" w:hAnsi="Palatino Linotype" w:cs="Palatino Linotype"/>
          <w:sz w:val="22"/>
          <w:szCs w:val="22"/>
        </w:rPr>
      </w:pPr>
    </w:p>
    <w:p w14:paraId="4A183E11" w14:textId="77777777" w:rsidR="00E70697" w:rsidRPr="002022B7" w:rsidRDefault="00E70697">
      <w:pPr>
        <w:spacing w:line="360" w:lineRule="auto"/>
        <w:ind w:right="-93"/>
        <w:jc w:val="both"/>
        <w:rPr>
          <w:rFonts w:ascii="Palatino Linotype" w:eastAsia="Palatino Linotype" w:hAnsi="Palatino Linotype" w:cs="Palatino Linotype"/>
          <w:sz w:val="22"/>
          <w:szCs w:val="22"/>
        </w:rPr>
      </w:pPr>
    </w:p>
    <w:p w14:paraId="1F11E832" w14:textId="77777777" w:rsidR="00E70697" w:rsidRPr="002022B7" w:rsidRDefault="00E70697">
      <w:pPr>
        <w:spacing w:line="360" w:lineRule="auto"/>
        <w:ind w:right="-93"/>
        <w:jc w:val="both"/>
        <w:rPr>
          <w:rFonts w:ascii="Palatino Linotype" w:eastAsia="Palatino Linotype" w:hAnsi="Palatino Linotype" w:cs="Palatino Linotype"/>
          <w:sz w:val="22"/>
          <w:szCs w:val="22"/>
        </w:rPr>
      </w:pPr>
    </w:p>
    <w:p w14:paraId="0D058DB9" w14:textId="77777777" w:rsidR="00E70697" w:rsidRPr="002022B7" w:rsidRDefault="00E70697">
      <w:pPr>
        <w:spacing w:line="360" w:lineRule="auto"/>
        <w:ind w:right="-93"/>
        <w:jc w:val="both"/>
        <w:rPr>
          <w:rFonts w:ascii="Palatino Linotype" w:eastAsia="Palatino Linotype" w:hAnsi="Palatino Linotype" w:cs="Palatino Linotype"/>
          <w:sz w:val="22"/>
          <w:szCs w:val="22"/>
        </w:rPr>
      </w:pPr>
    </w:p>
    <w:p w14:paraId="291AB798" w14:textId="77777777" w:rsidR="00E70697" w:rsidRPr="002022B7" w:rsidRDefault="00E70697">
      <w:pPr>
        <w:spacing w:line="360" w:lineRule="auto"/>
        <w:ind w:right="-93"/>
        <w:jc w:val="both"/>
        <w:rPr>
          <w:rFonts w:ascii="Palatino Linotype" w:eastAsia="Palatino Linotype" w:hAnsi="Palatino Linotype" w:cs="Palatino Linotype"/>
          <w:sz w:val="22"/>
          <w:szCs w:val="22"/>
        </w:rPr>
      </w:pPr>
    </w:p>
    <w:p w14:paraId="0101FD57" w14:textId="77777777" w:rsidR="00E70697" w:rsidRPr="002022B7" w:rsidRDefault="00E70697">
      <w:pPr>
        <w:spacing w:line="360" w:lineRule="auto"/>
        <w:ind w:right="-93"/>
        <w:jc w:val="both"/>
        <w:rPr>
          <w:rFonts w:ascii="Palatino Linotype" w:eastAsia="Palatino Linotype" w:hAnsi="Palatino Linotype" w:cs="Palatino Linotype"/>
          <w:sz w:val="22"/>
          <w:szCs w:val="22"/>
        </w:rPr>
      </w:pPr>
    </w:p>
    <w:p w14:paraId="4460B225" w14:textId="77777777" w:rsidR="00E70697" w:rsidRPr="002022B7" w:rsidRDefault="00E70697">
      <w:pPr>
        <w:spacing w:line="360" w:lineRule="auto"/>
        <w:ind w:right="-93"/>
        <w:jc w:val="both"/>
        <w:rPr>
          <w:rFonts w:ascii="Palatino Linotype" w:eastAsia="Palatino Linotype" w:hAnsi="Palatino Linotype" w:cs="Palatino Linotype"/>
          <w:sz w:val="22"/>
          <w:szCs w:val="22"/>
        </w:rPr>
      </w:pPr>
    </w:p>
    <w:p w14:paraId="4C9F107B" w14:textId="77777777" w:rsidR="00E70697" w:rsidRPr="002022B7" w:rsidRDefault="00E70697">
      <w:pPr>
        <w:spacing w:line="360" w:lineRule="auto"/>
        <w:ind w:right="49"/>
        <w:jc w:val="both"/>
        <w:rPr>
          <w:rFonts w:ascii="Palatino Linotype" w:eastAsia="Palatino Linotype" w:hAnsi="Palatino Linotype" w:cs="Palatino Linotype"/>
          <w:sz w:val="22"/>
          <w:szCs w:val="22"/>
        </w:rPr>
      </w:pPr>
    </w:p>
    <w:sectPr w:rsidR="00E70697" w:rsidRPr="002022B7">
      <w:headerReference w:type="default" r:id="rId17"/>
      <w:footerReference w:type="default" r:id="rId18"/>
      <w:headerReference w:type="first" r:id="rId19"/>
      <w:footerReference w:type="first" r:id="rId20"/>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15C2F" w14:textId="77777777" w:rsidR="00396E95" w:rsidRDefault="00396E95">
      <w:r>
        <w:separator/>
      </w:r>
    </w:p>
  </w:endnote>
  <w:endnote w:type="continuationSeparator" w:id="0">
    <w:p w14:paraId="14059660" w14:textId="77777777" w:rsidR="00396E95" w:rsidRDefault="00396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CAD4A" w14:textId="77777777" w:rsidR="00E70697" w:rsidRDefault="003C6837">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C26649">
      <w:rPr>
        <w:b/>
        <w:noProof/>
        <w:color w:val="000000"/>
      </w:rPr>
      <w:t>45</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C26649">
      <w:rPr>
        <w:b/>
        <w:noProof/>
        <w:color w:val="000000"/>
      </w:rPr>
      <w:t>45</w:t>
    </w:r>
    <w:r>
      <w:rPr>
        <w:b/>
        <w:color w:val="000000"/>
      </w:rPr>
      <w:fldChar w:fldCharType="end"/>
    </w:r>
  </w:p>
  <w:p w14:paraId="3210B7F7" w14:textId="77777777" w:rsidR="00E70697" w:rsidRDefault="00E7069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B2EAD" w14:textId="77777777" w:rsidR="00E70697" w:rsidRDefault="003C6837">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C26649">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C26649">
      <w:rPr>
        <w:b/>
        <w:noProof/>
        <w:color w:val="000000"/>
      </w:rPr>
      <w:t>45</w:t>
    </w:r>
    <w:r>
      <w:rPr>
        <w:b/>
        <w:color w:val="000000"/>
      </w:rPr>
      <w:fldChar w:fldCharType="end"/>
    </w:r>
  </w:p>
  <w:p w14:paraId="20BA732C" w14:textId="77777777" w:rsidR="00E70697" w:rsidRDefault="00E7069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9B9CE" w14:textId="77777777" w:rsidR="00396E95" w:rsidRDefault="00396E95">
      <w:r>
        <w:separator/>
      </w:r>
    </w:p>
  </w:footnote>
  <w:footnote w:type="continuationSeparator" w:id="0">
    <w:p w14:paraId="5422F374" w14:textId="77777777" w:rsidR="00396E95" w:rsidRDefault="00396E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D65BE" w14:textId="77777777" w:rsidR="00E70697" w:rsidRDefault="003C6837">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D6F614A" wp14:editId="04F4129A">
          <wp:simplePos x="0" y="0"/>
          <wp:positionH relativeFrom="column">
            <wp:posOffset>0</wp:posOffset>
          </wp:positionH>
          <wp:positionV relativeFrom="paragraph">
            <wp:posOffset>-401954</wp:posOffset>
          </wp:positionV>
          <wp:extent cx="7809876" cy="10165823"/>
          <wp:effectExtent l="0" t="0" r="0" b="0"/>
          <wp:wrapNone/>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E70697" w14:paraId="1EF20D8E" w14:textId="77777777">
      <w:tc>
        <w:tcPr>
          <w:tcW w:w="2551" w:type="dxa"/>
          <w:vAlign w:val="center"/>
        </w:tcPr>
        <w:p w14:paraId="1714F494" w14:textId="77777777" w:rsidR="00E70697" w:rsidRDefault="003C683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19F7A158" w14:textId="77777777" w:rsidR="00E70697" w:rsidRDefault="00E7069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4BF55CB3" w14:textId="77777777" w:rsidR="00E70697" w:rsidRDefault="003C683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03489/INFOEM/IP/RR/2025 y acumulados</w:t>
          </w:r>
        </w:p>
      </w:tc>
    </w:tr>
    <w:tr w:rsidR="00E70697" w14:paraId="094BD952" w14:textId="77777777">
      <w:trPr>
        <w:trHeight w:val="217"/>
      </w:trPr>
      <w:tc>
        <w:tcPr>
          <w:tcW w:w="2551" w:type="dxa"/>
          <w:vAlign w:val="center"/>
        </w:tcPr>
        <w:p w14:paraId="46FEC1D9" w14:textId="77777777" w:rsidR="00E70697" w:rsidRDefault="003C683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365F83B0" w14:textId="77777777" w:rsidR="00E70697" w:rsidRDefault="003C6837">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El Organismo Descentralizado de Agua Potable Alcantarillado y Saneamiento del Municipio de Ixtapaluca denominado por sus siglas, O.D.A.P.A.S</w:t>
          </w:r>
        </w:p>
      </w:tc>
    </w:tr>
    <w:tr w:rsidR="00E70697" w14:paraId="1FC47E9B" w14:textId="77777777">
      <w:tc>
        <w:tcPr>
          <w:tcW w:w="2551" w:type="dxa"/>
          <w:vAlign w:val="center"/>
        </w:tcPr>
        <w:p w14:paraId="3DDCE539" w14:textId="77777777" w:rsidR="00E70697" w:rsidRDefault="003C683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5E528BA7" w14:textId="77777777" w:rsidR="00E70697" w:rsidRDefault="003C683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5039BA3A" w14:textId="77777777" w:rsidR="00E70697" w:rsidRDefault="00E70697">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77C0B" w14:textId="77777777" w:rsidR="00E70697" w:rsidRDefault="00E70697">
    <w:pPr>
      <w:widowControl w:val="0"/>
      <w:pBdr>
        <w:top w:val="nil"/>
        <w:left w:val="nil"/>
        <w:bottom w:val="nil"/>
        <w:right w:val="nil"/>
        <w:between w:val="nil"/>
      </w:pBdr>
      <w:rPr>
        <w:rFonts w:ascii="Palatino Linotype" w:eastAsia="Palatino Linotype" w:hAnsi="Palatino Linotype" w:cs="Palatino Linotype"/>
        <w:sz w:val="22"/>
        <w:szCs w:val="22"/>
      </w:rPr>
    </w:pPr>
  </w:p>
  <w:tbl>
    <w:tblPr>
      <w:tblStyle w:val="af7"/>
      <w:tblW w:w="5603" w:type="dxa"/>
      <w:tblInd w:w="3611" w:type="dxa"/>
      <w:tblLayout w:type="fixed"/>
      <w:tblLook w:val="0400" w:firstRow="0" w:lastRow="0" w:firstColumn="0" w:lastColumn="0" w:noHBand="0" w:noVBand="1"/>
    </w:tblPr>
    <w:tblGrid>
      <w:gridCol w:w="2551"/>
      <w:gridCol w:w="3052"/>
    </w:tblGrid>
    <w:tr w:rsidR="00E70697" w14:paraId="7A4426B4" w14:textId="77777777">
      <w:tc>
        <w:tcPr>
          <w:tcW w:w="2551" w:type="dxa"/>
          <w:vAlign w:val="center"/>
        </w:tcPr>
        <w:p w14:paraId="4FEE7428" w14:textId="77777777" w:rsidR="00E70697" w:rsidRDefault="003C683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09EB0B49" w14:textId="77777777" w:rsidR="00E70697" w:rsidRDefault="00E7069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191CA073" w14:textId="77777777" w:rsidR="00E70697" w:rsidRDefault="003C683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03489/INFOEM/IP/RR/2025 y acumulados</w:t>
          </w:r>
        </w:p>
      </w:tc>
    </w:tr>
    <w:tr w:rsidR="00E70697" w14:paraId="0C503F36" w14:textId="77777777">
      <w:tc>
        <w:tcPr>
          <w:tcW w:w="2551" w:type="dxa"/>
          <w:vAlign w:val="center"/>
        </w:tcPr>
        <w:p w14:paraId="238DB9CF" w14:textId="77777777" w:rsidR="00E70697" w:rsidRDefault="003C683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r>
            <w:rPr>
              <w:noProof/>
            </w:rPr>
            <w:drawing>
              <wp:anchor distT="0" distB="0" distL="0" distR="0" simplePos="0" relativeHeight="251659264" behindDoc="1" locked="0" layoutInCell="1" hidden="0" allowOverlap="1" wp14:anchorId="227A52B2" wp14:editId="49C34BB5">
                <wp:simplePos x="0" y="0"/>
                <wp:positionH relativeFrom="column">
                  <wp:posOffset>-3248024</wp:posOffset>
                </wp:positionH>
                <wp:positionV relativeFrom="paragraph">
                  <wp:posOffset>-1014093</wp:posOffset>
                </wp:positionV>
                <wp:extent cx="7809865" cy="10165715"/>
                <wp:effectExtent l="0" t="0" r="0" b="0"/>
                <wp:wrapNone/>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c>
        <w:tcPr>
          <w:tcW w:w="3052" w:type="dxa"/>
          <w:vAlign w:val="center"/>
        </w:tcPr>
        <w:p w14:paraId="0F1DFBC4" w14:textId="70AF7E7F" w:rsidR="00E70697" w:rsidRDefault="00E6343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bookmarkStart w:id="5" w:name="_Hlk205373179"/>
          <w:r>
            <w:rPr>
              <w:rFonts w:ascii="Palatino Linotype" w:eastAsia="Palatino Linotype" w:hAnsi="Palatino Linotype" w:cs="Palatino Linotype"/>
              <w:b/>
              <w:color w:val="000000"/>
              <w:sz w:val="20"/>
              <w:szCs w:val="20"/>
            </w:rPr>
            <w:t>XXXXXX XXXXX XXXXXX</w:t>
          </w:r>
          <w:bookmarkEnd w:id="5"/>
        </w:p>
      </w:tc>
    </w:tr>
    <w:tr w:rsidR="00E70697" w14:paraId="7A4B2CA6" w14:textId="77777777">
      <w:trPr>
        <w:trHeight w:val="152"/>
      </w:trPr>
      <w:tc>
        <w:tcPr>
          <w:tcW w:w="2551" w:type="dxa"/>
          <w:vAlign w:val="center"/>
        </w:tcPr>
        <w:p w14:paraId="7D95A626" w14:textId="77777777" w:rsidR="00E70697" w:rsidRDefault="003C6837">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7113EE19" w14:textId="77777777" w:rsidR="00E70697" w:rsidRDefault="00E70697">
          <w:pP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24A21D4F" w14:textId="77777777" w:rsidR="00E70697" w:rsidRDefault="003C6837">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El Organismo Descentralizado de Agua Potable Alcantarillado y Saneamiento del Municipio de Ixtapaluca denominado por sus siglas, O.D.A.P.A.S.</w:t>
          </w:r>
        </w:p>
      </w:tc>
    </w:tr>
    <w:tr w:rsidR="00E70697" w14:paraId="2C17082A" w14:textId="77777777">
      <w:tc>
        <w:tcPr>
          <w:tcW w:w="2551" w:type="dxa"/>
          <w:vAlign w:val="center"/>
        </w:tcPr>
        <w:p w14:paraId="30FCCB0D" w14:textId="77777777" w:rsidR="00E70697" w:rsidRDefault="003C683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052" w:type="dxa"/>
          <w:vAlign w:val="center"/>
        </w:tcPr>
        <w:p w14:paraId="6D06772E" w14:textId="77777777" w:rsidR="00E70697" w:rsidRDefault="003C683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0AA0EED4" w14:textId="77777777" w:rsidR="00E70697" w:rsidRDefault="003C6837">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6311"/>
    <w:multiLevelType w:val="multilevel"/>
    <w:tmpl w:val="A1E0B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6F2F2B"/>
    <w:multiLevelType w:val="multilevel"/>
    <w:tmpl w:val="838AC76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1637A2"/>
    <w:multiLevelType w:val="multilevel"/>
    <w:tmpl w:val="DDFED5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68F57A3"/>
    <w:multiLevelType w:val="multilevel"/>
    <w:tmpl w:val="95A8C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59806DD"/>
    <w:multiLevelType w:val="multilevel"/>
    <w:tmpl w:val="F8264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E4D16BE"/>
    <w:multiLevelType w:val="multilevel"/>
    <w:tmpl w:val="55C49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EEF7B2C"/>
    <w:multiLevelType w:val="multilevel"/>
    <w:tmpl w:val="2780B9D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6"/>
  </w:num>
  <w:num w:numId="4">
    <w:abstractNumId w:val="4"/>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697"/>
    <w:rsid w:val="002022B7"/>
    <w:rsid w:val="00396E95"/>
    <w:rsid w:val="003C6837"/>
    <w:rsid w:val="00AA51A6"/>
    <w:rsid w:val="00C26649"/>
    <w:rsid w:val="00E63438"/>
    <w:rsid w:val="00E706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28627"/>
  <w15:docId w15:val="{1173E689-2C87-4B85-AA65-9532F9FFC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top w:w="15" w:type="dxa"/>
        <w:left w:w="115" w:type="dxa"/>
        <w:bottom w:w="15" w:type="dxa"/>
        <w:right w:w="115" w:type="dxa"/>
      </w:tblCellMar>
    </w:tblPr>
  </w:style>
  <w:style w:type="table" w:customStyle="1" w:styleId="a4">
    <w:basedOn w:val="TableNormal3"/>
    <w:tblPr>
      <w:tblStyleRowBandSize w:val="1"/>
      <w:tblStyleColBandSize w:val="1"/>
      <w:tblCellMar>
        <w:top w:w="15" w:type="dxa"/>
        <w:left w:w="115" w:type="dxa"/>
        <w:bottom w:w="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top w:w="15" w:type="dxa"/>
        <w:left w:w="115" w:type="dxa"/>
        <w:bottom w:w="15" w:type="dxa"/>
        <w:right w:w="115" w:type="dxa"/>
      </w:tblCellMar>
    </w:tblPr>
  </w:style>
  <w:style w:type="table" w:customStyle="1" w:styleId="aa">
    <w:basedOn w:val="TableNormal2"/>
    <w:tblPr>
      <w:tblStyleRowBandSize w:val="1"/>
      <w:tblStyleColBandSize w:val="1"/>
      <w:tblCellMar>
        <w:top w:w="15" w:type="dxa"/>
        <w:left w:w="115" w:type="dxa"/>
        <w:bottom w:w="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top w:w="15" w:type="dxa"/>
        <w:left w:w="115" w:type="dxa"/>
        <w:bottom w:w="15" w:type="dxa"/>
        <w:right w:w="115" w:type="dxa"/>
      </w:tblCellMar>
    </w:tblPr>
  </w:style>
  <w:style w:type="table" w:customStyle="1" w:styleId="af2">
    <w:basedOn w:val="TableNormal1"/>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ipomex.org.mx/ipomex/"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zp3CuQI63NQqW1BQ1G3Rz3Tidg==">CgMxLjAyCWguMWZvYjl0ZTIJaC4zem55c2g3Mg5oLnh4ZnhzY2wwaHZzdDIOaC42azdlcW9sMjBvNm4yDWguamwwZGxhc290NGY4AHIhMXNBTFVOSHJNLUZjTEZRMEJibXNNUkdUS1dEMlZXeDdL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8011</Words>
  <Characters>44061</Characters>
  <Application>Microsoft Office Word</Application>
  <DocSecurity>0</DocSecurity>
  <Lines>367</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2025-07-11T18:11:00Z</cp:lastPrinted>
  <dcterms:created xsi:type="dcterms:W3CDTF">2025-08-06T17:54:00Z</dcterms:created>
  <dcterms:modified xsi:type="dcterms:W3CDTF">2025-08-06T17:54:00Z</dcterms:modified>
</cp:coreProperties>
</file>