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7748" w14:textId="77777777" w:rsidR="00B644AA" w:rsidRDefault="00B644AA" w:rsidP="00C7445D">
      <w:pPr>
        <w:pStyle w:val="NormalINFOEM"/>
      </w:pPr>
    </w:p>
    <w:p w14:paraId="49AF2C0C" w14:textId="40702ACB"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3F322B">
        <w:t>veintisiete de agosto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31F67950"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BF6DF2">
        <w:rPr>
          <w:rFonts w:eastAsia="Palatino Linotype" w:cs="Palatino Linotype"/>
          <w:b/>
          <w:bCs/>
          <w:color w:val="000000" w:themeColor="text1"/>
          <w:lang w:val="es-ES"/>
        </w:rPr>
        <w:t>03130</w:t>
      </w:r>
      <w:r w:rsidR="00B644AA">
        <w:rPr>
          <w:rFonts w:eastAsia="Palatino Linotype" w:cs="Palatino Linotype"/>
          <w:b/>
          <w:bCs/>
          <w:color w:val="000000" w:themeColor="text1"/>
          <w:lang w:val="es-ES"/>
        </w:rPr>
        <w:t>/</w:t>
      </w:r>
      <w:proofErr w:type="spellStart"/>
      <w:r w:rsidR="00B644AA">
        <w:rPr>
          <w:rFonts w:eastAsia="Palatino Linotype" w:cs="Palatino Linotype"/>
          <w:b/>
          <w:bCs/>
          <w:color w:val="000000" w:themeColor="text1"/>
          <w:lang w:val="es-ES"/>
        </w:rPr>
        <w:t>INFOEM</w:t>
      </w:r>
      <w:proofErr w:type="spellEnd"/>
      <w:r w:rsidR="00B644AA">
        <w:rPr>
          <w:rFonts w:eastAsia="Palatino Linotype" w:cs="Palatino Linotype"/>
          <w:b/>
          <w:bCs/>
          <w:color w:val="000000" w:themeColor="text1"/>
          <w:lang w:val="es-ES"/>
        </w:rPr>
        <w:t>/IP/</w:t>
      </w:r>
      <w:proofErr w:type="spellStart"/>
      <w:r w:rsidR="00B644AA">
        <w:rPr>
          <w:rFonts w:eastAsia="Palatino Linotype" w:cs="Palatino Linotype"/>
          <w:b/>
          <w:bCs/>
          <w:color w:val="000000" w:themeColor="text1"/>
          <w:lang w:val="es-ES"/>
        </w:rPr>
        <w:t>RR</w:t>
      </w:r>
      <w:proofErr w:type="spellEnd"/>
      <w:r w:rsidR="00B644AA">
        <w:rPr>
          <w:rFonts w:eastAsia="Palatino Linotype" w:cs="Palatino Linotype"/>
          <w:b/>
          <w:bCs/>
          <w:color w:val="000000" w:themeColor="text1"/>
          <w:lang w:val="es-ES"/>
        </w:rPr>
        <w:t>/2025</w:t>
      </w:r>
      <w:r w:rsidRPr="70652167">
        <w:rPr>
          <w:rFonts w:eastAsia="Palatino Linotype" w:cs="Palatino Linotype"/>
          <w:color w:val="000000" w:themeColor="text1"/>
          <w:lang w:val="es-ES"/>
        </w:rPr>
        <w:t>, interpuesto por</w:t>
      </w:r>
      <w:r w:rsidR="00BF6DF2">
        <w:rPr>
          <w:rFonts w:eastAsia="Palatino Linotype" w:cs="Palatino Linotype"/>
          <w:color w:val="000000" w:themeColor="text1"/>
          <w:lang w:val="es-ES"/>
        </w:rPr>
        <w:t xml:space="preserve"> un ciudadano</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 xml:space="preserve">cesivo </w:t>
      </w:r>
      <w:r w:rsidR="00B644AA">
        <w:rPr>
          <w:rFonts w:eastAsia="Palatino Linotype" w:cs="Palatino Linotype"/>
          <w:color w:val="000000" w:themeColor="text1"/>
          <w:lang w:val="es-ES"/>
        </w:rPr>
        <w:t>el 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B644AA">
        <w:rPr>
          <w:rFonts w:eastAsia="Palatino Linotype" w:cs="Palatino Linotype"/>
          <w:b/>
          <w:bCs/>
          <w:color w:val="000000" w:themeColor="text1"/>
          <w:lang w:val="es-ES"/>
        </w:rPr>
        <w:t>Ayuntamiento de Toluca</w:t>
      </w:r>
      <w:r w:rsidR="00771E23" w:rsidRPr="00B644AA">
        <w:rPr>
          <w:rFonts w:eastAsia="Palatino Linotype" w:cs="Palatino Linotype"/>
          <w:bCs/>
          <w:color w:val="000000" w:themeColor="text1"/>
          <w:lang w:val="es-ES"/>
        </w:rPr>
        <w:t>,</w:t>
      </w:r>
      <w:r w:rsidR="00920835" w:rsidRPr="00B644AA">
        <w:rPr>
          <w:rFonts w:eastAsia="Palatino Linotype" w:cs="Palatino Linotype"/>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DA7376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BF6DF2">
        <w:rPr>
          <w:rFonts w:eastAsia="Palatino Linotype" w:cs="Palatino Linotype"/>
          <w:color w:val="000000"/>
          <w:szCs w:val="24"/>
        </w:rPr>
        <w:t>diecisiete</w:t>
      </w:r>
      <w:r w:rsidR="00B644AA">
        <w:rPr>
          <w:rFonts w:eastAsia="Palatino Linotype" w:cs="Palatino Linotype"/>
          <w:color w:val="000000"/>
          <w:szCs w:val="24"/>
        </w:rPr>
        <w:t xml:space="preserve">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B644AA">
        <w:rPr>
          <w:rFonts w:eastAsia="Palatino Linotype" w:cs="Palatino Linotype"/>
          <w:color w:val="000000"/>
          <w:szCs w:val="24"/>
        </w:rPr>
        <w:t>el Recurrente</w:t>
      </w:r>
      <w:r w:rsidR="00A970D5" w:rsidRPr="006922F5">
        <w:rPr>
          <w:rFonts w:eastAsia="Palatino Linotype" w:cs="Palatino Linotype"/>
          <w:color w:val="000000"/>
          <w:szCs w:val="24"/>
        </w:rPr>
        <w:t xml:space="preserv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w:t>
      </w:r>
      <w:proofErr w:type="spellStart"/>
      <w:r w:rsidR="00A970D5" w:rsidRPr="006922F5">
        <w:rPr>
          <w:rFonts w:eastAsia="Palatino Linotype" w:cs="Palatino Linotype"/>
          <w:color w:val="000000"/>
          <w:szCs w:val="24"/>
        </w:rPr>
        <w:t>SAIMEX</w:t>
      </w:r>
      <w:proofErr w:type="spellEnd"/>
      <w:r w:rsidR="00A970D5" w:rsidRPr="006922F5">
        <w:rPr>
          <w:rFonts w:eastAsia="Palatino Linotype" w:cs="Palatino Linotype"/>
          <w:color w:val="000000"/>
          <w:szCs w:val="24"/>
        </w:rPr>
        <w:t>) con el número</w:t>
      </w:r>
      <w:r w:rsidR="00642669">
        <w:rPr>
          <w:rFonts w:eastAsia="Palatino Linotype" w:cs="Palatino Linotype"/>
          <w:b/>
          <w:bCs/>
          <w:color w:val="000000"/>
          <w:szCs w:val="24"/>
        </w:rPr>
        <w:t xml:space="preserve"> </w:t>
      </w:r>
      <w:r w:rsidR="00BF6DF2" w:rsidRPr="00BF6DF2">
        <w:rPr>
          <w:rFonts w:eastAsia="Palatino Linotype" w:cs="Palatino Linotype"/>
          <w:b/>
          <w:bCs/>
          <w:color w:val="000000"/>
          <w:szCs w:val="24"/>
        </w:rPr>
        <w:t>00921/TOLUCA/IP/2025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8A8582F" w:rsidR="00A970D5" w:rsidRPr="006922F5" w:rsidRDefault="00C77E39" w:rsidP="009950AD">
      <w:pPr>
        <w:pStyle w:val="Fundamentos"/>
      </w:pPr>
      <w:proofErr w:type="gramStart"/>
      <w:r w:rsidRPr="70652167">
        <w:rPr>
          <w:lang w:val="es-ES"/>
        </w:rPr>
        <w:t>«</w:t>
      </w:r>
      <w:r w:rsidR="00BF6DF2" w:rsidRPr="00BF6DF2">
        <w:t xml:space="preserve"> Los</w:t>
      </w:r>
      <w:proofErr w:type="gramEnd"/>
      <w:r w:rsidR="00BF6DF2" w:rsidRPr="00BF6DF2">
        <w:t xml:space="preserve"> oficios firmados por la Contraloría del 1 de enero a la fecha</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 xml:space="preserve">A través del </w:t>
      </w:r>
      <w:proofErr w:type="spellStart"/>
      <w:r w:rsidR="004A6F01">
        <w:rPr>
          <w:rFonts w:eastAsia="Palatino Linotype" w:cs="Palatino Linotype"/>
          <w:b/>
          <w:color w:val="000000"/>
          <w:szCs w:val="24"/>
        </w:rPr>
        <w:t>SAIMEX</w:t>
      </w:r>
      <w:proofErr w:type="spellEnd"/>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5DB1823C" w:rsidR="00A970D5" w:rsidRPr="006922F5" w:rsidRDefault="008A6BDB"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8B316B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BF6DF2">
        <w:rPr>
          <w:rFonts w:eastAsia="Palatino Linotype" w:cs="Palatino Linotype"/>
          <w:color w:val="000000"/>
          <w:szCs w:val="24"/>
        </w:rPr>
        <w:t>once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676BDBC6" w14:textId="2A68E87D" w:rsidR="00BF6DF2" w:rsidRPr="00BF6DF2" w:rsidRDefault="23740614" w:rsidP="00BF6DF2">
      <w:pPr>
        <w:pStyle w:val="Fundamentos"/>
        <w:jc w:val="right"/>
        <w:rPr>
          <w:lang w:val="es-ES"/>
        </w:rPr>
      </w:pPr>
      <w:proofErr w:type="gramStart"/>
      <w:r w:rsidRPr="23740614">
        <w:rPr>
          <w:lang w:val="es-ES"/>
        </w:rPr>
        <w:t>«</w:t>
      </w:r>
      <w:r w:rsidR="00BF6DF2" w:rsidRPr="00BF6DF2">
        <w:t xml:space="preserve"> </w:t>
      </w:r>
      <w:r w:rsidR="00BF6DF2" w:rsidRPr="00BF6DF2">
        <w:rPr>
          <w:lang w:val="es-ES"/>
        </w:rPr>
        <w:t>Folio</w:t>
      </w:r>
      <w:proofErr w:type="gramEnd"/>
      <w:r w:rsidR="00BF6DF2" w:rsidRPr="00BF6DF2">
        <w:rPr>
          <w:lang w:val="es-ES"/>
        </w:rPr>
        <w:t xml:space="preserve"> de la solicitud: 00921/TOLUCA/IP/2025</w:t>
      </w:r>
    </w:p>
    <w:p w14:paraId="15ABDE00" w14:textId="77777777" w:rsidR="00BF6DF2" w:rsidRDefault="00BF6DF2" w:rsidP="00BF6DF2">
      <w:pPr>
        <w:pStyle w:val="Fundamentos"/>
        <w:rPr>
          <w:lang w:val="es-ES"/>
        </w:rPr>
      </w:pPr>
    </w:p>
    <w:p w14:paraId="2FDB1D16" w14:textId="77777777" w:rsidR="00BF6DF2" w:rsidRPr="00BF6DF2" w:rsidRDefault="00BF6DF2" w:rsidP="00BF6DF2">
      <w:pPr>
        <w:pStyle w:val="Fundamentos"/>
        <w:rPr>
          <w:lang w:val="es-ES"/>
        </w:rPr>
      </w:pPr>
      <w:r w:rsidRPr="00BF6DF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7070A0" w14:textId="77777777" w:rsidR="00BF6DF2" w:rsidRDefault="00BF6DF2" w:rsidP="00BF6DF2">
      <w:pPr>
        <w:pStyle w:val="Fundamentos"/>
        <w:rPr>
          <w:lang w:val="es-ES"/>
        </w:rPr>
      </w:pPr>
    </w:p>
    <w:p w14:paraId="03F7ACE3" w14:textId="77777777" w:rsidR="00BF6DF2" w:rsidRPr="00BF6DF2" w:rsidRDefault="00BF6DF2" w:rsidP="00BF6DF2">
      <w:pPr>
        <w:pStyle w:val="Fundamentos"/>
        <w:rPr>
          <w:lang w:val="es-ES"/>
        </w:rPr>
      </w:pPr>
      <w:r w:rsidRPr="00BF6DF2">
        <w:rPr>
          <w:lang w:val="es-ES"/>
        </w:rPr>
        <w:t>En atención a la solicitud con folio 0921/TOLUCA/IP/2025, me permito adjuntar al presente la respuesta correspondiente. Sin más por el momento, reciba un saludo.</w:t>
      </w:r>
    </w:p>
    <w:p w14:paraId="5D9DA707" w14:textId="77777777" w:rsidR="00BF6DF2" w:rsidRDefault="00BF6DF2" w:rsidP="00BF6DF2">
      <w:pPr>
        <w:pStyle w:val="Fundamentos"/>
        <w:rPr>
          <w:lang w:val="es-ES"/>
        </w:rPr>
      </w:pPr>
    </w:p>
    <w:p w14:paraId="4FB0366A" w14:textId="77777777" w:rsidR="00BF6DF2" w:rsidRPr="00BF6DF2" w:rsidRDefault="00BF6DF2" w:rsidP="00BF6DF2">
      <w:pPr>
        <w:pStyle w:val="Fundamentos"/>
        <w:rPr>
          <w:lang w:val="es-ES"/>
        </w:rPr>
      </w:pPr>
      <w:r w:rsidRPr="00BF6DF2">
        <w:rPr>
          <w:lang w:val="es-ES"/>
        </w:rPr>
        <w:t>ATENTAMENTE</w:t>
      </w:r>
    </w:p>
    <w:p w14:paraId="3FE4A9EF" w14:textId="362451F5" w:rsidR="00A970D5" w:rsidRPr="00034CDB" w:rsidRDefault="00BF6DF2" w:rsidP="00BF6DF2">
      <w:pPr>
        <w:pStyle w:val="Fundamentos"/>
        <w:rPr>
          <w:lang w:val="es-ES"/>
        </w:rPr>
      </w:pPr>
      <w:r w:rsidRPr="00BF6DF2">
        <w:rPr>
          <w:lang w:val="es-ES"/>
        </w:rPr>
        <w:t>Dr. Nahum Miguel Mendoza Morales</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3316735C"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El Sujeto Obligado adjuntó a l</w:t>
      </w:r>
      <w:r w:rsidR="000D4D52">
        <w:rPr>
          <w:rFonts w:eastAsia="Palatino Linotype" w:cs="Palatino Linotype"/>
          <w:color w:val="000000"/>
          <w:szCs w:val="24"/>
          <w:lang w:val="es-MX"/>
        </w:rPr>
        <w:t>a respuesta los</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w:t>
      </w:r>
      <w:r w:rsidR="000D4D52">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0D4D52">
        <w:rPr>
          <w:rFonts w:eastAsia="Palatino Linotype" w:cs="Palatino Linotype"/>
          <w:color w:val="000000"/>
          <w:szCs w:val="24"/>
          <w:lang w:val="es-MX"/>
        </w:rPr>
        <w:t xml:space="preserve">s </w:t>
      </w:r>
      <w:proofErr w:type="gramStart"/>
      <w:r w:rsidR="000D4D52" w:rsidRPr="000C723E">
        <w:rPr>
          <w:rFonts w:eastAsia="Palatino Linotype" w:cs="Palatino Linotype"/>
          <w:b/>
          <w:color w:val="000000"/>
          <w:szCs w:val="24"/>
          <w:lang w:val="es-MX"/>
        </w:rPr>
        <w:t>«</w:t>
      </w:r>
      <w:r w:rsidR="00BF6DF2" w:rsidRPr="00BF6DF2">
        <w:t xml:space="preserve"> </w:t>
      </w:r>
      <w:r w:rsidR="00BF6DF2" w:rsidRPr="00BF6DF2">
        <w:rPr>
          <w:rFonts w:eastAsia="Palatino Linotype" w:cs="Palatino Linotype"/>
          <w:b/>
          <w:color w:val="000000"/>
          <w:szCs w:val="24"/>
          <w:lang w:val="es-MX"/>
        </w:rPr>
        <w:t>OFICIOS</w:t>
      </w:r>
      <w:proofErr w:type="gramEnd"/>
      <w:r w:rsidR="00BF6DF2" w:rsidRPr="00BF6DF2">
        <w:rPr>
          <w:rFonts w:eastAsia="Palatino Linotype" w:cs="Palatino Linotype"/>
          <w:b/>
          <w:color w:val="000000"/>
          <w:szCs w:val="24"/>
          <w:lang w:val="es-MX"/>
        </w:rPr>
        <w:t xml:space="preserve"> ENERO-FEBRERO.pdf</w:t>
      </w:r>
      <w:r w:rsidR="000D4D52" w:rsidRPr="000C723E">
        <w:rPr>
          <w:rFonts w:eastAsia="Palatino Linotype" w:cs="Palatino Linotype"/>
          <w:b/>
          <w:color w:val="000000"/>
          <w:szCs w:val="24"/>
          <w:lang w:val="es-MX"/>
        </w:rPr>
        <w:t>»</w:t>
      </w:r>
      <w:r w:rsidR="000D4D52">
        <w:rPr>
          <w:rFonts w:eastAsia="Palatino Linotype" w:cs="Palatino Linotype"/>
          <w:color w:val="000000"/>
          <w:szCs w:val="24"/>
          <w:lang w:val="es-MX"/>
        </w:rPr>
        <w:t xml:space="preserve"> y</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BF6DF2" w:rsidRPr="00BF6DF2">
        <w:rPr>
          <w:rFonts w:eastAsia="Palatino Linotype" w:cs="Palatino Linotype"/>
          <w:b/>
          <w:color w:val="000000"/>
          <w:szCs w:val="24"/>
          <w:lang w:val="es-MX"/>
        </w:rPr>
        <w:t>R. 0921. 2025.pdf</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63834027" w:rsidR="00A970D5" w:rsidRPr="006922F5" w:rsidRDefault="008A6BDB"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62068D5"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4362EC">
        <w:rPr>
          <w:rFonts w:eastAsia="Palatino Linotype" w:cs="Palatino Linotype"/>
          <w:color w:val="000000"/>
          <w:szCs w:val="24"/>
        </w:rPr>
        <w:t xml:space="preserve"> emitida por el Sujeto Obligado</w:t>
      </w:r>
      <w:r w:rsidR="006726AD">
        <w:rPr>
          <w:rFonts w:eastAsia="Palatino Linotype" w:cs="Palatino Linotype"/>
          <w:color w:val="000000"/>
          <w:szCs w:val="24"/>
        </w:rPr>
        <w:t xml:space="preserve">, </w:t>
      </w:r>
      <w:r w:rsidR="00B644AA">
        <w:rPr>
          <w:rFonts w:eastAsia="Palatino Linotype" w:cs="Palatino Linotype"/>
          <w:color w:val="000000"/>
          <w:szCs w:val="24"/>
        </w:rPr>
        <w:t>el Recurrente</w:t>
      </w:r>
      <w:r w:rsidRPr="0090115A">
        <w:rPr>
          <w:rFonts w:eastAsia="Palatino Linotype" w:cs="Palatino Linotype"/>
          <w:color w:val="000000"/>
          <w:szCs w:val="24"/>
        </w:rPr>
        <w:t xml:space="preserve"> interpuso el presente recurso de revisión el</w:t>
      </w:r>
      <w:r w:rsidR="00BF6DF2">
        <w:rPr>
          <w:rFonts w:eastAsia="Palatino Linotype" w:cs="Palatino Linotype"/>
          <w:color w:val="000000"/>
          <w:szCs w:val="24"/>
        </w:rPr>
        <w:t xml:space="preserve"> dieciocho</w:t>
      </w:r>
      <w:r w:rsidR="00965C2D">
        <w:rPr>
          <w:rFonts w:eastAsia="Palatino Linotype" w:cs="Palatino Linotype"/>
          <w:color w:val="000000"/>
          <w:szCs w:val="24"/>
        </w:rPr>
        <w:t xml:space="preserve">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xml:space="preserve">, el cual se registró en el </w:t>
      </w:r>
      <w:proofErr w:type="spellStart"/>
      <w:r w:rsidRPr="0090115A">
        <w:rPr>
          <w:rFonts w:eastAsia="Palatino Linotype" w:cs="Palatino Linotype"/>
          <w:color w:val="000000"/>
          <w:szCs w:val="24"/>
        </w:rPr>
        <w:t>SAIMEX</w:t>
      </w:r>
      <w:proofErr w:type="spellEnd"/>
      <w:r w:rsidRPr="0090115A">
        <w:rPr>
          <w:rFonts w:eastAsia="Palatino Linotype" w:cs="Palatino Linotype"/>
          <w:color w:val="000000"/>
          <w:szCs w:val="24"/>
        </w:rPr>
        <w:t xml:space="preserve"> con el expediente número</w:t>
      </w:r>
      <w:r w:rsidR="00A970D5" w:rsidRPr="006922F5">
        <w:rPr>
          <w:rFonts w:eastAsia="Palatino Linotype" w:cs="Palatino Linotype"/>
          <w:color w:val="000000"/>
          <w:szCs w:val="24"/>
        </w:rPr>
        <w:t xml:space="preserve"> </w:t>
      </w:r>
      <w:r w:rsidR="00BF6DF2">
        <w:rPr>
          <w:rFonts w:eastAsia="Palatino Linotype" w:cs="Palatino Linotype"/>
          <w:b/>
          <w:color w:val="000000"/>
          <w:szCs w:val="24"/>
        </w:rPr>
        <w:t>03130</w:t>
      </w:r>
      <w:r w:rsidR="00B644AA">
        <w:rPr>
          <w:rFonts w:eastAsia="Palatino Linotype" w:cs="Palatino Linotype"/>
          <w:b/>
          <w:color w:val="000000"/>
          <w:szCs w:val="24"/>
        </w:rPr>
        <w:t>/</w:t>
      </w:r>
      <w:proofErr w:type="spellStart"/>
      <w:r w:rsidR="00B644AA">
        <w:rPr>
          <w:rFonts w:eastAsia="Palatino Linotype" w:cs="Palatino Linotype"/>
          <w:b/>
          <w:color w:val="000000"/>
          <w:szCs w:val="24"/>
        </w:rPr>
        <w:t>INFOEM</w:t>
      </w:r>
      <w:proofErr w:type="spellEnd"/>
      <w:r w:rsidR="00B644AA">
        <w:rPr>
          <w:rFonts w:eastAsia="Palatino Linotype" w:cs="Palatino Linotype"/>
          <w:b/>
          <w:color w:val="000000"/>
          <w:szCs w:val="24"/>
        </w:rPr>
        <w:t>/IP/</w:t>
      </w:r>
      <w:proofErr w:type="spellStart"/>
      <w:r w:rsidR="00B644AA">
        <w:rPr>
          <w:rFonts w:eastAsia="Palatino Linotype" w:cs="Palatino Linotype"/>
          <w:b/>
          <w:color w:val="000000"/>
          <w:szCs w:val="24"/>
        </w:rPr>
        <w:t>RR</w:t>
      </w:r>
      <w:proofErr w:type="spellEnd"/>
      <w:r w:rsidR="00B644AA">
        <w:rPr>
          <w:rFonts w:eastAsia="Palatino Linotype" w:cs="Palatino Linotype"/>
          <w:b/>
          <w:color w:val="000000"/>
          <w:szCs w:val="24"/>
        </w:rPr>
        <w:t>/2025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529F86F2" w:rsidR="00A970D5" w:rsidRPr="006922F5" w:rsidRDefault="004362EC" w:rsidP="5C35490E">
      <w:pPr>
        <w:pStyle w:val="Fundamentos"/>
        <w:rPr>
          <w:b/>
          <w:bCs/>
          <w:lang w:val="es-ES"/>
        </w:rPr>
      </w:pPr>
      <w:r w:rsidRPr="5C35490E">
        <w:rPr>
          <w:lang w:val="es-ES"/>
        </w:rPr>
        <w:t>«</w:t>
      </w:r>
      <w:r w:rsidR="00BF6DF2" w:rsidRPr="00BF6DF2">
        <w:t>Entrega una lista cuando se piden los oficios</w:t>
      </w:r>
      <w:r w:rsidR="5C35490E"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20EC6A84" w:rsidR="00300EA0" w:rsidRPr="006922F5" w:rsidRDefault="00300EA0" w:rsidP="00300EA0">
      <w:pPr>
        <w:pStyle w:val="Fundamentos"/>
        <w:rPr>
          <w:b/>
          <w:bCs/>
          <w:lang w:val="es-ES"/>
        </w:rPr>
      </w:pPr>
      <w:proofErr w:type="gramStart"/>
      <w:r w:rsidRPr="5C35490E">
        <w:rPr>
          <w:lang w:val="es-ES"/>
        </w:rPr>
        <w:t>«</w:t>
      </w:r>
      <w:r w:rsidR="00BF6DF2" w:rsidRPr="00BF6DF2">
        <w:t xml:space="preserve"> </w:t>
      </w:r>
      <w:r w:rsidR="00BF6DF2" w:rsidRPr="00BF6DF2">
        <w:rPr>
          <w:lang w:val="es-ES"/>
        </w:rPr>
        <w:t>No</w:t>
      </w:r>
      <w:proofErr w:type="gramEnd"/>
      <w:r w:rsidR="00BF6DF2" w:rsidRPr="00BF6DF2">
        <w:rPr>
          <w:lang w:val="es-ES"/>
        </w:rPr>
        <w:t xml:space="preserve"> entregan los oficios solo una lista y se requieren los oficios</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5AD79176" w:rsidR="00A970D5" w:rsidRPr="006922F5" w:rsidRDefault="008A6BDB" w:rsidP="006922F5">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0B568B5F"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 xml:space="preserve">Comisionado </w:t>
      </w:r>
      <w:proofErr w:type="gramStart"/>
      <w:r w:rsidRPr="70652167">
        <w:rPr>
          <w:rFonts w:eastAsia="Palatino Linotype" w:cs="Palatino Linotype"/>
          <w:b/>
          <w:bCs/>
          <w:color w:val="000000" w:themeColor="text1"/>
          <w:lang w:val="es-ES"/>
        </w:rPr>
        <w:t>Presidente</w:t>
      </w:r>
      <w:proofErr w:type="gramEnd"/>
      <w:r w:rsidRPr="70652167">
        <w:rPr>
          <w:rFonts w:eastAsia="Palatino Linotype" w:cs="Palatino Linotype"/>
          <w:b/>
          <w:bCs/>
          <w:color w:val="000000" w:themeColor="text1"/>
          <w:lang w:val="es-ES"/>
        </w:rPr>
        <w:t xml:space="preserv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BF6DF2">
        <w:rPr>
          <w:rFonts w:eastAsia="Palatino Linotype" w:cs="Palatino Linotype"/>
          <w:color w:val="000000" w:themeColor="text1"/>
          <w:lang w:val="es-ES"/>
        </w:rPr>
        <w:t xml:space="preserve">veinticuatro </w:t>
      </w:r>
      <w:r w:rsidR="00965C2D">
        <w:rPr>
          <w:rFonts w:eastAsia="Palatino Linotype" w:cs="Palatino Linotype"/>
          <w:color w:val="000000" w:themeColor="text1"/>
          <w:lang w:val="es-ES"/>
        </w:rPr>
        <w:t>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68D0677" w:rsidR="00A970D5" w:rsidRPr="004941FA" w:rsidRDefault="008A6BDB" w:rsidP="006922F5">
      <w:pPr>
        <w:pStyle w:val="Ttulo2"/>
        <w:rPr>
          <w:rFonts w:eastAsia="Palatino Linotype"/>
        </w:rPr>
      </w:pPr>
      <w:r>
        <w:rPr>
          <w:rFonts w:eastAsia="Palatino Linotype"/>
        </w:rPr>
        <w:t>QUINTO</w:t>
      </w:r>
      <w:r w:rsidR="00A970D5" w:rsidRPr="004941FA">
        <w:rPr>
          <w:rFonts w:eastAsia="Palatino Linotype"/>
        </w:rPr>
        <w:t>. De la etapa de instrucción.</w:t>
      </w:r>
    </w:p>
    <w:p w14:paraId="530F495C" w14:textId="72D62C6D" w:rsidR="00965C2D" w:rsidRPr="009D62BC" w:rsidRDefault="00965C2D" w:rsidP="00965C2D">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 xml:space="preserve">e observa que el Sujeto Obligado </w:t>
      </w:r>
      <w:r w:rsidR="00BF6DF2">
        <w:rPr>
          <w:rFonts w:eastAsia="Palatino Linotype" w:cs="Palatino Linotype"/>
          <w:color w:val="000000" w:themeColor="text1"/>
        </w:rPr>
        <w:t>rindió su</w:t>
      </w:r>
      <w:r w:rsidRPr="1B94458F">
        <w:rPr>
          <w:rFonts w:eastAsia="Palatino Linotype" w:cs="Palatino Linotype"/>
          <w:color w:val="000000" w:themeColor="text1"/>
        </w:rPr>
        <w:t xml:space="preserve"> Informe Justificado</w:t>
      </w:r>
      <w:r w:rsidR="00BF6DF2">
        <w:rPr>
          <w:rFonts w:eastAsia="Palatino Linotype" w:cs="Palatino Linotype"/>
          <w:color w:val="000000" w:themeColor="text1"/>
        </w:rPr>
        <w:t>, por medio de los archivos electrónicos denominados,</w:t>
      </w:r>
      <w:r w:rsidR="00093777">
        <w:rPr>
          <w:rFonts w:eastAsia="Palatino Linotype" w:cs="Palatino Linotype"/>
          <w:color w:val="000000" w:themeColor="text1"/>
        </w:rPr>
        <w:t xml:space="preserve"> </w:t>
      </w:r>
      <w:r w:rsidR="00093777">
        <w:rPr>
          <w:rFonts w:eastAsia="Palatino Linotype" w:cs="Palatino Linotype"/>
          <w:i/>
          <w:color w:val="000000" w:themeColor="text1"/>
        </w:rPr>
        <w:t>“</w:t>
      </w:r>
      <w:r w:rsidR="00093777" w:rsidRPr="00093777">
        <w:rPr>
          <w:rFonts w:eastAsia="Palatino Linotype" w:cs="Palatino Linotype"/>
          <w:i/>
          <w:color w:val="000000" w:themeColor="text1"/>
        </w:rPr>
        <w:t>Informe Justificado 03130.pdf</w:t>
      </w:r>
      <w:r w:rsidR="00093777">
        <w:rPr>
          <w:rFonts w:eastAsia="Palatino Linotype" w:cs="Palatino Linotype"/>
          <w:i/>
          <w:color w:val="000000" w:themeColor="text1"/>
        </w:rPr>
        <w:t>”</w:t>
      </w:r>
      <w:r w:rsidR="00093777">
        <w:rPr>
          <w:rFonts w:eastAsia="Palatino Linotype" w:cs="Palatino Linotype"/>
          <w:color w:val="000000" w:themeColor="text1"/>
        </w:rPr>
        <w:t xml:space="preserve"> y </w:t>
      </w:r>
      <w:r w:rsidR="00093777">
        <w:rPr>
          <w:rFonts w:eastAsia="Palatino Linotype" w:cs="Palatino Linotype"/>
          <w:i/>
          <w:color w:val="000000" w:themeColor="text1"/>
        </w:rPr>
        <w:t>“</w:t>
      </w:r>
      <w:r w:rsidR="00093777" w:rsidRPr="00093777">
        <w:rPr>
          <w:rFonts w:eastAsia="Palatino Linotype" w:cs="Palatino Linotype"/>
          <w:i/>
          <w:color w:val="000000" w:themeColor="text1"/>
        </w:rPr>
        <w:t>Ratificación 03130.pdf</w:t>
      </w:r>
      <w:r w:rsidR="00093777">
        <w:rPr>
          <w:rFonts w:eastAsia="Palatino Linotype" w:cs="Palatino Linotype"/>
          <w:i/>
          <w:color w:val="000000" w:themeColor="text1"/>
        </w:rPr>
        <w:t>”</w:t>
      </w:r>
      <w:r w:rsidR="00093777">
        <w:rPr>
          <w:rFonts w:eastAsia="Palatino Linotype" w:cs="Palatino Linotype"/>
          <w:color w:val="000000" w:themeColor="text1"/>
        </w:rPr>
        <w:t>, los cuales fueron puestos a la vista del particular en fecha dos de abril de dos mil veinticinco.</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7FF1B9B" w14:textId="77777777" w:rsidR="00093777" w:rsidRPr="006054AA" w:rsidRDefault="007A1154" w:rsidP="00093777">
      <w:pPr>
        <w:pStyle w:val="Ttulo2"/>
        <w:rPr>
          <w:rFonts w:eastAsiaTheme="minorHAnsi"/>
          <w:lang w:eastAsia="en-US"/>
        </w:rPr>
      </w:pPr>
      <w:r>
        <w:rPr>
          <w:rFonts w:eastAsia="Palatino Linotype"/>
        </w:rPr>
        <w:t>S</w:t>
      </w:r>
      <w:r w:rsidR="008A6BDB">
        <w:rPr>
          <w:rFonts w:eastAsia="Palatino Linotype"/>
        </w:rPr>
        <w:t>EXTO</w:t>
      </w:r>
      <w:r w:rsidR="00A970D5" w:rsidRPr="006922F5">
        <w:rPr>
          <w:rFonts w:eastAsia="Palatino Linotype"/>
        </w:rPr>
        <w:t xml:space="preserve">. </w:t>
      </w:r>
      <w:r w:rsidR="00093777" w:rsidRPr="006054AA">
        <w:rPr>
          <w:rFonts w:eastAsiaTheme="minorHAnsi"/>
          <w:lang w:eastAsia="en-US"/>
        </w:rPr>
        <w:t>De la ampliación del término para resolver.</w:t>
      </w:r>
    </w:p>
    <w:p w14:paraId="40D2F967" w14:textId="77777777" w:rsidR="00093777" w:rsidRPr="00546575" w:rsidRDefault="00093777" w:rsidP="00093777">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Pr>
          <w:rFonts w:eastAsiaTheme="minorHAnsi" w:cstheme="minorBidi"/>
          <w:szCs w:val="24"/>
          <w:lang w:eastAsia="en-US"/>
        </w:rPr>
        <w:t>dieciséis de mayo de dos mil veinticinco</w:t>
      </w:r>
      <w:r w:rsidRPr="006054AA">
        <w:rPr>
          <w:rFonts w:eastAsiaTheme="minorHAnsi" w:cstheme="minorBidi"/>
          <w:szCs w:val="24"/>
          <w:lang w:eastAsia="en-US"/>
        </w:rPr>
        <w:t xml:space="preserve"> se notificó a las partes el acuerdo por </w:t>
      </w:r>
      <w:r w:rsidRPr="006054AA">
        <w:rPr>
          <w:rFonts w:eastAsiaTheme="minorHAnsi" w:cstheme="minorBidi"/>
          <w:szCs w:val="24"/>
          <w:lang w:eastAsia="en-US"/>
        </w:rPr>
        <w:lastRenderedPageBreak/>
        <w:t>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1E799352" w14:textId="77777777" w:rsidR="00093777" w:rsidRPr="00093777" w:rsidRDefault="0035761A" w:rsidP="00093777">
      <w:pPr>
        <w:pStyle w:val="Ttulo2"/>
        <w:rPr>
          <w:rFonts w:eastAsiaTheme="minorHAnsi"/>
          <w:lang w:eastAsia="en-US"/>
        </w:rPr>
      </w:pPr>
      <w:r>
        <w:rPr>
          <w:rFonts w:eastAsiaTheme="minorHAnsi"/>
          <w:lang w:eastAsia="en-US"/>
        </w:rPr>
        <w:t>SÉPTIMO</w:t>
      </w:r>
      <w:r w:rsidR="00302E72" w:rsidRPr="006054AA">
        <w:rPr>
          <w:rFonts w:eastAsiaTheme="minorHAnsi"/>
          <w:lang w:eastAsia="en-US"/>
        </w:rPr>
        <w:t xml:space="preserve">. </w:t>
      </w:r>
      <w:r w:rsidR="00093777" w:rsidRPr="00093777">
        <w:rPr>
          <w:rFonts w:eastAsiaTheme="minorHAnsi"/>
          <w:lang w:eastAsia="en-US"/>
        </w:rPr>
        <w:t>Del cierre de instrucción.</w:t>
      </w:r>
    </w:p>
    <w:p w14:paraId="4D675BF4" w14:textId="391566AA" w:rsidR="00302E72" w:rsidRPr="00093777" w:rsidRDefault="00093777" w:rsidP="00093777">
      <w:pPr>
        <w:pStyle w:val="Ttulo2"/>
        <w:rPr>
          <w:rFonts w:eastAsiaTheme="minorHAnsi" w:cstheme="minorBidi"/>
          <w:b w:val="0"/>
          <w:szCs w:val="24"/>
          <w:lang w:eastAsia="en-US"/>
        </w:rPr>
      </w:pPr>
      <w:r w:rsidRPr="00093777">
        <w:rPr>
          <w:rFonts w:eastAsiaTheme="minorHAnsi"/>
          <w:b w:val="0"/>
          <w:lang w:eastAsia="en-US"/>
        </w:rPr>
        <w:t>Así, una vez transcurrido el término legal, se decretó el cierre de instrucción el ocho de abril de dos mil veinticinco, en términos del artículo 185 fracción VI de la Ley de Transparencia y Acceso a la Información Pública del Estado de México y Municipios, iniciando el término legal para dictar resolución definitiva del asunto.</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6D498522" w:rsidR="00A970D5" w:rsidRPr="006922F5" w:rsidRDefault="00A970D5" w:rsidP="006922F5">
      <w:pPr>
        <w:pStyle w:val="Ttulo2"/>
        <w:rPr>
          <w:rFonts w:eastAsia="Palatino Linotype"/>
        </w:rPr>
      </w:pPr>
      <w:r w:rsidRPr="006922F5">
        <w:rPr>
          <w:rFonts w:eastAsia="Palatino Linotype"/>
        </w:rPr>
        <w:t>PRIMERO. De la competencia.</w:t>
      </w:r>
      <w:r w:rsidR="00FB5A4E">
        <w:rPr>
          <w:rFonts w:eastAsia="Palatino Linotype"/>
        </w:rPr>
        <w:t xml:space="preserve"> </w:t>
      </w:r>
    </w:p>
    <w:p w14:paraId="5FA40324" w14:textId="0510523E" w:rsidR="00A970D5" w:rsidRPr="006922F5" w:rsidRDefault="008F6E12"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w:t>
      </w:r>
      <w:r w:rsidRPr="002F500D">
        <w:rPr>
          <w:rFonts w:eastAsia="Palatino Linotype" w:cs="Palatino Linotype"/>
          <w:color w:val="000000"/>
          <w:szCs w:val="24"/>
        </w:rPr>
        <w:t xml:space="preserve">lo dispuesto en los artículos 5 párrafos </w:t>
      </w:r>
      <w:r w:rsidR="001763AE" w:rsidRPr="002F500D">
        <w:rPr>
          <w:rFonts w:eastAsia="Palatino Linotype" w:cs="Palatino Linotype"/>
          <w:color w:val="000000"/>
          <w:szCs w:val="24"/>
        </w:rPr>
        <w:t>trigésimo noveno, cuadragésimo y cuadragésimo primero</w:t>
      </w:r>
      <w:r w:rsidR="001763AE" w:rsidRPr="001763AE">
        <w:rPr>
          <w:rFonts w:eastAsia="Palatino Linotype" w:cs="Palatino Linotype"/>
          <w:color w:val="000000"/>
          <w:szCs w:val="24"/>
        </w:rPr>
        <w:t>,</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7231FAF2" w14:textId="77777777" w:rsidR="009749ED" w:rsidRDefault="009749ED" w:rsidP="006922F5">
      <w:pPr>
        <w:pStyle w:val="Ttulo2"/>
        <w:rPr>
          <w:rFonts w:eastAsia="Palatino Linotype"/>
        </w:rPr>
      </w:pPr>
    </w:p>
    <w:p w14:paraId="32196461" w14:textId="33E4F905"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6667E707" w:rsidR="00454915" w:rsidRPr="006922F5" w:rsidRDefault="002904FF"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44E9108F">
        <w:rPr>
          <w:rFonts w:eastAsia="Palatino Linotype" w:cs="Palatino Linotype"/>
          <w:color w:val="000000"/>
          <w:lang w:val="es-ES"/>
        </w:rPr>
        <w:lastRenderedPageBreak/>
        <w:t>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288E7FA" w:rsidR="00454915" w:rsidRPr="006922F5" w:rsidRDefault="002904FF" w:rsidP="00454915">
      <w:pPr>
        <w:pStyle w:val="Ttulo2"/>
        <w:rPr>
          <w:rFonts w:eastAsia="Palatino Linotype"/>
        </w:rPr>
      </w:pPr>
      <w:r>
        <w:rPr>
          <w:rFonts w:eastAsia="Palatino Linotype"/>
        </w:rPr>
        <w:lastRenderedPageBreak/>
        <w:t>CUARTO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67D2B9A8" w:rsidR="009B73BE" w:rsidRDefault="009B73BE" w:rsidP="009B73BE">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w:t>
      </w:r>
      <w:r w:rsidR="00B644AA">
        <w:rPr>
          <w:rFonts w:eastAsiaTheme="minorEastAsia" w:cstheme="minorBidi"/>
          <w:lang w:val="es-ES" w:eastAsia="en-US"/>
        </w:rPr>
        <w:t>el Recurrente</w:t>
      </w:r>
      <w:r w:rsidRPr="0EE28084">
        <w:rPr>
          <w:rFonts w:eastAsiaTheme="minorEastAsia" w:cstheme="minorBidi"/>
          <w:lang w:val="es-ES" w:eastAsia="en-US"/>
        </w:rPr>
        <w:t xml:space="preserve"> requirió que</w:t>
      </w:r>
      <w:r>
        <w:rPr>
          <w:rFonts w:eastAsiaTheme="minorEastAsia" w:cstheme="minorBidi"/>
          <w:lang w:val="es-ES" w:eastAsia="en-US"/>
        </w:rPr>
        <w:t xml:space="preserve"> se le proporcionara</w:t>
      </w:r>
      <w:r w:rsidR="00DD3602">
        <w:rPr>
          <w:rFonts w:eastAsiaTheme="minorEastAsia" w:cstheme="minorBidi"/>
          <w:lang w:val="es-ES" w:eastAsia="en-US"/>
        </w:rPr>
        <w:t>, respecto de la información relacionada con las obligaciones de transparencia fiscal y comprendiendo el periodo del primero de enero de dos mil diecinueve al veinticinco de febrero de dos mil veinticinco,</w:t>
      </w:r>
      <w:r w:rsidR="00DD3602" w:rsidRPr="00DD3602">
        <w:rPr>
          <w:rFonts w:eastAsiaTheme="minorEastAsia" w:cstheme="minorBidi"/>
          <w:lang w:val="es-ES" w:eastAsia="en-US"/>
        </w:rPr>
        <w:t xml:space="preserve"> </w:t>
      </w:r>
      <w:r w:rsidR="00DD3602">
        <w:rPr>
          <w:rFonts w:eastAsiaTheme="minorEastAsia" w:cstheme="minorBidi"/>
          <w:lang w:val="es-ES" w:eastAsia="en-US"/>
        </w:rPr>
        <w:t>lo siguiente:</w:t>
      </w:r>
    </w:p>
    <w:p w14:paraId="504C5531" w14:textId="77777777" w:rsidR="00DD3602" w:rsidRDefault="00DD3602" w:rsidP="009B73BE">
      <w:pPr>
        <w:rPr>
          <w:rFonts w:eastAsiaTheme="minorEastAsia" w:cstheme="minorBidi"/>
          <w:lang w:val="es-ES" w:eastAsia="en-US"/>
        </w:rPr>
      </w:pPr>
    </w:p>
    <w:p w14:paraId="1B6D1471" w14:textId="136D14D0" w:rsidR="00DD3602" w:rsidRPr="008525ED" w:rsidRDefault="00093777" w:rsidP="008525ED">
      <w:pPr>
        <w:pStyle w:val="Prrafodelista"/>
        <w:numPr>
          <w:ilvl w:val="0"/>
          <w:numId w:val="62"/>
        </w:numPr>
        <w:rPr>
          <w:rFonts w:eastAsiaTheme="minorEastAsia" w:cstheme="minorBidi"/>
          <w:lang w:eastAsia="en-US"/>
        </w:rPr>
      </w:pPr>
      <w:r>
        <w:rPr>
          <w:rFonts w:eastAsiaTheme="minorEastAsia" w:cstheme="minorBidi"/>
          <w:lang w:eastAsia="en-US"/>
        </w:rPr>
        <w:t>Los oficios firmados por la Contraloría del primero de enero al diecisiete de febrero de dos mil veinticinco</w:t>
      </w:r>
      <w:r w:rsidR="00DD3602" w:rsidRPr="008525ED">
        <w:rPr>
          <w:rFonts w:eastAsiaTheme="minorEastAsia" w:cstheme="minorBidi"/>
          <w:lang w:eastAsia="en-US"/>
        </w:rPr>
        <w:t>.</w:t>
      </w:r>
    </w:p>
    <w:p w14:paraId="42B5EC25" w14:textId="77777777" w:rsidR="00DD3602" w:rsidRDefault="00DD3602" w:rsidP="009B73BE">
      <w:pPr>
        <w:rPr>
          <w:rFonts w:eastAsiaTheme="minorEastAsia" w:cstheme="minorBidi"/>
          <w:lang w:val="es-ES" w:eastAsia="en-US"/>
        </w:rPr>
      </w:pPr>
    </w:p>
    <w:p w14:paraId="20433D50" w14:textId="32D231D9"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DD3602">
        <w:rPr>
          <w:rFonts w:eastAsia="Palatino Linotype" w:cs="Palatino Linotype"/>
          <w:color w:val="000000" w:themeColor="text1"/>
        </w:rPr>
        <w:t xml:space="preserve"> </w:t>
      </w:r>
      <w:r w:rsidR="00C25E9E">
        <w:rPr>
          <w:rFonts w:eastAsia="Palatino Linotype" w:cs="Palatino Linotype"/>
          <w:color w:val="000000" w:themeColor="text1"/>
        </w:rPr>
        <w:t>l</w:t>
      </w:r>
      <w:r w:rsidR="00DD3602">
        <w:rPr>
          <w:rFonts w:eastAsia="Palatino Linotype" w:cs="Palatino Linotype"/>
          <w:color w:val="000000" w:themeColor="text1"/>
        </w:rPr>
        <w:t>os</w:t>
      </w:r>
      <w:r w:rsidR="004743C9">
        <w:rPr>
          <w:rFonts w:eastAsia="Palatino Linotype" w:cs="Palatino Linotype"/>
          <w:color w:val="000000" w:themeColor="text1"/>
        </w:rPr>
        <w:t xml:space="preserve"> siguiente</w:t>
      </w:r>
      <w:r w:rsidR="00DD3602">
        <w:rPr>
          <w:rFonts w:eastAsia="Palatino Linotype" w:cs="Palatino Linotype"/>
          <w:color w:val="000000" w:themeColor="text1"/>
        </w:rPr>
        <w:t>s</w:t>
      </w:r>
      <w:r w:rsidR="004743C9">
        <w:rPr>
          <w:rFonts w:eastAsia="Palatino Linotype" w:cs="Palatino Linotype"/>
          <w:color w:val="000000" w:themeColor="text1"/>
        </w:rPr>
        <w:t xml:space="preserve"> documento</w:t>
      </w:r>
      <w:r w:rsidR="00DD3602">
        <w:rPr>
          <w:rFonts w:eastAsia="Palatino Linotype" w:cs="Palatino Linotype"/>
          <w:color w:val="000000" w:themeColor="text1"/>
        </w:rPr>
        <w:t>s</w:t>
      </w:r>
      <w:r w:rsidR="004743C9">
        <w:rPr>
          <w:rFonts w:eastAsia="Palatino Linotype" w:cs="Palatino Linotype"/>
          <w:color w:val="000000" w:themeColor="text1"/>
        </w:rPr>
        <w:t>:</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58EE0CA0" w14:textId="6498230A" w:rsidR="00DD3602" w:rsidRDefault="00CE3A3E" w:rsidP="00CE3A3E">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CE3A3E">
        <w:rPr>
          <w:rFonts w:eastAsia="Palatino Linotype" w:cs="Palatino Linotype"/>
          <w:b/>
          <w:color w:val="000000"/>
          <w:lang w:val="es-MX"/>
        </w:rPr>
        <w:t>OFICIOS ENERO-FEBRERO.pdf</w:t>
      </w:r>
      <w:r>
        <w:rPr>
          <w:rFonts w:eastAsia="Palatino Linotype" w:cs="Palatino Linotype"/>
          <w:b/>
          <w:color w:val="000000"/>
          <w:lang w:val="es-MX"/>
        </w:rPr>
        <w:t>:</w:t>
      </w:r>
      <w:r w:rsidR="004743C9">
        <w:rPr>
          <w:rFonts w:eastAsia="Palatino Linotype" w:cs="Palatino Linotype"/>
          <w:color w:val="000000"/>
          <w:lang w:val="es-MX"/>
        </w:rPr>
        <w:t xml:space="preserve"> </w:t>
      </w:r>
      <w:r>
        <w:rPr>
          <w:rFonts w:eastAsia="Palatino Linotype" w:cs="Palatino Linotype"/>
          <w:color w:val="000000"/>
          <w:lang w:val="es-MX"/>
        </w:rPr>
        <w:t xml:space="preserve">Consta de un documento en </w:t>
      </w:r>
      <w:proofErr w:type="spellStart"/>
      <w:r>
        <w:rPr>
          <w:rFonts w:eastAsia="Palatino Linotype" w:cs="Palatino Linotype"/>
          <w:color w:val="000000"/>
          <w:lang w:val="es-MX"/>
        </w:rPr>
        <w:t>pdf</w:t>
      </w:r>
      <w:proofErr w:type="spellEnd"/>
      <w:r>
        <w:rPr>
          <w:rFonts w:eastAsia="Palatino Linotype" w:cs="Palatino Linotype"/>
          <w:color w:val="000000"/>
          <w:lang w:val="es-MX"/>
        </w:rPr>
        <w:t xml:space="preserve"> mediante el cual se observa una tabla que contiene folio, año, destinatario, área a la que se dirige y asunto, de los oficios firmados por el órgano interno de control municipal </w:t>
      </w:r>
      <w:r>
        <w:rPr>
          <w:rFonts w:eastAsia="Palatino Linotype" w:cs="Palatino Linotype"/>
          <w:color w:val="000000"/>
          <w:lang w:val="es-MX"/>
        </w:rPr>
        <w:lastRenderedPageBreak/>
        <w:t>de enero al 17 de febrero de 2025, tal como se observa en la siguiente imagen a manera de ejemplo:</w:t>
      </w:r>
    </w:p>
    <w:p w14:paraId="3B853543" w14:textId="0AC24006" w:rsidR="00CE3A3E" w:rsidRDefault="00CE3A3E" w:rsidP="00CE3A3E">
      <w:pPr>
        <w:pStyle w:val="Prrafodelista"/>
        <w:pBdr>
          <w:top w:val="nil"/>
          <w:left w:val="nil"/>
          <w:bottom w:val="nil"/>
          <w:right w:val="nil"/>
          <w:between w:val="nil"/>
        </w:pBdr>
        <w:ind w:left="0"/>
        <w:contextualSpacing/>
        <w:jc w:val="center"/>
        <w:rPr>
          <w:rFonts w:eastAsia="Palatino Linotype" w:cs="Palatino Linotype"/>
          <w:color w:val="000000"/>
          <w:lang w:val="es-MX"/>
        </w:rPr>
      </w:pPr>
      <w:r w:rsidRPr="00CE3A3E">
        <w:rPr>
          <w:rFonts w:eastAsia="Palatino Linotype" w:cs="Palatino Linotype"/>
          <w:noProof/>
          <w:color w:val="000000"/>
          <w:lang w:val="es-MX" w:eastAsia="es-MX"/>
        </w:rPr>
        <w:drawing>
          <wp:inline distT="0" distB="0" distL="0" distR="0" wp14:anchorId="591ECB7E" wp14:editId="6BBB7372">
            <wp:extent cx="4857019" cy="4791075"/>
            <wp:effectExtent l="190500" t="190500" r="19177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6972" cy="4800893"/>
                    </a:xfrm>
                    <a:prstGeom prst="rect">
                      <a:avLst/>
                    </a:prstGeom>
                    <a:ln>
                      <a:noFill/>
                    </a:ln>
                    <a:effectLst>
                      <a:outerShdw blurRad="190500" algn="tl" rotWithShape="0">
                        <a:srgbClr val="000000">
                          <a:alpha val="70000"/>
                        </a:srgbClr>
                      </a:outerShdw>
                    </a:effectLst>
                  </pic:spPr>
                </pic:pic>
              </a:graphicData>
            </a:graphic>
          </wp:inline>
        </w:drawing>
      </w:r>
    </w:p>
    <w:p w14:paraId="670E5338" w14:textId="4CA18671" w:rsidR="004743C9" w:rsidRPr="002F500D" w:rsidRDefault="00CE3A3E" w:rsidP="00CE3A3E">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2F500D">
        <w:rPr>
          <w:rFonts w:eastAsia="Palatino Linotype" w:cs="Palatino Linotype"/>
          <w:b/>
          <w:color w:val="000000"/>
          <w:lang w:val="es-MX"/>
        </w:rPr>
        <w:t>R. 0921. 2025.pdf:</w:t>
      </w:r>
      <w:r w:rsidR="008B0858" w:rsidRPr="002F500D">
        <w:rPr>
          <w:rFonts w:eastAsia="Palatino Linotype" w:cs="Palatino Linotype"/>
          <w:color w:val="000000"/>
          <w:lang w:val="es-MX"/>
        </w:rPr>
        <w:t xml:space="preserve"> </w:t>
      </w:r>
      <w:r w:rsidR="00800AD1" w:rsidRPr="002F500D">
        <w:rPr>
          <w:rFonts w:eastAsia="Palatino Linotype" w:cs="Palatino Linotype"/>
          <w:color w:val="000000"/>
          <w:lang w:val="es-MX"/>
        </w:rPr>
        <w:t xml:space="preserve">Documento remitido por el Titular de la Unidad de Transparencia, mediante el cual refiere que la Contraloría Municipal informó que se anexa los oficios firmados por la Contraloría Municipal de fecha 01 al 17 de </w:t>
      </w:r>
      <w:r w:rsidR="009749ED" w:rsidRPr="002F500D">
        <w:rPr>
          <w:rFonts w:eastAsia="Palatino Linotype" w:cs="Palatino Linotype"/>
          <w:color w:val="000000"/>
          <w:lang w:val="es-MX"/>
        </w:rPr>
        <w:t>febrero</w:t>
      </w:r>
      <w:r w:rsidR="00800AD1" w:rsidRPr="002F500D">
        <w:rPr>
          <w:rFonts w:eastAsia="Palatino Linotype" w:cs="Palatino Linotype"/>
          <w:color w:val="000000"/>
          <w:lang w:val="es-MX"/>
        </w:rPr>
        <w:t xml:space="preserve"> de dos mil </w:t>
      </w:r>
      <w:r w:rsidR="009631DC" w:rsidRPr="002F500D">
        <w:rPr>
          <w:rFonts w:eastAsia="Palatino Linotype" w:cs="Palatino Linotype"/>
          <w:color w:val="000000"/>
          <w:lang w:val="es-MX"/>
        </w:rPr>
        <w:t>veinticinco</w:t>
      </w:r>
      <w:r w:rsidR="00800AD1" w:rsidRPr="002F500D">
        <w:rPr>
          <w:rFonts w:eastAsia="Palatino Linotype" w:cs="Palatino Linotype"/>
          <w:color w:val="000000"/>
          <w:lang w:val="es-MX"/>
        </w:rPr>
        <w:t>.</w:t>
      </w:r>
      <w:r w:rsidR="001103D3" w:rsidRPr="002F500D">
        <w:rPr>
          <w:rFonts w:eastAsia="Palatino Linotype" w:cs="Palatino Linotype"/>
          <w:color w:val="000000"/>
          <w:lang w:val="es-MX"/>
        </w:rPr>
        <w:t xml:space="preserve"> </w:t>
      </w:r>
    </w:p>
    <w:p w14:paraId="764390BE"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1BF2F371" w14:textId="43BBAF81" w:rsidR="009B73BE" w:rsidRPr="009631DC" w:rsidRDefault="009631DC" w:rsidP="009B73BE">
      <w:pPr>
        <w:pBdr>
          <w:top w:val="nil"/>
          <w:left w:val="nil"/>
          <w:bottom w:val="nil"/>
          <w:right w:val="nil"/>
          <w:between w:val="nil"/>
        </w:pBdr>
        <w:contextualSpacing/>
        <w:rPr>
          <w:rFonts w:eastAsia="Palatino Linotype" w:cs="Palatino Linotype"/>
          <w:color w:val="000000" w:themeColor="text1"/>
          <w:lang w:val="es-ES"/>
        </w:rPr>
      </w:pPr>
      <w:r>
        <w:rPr>
          <w:rFonts w:eastAsia="Palatino Linotype" w:cs="Palatino Linotype"/>
          <w:color w:val="000000" w:themeColor="text1"/>
          <w:lang w:val="es-ES"/>
        </w:rPr>
        <w:lastRenderedPageBreak/>
        <w:t xml:space="preserve">Derivado de la respuesta </w:t>
      </w:r>
      <w:r w:rsidR="009B73BE" w:rsidRPr="44E9108F">
        <w:rPr>
          <w:rFonts w:eastAsia="Palatino Linotype" w:cs="Palatino Linotype"/>
          <w:color w:val="000000" w:themeColor="text1"/>
          <w:lang w:val="es-ES"/>
        </w:rPr>
        <w:t>em</w:t>
      </w:r>
      <w:r w:rsidR="009B73BE">
        <w:rPr>
          <w:rFonts w:eastAsia="Palatino Linotype" w:cs="Palatino Linotype"/>
          <w:color w:val="000000" w:themeColor="text1"/>
          <w:lang w:val="es-ES"/>
        </w:rPr>
        <w:t xml:space="preserve">itida por el Sujeto Obligado, </w:t>
      </w:r>
      <w:r w:rsidR="00B644AA">
        <w:rPr>
          <w:rFonts w:eastAsia="Palatino Linotype" w:cs="Palatino Linotype"/>
          <w:color w:val="000000" w:themeColor="text1"/>
          <w:lang w:val="es-ES"/>
        </w:rPr>
        <w:t>el Recurrente</w:t>
      </w:r>
      <w:r w:rsidR="009B73BE" w:rsidRPr="44E9108F">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324224">
        <w:rPr>
          <w:rFonts w:eastAsia="Palatino Linotype" w:cs="Palatino Linotype"/>
          <w:color w:val="000000" w:themeColor="text1"/>
          <w:lang w:val="es-ES"/>
        </w:rPr>
        <w:t xml:space="preserve"> </w:t>
      </w:r>
      <w:r>
        <w:rPr>
          <w:rFonts w:eastAsia="Palatino Linotype" w:cs="Palatino Linotype"/>
          <w:i/>
          <w:color w:val="000000" w:themeColor="text1"/>
          <w:lang w:val="es-ES"/>
        </w:rPr>
        <w:t>“</w:t>
      </w:r>
      <w:r w:rsidRPr="009631DC">
        <w:rPr>
          <w:rFonts w:eastAsia="Palatino Linotype" w:cs="Palatino Linotype"/>
          <w:i/>
          <w:color w:val="000000" w:themeColor="text1"/>
          <w:lang w:val="es-ES"/>
        </w:rPr>
        <w:t>Entrega una lista cuando se piden los oficios</w:t>
      </w:r>
      <w:r>
        <w:rPr>
          <w:rFonts w:eastAsia="Palatino Linotype" w:cs="Palatino Linotype"/>
          <w:i/>
          <w:color w:val="000000" w:themeColor="text1"/>
          <w:lang w:val="es-ES"/>
        </w:rPr>
        <w:t>”</w:t>
      </w:r>
      <w:r w:rsidR="009B73BE">
        <w:rPr>
          <w:rFonts w:eastAsia="Palatino Linotype" w:cs="Palatino Linotype"/>
          <w:color w:val="000000" w:themeColor="text1"/>
          <w:lang w:val="es-ES"/>
        </w:rPr>
        <w:t xml:space="preserve"> </w:t>
      </w:r>
      <w:r w:rsidR="00ED2079">
        <w:rPr>
          <w:rFonts w:eastAsia="Palatino Linotype" w:cs="Palatino Linotype"/>
          <w:color w:val="000000" w:themeColor="text1"/>
          <w:lang w:val="es-ES"/>
        </w:rPr>
        <w:t xml:space="preserve">y </w:t>
      </w:r>
      <w:r w:rsidR="00324224">
        <w:rPr>
          <w:rFonts w:eastAsia="Palatino Linotype" w:cs="Palatino Linotype"/>
          <w:color w:val="000000" w:themeColor="text1"/>
          <w:lang w:val="es-ES"/>
        </w:rPr>
        <w:t xml:space="preserve">dando como </w:t>
      </w:r>
      <w:r w:rsidR="009B73BE">
        <w:rPr>
          <w:rFonts w:eastAsia="Palatino Linotype" w:cs="Palatino Linotype"/>
          <w:color w:val="000000" w:themeColor="text1"/>
          <w:lang w:val="es-ES"/>
        </w:rPr>
        <w:t xml:space="preserve">razones o motivos de inconformidad </w:t>
      </w:r>
      <w:r>
        <w:rPr>
          <w:rFonts w:eastAsia="Palatino Linotype" w:cs="Palatino Linotype"/>
          <w:i/>
          <w:color w:val="000000" w:themeColor="text1"/>
          <w:lang w:val="es-ES"/>
        </w:rPr>
        <w:t>“</w:t>
      </w:r>
      <w:r w:rsidRPr="009631DC">
        <w:rPr>
          <w:rFonts w:eastAsia="Palatino Linotype" w:cs="Palatino Linotype"/>
          <w:i/>
          <w:color w:val="000000" w:themeColor="text1"/>
          <w:lang w:val="es-ES"/>
        </w:rPr>
        <w:t>No entregan los oficios solo una lista y se requieren los oficios</w:t>
      </w:r>
      <w:r>
        <w:rPr>
          <w:rFonts w:eastAsia="Palatino Linotype" w:cs="Palatino Linotype"/>
          <w:i/>
          <w:color w:val="000000" w:themeColor="text1"/>
          <w:lang w:val="es-ES"/>
        </w:rPr>
        <w:t>”</w:t>
      </w:r>
      <w:r w:rsidR="00324224">
        <w:rPr>
          <w:rFonts w:eastAsia="Palatino Linotype" w:cs="Palatino Linotype"/>
          <w:color w:val="000000" w:themeColor="text1"/>
          <w:lang w:val="es-ES"/>
        </w:rPr>
        <w:t>.</w:t>
      </w:r>
    </w:p>
    <w:p w14:paraId="5271F404" w14:textId="77777777" w:rsidR="009B73BE" w:rsidRDefault="009B73BE" w:rsidP="009B73BE"/>
    <w:p w14:paraId="57C3FB88" w14:textId="77777777" w:rsidR="0003292D" w:rsidRDefault="009631DC" w:rsidP="00965C2D">
      <w:r>
        <w:t>Por lo que el Sujeto Obligado</w:t>
      </w:r>
      <w:r w:rsidR="0003292D">
        <w:t xml:space="preserve">, mediante informe justificado adjuntó los documentos electrónicos denominados </w:t>
      </w:r>
      <w:r w:rsidR="0003292D">
        <w:rPr>
          <w:i/>
        </w:rPr>
        <w:t>“</w:t>
      </w:r>
      <w:r w:rsidR="0003292D" w:rsidRPr="0003292D">
        <w:rPr>
          <w:i/>
        </w:rPr>
        <w:t>Informe Justificado 03130.pdf</w:t>
      </w:r>
      <w:r w:rsidR="0003292D">
        <w:rPr>
          <w:i/>
        </w:rPr>
        <w:t>”</w:t>
      </w:r>
      <w:r w:rsidR="0003292D">
        <w:t xml:space="preserve"> y </w:t>
      </w:r>
      <w:r w:rsidR="0003292D">
        <w:rPr>
          <w:i/>
        </w:rPr>
        <w:t>“</w:t>
      </w:r>
      <w:r w:rsidR="0003292D" w:rsidRPr="0003292D">
        <w:rPr>
          <w:i/>
        </w:rPr>
        <w:t>Ratificación 03130.pdf</w:t>
      </w:r>
      <w:r w:rsidR="0003292D">
        <w:rPr>
          <w:i/>
        </w:rPr>
        <w:t>”</w:t>
      </w:r>
      <w:r w:rsidR="0003292D">
        <w:t>, que a la letra señalan lo siguiente:</w:t>
      </w:r>
    </w:p>
    <w:p w14:paraId="5A54F0B8" w14:textId="28E187FD" w:rsidR="00965C2D" w:rsidRDefault="0003292D" w:rsidP="0003292D">
      <w:pPr>
        <w:pStyle w:val="Prrafodelista"/>
        <w:numPr>
          <w:ilvl w:val="0"/>
          <w:numId w:val="63"/>
        </w:numPr>
      </w:pPr>
      <w:r w:rsidRPr="0003292D">
        <w:rPr>
          <w:b/>
        </w:rPr>
        <w:t>Informe Justificado 03130.pdf</w:t>
      </w:r>
      <w:r>
        <w:t>: Contiene el oficio número 203010000/01128/2025, de fecha veintisiete de marzo de dos mil veinticinco, remitido por la Titular del Órgano Interno de Control Municipal y Servidor Público Habilitado, mediante el cual refiere que se dio respuesta con anexo de los oficios firmados por la Contraloría Municipal, de fecha 01 al 17 de febrero de 2025, por lo que ratifica su respuesta inicial.</w:t>
      </w:r>
    </w:p>
    <w:p w14:paraId="6F2AC083" w14:textId="31FA94FE" w:rsidR="0003292D" w:rsidRPr="00A06672" w:rsidRDefault="0003292D" w:rsidP="0003292D">
      <w:pPr>
        <w:pStyle w:val="Prrafodelista"/>
        <w:numPr>
          <w:ilvl w:val="0"/>
          <w:numId w:val="63"/>
        </w:numPr>
      </w:pPr>
      <w:r w:rsidRPr="0003292D">
        <w:rPr>
          <w:b/>
        </w:rPr>
        <w:t>Ratificación 03130.pd</w:t>
      </w:r>
      <w:r w:rsidRPr="0003292D">
        <w:t>f</w:t>
      </w:r>
      <w:r>
        <w:t xml:space="preserve">: Contiene un documento en formato </w:t>
      </w:r>
      <w:proofErr w:type="spellStart"/>
      <w:r>
        <w:t>pdf</w:t>
      </w:r>
      <w:proofErr w:type="spellEnd"/>
      <w:r>
        <w:t xml:space="preserve">, remitido por el Titular de la Unidad de Trasparencia, mediante el cual refiere que </w:t>
      </w:r>
      <w:proofErr w:type="spellStart"/>
      <w:r>
        <w:t>que</w:t>
      </w:r>
      <w:proofErr w:type="spellEnd"/>
      <w:r>
        <w:t xml:space="preserve"> ratifique la respuesta inicial.</w:t>
      </w:r>
    </w:p>
    <w:p w14:paraId="5C1200B5" w14:textId="77777777" w:rsidR="001864D9" w:rsidRDefault="001864D9" w:rsidP="009B73BE">
      <w:pPr>
        <w:rPr>
          <w:lang w:val="es-ES"/>
        </w:rPr>
      </w:pPr>
    </w:p>
    <w:p w14:paraId="0CD91FB4" w14:textId="07C90385"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w:t>
      </w:r>
      <w:r w:rsidR="00B644AA">
        <w:rPr>
          <w:rFonts w:eastAsia="Palatino Linotype" w:cs="Palatino Linotype"/>
          <w:color w:val="000000"/>
          <w:szCs w:val="24"/>
        </w:rPr>
        <w:t>el Recurrente</w:t>
      </w:r>
      <w:r w:rsidRPr="006922F5">
        <w:rPr>
          <w:rFonts w:eastAsia="Palatino Linotype" w:cs="Palatino Linotype"/>
          <w:color w:val="000000"/>
          <w:szCs w:val="24"/>
        </w:rPr>
        <w:t xml:space="preserv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FA97F7C" w14:textId="77777777" w:rsidR="003443A5" w:rsidRPr="00CE52BD" w:rsidRDefault="003443A5" w:rsidP="003443A5">
      <w:pPr>
        <w:rPr>
          <w:rFonts w:cs="Arial"/>
        </w:rPr>
      </w:pPr>
      <w:r w:rsidRPr="00CE52BD">
        <w:rPr>
          <w:rFonts w:cs="Arial"/>
        </w:rPr>
        <w:t>Ahora bien, atendiendo a la calidad de la información peticionada en el presente apartado</w:t>
      </w:r>
      <w:r>
        <w:rPr>
          <w:rFonts w:cs="Arial"/>
        </w:rPr>
        <w:t xml:space="preserve"> referente a los </w:t>
      </w:r>
      <w:r w:rsidRPr="00CE52BD">
        <w:rPr>
          <w:rFonts w:eastAsia="Palatino Linotype" w:cs="Palatino Linotype"/>
          <w:b/>
          <w:bCs/>
          <w:szCs w:val="24"/>
        </w:rPr>
        <w:t>oficios firmados por el Contralor Municipal</w:t>
      </w:r>
      <w:r w:rsidRPr="00CE52BD">
        <w:rPr>
          <w:rFonts w:cs="Arial"/>
        </w:rPr>
        <w:t xml:space="preserve">, resulta necesario traer a colación los artículos 112, 168, 169 y 170 de la </w:t>
      </w:r>
      <w:r w:rsidRPr="00CE52BD">
        <w:rPr>
          <w:rFonts w:cs="Arial"/>
          <w:lang w:val="es-ES"/>
        </w:rPr>
        <w:t>Ley Orgánica Municipal del Estado de México, en donde se advierte que dentro de las distintas Unidades Administrativas que integran la administración pública municipal, se encuentra la Contraloría Interna u Órgano de Control Interno, quien tiene las atribuciones siguientes:</w:t>
      </w:r>
    </w:p>
    <w:p w14:paraId="348CA4FE" w14:textId="77777777" w:rsidR="003443A5" w:rsidRPr="00CE52BD" w:rsidRDefault="003443A5" w:rsidP="003443A5">
      <w:pPr>
        <w:rPr>
          <w:rFonts w:cs="Arial"/>
        </w:rPr>
      </w:pPr>
    </w:p>
    <w:p w14:paraId="12A28229" w14:textId="77777777" w:rsidR="003443A5" w:rsidRPr="00CE52BD" w:rsidRDefault="003443A5" w:rsidP="003443A5">
      <w:pPr>
        <w:spacing w:line="240" w:lineRule="auto"/>
        <w:ind w:left="567" w:right="616"/>
        <w:rPr>
          <w:rFonts w:cs="Arial"/>
          <w:i/>
          <w:lang w:val="es-ES"/>
        </w:rPr>
      </w:pPr>
      <w:r w:rsidRPr="00CE52BD">
        <w:rPr>
          <w:rFonts w:cs="Arial"/>
          <w:i/>
        </w:rPr>
        <w:lastRenderedPageBreak/>
        <w:t>“</w:t>
      </w:r>
      <w:r w:rsidRPr="00CE52BD">
        <w:rPr>
          <w:rFonts w:cs="Arial"/>
          <w:b/>
          <w:i/>
          <w:lang w:val="es-ES"/>
        </w:rPr>
        <w:t>Artículo 112.</w:t>
      </w:r>
      <w:r w:rsidRPr="00CE52BD">
        <w:rPr>
          <w:rFonts w:cs="Arial"/>
          <w:i/>
          <w:lang w:val="es-ES"/>
        </w:rPr>
        <w:t xml:space="preserve"> El órgano interno de control </w:t>
      </w:r>
      <w:proofErr w:type="gramStart"/>
      <w:r w:rsidRPr="00CE52BD">
        <w:rPr>
          <w:rFonts w:cs="Arial"/>
          <w:i/>
          <w:lang w:val="es-ES"/>
        </w:rPr>
        <w:t>municipal,</w:t>
      </w:r>
      <w:proofErr w:type="gramEnd"/>
      <w:r w:rsidRPr="00CE52BD">
        <w:rPr>
          <w:rFonts w:cs="Arial"/>
          <w:i/>
          <w:lang w:val="es-ES"/>
        </w:rPr>
        <w:t xml:space="preserve"> tendrá a su cargo las funciones siguientes: </w:t>
      </w:r>
    </w:p>
    <w:p w14:paraId="7F682938"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I. Planear, programar, organizar y coordinar el sistema de control y evaluación municipal; </w:t>
      </w:r>
    </w:p>
    <w:p w14:paraId="5A0250BD"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II. Fiscalizar el ingreso y ejercicio del gasto público municipal y su congruencia con el presupuesto de egresos; </w:t>
      </w:r>
    </w:p>
    <w:p w14:paraId="25E04531"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III. Aplicar las normas y criterios en materia de control y evaluación; </w:t>
      </w:r>
    </w:p>
    <w:p w14:paraId="27CB3D2C"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IV. Asesorar a los órganos de control interno de los organismos auxiliares y fideicomisos de la administración pública municipal; </w:t>
      </w:r>
    </w:p>
    <w:p w14:paraId="3AF688B1" w14:textId="77777777" w:rsidR="003443A5" w:rsidRPr="00CE52BD" w:rsidRDefault="003443A5" w:rsidP="003443A5">
      <w:pPr>
        <w:spacing w:line="240" w:lineRule="auto"/>
        <w:ind w:left="567" w:right="616"/>
        <w:rPr>
          <w:rFonts w:cs="Arial"/>
          <w:i/>
          <w:lang w:val="es-ES"/>
        </w:rPr>
      </w:pPr>
      <w:r w:rsidRPr="00CE52BD">
        <w:rPr>
          <w:rFonts w:cs="Arial"/>
          <w:i/>
          <w:lang w:val="es-ES"/>
        </w:rPr>
        <w:t>V. Establecer las bases generales para la realización de auditorías e inspecciones;</w:t>
      </w:r>
    </w:p>
    <w:p w14:paraId="1EE6C1A0"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VI. Vigilar que los recursos federales y estatales asignados a los ayuntamientos se apliquen en los términos estipulados en las leyes, los reglamentos y los convenios respectivos; </w:t>
      </w:r>
    </w:p>
    <w:p w14:paraId="159ECA01"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VII. Vigilar el cumplimiento de las obligaciones de proveedores y contratistas de la administración pública municipal; </w:t>
      </w:r>
    </w:p>
    <w:p w14:paraId="07B848A8"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VIII. Coordinarse con el Órgano Superior de Fiscalización del Estado de México y la Contraloría del Poder Legislativo y con la Secretaría de la Contraloría del Estado para el cumplimiento de sus funciones; </w:t>
      </w:r>
    </w:p>
    <w:p w14:paraId="43C802AA"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IX. Designar a los auditores externos y proponer al ayuntamiento, en su caso, a los Comisarios de los Organismos Auxiliares; </w:t>
      </w:r>
    </w:p>
    <w:p w14:paraId="6B1AFEFC" w14:textId="77777777" w:rsidR="003443A5" w:rsidRPr="00CE52BD" w:rsidRDefault="003443A5" w:rsidP="003443A5">
      <w:pPr>
        <w:spacing w:line="240" w:lineRule="auto"/>
        <w:ind w:left="567" w:right="616"/>
        <w:rPr>
          <w:rFonts w:cs="Arial"/>
          <w:i/>
          <w:u w:val="single"/>
          <w:lang w:val="es-ES"/>
        </w:rPr>
      </w:pPr>
      <w:r w:rsidRPr="00CE52BD">
        <w:rPr>
          <w:rFonts w:cs="Arial"/>
          <w:i/>
          <w:u w:val="single"/>
          <w:lang w:val="es-ES"/>
        </w:rPr>
        <w:t xml:space="preserve">X. Establecer y operar un sistema de atención de quejas, denuncias y sugerencias; </w:t>
      </w:r>
    </w:p>
    <w:p w14:paraId="05B4F17A"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XI. Realizar auditorías y evaluaciones e informar del resultado de </w:t>
      </w:r>
      <w:proofErr w:type="gramStart"/>
      <w:r w:rsidRPr="00CE52BD">
        <w:rPr>
          <w:rFonts w:cs="Arial"/>
          <w:i/>
          <w:lang w:val="es-ES"/>
        </w:rPr>
        <w:t>las mismas</w:t>
      </w:r>
      <w:proofErr w:type="gramEnd"/>
      <w:r w:rsidRPr="00CE52BD">
        <w:rPr>
          <w:rFonts w:cs="Arial"/>
          <w:i/>
          <w:lang w:val="es-ES"/>
        </w:rPr>
        <w:t xml:space="preserve"> al ayuntamiento; </w:t>
      </w:r>
    </w:p>
    <w:p w14:paraId="09A08667"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XII. Participar en la entrega-recepción de las unidades administrativas de las dependencias, organismos auxiliares y fideicomisos del municipio; </w:t>
      </w:r>
    </w:p>
    <w:p w14:paraId="6E50CFEB"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XIII. Dictaminar los estados financieros de la tesorería municipal y verificar que se remitan los informes correspondientes al Órgano Superior de Fiscalización del Estado de México; </w:t>
      </w:r>
    </w:p>
    <w:p w14:paraId="2D45548C"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XIV. Vigilar que los ingresos municipales se enteren a la tesorería municipal conforme a los procedimientos contables y disposiciones legales aplicables; </w:t>
      </w:r>
    </w:p>
    <w:p w14:paraId="57C9412B"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XV. Participar en la elaboración y actualización del inventario general de los bienes muebles e inmuebles propiedad del municipio, que expresará las características de identificación y destino de </w:t>
      </w:r>
      <w:proofErr w:type="gramStart"/>
      <w:r w:rsidRPr="00CE52BD">
        <w:rPr>
          <w:rFonts w:cs="Arial"/>
          <w:i/>
          <w:lang w:val="es-ES"/>
        </w:rPr>
        <w:t>los mismos</w:t>
      </w:r>
      <w:proofErr w:type="gramEnd"/>
      <w:r w:rsidRPr="00CE52BD">
        <w:rPr>
          <w:rFonts w:cs="Arial"/>
          <w:i/>
          <w:lang w:val="es-ES"/>
        </w:rPr>
        <w:t xml:space="preserve">; </w:t>
      </w:r>
    </w:p>
    <w:p w14:paraId="5ED6054E"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XVI. Verificar que los servidores públicos municipales cumplan con la obligación de presentar oportunamente la manifestación de bienes, en términos de la Ley de Responsabilidades de los Servidores Públicos del Estado y Municipios; </w:t>
      </w:r>
    </w:p>
    <w:p w14:paraId="539676BF" w14:textId="77777777" w:rsidR="003443A5" w:rsidRPr="00CE52BD" w:rsidRDefault="003443A5" w:rsidP="003443A5">
      <w:pPr>
        <w:spacing w:line="240" w:lineRule="auto"/>
        <w:ind w:left="567" w:right="616"/>
        <w:rPr>
          <w:rFonts w:cs="Arial"/>
          <w:i/>
          <w:u w:val="single"/>
          <w:lang w:val="es-ES"/>
        </w:rPr>
      </w:pPr>
      <w:r w:rsidRPr="00CE52BD">
        <w:rPr>
          <w:rFonts w:cs="Arial"/>
          <w:i/>
          <w:u w:val="single"/>
          <w:lang w:val="es-ES"/>
        </w:rPr>
        <w:lastRenderedPageBreak/>
        <w:t xml:space="preserve">XVII. Hacer del conocimiento del Órgano Superior de Fiscalización del Estado de México, de las responsabilidades administrativas resarcitorias de los servidores públicos municipales, dentro de los tres días hábiles siguientes a la interposición de </w:t>
      </w:r>
      <w:proofErr w:type="gramStart"/>
      <w:r w:rsidRPr="00CE52BD">
        <w:rPr>
          <w:rFonts w:cs="Arial"/>
          <w:i/>
          <w:u w:val="single"/>
          <w:lang w:val="es-ES"/>
        </w:rPr>
        <w:t>las mismas</w:t>
      </w:r>
      <w:proofErr w:type="gramEnd"/>
      <w:r w:rsidRPr="00CE52BD">
        <w:rPr>
          <w:rFonts w:cs="Arial"/>
          <w:i/>
          <w:u w:val="single"/>
          <w:lang w:val="es-ES"/>
        </w:rPr>
        <w:t xml:space="preserve">; y remitir los procedimientos resarcitorios, cuando así sea solicitado por el Órgano Superior, en los plazos y términos que le sean indicados por éste; </w:t>
      </w:r>
    </w:p>
    <w:p w14:paraId="4E566F6D"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XVIII. Supervisar el cumplimiento de los acuerdos tomados por el Consejo Municipal de Seguridad Pública; </w:t>
      </w:r>
    </w:p>
    <w:p w14:paraId="64FD93F8"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XIX. Vigilar el cumplimiento de los programas y acciones para la prevención, atención y en su caso, el pago de las responsabilidades económicas de los Ayuntamientos por los conflictos laborales; y </w:t>
      </w:r>
    </w:p>
    <w:p w14:paraId="6F227618" w14:textId="77777777" w:rsidR="003443A5" w:rsidRPr="00CE52BD" w:rsidRDefault="003443A5" w:rsidP="003443A5">
      <w:pPr>
        <w:spacing w:line="240" w:lineRule="auto"/>
        <w:ind w:left="567" w:right="616"/>
        <w:rPr>
          <w:rFonts w:cs="Arial"/>
          <w:i/>
          <w:lang w:val="es-ES"/>
        </w:rPr>
      </w:pPr>
      <w:r w:rsidRPr="00CE52BD">
        <w:rPr>
          <w:rFonts w:cs="Arial"/>
          <w:i/>
          <w:lang w:val="es-ES"/>
        </w:rPr>
        <w:t>XX. Las demás que le señalen las disposiciones relativas.</w:t>
      </w:r>
    </w:p>
    <w:p w14:paraId="1819713B" w14:textId="77777777" w:rsidR="003443A5" w:rsidRPr="00CE52BD" w:rsidRDefault="003443A5" w:rsidP="003443A5">
      <w:pPr>
        <w:spacing w:line="240" w:lineRule="auto"/>
        <w:ind w:left="567" w:right="616"/>
        <w:rPr>
          <w:rFonts w:cs="Arial"/>
          <w:i/>
          <w:lang w:val="es-ES"/>
        </w:rPr>
      </w:pPr>
    </w:p>
    <w:p w14:paraId="23199750" w14:textId="77777777" w:rsidR="003443A5" w:rsidRPr="00CE52BD" w:rsidRDefault="003443A5" w:rsidP="003443A5">
      <w:pPr>
        <w:spacing w:line="240" w:lineRule="auto"/>
        <w:ind w:left="567" w:right="616"/>
        <w:rPr>
          <w:rFonts w:cs="Arial"/>
          <w:i/>
          <w:lang w:val="es-ES"/>
        </w:rPr>
      </w:pPr>
      <w:r w:rsidRPr="00CE52BD">
        <w:rPr>
          <w:rFonts w:cs="Arial"/>
          <w:b/>
          <w:i/>
          <w:lang w:val="es-ES"/>
        </w:rPr>
        <w:t>Artículo 168.-</w:t>
      </w:r>
      <w:r w:rsidRPr="00CE52BD">
        <w:rPr>
          <w:rFonts w:cs="Arial"/>
          <w:i/>
          <w:lang w:val="es-ES"/>
        </w:rPr>
        <w:t xml:space="preserve"> Son </w:t>
      </w:r>
      <w:r w:rsidRPr="00CE52BD">
        <w:rPr>
          <w:rFonts w:cs="Arial"/>
          <w:i/>
          <w:u w:val="single"/>
          <w:lang w:val="es-ES"/>
        </w:rPr>
        <w:t>servidores públicos municipales, los integrantes del ayuntamiento, los titulares de las diferentes dependencias</w:t>
      </w:r>
      <w:r w:rsidRPr="00CE52BD">
        <w:rPr>
          <w:rFonts w:cs="Arial"/>
          <w:i/>
          <w:lang w:val="es-ES"/>
        </w:rPr>
        <w:t xml:space="preserve"> de la administración pública municipal y todos aquéllos que desempeñen un empleo, cargo o comisión en la misma. Dichos servidores públicos municipales </w:t>
      </w:r>
      <w:r w:rsidRPr="00CE52BD">
        <w:rPr>
          <w:rFonts w:cs="Arial"/>
          <w:i/>
          <w:u w:val="single"/>
          <w:lang w:val="es-ES"/>
        </w:rPr>
        <w:t>serán responsables por los delitos y faltas administrativas que cometan durante su encargo</w:t>
      </w:r>
      <w:r w:rsidRPr="00CE52BD">
        <w:rPr>
          <w:rFonts w:cs="Arial"/>
          <w:i/>
          <w:lang w:val="es-ES"/>
        </w:rPr>
        <w:t>.</w:t>
      </w:r>
    </w:p>
    <w:p w14:paraId="27CE985A" w14:textId="77777777" w:rsidR="003443A5" w:rsidRPr="00CE52BD" w:rsidRDefault="003443A5" w:rsidP="003443A5">
      <w:pPr>
        <w:spacing w:line="240" w:lineRule="auto"/>
        <w:ind w:left="567" w:right="616"/>
        <w:rPr>
          <w:rFonts w:cs="Arial"/>
          <w:i/>
          <w:lang w:val="es-ES"/>
        </w:rPr>
      </w:pPr>
    </w:p>
    <w:p w14:paraId="3BB788B1" w14:textId="77777777" w:rsidR="003443A5" w:rsidRPr="00CE52BD" w:rsidRDefault="003443A5" w:rsidP="003443A5">
      <w:pPr>
        <w:spacing w:line="240" w:lineRule="auto"/>
        <w:ind w:left="567" w:right="616"/>
        <w:rPr>
          <w:rFonts w:cs="Arial"/>
          <w:i/>
          <w:lang w:val="es-ES"/>
        </w:rPr>
      </w:pPr>
      <w:r w:rsidRPr="00CE52BD">
        <w:rPr>
          <w:rFonts w:cs="Arial"/>
          <w:b/>
          <w:i/>
          <w:lang w:val="es-ES"/>
        </w:rPr>
        <w:t>Artículo 169.-</w:t>
      </w:r>
      <w:r w:rsidRPr="00CE52BD">
        <w:rPr>
          <w:rFonts w:cs="Arial"/>
          <w:i/>
          <w:lang w:val="es-ES"/>
        </w:rPr>
        <w:t xml:space="preserve"> En delitos del orden común, los servidores públicos municipales no gozan de fuero ni inmunidad, pudiendo en consecuencia proceder en su contra la autoridad competente.</w:t>
      </w:r>
    </w:p>
    <w:p w14:paraId="0B03B988" w14:textId="77777777" w:rsidR="003443A5" w:rsidRPr="00CE52BD" w:rsidRDefault="003443A5" w:rsidP="003443A5">
      <w:pPr>
        <w:spacing w:line="240" w:lineRule="auto"/>
        <w:ind w:left="567" w:right="616"/>
        <w:rPr>
          <w:rFonts w:cs="Arial"/>
          <w:i/>
          <w:lang w:val="es-ES"/>
        </w:rPr>
      </w:pPr>
    </w:p>
    <w:p w14:paraId="28F157F8" w14:textId="77777777" w:rsidR="003443A5" w:rsidRPr="00CE52BD" w:rsidRDefault="003443A5" w:rsidP="003443A5">
      <w:pPr>
        <w:spacing w:line="240" w:lineRule="auto"/>
        <w:ind w:left="567" w:right="616"/>
        <w:rPr>
          <w:rFonts w:cs="Arial"/>
          <w:lang w:val="es-ES"/>
        </w:rPr>
      </w:pPr>
      <w:r w:rsidRPr="00CE52BD">
        <w:rPr>
          <w:rFonts w:cs="Arial"/>
          <w:b/>
          <w:i/>
          <w:lang w:val="es-ES"/>
        </w:rPr>
        <w:t>Artículo 170.</w:t>
      </w:r>
      <w:r w:rsidRPr="00CE52BD">
        <w:rPr>
          <w:rFonts w:cs="Arial"/>
          <w:i/>
          <w:lang w:val="es-ES"/>
        </w:rPr>
        <w:t xml:space="preserve"> </w:t>
      </w:r>
      <w:r w:rsidRPr="00CE52BD">
        <w:rPr>
          <w:rFonts w:cs="Arial"/>
          <w:i/>
          <w:u w:val="single"/>
          <w:lang w:val="es-ES"/>
        </w:rPr>
        <w:t>Por las infracciones administrativas cometidas a esta Ley, Bando y reglamentos municipales, los servidores públicos municipales incurrirán en responsabilidades en términos de la Ley de Responsabilidades Administrativas del Estado de México y Municipios</w:t>
      </w:r>
      <w:r w:rsidRPr="00CE52BD">
        <w:rPr>
          <w:rFonts w:cs="Arial"/>
          <w:i/>
          <w:lang w:val="es-ES"/>
        </w:rPr>
        <w:t>.</w:t>
      </w:r>
      <w:r w:rsidRPr="00CE52BD">
        <w:rPr>
          <w:rFonts w:cs="Arial"/>
          <w:i/>
          <w:lang w:val="es-ES"/>
        </w:rPr>
        <w:cr/>
      </w:r>
    </w:p>
    <w:p w14:paraId="4DC89C76" w14:textId="77777777" w:rsidR="003443A5" w:rsidRPr="00CE52BD" w:rsidRDefault="003443A5" w:rsidP="003443A5">
      <w:pPr>
        <w:spacing w:line="240" w:lineRule="auto"/>
        <w:ind w:left="567" w:right="616"/>
        <w:jc w:val="right"/>
        <w:rPr>
          <w:rFonts w:cs="Arial"/>
        </w:rPr>
      </w:pPr>
      <w:r w:rsidRPr="00CE52BD">
        <w:rPr>
          <w:rFonts w:cs="Arial"/>
          <w:lang w:val="es-ES"/>
        </w:rPr>
        <w:t>(Énfasis añadido)</w:t>
      </w:r>
    </w:p>
    <w:p w14:paraId="24272CC4" w14:textId="77777777" w:rsidR="003443A5" w:rsidRPr="00CE52BD" w:rsidRDefault="003443A5" w:rsidP="003443A5">
      <w:pPr>
        <w:rPr>
          <w:rFonts w:cs="Arial"/>
        </w:rPr>
      </w:pPr>
    </w:p>
    <w:p w14:paraId="0DED2323" w14:textId="77777777" w:rsidR="003443A5" w:rsidRPr="00CE52BD" w:rsidRDefault="003443A5" w:rsidP="003443A5">
      <w:pPr>
        <w:rPr>
          <w:rFonts w:cs="Arial"/>
        </w:rPr>
      </w:pPr>
      <w:r w:rsidRPr="00CE52BD">
        <w:rPr>
          <w:rFonts w:cs="Arial"/>
        </w:rPr>
        <w:t>Ordenamientos legales que consagran que los servidores públicos serán responsables por los delitos y faltas administrativas que cometan durante su encargo. En ese orden de ideas, la Ley de Responsabilidades Administrativas del Estado de México y Municipios, Ley que en sus artículos 1, 2 y 186 fracción I, que disponen lo siguiente:</w:t>
      </w:r>
    </w:p>
    <w:p w14:paraId="5D69B793" w14:textId="77777777" w:rsidR="003443A5" w:rsidRPr="00CE52BD" w:rsidRDefault="003443A5" w:rsidP="003443A5">
      <w:pPr>
        <w:rPr>
          <w:rFonts w:cs="Arial"/>
        </w:rPr>
      </w:pPr>
    </w:p>
    <w:p w14:paraId="3BB475A5" w14:textId="77777777" w:rsidR="003443A5" w:rsidRPr="00CE52BD" w:rsidRDefault="003443A5" w:rsidP="003443A5">
      <w:pPr>
        <w:spacing w:line="240" w:lineRule="auto"/>
        <w:ind w:left="567" w:right="616"/>
        <w:rPr>
          <w:rFonts w:cs="Arial"/>
          <w:i/>
          <w:lang w:val="es-ES"/>
        </w:rPr>
      </w:pPr>
      <w:r w:rsidRPr="00CE52BD">
        <w:rPr>
          <w:rFonts w:cs="Arial"/>
          <w:i/>
        </w:rPr>
        <w:t>“</w:t>
      </w:r>
      <w:r w:rsidRPr="00CE52BD">
        <w:rPr>
          <w:rFonts w:cs="Arial"/>
          <w:b/>
          <w:i/>
          <w:lang w:val="es-ES"/>
        </w:rPr>
        <w:t>Artículo 1</w:t>
      </w:r>
      <w:r w:rsidRPr="00CE52BD">
        <w:rPr>
          <w:rFonts w:cs="Arial"/>
          <w:i/>
          <w:lang w:val="es-ES"/>
        </w:rPr>
        <w:t>.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1511FC5B" w14:textId="77777777" w:rsidR="003443A5" w:rsidRPr="00CE52BD" w:rsidRDefault="003443A5" w:rsidP="003443A5">
      <w:pPr>
        <w:spacing w:line="240" w:lineRule="auto"/>
        <w:ind w:left="567" w:right="616"/>
        <w:rPr>
          <w:rFonts w:cs="Arial"/>
          <w:i/>
          <w:lang w:val="es-ES"/>
        </w:rPr>
      </w:pPr>
    </w:p>
    <w:p w14:paraId="6E0AF87C" w14:textId="77777777" w:rsidR="003443A5" w:rsidRPr="00CE52BD" w:rsidRDefault="003443A5" w:rsidP="003443A5">
      <w:pPr>
        <w:spacing w:line="240" w:lineRule="auto"/>
        <w:ind w:left="567" w:right="616"/>
        <w:rPr>
          <w:rFonts w:cs="Arial"/>
          <w:i/>
        </w:rPr>
      </w:pPr>
      <w:r w:rsidRPr="00CE52BD">
        <w:rPr>
          <w:rFonts w:cs="Arial"/>
          <w:b/>
          <w:i/>
        </w:rPr>
        <w:t>Artículo 2.</w:t>
      </w:r>
      <w:r w:rsidRPr="00CE52BD">
        <w:rPr>
          <w:rFonts w:cs="Arial"/>
          <w:i/>
        </w:rPr>
        <w:t xml:space="preserve"> Es objeto de la presente Ley:</w:t>
      </w:r>
    </w:p>
    <w:p w14:paraId="35EBAD8D" w14:textId="77777777" w:rsidR="003443A5" w:rsidRPr="00CE52BD" w:rsidRDefault="003443A5" w:rsidP="003443A5">
      <w:pPr>
        <w:spacing w:line="240" w:lineRule="auto"/>
        <w:ind w:left="567" w:right="616"/>
        <w:rPr>
          <w:rFonts w:cs="Arial"/>
          <w:i/>
        </w:rPr>
      </w:pPr>
      <w:r w:rsidRPr="00CE52BD">
        <w:rPr>
          <w:rFonts w:cs="Arial"/>
          <w:i/>
        </w:rPr>
        <w:t>…</w:t>
      </w:r>
    </w:p>
    <w:p w14:paraId="2D6DC17B" w14:textId="77777777" w:rsidR="003443A5" w:rsidRPr="00CE52BD" w:rsidRDefault="003443A5" w:rsidP="003443A5">
      <w:pPr>
        <w:spacing w:line="240" w:lineRule="auto"/>
        <w:ind w:left="567" w:right="616"/>
        <w:rPr>
          <w:rFonts w:cs="Arial"/>
          <w:i/>
        </w:rPr>
      </w:pPr>
      <w:r w:rsidRPr="00CE52BD">
        <w:rPr>
          <w:rFonts w:cs="Arial"/>
          <w:b/>
          <w:i/>
        </w:rPr>
        <w:t>IV.</w:t>
      </w:r>
      <w:r w:rsidRPr="00CE52BD">
        <w:rPr>
          <w:rFonts w:cs="Arial"/>
          <w:i/>
        </w:rPr>
        <w:t xml:space="preserve"> Determinar los mecanismos para la prevención, corrección e investigación de responsabilidades administrativas.</w:t>
      </w:r>
    </w:p>
    <w:p w14:paraId="66A45B8E" w14:textId="77777777" w:rsidR="003443A5" w:rsidRPr="00CE52BD" w:rsidRDefault="003443A5" w:rsidP="003443A5">
      <w:pPr>
        <w:spacing w:line="240" w:lineRule="auto"/>
        <w:ind w:left="567" w:right="616"/>
        <w:rPr>
          <w:rFonts w:cs="Arial"/>
          <w:i/>
        </w:rPr>
      </w:pPr>
    </w:p>
    <w:p w14:paraId="4A59488D" w14:textId="77777777" w:rsidR="003443A5" w:rsidRPr="00CE52BD" w:rsidRDefault="003443A5" w:rsidP="003443A5">
      <w:pPr>
        <w:spacing w:line="240" w:lineRule="auto"/>
        <w:ind w:left="567" w:right="616"/>
        <w:rPr>
          <w:rFonts w:cs="Arial"/>
          <w:i/>
          <w:lang w:val="es-ES"/>
        </w:rPr>
      </w:pPr>
      <w:r w:rsidRPr="00CE52BD">
        <w:rPr>
          <w:rFonts w:cs="Arial"/>
          <w:b/>
          <w:i/>
          <w:lang w:val="es-ES"/>
        </w:rPr>
        <w:t xml:space="preserve">Artículo 186. </w:t>
      </w:r>
      <w:r w:rsidRPr="00CE52BD">
        <w:rPr>
          <w:rFonts w:cs="Arial"/>
          <w:i/>
          <w:lang w:val="es-ES"/>
        </w:rPr>
        <w:t xml:space="preserve">Los expedientes se integrarán por las autoridades substanciadoras o, en su caso, resolutoras, con la colaboración de las partes, terceros y demás que intervengan en el procedimiento administrativo, conforme a las siguientes reglas: </w:t>
      </w:r>
    </w:p>
    <w:p w14:paraId="5E412DA0" w14:textId="77777777" w:rsidR="003443A5" w:rsidRPr="00CE52BD" w:rsidRDefault="003443A5" w:rsidP="003443A5">
      <w:pPr>
        <w:spacing w:line="240" w:lineRule="auto"/>
        <w:ind w:left="567" w:right="616"/>
        <w:rPr>
          <w:rFonts w:cs="Arial"/>
          <w:i/>
          <w:lang w:val="es-ES"/>
        </w:rPr>
      </w:pPr>
      <w:r w:rsidRPr="00CE52BD">
        <w:rPr>
          <w:rFonts w:cs="Arial"/>
          <w:i/>
          <w:lang w:val="es-ES"/>
        </w:rPr>
        <w:t xml:space="preserve">I. Todos los escritos deberán presentarse en idioma español o lengua nacional y estar firmados por quienes intervengan en ellos, en caso de que no supieren o pudieren firmar bastará con que estampen su huella dactilar, o bien, podrán solicitar a un tercero que firme a su nombre y ruego, </w:t>
      </w:r>
      <w:r w:rsidRPr="00CE52BD">
        <w:rPr>
          <w:rFonts w:cs="Arial"/>
          <w:i/>
          <w:u w:val="single"/>
          <w:lang w:val="es-ES"/>
        </w:rPr>
        <w:t>debiéndose establecer tal circunstancia en el acta respectiva</w:t>
      </w:r>
      <w:r w:rsidRPr="00CE52BD">
        <w:rPr>
          <w:rFonts w:cs="Arial"/>
          <w:i/>
          <w:lang w:val="es-ES"/>
        </w:rPr>
        <w:t>. En este último caso se requerirá que el promovente comparezca personalmente ante la autoridad substanciadora o resolutora, según sea el caso, a ratificar</w:t>
      </w:r>
    </w:p>
    <w:p w14:paraId="05803C41" w14:textId="77777777" w:rsidR="003443A5" w:rsidRPr="00CE52BD" w:rsidRDefault="003443A5" w:rsidP="003443A5">
      <w:pPr>
        <w:spacing w:line="240" w:lineRule="auto"/>
        <w:ind w:left="567" w:right="616"/>
        <w:rPr>
          <w:rFonts w:cs="Arial"/>
          <w:i/>
        </w:rPr>
      </w:pPr>
      <w:r w:rsidRPr="00CE52BD">
        <w:rPr>
          <w:rFonts w:cs="Arial"/>
          <w:i/>
        </w:rPr>
        <w:t>…”</w:t>
      </w:r>
    </w:p>
    <w:p w14:paraId="23943706" w14:textId="77777777" w:rsidR="003443A5" w:rsidRPr="00CE52BD" w:rsidRDefault="003443A5" w:rsidP="003443A5">
      <w:pPr>
        <w:spacing w:line="240" w:lineRule="auto"/>
        <w:ind w:left="567" w:right="616"/>
        <w:jc w:val="right"/>
        <w:rPr>
          <w:rFonts w:cs="Arial"/>
        </w:rPr>
      </w:pPr>
      <w:r w:rsidRPr="00CE52BD">
        <w:rPr>
          <w:rFonts w:cs="Arial"/>
        </w:rPr>
        <w:t>(Énfasis añadido)</w:t>
      </w:r>
    </w:p>
    <w:p w14:paraId="080F9782" w14:textId="77777777" w:rsidR="003443A5" w:rsidRPr="00CE52BD" w:rsidRDefault="003443A5" w:rsidP="003443A5">
      <w:pPr>
        <w:rPr>
          <w:rFonts w:cs="Arial"/>
        </w:rPr>
      </w:pPr>
    </w:p>
    <w:p w14:paraId="5933FDCA" w14:textId="77777777" w:rsidR="003443A5" w:rsidRPr="00CE52BD" w:rsidRDefault="003443A5" w:rsidP="003443A5">
      <w:pPr>
        <w:rPr>
          <w:rFonts w:cs="Arial"/>
        </w:rPr>
      </w:pPr>
      <w:r w:rsidRPr="00CE52BD">
        <w:rPr>
          <w:rFonts w:cs="Arial"/>
        </w:rPr>
        <w:t xml:space="preserve">Es con base en los ordenamiento previamente citados, que podemos concluir que dentro de las unidades administrativas del Sujeto Obligado se encuentra la Contraloría Interna Municipal, encargada de la aplicación de la Ley de Responsabilidades Administrativas del Estado de México y Municipios, la cual establece y regula lo relativo a las responsabilidades administrativas por parte de los servidores públicos, de igual manera, consagra que dentro del procedimiento que sea seguido, se deben elaborar las actas </w:t>
      </w:r>
      <w:r w:rsidRPr="00CE52BD">
        <w:rPr>
          <w:rFonts w:cs="Arial"/>
        </w:rPr>
        <w:lastRenderedPageBreak/>
        <w:t xml:space="preserve">correspondientes, documentos en de los que pudieran formar parte los oficios peticionados por el Recurrente. </w:t>
      </w:r>
    </w:p>
    <w:p w14:paraId="3A9C04A0" w14:textId="77777777" w:rsidR="003443A5" w:rsidRPr="00CE52BD" w:rsidRDefault="003443A5" w:rsidP="003443A5">
      <w:pPr>
        <w:rPr>
          <w:rFonts w:cs="Arial"/>
        </w:rPr>
      </w:pPr>
    </w:p>
    <w:p w14:paraId="0E6A4A97" w14:textId="77777777" w:rsidR="003443A5" w:rsidRPr="00CE52BD" w:rsidRDefault="003443A5" w:rsidP="003443A5">
      <w:pPr>
        <w:rPr>
          <w:rFonts w:cs="Arial"/>
        </w:rPr>
      </w:pPr>
      <w:r w:rsidRPr="00CE52BD">
        <w:rPr>
          <w:rFonts w:cs="Arial"/>
        </w:rPr>
        <w:t xml:space="preserve">Consecuentemente, tenemos por acreditada la atribución de generar la información peticionada, la cual concatenada con los </w:t>
      </w:r>
      <w:r w:rsidRPr="00CE52BD">
        <w:rPr>
          <w:rFonts w:cs="Times New Roman"/>
          <w:szCs w:val="24"/>
          <w:lang w:eastAsia="es-ES"/>
        </w:rPr>
        <w:t>artículos 18 y 19 de la Ley de Transparencia y Acceso a la Información Pública del Estado de México y Municipios</w:t>
      </w:r>
      <w:r w:rsidRPr="00CE52BD">
        <w:rPr>
          <w:rFonts w:cs="Times New Roman"/>
          <w:szCs w:val="24"/>
          <w:vertAlign w:val="superscript"/>
          <w:lang w:eastAsia="es-ES"/>
        </w:rPr>
        <w:footnoteReference w:id="3"/>
      </w:r>
      <w:r w:rsidRPr="00CE52BD">
        <w:rPr>
          <w:rFonts w:cs="Arial"/>
        </w:rPr>
        <w:t xml:space="preserve"> presume la existencia de la información, derivada de las obligaciones de documentar todos sus actos. </w:t>
      </w:r>
    </w:p>
    <w:p w14:paraId="1EBC3BE1" w14:textId="77777777" w:rsidR="003443A5" w:rsidRPr="00CE52BD" w:rsidRDefault="003443A5" w:rsidP="003443A5">
      <w:pPr>
        <w:rPr>
          <w:rFonts w:cs="Arial"/>
        </w:rPr>
      </w:pPr>
    </w:p>
    <w:p w14:paraId="3651E2FB" w14:textId="77777777" w:rsidR="003443A5" w:rsidRPr="00CE52BD" w:rsidRDefault="003443A5" w:rsidP="003443A5">
      <w:pPr>
        <w:tabs>
          <w:tab w:val="left" w:pos="709"/>
        </w:tabs>
      </w:pPr>
      <w:r w:rsidRPr="00CE52BD">
        <w:t xml:space="preserve">No pasa desapercibido para este Órgano Garante que, en el presente asunto la información requerida pudiera corresponder a los expedientes formados con motivo de procedimientos de responsabilidad administrativa que se encuentren en proceso investigación y los que se encuentren en responsabilidad, los cuales se encuentran 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CE52BD">
        <w:rPr>
          <w:b/>
        </w:rPr>
        <w:t xml:space="preserve">si el expediente que contiene el procedimiento de </w:t>
      </w:r>
      <w:r w:rsidRPr="00CE52BD">
        <w:rPr>
          <w:b/>
        </w:rPr>
        <w:lastRenderedPageBreak/>
        <w:t xml:space="preserve">responsabilidad administrativa actualiza la hipótesis normativa señalada anteriormente debe ser considerado como información reservada, </w:t>
      </w:r>
      <w:r w:rsidRPr="00CE52BD">
        <w:t xml:space="preserve">previa cumplimiento de todas y cada una de las formalidades establecidas para su clasificación, </w:t>
      </w:r>
      <w:r w:rsidRPr="00CE52BD">
        <w:rPr>
          <w:b/>
        </w:rPr>
        <w:t xml:space="preserve">lo anterior resulta aplicable tanto a las investigaciones o procedimientos de responsabilidad administrativa originado por faltas administrativas no graves y las graves </w:t>
      </w:r>
      <w:r w:rsidRPr="00CE52BD">
        <w:rPr>
          <w:rFonts w:cs="Arial"/>
        </w:rPr>
        <w:t>siempre que se encuentre en trámite.</w:t>
      </w:r>
      <w:r w:rsidRPr="00CE52BD">
        <w:t xml:space="preserve"> </w:t>
      </w:r>
    </w:p>
    <w:p w14:paraId="7E7D9285" w14:textId="77777777" w:rsidR="003443A5" w:rsidRPr="00CE52BD" w:rsidRDefault="003443A5" w:rsidP="003443A5">
      <w:pPr>
        <w:tabs>
          <w:tab w:val="left" w:pos="709"/>
        </w:tabs>
        <w:rPr>
          <w:b/>
        </w:rPr>
      </w:pPr>
    </w:p>
    <w:p w14:paraId="326AE244" w14:textId="77777777" w:rsidR="003443A5" w:rsidRPr="00CE52BD" w:rsidRDefault="003443A5" w:rsidP="003443A5">
      <w:pPr>
        <w:tabs>
          <w:tab w:val="left" w:pos="709"/>
        </w:tabs>
        <w:rPr>
          <w:rFonts w:cs="Tahoma"/>
          <w:bCs/>
        </w:rPr>
      </w:pPr>
      <w:r w:rsidRPr="00CE52BD">
        <w:t xml:space="preserve">En suma a lo anterior, no se omite señalar que, es criterio del Pleno del máximo Tribunal que, </w:t>
      </w:r>
      <w:r w:rsidRPr="00CE52BD">
        <w:rPr>
          <w:rFonts w:cs="Tahoma"/>
          <w:bCs/>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49771E8C" w14:textId="77777777" w:rsidR="003443A5" w:rsidRPr="00CE52BD" w:rsidRDefault="003443A5" w:rsidP="003443A5">
      <w:pPr>
        <w:tabs>
          <w:tab w:val="left" w:pos="709"/>
        </w:tabs>
        <w:rPr>
          <w:rFonts w:cs="Tahoma"/>
          <w:bCs/>
        </w:rPr>
      </w:pPr>
    </w:p>
    <w:p w14:paraId="79DBC483" w14:textId="77777777" w:rsidR="003443A5" w:rsidRPr="00CE52BD" w:rsidRDefault="003443A5" w:rsidP="003443A5">
      <w:pPr>
        <w:tabs>
          <w:tab w:val="left" w:pos="709"/>
        </w:tabs>
        <w:ind w:left="567" w:right="567"/>
        <w:rPr>
          <w:rFonts w:cs="Tahoma"/>
          <w:bCs/>
          <w:i/>
        </w:rPr>
      </w:pPr>
      <w:r w:rsidRPr="00CE52BD">
        <w:rPr>
          <w:rFonts w:cs="Tahoma"/>
          <w:b/>
          <w:i/>
        </w:rPr>
        <w:t xml:space="preserve">PRESUNCIÓN DE INOCENCIA. ESTE PRINCIPIO ES APLICABLE AL PROCEDIMIENTO ADMINISTRATIVO SANCIONADOR, CON MATICES O MODULACIONES. </w:t>
      </w:r>
      <w:r w:rsidRPr="00CE52BD">
        <w:rPr>
          <w:rFonts w:cs="Tahoma"/>
          <w:bCs/>
          <w:i/>
        </w:rPr>
        <w:t xml:space="preserve">El Tribunal Pleno de la Suprema Corte de Justicia de la Nación, en la tesis aislada P. XXXV/2002, sostuvo que, de la interpretación armónica </w:t>
      </w:r>
      <w:r w:rsidRPr="00CE52BD">
        <w:rPr>
          <w:rFonts w:cs="Tahoma"/>
          <w:bCs/>
          <w:i/>
        </w:rPr>
        <w:lastRenderedPageBreak/>
        <w:t xml:space="preserve">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w:t>
      </w:r>
      <w:proofErr w:type="spellStart"/>
      <w:r w:rsidRPr="00CE52BD">
        <w:rPr>
          <w:rFonts w:cs="Tahoma"/>
          <w:bCs/>
          <w:i/>
        </w:rPr>
        <w:t>1o</w:t>
      </w:r>
      <w:proofErr w:type="spellEnd"/>
      <w:r w:rsidRPr="00CE52BD">
        <w:rPr>
          <w:rFonts w:cs="Tahoma"/>
          <w:bCs/>
          <w:i/>
        </w:rPr>
        <w:t>.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7F0EC5C1" w14:textId="77777777" w:rsidR="003443A5" w:rsidRPr="00CE52BD" w:rsidRDefault="003443A5" w:rsidP="003443A5">
      <w:pPr>
        <w:tabs>
          <w:tab w:val="left" w:pos="709"/>
        </w:tabs>
        <w:ind w:left="567" w:right="567"/>
        <w:rPr>
          <w:rFonts w:cs="Tahoma"/>
          <w:bCs/>
          <w:i/>
        </w:rPr>
      </w:pPr>
    </w:p>
    <w:p w14:paraId="74C57A2A" w14:textId="77777777" w:rsidR="003443A5" w:rsidRPr="00CE52BD" w:rsidRDefault="003443A5" w:rsidP="003443A5">
      <w:pPr>
        <w:tabs>
          <w:tab w:val="left" w:pos="709"/>
        </w:tabs>
        <w:ind w:left="567" w:right="567"/>
        <w:rPr>
          <w:rFonts w:cs="Tahoma"/>
          <w:bCs/>
          <w:i/>
        </w:rPr>
      </w:pPr>
      <w:r w:rsidRPr="00CE52BD">
        <w:rPr>
          <w:rFonts w:cs="Tahoma"/>
          <w:bCs/>
          <w:i/>
        </w:rPr>
        <w:lastRenderedPageBreak/>
        <w:t xml:space="preserve">Contradicción de tesis 200/2013. Entre las sustentadas por la Primera y la Segunda Salas de la Suprema Corte de Justicia de la Nación. 28 de enero de 2014. Mayoría de nueve votos de los </w:t>
      </w:r>
      <w:proofErr w:type="gramStart"/>
      <w:r w:rsidRPr="00CE52BD">
        <w:rPr>
          <w:rFonts w:cs="Tahoma"/>
          <w:bCs/>
          <w:i/>
        </w:rPr>
        <w:t>Ministros</w:t>
      </w:r>
      <w:proofErr w:type="gramEnd"/>
      <w:r w:rsidRPr="00CE52BD">
        <w:rPr>
          <w:rFonts w:cs="Tahoma"/>
          <w:bCs/>
          <w:i/>
        </w:rPr>
        <w:t xml:space="preserve">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56ECA39A" w14:textId="77777777" w:rsidR="003443A5" w:rsidRPr="00CE52BD" w:rsidRDefault="003443A5" w:rsidP="003443A5">
      <w:pPr>
        <w:tabs>
          <w:tab w:val="left" w:pos="709"/>
        </w:tabs>
        <w:ind w:left="567" w:right="567"/>
        <w:rPr>
          <w:rFonts w:cs="Tahoma"/>
          <w:bCs/>
          <w:i/>
        </w:rPr>
      </w:pPr>
    </w:p>
    <w:p w14:paraId="4F4D3F02" w14:textId="77777777" w:rsidR="003443A5" w:rsidRPr="00CE52BD" w:rsidRDefault="003443A5" w:rsidP="003443A5">
      <w:pPr>
        <w:tabs>
          <w:tab w:val="left" w:pos="709"/>
        </w:tabs>
        <w:ind w:left="567" w:right="567"/>
        <w:rPr>
          <w:rFonts w:cs="Tahoma"/>
          <w:bCs/>
          <w:i/>
        </w:rPr>
      </w:pPr>
      <w:r w:rsidRPr="00CE52BD">
        <w:rPr>
          <w:rFonts w:cs="Tahoma"/>
          <w:bCs/>
          <w:i/>
        </w:rPr>
        <w:t>Tesis y/o criterios contendientes:</w:t>
      </w:r>
    </w:p>
    <w:p w14:paraId="6177176D" w14:textId="77777777" w:rsidR="003443A5" w:rsidRPr="00CE52BD" w:rsidRDefault="003443A5" w:rsidP="003443A5">
      <w:pPr>
        <w:tabs>
          <w:tab w:val="left" w:pos="709"/>
        </w:tabs>
        <w:ind w:left="567" w:right="567"/>
        <w:rPr>
          <w:rFonts w:cs="Tahoma"/>
          <w:bCs/>
          <w:i/>
        </w:rPr>
      </w:pPr>
      <w:r w:rsidRPr="00CE52BD">
        <w:rPr>
          <w:rFonts w:cs="Tahoma"/>
          <w:bCs/>
          <w:i/>
        </w:rPr>
        <w:t xml:space="preserve">Tesis </w:t>
      </w:r>
      <w:proofErr w:type="spellStart"/>
      <w:r w:rsidRPr="00CE52BD">
        <w:rPr>
          <w:rFonts w:cs="Tahoma"/>
          <w:bCs/>
          <w:i/>
        </w:rPr>
        <w:t>1a</w:t>
      </w:r>
      <w:proofErr w:type="spellEnd"/>
      <w:r w:rsidRPr="00CE52BD">
        <w:rPr>
          <w:rFonts w:cs="Tahoma"/>
          <w:bCs/>
          <w:i/>
        </w:rPr>
        <w:t>. XCIII/2013 (</w:t>
      </w:r>
      <w:proofErr w:type="spellStart"/>
      <w:r w:rsidRPr="00CE52BD">
        <w:rPr>
          <w:rFonts w:cs="Tahoma"/>
          <w:bCs/>
          <w:i/>
        </w:rPr>
        <w:t>10a</w:t>
      </w:r>
      <w:proofErr w:type="spellEnd"/>
      <w:r w:rsidRPr="00CE52BD">
        <w:rPr>
          <w:rFonts w:cs="Tahoma"/>
          <w:bCs/>
          <w:i/>
        </w:rPr>
        <w:t>.),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30CA996C" w14:textId="77777777" w:rsidR="003443A5" w:rsidRPr="00CE52BD" w:rsidRDefault="003443A5" w:rsidP="003443A5">
      <w:pPr>
        <w:tabs>
          <w:tab w:val="left" w:pos="709"/>
        </w:tabs>
        <w:ind w:left="567" w:right="567"/>
        <w:rPr>
          <w:rFonts w:cs="Tahoma"/>
          <w:bCs/>
          <w:i/>
        </w:rPr>
      </w:pPr>
    </w:p>
    <w:p w14:paraId="676CA27E" w14:textId="77777777" w:rsidR="003443A5" w:rsidRPr="00CE52BD" w:rsidRDefault="003443A5" w:rsidP="003443A5">
      <w:pPr>
        <w:tabs>
          <w:tab w:val="left" w:pos="709"/>
        </w:tabs>
        <w:ind w:left="567" w:right="567"/>
        <w:rPr>
          <w:rFonts w:cs="Tahoma"/>
          <w:bCs/>
          <w:i/>
        </w:rPr>
      </w:pPr>
      <w:r w:rsidRPr="00CE52BD">
        <w:rPr>
          <w:rFonts w:cs="Tahoma"/>
          <w:bCs/>
          <w:i/>
        </w:rPr>
        <w:t xml:space="preserve">Tesis </w:t>
      </w:r>
      <w:proofErr w:type="spellStart"/>
      <w:r w:rsidRPr="00CE52BD">
        <w:rPr>
          <w:rFonts w:cs="Tahoma"/>
          <w:bCs/>
          <w:i/>
        </w:rPr>
        <w:t>1a</w:t>
      </w:r>
      <w:proofErr w:type="spellEnd"/>
      <w:r w:rsidRPr="00CE52BD">
        <w:rPr>
          <w:rFonts w:cs="Tahoma"/>
          <w:bCs/>
          <w:i/>
        </w:rPr>
        <w:t>. XCVII/2013 (</w:t>
      </w:r>
      <w:proofErr w:type="spellStart"/>
      <w:r w:rsidRPr="00CE52BD">
        <w:rPr>
          <w:rFonts w:cs="Tahoma"/>
          <w:bCs/>
          <w:i/>
        </w:rPr>
        <w:t>10a</w:t>
      </w:r>
      <w:proofErr w:type="spellEnd"/>
      <w:r w:rsidRPr="00CE52BD">
        <w:rPr>
          <w:rFonts w:cs="Tahoma"/>
          <w:bCs/>
          <w:i/>
        </w:rPr>
        <w:t xml:space="preserve">.),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w:t>
      </w:r>
      <w:r w:rsidRPr="00CE52BD">
        <w:rPr>
          <w:rFonts w:cs="Tahoma"/>
          <w:bCs/>
          <w:i/>
        </w:rPr>
        <w:lastRenderedPageBreak/>
        <w:t>Nación, y publicada en el Semanario Judicial de la Federación y su Gaceta, Décima Época, Libro XIX, Tomo 1, abril de 2013, página 967,</w:t>
      </w:r>
    </w:p>
    <w:p w14:paraId="4DA2A8F2" w14:textId="77777777" w:rsidR="003443A5" w:rsidRPr="00CE52BD" w:rsidRDefault="003443A5" w:rsidP="003443A5">
      <w:pPr>
        <w:tabs>
          <w:tab w:val="left" w:pos="709"/>
        </w:tabs>
        <w:ind w:left="567" w:right="567"/>
        <w:rPr>
          <w:rFonts w:cs="Tahoma"/>
          <w:bCs/>
          <w:i/>
        </w:rPr>
      </w:pPr>
    </w:p>
    <w:p w14:paraId="74381857" w14:textId="77777777" w:rsidR="003443A5" w:rsidRPr="00CE52BD" w:rsidRDefault="003443A5" w:rsidP="003443A5">
      <w:pPr>
        <w:tabs>
          <w:tab w:val="left" w:pos="709"/>
        </w:tabs>
        <w:ind w:left="567" w:right="567"/>
        <w:rPr>
          <w:rFonts w:cs="Tahoma"/>
          <w:bCs/>
          <w:i/>
        </w:rPr>
      </w:pPr>
      <w:r w:rsidRPr="00CE52BD">
        <w:rPr>
          <w:rFonts w:cs="Tahoma"/>
          <w:bCs/>
          <w:i/>
        </w:rPr>
        <w:t xml:space="preserve">Tesis </w:t>
      </w:r>
      <w:proofErr w:type="spellStart"/>
      <w:r w:rsidRPr="00CE52BD">
        <w:rPr>
          <w:rFonts w:cs="Tahoma"/>
          <w:bCs/>
          <w:i/>
        </w:rPr>
        <w:t>2a</w:t>
      </w:r>
      <w:proofErr w:type="spellEnd"/>
      <w:r w:rsidRPr="00CE52BD">
        <w:rPr>
          <w:rFonts w:cs="Tahoma"/>
          <w:bCs/>
          <w:i/>
        </w:rPr>
        <w:t>. XC/2012 (</w:t>
      </w:r>
      <w:proofErr w:type="spellStart"/>
      <w:r w:rsidRPr="00CE52BD">
        <w:rPr>
          <w:rFonts w:cs="Tahoma"/>
          <w:bCs/>
          <w:i/>
        </w:rPr>
        <w:t>10a</w:t>
      </w:r>
      <w:proofErr w:type="spellEnd"/>
      <w:r w:rsidRPr="00CE52BD">
        <w:rPr>
          <w:rFonts w:cs="Tahoma"/>
          <w:bCs/>
          <w:i/>
        </w:rPr>
        <w:t>.),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270AA5F0" w14:textId="77777777" w:rsidR="003443A5" w:rsidRPr="00CE52BD" w:rsidRDefault="003443A5" w:rsidP="003443A5">
      <w:pPr>
        <w:tabs>
          <w:tab w:val="left" w:pos="709"/>
        </w:tabs>
        <w:ind w:left="567" w:right="567"/>
        <w:rPr>
          <w:rFonts w:cs="Tahoma"/>
          <w:bCs/>
          <w:i/>
        </w:rPr>
      </w:pPr>
    </w:p>
    <w:p w14:paraId="5E8CA40E" w14:textId="77777777" w:rsidR="003443A5" w:rsidRPr="00CE52BD" w:rsidRDefault="003443A5" w:rsidP="003443A5">
      <w:pPr>
        <w:tabs>
          <w:tab w:val="left" w:pos="709"/>
        </w:tabs>
        <w:ind w:left="567" w:right="567"/>
        <w:rPr>
          <w:rFonts w:cs="Tahoma"/>
          <w:bCs/>
          <w:i/>
        </w:rPr>
      </w:pPr>
      <w:r w:rsidRPr="00CE52BD">
        <w:rPr>
          <w:rFonts w:cs="Tahoma"/>
          <w:bCs/>
          <w:i/>
        </w:rPr>
        <w:t xml:space="preserve">Tesis </w:t>
      </w:r>
      <w:proofErr w:type="spellStart"/>
      <w:r w:rsidRPr="00CE52BD">
        <w:rPr>
          <w:rFonts w:cs="Tahoma"/>
          <w:bCs/>
          <w:i/>
        </w:rPr>
        <w:t>2a</w:t>
      </w:r>
      <w:proofErr w:type="spellEnd"/>
      <w:r w:rsidRPr="00CE52BD">
        <w:rPr>
          <w:rFonts w:cs="Tahoma"/>
          <w:bCs/>
          <w:i/>
        </w:rPr>
        <w:t>. XCI/2012 (</w:t>
      </w:r>
      <w:proofErr w:type="spellStart"/>
      <w:r w:rsidRPr="00CE52BD">
        <w:rPr>
          <w:rFonts w:cs="Tahoma"/>
          <w:bCs/>
          <w:i/>
        </w:rPr>
        <w:t>10a</w:t>
      </w:r>
      <w:proofErr w:type="spellEnd"/>
      <w:r w:rsidRPr="00CE52BD">
        <w:rPr>
          <w:rFonts w:cs="Tahoma"/>
          <w:bCs/>
          <w:i/>
        </w:rPr>
        <w:t>.),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547E8BF2" w14:textId="77777777" w:rsidR="003443A5" w:rsidRPr="00CE52BD" w:rsidRDefault="003443A5" w:rsidP="003443A5">
      <w:pPr>
        <w:tabs>
          <w:tab w:val="left" w:pos="709"/>
        </w:tabs>
        <w:ind w:left="567" w:right="567"/>
        <w:rPr>
          <w:rFonts w:cs="Tahoma"/>
          <w:bCs/>
          <w:i/>
        </w:rPr>
      </w:pPr>
    </w:p>
    <w:p w14:paraId="15CB9B1C" w14:textId="77777777" w:rsidR="003443A5" w:rsidRPr="00CE52BD" w:rsidRDefault="003443A5" w:rsidP="003443A5">
      <w:pPr>
        <w:tabs>
          <w:tab w:val="left" w:pos="709"/>
        </w:tabs>
        <w:ind w:left="567" w:right="567"/>
        <w:rPr>
          <w:rFonts w:cs="Tahoma"/>
          <w:bCs/>
          <w:i/>
        </w:rPr>
      </w:pPr>
      <w:r w:rsidRPr="00CE52BD">
        <w:rPr>
          <w:rFonts w:cs="Tahoma"/>
          <w:bCs/>
          <w:i/>
        </w:rPr>
        <w:t>El Tribunal Pleno, el veintiséis de mayo en curso, aprobó, con el número 43/2014 (</w:t>
      </w:r>
      <w:proofErr w:type="spellStart"/>
      <w:r w:rsidRPr="00CE52BD">
        <w:rPr>
          <w:rFonts w:cs="Tahoma"/>
          <w:bCs/>
          <w:i/>
        </w:rPr>
        <w:t>10a</w:t>
      </w:r>
      <w:proofErr w:type="spellEnd"/>
      <w:r w:rsidRPr="00CE52BD">
        <w:rPr>
          <w:rFonts w:cs="Tahoma"/>
          <w:bCs/>
          <w:i/>
        </w:rPr>
        <w:t>.), la tesis jurisprudencial que antecede. México, Distrito Federal, a veintiséis de mayo de dos mil catorce.</w:t>
      </w:r>
    </w:p>
    <w:p w14:paraId="3F0A2CA1" w14:textId="77777777" w:rsidR="003443A5" w:rsidRPr="00CE52BD" w:rsidRDefault="003443A5" w:rsidP="003443A5">
      <w:pPr>
        <w:tabs>
          <w:tab w:val="left" w:pos="709"/>
        </w:tabs>
        <w:ind w:left="567" w:right="567"/>
        <w:rPr>
          <w:rFonts w:cs="Tahoma"/>
          <w:bCs/>
          <w:i/>
        </w:rPr>
      </w:pPr>
    </w:p>
    <w:p w14:paraId="045F03D2" w14:textId="77777777" w:rsidR="003443A5" w:rsidRPr="00CE52BD" w:rsidRDefault="003443A5" w:rsidP="003443A5">
      <w:pPr>
        <w:tabs>
          <w:tab w:val="left" w:pos="709"/>
        </w:tabs>
        <w:ind w:left="567" w:right="567"/>
        <w:rPr>
          <w:rFonts w:cs="Tahoma"/>
          <w:bCs/>
          <w:i/>
        </w:rPr>
      </w:pPr>
      <w:r w:rsidRPr="00CE52BD">
        <w:rPr>
          <w:rFonts w:cs="Tahoma"/>
          <w:bCs/>
          <w:i/>
        </w:rPr>
        <w:t xml:space="preserve">Nota: La tesis aislada P. XXXV/2002 citada, aparece publicada en el Semanario Judicial de la Federación y su Gaceta, Novena Época, Tomo XVI, agosto de 2002, página 14, con el rubro: "PRESUNCIÓN DE INOCENCIA. EL PRINCIPIO </w:t>
      </w:r>
      <w:r w:rsidRPr="00CE52BD">
        <w:rPr>
          <w:rFonts w:cs="Tahoma"/>
          <w:bCs/>
          <w:i/>
        </w:rPr>
        <w:lastRenderedPageBreak/>
        <w:t>RELATIVO SE CONTIENE DE MANERA IMPLÍCITA EN LA CONSTITUCIÓN FEDERAL."</w:t>
      </w:r>
    </w:p>
    <w:p w14:paraId="4C222EE9" w14:textId="77777777" w:rsidR="003443A5" w:rsidRPr="00CE52BD" w:rsidRDefault="003443A5" w:rsidP="003443A5">
      <w:pPr>
        <w:tabs>
          <w:tab w:val="left" w:pos="709"/>
        </w:tabs>
        <w:ind w:left="567" w:right="567"/>
        <w:rPr>
          <w:rFonts w:cs="Tahoma"/>
          <w:bCs/>
          <w:i/>
        </w:rPr>
      </w:pPr>
    </w:p>
    <w:p w14:paraId="566E6D25" w14:textId="77777777" w:rsidR="003443A5" w:rsidRPr="00CE52BD" w:rsidRDefault="003443A5" w:rsidP="003443A5">
      <w:pPr>
        <w:tabs>
          <w:tab w:val="left" w:pos="709"/>
        </w:tabs>
        <w:ind w:left="567" w:right="567"/>
        <w:rPr>
          <w:rFonts w:cs="Tahoma"/>
          <w:bCs/>
          <w:i/>
        </w:rPr>
      </w:pPr>
      <w:r w:rsidRPr="00CE52BD">
        <w:rPr>
          <w:rFonts w:cs="Tahoma"/>
          <w:bCs/>
          <w:i/>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655E0FBD" w14:textId="77777777" w:rsidR="003443A5" w:rsidRPr="00CE52BD" w:rsidRDefault="003443A5" w:rsidP="003443A5">
      <w:pPr>
        <w:tabs>
          <w:tab w:val="left" w:pos="709"/>
        </w:tabs>
      </w:pPr>
    </w:p>
    <w:p w14:paraId="648EA3B1" w14:textId="77777777" w:rsidR="003443A5" w:rsidRPr="00CE52BD" w:rsidRDefault="003443A5" w:rsidP="003443A5">
      <w:pPr>
        <w:tabs>
          <w:tab w:val="left" w:pos="709"/>
        </w:tabs>
      </w:pPr>
      <w:r w:rsidRPr="00CE52BD">
        <w:t>Por otro lado, no se omite señalar, que de conforme a al artículo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 o actos de corrupción, preceptos legales que establecen lo siguiente:</w:t>
      </w:r>
    </w:p>
    <w:p w14:paraId="4F2ABBEE" w14:textId="77777777" w:rsidR="003443A5" w:rsidRPr="00CE52BD" w:rsidRDefault="003443A5" w:rsidP="003443A5">
      <w:pPr>
        <w:tabs>
          <w:tab w:val="left" w:pos="709"/>
        </w:tabs>
      </w:pPr>
    </w:p>
    <w:p w14:paraId="68C3E474" w14:textId="77777777" w:rsidR="003443A5" w:rsidRPr="00CE52BD" w:rsidRDefault="003443A5" w:rsidP="003443A5">
      <w:pPr>
        <w:tabs>
          <w:tab w:val="left" w:pos="709"/>
        </w:tabs>
        <w:ind w:left="567" w:right="567"/>
        <w:rPr>
          <w:b/>
          <w:i/>
        </w:rPr>
      </w:pPr>
      <w:r w:rsidRPr="00CE52BD">
        <w:rPr>
          <w:b/>
          <w:i/>
        </w:rPr>
        <w:t>Ley de Transparencia y Acceso a la Información Pública del Estado de México y Municipios</w:t>
      </w:r>
    </w:p>
    <w:p w14:paraId="3E2022DD" w14:textId="77777777" w:rsidR="003443A5" w:rsidRPr="00CE52BD" w:rsidRDefault="003443A5" w:rsidP="003443A5">
      <w:pPr>
        <w:tabs>
          <w:tab w:val="left" w:pos="709"/>
        </w:tabs>
        <w:ind w:left="567" w:right="567"/>
        <w:rPr>
          <w:i/>
        </w:rPr>
      </w:pPr>
    </w:p>
    <w:p w14:paraId="71E64143" w14:textId="77777777" w:rsidR="003443A5" w:rsidRPr="00CE52BD" w:rsidRDefault="003443A5" w:rsidP="003443A5">
      <w:pPr>
        <w:tabs>
          <w:tab w:val="left" w:pos="709"/>
        </w:tabs>
        <w:ind w:left="567" w:right="567"/>
        <w:rPr>
          <w:i/>
        </w:rPr>
      </w:pPr>
      <w:r w:rsidRPr="00CE52BD">
        <w:rPr>
          <w:i/>
        </w:rPr>
        <w:t xml:space="preserve">Artículo 142. </w:t>
      </w:r>
      <w:proofErr w:type="gramStart"/>
      <w:r w:rsidRPr="00CE52BD">
        <w:rPr>
          <w:i/>
        </w:rPr>
        <w:t>Bajo ninguna circunstancia</w:t>
      </w:r>
      <w:proofErr w:type="gramEnd"/>
      <w:r w:rsidRPr="00CE52BD">
        <w:rPr>
          <w:i/>
        </w:rPr>
        <w:t xml:space="preserve"> podrá invocarse el carácter de reservado cuando:</w:t>
      </w:r>
    </w:p>
    <w:p w14:paraId="2962A466" w14:textId="77777777" w:rsidR="003443A5" w:rsidRPr="00CE52BD" w:rsidRDefault="003443A5" w:rsidP="003443A5">
      <w:pPr>
        <w:tabs>
          <w:tab w:val="left" w:pos="709"/>
        </w:tabs>
        <w:ind w:left="567" w:right="567"/>
        <w:rPr>
          <w:i/>
        </w:rPr>
      </w:pPr>
      <w:r w:rsidRPr="00CE52BD">
        <w:rPr>
          <w:i/>
        </w:rPr>
        <w:t>I. Se trate de violaciones graves de derechos humanos, calificada así por autoridad competente;</w:t>
      </w:r>
    </w:p>
    <w:p w14:paraId="484996AD" w14:textId="77777777" w:rsidR="003443A5" w:rsidRPr="00CE52BD" w:rsidRDefault="003443A5" w:rsidP="003443A5">
      <w:pPr>
        <w:tabs>
          <w:tab w:val="left" w:pos="709"/>
        </w:tabs>
        <w:ind w:left="567" w:right="567"/>
        <w:rPr>
          <w:i/>
        </w:rPr>
      </w:pPr>
      <w:r w:rsidRPr="00CE52BD">
        <w:rPr>
          <w:i/>
        </w:rPr>
        <w:t xml:space="preserve">II. Se trate de la investigación de posibles violaciones graves de derechos humanos aun cuando no exista pronunciamiento previo de autoridad competente, cuando se </w:t>
      </w:r>
      <w:r w:rsidRPr="00CE52BD">
        <w:rPr>
          <w:i/>
        </w:rPr>
        <w:lastRenderedPageBreak/>
        <w:t>determine, a partir de criterios cuantitativos y cualitativos la trascendencia social de las violaciones;</w:t>
      </w:r>
    </w:p>
    <w:p w14:paraId="4A263879" w14:textId="77777777" w:rsidR="003443A5" w:rsidRPr="00CE52BD" w:rsidRDefault="003443A5" w:rsidP="003443A5">
      <w:pPr>
        <w:tabs>
          <w:tab w:val="left" w:pos="709"/>
        </w:tabs>
        <w:ind w:left="567" w:right="567"/>
        <w:rPr>
          <w:i/>
        </w:rPr>
      </w:pPr>
      <w:r w:rsidRPr="00CE52BD">
        <w:rPr>
          <w:i/>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7515AB1" w14:textId="77777777" w:rsidR="003443A5" w:rsidRPr="00CE52BD" w:rsidRDefault="003443A5" w:rsidP="003443A5">
      <w:pPr>
        <w:tabs>
          <w:tab w:val="left" w:pos="709"/>
        </w:tabs>
        <w:ind w:left="567" w:right="567"/>
        <w:rPr>
          <w:i/>
        </w:rPr>
      </w:pPr>
      <w:r w:rsidRPr="00CE52BD">
        <w:rPr>
          <w:i/>
        </w:rPr>
        <w:t>IV. Se trate de información relacionada con actos de corrupción de conformidad con las disposiciones jurídicas aplicables.</w:t>
      </w:r>
    </w:p>
    <w:p w14:paraId="4710FEE2" w14:textId="77777777" w:rsidR="003443A5" w:rsidRPr="00CE52BD" w:rsidRDefault="003443A5" w:rsidP="003443A5">
      <w:pPr>
        <w:tabs>
          <w:tab w:val="left" w:pos="709"/>
        </w:tabs>
        <w:ind w:left="567" w:right="567"/>
        <w:rPr>
          <w:b/>
          <w:i/>
        </w:rPr>
      </w:pPr>
      <w:r w:rsidRPr="00CE52BD">
        <w:rPr>
          <w:b/>
          <w:i/>
          <w:color w:val="2F2F2F"/>
          <w:shd w:val="clear" w:color="auto" w:fill="FFFFFF"/>
        </w:rPr>
        <w:t>LINEAMIENTOS GENERALES EN MATERIA DE CLASIFICACIÓN Y DESCLASIFICACIÓN DE LA INFORMACIÓN, ASÍ COMO PARA LA ELABORACIÓN DE VERSIONES PÚBLICAS.</w:t>
      </w:r>
    </w:p>
    <w:p w14:paraId="720F01FC" w14:textId="77777777" w:rsidR="003443A5" w:rsidRPr="00CE52BD" w:rsidRDefault="003443A5" w:rsidP="003443A5">
      <w:pPr>
        <w:tabs>
          <w:tab w:val="left" w:pos="709"/>
        </w:tabs>
        <w:ind w:left="567" w:right="567"/>
        <w:rPr>
          <w:i/>
        </w:rPr>
      </w:pPr>
    </w:p>
    <w:p w14:paraId="44CC113D" w14:textId="77777777" w:rsidR="003443A5" w:rsidRPr="00CE52BD" w:rsidRDefault="003443A5" w:rsidP="003443A5">
      <w:pPr>
        <w:tabs>
          <w:tab w:val="left" w:pos="709"/>
        </w:tabs>
        <w:ind w:left="567" w:right="567"/>
        <w:rPr>
          <w:i/>
        </w:rPr>
      </w:pPr>
      <w:r w:rsidRPr="00CE52BD">
        <w:rPr>
          <w:i/>
        </w:rPr>
        <w:t>Trigésimo séptimo. No podrá invocarse el carácter de reservado de la información cuando:</w:t>
      </w:r>
    </w:p>
    <w:p w14:paraId="63BE3231" w14:textId="77777777" w:rsidR="003443A5" w:rsidRPr="00CE52BD" w:rsidRDefault="003443A5" w:rsidP="003443A5">
      <w:pPr>
        <w:tabs>
          <w:tab w:val="left" w:pos="709"/>
        </w:tabs>
        <w:ind w:left="567" w:right="567"/>
        <w:rPr>
          <w:i/>
        </w:rPr>
      </w:pPr>
      <w:r w:rsidRPr="00CE52BD">
        <w:rPr>
          <w:i/>
        </w:rPr>
        <w:t>I.        Se trate de violaciones graves de derechos humanos;</w:t>
      </w:r>
    </w:p>
    <w:p w14:paraId="12986442" w14:textId="77777777" w:rsidR="003443A5" w:rsidRPr="00CE52BD" w:rsidRDefault="003443A5" w:rsidP="003443A5">
      <w:pPr>
        <w:tabs>
          <w:tab w:val="left" w:pos="709"/>
        </w:tabs>
        <w:ind w:left="567" w:right="567"/>
        <w:rPr>
          <w:i/>
        </w:rPr>
      </w:pPr>
      <w:r w:rsidRPr="00CE52BD">
        <w:rPr>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7B4B0560" w14:textId="77777777" w:rsidR="003443A5" w:rsidRPr="00CE52BD" w:rsidRDefault="003443A5" w:rsidP="003443A5">
      <w:pPr>
        <w:tabs>
          <w:tab w:val="left" w:pos="709"/>
        </w:tabs>
        <w:ind w:left="567" w:right="567"/>
        <w:rPr>
          <w:i/>
        </w:rPr>
      </w:pPr>
      <w:r w:rsidRPr="00CE52BD">
        <w:rPr>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w:t>
      </w:r>
      <w:r w:rsidRPr="00CE52BD">
        <w:rPr>
          <w:i/>
        </w:rPr>
        <w:lastRenderedPageBreak/>
        <w:t>ámbito federal, estatal y municipal, y de acuerdo con las leyes aplicables y los tratados internacionales ratificados por el Estado mexicano; o</w:t>
      </w:r>
    </w:p>
    <w:p w14:paraId="081A2612" w14:textId="77777777" w:rsidR="003443A5" w:rsidRPr="00CE52BD" w:rsidRDefault="003443A5" w:rsidP="003443A5">
      <w:pPr>
        <w:tabs>
          <w:tab w:val="left" w:pos="709"/>
        </w:tabs>
        <w:ind w:left="567" w:right="567"/>
        <w:rPr>
          <w:i/>
        </w:rPr>
      </w:pPr>
      <w:r w:rsidRPr="00CE52BD">
        <w:rPr>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6E332D1E" w14:textId="77777777" w:rsidR="003443A5" w:rsidRPr="00CE52BD" w:rsidRDefault="003443A5" w:rsidP="003443A5">
      <w:pPr>
        <w:tabs>
          <w:tab w:val="left" w:pos="709"/>
        </w:tabs>
      </w:pPr>
    </w:p>
    <w:p w14:paraId="3C56DB06" w14:textId="77777777" w:rsidR="003443A5" w:rsidRPr="00CE52BD" w:rsidRDefault="003443A5" w:rsidP="003443A5">
      <w:pPr>
        <w:tabs>
          <w:tab w:val="left" w:pos="709"/>
        </w:tabs>
      </w:pPr>
      <w:r w:rsidRPr="00CE52BD">
        <w:t xml:space="preserve">Al respecto, derivado de la excepción establecida en los preceptos legales antes citados, resulta oportuno mencionar que en tal supuesto, este Órgano Garante considera que si la información referente a los oficios que se ordenan se encuentra contenida dentro de la investigación o procedimiento de responsabilidad administrativa es relativa a alguna de las fracciones del artículo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6B1D4A39" w14:textId="77777777" w:rsidR="003443A5" w:rsidRPr="00CE52BD" w:rsidRDefault="003443A5" w:rsidP="003443A5">
      <w:pPr>
        <w:rPr>
          <w:rFonts w:eastAsia="Times New Roman" w:cs="Times New Roman"/>
          <w:szCs w:val="24"/>
          <w:lang w:eastAsia="es-ES"/>
        </w:rPr>
      </w:pPr>
    </w:p>
    <w:p w14:paraId="5DB54CC3" w14:textId="77777777" w:rsidR="003443A5" w:rsidRPr="00CE52BD" w:rsidRDefault="003443A5" w:rsidP="003443A5">
      <w:pPr>
        <w:rPr>
          <w:rFonts w:cs="Tahoma"/>
          <w:bCs/>
          <w:szCs w:val="24"/>
        </w:rPr>
      </w:pPr>
      <w:r w:rsidRPr="00CE52BD">
        <w:rPr>
          <w:rFonts w:cs="Arial"/>
          <w:szCs w:val="24"/>
        </w:rPr>
        <w:t xml:space="preserve">Finalmente, </w:t>
      </w:r>
      <w:r w:rsidRPr="00CE52BD">
        <w:rPr>
          <w:rFonts w:cs="Tahoma"/>
          <w:bCs/>
          <w:szCs w:val="24"/>
        </w:rPr>
        <w:t>parte de la información requerida</w:t>
      </w:r>
      <w:r w:rsidRPr="00CE52BD">
        <w:rPr>
          <w:rFonts w:cs="Tahoma"/>
          <w:b/>
          <w:bCs/>
          <w:szCs w:val="24"/>
        </w:rPr>
        <w:t xml:space="preserve">, </w:t>
      </w:r>
      <w:r w:rsidRPr="00CE52BD">
        <w:rPr>
          <w:rFonts w:cs="Tahoma"/>
          <w:bCs/>
          <w:szCs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5D8C6176" w14:textId="77777777" w:rsidR="003443A5" w:rsidRPr="00CE52BD" w:rsidRDefault="003443A5" w:rsidP="003443A5">
      <w:pPr>
        <w:numPr>
          <w:ilvl w:val="0"/>
          <w:numId w:val="64"/>
        </w:numPr>
        <w:rPr>
          <w:rFonts w:eastAsia="Times New Roman" w:cs="Arial"/>
          <w:b/>
          <w:i/>
          <w:sz w:val="26"/>
          <w:szCs w:val="26"/>
          <w:lang w:val="es-ES" w:eastAsia="es-ES"/>
        </w:rPr>
      </w:pPr>
      <w:r w:rsidRPr="00CE52BD">
        <w:rPr>
          <w:rFonts w:eastAsia="Times New Roman" w:cs="Arial"/>
          <w:b/>
          <w:i/>
          <w:sz w:val="26"/>
          <w:szCs w:val="26"/>
          <w:lang w:val="es-ES" w:eastAsia="es-ES"/>
        </w:rPr>
        <w:lastRenderedPageBreak/>
        <w:t>DE LA VERSIÓN PÚBLICA.</w:t>
      </w:r>
    </w:p>
    <w:p w14:paraId="6D83D0F1" w14:textId="77777777" w:rsidR="003443A5" w:rsidRPr="00CE52BD" w:rsidRDefault="003443A5" w:rsidP="003443A5">
      <w:pPr>
        <w:rPr>
          <w:rFonts w:cs="Arial"/>
          <w:szCs w:val="24"/>
        </w:rPr>
      </w:pPr>
      <w:r w:rsidRPr="00CE52BD">
        <w:rPr>
          <w:rFonts w:cs="Arial"/>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4F3AF06" w14:textId="77777777" w:rsidR="003443A5" w:rsidRPr="00CE52BD" w:rsidRDefault="003443A5" w:rsidP="003443A5">
      <w:pPr>
        <w:rPr>
          <w:rFonts w:cs="Arial"/>
          <w:szCs w:val="24"/>
        </w:rPr>
      </w:pPr>
    </w:p>
    <w:p w14:paraId="438E7496" w14:textId="77777777" w:rsidR="003443A5" w:rsidRPr="00CE52BD" w:rsidRDefault="003443A5" w:rsidP="003443A5">
      <w:pPr>
        <w:spacing w:line="240" w:lineRule="auto"/>
        <w:ind w:left="567" w:right="567"/>
        <w:rPr>
          <w:rFonts w:cs="Arial"/>
          <w:i/>
        </w:rPr>
      </w:pPr>
      <w:r w:rsidRPr="00CE52BD">
        <w:rPr>
          <w:rFonts w:cs="Arial"/>
          <w:b/>
          <w:i/>
        </w:rPr>
        <w:t>Artículo 3.</w:t>
      </w:r>
      <w:r w:rsidRPr="00CE52BD">
        <w:rPr>
          <w:rFonts w:cs="Arial"/>
          <w:i/>
        </w:rPr>
        <w:t xml:space="preserve"> Para los efectos de la presente Ley se entenderá por:</w:t>
      </w:r>
    </w:p>
    <w:p w14:paraId="4B1B7EA0" w14:textId="77777777" w:rsidR="003443A5" w:rsidRPr="00CE52BD" w:rsidRDefault="003443A5" w:rsidP="003443A5">
      <w:pPr>
        <w:spacing w:line="240" w:lineRule="auto"/>
        <w:ind w:left="567" w:right="567"/>
        <w:rPr>
          <w:rFonts w:cs="Arial"/>
          <w:i/>
        </w:rPr>
      </w:pPr>
      <w:r w:rsidRPr="00CE52BD">
        <w:rPr>
          <w:rFonts w:cs="Arial"/>
          <w:i/>
        </w:rPr>
        <w:t>[…]</w:t>
      </w:r>
    </w:p>
    <w:p w14:paraId="78D59BAF" w14:textId="77777777" w:rsidR="003443A5" w:rsidRPr="00CE52BD" w:rsidRDefault="003443A5" w:rsidP="003443A5">
      <w:pPr>
        <w:spacing w:line="240" w:lineRule="auto"/>
        <w:ind w:left="567" w:right="567"/>
        <w:rPr>
          <w:rFonts w:cs="Arial"/>
          <w:i/>
        </w:rPr>
      </w:pPr>
      <w:r w:rsidRPr="00CE52BD">
        <w:rPr>
          <w:rFonts w:cs="Arial"/>
          <w:b/>
          <w:i/>
        </w:rPr>
        <w:t>IX. Datos personales:</w:t>
      </w:r>
      <w:r w:rsidRPr="00CE52BD">
        <w:rPr>
          <w:rFonts w:cs="Arial"/>
          <w:i/>
        </w:rPr>
        <w:t xml:space="preserve"> La información concerniente a una persona, identificada o identificable según lo dispuesto por la Ley de Protección de Datos Personales del Estado de México; </w:t>
      </w:r>
    </w:p>
    <w:p w14:paraId="35C2876E" w14:textId="77777777" w:rsidR="003443A5" w:rsidRPr="00CE52BD" w:rsidRDefault="003443A5" w:rsidP="003443A5">
      <w:pPr>
        <w:spacing w:line="240" w:lineRule="auto"/>
        <w:ind w:left="567" w:right="567"/>
        <w:rPr>
          <w:rFonts w:cs="Arial"/>
          <w:i/>
        </w:rPr>
      </w:pPr>
      <w:r w:rsidRPr="00CE52BD">
        <w:rPr>
          <w:rFonts w:cs="Arial"/>
          <w:b/>
          <w:i/>
        </w:rPr>
        <w:t>XX.</w:t>
      </w:r>
      <w:r w:rsidRPr="00CE52BD">
        <w:rPr>
          <w:rFonts w:cs="Arial"/>
          <w:i/>
        </w:rPr>
        <w:t xml:space="preserve"> </w:t>
      </w:r>
      <w:r w:rsidRPr="00CE52BD">
        <w:rPr>
          <w:rFonts w:cs="Arial"/>
          <w:b/>
          <w:i/>
        </w:rPr>
        <w:t>Información clasificada:</w:t>
      </w:r>
      <w:r w:rsidRPr="00CE52BD">
        <w:rPr>
          <w:rFonts w:cs="Arial"/>
          <w:i/>
        </w:rPr>
        <w:t xml:space="preserve"> Aquella considerada por la presente Ley como reservada o confidencial;</w:t>
      </w:r>
    </w:p>
    <w:p w14:paraId="02D24E5F" w14:textId="77777777" w:rsidR="003443A5" w:rsidRPr="00CE52BD" w:rsidRDefault="003443A5" w:rsidP="003443A5">
      <w:pPr>
        <w:spacing w:line="240" w:lineRule="auto"/>
        <w:ind w:left="567" w:right="567"/>
        <w:rPr>
          <w:rFonts w:cs="Arial"/>
          <w:i/>
        </w:rPr>
      </w:pPr>
      <w:r w:rsidRPr="00CE52BD">
        <w:rPr>
          <w:rFonts w:cs="Arial"/>
          <w:b/>
          <w:i/>
        </w:rPr>
        <w:t>XXI.</w:t>
      </w:r>
      <w:r w:rsidRPr="00CE52BD">
        <w:rPr>
          <w:rFonts w:cs="Arial"/>
          <w:i/>
        </w:rPr>
        <w:t xml:space="preserve"> </w:t>
      </w:r>
      <w:r w:rsidRPr="00CE52BD">
        <w:rPr>
          <w:rFonts w:cs="Arial"/>
          <w:b/>
          <w:i/>
        </w:rPr>
        <w:t>Información confidencial:</w:t>
      </w:r>
      <w:r w:rsidRPr="00CE52BD">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1549F5" w14:textId="77777777" w:rsidR="003443A5" w:rsidRPr="00CE52BD" w:rsidRDefault="003443A5" w:rsidP="003443A5">
      <w:pPr>
        <w:spacing w:line="240" w:lineRule="auto"/>
        <w:ind w:left="567" w:right="567"/>
        <w:rPr>
          <w:rFonts w:cs="Arial"/>
          <w:i/>
        </w:rPr>
      </w:pPr>
      <w:r w:rsidRPr="00CE52BD">
        <w:rPr>
          <w:rFonts w:cs="Arial"/>
          <w:b/>
          <w:i/>
        </w:rPr>
        <w:t>…</w:t>
      </w:r>
    </w:p>
    <w:p w14:paraId="20C325BB" w14:textId="77777777" w:rsidR="003443A5" w:rsidRPr="00CE52BD" w:rsidRDefault="003443A5" w:rsidP="003443A5">
      <w:pPr>
        <w:spacing w:line="240" w:lineRule="auto"/>
        <w:ind w:left="567" w:right="567"/>
        <w:rPr>
          <w:rFonts w:cs="Arial"/>
          <w:i/>
        </w:rPr>
      </w:pPr>
      <w:r w:rsidRPr="00CE52BD">
        <w:rPr>
          <w:rFonts w:cs="Arial"/>
          <w:b/>
          <w:i/>
        </w:rPr>
        <w:t>XLV.</w:t>
      </w:r>
      <w:r w:rsidRPr="00CE52BD">
        <w:rPr>
          <w:rFonts w:cs="Arial"/>
          <w:i/>
        </w:rPr>
        <w:t xml:space="preserve"> </w:t>
      </w:r>
      <w:r w:rsidRPr="00CE52BD">
        <w:rPr>
          <w:rFonts w:cs="Arial"/>
          <w:b/>
          <w:i/>
        </w:rPr>
        <w:t>Versión pública:</w:t>
      </w:r>
      <w:r w:rsidRPr="00CE52BD">
        <w:rPr>
          <w:rFonts w:cs="Arial"/>
          <w:i/>
        </w:rPr>
        <w:t xml:space="preserve"> Documento en el que se elimine, suprime o borra la información clasificada como reservada o confidencial para permitir su acceso.</w:t>
      </w:r>
    </w:p>
    <w:p w14:paraId="798B4CB9" w14:textId="77777777" w:rsidR="003443A5" w:rsidRPr="00CE52BD" w:rsidRDefault="003443A5" w:rsidP="003443A5">
      <w:pPr>
        <w:spacing w:line="240" w:lineRule="auto"/>
        <w:ind w:left="567" w:right="567"/>
        <w:rPr>
          <w:rFonts w:cs="Arial"/>
          <w:i/>
        </w:rPr>
      </w:pPr>
      <w:r w:rsidRPr="00CE52BD">
        <w:rPr>
          <w:rFonts w:cs="Arial"/>
          <w:i/>
        </w:rPr>
        <w:t>[…]</w:t>
      </w:r>
    </w:p>
    <w:p w14:paraId="700B5495" w14:textId="77777777" w:rsidR="003443A5" w:rsidRPr="00CE52BD" w:rsidRDefault="003443A5" w:rsidP="003443A5">
      <w:pPr>
        <w:spacing w:line="240" w:lineRule="auto"/>
        <w:ind w:left="567" w:right="567"/>
        <w:rPr>
          <w:rFonts w:cs="Arial"/>
          <w:i/>
        </w:rPr>
      </w:pPr>
      <w:r w:rsidRPr="00CE52BD">
        <w:rPr>
          <w:rFonts w:cs="Arial"/>
          <w:b/>
          <w:i/>
        </w:rPr>
        <w:t xml:space="preserve">Artículo 91. </w:t>
      </w:r>
      <w:r w:rsidRPr="00CE52BD">
        <w:rPr>
          <w:rFonts w:cs="Arial"/>
          <w:i/>
        </w:rPr>
        <w:t>El acceso a la información pública será restringido excepcionalmente, cuando ésta sea clasificada como reservada o confidencial.</w:t>
      </w:r>
    </w:p>
    <w:p w14:paraId="7DB8D03C" w14:textId="77777777" w:rsidR="003443A5" w:rsidRPr="00CE52BD" w:rsidRDefault="003443A5" w:rsidP="003443A5">
      <w:pPr>
        <w:spacing w:line="240" w:lineRule="auto"/>
        <w:ind w:left="567" w:right="567"/>
        <w:rPr>
          <w:rFonts w:cs="Arial"/>
          <w:i/>
        </w:rPr>
      </w:pPr>
      <w:r w:rsidRPr="00CE52BD">
        <w:rPr>
          <w:rFonts w:cs="Arial"/>
          <w:b/>
          <w:i/>
        </w:rPr>
        <w:t>Artículo 132.</w:t>
      </w:r>
      <w:r w:rsidRPr="00CE52BD">
        <w:rPr>
          <w:rFonts w:cs="Arial"/>
          <w:i/>
        </w:rPr>
        <w:t xml:space="preserve"> </w:t>
      </w:r>
      <w:r w:rsidRPr="00CE52BD">
        <w:rPr>
          <w:rFonts w:cs="Arial"/>
          <w:i/>
          <w:u w:val="single"/>
        </w:rPr>
        <w:t>La clasificación de la información se llevará a cabo en el momento en que</w:t>
      </w:r>
      <w:r w:rsidRPr="00CE52BD">
        <w:rPr>
          <w:rFonts w:cs="Arial"/>
          <w:i/>
        </w:rPr>
        <w:t>:</w:t>
      </w:r>
    </w:p>
    <w:p w14:paraId="36199498" w14:textId="77777777" w:rsidR="003443A5" w:rsidRPr="00CE52BD" w:rsidRDefault="003443A5" w:rsidP="003443A5">
      <w:pPr>
        <w:spacing w:line="240" w:lineRule="auto"/>
        <w:ind w:left="567" w:right="567"/>
        <w:rPr>
          <w:rFonts w:cs="Arial"/>
          <w:i/>
        </w:rPr>
      </w:pPr>
      <w:r w:rsidRPr="00CE52BD">
        <w:rPr>
          <w:rFonts w:cs="Arial"/>
          <w:b/>
          <w:i/>
        </w:rPr>
        <w:t>I.</w:t>
      </w:r>
      <w:r w:rsidRPr="00CE52BD">
        <w:rPr>
          <w:rFonts w:cs="Arial"/>
          <w:i/>
        </w:rPr>
        <w:t xml:space="preserve"> Se reciba una solicitud de acceso a la información;</w:t>
      </w:r>
    </w:p>
    <w:p w14:paraId="0E665C5F" w14:textId="77777777" w:rsidR="003443A5" w:rsidRPr="00CE52BD" w:rsidRDefault="003443A5" w:rsidP="003443A5">
      <w:pPr>
        <w:spacing w:line="240" w:lineRule="auto"/>
        <w:ind w:left="567" w:right="567"/>
        <w:rPr>
          <w:rFonts w:cs="Arial"/>
          <w:i/>
        </w:rPr>
      </w:pPr>
      <w:r w:rsidRPr="00CE52BD">
        <w:rPr>
          <w:rFonts w:cs="Arial"/>
          <w:b/>
          <w:i/>
        </w:rPr>
        <w:t>II.</w:t>
      </w:r>
      <w:r w:rsidRPr="00CE52BD">
        <w:rPr>
          <w:rFonts w:cs="Arial"/>
          <w:i/>
        </w:rPr>
        <w:t xml:space="preserve"> </w:t>
      </w:r>
      <w:r w:rsidRPr="00CE52BD">
        <w:rPr>
          <w:rFonts w:cs="Arial"/>
          <w:i/>
          <w:u w:val="single"/>
        </w:rPr>
        <w:t>Se determine mediante resolución de autoridad competente; o</w:t>
      </w:r>
    </w:p>
    <w:p w14:paraId="07F25120" w14:textId="77777777" w:rsidR="003443A5" w:rsidRPr="00CE52BD" w:rsidRDefault="003443A5" w:rsidP="003443A5">
      <w:pPr>
        <w:spacing w:line="240" w:lineRule="auto"/>
        <w:ind w:left="567" w:right="567"/>
        <w:rPr>
          <w:rFonts w:cs="Arial"/>
          <w:i/>
          <w:u w:val="single"/>
        </w:rPr>
      </w:pPr>
      <w:r w:rsidRPr="00CE52BD">
        <w:rPr>
          <w:rFonts w:cs="Arial"/>
          <w:b/>
          <w:i/>
        </w:rPr>
        <w:t>III.</w:t>
      </w:r>
      <w:r w:rsidRPr="00CE52BD">
        <w:rPr>
          <w:rFonts w:cs="Arial"/>
          <w:i/>
        </w:rPr>
        <w:t xml:space="preserve"> </w:t>
      </w:r>
      <w:r w:rsidRPr="00CE52BD">
        <w:rPr>
          <w:rFonts w:cs="Arial"/>
          <w:i/>
          <w:u w:val="single"/>
        </w:rPr>
        <w:t>Se generen versiones públicas para dar cumplimiento a las obligaciones de transparencia previstas en esta Ley.</w:t>
      </w:r>
    </w:p>
    <w:p w14:paraId="761EFD55" w14:textId="77777777" w:rsidR="003443A5" w:rsidRPr="00CE52BD" w:rsidRDefault="003443A5" w:rsidP="003443A5">
      <w:pPr>
        <w:spacing w:line="240" w:lineRule="auto"/>
        <w:ind w:left="567" w:right="567"/>
        <w:rPr>
          <w:rFonts w:cs="Arial"/>
          <w:i/>
        </w:rPr>
      </w:pPr>
      <w:r w:rsidRPr="00CE52BD">
        <w:rPr>
          <w:rFonts w:cs="Arial"/>
          <w:i/>
        </w:rPr>
        <w:t>[…]</w:t>
      </w:r>
    </w:p>
    <w:p w14:paraId="1DE99560" w14:textId="77777777" w:rsidR="003443A5" w:rsidRPr="00CE52BD" w:rsidRDefault="003443A5" w:rsidP="003443A5">
      <w:pPr>
        <w:rPr>
          <w:rFonts w:cs="Arial"/>
          <w:i/>
          <w:szCs w:val="24"/>
        </w:rPr>
      </w:pPr>
    </w:p>
    <w:p w14:paraId="25144224" w14:textId="77777777" w:rsidR="003443A5" w:rsidRPr="00CE52BD" w:rsidRDefault="003443A5" w:rsidP="003443A5">
      <w:pPr>
        <w:rPr>
          <w:rFonts w:cs="Arial"/>
          <w:szCs w:val="24"/>
        </w:rPr>
      </w:pPr>
      <w:r w:rsidRPr="00CE52BD">
        <w:rPr>
          <w:rFonts w:cs="Arial"/>
          <w:szCs w:val="24"/>
        </w:rPr>
        <w:t xml:space="preserve">De este modo, en armonía entre los principios constitucionales de máxima publicidad y de protección de datos personales, la Ley permite la elaboración de versiones públicas en </w:t>
      </w:r>
      <w:r w:rsidRPr="00CE52BD">
        <w:rPr>
          <w:rFonts w:cs="Arial"/>
          <w:szCs w:val="24"/>
        </w:rPr>
        <w:lastRenderedPageBreak/>
        <w:t>las que se suprima aquella información relacionada con la vida privada de los particulares.</w:t>
      </w:r>
    </w:p>
    <w:p w14:paraId="153A36BF" w14:textId="77777777" w:rsidR="003443A5" w:rsidRPr="00CE52BD" w:rsidRDefault="003443A5" w:rsidP="003443A5">
      <w:pPr>
        <w:rPr>
          <w:rFonts w:cs="Arial"/>
          <w:szCs w:val="24"/>
        </w:rPr>
      </w:pPr>
    </w:p>
    <w:p w14:paraId="755304CA" w14:textId="77777777" w:rsidR="003443A5" w:rsidRPr="00CE52BD" w:rsidRDefault="003443A5" w:rsidP="003443A5">
      <w:pPr>
        <w:rPr>
          <w:rFonts w:cs="Arial"/>
          <w:szCs w:val="24"/>
        </w:rPr>
      </w:pPr>
      <w:r w:rsidRPr="00CE52BD">
        <w:rPr>
          <w:rFonts w:cs="Arial"/>
          <w:szCs w:val="24"/>
        </w:rPr>
        <w:t xml:space="preserve">Por otro lado, los </w:t>
      </w:r>
      <w:r w:rsidRPr="00CE52BD">
        <w:rPr>
          <w:rFonts w:cs="Arial"/>
          <w:i/>
          <w:szCs w:val="24"/>
        </w:rPr>
        <w:t>Lineamientos Generales en Materia de Clasificación y Desclasificación de la Información, así como para la elaboración de Versiones Públicas</w:t>
      </w:r>
      <w:r w:rsidRPr="00CE52BD">
        <w:rPr>
          <w:rFonts w:cs="Arial"/>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EBBD8F" w14:textId="77777777" w:rsidR="003443A5" w:rsidRPr="00CE52BD" w:rsidRDefault="003443A5" w:rsidP="003443A5">
      <w:pPr>
        <w:rPr>
          <w:rFonts w:cs="Arial"/>
          <w:szCs w:val="24"/>
        </w:rPr>
      </w:pPr>
    </w:p>
    <w:p w14:paraId="4AD3DA4F" w14:textId="77777777" w:rsidR="003443A5" w:rsidRPr="00CE52BD" w:rsidRDefault="003443A5" w:rsidP="003443A5">
      <w:pPr>
        <w:rPr>
          <w:rFonts w:cs="Arial"/>
          <w:szCs w:val="24"/>
        </w:rPr>
      </w:pPr>
      <w:r w:rsidRPr="00CE52BD">
        <w:rPr>
          <w:rFonts w:cs="Arial"/>
          <w:szCs w:val="24"/>
        </w:rPr>
        <w:t>Entorno a lo que aquí nos interesa, los Lineamientos Quincuagésimo sexto, Quincuagésimo séptimo y Quincuagésimo octavo, establecen lo siguiente:</w:t>
      </w:r>
    </w:p>
    <w:p w14:paraId="3C6AEDDA" w14:textId="77777777" w:rsidR="003443A5" w:rsidRPr="00CE52BD" w:rsidRDefault="003443A5" w:rsidP="003443A5">
      <w:pPr>
        <w:spacing w:line="240" w:lineRule="auto"/>
        <w:rPr>
          <w:rFonts w:ascii="Times New Roman" w:eastAsia="Times New Roman" w:hAnsi="Times New Roman" w:cs="Times New Roman"/>
          <w:szCs w:val="24"/>
          <w:lang w:eastAsia="es-ES"/>
        </w:rPr>
      </w:pPr>
    </w:p>
    <w:p w14:paraId="6D33A646" w14:textId="77777777" w:rsidR="003443A5" w:rsidRPr="00CE52BD" w:rsidRDefault="003443A5" w:rsidP="003443A5">
      <w:pPr>
        <w:spacing w:line="240" w:lineRule="auto"/>
        <w:ind w:left="567" w:right="567"/>
        <w:rPr>
          <w:rFonts w:cs="Arial"/>
          <w:i/>
        </w:rPr>
      </w:pPr>
      <w:r w:rsidRPr="00CE52BD">
        <w:rPr>
          <w:rFonts w:cs="Arial"/>
          <w:b/>
          <w:i/>
        </w:rPr>
        <w:t>Quincuagésimo sexto.</w:t>
      </w:r>
      <w:r w:rsidRPr="00CE52BD">
        <w:rPr>
          <w:rFonts w:cs="Arial"/>
          <w:i/>
        </w:rPr>
        <w:t xml:space="preserve"> La versión pública del documento o expediente que contenga partes o secciones reservadas o </w:t>
      </w:r>
      <w:proofErr w:type="gramStart"/>
      <w:r w:rsidRPr="00CE52BD">
        <w:rPr>
          <w:rFonts w:cs="Arial"/>
          <w:i/>
        </w:rPr>
        <w:t>confidenciales,</w:t>
      </w:r>
      <w:proofErr w:type="gramEnd"/>
      <w:r w:rsidRPr="00CE52BD">
        <w:rPr>
          <w:rFonts w:cs="Arial"/>
          <w:i/>
        </w:rPr>
        <w:t xml:space="preserve"> será elaborada por los sujetos obligados, previo pago de los costos de reproducción, a través de sus áreas y deberá ser aprobada por su Comité de Transparencia.</w:t>
      </w:r>
    </w:p>
    <w:p w14:paraId="717EC2B6" w14:textId="77777777" w:rsidR="003443A5" w:rsidRPr="00CE52BD" w:rsidRDefault="003443A5" w:rsidP="003443A5">
      <w:pPr>
        <w:spacing w:line="240" w:lineRule="auto"/>
        <w:ind w:left="567" w:right="567"/>
        <w:rPr>
          <w:rFonts w:cs="Arial"/>
          <w:i/>
        </w:rPr>
      </w:pPr>
    </w:p>
    <w:p w14:paraId="2700C6EA" w14:textId="77777777" w:rsidR="003443A5" w:rsidRPr="00CE52BD" w:rsidRDefault="003443A5" w:rsidP="003443A5">
      <w:pPr>
        <w:spacing w:line="240" w:lineRule="auto"/>
        <w:ind w:left="567" w:right="567"/>
        <w:rPr>
          <w:rFonts w:cs="Arial"/>
          <w:i/>
        </w:rPr>
      </w:pPr>
      <w:r w:rsidRPr="00CE52BD">
        <w:rPr>
          <w:rFonts w:cs="Arial"/>
          <w:b/>
          <w:i/>
        </w:rPr>
        <w:t>Quincuagésimo séptimo.</w:t>
      </w:r>
      <w:r w:rsidRPr="00CE52BD">
        <w:rPr>
          <w:rFonts w:cs="Arial"/>
          <w:i/>
        </w:rPr>
        <w:t xml:space="preserve"> Se considera, en principio, como información pública y no podrá omitirse de las versiones públicas la siguiente:</w:t>
      </w:r>
    </w:p>
    <w:p w14:paraId="63DBD027" w14:textId="77777777" w:rsidR="003443A5" w:rsidRPr="00CE52BD" w:rsidRDefault="003443A5" w:rsidP="003443A5">
      <w:pPr>
        <w:spacing w:line="240" w:lineRule="auto"/>
        <w:ind w:left="567" w:right="567"/>
        <w:rPr>
          <w:rFonts w:cs="Arial"/>
          <w:i/>
        </w:rPr>
      </w:pPr>
      <w:r w:rsidRPr="00CE52BD">
        <w:rPr>
          <w:rFonts w:cs="Arial"/>
          <w:i/>
        </w:rPr>
        <w:t xml:space="preserve"> </w:t>
      </w:r>
    </w:p>
    <w:p w14:paraId="02CD5D82" w14:textId="77777777" w:rsidR="003443A5" w:rsidRPr="00CE52BD" w:rsidRDefault="003443A5" w:rsidP="003443A5">
      <w:pPr>
        <w:spacing w:line="240" w:lineRule="auto"/>
        <w:ind w:left="567" w:right="567"/>
        <w:rPr>
          <w:rFonts w:cs="Arial"/>
          <w:i/>
        </w:rPr>
      </w:pPr>
      <w:r w:rsidRPr="00CE52BD">
        <w:rPr>
          <w:rFonts w:cs="Arial"/>
          <w:i/>
        </w:rPr>
        <w:t xml:space="preserve">I. La relativa a las Obligaciones de Transparencia que contempla el Título V de la Ley General y las demás disposiciones legales aplicables; </w:t>
      </w:r>
    </w:p>
    <w:p w14:paraId="1B8908F0" w14:textId="77777777" w:rsidR="003443A5" w:rsidRPr="00CE52BD" w:rsidRDefault="003443A5" w:rsidP="003443A5">
      <w:pPr>
        <w:spacing w:line="240" w:lineRule="auto"/>
        <w:ind w:left="567" w:right="567"/>
        <w:rPr>
          <w:rFonts w:cs="Arial"/>
          <w:i/>
        </w:rPr>
      </w:pPr>
      <w:r w:rsidRPr="00CE52BD">
        <w:rPr>
          <w:rFonts w:cs="Arial"/>
          <w:i/>
        </w:rPr>
        <w:t xml:space="preserve">II. El nombre de los servidores públicos en los documentos, y sus firmas autógrafas, cuando sean utilizados en el ejercicio de las facultades conferidas para el desempeño del servicio público, y </w:t>
      </w:r>
    </w:p>
    <w:p w14:paraId="7328A851" w14:textId="77777777" w:rsidR="003443A5" w:rsidRPr="00CE52BD" w:rsidRDefault="003443A5" w:rsidP="003443A5">
      <w:pPr>
        <w:spacing w:line="240" w:lineRule="auto"/>
        <w:ind w:left="567" w:right="567"/>
        <w:rPr>
          <w:rFonts w:cs="Arial"/>
          <w:i/>
        </w:rPr>
      </w:pPr>
      <w:r w:rsidRPr="00CE52BD">
        <w:rPr>
          <w:rFonts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CE52BD">
        <w:rPr>
          <w:rFonts w:cs="Arial"/>
          <w:i/>
        </w:rPr>
        <w:t>los mismos</w:t>
      </w:r>
      <w:proofErr w:type="gramEnd"/>
      <w:r w:rsidRPr="00CE52BD">
        <w:rPr>
          <w:rFonts w:cs="Arial"/>
          <w:i/>
        </w:rPr>
        <w:t xml:space="preserve">. </w:t>
      </w:r>
    </w:p>
    <w:p w14:paraId="79CE270E" w14:textId="77777777" w:rsidR="003443A5" w:rsidRPr="00CE52BD" w:rsidRDefault="003443A5" w:rsidP="003443A5">
      <w:pPr>
        <w:spacing w:line="240" w:lineRule="auto"/>
        <w:ind w:left="567" w:right="567"/>
        <w:rPr>
          <w:rFonts w:cs="Arial"/>
          <w:i/>
        </w:rPr>
      </w:pPr>
    </w:p>
    <w:p w14:paraId="74BD3932" w14:textId="77777777" w:rsidR="003443A5" w:rsidRPr="00CE52BD" w:rsidRDefault="003443A5" w:rsidP="003443A5">
      <w:pPr>
        <w:spacing w:line="240" w:lineRule="auto"/>
        <w:ind w:left="567" w:right="567"/>
        <w:rPr>
          <w:rFonts w:cs="Arial"/>
          <w:i/>
        </w:rPr>
      </w:pPr>
      <w:r w:rsidRPr="00CE52BD">
        <w:rPr>
          <w:rFonts w:cs="Arial"/>
          <w:i/>
        </w:rPr>
        <w:t xml:space="preserve">Lo anterior, siempre y cuando no se acredite alguna causal de clasificación, prevista en las leyes o en los tratados </w:t>
      </w:r>
      <w:proofErr w:type="gramStart"/>
      <w:r w:rsidRPr="00CE52BD">
        <w:rPr>
          <w:rFonts w:cs="Arial"/>
          <w:i/>
        </w:rPr>
        <w:t>internaciones suscritos</w:t>
      </w:r>
      <w:proofErr w:type="gramEnd"/>
      <w:r w:rsidRPr="00CE52BD">
        <w:rPr>
          <w:rFonts w:cs="Arial"/>
          <w:i/>
        </w:rPr>
        <w:t xml:space="preserve"> por el Estado mexicano. </w:t>
      </w:r>
    </w:p>
    <w:p w14:paraId="1A482FC6" w14:textId="77777777" w:rsidR="003443A5" w:rsidRPr="00CE52BD" w:rsidRDefault="003443A5" w:rsidP="003443A5">
      <w:pPr>
        <w:spacing w:line="240" w:lineRule="auto"/>
        <w:ind w:left="567" w:right="567"/>
        <w:rPr>
          <w:rFonts w:cs="Arial"/>
          <w:i/>
        </w:rPr>
      </w:pPr>
    </w:p>
    <w:p w14:paraId="5E5D751A" w14:textId="77777777" w:rsidR="003443A5" w:rsidRPr="00CE52BD" w:rsidRDefault="003443A5" w:rsidP="003443A5">
      <w:pPr>
        <w:spacing w:line="240" w:lineRule="auto"/>
        <w:ind w:left="567" w:right="567"/>
        <w:rPr>
          <w:rFonts w:cs="Arial"/>
          <w:i/>
        </w:rPr>
      </w:pPr>
      <w:r w:rsidRPr="00CE52BD">
        <w:rPr>
          <w:rFonts w:cs="Arial"/>
          <w:b/>
          <w:i/>
        </w:rPr>
        <w:t>Quincuagésimo octavo.</w:t>
      </w:r>
      <w:r w:rsidRPr="00CE52BD">
        <w:rPr>
          <w:rFonts w:cs="Arial"/>
          <w:i/>
        </w:rPr>
        <w:t xml:space="preserve"> Los sujetos obligados garantizarán que los sistemas o medios empleados para eliminar la información en las versiones públicas no permitan la recuperación o visualización de </w:t>
      </w:r>
      <w:proofErr w:type="gramStart"/>
      <w:r w:rsidRPr="00CE52BD">
        <w:rPr>
          <w:rFonts w:cs="Arial"/>
          <w:i/>
        </w:rPr>
        <w:t>la misma</w:t>
      </w:r>
      <w:proofErr w:type="gramEnd"/>
      <w:r w:rsidRPr="00CE52BD">
        <w:rPr>
          <w:rFonts w:cs="Arial"/>
          <w:i/>
        </w:rPr>
        <w:t>.</w:t>
      </w:r>
    </w:p>
    <w:p w14:paraId="42624CCC" w14:textId="77777777" w:rsidR="003443A5" w:rsidRPr="00CE52BD" w:rsidRDefault="003443A5" w:rsidP="003443A5">
      <w:pPr>
        <w:rPr>
          <w:rFonts w:cs="Arial"/>
          <w:i/>
          <w:szCs w:val="24"/>
        </w:rPr>
      </w:pPr>
    </w:p>
    <w:p w14:paraId="50290C98" w14:textId="77777777" w:rsidR="003443A5" w:rsidRPr="00CE52BD" w:rsidRDefault="003443A5" w:rsidP="003443A5">
      <w:pPr>
        <w:rPr>
          <w:rFonts w:cs="Arial"/>
          <w:szCs w:val="24"/>
        </w:rPr>
      </w:pPr>
      <w:r w:rsidRPr="00CE52BD">
        <w:rPr>
          <w:rFonts w:cs="Arial"/>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D4FEEE" w14:textId="77777777" w:rsidR="003443A5" w:rsidRPr="00CE52BD" w:rsidRDefault="003443A5" w:rsidP="003443A5">
      <w:pPr>
        <w:rPr>
          <w:rFonts w:cs="Arial"/>
          <w:szCs w:val="24"/>
        </w:rPr>
      </w:pPr>
    </w:p>
    <w:p w14:paraId="7344D6E3" w14:textId="77777777"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t xml:space="preserve">Es conveniente mencionar que </w:t>
      </w:r>
      <w:r w:rsidRPr="00CE52BD">
        <w:rPr>
          <w:rFonts w:eastAsia="Times New Roman" w:cs="Arial"/>
          <w:b/>
          <w:szCs w:val="24"/>
          <w:lang w:val="es-ES" w:eastAsia="es-ES"/>
        </w:rPr>
        <w:t>en el caso de dicha información aun siga en sustanciación, lo procedente sería clasificar la información como RESERVADA</w:t>
      </w:r>
      <w:r w:rsidRPr="00CE52BD">
        <w:rPr>
          <w:rFonts w:eastAsia="Times New Roman" w:cs="Arial"/>
          <w:szCs w:val="24"/>
          <w:lang w:val="es-ES" w:eastAsia="es-ES"/>
        </w:rPr>
        <w:t xml:space="preserve"> debido a que pudiera encontrarse en actividades de fiscalización, verificación, inspección, comprobación y auditoría sobre el cumplimiento de las Leyes, lo que actualiza lo previsto </w:t>
      </w:r>
      <w:r w:rsidRPr="00CE52BD">
        <w:rPr>
          <w:rFonts w:eastAsia="Times New Roman" w:cs="Arial"/>
          <w:szCs w:val="24"/>
          <w:lang w:val="es-ES" w:eastAsia="es-ES"/>
        </w:rPr>
        <w:lastRenderedPageBreak/>
        <w:t>en los artículos 91 y artículo 140, fracción V, numeral 1, de la Ley de Transparencia estatal, en los que se estipula lo siguiente:</w:t>
      </w:r>
    </w:p>
    <w:p w14:paraId="32F4A7EB" w14:textId="77777777" w:rsidR="003443A5" w:rsidRPr="00CE52BD" w:rsidRDefault="003443A5" w:rsidP="003443A5">
      <w:pPr>
        <w:rPr>
          <w:rFonts w:eastAsia="Times New Roman" w:cs="Arial"/>
          <w:szCs w:val="24"/>
          <w:lang w:val="es-ES" w:eastAsia="es-ES"/>
        </w:rPr>
      </w:pPr>
    </w:p>
    <w:p w14:paraId="6EDABA1C"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b/>
          <w:i/>
          <w:szCs w:val="24"/>
          <w:lang w:val="es-ES" w:eastAsia="es-ES"/>
        </w:rPr>
        <w:t>Artículo 91.</w:t>
      </w:r>
      <w:r w:rsidRPr="00CE52BD">
        <w:rPr>
          <w:rFonts w:eastAsia="Times New Roman" w:cs="Arial"/>
          <w:i/>
          <w:szCs w:val="24"/>
          <w:lang w:val="es-ES" w:eastAsia="es-ES"/>
        </w:rPr>
        <w:t xml:space="preserve"> El acceso a la información pública será restringido excepcionalmente, cuando ésta sea clasificada como reservada o confidencial.</w:t>
      </w:r>
    </w:p>
    <w:p w14:paraId="5822B8E9" w14:textId="77777777" w:rsidR="003443A5" w:rsidRPr="00CE52BD" w:rsidRDefault="003443A5" w:rsidP="003443A5">
      <w:pPr>
        <w:spacing w:line="240" w:lineRule="auto"/>
        <w:ind w:left="567" w:right="567"/>
        <w:rPr>
          <w:rFonts w:eastAsia="Times New Roman" w:cs="Arial"/>
          <w:i/>
          <w:szCs w:val="24"/>
          <w:lang w:val="es-ES" w:eastAsia="es-ES"/>
        </w:rPr>
      </w:pPr>
    </w:p>
    <w:p w14:paraId="471C9C7C"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w:t>
      </w:r>
      <w:r w:rsidRPr="00CE52BD">
        <w:rPr>
          <w:rFonts w:eastAsia="Times New Roman" w:cs="Arial"/>
          <w:b/>
          <w:i/>
          <w:szCs w:val="24"/>
          <w:lang w:val="es-ES" w:eastAsia="es-ES"/>
        </w:rPr>
        <w:t>Artículo 140.</w:t>
      </w:r>
      <w:r w:rsidRPr="00CE52BD">
        <w:rPr>
          <w:rFonts w:eastAsia="Times New Roman"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2FAC12B8"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w:t>
      </w:r>
    </w:p>
    <w:p w14:paraId="7756F63B"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V. Aquella cuya divulgación obstruya o pueda causar un serio perjuicio a:</w:t>
      </w:r>
    </w:p>
    <w:p w14:paraId="5E312A05"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1. Las actividades de fiscalización, verificación, inspección, comprobación y auditoría sobre el cumplimiento de las Leyes; o;</w:t>
      </w:r>
    </w:p>
    <w:p w14:paraId="1F25F3EF"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w:t>
      </w:r>
    </w:p>
    <w:p w14:paraId="6BBB15DD" w14:textId="77777777" w:rsidR="002F500D" w:rsidRDefault="002F500D" w:rsidP="003443A5">
      <w:pPr>
        <w:rPr>
          <w:rFonts w:eastAsia="Times New Roman" w:cs="Arial"/>
          <w:szCs w:val="24"/>
          <w:lang w:val="es-ES" w:eastAsia="es-ES"/>
        </w:rPr>
      </w:pPr>
    </w:p>
    <w:p w14:paraId="7B435741" w14:textId="77777777" w:rsidR="002F500D" w:rsidRPr="001F7882" w:rsidRDefault="002F500D" w:rsidP="002F500D">
      <w:pPr>
        <w:tabs>
          <w:tab w:val="left" w:pos="709"/>
        </w:tabs>
        <w:rPr>
          <w:rFonts w:cs="Tahoma"/>
          <w:bCs/>
          <w:szCs w:val="24"/>
        </w:rPr>
      </w:pPr>
      <w:r w:rsidRPr="001F7882">
        <w:rPr>
          <w:szCs w:val="24"/>
        </w:rPr>
        <w:t xml:space="preserve">En suma a lo anterior, no se omite señalar que, es criterio del Pleno del máximo Tribunal que, </w:t>
      </w:r>
      <w:r w:rsidRPr="001F7882">
        <w:rPr>
          <w:rFonts w:cs="Tahoma"/>
          <w:bCs/>
          <w:szCs w:val="24"/>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61774376" w14:textId="77777777" w:rsidR="002F500D" w:rsidRPr="001F7882" w:rsidRDefault="002F500D" w:rsidP="002F500D">
      <w:pPr>
        <w:tabs>
          <w:tab w:val="left" w:pos="709"/>
        </w:tabs>
        <w:rPr>
          <w:rFonts w:cs="Tahoma"/>
          <w:bCs/>
          <w:szCs w:val="24"/>
        </w:rPr>
      </w:pPr>
    </w:p>
    <w:p w14:paraId="3763E09B" w14:textId="77777777" w:rsidR="002F500D" w:rsidRPr="001F7882" w:rsidRDefault="002F500D" w:rsidP="002F500D">
      <w:pPr>
        <w:tabs>
          <w:tab w:val="left" w:pos="709"/>
        </w:tabs>
        <w:ind w:left="567" w:right="567"/>
        <w:rPr>
          <w:rFonts w:cs="Tahoma"/>
          <w:bCs/>
          <w:i/>
          <w:szCs w:val="24"/>
        </w:rPr>
      </w:pPr>
      <w:r w:rsidRPr="001F7882">
        <w:rPr>
          <w:rFonts w:cs="Tahoma"/>
          <w:b/>
          <w:i/>
          <w:szCs w:val="24"/>
        </w:rPr>
        <w:lastRenderedPageBreak/>
        <w:t xml:space="preserve">PRESUNCIÓN DE INOCENCIA. ESTE PRINCIPIO ES APLICABLE AL PROCEDIMIENTO ADMINISTRATIVO SANCIONADOR, CON MATICES O MODULACIONES. </w:t>
      </w:r>
      <w:r w:rsidRPr="001F7882">
        <w:rPr>
          <w:rFonts w:cs="Tahoma"/>
          <w:bCs/>
          <w:i/>
          <w:szCs w:val="24"/>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w:t>
      </w:r>
      <w:proofErr w:type="spellStart"/>
      <w:r w:rsidRPr="001F7882">
        <w:rPr>
          <w:rFonts w:cs="Tahoma"/>
          <w:bCs/>
          <w:i/>
          <w:szCs w:val="24"/>
        </w:rPr>
        <w:t>1o</w:t>
      </w:r>
      <w:proofErr w:type="spellEnd"/>
      <w:r w:rsidRPr="001F7882">
        <w:rPr>
          <w:rFonts w:cs="Tahoma"/>
          <w:bCs/>
          <w:i/>
          <w:szCs w:val="24"/>
        </w:rPr>
        <w:t xml:space="preserve">.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w:t>
      </w:r>
      <w:r w:rsidRPr="001F7882">
        <w:rPr>
          <w:rFonts w:cs="Tahoma"/>
          <w:bCs/>
          <w:i/>
          <w:szCs w:val="24"/>
        </w:rPr>
        <w:lastRenderedPageBreak/>
        <w:t>procedimiento de cuyo resultado pudiera surgir una pena o sanción cuya consecuencia procesal, entre otras, es desplazar la carga de la prueba a la autoridad, en atención al derecho al debido proceso.</w:t>
      </w:r>
    </w:p>
    <w:p w14:paraId="0DAC72E1" w14:textId="77777777" w:rsidR="002F500D" w:rsidRPr="001F7882" w:rsidRDefault="002F500D" w:rsidP="002F500D">
      <w:pPr>
        <w:tabs>
          <w:tab w:val="left" w:pos="709"/>
        </w:tabs>
        <w:ind w:left="567" w:right="567"/>
        <w:rPr>
          <w:rFonts w:cs="Tahoma"/>
          <w:bCs/>
          <w:i/>
          <w:szCs w:val="24"/>
        </w:rPr>
      </w:pPr>
    </w:p>
    <w:p w14:paraId="2BBFC9AD" w14:textId="77777777" w:rsidR="002F500D" w:rsidRPr="001F7882" w:rsidRDefault="002F500D" w:rsidP="002F500D">
      <w:pPr>
        <w:tabs>
          <w:tab w:val="left" w:pos="709"/>
        </w:tabs>
        <w:ind w:left="567" w:right="567"/>
        <w:rPr>
          <w:rFonts w:cs="Tahoma"/>
          <w:bCs/>
          <w:i/>
          <w:szCs w:val="24"/>
        </w:rPr>
      </w:pPr>
      <w:r w:rsidRPr="001F7882">
        <w:rPr>
          <w:rFonts w:cs="Tahoma"/>
          <w:bCs/>
          <w:i/>
          <w:szCs w:val="24"/>
        </w:rPr>
        <w:t xml:space="preserve">Contradicción de tesis 200/2013. Entre las sustentadas por la Primera y la Segunda Salas de la Suprema Corte de Justicia de la Nación. 28 de enero de 2014. Mayoría de nueve votos de los </w:t>
      </w:r>
      <w:proofErr w:type="gramStart"/>
      <w:r w:rsidRPr="001F7882">
        <w:rPr>
          <w:rFonts w:cs="Tahoma"/>
          <w:bCs/>
          <w:i/>
          <w:szCs w:val="24"/>
        </w:rPr>
        <w:t>Ministros</w:t>
      </w:r>
      <w:proofErr w:type="gramEnd"/>
      <w:r w:rsidRPr="001F7882">
        <w:rPr>
          <w:rFonts w:cs="Tahoma"/>
          <w:bCs/>
          <w:i/>
          <w:szCs w:val="24"/>
        </w:rPr>
        <w:t xml:space="preserve">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77A8C491" w14:textId="77777777" w:rsidR="002F500D" w:rsidRPr="001F7882" w:rsidRDefault="002F500D" w:rsidP="002F500D">
      <w:pPr>
        <w:tabs>
          <w:tab w:val="left" w:pos="709"/>
        </w:tabs>
        <w:ind w:left="567" w:right="567"/>
        <w:rPr>
          <w:rFonts w:cs="Tahoma"/>
          <w:bCs/>
          <w:i/>
          <w:szCs w:val="24"/>
        </w:rPr>
      </w:pPr>
    </w:p>
    <w:p w14:paraId="2089DCE6" w14:textId="77777777" w:rsidR="002F500D" w:rsidRPr="001F7882" w:rsidRDefault="002F500D" w:rsidP="002F500D">
      <w:pPr>
        <w:tabs>
          <w:tab w:val="left" w:pos="709"/>
        </w:tabs>
        <w:ind w:left="567" w:right="567"/>
        <w:rPr>
          <w:rFonts w:cs="Tahoma"/>
          <w:bCs/>
          <w:i/>
          <w:szCs w:val="24"/>
        </w:rPr>
      </w:pPr>
      <w:r w:rsidRPr="001F7882">
        <w:rPr>
          <w:rFonts w:cs="Tahoma"/>
          <w:bCs/>
          <w:i/>
          <w:szCs w:val="24"/>
        </w:rPr>
        <w:t>Tesis y/o criterios contendientes:</w:t>
      </w:r>
    </w:p>
    <w:p w14:paraId="63EC1E85" w14:textId="77777777" w:rsidR="002F500D" w:rsidRPr="001F7882" w:rsidRDefault="002F500D" w:rsidP="002F500D">
      <w:pPr>
        <w:tabs>
          <w:tab w:val="left" w:pos="709"/>
        </w:tabs>
        <w:ind w:left="567" w:right="567"/>
        <w:rPr>
          <w:rFonts w:cs="Tahoma"/>
          <w:bCs/>
          <w:i/>
          <w:szCs w:val="24"/>
        </w:rPr>
      </w:pPr>
      <w:r w:rsidRPr="001F7882">
        <w:rPr>
          <w:rFonts w:cs="Tahoma"/>
          <w:bCs/>
          <w:i/>
          <w:szCs w:val="24"/>
        </w:rPr>
        <w:t xml:space="preserve">Tesis </w:t>
      </w:r>
      <w:proofErr w:type="spellStart"/>
      <w:r w:rsidRPr="001F7882">
        <w:rPr>
          <w:rFonts w:cs="Tahoma"/>
          <w:bCs/>
          <w:i/>
          <w:szCs w:val="24"/>
        </w:rPr>
        <w:t>1a</w:t>
      </w:r>
      <w:proofErr w:type="spellEnd"/>
      <w:r w:rsidRPr="001F7882">
        <w:rPr>
          <w:rFonts w:cs="Tahoma"/>
          <w:bCs/>
          <w:i/>
          <w:szCs w:val="24"/>
        </w:rPr>
        <w:t>. XCIII/2013 (</w:t>
      </w:r>
      <w:proofErr w:type="spellStart"/>
      <w:r w:rsidRPr="001F7882">
        <w:rPr>
          <w:rFonts w:cs="Tahoma"/>
          <w:bCs/>
          <w:i/>
          <w:szCs w:val="24"/>
        </w:rPr>
        <w:t>10a</w:t>
      </w:r>
      <w:proofErr w:type="spellEnd"/>
      <w:r w:rsidRPr="001F7882">
        <w:rPr>
          <w:rFonts w:cs="Tahoma"/>
          <w:bCs/>
          <w:i/>
          <w:szCs w:val="24"/>
        </w:rPr>
        <w:t>.),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745BD2A5" w14:textId="77777777" w:rsidR="002F500D" w:rsidRPr="001F7882" w:rsidRDefault="002F500D" w:rsidP="002F500D">
      <w:pPr>
        <w:tabs>
          <w:tab w:val="left" w:pos="709"/>
        </w:tabs>
        <w:ind w:left="567" w:right="567"/>
        <w:rPr>
          <w:rFonts w:cs="Tahoma"/>
          <w:bCs/>
          <w:i/>
          <w:szCs w:val="24"/>
        </w:rPr>
      </w:pPr>
    </w:p>
    <w:p w14:paraId="01ACE73A" w14:textId="77777777" w:rsidR="002F500D" w:rsidRPr="001F7882" w:rsidRDefault="002F500D" w:rsidP="002F500D">
      <w:pPr>
        <w:tabs>
          <w:tab w:val="left" w:pos="709"/>
        </w:tabs>
        <w:ind w:left="567" w:right="567"/>
        <w:rPr>
          <w:rFonts w:cs="Tahoma"/>
          <w:bCs/>
          <w:i/>
          <w:szCs w:val="24"/>
        </w:rPr>
      </w:pPr>
      <w:r w:rsidRPr="001F7882">
        <w:rPr>
          <w:rFonts w:cs="Tahoma"/>
          <w:bCs/>
          <w:i/>
          <w:szCs w:val="24"/>
        </w:rPr>
        <w:lastRenderedPageBreak/>
        <w:t xml:space="preserve">Tesis </w:t>
      </w:r>
      <w:proofErr w:type="spellStart"/>
      <w:r w:rsidRPr="001F7882">
        <w:rPr>
          <w:rFonts w:cs="Tahoma"/>
          <w:bCs/>
          <w:i/>
          <w:szCs w:val="24"/>
        </w:rPr>
        <w:t>1a</w:t>
      </w:r>
      <w:proofErr w:type="spellEnd"/>
      <w:r w:rsidRPr="001F7882">
        <w:rPr>
          <w:rFonts w:cs="Tahoma"/>
          <w:bCs/>
          <w:i/>
          <w:szCs w:val="24"/>
        </w:rPr>
        <w:t>. XCVII/2013 (</w:t>
      </w:r>
      <w:proofErr w:type="spellStart"/>
      <w:r w:rsidRPr="001F7882">
        <w:rPr>
          <w:rFonts w:cs="Tahoma"/>
          <w:bCs/>
          <w:i/>
          <w:szCs w:val="24"/>
        </w:rPr>
        <w:t>10a</w:t>
      </w:r>
      <w:proofErr w:type="spellEnd"/>
      <w:r w:rsidRPr="001F7882">
        <w:rPr>
          <w:rFonts w:cs="Tahoma"/>
          <w:bCs/>
          <w:i/>
          <w:szCs w:val="24"/>
        </w:rPr>
        <w:t>.),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612F431B" w14:textId="77777777" w:rsidR="002F500D" w:rsidRPr="001F7882" w:rsidRDefault="002F500D" w:rsidP="002F500D">
      <w:pPr>
        <w:tabs>
          <w:tab w:val="left" w:pos="709"/>
        </w:tabs>
        <w:ind w:left="567" w:right="567"/>
        <w:rPr>
          <w:rFonts w:cs="Tahoma"/>
          <w:bCs/>
          <w:i/>
          <w:szCs w:val="24"/>
        </w:rPr>
      </w:pPr>
    </w:p>
    <w:p w14:paraId="6D2E5500" w14:textId="77777777" w:rsidR="002F500D" w:rsidRPr="001F7882" w:rsidRDefault="002F500D" w:rsidP="002F500D">
      <w:pPr>
        <w:tabs>
          <w:tab w:val="left" w:pos="709"/>
        </w:tabs>
        <w:ind w:left="567" w:right="567"/>
        <w:rPr>
          <w:rFonts w:cs="Tahoma"/>
          <w:bCs/>
          <w:i/>
          <w:szCs w:val="24"/>
        </w:rPr>
      </w:pPr>
      <w:r w:rsidRPr="001F7882">
        <w:rPr>
          <w:rFonts w:cs="Tahoma"/>
          <w:bCs/>
          <w:i/>
          <w:szCs w:val="24"/>
        </w:rPr>
        <w:t xml:space="preserve">Tesis </w:t>
      </w:r>
      <w:proofErr w:type="spellStart"/>
      <w:r w:rsidRPr="001F7882">
        <w:rPr>
          <w:rFonts w:cs="Tahoma"/>
          <w:bCs/>
          <w:i/>
          <w:szCs w:val="24"/>
        </w:rPr>
        <w:t>2a</w:t>
      </w:r>
      <w:proofErr w:type="spellEnd"/>
      <w:r w:rsidRPr="001F7882">
        <w:rPr>
          <w:rFonts w:cs="Tahoma"/>
          <w:bCs/>
          <w:i/>
          <w:szCs w:val="24"/>
        </w:rPr>
        <w:t>. XC/2012 (</w:t>
      </w:r>
      <w:proofErr w:type="spellStart"/>
      <w:r w:rsidRPr="001F7882">
        <w:rPr>
          <w:rFonts w:cs="Tahoma"/>
          <w:bCs/>
          <w:i/>
          <w:szCs w:val="24"/>
        </w:rPr>
        <w:t>10a</w:t>
      </w:r>
      <w:proofErr w:type="spellEnd"/>
      <w:r w:rsidRPr="001F7882">
        <w:rPr>
          <w:rFonts w:cs="Tahoma"/>
          <w:bCs/>
          <w:i/>
          <w:szCs w:val="24"/>
        </w:rPr>
        <w:t>.),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257FCAF3" w14:textId="77777777" w:rsidR="002F500D" w:rsidRPr="001F7882" w:rsidRDefault="002F500D" w:rsidP="002F500D">
      <w:pPr>
        <w:tabs>
          <w:tab w:val="left" w:pos="709"/>
        </w:tabs>
        <w:ind w:left="567" w:right="567"/>
        <w:rPr>
          <w:rFonts w:cs="Tahoma"/>
          <w:bCs/>
          <w:i/>
          <w:szCs w:val="24"/>
        </w:rPr>
      </w:pPr>
    </w:p>
    <w:p w14:paraId="3299A020" w14:textId="77777777" w:rsidR="002F500D" w:rsidRPr="001F7882" w:rsidRDefault="002F500D" w:rsidP="002F500D">
      <w:pPr>
        <w:tabs>
          <w:tab w:val="left" w:pos="709"/>
        </w:tabs>
        <w:ind w:left="567" w:right="567"/>
        <w:rPr>
          <w:rFonts w:cs="Tahoma"/>
          <w:bCs/>
          <w:i/>
          <w:szCs w:val="24"/>
        </w:rPr>
      </w:pPr>
      <w:r w:rsidRPr="001F7882">
        <w:rPr>
          <w:rFonts w:cs="Tahoma"/>
          <w:bCs/>
          <w:i/>
          <w:szCs w:val="24"/>
        </w:rPr>
        <w:t xml:space="preserve">Tesis </w:t>
      </w:r>
      <w:proofErr w:type="spellStart"/>
      <w:r w:rsidRPr="001F7882">
        <w:rPr>
          <w:rFonts w:cs="Tahoma"/>
          <w:bCs/>
          <w:i/>
          <w:szCs w:val="24"/>
        </w:rPr>
        <w:t>2a</w:t>
      </w:r>
      <w:proofErr w:type="spellEnd"/>
      <w:r w:rsidRPr="001F7882">
        <w:rPr>
          <w:rFonts w:cs="Tahoma"/>
          <w:bCs/>
          <w:i/>
          <w:szCs w:val="24"/>
        </w:rPr>
        <w:t>. XCI/2012 (</w:t>
      </w:r>
      <w:proofErr w:type="spellStart"/>
      <w:r w:rsidRPr="001F7882">
        <w:rPr>
          <w:rFonts w:cs="Tahoma"/>
          <w:bCs/>
          <w:i/>
          <w:szCs w:val="24"/>
        </w:rPr>
        <w:t>10a</w:t>
      </w:r>
      <w:proofErr w:type="spellEnd"/>
      <w:r w:rsidRPr="001F7882">
        <w:rPr>
          <w:rFonts w:cs="Tahoma"/>
          <w:bCs/>
          <w:i/>
          <w:szCs w:val="24"/>
        </w:rPr>
        <w:t>.),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4AA0A8EB" w14:textId="77777777" w:rsidR="002F500D" w:rsidRPr="001F7882" w:rsidRDefault="002F500D" w:rsidP="002F500D">
      <w:pPr>
        <w:tabs>
          <w:tab w:val="left" w:pos="709"/>
        </w:tabs>
        <w:ind w:left="567" w:right="567"/>
        <w:rPr>
          <w:rFonts w:cs="Tahoma"/>
          <w:bCs/>
          <w:i/>
          <w:szCs w:val="24"/>
        </w:rPr>
      </w:pPr>
    </w:p>
    <w:p w14:paraId="27D5D9F7" w14:textId="05F9B6FF" w:rsidR="002F500D" w:rsidRPr="001F7882" w:rsidRDefault="002F500D" w:rsidP="00E1635F">
      <w:pPr>
        <w:tabs>
          <w:tab w:val="left" w:pos="709"/>
        </w:tabs>
        <w:ind w:left="567" w:right="567"/>
        <w:rPr>
          <w:rFonts w:cs="Tahoma"/>
          <w:bCs/>
          <w:i/>
          <w:szCs w:val="24"/>
        </w:rPr>
      </w:pPr>
      <w:r w:rsidRPr="001F7882">
        <w:rPr>
          <w:rFonts w:cs="Tahoma"/>
          <w:bCs/>
          <w:i/>
          <w:szCs w:val="24"/>
        </w:rPr>
        <w:t>El Tribunal Pleno, el veintiséis de mayo en curso, aprobó, con el número 43/2014 (</w:t>
      </w:r>
      <w:proofErr w:type="spellStart"/>
      <w:r w:rsidRPr="001F7882">
        <w:rPr>
          <w:rFonts w:cs="Tahoma"/>
          <w:bCs/>
          <w:i/>
          <w:szCs w:val="24"/>
        </w:rPr>
        <w:t>10a</w:t>
      </w:r>
      <w:proofErr w:type="spellEnd"/>
      <w:r w:rsidRPr="001F7882">
        <w:rPr>
          <w:rFonts w:cs="Tahoma"/>
          <w:bCs/>
          <w:i/>
          <w:szCs w:val="24"/>
        </w:rPr>
        <w:t>.), la tesis jurisprudencial que antecede. México, Distrito Federal, a veintiséis de mayo de dos mil catorce.</w:t>
      </w:r>
    </w:p>
    <w:p w14:paraId="5217B1AB" w14:textId="77777777" w:rsidR="002F500D" w:rsidRPr="001F7882" w:rsidRDefault="002F500D" w:rsidP="002F500D">
      <w:pPr>
        <w:tabs>
          <w:tab w:val="left" w:pos="709"/>
        </w:tabs>
        <w:ind w:left="567" w:right="567"/>
        <w:rPr>
          <w:rFonts w:cs="Tahoma"/>
          <w:bCs/>
          <w:i/>
          <w:szCs w:val="24"/>
        </w:rPr>
      </w:pPr>
      <w:r w:rsidRPr="001F7882">
        <w:rPr>
          <w:rFonts w:cs="Tahoma"/>
          <w:bCs/>
          <w:i/>
          <w:szCs w:val="24"/>
        </w:rPr>
        <w:lastRenderedPageBreak/>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7207DE43" w14:textId="77777777" w:rsidR="002F500D" w:rsidRPr="001F7882" w:rsidRDefault="002F500D" w:rsidP="002F500D">
      <w:pPr>
        <w:tabs>
          <w:tab w:val="left" w:pos="709"/>
        </w:tabs>
        <w:ind w:left="567" w:right="567"/>
        <w:rPr>
          <w:rFonts w:cs="Tahoma"/>
          <w:bCs/>
          <w:i/>
          <w:szCs w:val="24"/>
        </w:rPr>
      </w:pPr>
    </w:p>
    <w:p w14:paraId="7B6C17AD" w14:textId="57EE1A8B" w:rsidR="002F500D" w:rsidRPr="00E1635F" w:rsidRDefault="002F500D" w:rsidP="00E1635F">
      <w:pPr>
        <w:tabs>
          <w:tab w:val="left" w:pos="709"/>
        </w:tabs>
        <w:ind w:left="567" w:right="567"/>
        <w:rPr>
          <w:rFonts w:cs="Tahoma"/>
          <w:bCs/>
          <w:i/>
          <w:szCs w:val="24"/>
        </w:rPr>
      </w:pPr>
      <w:r w:rsidRPr="001F7882">
        <w:rPr>
          <w:rFonts w:cs="Tahoma"/>
          <w:bCs/>
          <w:i/>
          <w:szCs w:val="24"/>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384D051E" w14:textId="77777777" w:rsidR="002F500D" w:rsidRDefault="002F500D" w:rsidP="003443A5">
      <w:pPr>
        <w:rPr>
          <w:rFonts w:eastAsia="Times New Roman" w:cs="Arial"/>
          <w:szCs w:val="24"/>
          <w:lang w:val="es-ES" w:eastAsia="es-ES"/>
        </w:rPr>
      </w:pPr>
    </w:p>
    <w:p w14:paraId="792F105A" w14:textId="507D232B"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t xml:space="preserve">Conforme a lo anterior, se puede corroborar que el procedimiento en </w:t>
      </w:r>
      <w:proofErr w:type="gramStart"/>
      <w:r w:rsidRPr="00CE52BD">
        <w:rPr>
          <w:rFonts w:eastAsia="Times New Roman" w:cs="Arial"/>
          <w:szCs w:val="24"/>
          <w:lang w:val="es-ES" w:eastAsia="es-ES"/>
        </w:rPr>
        <w:t>cuestión,</w:t>
      </w:r>
      <w:proofErr w:type="gramEnd"/>
      <w:r w:rsidRPr="00CE52BD">
        <w:rPr>
          <w:rFonts w:eastAsia="Times New Roman" w:cs="Arial"/>
          <w:szCs w:val="24"/>
          <w:lang w:val="es-ES" w:eastAsia="es-ES"/>
        </w:rPr>
        <w:t xml:space="preserve"> podría constituir un procedimiento administrativo seguido en forma de juicio; por lo que, la información solicitada podría actualizar una causal de clasificación, en su carácter de reservada, misma que se procede a su análisis.</w:t>
      </w:r>
    </w:p>
    <w:p w14:paraId="1D934795" w14:textId="77777777" w:rsidR="003443A5" w:rsidRPr="00CE52BD" w:rsidRDefault="003443A5" w:rsidP="003443A5">
      <w:pPr>
        <w:rPr>
          <w:rFonts w:eastAsia="Times New Roman" w:cs="Arial"/>
          <w:szCs w:val="24"/>
          <w:lang w:val="es-ES" w:eastAsia="es-ES"/>
        </w:rPr>
      </w:pPr>
    </w:p>
    <w:p w14:paraId="362DCE69" w14:textId="77777777"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t>Por su parte, en los Lineamientos Generales en materia de clasificación y desclasificación de la información, así como para la elaboración de versiones públicas, se prevé lo siguiente:</w:t>
      </w:r>
    </w:p>
    <w:p w14:paraId="16545D3A" w14:textId="77777777" w:rsidR="003443A5" w:rsidRPr="00CE52BD" w:rsidRDefault="003443A5" w:rsidP="003443A5">
      <w:pPr>
        <w:rPr>
          <w:rFonts w:eastAsia="Times New Roman" w:cs="Arial"/>
          <w:szCs w:val="24"/>
          <w:lang w:val="es-ES" w:eastAsia="es-ES"/>
        </w:rPr>
      </w:pPr>
    </w:p>
    <w:p w14:paraId="3D892DB2"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w:t>
      </w:r>
      <w:r w:rsidRPr="00CE52BD">
        <w:rPr>
          <w:rFonts w:eastAsia="Times New Roman" w:cs="Arial"/>
          <w:b/>
          <w:i/>
          <w:szCs w:val="24"/>
          <w:lang w:val="es-ES" w:eastAsia="es-ES"/>
        </w:rPr>
        <w:t>Vigésimo quinto.</w:t>
      </w:r>
      <w:r w:rsidRPr="00CE52BD">
        <w:rPr>
          <w:rFonts w:eastAsia="Times New Roman" w:cs="Arial"/>
          <w:i/>
          <w:szCs w:val="24"/>
          <w:lang w:val="es-ES" w:eastAsia="es-ES"/>
        </w:rPr>
        <w:t xml:space="preserve">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52AAE546" w14:textId="77777777" w:rsidR="003443A5" w:rsidRPr="00CE52BD" w:rsidRDefault="003443A5" w:rsidP="003443A5">
      <w:pPr>
        <w:rPr>
          <w:rFonts w:eastAsia="Times New Roman" w:cs="Arial"/>
          <w:szCs w:val="24"/>
          <w:lang w:val="es-ES" w:eastAsia="es-ES"/>
        </w:rPr>
      </w:pPr>
    </w:p>
    <w:p w14:paraId="012A7F95" w14:textId="77777777"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lastRenderedPageBreak/>
        <w:t xml:space="preserve">Para los efectos del párrafo de este numeral, se considera como información </w:t>
      </w:r>
      <w:r w:rsidRPr="00CE52BD">
        <w:rPr>
          <w:rFonts w:eastAsia="Times New Roman" w:cs="Arial"/>
          <w:b/>
          <w:szCs w:val="24"/>
          <w:lang w:val="es-ES" w:eastAsia="es-ES"/>
        </w:rPr>
        <w:t>RESERVADA</w:t>
      </w:r>
      <w:r w:rsidRPr="00CE52BD">
        <w:rPr>
          <w:rFonts w:eastAsia="Times New Roman" w:cs="Arial"/>
          <w:szCs w:val="24"/>
          <w:lang w:val="es-ES" w:eastAsia="es-ES"/>
        </w:rPr>
        <w:t xml:space="preserve"> podrá clasificarse aquella cuya publicación; esto es, en el que concurran los siguientes elementos:</w:t>
      </w:r>
    </w:p>
    <w:p w14:paraId="566D1FBD" w14:textId="77777777" w:rsidR="003443A5" w:rsidRPr="00CE52BD" w:rsidRDefault="003443A5" w:rsidP="003443A5">
      <w:pPr>
        <w:rPr>
          <w:rFonts w:eastAsia="Times New Roman" w:cs="Arial"/>
          <w:szCs w:val="24"/>
          <w:lang w:val="es-ES" w:eastAsia="es-ES"/>
        </w:rPr>
      </w:pPr>
    </w:p>
    <w:p w14:paraId="336780BC" w14:textId="77777777" w:rsidR="003443A5" w:rsidRPr="00CE52BD" w:rsidRDefault="003443A5" w:rsidP="003443A5">
      <w:pPr>
        <w:spacing w:line="240" w:lineRule="auto"/>
        <w:ind w:left="567" w:right="567"/>
        <w:rPr>
          <w:rFonts w:eastAsia="Times New Roman" w:cs="Arial"/>
          <w:i/>
          <w:szCs w:val="24"/>
          <w:lang w:val="es-ES" w:eastAsia="es-ES"/>
        </w:rPr>
      </w:pPr>
      <w:r w:rsidRPr="00CE52BD">
        <w:rPr>
          <w:rFonts w:eastAsia="Times New Roman" w:cs="Arial"/>
          <w:i/>
          <w:szCs w:val="24"/>
          <w:lang w:val="es-ES" w:eastAsia="es-ES"/>
        </w:rPr>
        <w:t>“</w:t>
      </w:r>
      <w:r w:rsidRPr="00CE52BD">
        <w:rPr>
          <w:rFonts w:eastAsia="Times New Roman" w:cs="Arial"/>
          <w:b/>
          <w:i/>
          <w:szCs w:val="24"/>
          <w:lang w:val="es-ES" w:eastAsia="es-ES"/>
        </w:rPr>
        <w:t>VI.</w:t>
      </w:r>
      <w:r w:rsidRPr="00CE52BD">
        <w:rPr>
          <w:rFonts w:eastAsia="Times New Roman" w:cs="Arial"/>
          <w:i/>
          <w:szCs w:val="24"/>
          <w:lang w:val="es-ES" w:eastAsia="es-ES"/>
        </w:rPr>
        <w:t xml:space="preserve"> Obstruya las actividades de verificación, inspección y auditoría relativas al cumplimiento de las leyes o afecte la recaudación de contribuciones”</w:t>
      </w:r>
    </w:p>
    <w:p w14:paraId="24C280E5" w14:textId="77777777" w:rsidR="003443A5" w:rsidRPr="00CE52BD" w:rsidRDefault="003443A5" w:rsidP="003443A5">
      <w:pPr>
        <w:rPr>
          <w:rFonts w:eastAsia="Times New Roman" w:cs="Arial"/>
          <w:szCs w:val="24"/>
          <w:lang w:val="es-ES" w:eastAsia="es-ES"/>
        </w:rPr>
      </w:pPr>
    </w:p>
    <w:p w14:paraId="54D78770" w14:textId="77777777"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t xml:space="preserve">De la normatividad citada, se desprende que el supuesto de clasificación invocado por el Sujeto </w:t>
      </w:r>
      <w:proofErr w:type="gramStart"/>
      <w:r w:rsidRPr="00CE52BD">
        <w:rPr>
          <w:rFonts w:eastAsia="Times New Roman" w:cs="Arial"/>
          <w:szCs w:val="24"/>
          <w:lang w:val="es-ES" w:eastAsia="es-ES"/>
        </w:rPr>
        <w:t>Obligado,</w:t>
      </w:r>
      <w:proofErr w:type="gramEnd"/>
      <w:r w:rsidRPr="00CE52BD">
        <w:rPr>
          <w:rFonts w:eastAsia="Times New Roman" w:cs="Arial"/>
          <w:szCs w:val="24"/>
          <w:lang w:val="es-ES" w:eastAsia="es-ES"/>
        </w:rPr>
        <w:t xml:space="preserve"> prevé que como información reservada podrá clasificarse aquella que vulnere la conducción de las auditorías relativas al cumplimiento de las leyes.</w:t>
      </w:r>
    </w:p>
    <w:p w14:paraId="6B73C101" w14:textId="77777777" w:rsidR="003443A5" w:rsidRPr="00CE52BD" w:rsidRDefault="003443A5" w:rsidP="003443A5">
      <w:pPr>
        <w:rPr>
          <w:rFonts w:eastAsia="Times New Roman" w:cs="Arial"/>
          <w:szCs w:val="24"/>
          <w:lang w:val="es-ES" w:eastAsia="es-ES"/>
        </w:rPr>
      </w:pPr>
    </w:p>
    <w:p w14:paraId="52C04417" w14:textId="77777777"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t>Por lo cual, para considerar que se actualiza dicha causal es necesario que se configuren los siguientes elementos:</w:t>
      </w:r>
    </w:p>
    <w:p w14:paraId="35010298" w14:textId="77777777" w:rsidR="003443A5" w:rsidRPr="00CE52BD" w:rsidRDefault="003443A5" w:rsidP="003443A5">
      <w:pPr>
        <w:rPr>
          <w:rFonts w:eastAsia="Times New Roman" w:cs="Arial"/>
          <w:szCs w:val="24"/>
          <w:lang w:val="es-ES" w:eastAsia="es-ES"/>
        </w:rPr>
      </w:pPr>
    </w:p>
    <w:p w14:paraId="02CD4BB4" w14:textId="77777777" w:rsidR="003443A5" w:rsidRPr="00CE52BD" w:rsidRDefault="003443A5" w:rsidP="003443A5">
      <w:pPr>
        <w:ind w:left="567" w:right="567"/>
        <w:rPr>
          <w:rFonts w:eastAsia="Times New Roman" w:cs="Arial"/>
          <w:szCs w:val="24"/>
          <w:lang w:val="es-ES" w:eastAsia="es-ES"/>
        </w:rPr>
      </w:pPr>
      <w:r w:rsidRPr="00CE52BD">
        <w:rPr>
          <w:rFonts w:eastAsia="Times New Roman" w:cs="Arial"/>
          <w:szCs w:val="24"/>
          <w:lang w:val="es-ES" w:eastAsia="es-ES"/>
        </w:rPr>
        <w:t>1) La existencia de un juicio o procedimiento administrativo materialmente jurisdiccional, que se encuentre en trámite, y</w:t>
      </w:r>
    </w:p>
    <w:p w14:paraId="18DDDAA3" w14:textId="77777777" w:rsidR="003443A5" w:rsidRPr="00CE52BD" w:rsidRDefault="003443A5" w:rsidP="003443A5">
      <w:pPr>
        <w:ind w:left="567" w:right="567"/>
        <w:rPr>
          <w:rFonts w:eastAsia="Times New Roman" w:cs="Arial"/>
          <w:szCs w:val="24"/>
          <w:lang w:val="es-ES" w:eastAsia="es-ES"/>
        </w:rPr>
      </w:pPr>
      <w:r w:rsidRPr="00CE52BD">
        <w:rPr>
          <w:rFonts w:eastAsia="Times New Roman" w:cs="Arial"/>
          <w:szCs w:val="24"/>
          <w:lang w:val="es-ES" w:eastAsia="es-ES"/>
        </w:rPr>
        <w:t>2) Que la información solicitada se refiera a actuaciones, diligencias o constancias propias del procedimiento.</w:t>
      </w:r>
    </w:p>
    <w:p w14:paraId="12195312" w14:textId="77777777" w:rsidR="003443A5" w:rsidRPr="00CE52BD" w:rsidRDefault="003443A5" w:rsidP="003443A5">
      <w:pPr>
        <w:rPr>
          <w:rFonts w:eastAsia="Times New Roman" w:cs="Arial"/>
          <w:szCs w:val="24"/>
          <w:lang w:val="es-ES" w:eastAsia="es-ES"/>
        </w:rPr>
      </w:pPr>
    </w:p>
    <w:p w14:paraId="70949854" w14:textId="77777777" w:rsidR="003443A5" w:rsidRPr="00CE52BD" w:rsidRDefault="003443A5" w:rsidP="003443A5">
      <w:pPr>
        <w:rPr>
          <w:rFonts w:eastAsia="Times New Roman" w:cs="Arial"/>
          <w:szCs w:val="24"/>
          <w:lang w:val="es-ES" w:eastAsia="es-ES"/>
        </w:rPr>
      </w:pPr>
      <w:r w:rsidRPr="00CE52BD">
        <w:rPr>
          <w:rFonts w:eastAsia="Times New Roman" w:cs="Arial"/>
          <w:szCs w:val="24"/>
          <w:lang w:val="es-ES" w:eastAsia="es-ES"/>
        </w:rPr>
        <w:t xml:space="preserve">Con base en lo expuesto, se advierte que la información susceptible de clasificarse como </w:t>
      </w:r>
      <w:r w:rsidRPr="00CE52BD">
        <w:rPr>
          <w:rFonts w:eastAsia="Times New Roman" w:cs="Arial"/>
          <w:b/>
          <w:szCs w:val="24"/>
          <w:lang w:val="es-ES" w:eastAsia="es-ES"/>
        </w:rPr>
        <w:t>RESERVADA</w:t>
      </w:r>
      <w:r w:rsidRPr="00CE52BD">
        <w:rPr>
          <w:rFonts w:eastAsia="Times New Roman" w:cs="Arial"/>
          <w:szCs w:val="24"/>
          <w:lang w:val="es-ES" w:eastAsia="es-ES"/>
        </w:rPr>
        <w:t xml:space="preserve"> bajo el supuesto aludido, es aquella cuya difusión, pueda obstruir o impedir el ejercicio de las facultades que llevan a cabo las autoridades competentes para recaudar, fiscalizar y comprobar el cumplimiento de las obligaciones fiscales en términos de las disposiciones normativas aplicables, en tanto no hayan causado estado.</w:t>
      </w:r>
    </w:p>
    <w:p w14:paraId="0FA4B09A" w14:textId="77777777" w:rsidR="003443A5" w:rsidRPr="00CE52BD" w:rsidRDefault="003443A5" w:rsidP="003443A5">
      <w:pPr>
        <w:rPr>
          <w:rFonts w:eastAsia="Times New Roman" w:cs="Arial"/>
          <w:szCs w:val="24"/>
          <w:lang w:val="es-ES" w:eastAsia="es-ES"/>
        </w:rPr>
      </w:pPr>
    </w:p>
    <w:p w14:paraId="3AE32D3C" w14:textId="3C17AE95" w:rsidR="009B73BE" w:rsidRPr="006A7396" w:rsidRDefault="003443A5" w:rsidP="003443A5">
      <w:pPr>
        <w:pBdr>
          <w:top w:val="nil"/>
          <w:left w:val="nil"/>
          <w:bottom w:val="nil"/>
          <w:right w:val="nil"/>
          <w:between w:val="nil"/>
        </w:pBdr>
        <w:rPr>
          <w:rFonts w:eastAsia="Palatino Linotype" w:cs="Palatino Linotype"/>
          <w:color w:val="000000"/>
          <w:szCs w:val="24"/>
        </w:rPr>
      </w:pPr>
      <w:r w:rsidRPr="00CE52BD">
        <w:rPr>
          <w:rFonts w:eastAsia="Times New Roman" w:cs="Arial"/>
          <w:szCs w:val="24"/>
          <w:lang w:val="es-ES" w:eastAsia="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84B3488" w14:textId="77777777" w:rsidR="009B73BE" w:rsidRDefault="009B73BE" w:rsidP="009B73BE"/>
    <w:p w14:paraId="382B282A" w14:textId="55F4AF4B"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w:t>
      </w:r>
      <w:r w:rsidR="00B644AA">
        <w:rPr>
          <w:rFonts w:eastAsia="Palatino Linotype" w:cs="Palatino Linotype"/>
          <w:color w:val="000000" w:themeColor="text1"/>
        </w:rPr>
        <w:t>el Recurrente</w:t>
      </w:r>
      <w:r w:rsidRPr="0CEC3CE0">
        <w:rPr>
          <w:rFonts w:eastAsia="Palatino Linotype" w:cs="Palatino Linotype"/>
          <w:color w:val="000000" w:themeColor="text1"/>
        </w:rPr>
        <w:t xml:space="preserv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374147" w:rsidRPr="00374147">
        <w:rPr>
          <w:rFonts w:eastAsia="Palatino Linotype" w:cs="Palatino Linotype"/>
          <w:b/>
          <w:bCs/>
          <w:color w:val="000000"/>
          <w:szCs w:val="24"/>
        </w:rPr>
        <w:t>00921/TOLUCA/IP/2025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772C8AC6"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374147" w:rsidRPr="00374147">
        <w:rPr>
          <w:rFonts w:eastAsia="Palatino Linotype" w:cs="Palatino Linotype"/>
          <w:b/>
          <w:bCs/>
          <w:color w:val="000000"/>
          <w:szCs w:val="24"/>
        </w:rPr>
        <w:t>00921/TOLUCA/IP/2025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w:t>
      </w:r>
      <w:r w:rsidRPr="00BB7F90">
        <w:rPr>
          <w:rFonts w:eastAsia="Palatino Linotype" w:cs="Palatino Linotype"/>
          <w:color w:val="000000" w:themeColor="text1"/>
        </w:rPr>
        <w:lastRenderedPageBreak/>
        <w:t xml:space="preserve">inconformidad argüidos por </w:t>
      </w:r>
      <w:r w:rsidR="00B644AA">
        <w:rPr>
          <w:rFonts w:eastAsia="Palatino Linotype" w:cs="Palatino Linotype"/>
          <w:color w:val="000000" w:themeColor="text1"/>
        </w:rPr>
        <w:t>el Recurrente</w:t>
      </w:r>
      <w:r w:rsidRPr="00BB7F90">
        <w:rPr>
          <w:rFonts w:eastAsia="Palatino Linotype" w:cs="Palatino Linotype"/>
          <w:color w:val="000000" w:themeColor="text1"/>
        </w:rPr>
        <w:t>, en términos del</w:t>
      </w:r>
      <w:r>
        <w:rPr>
          <w:rFonts w:eastAsia="Palatino Linotype" w:cs="Palatino Linotype"/>
          <w:b/>
          <w:bCs/>
          <w:color w:val="000000" w:themeColor="text1"/>
        </w:rPr>
        <w:t xml:space="preserve"> Considerando </w:t>
      </w:r>
      <w:r w:rsidR="00400002">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EDB0B03" w14:textId="64B230F0" w:rsidR="009B73BE"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w:t>
      </w:r>
      <w:r w:rsidR="00374147" w:rsidRPr="00CE52BD">
        <w:rPr>
          <w:rFonts w:eastAsia="Times New Roman" w:cs="Arial"/>
          <w:szCs w:val="24"/>
          <w:lang w:val="es-ES" w:eastAsia="es-ES"/>
        </w:rPr>
        <w:t xml:space="preserve">Se </w:t>
      </w:r>
      <w:r w:rsidR="00374147" w:rsidRPr="00CE52BD">
        <w:rPr>
          <w:rFonts w:eastAsia="Times New Roman" w:cs="Arial"/>
          <w:b/>
          <w:szCs w:val="24"/>
          <w:lang w:val="es-ES" w:eastAsia="es-ES"/>
        </w:rPr>
        <w:t>ORDENA</w:t>
      </w:r>
      <w:r w:rsidR="00374147" w:rsidRPr="00CE52BD">
        <w:rPr>
          <w:rFonts w:eastAsia="Times New Roman" w:cs="Arial"/>
          <w:szCs w:val="24"/>
          <w:lang w:val="es-ES" w:eastAsia="es-ES"/>
        </w:rPr>
        <w:t xml:space="preserve"> al </w:t>
      </w:r>
      <w:r w:rsidR="00374147" w:rsidRPr="00CE52BD">
        <w:rPr>
          <w:rFonts w:eastAsia="Times New Roman" w:cs="Arial"/>
          <w:b/>
          <w:szCs w:val="24"/>
          <w:lang w:val="es-ES" w:eastAsia="es-ES"/>
        </w:rPr>
        <w:t>Sujeto Obligado</w:t>
      </w:r>
      <w:r w:rsidR="00374147" w:rsidRPr="00CE52BD">
        <w:rPr>
          <w:rFonts w:eastAsia="Times New Roman" w:cs="Arial"/>
          <w:szCs w:val="24"/>
          <w:lang w:val="es-ES" w:eastAsia="es-ES"/>
        </w:rPr>
        <w:t xml:space="preserve"> haga entrega al </w:t>
      </w:r>
      <w:r w:rsidR="00374147" w:rsidRPr="00CE52BD">
        <w:rPr>
          <w:rFonts w:eastAsia="Times New Roman" w:cs="Arial"/>
          <w:b/>
          <w:szCs w:val="24"/>
          <w:lang w:val="es-ES" w:eastAsia="es-ES"/>
        </w:rPr>
        <w:t xml:space="preserve">Recurrente </w:t>
      </w:r>
      <w:r w:rsidR="00374147" w:rsidRPr="00CE52BD">
        <w:rPr>
          <w:rFonts w:eastAsia="Times New Roman" w:cs="Arial"/>
          <w:szCs w:val="24"/>
          <w:lang w:val="es-ES" w:eastAsia="es-ES"/>
        </w:rPr>
        <w:t xml:space="preserve">en términos del Considerando </w:t>
      </w:r>
      <w:r w:rsidR="00374147" w:rsidRPr="00CE52BD">
        <w:rPr>
          <w:rFonts w:eastAsia="Times New Roman" w:cs="Arial"/>
          <w:b/>
          <w:szCs w:val="24"/>
          <w:lang w:val="es-ES" w:eastAsia="es-ES"/>
        </w:rPr>
        <w:t xml:space="preserve">CUARTO </w:t>
      </w:r>
      <w:r w:rsidR="00374147" w:rsidRPr="00CE52BD">
        <w:rPr>
          <w:rFonts w:eastAsia="Times New Roman" w:cs="Arial"/>
          <w:szCs w:val="24"/>
          <w:lang w:val="es-ES" w:eastAsia="es-ES"/>
        </w:rPr>
        <w:t xml:space="preserve">de esta resolución, a través del </w:t>
      </w:r>
      <w:r w:rsidR="00374147" w:rsidRPr="00CE52BD">
        <w:rPr>
          <w:rFonts w:eastAsia="Times New Roman" w:cs="Times New Roman"/>
          <w:szCs w:val="24"/>
          <w:lang w:val="es-ES" w:eastAsia="es-ES"/>
        </w:rPr>
        <w:t>Sistema de Acceso a la Información Mexiquense</w:t>
      </w:r>
      <w:r w:rsidR="00374147" w:rsidRPr="00CE52BD">
        <w:rPr>
          <w:rFonts w:eastAsia="Times New Roman" w:cs="Arial"/>
          <w:szCs w:val="24"/>
          <w:lang w:val="es-ES" w:eastAsia="es-ES"/>
        </w:rPr>
        <w:t xml:space="preserve"> </w:t>
      </w:r>
      <w:r w:rsidR="00374147" w:rsidRPr="00CE52BD">
        <w:rPr>
          <w:rFonts w:eastAsia="Times New Roman" w:cs="Arial"/>
          <w:b/>
          <w:szCs w:val="24"/>
          <w:lang w:val="es-ES" w:eastAsia="es-ES"/>
        </w:rPr>
        <w:t>(</w:t>
      </w:r>
      <w:proofErr w:type="spellStart"/>
      <w:r w:rsidR="00374147" w:rsidRPr="00CE52BD">
        <w:rPr>
          <w:rFonts w:eastAsia="Times New Roman" w:cs="Arial"/>
          <w:b/>
          <w:szCs w:val="24"/>
          <w:lang w:val="es-ES" w:eastAsia="es-ES"/>
        </w:rPr>
        <w:t>SAIMEX</w:t>
      </w:r>
      <w:proofErr w:type="spellEnd"/>
      <w:r w:rsidR="00374147" w:rsidRPr="00CE52BD">
        <w:rPr>
          <w:rFonts w:eastAsia="Times New Roman" w:cs="Arial"/>
          <w:b/>
          <w:szCs w:val="24"/>
          <w:lang w:val="es-ES" w:eastAsia="es-ES"/>
        </w:rPr>
        <w:t>)</w:t>
      </w:r>
      <w:r w:rsidR="00374147" w:rsidRPr="00CE52BD">
        <w:rPr>
          <w:rFonts w:eastAsia="Times New Roman" w:cs="Arial"/>
          <w:szCs w:val="24"/>
          <w:lang w:val="es-ES" w:eastAsia="es-ES"/>
        </w:rPr>
        <w:t xml:space="preserve">, </w:t>
      </w:r>
      <w:r w:rsidR="00374147">
        <w:rPr>
          <w:rFonts w:eastAsia="Times New Roman" w:cs="Arial"/>
          <w:szCs w:val="24"/>
          <w:lang w:val="es-ES" w:eastAsia="es-ES"/>
        </w:rPr>
        <w:t xml:space="preserve">en versión pública, </w:t>
      </w:r>
      <w:r w:rsidR="00374147" w:rsidRPr="00CE52BD">
        <w:rPr>
          <w:rFonts w:eastAsia="Times New Roman" w:cs="Arial"/>
          <w:szCs w:val="24"/>
          <w:lang w:val="es-ES" w:eastAsia="es-ES"/>
        </w:rPr>
        <w:t>de lo siguiente:</w:t>
      </w:r>
    </w:p>
    <w:p w14:paraId="4EF2EF05" w14:textId="77777777" w:rsidR="00302E09" w:rsidRPr="00BB7F90" w:rsidRDefault="00302E09" w:rsidP="009B73BE">
      <w:pPr>
        <w:pBdr>
          <w:top w:val="nil"/>
          <w:left w:val="nil"/>
          <w:bottom w:val="nil"/>
          <w:right w:val="nil"/>
          <w:between w:val="nil"/>
        </w:pBdr>
        <w:rPr>
          <w:rFonts w:eastAsia="Palatino Linotype" w:cs="Palatino Linotype"/>
          <w:color w:val="000000"/>
          <w:szCs w:val="24"/>
        </w:rPr>
      </w:pPr>
    </w:p>
    <w:p w14:paraId="2442487C" w14:textId="407FFB4E" w:rsidR="009B73BE" w:rsidRPr="00374147" w:rsidRDefault="00A346B2" w:rsidP="00374147">
      <w:pPr>
        <w:pStyle w:val="Prrafodelista"/>
        <w:numPr>
          <w:ilvl w:val="0"/>
          <w:numId w:val="49"/>
        </w:numPr>
        <w:pBdr>
          <w:top w:val="nil"/>
          <w:left w:val="nil"/>
          <w:bottom w:val="nil"/>
          <w:right w:val="nil"/>
          <w:between w:val="nil"/>
        </w:pBdr>
        <w:rPr>
          <w:rFonts w:eastAsia="Palatino Linotype" w:cs="Palatino Linotype"/>
          <w:iCs/>
          <w:color w:val="000000"/>
        </w:rPr>
      </w:pPr>
      <w:r w:rsidRPr="00374147">
        <w:rPr>
          <w:rFonts w:eastAsia="Palatino Linotype" w:cs="Palatino Linotype"/>
          <w:iCs/>
          <w:color w:val="000000"/>
          <w:lang w:val="es-ES_tradnl"/>
        </w:rPr>
        <w:t xml:space="preserve">Los </w:t>
      </w:r>
      <w:r w:rsidR="00B35D64" w:rsidRPr="00374147">
        <w:rPr>
          <w:rFonts w:eastAsia="Palatino Linotype" w:cs="Palatino Linotype"/>
          <w:iCs/>
          <w:color w:val="000000"/>
          <w:lang w:val="es-ES_tradnl"/>
        </w:rPr>
        <w:t xml:space="preserve">oficios </w:t>
      </w:r>
      <w:r w:rsidR="003443A5" w:rsidRPr="00374147">
        <w:rPr>
          <w:rFonts w:eastAsia="Palatino Linotype" w:cs="Palatino Linotype"/>
          <w:iCs/>
          <w:color w:val="000000"/>
          <w:lang w:val="es-ES_tradnl"/>
        </w:rPr>
        <w:t xml:space="preserve">firmados por la Contraloría del periodo comprendido del 01 de enero al </w:t>
      </w:r>
      <w:r w:rsidR="00374147" w:rsidRPr="00374147">
        <w:rPr>
          <w:rFonts w:eastAsia="Palatino Linotype" w:cs="Palatino Linotype"/>
          <w:iCs/>
          <w:color w:val="000000"/>
          <w:lang w:val="es-ES_tradnl"/>
        </w:rPr>
        <w:t>diecisiete de febrero de dos mil veinticinco</w:t>
      </w:r>
      <w:r w:rsidR="001103D3">
        <w:rPr>
          <w:rFonts w:eastAsia="Palatino Linotype" w:cs="Palatino Linotype"/>
          <w:iCs/>
          <w:color w:val="000000"/>
        </w:rPr>
        <w:t xml:space="preserve">, referidos mediante respuesta. </w:t>
      </w:r>
    </w:p>
    <w:p w14:paraId="1DE38116" w14:textId="77777777" w:rsidR="009B73BE" w:rsidRPr="00637878" w:rsidRDefault="009B73BE" w:rsidP="009B73BE">
      <w:pPr>
        <w:pStyle w:val="NormalINFOEM"/>
      </w:pPr>
    </w:p>
    <w:p w14:paraId="3BDBD9C5" w14:textId="23D25C49" w:rsidR="009B73BE" w:rsidRPr="00374147" w:rsidRDefault="00A346B2" w:rsidP="001A71C1">
      <w:pPr>
        <w:pStyle w:val="NormalINFOEM"/>
        <w:ind w:left="567" w:right="567"/>
        <w:rPr>
          <w:i/>
          <w:szCs w:val="24"/>
        </w:rPr>
      </w:pPr>
      <w:r w:rsidRPr="00374147">
        <w:rPr>
          <w:i/>
          <w:szCs w:val="24"/>
        </w:rPr>
        <w:t>C</w:t>
      </w:r>
      <w:r w:rsidR="009B73BE" w:rsidRPr="00374147">
        <w:rPr>
          <w:i/>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sidRPr="00374147">
        <w:rPr>
          <w:i/>
          <w:szCs w:val="24"/>
        </w:rPr>
        <w:t xml:space="preserve">ga a disposición </w:t>
      </w:r>
      <w:r w:rsidR="00B35D64" w:rsidRPr="00374147">
        <w:rPr>
          <w:i/>
          <w:szCs w:val="24"/>
        </w:rPr>
        <w:t>de</w:t>
      </w:r>
      <w:r w:rsidR="00B644AA" w:rsidRPr="00374147">
        <w:rPr>
          <w:i/>
          <w:szCs w:val="24"/>
        </w:rPr>
        <w:t>l Recurrente</w:t>
      </w:r>
      <w:r w:rsidRPr="00374147">
        <w:rPr>
          <w:i/>
          <w:szCs w:val="24"/>
        </w:rPr>
        <w:t>, así como de los datos que se testaron en los oficios remitidos en respuesta a la solicitud de información.</w:t>
      </w:r>
    </w:p>
    <w:p w14:paraId="5153C695" w14:textId="77777777" w:rsidR="00B35D64" w:rsidRPr="00B667E3" w:rsidRDefault="00B35D64"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w:t>
      </w:r>
      <w:proofErr w:type="spellStart"/>
      <w:r w:rsidRPr="00325BCB">
        <w:rPr>
          <w:rFonts w:eastAsia="Palatino Linotype" w:cs="Palatino Linotype"/>
          <w:color w:val="000000"/>
          <w:szCs w:val="24"/>
        </w:rPr>
        <w:t>SAIMEX</w:t>
      </w:r>
      <w:proofErr w:type="spellEnd"/>
      <w:r w:rsidRPr="00325BCB">
        <w:rPr>
          <w:rFonts w:eastAsia="Palatino Linotype" w:cs="Palatino Linotype"/>
          <w:color w:val="000000"/>
          <w:szCs w:val="24"/>
        </w:rPr>
        <w:t>)</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325BCB">
        <w:rPr>
          <w:rFonts w:eastAsia="Palatino Linotype" w:cs="Palatino Linotype"/>
          <w:color w:val="000000"/>
          <w:szCs w:val="24"/>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6D89DE1D" w:rsidR="009B73BE" w:rsidRPr="00BA5315" w:rsidRDefault="003F322B" w:rsidP="009B73BE">
      <w:pPr>
        <w:pBdr>
          <w:top w:val="nil"/>
          <w:left w:val="nil"/>
          <w:bottom w:val="nil"/>
          <w:right w:val="nil"/>
          <w:between w:val="nil"/>
        </w:pBdr>
        <w:rPr>
          <w:rFonts w:eastAsia="Palatino Linotype" w:cs="Palatino Linotype"/>
          <w:color w:val="000000"/>
          <w:szCs w:val="24"/>
        </w:rPr>
      </w:pPr>
      <w:r>
        <w:rPr>
          <w:rFonts w:eastAsia="Palatino Linotype" w:cs="Palatino Linotype"/>
          <w:b/>
          <w:noProof/>
          <w:color w:val="000000"/>
          <w:szCs w:val="24"/>
          <w:lang w:val="es-MX"/>
        </w:rPr>
        <mc:AlternateContent>
          <mc:Choice Requires="wps">
            <w:drawing>
              <wp:anchor distT="0" distB="0" distL="114300" distR="114300" simplePos="0" relativeHeight="251659264" behindDoc="0" locked="0" layoutInCell="1" allowOverlap="1" wp14:anchorId="5D1AECAE" wp14:editId="372FF238">
                <wp:simplePos x="0" y="0"/>
                <wp:positionH relativeFrom="column">
                  <wp:posOffset>-7620</wp:posOffset>
                </wp:positionH>
                <wp:positionV relativeFrom="paragraph">
                  <wp:posOffset>1782444</wp:posOffset>
                </wp:positionV>
                <wp:extent cx="5886450" cy="2886075"/>
                <wp:effectExtent l="0" t="0" r="19050" b="28575"/>
                <wp:wrapNone/>
                <wp:docPr id="963350046" name="Conector recto 1"/>
                <wp:cNvGraphicFramePr/>
                <a:graphic xmlns:a="http://schemas.openxmlformats.org/drawingml/2006/main">
                  <a:graphicData uri="http://schemas.microsoft.com/office/word/2010/wordprocessingShape">
                    <wps:wsp>
                      <wps:cNvCnPr/>
                      <wps:spPr>
                        <a:xfrm>
                          <a:off x="0" y="0"/>
                          <a:ext cx="5886450" cy="2886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8A0A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40.35pt" to="462.9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" strokecolor="#5b9bd5 [3204]" strokeweight=".5pt">
                <v:stroke joinstyle="miter"/>
              </v:line>
            </w:pict>
          </mc:Fallback>
        </mc:AlternateContent>
      </w:r>
      <w:r w:rsidR="009B73BE" w:rsidRPr="00BA5315">
        <w:rPr>
          <w:rFonts w:eastAsia="Palatino Linotype" w:cs="Palatino Linotype"/>
          <w:b/>
          <w:color w:val="000000"/>
          <w:szCs w:val="24"/>
        </w:rPr>
        <w:t xml:space="preserve">QUINTO. Notifíquese </w:t>
      </w:r>
      <w:r w:rsidR="009B73BE" w:rsidRPr="00BA5315">
        <w:rPr>
          <w:rFonts w:eastAsia="Palatino Linotype" w:cs="Palatino Linotype"/>
          <w:color w:val="000000"/>
          <w:szCs w:val="24"/>
        </w:rPr>
        <w:t>la presente resolución a</w:t>
      </w:r>
      <w:r w:rsidR="00647CB5">
        <w:rPr>
          <w:rFonts w:eastAsia="Palatino Linotype" w:cs="Palatino Linotype"/>
          <w:color w:val="000000"/>
          <w:szCs w:val="24"/>
        </w:rPr>
        <w:t xml:space="preserve"> </w:t>
      </w:r>
      <w:r w:rsidR="00B644AA">
        <w:rPr>
          <w:rFonts w:eastAsia="Palatino Linotype" w:cs="Palatino Linotype"/>
          <w:color w:val="000000"/>
          <w:szCs w:val="24"/>
        </w:rPr>
        <w:t>el Recurrente</w:t>
      </w:r>
      <w:r w:rsidR="009B73BE" w:rsidRPr="00BA5315">
        <w:rPr>
          <w:rFonts w:eastAsia="Palatino Linotype" w:cs="Palatino Linotype"/>
          <w:color w:val="000000"/>
          <w:szCs w:val="24"/>
        </w:rPr>
        <w:t xml:space="preserve"> mediante el Sistema de Acceso a la Información Mexiquense (</w:t>
      </w:r>
      <w:proofErr w:type="spellStart"/>
      <w:r w:rsidR="009B73BE" w:rsidRPr="00BA5315">
        <w:rPr>
          <w:rFonts w:eastAsia="Palatino Linotype" w:cs="Palatino Linotype"/>
          <w:color w:val="000000"/>
          <w:szCs w:val="24"/>
        </w:rPr>
        <w:t>SAIMEX</w:t>
      </w:r>
      <w:proofErr w:type="spellEnd"/>
      <w:r w:rsidR="009B73BE" w:rsidRPr="00BA5315">
        <w:rPr>
          <w:rFonts w:eastAsia="Palatino Linotype" w:cs="Palatino Linotype"/>
          <w:color w:val="000000"/>
          <w:szCs w:val="24"/>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12E5F671" w14:textId="77777777" w:rsidR="003F322B" w:rsidRDefault="003F322B" w:rsidP="008F50E6">
      <w:pPr>
        <w:rPr>
          <w:szCs w:val="24"/>
        </w:rPr>
      </w:pPr>
    </w:p>
    <w:p w14:paraId="00AFFD25" w14:textId="77777777" w:rsidR="003F322B" w:rsidRDefault="003F322B" w:rsidP="008F50E6">
      <w:pPr>
        <w:rPr>
          <w:szCs w:val="24"/>
        </w:rPr>
      </w:pPr>
    </w:p>
    <w:p w14:paraId="5EDBEC7C" w14:textId="77777777" w:rsidR="003F322B" w:rsidRDefault="003F322B" w:rsidP="008F50E6">
      <w:pPr>
        <w:rPr>
          <w:szCs w:val="24"/>
        </w:rPr>
      </w:pPr>
    </w:p>
    <w:p w14:paraId="0F3FF0D3" w14:textId="77777777" w:rsidR="003F322B" w:rsidRDefault="003F322B" w:rsidP="008F50E6">
      <w:pPr>
        <w:rPr>
          <w:szCs w:val="24"/>
        </w:rPr>
      </w:pPr>
    </w:p>
    <w:p w14:paraId="4DA3A7AD" w14:textId="77777777" w:rsidR="003F322B" w:rsidRDefault="003F322B" w:rsidP="008F50E6">
      <w:pPr>
        <w:rPr>
          <w:szCs w:val="24"/>
        </w:rPr>
      </w:pPr>
    </w:p>
    <w:p w14:paraId="18D7D0B8" w14:textId="77777777" w:rsidR="003F322B" w:rsidRDefault="003F322B" w:rsidP="008F50E6">
      <w:pPr>
        <w:rPr>
          <w:szCs w:val="24"/>
        </w:rPr>
      </w:pPr>
    </w:p>
    <w:p w14:paraId="794917A6" w14:textId="77777777" w:rsidR="003F322B" w:rsidRDefault="003F322B" w:rsidP="008F50E6">
      <w:pPr>
        <w:rPr>
          <w:szCs w:val="24"/>
        </w:rPr>
      </w:pPr>
    </w:p>
    <w:p w14:paraId="20573BFF" w14:textId="0995D264"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lastRenderedPageBreak/>
        <w:t>ASÍ LO RESUELVE</w:t>
      </w:r>
      <w:r w:rsidR="00247FE8" w:rsidRPr="0085493E">
        <w:rPr>
          <w:rFonts w:eastAsia="Palatino Linotype" w:cs="Palatino Linotype"/>
          <w:color w:val="000000"/>
          <w:szCs w:val="24"/>
        </w:rPr>
        <w:t xml:space="preserve"> POR </w:t>
      </w:r>
      <w:r w:rsidR="003F322B">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3F322B">
        <w:rPr>
          <w:rFonts w:eastAsia="Palatino Linotype" w:cs="Palatino Linotype"/>
          <w:color w:val="000000"/>
          <w:szCs w:val="24"/>
        </w:rPr>
        <w:t>TRIGÉSIMA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3F322B">
        <w:rPr>
          <w:rFonts w:eastAsia="Palatino Linotype" w:cs="Palatino Linotype"/>
          <w:color w:val="000000"/>
          <w:szCs w:val="24"/>
        </w:rPr>
        <w:t>VEINTISIETE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A346B2">
        <w:rPr>
          <w:rFonts w:eastAsia="Palatino Linotype" w:cs="Palatino Linotype"/>
          <w:color w:val="000000"/>
          <w:szCs w:val="24"/>
        </w:rPr>
        <w:t>--</w:t>
      </w:r>
      <w:r w:rsidR="00C70160">
        <w:rPr>
          <w:rFonts w:eastAsia="Palatino Linotype" w:cs="Palatino Linotype"/>
          <w:color w:val="000000"/>
          <w:szCs w:val="24"/>
        </w:rPr>
        <w:t>-----------------------------------------------------------------------------------------------------------------------------------------------------------------------------------------------------------------------------------------------------------------------------------------------------------------------------------------------------------------------------------------------------------------------------------------------------------------------------------------------------------------------------------------------------------------------------</w:t>
      </w:r>
      <w:r w:rsidR="003F322B" w:rsidRPr="003F322B">
        <w:rPr>
          <w:rFonts w:eastAsia="Palatino Linotype" w:cs="Palatino Linotype"/>
          <w:color w:val="000000"/>
          <w:szCs w:val="24"/>
        </w:rPr>
        <w:t xml:space="preserve"> </w:t>
      </w:r>
      <w:r w:rsidR="003F322B">
        <w:rPr>
          <w:rFonts w:eastAsia="Palatino Linotype" w:cs="Palatino Linotype"/>
          <w:color w:val="000000"/>
          <w:szCs w:val="24"/>
        </w:rPr>
        <w:t>---------------------------------------------------------------------------------------------------------------------------------------------------------------------------------------------------------------------------------------------------------------------------------------------------------------------------------------------------------------------------------------------------------------------------------------------------------------------------------------------------------------------------------------------------------------------------------------------------------------------------------------------------------------------------------------------------------------------------------------------------------------------------------------------------------------------------------------------------</w:t>
      </w:r>
    </w:p>
    <w:p w14:paraId="4DA57669" w14:textId="7D586726"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proofErr w:type="spellStart"/>
      <w:r w:rsidRPr="44E9108F">
        <w:rPr>
          <w:rFonts w:eastAsia="Palatino Linotype" w:cs="Palatino Linotype"/>
          <w:color w:val="000000" w:themeColor="text1"/>
          <w:sz w:val="20"/>
          <w:szCs w:val="20"/>
          <w:lang w:val="es-ES"/>
        </w:rPr>
        <w:t>JMV</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CCR</w:t>
      </w:r>
      <w:proofErr w:type="spellEnd"/>
      <w:r w:rsidRPr="44E9108F">
        <w:rPr>
          <w:rFonts w:eastAsia="Palatino Linotype" w:cs="Palatino Linotype"/>
          <w:color w:val="000000" w:themeColor="text1"/>
          <w:sz w:val="20"/>
          <w:szCs w:val="20"/>
          <w:lang w:val="es-ES"/>
        </w:rPr>
        <w:t>/</w:t>
      </w:r>
    </w:p>
    <w:p w14:paraId="5FBC6CA4" w14:textId="77777777" w:rsidR="00A970D5" w:rsidRDefault="00A970D5" w:rsidP="001E2ECC">
      <w:pPr>
        <w:pBdr>
          <w:top w:val="nil"/>
          <w:left w:val="nil"/>
          <w:bottom w:val="nil"/>
          <w:right w:val="nil"/>
          <w:between w:val="nil"/>
        </w:pBdr>
        <w:contextualSpacing/>
        <w:rPr>
          <w:rFonts w:eastAsia="Palatino Linotype" w:cs="Palatino Linotype"/>
          <w:color w:val="000000"/>
          <w:sz w:val="20"/>
          <w:szCs w:val="20"/>
        </w:rPr>
      </w:pPr>
    </w:p>
    <w:p w14:paraId="42FE67FB" w14:textId="77777777" w:rsidR="00E1635F" w:rsidRDefault="00E1635F" w:rsidP="001E2ECC">
      <w:pPr>
        <w:pBdr>
          <w:top w:val="nil"/>
          <w:left w:val="nil"/>
          <w:bottom w:val="nil"/>
          <w:right w:val="nil"/>
          <w:between w:val="nil"/>
        </w:pBdr>
        <w:contextualSpacing/>
        <w:rPr>
          <w:rFonts w:eastAsia="Palatino Linotype" w:cs="Palatino Linotype"/>
          <w:color w:val="000000"/>
          <w:sz w:val="20"/>
          <w:szCs w:val="20"/>
        </w:rPr>
      </w:pPr>
    </w:p>
    <w:p w14:paraId="34E7EDCA" w14:textId="77777777" w:rsidR="00E1635F" w:rsidRDefault="00E1635F" w:rsidP="001E2ECC">
      <w:pPr>
        <w:pBdr>
          <w:top w:val="nil"/>
          <w:left w:val="nil"/>
          <w:bottom w:val="nil"/>
          <w:right w:val="nil"/>
          <w:between w:val="nil"/>
        </w:pBdr>
        <w:contextualSpacing/>
        <w:rPr>
          <w:rFonts w:eastAsia="Palatino Linotype" w:cs="Palatino Linotype"/>
          <w:color w:val="000000"/>
          <w:sz w:val="20"/>
          <w:szCs w:val="20"/>
        </w:rPr>
      </w:pPr>
    </w:p>
    <w:p w14:paraId="409A1D8C" w14:textId="77777777" w:rsidR="00E1635F" w:rsidRDefault="00E1635F" w:rsidP="001E2ECC">
      <w:pPr>
        <w:pBdr>
          <w:top w:val="nil"/>
          <w:left w:val="nil"/>
          <w:bottom w:val="nil"/>
          <w:right w:val="nil"/>
          <w:between w:val="nil"/>
        </w:pBdr>
        <w:contextualSpacing/>
        <w:rPr>
          <w:rFonts w:eastAsia="Palatino Linotype" w:cs="Palatino Linotype"/>
          <w:color w:val="000000"/>
          <w:sz w:val="20"/>
          <w:szCs w:val="20"/>
        </w:rPr>
      </w:pPr>
    </w:p>
    <w:p w14:paraId="736C626B" w14:textId="77777777" w:rsidR="00E1635F" w:rsidRDefault="00E1635F" w:rsidP="001E2ECC">
      <w:pPr>
        <w:pBdr>
          <w:top w:val="nil"/>
          <w:left w:val="nil"/>
          <w:bottom w:val="nil"/>
          <w:right w:val="nil"/>
          <w:between w:val="nil"/>
        </w:pBdr>
        <w:contextualSpacing/>
        <w:rPr>
          <w:rFonts w:eastAsia="Palatino Linotype" w:cs="Palatino Linotype"/>
          <w:color w:val="000000"/>
          <w:sz w:val="20"/>
          <w:szCs w:val="20"/>
        </w:rPr>
      </w:pPr>
    </w:p>
    <w:p w14:paraId="2008858E" w14:textId="77777777" w:rsidR="00E1635F" w:rsidRPr="004B7011" w:rsidRDefault="00E1635F"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81C3" w14:textId="77777777" w:rsidR="004B0BB8" w:rsidRDefault="004B0BB8" w:rsidP="00F2498E">
      <w:pPr>
        <w:spacing w:line="240" w:lineRule="auto"/>
      </w:pPr>
      <w:r>
        <w:separator/>
      </w:r>
    </w:p>
  </w:endnote>
  <w:endnote w:type="continuationSeparator" w:id="0">
    <w:p w14:paraId="568DCEA5" w14:textId="77777777" w:rsidR="004B0BB8" w:rsidRDefault="004B0BB8" w:rsidP="00F2498E">
      <w:pPr>
        <w:spacing w:line="240" w:lineRule="auto"/>
      </w:pPr>
      <w:r>
        <w:continuationSeparator/>
      </w:r>
    </w:p>
  </w:endnote>
  <w:endnote w:type="continuationNotice" w:id="1">
    <w:p w14:paraId="6374B64F" w14:textId="77777777" w:rsidR="004B0BB8" w:rsidRDefault="004B0B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4E6" w14:textId="087E7F46" w:rsidR="003443A5" w:rsidRPr="00871A91" w:rsidRDefault="003443A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237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2370">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FE6" w14:textId="5CE69281" w:rsidR="003443A5" w:rsidRPr="00871A91" w:rsidRDefault="003443A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237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2370">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8765" w14:textId="77777777" w:rsidR="004B0BB8" w:rsidRDefault="004B0BB8" w:rsidP="00F2498E">
      <w:pPr>
        <w:spacing w:line="240" w:lineRule="auto"/>
      </w:pPr>
      <w:r>
        <w:separator/>
      </w:r>
    </w:p>
  </w:footnote>
  <w:footnote w:type="continuationSeparator" w:id="0">
    <w:p w14:paraId="072C64FE" w14:textId="77777777" w:rsidR="004B0BB8" w:rsidRDefault="004B0BB8" w:rsidP="00F2498E">
      <w:pPr>
        <w:spacing w:line="240" w:lineRule="auto"/>
      </w:pPr>
      <w:r>
        <w:continuationSeparator/>
      </w:r>
    </w:p>
  </w:footnote>
  <w:footnote w:type="continuationNotice" w:id="1">
    <w:p w14:paraId="0A156899" w14:textId="77777777" w:rsidR="004B0BB8" w:rsidRDefault="004B0BB8">
      <w:pPr>
        <w:spacing w:line="240" w:lineRule="auto"/>
      </w:pPr>
    </w:p>
  </w:footnote>
  <w:footnote w:id="2">
    <w:p w14:paraId="2BCE50A0" w14:textId="77777777" w:rsidR="003443A5" w:rsidRPr="0031280C" w:rsidRDefault="003443A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 xml:space="preserve">Estudio oficioso o a petición de parte que no son incompatibles con el derecho de acceso a la justicia, ya que éste no se coarta por regular causas de improcedencia y sobreseimiento con tales fines, sirviendo de sustento la tesis aislada </w:t>
      </w:r>
      <w:proofErr w:type="spellStart"/>
      <w:r w:rsidRPr="0031280C">
        <w:rPr>
          <w:rFonts w:eastAsia="Palatino Linotype" w:cs="Palatino Linotype"/>
          <w:color w:val="000000"/>
          <w:sz w:val="20"/>
          <w:szCs w:val="20"/>
        </w:rPr>
        <w:t>XVI.1o.A.T.2</w:t>
      </w:r>
      <w:proofErr w:type="spellEnd"/>
      <w:r w:rsidRPr="0031280C">
        <w:rPr>
          <w:rFonts w:eastAsia="Palatino Linotype" w:cs="Palatino Linotype"/>
          <w:color w:val="000000"/>
          <w:sz w:val="20"/>
          <w:szCs w:val="20"/>
        </w:rPr>
        <w:t xml:space="preserve"> K visible en el Semanario Judicial de la Federación bajo el número de registro 2000365 cuyo rubro y texto estipula lo siguiente:</w:t>
      </w:r>
    </w:p>
    <w:p w14:paraId="24F7C698" w14:textId="77777777" w:rsidR="003443A5" w:rsidRPr="0031280C" w:rsidRDefault="003443A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3443A5" w:rsidRPr="0031280C" w:rsidRDefault="003443A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3443A5" w:rsidRPr="0031280C" w:rsidRDefault="003443A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3914B2A" w14:textId="77777777" w:rsidR="003443A5" w:rsidRDefault="003443A5" w:rsidP="003443A5">
      <w:pPr>
        <w:pStyle w:val="Textonotapie"/>
      </w:pPr>
      <w:r>
        <w:rPr>
          <w:rStyle w:val="Refdenotaalpie"/>
        </w:rPr>
        <w:footnoteRef/>
      </w:r>
      <w:r>
        <w:t xml:space="preserve"> </w:t>
      </w:r>
      <w:r w:rsidRPr="00EF7063">
        <w:rPr>
          <w:b/>
        </w:rPr>
        <w:t>Artículo 18.</w:t>
      </w:r>
      <w:r w:rsidRPr="00EF7063">
        <w:t xml:space="preserve"> Los sujetos obligados deberán documentar todo acto que derive del ejercicio de sus facultades, competencias o funciones, considerando desde su origen la eventual publicidad y reutilización de la información que generen. </w:t>
      </w:r>
    </w:p>
    <w:p w14:paraId="27FD7D93" w14:textId="77777777" w:rsidR="003443A5" w:rsidRDefault="003443A5" w:rsidP="003443A5">
      <w:pPr>
        <w:pStyle w:val="Textonotapie"/>
      </w:pPr>
    </w:p>
    <w:p w14:paraId="42C738DC" w14:textId="77777777" w:rsidR="003443A5" w:rsidRDefault="003443A5" w:rsidP="003443A5">
      <w:pPr>
        <w:pStyle w:val="Textonotapie"/>
      </w:pPr>
      <w:r w:rsidRPr="00EF7063">
        <w:rPr>
          <w:b/>
        </w:rPr>
        <w:t>Artículo 19.</w:t>
      </w:r>
      <w:r w:rsidRPr="00EF7063">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FDD1C32" w14:textId="77777777" w:rsidR="003443A5" w:rsidRPr="00EF7063" w:rsidRDefault="003443A5" w:rsidP="003443A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3443A5" w:rsidRDefault="0000000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387"/>
      <w:gridCol w:w="4111"/>
    </w:tblGrid>
    <w:tr w:rsidR="003443A5" w:rsidRPr="00B17577" w14:paraId="37B9EBDE" w14:textId="77777777" w:rsidTr="00B644AA">
      <w:trPr>
        <w:trHeight w:val="227"/>
      </w:trPr>
      <w:tc>
        <w:tcPr>
          <w:tcW w:w="5387" w:type="dxa"/>
          <w:hideMark/>
        </w:tcPr>
        <w:p w14:paraId="4964FBC5" w14:textId="54CDA645" w:rsidR="003443A5" w:rsidRPr="00096248" w:rsidRDefault="003443A5"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378FA34" w:rsidR="003443A5" w:rsidRPr="00096248" w:rsidRDefault="003443A5" w:rsidP="00BF6DF2">
          <w:pPr>
            <w:spacing w:after="120" w:line="240" w:lineRule="auto"/>
            <w:ind w:right="71"/>
            <w:jc w:val="right"/>
            <w:rPr>
              <w:rFonts w:cs="Arial"/>
              <w:b/>
              <w:szCs w:val="24"/>
            </w:rPr>
          </w:pPr>
          <w:r>
            <w:rPr>
              <w:rFonts w:cs="Arial"/>
              <w:b/>
              <w:bCs/>
              <w:szCs w:val="24"/>
            </w:rPr>
            <w:t>03130/</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3443A5" w14:paraId="7591D3C9" w14:textId="77777777" w:rsidTr="00B644AA">
      <w:trPr>
        <w:trHeight w:val="242"/>
      </w:trPr>
      <w:tc>
        <w:tcPr>
          <w:tcW w:w="5387" w:type="dxa"/>
          <w:hideMark/>
        </w:tcPr>
        <w:p w14:paraId="729A65A8" w14:textId="77777777" w:rsidR="003443A5" w:rsidRPr="00096248" w:rsidRDefault="003443A5"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283DE4A2" w:rsidR="003443A5" w:rsidRPr="00BF6DF2" w:rsidRDefault="003443A5" w:rsidP="00011C4D">
          <w:pPr>
            <w:spacing w:after="120" w:line="240" w:lineRule="auto"/>
            <w:ind w:left="-81" w:right="71"/>
            <w:jc w:val="right"/>
            <w:rPr>
              <w:rFonts w:cs="Arial"/>
              <w:b/>
              <w:szCs w:val="24"/>
            </w:rPr>
          </w:pPr>
          <w:r w:rsidRPr="00BF6DF2">
            <w:rPr>
              <w:rFonts w:cs="Arial"/>
              <w:b/>
              <w:szCs w:val="24"/>
            </w:rPr>
            <w:t>Ayuntamiento de Toluca</w:t>
          </w:r>
        </w:p>
      </w:tc>
    </w:tr>
    <w:tr w:rsidR="003443A5" w:rsidRPr="00F63239" w14:paraId="037E914D" w14:textId="77777777" w:rsidTr="00B644AA">
      <w:trPr>
        <w:trHeight w:val="342"/>
      </w:trPr>
      <w:tc>
        <w:tcPr>
          <w:tcW w:w="5387" w:type="dxa"/>
          <w:hideMark/>
        </w:tcPr>
        <w:p w14:paraId="7676B68F" w14:textId="64D69EAF" w:rsidR="003443A5" w:rsidRPr="00096248" w:rsidRDefault="003443A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3443A5" w:rsidRPr="00BF6DF2" w:rsidRDefault="003443A5" w:rsidP="00011C4D">
          <w:pPr>
            <w:spacing w:after="120" w:line="240" w:lineRule="auto"/>
            <w:ind w:left="-486" w:right="71" w:firstLine="567"/>
            <w:jc w:val="right"/>
            <w:rPr>
              <w:rFonts w:cs="Arial"/>
              <w:b/>
              <w:szCs w:val="24"/>
            </w:rPr>
          </w:pPr>
          <w:r w:rsidRPr="00BF6DF2">
            <w:rPr>
              <w:rFonts w:cs="Arial"/>
              <w:b/>
              <w:szCs w:val="24"/>
            </w:rPr>
            <w:t>José Martínez Vilchis</w:t>
          </w:r>
        </w:p>
        <w:p w14:paraId="4346858F" w14:textId="5DD8E345" w:rsidR="003443A5" w:rsidRPr="00BF6DF2" w:rsidRDefault="003443A5" w:rsidP="00011C4D">
          <w:pPr>
            <w:spacing w:after="120" w:line="240" w:lineRule="auto"/>
            <w:ind w:left="-486" w:right="71" w:firstLine="567"/>
            <w:jc w:val="right"/>
            <w:rPr>
              <w:rFonts w:cs="Arial"/>
              <w:b/>
              <w:sz w:val="2"/>
              <w:szCs w:val="2"/>
            </w:rPr>
          </w:pPr>
        </w:p>
      </w:tc>
    </w:tr>
  </w:tbl>
  <w:p w14:paraId="2998DBFD" w14:textId="77E54897" w:rsidR="003443A5" w:rsidRPr="00871A91" w:rsidRDefault="0000000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3.45pt;margin-top:-144.4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3443A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387"/>
      <w:gridCol w:w="4111"/>
    </w:tblGrid>
    <w:tr w:rsidR="003443A5" w14:paraId="0F9FE9B6" w14:textId="77777777" w:rsidTr="00B644AA">
      <w:trPr>
        <w:trHeight w:val="227"/>
      </w:trPr>
      <w:tc>
        <w:tcPr>
          <w:tcW w:w="5387" w:type="dxa"/>
          <w:hideMark/>
        </w:tcPr>
        <w:p w14:paraId="6D1D9D71" w14:textId="11150E5A" w:rsidR="003443A5" w:rsidRPr="00663A37" w:rsidRDefault="003443A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EF15581" w:rsidR="003443A5" w:rsidRPr="00C81ECD" w:rsidRDefault="003443A5" w:rsidP="00011C4D">
          <w:pPr>
            <w:spacing w:after="120" w:line="240" w:lineRule="auto"/>
            <w:ind w:left="-486" w:right="68" w:firstLine="558"/>
            <w:jc w:val="right"/>
            <w:rPr>
              <w:rFonts w:cs="Arial"/>
              <w:b/>
              <w:szCs w:val="24"/>
            </w:rPr>
          </w:pPr>
          <w:r>
            <w:rPr>
              <w:rFonts w:cs="Arial"/>
              <w:b/>
              <w:bCs/>
              <w:szCs w:val="24"/>
            </w:rPr>
            <w:t>03130/</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3443A5" w:rsidRPr="001F57CD" w14:paraId="1377D264" w14:textId="77777777" w:rsidTr="00B644AA">
      <w:trPr>
        <w:trHeight w:val="196"/>
      </w:trPr>
      <w:tc>
        <w:tcPr>
          <w:tcW w:w="5387" w:type="dxa"/>
          <w:hideMark/>
        </w:tcPr>
        <w:p w14:paraId="04D597A1" w14:textId="77777777" w:rsidR="003443A5" w:rsidRPr="00663A37" w:rsidRDefault="003443A5"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8E63FC5" w:rsidR="003443A5" w:rsidRPr="00663A37" w:rsidRDefault="00CE5428" w:rsidP="70652167">
          <w:pPr>
            <w:spacing w:after="120" w:line="240" w:lineRule="auto"/>
            <w:ind w:right="68"/>
            <w:jc w:val="right"/>
            <w:rPr>
              <w:rFonts w:cs="Arial"/>
              <w:lang w:val="es-ES"/>
            </w:rPr>
          </w:pPr>
          <w:proofErr w:type="spellStart"/>
          <w:r>
            <w:rPr>
              <w:rFonts w:cs="Arial"/>
              <w:lang w:val="es-ES"/>
            </w:rPr>
            <w:t>XXXX</w:t>
          </w:r>
          <w:proofErr w:type="spellEnd"/>
        </w:p>
      </w:tc>
    </w:tr>
    <w:tr w:rsidR="003443A5" w:rsidRPr="00BF6DF2" w14:paraId="4DC11993" w14:textId="77777777" w:rsidTr="00B644AA">
      <w:trPr>
        <w:trHeight w:val="242"/>
      </w:trPr>
      <w:tc>
        <w:tcPr>
          <w:tcW w:w="5387" w:type="dxa"/>
          <w:hideMark/>
        </w:tcPr>
        <w:p w14:paraId="76CEF1B5" w14:textId="77777777" w:rsidR="003443A5" w:rsidRPr="00663A37" w:rsidRDefault="003443A5"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5E75B14F" w:rsidR="003443A5" w:rsidRPr="00BF6DF2" w:rsidRDefault="003443A5" w:rsidP="00771E23">
          <w:pPr>
            <w:spacing w:after="120" w:line="240" w:lineRule="auto"/>
            <w:ind w:left="-70" w:right="68"/>
            <w:jc w:val="right"/>
            <w:rPr>
              <w:rFonts w:cs="Arial"/>
              <w:b/>
              <w:szCs w:val="24"/>
            </w:rPr>
          </w:pPr>
          <w:r w:rsidRPr="00BF6DF2">
            <w:rPr>
              <w:rFonts w:cs="Arial"/>
              <w:b/>
              <w:szCs w:val="24"/>
            </w:rPr>
            <w:t>Ayuntamiento de Toluca</w:t>
          </w:r>
        </w:p>
      </w:tc>
    </w:tr>
    <w:tr w:rsidR="003443A5" w:rsidRPr="00BF6DF2" w14:paraId="5C2B511D" w14:textId="77777777" w:rsidTr="00B644AA">
      <w:trPr>
        <w:trHeight w:val="342"/>
      </w:trPr>
      <w:tc>
        <w:tcPr>
          <w:tcW w:w="5387" w:type="dxa"/>
          <w:hideMark/>
        </w:tcPr>
        <w:p w14:paraId="03FEF68C" w14:textId="45E91CF4" w:rsidR="003443A5" w:rsidRPr="00663A37" w:rsidRDefault="003443A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3443A5" w:rsidRPr="00BF6DF2" w:rsidRDefault="003443A5" w:rsidP="00011C4D">
          <w:pPr>
            <w:spacing w:after="120" w:line="240" w:lineRule="auto"/>
            <w:ind w:left="-486" w:right="68" w:firstLine="567"/>
            <w:jc w:val="right"/>
            <w:rPr>
              <w:rFonts w:cs="Arial"/>
              <w:b/>
              <w:szCs w:val="24"/>
            </w:rPr>
          </w:pPr>
          <w:r w:rsidRPr="00BF6DF2">
            <w:rPr>
              <w:rFonts w:cs="Arial"/>
              <w:b/>
              <w:szCs w:val="24"/>
            </w:rPr>
            <w:t>José Martínez Vilchis</w:t>
          </w:r>
        </w:p>
      </w:tc>
    </w:tr>
  </w:tbl>
  <w:p w14:paraId="04D3BBA0" w14:textId="47DF2060" w:rsidR="003443A5" w:rsidRPr="00871A91" w:rsidRDefault="0000000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3.25pt;margin-top:-144.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3443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E20829"/>
    <w:multiLevelType w:val="hybridMultilevel"/>
    <w:tmpl w:val="B5BA2542"/>
    <w:lvl w:ilvl="0" w:tplc="E38AAA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1D3F90"/>
    <w:multiLevelType w:val="hybridMultilevel"/>
    <w:tmpl w:val="C460340C"/>
    <w:lvl w:ilvl="0" w:tplc="73C00D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8FD4AD6"/>
    <w:multiLevelType w:val="hybridMultilevel"/>
    <w:tmpl w:val="90349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0956449">
    <w:abstractNumId w:val="35"/>
  </w:num>
  <w:num w:numId="2" w16cid:durableId="400253336">
    <w:abstractNumId w:val="40"/>
  </w:num>
  <w:num w:numId="3" w16cid:durableId="643896452">
    <w:abstractNumId w:val="15"/>
  </w:num>
  <w:num w:numId="4" w16cid:durableId="777219016">
    <w:abstractNumId w:val="54"/>
  </w:num>
  <w:num w:numId="5" w16cid:durableId="836961478">
    <w:abstractNumId w:val="5"/>
  </w:num>
  <w:num w:numId="6" w16cid:durableId="1252352186">
    <w:abstractNumId w:val="45"/>
  </w:num>
  <w:num w:numId="7" w16cid:durableId="1287539951">
    <w:abstractNumId w:val="14"/>
  </w:num>
  <w:num w:numId="8" w16cid:durableId="1647856783">
    <w:abstractNumId w:val="4"/>
  </w:num>
  <w:num w:numId="9" w16cid:durableId="2121141368">
    <w:abstractNumId w:val="23"/>
  </w:num>
  <w:num w:numId="10" w16cid:durableId="842823386">
    <w:abstractNumId w:val="25"/>
  </w:num>
  <w:num w:numId="11" w16cid:durableId="1284775916">
    <w:abstractNumId w:val="59"/>
  </w:num>
  <w:num w:numId="12" w16cid:durableId="1241016581">
    <w:abstractNumId w:val="52"/>
  </w:num>
  <w:num w:numId="13" w16cid:durableId="1387143921">
    <w:abstractNumId w:val="33"/>
  </w:num>
  <w:num w:numId="14" w16cid:durableId="800001894">
    <w:abstractNumId w:val="39"/>
  </w:num>
  <w:num w:numId="15" w16cid:durableId="1851748943">
    <w:abstractNumId w:val="20"/>
  </w:num>
  <w:num w:numId="16" w16cid:durableId="1790777205">
    <w:abstractNumId w:val="31"/>
  </w:num>
  <w:num w:numId="17" w16cid:durableId="1398934428">
    <w:abstractNumId w:val="17"/>
  </w:num>
  <w:num w:numId="18" w16cid:durableId="530805583">
    <w:abstractNumId w:val="8"/>
  </w:num>
  <w:num w:numId="19" w16cid:durableId="2053069175">
    <w:abstractNumId w:val="9"/>
  </w:num>
  <w:num w:numId="20" w16cid:durableId="1143082391">
    <w:abstractNumId w:val="16"/>
  </w:num>
  <w:num w:numId="21" w16cid:durableId="1259096593">
    <w:abstractNumId w:val="27"/>
  </w:num>
  <w:num w:numId="22" w16cid:durableId="2087998555">
    <w:abstractNumId w:val="3"/>
  </w:num>
  <w:num w:numId="23" w16cid:durableId="1834836590">
    <w:abstractNumId w:val="37"/>
  </w:num>
  <w:num w:numId="24" w16cid:durableId="2111925798">
    <w:abstractNumId w:val="44"/>
  </w:num>
  <w:num w:numId="25" w16cid:durableId="1809400958">
    <w:abstractNumId w:val="53"/>
  </w:num>
  <w:num w:numId="26" w16cid:durableId="1405955581">
    <w:abstractNumId w:val="22"/>
  </w:num>
  <w:num w:numId="27" w16cid:durableId="742337420">
    <w:abstractNumId w:val="49"/>
  </w:num>
  <w:num w:numId="28" w16cid:durableId="1032921945">
    <w:abstractNumId w:val="29"/>
  </w:num>
  <w:num w:numId="29" w16cid:durableId="2105564452">
    <w:abstractNumId w:val="26"/>
  </w:num>
  <w:num w:numId="30" w16cid:durableId="844781347">
    <w:abstractNumId w:val="18"/>
  </w:num>
  <w:num w:numId="31" w16cid:durableId="1025061372">
    <w:abstractNumId w:val="38"/>
  </w:num>
  <w:num w:numId="32" w16cid:durableId="199973167">
    <w:abstractNumId w:val="43"/>
  </w:num>
  <w:num w:numId="33" w16cid:durableId="2141412812">
    <w:abstractNumId w:val="6"/>
  </w:num>
  <w:num w:numId="34" w16cid:durableId="2018846717">
    <w:abstractNumId w:val="56"/>
  </w:num>
  <w:num w:numId="35" w16cid:durableId="1850484551">
    <w:abstractNumId w:val="61"/>
  </w:num>
  <w:num w:numId="36" w16cid:durableId="1221791886">
    <w:abstractNumId w:val="51"/>
  </w:num>
  <w:num w:numId="37" w16cid:durableId="717364850">
    <w:abstractNumId w:val="11"/>
  </w:num>
  <w:num w:numId="38" w16cid:durableId="871655498">
    <w:abstractNumId w:val="50"/>
  </w:num>
  <w:num w:numId="39" w16cid:durableId="716048384">
    <w:abstractNumId w:val="12"/>
  </w:num>
  <w:num w:numId="40" w16cid:durableId="2102140865">
    <w:abstractNumId w:val="47"/>
  </w:num>
  <w:num w:numId="41" w16cid:durableId="1572428972">
    <w:abstractNumId w:val="55"/>
  </w:num>
  <w:num w:numId="42" w16cid:durableId="239877485">
    <w:abstractNumId w:val="0"/>
  </w:num>
  <w:num w:numId="43" w16cid:durableId="1475679924">
    <w:abstractNumId w:val="2"/>
  </w:num>
  <w:num w:numId="44" w16cid:durableId="832986363">
    <w:abstractNumId w:val="30"/>
  </w:num>
  <w:num w:numId="45" w16cid:durableId="989867751">
    <w:abstractNumId w:val="21"/>
  </w:num>
  <w:num w:numId="46" w16cid:durableId="1991983851">
    <w:abstractNumId w:val="57"/>
  </w:num>
  <w:num w:numId="47" w16cid:durableId="384569585">
    <w:abstractNumId w:val="28"/>
  </w:num>
  <w:num w:numId="48" w16cid:durableId="108670639">
    <w:abstractNumId w:val="63"/>
  </w:num>
  <w:num w:numId="49" w16cid:durableId="989947154">
    <w:abstractNumId w:val="1"/>
  </w:num>
  <w:num w:numId="50" w16cid:durableId="466168331">
    <w:abstractNumId w:val="13"/>
  </w:num>
  <w:num w:numId="51" w16cid:durableId="130096015">
    <w:abstractNumId w:val="32"/>
  </w:num>
  <w:num w:numId="52" w16cid:durableId="1194731800">
    <w:abstractNumId w:val="48"/>
  </w:num>
  <w:num w:numId="53" w16cid:durableId="1789935600">
    <w:abstractNumId w:val="24"/>
  </w:num>
  <w:num w:numId="54" w16cid:durableId="1294289276">
    <w:abstractNumId w:val="42"/>
  </w:num>
  <w:num w:numId="55" w16cid:durableId="1479691717">
    <w:abstractNumId w:val="41"/>
  </w:num>
  <w:num w:numId="56" w16cid:durableId="1221987985">
    <w:abstractNumId w:val="36"/>
  </w:num>
  <w:num w:numId="57" w16cid:durableId="753166002">
    <w:abstractNumId w:val="7"/>
  </w:num>
  <w:num w:numId="58" w16cid:durableId="544220469">
    <w:abstractNumId w:val="19"/>
  </w:num>
  <w:num w:numId="59" w16cid:durableId="1709257387">
    <w:abstractNumId w:val="10"/>
  </w:num>
  <w:num w:numId="60" w16cid:durableId="1330133225">
    <w:abstractNumId w:val="58"/>
  </w:num>
  <w:num w:numId="61" w16cid:durableId="1935437559">
    <w:abstractNumId w:val="46"/>
  </w:num>
  <w:num w:numId="62" w16cid:durableId="421219660">
    <w:abstractNumId w:val="34"/>
  </w:num>
  <w:num w:numId="63" w16cid:durableId="1260022313">
    <w:abstractNumId w:val="60"/>
  </w:num>
  <w:num w:numId="64" w16cid:durableId="752238432">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BEE"/>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4ED3"/>
    <w:rsid w:val="00025560"/>
    <w:rsid w:val="00025773"/>
    <w:rsid w:val="000264FC"/>
    <w:rsid w:val="00026582"/>
    <w:rsid w:val="00026CB5"/>
    <w:rsid w:val="000273A1"/>
    <w:rsid w:val="00027DA8"/>
    <w:rsid w:val="00030396"/>
    <w:rsid w:val="00030AB0"/>
    <w:rsid w:val="00031078"/>
    <w:rsid w:val="00031BA3"/>
    <w:rsid w:val="000325A7"/>
    <w:rsid w:val="00032686"/>
    <w:rsid w:val="0003268C"/>
    <w:rsid w:val="0003292D"/>
    <w:rsid w:val="00032C99"/>
    <w:rsid w:val="00032CFE"/>
    <w:rsid w:val="00032E88"/>
    <w:rsid w:val="00032FBE"/>
    <w:rsid w:val="00033089"/>
    <w:rsid w:val="00033336"/>
    <w:rsid w:val="00033479"/>
    <w:rsid w:val="00033562"/>
    <w:rsid w:val="000343A2"/>
    <w:rsid w:val="00034965"/>
    <w:rsid w:val="00034CDB"/>
    <w:rsid w:val="0003521B"/>
    <w:rsid w:val="0003577D"/>
    <w:rsid w:val="00035A30"/>
    <w:rsid w:val="00035BB2"/>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125"/>
    <w:rsid w:val="00046717"/>
    <w:rsid w:val="00046A15"/>
    <w:rsid w:val="00047890"/>
    <w:rsid w:val="0005001B"/>
    <w:rsid w:val="00050D85"/>
    <w:rsid w:val="00050FF1"/>
    <w:rsid w:val="00051732"/>
    <w:rsid w:val="00051F5E"/>
    <w:rsid w:val="0005213F"/>
    <w:rsid w:val="0005219F"/>
    <w:rsid w:val="0005241C"/>
    <w:rsid w:val="00053AC0"/>
    <w:rsid w:val="0005421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188F"/>
    <w:rsid w:val="00072987"/>
    <w:rsid w:val="00072AE8"/>
    <w:rsid w:val="00072FF9"/>
    <w:rsid w:val="000739AF"/>
    <w:rsid w:val="00073DB0"/>
    <w:rsid w:val="00074118"/>
    <w:rsid w:val="00074D4D"/>
    <w:rsid w:val="00075586"/>
    <w:rsid w:val="0007574F"/>
    <w:rsid w:val="0007587C"/>
    <w:rsid w:val="00075997"/>
    <w:rsid w:val="00075D2B"/>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777"/>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D52"/>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7EA"/>
    <w:rsid w:val="000E0D32"/>
    <w:rsid w:val="000E195F"/>
    <w:rsid w:val="000E1FD4"/>
    <w:rsid w:val="000E2370"/>
    <w:rsid w:val="000E27CE"/>
    <w:rsid w:val="000E35E0"/>
    <w:rsid w:val="000E37D0"/>
    <w:rsid w:val="000E3D5F"/>
    <w:rsid w:val="000E3EB9"/>
    <w:rsid w:val="000E484D"/>
    <w:rsid w:val="000E48E3"/>
    <w:rsid w:val="000E4AFE"/>
    <w:rsid w:val="000E4E16"/>
    <w:rsid w:val="000E4EBC"/>
    <w:rsid w:val="000E513A"/>
    <w:rsid w:val="000E57E9"/>
    <w:rsid w:val="000E5C1A"/>
    <w:rsid w:val="000E63F3"/>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A14"/>
    <w:rsid w:val="000F4EAA"/>
    <w:rsid w:val="000F547D"/>
    <w:rsid w:val="000F54F6"/>
    <w:rsid w:val="000F7D93"/>
    <w:rsid w:val="00100810"/>
    <w:rsid w:val="00100B7C"/>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3D3"/>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581"/>
    <w:rsid w:val="00136A94"/>
    <w:rsid w:val="00136B10"/>
    <w:rsid w:val="00137807"/>
    <w:rsid w:val="00140181"/>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3B5"/>
    <w:rsid w:val="0017292D"/>
    <w:rsid w:val="00172A87"/>
    <w:rsid w:val="00172B26"/>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AAA"/>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1C1"/>
    <w:rsid w:val="001A773B"/>
    <w:rsid w:val="001B0259"/>
    <w:rsid w:val="001B0262"/>
    <w:rsid w:val="001B03FC"/>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1DD"/>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5EFD"/>
    <w:rsid w:val="001E631C"/>
    <w:rsid w:val="001E65C6"/>
    <w:rsid w:val="001E667F"/>
    <w:rsid w:val="001E678B"/>
    <w:rsid w:val="001E692C"/>
    <w:rsid w:val="001E7C62"/>
    <w:rsid w:val="001F0525"/>
    <w:rsid w:val="001F0C02"/>
    <w:rsid w:val="001F2B26"/>
    <w:rsid w:val="001F2BC9"/>
    <w:rsid w:val="001F2F39"/>
    <w:rsid w:val="001F2FC5"/>
    <w:rsid w:val="001F3185"/>
    <w:rsid w:val="001F3363"/>
    <w:rsid w:val="001F34DD"/>
    <w:rsid w:val="001F408E"/>
    <w:rsid w:val="001F4349"/>
    <w:rsid w:val="001F4860"/>
    <w:rsid w:val="001F4EDD"/>
    <w:rsid w:val="001F53AF"/>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0863"/>
    <w:rsid w:val="002111DA"/>
    <w:rsid w:val="00211B32"/>
    <w:rsid w:val="0021327B"/>
    <w:rsid w:val="002132F2"/>
    <w:rsid w:val="00214B09"/>
    <w:rsid w:val="002155ED"/>
    <w:rsid w:val="002156A3"/>
    <w:rsid w:val="00215AEE"/>
    <w:rsid w:val="0021627B"/>
    <w:rsid w:val="0021698E"/>
    <w:rsid w:val="00216D13"/>
    <w:rsid w:val="00216F33"/>
    <w:rsid w:val="002207CF"/>
    <w:rsid w:val="00220C56"/>
    <w:rsid w:val="0022145E"/>
    <w:rsid w:val="00221C04"/>
    <w:rsid w:val="0022245F"/>
    <w:rsid w:val="00223256"/>
    <w:rsid w:val="0022406E"/>
    <w:rsid w:val="00224AAD"/>
    <w:rsid w:val="00224FEA"/>
    <w:rsid w:val="002262C0"/>
    <w:rsid w:val="00226345"/>
    <w:rsid w:val="002264AE"/>
    <w:rsid w:val="00226B3B"/>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32F"/>
    <w:rsid w:val="00241BB6"/>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6C4"/>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66FE"/>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4FF"/>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198"/>
    <w:rsid w:val="002A1797"/>
    <w:rsid w:val="002A1858"/>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B2E"/>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ACC"/>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00D"/>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09"/>
    <w:rsid w:val="00302E72"/>
    <w:rsid w:val="00303EE7"/>
    <w:rsid w:val="00303F92"/>
    <w:rsid w:val="00304386"/>
    <w:rsid w:val="00304EE5"/>
    <w:rsid w:val="00305C48"/>
    <w:rsid w:val="00306313"/>
    <w:rsid w:val="00310825"/>
    <w:rsid w:val="00310AF9"/>
    <w:rsid w:val="00310E80"/>
    <w:rsid w:val="003110C6"/>
    <w:rsid w:val="003117FB"/>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6F3F"/>
    <w:rsid w:val="003176D1"/>
    <w:rsid w:val="003207ED"/>
    <w:rsid w:val="00320E35"/>
    <w:rsid w:val="0032116B"/>
    <w:rsid w:val="00321B9A"/>
    <w:rsid w:val="0032250C"/>
    <w:rsid w:val="0032390D"/>
    <w:rsid w:val="00323EBD"/>
    <w:rsid w:val="00324093"/>
    <w:rsid w:val="00324224"/>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3A5"/>
    <w:rsid w:val="0034444F"/>
    <w:rsid w:val="00344766"/>
    <w:rsid w:val="00344A50"/>
    <w:rsid w:val="00344AD3"/>
    <w:rsid w:val="00345089"/>
    <w:rsid w:val="00345427"/>
    <w:rsid w:val="00345687"/>
    <w:rsid w:val="00345708"/>
    <w:rsid w:val="00345DBB"/>
    <w:rsid w:val="00346373"/>
    <w:rsid w:val="0034646D"/>
    <w:rsid w:val="003467CD"/>
    <w:rsid w:val="00346AEB"/>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61A"/>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1F9"/>
    <w:rsid w:val="00365AE9"/>
    <w:rsid w:val="003672DF"/>
    <w:rsid w:val="003673BA"/>
    <w:rsid w:val="003704FC"/>
    <w:rsid w:val="0037112D"/>
    <w:rsid w:val="003713C2"/>
    <w:rsid w:val="0037172A"/>
    <w:rsid w:val="003722D3"/>
    <w:rsid w:val="0037236A"/>
    <w:rsid w:val="003723C7"/>
    <w:rsid w:val="0037269A"/>
    <w:rsid w:val="003728F8"/>
    <w:rsid w:val="00372B11"/>
    <w:rsid w:val="0037322A"/>
    <w:rsid w:val="00373384"/>
    <w:rsid w:val="00373D4C"/>
    <w:rsid w:val="00374147"/>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2B"/>
    <w:rsid w:val="003F32E3"/>
    <w:rsid w:val="003F3BA5"/>
    <w:rsid w:val="003F4582"/>
    <w:rsid w:val="003F52FC"/>
    <w:rsid w:val="003F5B98"/>
    <w:rsid w:val="003F5D5C"/>
    <w:rsid w:val="003F6192"/>
    <w:rsid w:val="003F716E"/>
    <w:rsid w:val="003F7AAF"/>
    <w:rsid w:val="003F7DBF"/>
    <w:rsid w:val="003F7E2F"/>
    <w:rsid w:val="00400002"/>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2EC"/>
    <w:rsid w:val="00436A9A"/>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C64"/>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4D8"/>
    <w:rsid w:val="004615D3"/>
    <w:rsid w:val="0046281E"/>
    <w:rsid w:val="00463909"/>
    <w:rsid w:val="004639C1"/>
    <w:rsid w:val="00463C1C"/>
    <w:rsid w:val="00464AF4"/>
    <w:rsid w:val="00464D6B"/>
    <w:rsid w:val="00465C54"/>
    <w:rsid w:val="00465DDB"/>
    <w:rsid w:val="00467C83"/>
    <w:rsid w:val="00467D01"/>
    <w:rsid w:val="00470110"/>
    <w:rsid w:val="00471468"/>
    <w:rsid w:val="00471E09"/>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49E"/>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D01"/>
    <w:rsid w:val="004A5EE6"/>
    <w:rsid w:val="004A6D54"/>
    <w:rsid w:val="004A6E6E"/>
    <w:rsid w:val="004A6F01"/>
    <w:rsid w:val="004A73A1"/>
    <w:rsid w:val="004A7A11"/>
    <w:rsid w:val="004B0090"/>
    <w:rsid w:val="004B04BE"/>
    <w:rsid w:val="004B05C6"/>
    <w:rsid w:val="004B0675"/>
    <w:rsid w:val="004B0BB8"/>
    <w:rsid w:val="004B104F"/>
    <w:rsid w:val="004B12E2"/>
    <w:rsid w:val="004B1A74"/>
    <w:rsid w:val="004B2E5B"/>
    <w:rsid w:val="004B3514"/>
    <w:rsid w:val="004B37E3"/>
    <w:rsid w:val="004B3867"/>
    <w:rsid w:val="004B3EDF"/>
    <w:rsid w:val="004B4346"/>
    <w:rsid w:val="004B5A65"/>
    <w:rsid w:val="004B645E"/>
    <w:rsid w:val="004B6671"/>
    <w:rsid w:val="004B670B"/>
    <w:rsid w:val="004B7011"/>
    <w:rsid w:val="004B79BE"/>
    <w:rsid w:val="004B7FD7"/>
    <w:rsid w:val="004C0799"/>
    <w:rsid w:val="004C09C8"/>
    <w:rsid w:val="004C11B9"/>
    <w:rsid w:val="004C16C7"/>
    <w:rsid w:val="004C1A04"/>
    <w:rsid w:val="004C1E6E"/>
    <w:rsid w:val="004C2011"/>
    <w:rsid w:val="004C22B0"/>
    <w:rsid w:val="004C22EC"/>
    <w:rsid w:val="004C2511"/>
    <w:rsid w:val="004C2853"/>
    <w:rsid w:val="004C2BB4"/>
    <w:rsid w:val="004C3B02"/>
    <w:rsid w:val="004C3C1C"/>
    <w:rsid w:val="004C3E4F"/>
    <w:rsid w:val="004C4206"/>
    <w:rsid w:val="004C43BB"/>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520"/>
    <w:rsid w:val="004D571F"/>
    <w:rsid w:val="004D6095"/>
    <w:rsid w:val="004D64C0"/>
    <w:rsid w:val="004D66AD"/>
    <w:rsid w:val="004D6995"/>
    <w:rsid w:val="004D69DF"/>
    <w:rsid w:val="004D6AA7"/>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554E"/>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265A"/>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6F7"/>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1ACD"/>
    <w:rsid w:val="00562117"/>
    <w:rsid w:val="00562370"/>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5FD2"/>
    <w:rsid w:val="005873A7"/>
    <w:rsid w:val="00587662"/>
    <w:rsid w:val="00587B1E"/>
    <w:rsid w:val="00587E84"/>
    <w:rsid w:val="005913E6"/>
    <w:rsid w:val="005916BE"/>
    <w:rsid w:val="0059183E"/>
    <w:rsid w:val="00592125"/>
    <w:rsid w:val="005944ED"/>
    <w:rsid w:val="0059537E"/>
    <w:rsid w:val="005956A6"/>
    <w:rsid w:val="0059574D"/>
    <w:rsid w:val="005964D7"/>
    <w:rsid w:val="0059650B"/>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47"/>
    <w:rsid w:val="005C16D1"/>
    <w:rsid w:val="005C196C"/>
    <w:rsid w:val="005C2434"/>
    <w:rsid w:val="005C27C8"/>
    <w:rsid w:val="005C2DFB"/>
    <w:rsid w:val="005C32BE"/>
    <w:rsid w:val="005C36FA"/>
    <w:rsid w:val="005C3756"/>
    <w:rsid w:val="005C3DF3"/>
    <w:rsid w:val="005C420D"/>
    <w:rsid w:val="005C45A8"/>
    <w:rsid w:val="005C49D1"/>
    <w:rsid w:val="005C4E7D"/>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2A54"/>
    <w:rsid w:val="005D3A5F"/>
    <w:rsid w:val="005D43B1"/>
    <w:rsid w:val="005D4BBF"/>
    <w:rsid w:val="005D4C7C"/>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1F0D"/>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87F"/>
    <w:rsid w:val="00603988"/>
    <w:rsid w:val="0060429C"/>
    <w:rsid w:val="006055AB"/>
    <w:rsid w:val="0060623B"/>
    <w:rsid w:val="00606B41"/>
    <w:rsid w:val="00606D46"/>
    <w:rsid w:val="006100FC"/>
    <w:rsid w:val="00610274"/>
    <w:rsid w:val="00610980"/>
    <w:rsid w:val="00610A95"/>
    <w:rsid w:val="00610E88"/>
    <w:rsid w:val="006115F0"/>
    <w:rsid w:val="006118A8"/>
    <w:rsid w:val="00611CEF"/>
    <w:rsid w:val="00613401"/>
    <w:rsid w:val="00613C62"/>
    <w:rsid w:val="00613F4F"/>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68"/>
    <w:rsid w:val="006377A9"/>
    <w:rsid w:val="00637878"/>
    <w:rsid w:val="0063788D"/>
    <w:rsid w:val="00637CA7"/>
    <w:rsid w:val="00637F6F"/>
    <w:rsid w:val="00637FE9"/>
    <w:rsid w:val="00640056"/>
    <w:rsid w:val="0064036E"/>
    <w:rsid w:val="00640E61"/>
    <w:rsid w:val="0064180A"/>
    <w:rsid w:val="00641F97"/>
    <w:rsid w:val="006424D3"/>
    <w:rsid w:val="00642669"/>
    <w:rsid w:val="00642A8B"/>
    <w:rsid w:val="00642C4C"/>
    <w:rsid w:val="006433A6"/>
    <w:rsid w:val="006439D3"/>
    <w:rsid w:val="00644D02"/>
    <w:rsid w:val="006451AD"/>
    <w:rsid w:val="0064523C"/>
    <w:rsid w:val="0064573B"/>
    <w:rsid w:val="006468ED"/>
    <w:rsid w:val="00647CB5"/>
    <w:rsid w:val="00647DF7"/>
    <w:rsid w:val="0065027B"/>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8A2"/>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08A9"/>
    <w:rsid w:val="0067157E"/>
    <w:rsid w:val="00672247"/>
    <w:rsid w:val="006723F9"/>
    <w:rsid w:val="006726AD"/>
    <w:rsid w:val="006728CE"/>
    <w:rsid w:val="00672989"/>
    <w:rsid w:val="00672A4B"/>
    <w:rsid w:val="00672DF2"/>
    <w:rsid w:val="00672E0C"/>
    <w:rsid w:val="00673B81"/>
    <w:rsid w:val="00673D37"/>
    <w:rsid w:val="00673EAA"/>
    <w:rsid w:val="0067405E"/>
    <w:rsid w:val="00674363"/>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AA9"/>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0927"/>
    <w:rsid w:val="006B11C6"/>
    <w:rsid w:val="006B14BE"/>
    <w:rsid w:val="006B279D"/>
    <w:rsid w:val="006B3A5C"/>
    <w:rsid w:val="006B3C28"/>
    <w:rsid w:val="006B4CA4"/>
    <w:rsid w:val="006B598D"/>
    <w:rsid w:val="006B5B04"/>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0ADD"/>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1F4"/>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0AA7"/>
    <w:rsid w:val="00711916"/>
    <w:rsid w:val="00711BBA"/>
    <w:rsid w:val="00711EE2"/>
    <w:rsid w:val="00712158"/>
    <w:rsid w:val="00712D71"/>
    <w:rsid w:val="007130DA"/>
    <w:rsid w:val="00713380"/>
    <w:rsid w:val="007137DB"/>
    <w:rsid w:val="00713DD5"/>
    <w:rsid w:val="007143A2"/>
    <w:rsid w:val="007147B9"/>
    <w:rsid w:val="00714CA9"/>
    <w:rsid w:val="007158FD"/>
    <w:rsid w:val="0071601C"/>
    <w:rsid w:val="007167AE"/>
    <w:rsid w:val="00716EA0"/>
    <w:rsid w:val="0071737C"/>
    <w:rsid w:val="00717F32"/>
    <w:rsid w:val="00717FD6"/>
    <w:rsid w:val="0072057C"/>
    <w:rsid w:val="00720D8F"/>
    <w:rsid w:val="0072149D"/>
    <w:rsid w:val="007214D9"/>
    <w:rsid w:val="00721851"/>
    <w:rsid w:val="007218F7"/>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675"/>
    <w:rsid w:val="00727E45"/>
    <w:rsid w:val="0073008C"/>
    <w:rsid w:val="00730102"/>
    <w:rsid w:val="007304D0"/>
    <w:rsid w:val="00731482"/>
    <w:rsid w:val="00731688"/>
    <w:rsid w:val="007327E4"/>
    <w:rsid w:val="00732AB3"/>
    <w:rsid w:val="00732B37"/>
    <w:rsid w:val="00733076"/>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185"/>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639"/>
    <w:rsid w:val="00762871"/>
    <w:rsid w:val="00762D4B"/>
    <w:rsid w:val="00763708"/>
    <w:rsid w:val="00764010"/>
    <w:rsid w:val="00764368"/>
    <w:rsid w:val="0076491F"/>
    <w:rsid w:val="00764A05"/>
    <w:rsid w:val="00764AFB"/>
    <w:rsid w:val="00764B5B"/>
    <w:rsid w:val="00764D97"/>
    <w:rsid w:val="007651DD"/>
    <w:rsid w:val="00765287"/>
    <w:rsid w:val="007657CF"/>
    <w:rsid w:val="0076584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BE9"/>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03A"/>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1904"/>
    <w:rsid w:val="007C2A09"/>
    <w:rsid w:val="007C2C98"/>
    <w:rsid w:val="007C3040"/>
    <w:rsid w:val="007C354C"/>
    <w:rsid w:val="007C35DF"/>
    <w:rsid w:val="007C3BA4"/>
    <w:rsid w:val="007C3BBF"/>
    <w:rsid w:val="007C4790"/>
    <w:rsid w:val="007C4E4F"/>
    <w:rsid w:val="007C4EC8"/>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256"/>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7A7"/>
    <w:rsid w:val="007F6C1A"/>
    <w:rsid w:val="007F753E"/>
    <w:rsid w:val="007F7871"/>
    <w:rsid w:val="007F7965"/>
    <w:rsid w:val="0080069B"/>
    <w:rsid w:val="00800777"/>
    <w:rsid w:val="00800788"/>
    <w:rsid w:val="008008B9"/>
    <w:rsid w:val="00800AD1"/>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6A83"/>
    <w:rsid w:val="008074C5"/>
    <w:rsid w:val="00807B2A"/>
    <w:rsid w:val="008101FB"/>
    <w:rsid w:val="008105EA"/>
    <w:rsid w:val="00810E97"/>
    <w:rsid w:val="0081123B"/>
    <w:rsid w:val="00811393"/>
    <w:rsid w:val="00811E61"/>
    <w:rsid w:val="008121E2"/>
    <w:rsid w:val="008126F0"/>
    <w:rsid w:val="00813AFA"/>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504"/>
    <w:rsid w:val="00832CDC"/>
    <w:rsid w:val="00832F6C"/>
    <w:rsid w:val="00833077"/>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4A60"/>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ED"/>
    <w:rsid w:val="008525F9"/>
    <w:rsid w:val="008526E3"/>
    <w:rsid w:val="008529E6"/>
    <w:rsid w:val="00852CDD"/>
    <w:rsid w:val="008542A4"/>
    <w:rsid w:val="0085493E"/>
    <w:rsid w:val="008549DA"/>
    <w:rsid w:val="00855E11"/>
    <w:rsid w:val="008562D6"/>
    <w:rsid w:val="0085692C"/>
    <w:rsid w:val="00856A58"/>
    <w:rsid w:val="0085719C"/>
    <w:rsid w:val="008575E1"/>
    <w:rsid w:val="0085760A"/>
    <w:rsid w:val="008576D9"/>
    <w:rsid w:val="00857F5B"/>
    <w:rsid w:val="008601C9"/>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83E"/>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689E"/>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454E"/>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6BDB"/>
    <w:rsid w:val="008A700E"/>
    <w:rsid w:val="008A76FD"/>
    <w:rsid w:val="008A7BBE"/>
    <w:rsid w:val="008A7EF2"/>
    <w:rsid w:val="008B003A"/>
    <w:rsid w:val="008B0626"/>
    <w:rsid w:val="008B06BA"/>
    <w:rsid w:val="008B0858"/>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9F0"/>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1506"/>
    <w:rsid w:val="009025FB"/>
    <w:rsid w:val="009029DB"/>
    <w:rsid w:val="0090348A"/>
    <w:rsid w:val="009038A8"/>
    <w:rsid w:val="00903D1B"/>
    <w:rsid w:val="00904109"/>
    <w:rsid w:val="009042E8"/>
    <w:rsid w:val="00905C6E"/>
    <w:rsid w:val="0090753F"/>
    <w:rsid w:val="00907591"/>
    <w:rsid w:val="00907913"/>
    <w:rsid w:val="00907D17"/>
    <w:rsid w:val="00907DCD"/>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26C80"/>
    <w:rsid w:val="009308DA"/>
    <w:rsid w:val="00930ACC"/>
    <w:rsid w:val="00931676"/>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1DC"/>
    <w:rsid w:val="00963717"/>
    <w:rsid w:val="00963E37"/>
    <w:rsid w:val="00964945"/>
    <w:rsid w:val="00965586"/>
    <w:rsid w:val="00965C2D"/>
    <w:rsid w:val="00965CC4"/>
    <w:rsid w:val="0096624D"/>
    <w:rsid w:val="00966A2E"/>
    <w:rsid w:val="009674D4"/>
    <w:rsid w:val="009676E3"/>
    <w:rsid w:val="00967E6A"/>
    <w:rsid w:val="00970143"/>
    <w:rsid w:val="00970B7F"/>
    <w:rsid w:val="00970C38"/>
    <w:rsid w:val="00971614"/>
    <w:rsid w:val="00972340"/>
    <w:rsid w:val="009723DE"/>
    <w:rsid w:val="00973B9F"/>
    <w:rsid w:val="009749ED"/>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839"/>
    <w:rsid w:val="009B3A1D"/>
    <w:rsid w:val="009B3A56"/>
    <w:rsid w:val="009B41F0"/>
    <w:rsid w:val="009B44F0"/>
    <w:rsid w:val="009B4620"/>
    <w:rsid w:val="009B4667"/>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767"/>
    <w:rsid w:val="009E7F49"/>
    <w:rsid w:val="009F02D8"/>
    <w:rsid w:val="009F0B98"/>
    <w:rsid w:val="009F0FE8"/>
    <w:rsid w:val="009F14F7"/>
    <w:rsid w:val="009F15B7"/>
    <w:rsid w:val="009F1641"/>
    <w:rsid w:val="009F1C46"/>
    <w:rsid w:val="009F1E25"/>
    <w:rsid w:val="009F2079"/>
    <w:rsid w:val="009F2592"/>
    <w:rsid w:val="009F274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6DD0"/>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06"/>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56F1D"/>
    <w:rsid w:val="00A60841"/>
    <w:rsid w:val="00A60E67"/>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0B"/>
    <w:rsid w:val="00A86217"/>
    <w:rsid w:val="00A86406"/>
    <w:rsid w:val="00A8695E"/>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844"/>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7F5"/>
    <w:rsid w:val="00AB3885"/>
    <w:rsid w:val="00AB39A6"/>
    <w:rsid w:val="00AB44B1"/>
    <w:rsid w:val="00AB45DB"/>
    <w:rsid w:val="00AB49EA"/>
    <w:rsid w:val="00AB4F00"/>
    <w:rsid w:val="00AB580B"/>
    <w:rsid w:val="00AB5C26"/>
    <w:rsid w:val="00AB5F3B"/>
    <w:rsid w:val="00AB7120"/>
    <w:rsid w:val="00AB7CCF"/>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AF785C"/>
    <w:rsid w:val="00B0026B"/>
    <w:rsid w:val="00B0036F"/>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1793D"/>
    <w:rsid w:val="00B209BF"/>
    <w:rsid w:val="00B20B32"/>
    <w:rsid w:val="00B20BC9"/>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5D64"/>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02A"/>
    <w:rsid w:val="00B52A3F"/>
    <w:rsid w:val="00B539AD"/>
    <w:rsid w:val="00B53BEF"/>
    <w:rsid w:val="00B542E4"/>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4AA"/>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0873"/>
    <w:rsid w:val="00BC1511"/>
    <w:rsid w:val="00BC1CAA"/>
    <w:rsid w:val="00BC219A"/>
    <w:rsid w:val="00BC2773"/>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6DF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5E9E"/>
    <w:rsid w:val="00C2627B"/>
    <w:rsid w:val="00C266DC"/>
    <w:rsid w:val="00C27F6A"/>
    <w:rsid w:val="00C301DA"/>
    <w:rsid w:val="00C31080"/>
    <w:rsid w:val="00C3227B"/>
    <w:rsid w:val="00C3251F"/>
    <w:rsid w:val="00C32ACE"/>
    <w:rsid w:val="00C32F37"/>
    <w:rsid w:val="00C33352"/>
    <w:rsid w:val="00C346DD"/>
    <w:rsid w:val="00C34DB4"/>
    <w:rsid w:val="00C34EC3"/>
    <w:rsid w:val="00C35A64"/>
    <w:rsid w:val="00C35E7C"/>
    <w:rsid w:val="00C36707"/>
    <w:rsid w:val="00C36835"/>
    <w:rsid w:val="00C36871"/>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4C4"/>
    <w:rsid w:val="00C6060E"/>
    <w:rsid w:val="00C606E2"/>
    <w:rsid w:val="00C60938"/>
    <w:rsid w:val="00C60A08"/>
    <w:rsid w:val="00C60FDD"/>
    <w:rsid w:val="00C614A0"/>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160"/>
    <w:rsid w:val="00C7062B"/>
    <w:rsid w:val="00C71A87"/>
    <w:rsid w:val="00C72BDC"/>
    <w:rsid w:val="00C72F35"/>
    <w:rsid w:val="00C73110"/>
    <w:rsid w:val="00C735D2"/>
    <w:rsid w:val="00C735D5"/>
    <w:rsid w:val="00C73ED0"/>
    <w:rsid w:val="00C7445D"/>
    <w:rsid w:val="00C74530"/>
    <w:rsid w:val="00C74ACA"/>
    <w:rsid w:val="00C74F2A"/>
    <w:rsid w:val="00C755F6"/>
    <w:rsid w:val="00C75C4F"/>
    <w:rsid w:val="00C76946"/>
    <w:rsid w:val="00C76CD4"/>
    <w:rsid w:val="00C77686"/>
    <w:rsid w:val="00C77E39"/>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3F0C"/>
    <w:rsid w:val="00C84348"/>
    <w:rsid w:val="00C856EA"/>
    <w:rsid w:val="00C8742E"/>
    <w:rsid w:val="00C8778D"/>
    <w:rsid w:val="00C87955"/>
    <w:rsid w:val="00C90FC8"/>
    <w:rsid w:val="00C91075"/>
    <w:rsid w:val="00C91484"/>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1C8"/>
    <w:rsid w:val="00CC0C48"/>
    <w:rsid w:val="00CC1DB8"/>
    <w:rsid w:val="00CC2116"/>
    <w:rsid w:val="00CC237C"/>
    <w:rsid w:val="00CC2A69"/>
    <w:rsid w:val="00CC2F81"/>
    <w:rsid w:val="00CC3A6F"/>
    <w:rsid w:val="00CC3DCA"/>
    <w:rsid w:val="00CC435D"/>
    <w:rsid w:val="00CC4504"/>
    <w:rsid w:val="00CC4F1E"/>
    <w:rsid w:val="00CC5F13"/>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A3E"/>
    <w:rsid w:val="00CE3E0E"/>
    <w:rsid w:val="00CE3FDA"/>
    <w:rsid w:val="00CE4450"/>
    <w:rsid w:val="00CE4772"/>
    <w:rsid w:val="00CE49B6"/>
    <w:rsid w:val="00CE4A28"/>
    <w:rsid w:val="00CE5428"/>
    <w:rsid w:val="00CE56C5"/>
    <w:rsid w:val="00CE5C3A"/>
    <w:rsid w:val="00CE6C8C"/>
    <w:rsid w:val="00CE7027"/>
    <w:rsid w:val="00CE7CC1"/>
    <w:rsid w:val="00CE7E37"/>
    <w:rsid w:val="00CF0972"/>
    <w:rsid w:val="00CF0AE0"/>
    <w:rsid w:val="00CF120B"/>
    <w:rsid w:val="00CF194D"/>
    <w:rsid w:val="00CF3108"/>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BEC"/>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4BC2"/>
    <w:rsid w:val="00D3502A"/>
    <w:rsid w:val="00D3511F"/>
    <w:rsid w:val="00D35B8D"/>
    <w:rsid w:val="00D360DF"/>
    <w:rsid w:val="00D36BE0"/>
    <w:rsid w:val="00D36DB6"/>
    <w:rsid w:val="00D3752B"/>
    <w:rsid w:val="00D37AB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C4D"/>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E41"/>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67D0"/>
    <w:rsid w:val="00D87272"/>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5E75"/>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1FAA"/>
    <w:rsid w:val="00DC30E4"/>
    <w:rsid w:val="00DC33BA"/>
    <w:rsid w:val="00DC378F"/>
    <w:rsid w:val="00DC4064"/>
    <w:rsid w:val="00DC4957"/>
    <w:rsid w:val="00DC4959"/>
    <w:rsid w:val="00DC4AE2"/>
    <w:rsid w:val="00DC63B3"/>
    <w:rsid w:val="00DC6B6C"/>
    <w:rsid w:val="00DD2877"/>
    <w:rsid w:val="00DD29DC"/>
    <w:rsid w:val="00DD2EDE"/>
    <w:rsid w:val="00DD3144"/>
    <w:rsid w:val="00DD3602"/>
    <w:rsid w:val="00DD371A"/>
    <w:rsid w:val="00DD3886"/>
    <w:rsid w:val="00DD38A3"/>
    <w:rsid w:val="00DD406B"/>
    <w:rsid w:val="00DD67AC"/>
    <w:rsid w:val="00DD6A06"/>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1DA8"/>
    <w:rsid w:val="00DF29ED"/>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35D"/>
    <w:rsid w:val="00E0443E"/>
    <w:rsid w:val="00E0480A"/>
    <w:rsid w:val="00E0540B"/>
    <w:rsid w:val="00E05FCE"/>
    <w:rsid w:val="00E065CE"/>
    <w:rsid w:val="00E06901"/>
    <w:rsid w:val="00E06CB9"/>
    <w:rsid w:val="00E076EA"/>
    <w:rsid w:val="00E0787C"/>
    <w:rsid w:val="00E07E93"/>
    <w:rsid w:val="00E10734"/>
    <w:rsid w:val="00E10C5F"/>
    <w:rsid w:val="00E120FC"/>
    <w:rsid w:val="00E12528"/>
    <w:rsid w:val="00E12997"/>
    <w:rsid w:val="00E12D07"/>
    <w:rsid w:val="00E145C0"/>
    <w:rsid w:val="00E14BA9"/>
    <w:rsid w:val="00E14CCB"/>
    <w:rsid w:val="00E14D96"/>
    <w:rsid w:val="00E1635F"/>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1C0D"/>
    <w:rsid w:val="00E62EF4"/>
    <w:rsid w:val="00E632EA"/>
    <w:rsid w:val="00E63DAE"/>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1A0"/>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601"/>
    <w:rsid w:val="00E93F35"/>
    <w:rsid w:val="00E97C2F"/>
    <w:rsid w:val="00E97CCD"/>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079"/>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700"/>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0AD"/>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4E2"/>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6D37"/>
    <w:rsid w:val="00F67500"/>
    <w:rsid w:val="00F70652"/>
    <w:rsid w:val="00F706AD"/>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5FD"/>
    <w:rsid w:val="00F7795D"/>
    <w:rsid w:val="00F77D38"/>
    <w:rsid w:val="00F77F4D"/>
    <w:rsid w:val="00F809C6"/>
    <w:rsid w:val="00F81408"/>
    <w:rsid w:val="00F815F4"/>
    <w:rsid w:val="00F832E4"/>
    <w:rsid w:val="00F84205"/>
    <w:rsid w:val="00F858FF"/>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C0F"/>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A4E"/>
    <w:rsid w:val="00FB5BF2"/>
    <w:rsid w:val="00FB6398"/>
    <w:rsid w:val="00FB665A"/>
    <w:rsid w:val="00FB6EAA"/>
    <w:rsid w:val="00FB6F5A"/>
    <w:rsid w:val="00FB715C"/>
    <w:rsid w:val="00FB78C3"/>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1C2"/>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051"/>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1314125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3619950">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9F203-DA9C-4162-A4D2-2CBDA291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8327</Words>
  <Characters>45799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7</cp:revision>
  <cp:lastPrinted>2025-08-27T17:25:00Z</cp:lastPrinted>
  <dcterms:created xsi:type="dcterms:W3CDTF">2025-08-14T16:56:00Z</dcterms:created>
  <dcterms:modified xsi:type="dcterms:W3CDTF">2025-09-11T17:56:00Z</dcterms:modified>
</cp:coreProperties>
</file>