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diez de diciembre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bookmarkStart w:colFirst="0" w:colLast="0" w:name="_heading=h.qwmvb02lerhh" w:id="0"/>
      <w:bookmarkEnd w:id="0"/>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bCs w:val="1"/>
          <w:rtl w:val="0"/>
        </w:rPr>
        <w:t xml:space="preserve">09574/INFOEM/IP/RR/2025</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bCs w:val="1"/>
          <w:rtl w:val="0"/>
        </w:rPr>
        <w:t xml:space="preserve"> XXXXXXX XXXXXX XXXXX,</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bCs w:val="1"/>
          <w:rtl w:val="0"/>
        </w:rPr>
        <w:t xml:space="preserve">00097/PROBOSQUE/IP/2025 </w:t>
      </w:r>
      <w:r w:rsidDel="00000000" w:rsidR="00000000" w:rsidRPr="00000000">
        <w:rPr>
          <w:rFonts w:ascii="Palatino Linotype" w:cs="Palatino Linotype" w:eastAsia="Palatino Linotype" w:hAnsi="Palatino Linotype"/>
          <w:rtl w:val="0"/>
        </w:rPr>
        <w:t xml:space="preserve">proporcionada por parte de la </w:t>
      </w:r>
      <w:r w:rsidDel="00000000" w:rsidR="00000000" w:rsidRPr="00000000">
        <w:rPr>
          <w:rFonts w:ascii="Palatino Linotype" w:cs="Palatino Linotype" w:eastAsia="Palatino Linotype" w:hAnsi="Palatino Linotype"/>
          <w:b w:val="1"/>
          <w:bCs w:val="1"/>
          <w:rtl w:val="0"/>
        </w:rPr>
        <w:t xml:space="preserve">Protectora de Bosques del Estado de México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bookmarkStart w:colFirst="0" w:colLast="0" w:name="_heading=h.3znysh7" w:id="1"/>
      <w:bookmarkEnd w:id="1"/>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bCs w:val="1"/>
          <w:rtl w:val="0"/>
        </w:rPr>
        <w:t xml:space="preserve">trece de agosto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requiriéndole lo siguiente: </w:t>
      </w:r>
    </w:p>
    <w:p w:rsidR="00000000" w:rsidDel="00000000" w:rsidP="00000000" w:rsidRDefault="00000000" w:rsidRPr="00000000" w14:paraId="00000008">
      <w:pPr>
        <w:spacing w:after="0" w:lineRule="auto"/>
        <w:ind w:left="851" w:right="843" w:firstLine="0"/>
        <w:jc w:val="both"/>
        <w:rPr>
          <w:rFonts w:ascii="Palatino Linotype" w:cs="Palatino Linotype" w:eastAsia="Palatino Linotype" w:hAnsi="Palatino Linotype"/>
          <w:i w:val="1"/>
          <w:iCs w:val="1"/>
        </w:rPr>
      </w:pPr>
      <w:bookmarkStart w:colFirst="0" w:colLast="0" w:name="_heading=h.30j0zll" w:id="2"/>
      <w:bookmarkEnd w:id="2"/>
      <w:r w:rsidDel="00000000" w:rsidR="00000000" w:rsidRPr="00000000">
        <w:rPr>
          <w:rFonts w:ascii="Palatino Linotype" w:cs="Palatino Linotype" w:eastAsia="Palatino Linotype" w:hAnsi="Palatino Linotype"/>
          <w:i w:val="1"/>
          <w:iCs w:val="1"/>
          <w:rtl w:val="0"/>
        </w:rPr>
        <w:t xml:space="preserve">“SE SOLICITA DOCUMENTOS OFICIALES PÚBLICOS DE LOS CONTRATOSDE PRESTACIÓN DE SERVICIOS O ADQUISICIÓN DE BIENES, EN DONDE SE VIERON BENEFICIADOS PERSONAL DE LAS ÁREAS DEL DEPARTAMENTO DE RECURSOS MATERIALES, DE LA DIRECCIÓN DE ADMINISTRACIÓN, FINANZAS Y DE GESTION DOCUMENTAL Y DE LAS ÁREAS SOLICITANTES, LA INFORMACIÓN SOLICITADA DEL PERIODO DE 01 DE ENERO DE 2024 A 30 DE JULIO DE 2025.2025”</w:t>
      </w:r>
    </w:p>
    <w:p w:rsidR="00000000" w:rsidDel="00000000" w:rsidP="00000000" w:rsidRDefault="00000000" w:rsidRPr="00000000" w14:paraId="00000009">
      <w:pPr>
        <w:spacing w:after="0" w:lineRule="auto"/>
        <w:ind w:left="567" w:right="4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w:t>
      </w:r>
    </w:p>
    <w:p w:rsidR="00000000" w:rsidDel="00000000" w:rsidP="00000000" w:rsidRDefault="00000000" w:rsidRPr="00000000" w14:paraId="0000000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Respuesta.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bCs w:val="1"/>
          <w:rtl w:val="0"/>
        </w:rPr>
        <w:t xml:space="preserve">catorce de agosto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emitió respuesta a la solicitud de información, en los siguientes términos: </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“SE SOLICITA DOCUMENTOS OFICIALES PÚBLICOS DE LOS CONTRATOSDE PRESTACIÓN DE SERVICIOS O ADQUISICIÓN DE BIENES, EN DONDE SE VIERON BENEFICIADOS PERSONAL DE LAS ÁREAS DEL DEPARTAMENTO DE RECURSOS MATERIALES, DE LA DIRECCIÓN DE ADMINISTRACIÓN, FINANZAS Y DE GESTION DOCUMENTAL Y DE LAS ÁREAS SOLICITANTES, LA INFORMACIÓN SOLICITADA DEL PERIODO DE 01 DE ENERO DE 2024 A 30 DE JULIO DE 2025.</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ATENTAMENTE</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LIC. MARGARITA OLIVARES MÁRQUEZ</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bCs w:val="1"/>
          <w:rtl w:val="0"/>
        </w:rPr>
        <w:t xml:space="preserve">catorce de agosto de dos mil veinticinco</w:t>
      </w:r>
      <w:r w:rsidDel="00000000" w:rsidR="00000000" w:rsidRPr="00000000">
        <w:rPr>
          <w:rFonts w:ascii="Palatino Linotype" w:cs="Palatino Linotype" w:eastAsia="Palatino Linotype" w:hAnsi="Palatino Linotype"/>
          <w:rtl w:val="0"/>
        </w:rPr>
        <w:t xml:space="preserve"> la persona Solicitante interpuso Recurso de Revisión a través del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a través del cual expresó lo siguiente:</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Acto impugnado</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i w:val="1"/>
          <w:iCs w:val="1"/>
          <w:rtl w:val="0"/>
        </w:rPr>
        <w:t xml:space="preserve">“NO ME ESTÁN CONTESTTANDO LO SOLICITADO, ESE DOCUMENTO QUE INGRESARON COMO CONTESTACIÓN EN VERDAD ES UNA MANIPULACIÓN DE UNA SUPUESTA CONTESTACIÓN.”.</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Razones o motivos de la inconformidad: </w:t>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“NO ME ESTÁN CONTESTTANDO LO SOLICITADO, ESE DOCUMENTO QUE INGRESARON COMO CONTESTACIÓN EN VERDAD ES UNA MANIPULACIÓN DE UNA SUPUESTA CONTESTACIÓN.”</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1276"/>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bCs w:val="1"/>
          <w:rtl w:val="0"/>
        </w:rPr>
        <w:t xml:space="preserve">09574/INFOEM/IP/RR/2025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rtl w:val="0"/>
        </w:rPr>
        <w:t xml:space="preserve">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bCs w:val="1"/>
          <w:rtl w:val="0"/>
        </w:rPr>
        <w:t xml:space="preserve">veinte de agosto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Rule="auto"/>
        <w:ind w:left="720" w:right="49"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bookmarkStart w:colFirst="0" w:colLast="0" w:name="_heading=h.g2lcd6jo97lt" w:id="3"/>
      <w:bookmarkEnd w:id="3"/>
      <w:r w:rsidDel="00000000" w:rsidR="00000000" w:rsidRPr="00000000">
        <w:rPr>
          <w:rFonts w:ascii="Palatino Linotype" w:cs="Palatino Linotype" w:eastAsia="Palatino Linotype" w:hAnsi="Palatino Linotype"/>
          <w:b w:val="1"/>
          <w:bCs w:val="1"/>
          <w:rtl w:val="0"/>
        </w:rPr>
        <w:t xml:space="preserve">Manifestaciones.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bCs w:val="1"/>
          <w:rtl w:val="0"/>
        </w:rPr>
        <w:t xml:space="preserve">veintinueve de agosto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rindió su informe justificado, a través del archivo electrónico denominado </w:t>
      </w:r>
      <w:r w:rsidDel="00000000" w:rsidR="00000000" w:rsidRPr="00000000">
        <w:rPr>
          <w:rFonts w:ascii="Palatino Linotype" w:cs="Palatino Linotype" w:eastAsia="Palatino Linotype" w:hAnsi="Palatino Linotype"/>
          <w:b w:val="1"/>
          <w:bCs w:val="1"/>
          <w:i w:val="1"/>
          <w:iCs w:val="1"/>
          <w:rtl w:val="0"/>
        </w:rPr>
        <w:t xml:space="preserve">“INFORME JUSTIFICADO SAIMEX 00097 2025 RR09574.pdf”</w:t>
      </w:r>
      <w:r w:rsidDel="00000000" w:rsidR="00000000" w:rsidRPr="00000000">
        <w:rPr>
          <w:rFonts w:ascii="Palatino Linotype" w:cs="Palatino Linotype" w:eastAsia="Palatino Linotype" w:hAnsi="Palatino Linotype"/>
          <w:rtl w:val="0"/>
        </w:rPr>
        <w:t xml:space="preserve">, el cual contiene los siguientes documentos: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851" w:right="84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número 356/2025 de fecha veintiocho de agosto de dos mil veinticinco, emitido por la Titular de la Unidad de Transparencia, en el que informó que en fecha catorce de agosto de dos mil veinticinco se notificó al servidor público habilitado la solicitud de información  a través del SAIMEX, sin embargo al monitorear horas más tarde el sistema se detectó que por error humano, se había seleccionado dentro del catálogo la opción </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“respuesta a solicitud o entrega de información”</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debiendo ser </w:t>
      </w:r>
      <w:r w:rsidDel="00000000" w:rsidR="00000000" w:rsidRPr="00000000">
        <w:rPr>
          <w:rFonts w:ascii="Palatino Linotype" w:cs="Palatino Linotype" w:eastAsia="Palatino Linotype" w:hAnsi="Palatino Linotype"/>
          <w:b w:val="0"/>
          <w:bCs w:val="0"/>
          <w:i w:val="1"/>
          <w:iCs w:val="1"/>
          <w:smallCaps w:val="0"/>
          <w:strike w:val="0"/>
          <w:color w:val="000000"/>
          <w:sz w:val="22"/>
          <w:szCs w:val="22"/>
          <w:u w:val="none"/>
          <w:shd w:fill="auto" w:val="clear"/>
          <w:vertAlign w:val="baseline"/>
          <w:rtl w:val="0"/>
        </w:rPr>
        <w:t xml:space="preserve">“turno al servidor público habilitado”</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sin embargo, mediante oficio 323/2025 se </w:t>
      </w:r>
      <w:r w:rsidDel="00000000" w:rsidR="00000000" w:rsidRPr="00000000">
        <w:rPr>
          <w:rFonts w:ascii="Palatino Linotype" w:cs="Palatino Linotype" w:eastAsia="Palatino Linotype" w:hAnsi="Palatino Linotype"/>
          <w:rtl w:val="0"/>
        </w:rPr>
        <w:t xml:space="preserve">notificó</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a la Encargada de Despacho de la Dirección de Administración, Finanzas y de Gestión Documental la solicitud de información con el objeto de proporcionar la información requerida.</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851" w:right="84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número 0323/2025 de fecha trece de agosto de dos mil veinticinco, suscrito por la Titular de la Unidad de Transparencia, mediante el cual solicita a la Encargada de Despacho de la Dirección de Administración, Finanzas y de Gestión Documental dar atención a la solicitud de información. </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851" w:right="843"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Oficio número 225C0201040000L-1982/2025 de fecha veintiocho de agosto de dos mil veinticinco, suscrito por la Encargada de Despacho de la Dirección de Administración, Finanzas y de Gestión Documental, en el que informó que realizó una búsqueda exhaustiva y razonable de la información en sus archivos, expedientes y bases de datos, de la que no se encontró registro de la información solicitada. </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documento no fue hecho del conocimiento de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por dejarse visible datos considerados como confidenciales, como lo son el número de usuario del sistema saimex, mientras que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fue omisa en rendir manifestaciones.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Ampliación de plazo. </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El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tres de diciembre de dos mil veinticinco</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2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a)    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3">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b)   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34">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  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35">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3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bCs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3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3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after="0" w:line="360" w:lineRule="auto"/>
        <w:ind w:left="851"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0">
      <w:pPr>
        <w:spacing w:after="0" w:line="360" w:lineRule="auto"/>
        <w:ind w:left="851"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1">
      <w:pPr>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Cierre de instrucción</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En fecha </w:t>
      </w: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diez de diciembre de dos mil veinticinco</w:t>
      </w: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 la Comisionada Ponente determinó el cierre de instrucción en términos de la fracción VI del artículo 185 de la Ley de Transparencia y Acceso a la Información Pública del Estado de México y Municipios.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spacing w:after="0" w:line="360" w:lineRule="auto"/>
        <w:ind w:right="49"/>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II.</w:t>
        <w:tab/>
        <w:t xml:space="preserve">C O N S I D E R A N D O:</w:t>
      </w:r>
    </w:p>
    <w:p w:rsidR="00000000" w:rsidDel="00000000" w:rsidP="00000000" w:rsidRDefault="00000000" w:rsidRPr="00000000" w14:paraId="0000004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proporcionó su respuesta a la solicitud de información el </w:t>
      </w:r>
      <w:r w:rsidDel="00000000" w:rsidR="00000000" w:rsidRPr="00000000">
        <w:rPr>
          <w:rFonts w:ascii="Palatino Linotype" w:cs="Palatino Linotype" w:eastAsia="Palatino Linotype" w:hAnsi="Palatino Linotype"/>
          <w:b w:val="1"/>
          <w:bCs w:val="1"/>
          <w:rtl w:val="0"/>
        </w:rPr>
        <w:t xml:space="preserve">catorce de agosto de dos mil veinticinco</w:t>
      </w:r>
      <w:r w:rsidDel="00000000" w:rsidR="00000000" w:rsidRPr="00000000">
        <w:rPr>
          <w:rFonts w:ascii="Palatino Linotype" w:cs="Palatino Linotype" w:eastAsia="Palatino Linotype" w:hAnsi="Palatino Linotype"/>
          <w:rtl w:val="0"/>
        </w:rPr>
        <w:t xml:space="preserve">, y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presentó su recurso de revisión el </w:t>
      </w:r>
      <w:r w:rsidDel="00000000" w:rsidR="00000000" w:rsidRPr="00000000">
        <w:rPr>
          <w:rFonts w:ascii="Palatino Linotype" w:cs="Palatino Linotype" w:eastAsia="Palatino Linotype" w:hAnsi="Palatino Linotype"/>
          <w:b w:val="1"/>
          <w:bCs w:val="1"/>
          <w:rtl w:val="0"/>
        </w:rPr>
        <w:t xml:space="preserve">catorce de agosto de dos mil veinticinco</w:t>
      </w:r>
      <w:r w:rsidDel="00000000" w:rsidR="00000000" w:rsidRPr="00000000">
        <w:rPr>
          <w:rFonts w:ascii="Palatino Linotype" w:cs="Palatino Linotype" w:eastAsia="Palatino Linotype" w:hAnsi="Palatino Linotype"/>
          <w:rtl w:val="0"/>
        </w:rPr>
        <w:t xml:space="preserve">, esto es el mismo día en que tuvo conocimiento de la respuesta. </w:t>
      </w:r>
    </w:p>
    <w:p w:rsidR="00000000" w:rsidDel="00000000" w:rsidP="00000000" w:rsidRDefault="00000000" w:rsidRPr="00000000" w14:paraId="0000004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así como la fecha en que se interpuso el recurso de revisión, se concluye que el presente recurso de revisión se encuentra dentro de los márgenes temporales previstos las disposiciones legales referidas.</w:t>
      </w:r>
    </w:p>
    <w:p w:rsidR="00000000" w:rsidDel="00000000" w:rsidP="00000000" w:rsidRDefault="00000000" w:rsidRPr="00000000" w14:paraId="0000005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5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55">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rsidR="00000000" w:rsidDel="00000000" w:rsidP="00000000" w:rsidRDefault="00000000" w:rsidRPr="00000000" w14:paraId="0000005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5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 la hipótesis prevista en el artículo 179, fracción I de la ley de la materia, que a la letra dice:</w:t>
      </w:r>
    </w:p>
    <w:p w:rsidR="00000000" w:rsidDel="00000000" w:rsidP="00000000" w:rsidRDefault="00000000" w:rsidRPr="00000000" w14:paraId="0000005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spacing w:after="0" w:lineRule="auto"/>
        <w:ind w:left="567" w:right="4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179. </w:t>
      </w:r>
      <w:r w:rsidDel="00000000" w:rsidR="00000000" w:rsidRPr="00000000">
        <w:rPr>
          <w:rFonts w:ascii="Palatino Linotype" w:cs="Palatino Linotype" w:eastAsia="Palatino Linotype" w:hAnsi="Palatino Linotype"/>
          <w:i w:val="1"/>
          <w:iCs w:val="1"/>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C">
      <w:pPr>
        <w:spacing w:after="0" w:lineRule="auto"/>
        <w:ind w:left="567" w:right="4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5D">
      <w:pPr>
        <w:spacing w:after="0" w:lineRule="auto"/>
        <w:ind w:left="567" w:right="4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La negativa de entrega de la información; </w:t>
      </w:r>
    </w:p>
    <w:p w:rsidR="00000000" w:rsidDel="00000000" w:rsidP="00000000" w:rsidRDefault="00000000" w:rsidRPr="00000000" w14:paraId="0000005E">
      <w:pPr>
        <w:spacing w:after="0" w:line="360" w:lineRule="auto"/>
        <w:ind w:left="567" w:right="49"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w:t>
      </w:r>
    </w:p>
    <w:p w:rsidR="00000000" w:rsidDel="00000000" w:rsidP="00000000" w:rsidRDefault="00000000" w:rsidRPr="00000000" w14:paraId="0000005F">
      <w:pPr>
        <w:spacing w:after="0" w:line="360" w:lineRule="auto"/>
        <w:ind w:left="567" w:right="49"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6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Tercero. Materia de Revisión</w:t>
      </w:r>
      <w:r w:rsidDel="00000000" w:rsidR="00000000" w:rsidRPr="00000000">
        <w:rPr>
          <w:rFonts w:ascii="Palatino Linotype" w:cs="Palatino Linotype" w:eastAsia="Palatino Linotype" w:hAnsi="Palatino Linotype"/>
          <w:rtl w:val="0"/>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6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Estudio de fondo del asunto.</w:t>
      </w:r>
      <w:r w:rsidDel="00000000" w:rsidR="00000000" w:rsidRPr="00000000">
        <w:rPr>
          <w:rFonts w:ascii="Palatino Linotype" w:cs="Palatino Linotype" w:eastAsia="Palatino Linotype" w:hAnsi="Palatino Linotype"/>
          <w:rtl w:val="0"/>
        </w:rPr>
        <w:t xml:space="preserve">  Es conveniente analizar si la respuesta e informe justificado del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tabs>
          <w:tab w:val="left" w:leader="none" w:pos="851"/>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4</w:t>
      </w:r>
      <w:r w:rsidDel="00000000" w:rsidR="00000000" w:rsidRPr="00000000">
        <w:rPr>
          <w:rFonts w:ascii="Palatino Linotype" w:cs="Palatino Linotype" w:eastAsia="Palatino Linotype" w:hAnsi="Palatino Linotype"/>
          <w:i w:val="1"/>
          <w:iCs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5">
      <w:pPr>
        <w:tabs>
          <w:tab w:val="left" w:leader="none" w:pos="851"/>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6">
      <w:pPr>
        <w:tabs>
          <w:tab w:val="left" w:leader="none" w:pos="851"/>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67">
      <w:pPr>
        <w:tabs>
          <w:tab w:val="left" w:leader="none" w:pos="851"/>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6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6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12.-</w:t>
      </w:r>
      <w:r w:rsidDel="00000000" w:rsidR="00000000" w:rsidRPr="00000000">
        <w:rPr>
          <w:rFonts w:ascii="Palatino Linotype" w:cs="Palatino Linotype" w:eastAsia="Palatino Linotype" w:hAnsi="Palatino Linotype"/>
          <w:i w:val="1"/>
          <w:iCs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C">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6D">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iCs w:val="1"/>
          <w:rtl w:val="0"/>
        </w:rPr>
        <w:t xml:space="preserve">.” </w:t>
      </w:r>
    </w:p>
    <w:p w:rsidR="00000000" w:rsidDel="00000000" w:rsidP="00000000" w:rsidRDefault="00000000" w:rsidRPr="00000000" w14:paraId="0000006E">
      <w:pPr>
        <w:spacing w:after="0" w:lineRule="auto"/>
        <w:ind w:left="567" w:right="49"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6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7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1">
      <w:pPr>
        <w:spacing w:after="0" w:line="360" w:lineRule="auto"/>
        <w:ind w:right="49"/>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bCs w:val="1"/>
          <w:rtl w:val="0"/>
        </w:rPr>
        <w:t xml:space="preserve"> </w:t>
      </w:r>
    </w:p>
    <w:p w:rsidR="00000000" w:rsidDel="00000000" w:rsidP="00000000" w:rsidRDefault="00000000" w:rsidRPr="00000000" w14:paraId="00000072">
      <w:pPr>
        <w:spacing w:after="0" w:lineRule="auto"/>
        <w:ind w:left="851"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3">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74">
      <w:pPr>
        <w:spacing w:after="0" w:lineRule="auto"/>
        <w:ind w:left="567" w:right="49"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7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7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7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B">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3. </w:t>
      </w:r>
      <w:r w:rsidDel="00000000" w:rsidR="00000000" w:rsidRPr="00000000">
        <w:rPr>
          <w:rFonts w:ascii="Palatino Linotype" w:cs="Palatino Linotype" w:eastAsia="Palatino Linotype" w:hAnsi="Palatino Linotype"/>
          <w:i w:val="1"/>
          <w:iCs w:val="1"/>
          <w:rtl w:val="0"/>
        </w:rPr>
        <w:t xml:space="preserve">Para los efectos de la presente Ley se entenderá por:</w:t>
      </w:r>
    </w:p>
    <w:p w:rsidR="00000000" w:rsidDel="00000000" w:rsidP="00000000" w:rsidRDefault="00000000" w:rsidRPr="00000000" w14:paraId="0000007C">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7D">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XI. Documento:</w:t>
      </w:r>
      <w:r w:rsidDel="00000000" w:rsidR="00000000" w:rsidRPr="00000000">
        <w:rPr>
          <w:rFonts w:ascii="Palatino Linotype" w:cs="Palatino Linotype" w:eastAsia="Palatino Linotype" w:hAnsi="Palatino Linotype"/>
          <w:i w:val="1"/>
          <w:iCs w:val="1"/>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rtl w:val="0"/>
        </w:rPr>
        <w:t xml:space="preserve">,</w:t>
      </w:r>
      <w:r w:rsidDel="00000000" w:rsidR="00000000" w:rsidRPr="00000000">
        <w:rPr>
          <w:rFonts w:ascii="Palatino Linotype" w:cs="Palatino Linotype" w:eastAsia="Palatino Linotype" w:hAnsi="Palatino Linotype"/>
          <w:i w:val="1"/>
          <w:iCs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7E">
      <w:pPr>
        <w:spacing w:after="0" w:line="360" w:lineRule="auto"/>
        <w:ind w:left="851"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0">
      <w:pPr>
        <w:spacing w:after="0" w:line="360" w:lineRule="auto"/>
        <w:ind w:left="851"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1">
      <w:pPr>
        <w:tabs>
          <w:tab w:val="left" w:leader="none" w:pos="7797"/>
        </w:tabs>
        <w:spacing w:after="0" w:lineRule="auto"/>
        <w:ind w:left="851" w:right="843"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82">
      <w:pPr>
        <w:tabs>
          <w:tab w:val="left" w:leader="none" w:pos="7797"/>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consecuencia el acceso a la información se refiere a que se cumplan cualquiera de los siguientes tres supuestos:</w:t>
      </w:r>
    </w:p>
    <w:p w:rsidR="00000000" w:rsidDel="00000000" w:rsidP="00000000" w:rsidRDefault="00000000" w:rsidRPr="00000000" w14:paraId="00000083">
      <w:pPr>
        <w:tabs>
          <w:tab w:val="left" w:leader="none" w:pos="7797"/>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84">
      <w:pPr>
        <w:tabs>
          <w:tab w:val="left" w:leader="none" w:pos="7797"/>
        </w:tabs>
        <w:spacing w:after="0" w:lineRule="auto"/>
        <w:ind w:left="851" w:right="843"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85">
      <w:pPr>
        <w:tabs>
          <w:tab w:val="left" w:leader="none" w:pos="7797"/>
        </w:tabs>
        <w:spacing w:after="0" w:lineRule="auto"/>
        <w:ind w:left="851" w:right="843"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8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spacing w:after="0" w:line="360" w:lineRule="auto"/>
        <w:ind w:right="49"/>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Dicho lo anterior, es de recordar que la parte Solicitante requirió los contratos de prestación de servicios o adquisición de bienes, en donde se vieron beneficiados el personal de las áreas de recursos materiales, de la dirección de administración, finanzas y de gestión documental y de las áreas solicitantes, del 01 de enero de 2024 a 30 de julio de 2025. </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la Unidad de Transparencia hizo del conocimiento el contenido de la solicitud interpuesta por el solicitante. </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se inconformó arguyendo la negativa de entrega de la información. </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mediante informe justificado, la Encargada de Despacho de la Dirección de Administración, Finanzas y de Gestión Documental informó que realizó una búsqueda exhaustiva y razonable de la información en sus archivos, expedientes y bases de datos, de la que no se encontró registro de la información solicitada; mientras que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fue omisa en rendir manifestaciones. </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atendiendo a la naturaleza del asunto, resulta necesario contextualizar la información solicitada, para ello, es necesario traer a colación lo que establecen los artículos 26 y 27 de la Ley de Contratación Pública del Estado de México y Municipios, las adquisiciones, arrendamientos y servicios se adjudicarán a través de licitaciones públicas mediante convocatoria pública o bien, a través de las excepciones a dicho procedimiento, como se observa a continuación: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spacing w:after="0" w:lineRule="auto"/>
        <w:ind w:left="851" w:right="843" w:firstLine="0"/>
        <w:jc w:val="center"/>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LEY DE CONTRATACIÓN PÚBLICA DEL ESTADO DE MÉXICO Y MUNICIPIO</w:t>
      </w:r>
    </w:p>
    <w:p w:rsidR="00000000" w:rsidDel="00000000" w:rsidP="00000000" w:rsidRDefault="00000000" w:rsidRPr="00000000" w14:paraId="00000092">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26.-</w:t>
      </w:r>
      <w:r w:rsidDel="00000000" w:rsidR="00000000" w:rsidRPr="00000000">
        <w:rPr>
          <w:rFonts w:ascii="Palatino Linotype" w:cs="Palatino Linotype" w:eastAsia="Palatino Linotype" w:hAnsi="Palatino Linotype"/>
          <w:i w:val="1"/>
          <w:iCs w:val="1"/>
          <w:rtl w:val="0"/>
        </w:rPr>
        <w:t xml:space="preserve"> Las adquisiciones, arrendamientos y servicios se adjudicarán a través de licitaciones públicas, mediante convocatoria pública. </w:t>
      </w:r>
    </w:p>
    <w:p w:rsidR="00000000" w:rsidDel="00000000" w:rsidP="00000000" w:rsidRDefault="00000000" w:rsidRPr="00000000" w14:paraId="00000093">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94">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27.-</w:t>
      </w:r>
      <w:r w:rsidDel="00000000" w:rsidR="00000000" w:rsidRPr="00000000">
        <w:rPr>
          <w:rFonts w:ascii="Palatino Linotype" w:cs="Palatino Linotype" w:eastAsia="Palatino Linotype" w:hAnsi="Palatino Linotype"/>
          <w:i w:val="1"/>
          <w:iCs w:val="1"/>
          <w:rtl w:val="0"/>
        </w:rPr>
        <w:t xml:space="preserve"> La Secretaría, las entidades, los tribunales administrativos y los ayuntamientos podrán adjudicar adquisiciones, arrendamientos y servicios, mediante las excepciones al procedimiento de licitación que a continuación se señalan: </w:t>
      </w:r>
    </w:p>
    <w:p w:rsidR="00000000" w:rsidDel="00000000" w:rsidP="00000000" w:rsidRDefault="00000000" w:rsidRPr="00000000" w14:paraId="00000095">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Invitación restringida. </w:t>
      </w:r>
    </w:p>
    <w:p w:rsidR="00000000" w:rsidDel="00000000" w:rsidP="00000000" w:rsidRDefault="00000000" w:rsidRPr="00000000" w14:paraId="00000096">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Adjudicación directa.</w:t>
      </w:r>
    </w:p>
    <w:p w:rsidR="00000000" w:rsidDel="00000000" w:rsidP="00000000" w:rsidRDefault="00000000" w:rsidRPr="00000000" w14:paraId="00000097">
      <w:pPr>
        <w:spacing w:after="0" w:line="360" w:lineRule="auto"/>
        <w:ind w:left="567" w:right="49"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9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al procedimiento de </w:t>
      </w:r>
      <w:r w:rsidDel="00000000" w:rsidR="00000000" w:rsidRPr="00000000">
        <w:rPr>
          <w:rFonts w:ascii="Palatino Linotype" w:cs="Palatino Linotype" w:eastAsia="Palatino Linotype" w:hAnsi="Palatino Linotype"/>
          <w:b w:val="1"/>
          <w:bCs w:val="1"/>
          <w:rtl w:val="0"/>
        </w:rPr>
        <w:t xml:space="preserve">licitación pública</w:t>
      </w:r>
      <w:r w:rsidDel="00000000" w:rsidR="00000000" w:rsidRPr="00000000">
        <w:rPr>
          <w:rFonts w:ascii="Palatino Linotype" w:cs="Palatino Linotype" w:eastAsia="Palatino Linotype" w:hAnsi="Palatino Linotype"/>
          <w:rtl w:val="0"/>
        </w:rPr>
        <w:t xml:space="preserve">, es de mencionar que,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rsidR="00000000" w:rsidDel="00000000" w:rsidP="00000000" w:rsidRDefault="00000000" w:rsidRPr="00000000" w14:paraId="0000009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cuando hace a la </w:t>
      </w:r>
      <w:r w:rsidDel="00000000" w:rsidR="00000000" w:rsidRPr="00000000">
        <w:rPr>
          <w:rFonts w:ascii="Palatino Linotype" w:cs="Palatino Linotype" w:eastAsia="Palatino Linotype" w:hAnsi="Palatino Linotype"/>
          <w:b w:val="1"/>
          <w:bCs w:val="1"/>
          <w:rtl w:val="0"/>
        </w:rPr>
        <w:t xml:space="preserve">adjudicación directa</w:t>
      </w:r>
      <w:r w:rsidDel="00000000" w:rsidR="00000000" w:rsidRPr="00000000">
        <w:rPr>
          <w:rFonts w:ascii="Palatino Linotype" w:cs="Palatino Linotype" w:eastAsia="Palatino Linotype" w:hAnsi="Palatino Linotype"/>
          <w:rtl w:val="0"/>
        </w:rPr>
        <w:t xml:space="preserve">, la Secretaría de la Función Pública, (consultable en </w:t>
      </w:r>
      <w:hyperlink r:id="rId7">
        <w:r w:rsidDel="00000000" w:rsidR="00000000" w:rsidRPr="00000000">
          <w:rPr>
            <w:rFonts w:ascii="Palatino Linotype" w:cs="Palatino Linotype" w:eastAsia="Palatino Linotype" w:hAnsi="Palatino Linotype"/>
            <w:u w:val="single"/>
            <w:rtl w:val="0"/>
          </w:rPr>
          <w:t xml:space="preserve">https://www.gob.mx/sfp/acciones-y-programas/1-3-3-adjudicacion-directa</w:t>
        </w:r>
      </w:hyperlink>
      <w:r w:rsidDel="00000000" w:rsidR="00000000" w:rsidRPr="00000000">
        <w:rPr>
          <w:rFonts w:ascii="Palatino Linotype" w:cs="Palatino Linotype" w:eastAsia="Palatino Linotype" w:hAnsi="Palatino Linotype"/>
          <w:rtl w:val="0"/>
        </w:rPr>
        <w:t xml:space="preserve">) establece que, es un procedimiento que se realiza sin puesta en concurrencia y, por ende, sin que exista competencia, adjudicándose el contrato a un proveedor que ha sido preseleccionado para tales efectos por la dependencia o entidad. </w:t>
      </w:r>
    </w:p>
    <w:p w:rsidR="00000000" w:rsidDel="00000000" w:rsidP="00000000" w:rsidRDefault="00000000" w:rsidRPr="00000000" w14:paraId="0000009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último, respecto a la </w:t>
      </w:r>
      <w:r w:rsidDel="00000000" w:rsidR="00000000" w:rsidRPr="00000000">
        <w:rPr>
          <w:rFonts w:ascii="Palatino Linotype" w:cs="Palatino Linotype" w:eastAsia="Palatino Linotype" w:hAnsi="Palatino Linotype"/>
          <w:b w:val="1"/>
          <w:bCs w:val="1"/>
          <w:rtl w:val="0"/>
        </w:rPr>
        <w:t xml:space="preserve">invitación restringida a cuando menos tres proveedores</w:t>
      </w:r>
      <w:r w:rsidDel="00000000" w:rsidR="00000000" w:rsidRPr="00000000">
        <w:rPr>
          <w:rFonts w:ascii="Palatino Linotype" w:cs="Palatino Linotype" w:eastAsia="Palatino Linotype" w:hAnsi="Palatino Linotype"/>
          <w:rtl w:val="0"/>
        </w:rPr>
        <w:t xml:space="preserve">, la Secretaría de la Contraloría (consultable en </w:t>
      </w:r>
      <w:hyperlink r:id="rId8">
        <w:r w:rsidDel="00000000" w:rsidR="00000000" w:rsidRPr="00000000">
          <w:rPr>
            <w:rFonts w:ascii="Palatino Linotype" w:cs="Palatino Linotype" w:eastAsia="Palatino Linotype" w:hAnsi="Palatino Linotype"/>
            <w:u w:val="single"/>
            <w:rtl w:val="0"/>
          </w:rPr>
          <w:t xml:space="preserve">http://www.contraloriadf.gob.mx/contraloria/cursos/ADQUISICIONES/paginas/32.php#:~:text=Es%20un%20procedimiento%20administrativo%2C%20de,tres%20oferentes%20a%20presentar%20propuestas%2C</w:t>
        </w:r>
      </w:hyperlink>
      <w:r w:rsidDel="00000000" w:rsidR="00000000" w:rsidRPr="00000000">
        <w:rPr>
          <w:rFonts w:ascii="Palatino Linotype" w:cs="Palatino Linotype" w:eastAsia="Palatino Linotype" w:hAnsi="Palatino Linotype"/>
          <w:rtl w:val="0"/>
        </w:rPr>
        <w:t xml:space="preserve">) precisa que es un procedimiento de excepción a la licitación pública que permite a las dependencias, unidades administrativas, órganos desconcentrados y entidades, en forma discrecional, realizar un procedimiento para adquirir, arrendar o contratar, invitando a por lo menos tres oferentes a presentar propuestas.</w:t>
      </w:r>
    </w:p>
    <w:p w:rsidR="00000000" w:rsidDel="00000000" w:rsidP="00000000" w:rsidRDefault="00000000" w:rsidRPr="00000000" w14:paraId="0000009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Reglamento de la Ley de Contratación Pública del Estado de México y Municipios, precisa lo siguiente: </w:t>
      </w:r>
    </w:p>
    <w:p w:rsidR="00000000" w:rsidDel="00000000" w:rsidP="00000000" w:rsidRDefault="00000000" w:rsidRPr="00000000" w14:paraId="0000009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2. - </w:t>
      </w:r>
      <w:r w:rsidDel="00000000" w:rsidR="00000000" w:rsidRPr="00000000">
        <w:rPr>
          <w:rFonts w:ascii="Palatino Linotype" w:cs="Palatino Linotype" w:eastAsia="Palatino Linotype" w:hAnsi="Palatino Linotype"/>
          <w:i w:val="1"/>
          <w:iCs w:val="1"/>
          <w:rtl w:val="0"/>
        </w:rPr>
        <w:t xml:space="preserve">Para los efectos de este Reglamento, se entenderá por:</w:t>
      </w:r>
    </w:p>
    <w:p w:rsidR="00000000" w:rsidDel="00000000" w:rsidP="00000000" w:rsidRDefault="00000000" w:rsidRPr="00000000" w14:paraId="000000A1">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tabs>
          <w:tab w:val="left" w:leader="none" w:pos="795"/>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w:t>
      </w:r>
      <w:r w:rsidDel="00000000" w:rsidR="00000000" w:rsidRPr="00000000">
        <w:rPr>
          <w:rFonts w:ascii="Palatino Linotype" w:cs="Palatino Linotype" w:eastAsia="Palatino Linotype" w:hAnsi="Palatino Linotype"/>
          <w:b w:val="1"/>
          <w:bCs w:val="1"/>
          <w:i w:val="1"/>
          <w:iCs w:val="1"/>
          <w:rtl w:val="0"/>
        </w:rPr>
        <w:t xml:space="preserve">Adjudicación directa:</w:t>
      </w:r>
      <w:r w:rsidDel="00000000" w:rsidR="00000000" w:rsidRPr="00000000">
        <w:rPr>
          <w:rFonts w:ascii="Palatino Linotype" w:cs="Palatino Linotype" w:eastAsia="Palatino Linotype" w:hAnsi="Palatino Linotype"/>
          <w:i w:val="1"/>
          <w:iCs w:val="1"/>
          <w:rtl w:val="0"/>
        </w:rPr>
        <w:t xml:space="preserve"> Excepción al procedimiento de licitación pública para la adquisición de bienes, enajenación o arrendamiento de bienes, o la contratación de servicios en el que la convocante, designa al proveedor de bienes, arrendador, comprador o prestador del servicio, con base en las mejores condiciones en cuanto a precio, calidad, financiamiento, oportunidad y demás circunstancias pertinentes.</w:t>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tabs>
          <w:tab w:val="left" w:leader="none" w:pos="795"/>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tabs>
          <w:tab w:val="left" w:leader="none" w:pos="795"/>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XII.</w:t>
        <w:tab/>
      </w:r>
      <w:r w:rsidDel="00000000" w:rsidR="00000000" w:rsidRPr="00000000">
        <w:rPr>
          <w:rFonts w:ascii="Palatino Linotype" w:cs="Palatino Linotype" w:eastAsia="Palatino Linotype" w:hAnsi="Palatino Linotype"/>
          <w:b w:val="1"/>
          <w:bCs w:val="1"/>
          <w:i w:val="1"/>
          <w:iCs w:val="1"/>
          <w:rtl w:val="0"/>
        </w:rPr>
        <w:t xml:space="preserve">Invitación restringida:</w:t>
      </w:r>
      <w:r w:rsidDel="00000000" w:rsidR="00000000" w:rsidRPr="00000000">
        <w:rPr>
          <w:rFonts w:ascii="Palatino Linotype" w:cs="Palatino Linotype" w:eastAsia="Palatino Linotype" w:hAnsi="Palatino Linotype"/>
          <w:i w:val="1"/>
          <w:iCs w:val="1"/>
          <w:rtl w:val="0"/>
        </w:rPr>
        <w:t xml:space="preserve"> Excepción al procedimiento de licitación pública, mediante el cual la Secretaría, organismos auxiliares, tribunales administrativos o municipios adquieren bienes muebles y contratan servicios, a través de la invitación a cuando menos tres personas, para obtener las mejores condiciones en cuanto a precio, calidad, financiamiento, oportunidad y demás circunstancias pertinentes, en términos de la Ley y del presente Reglamento.</w:t>
      </w:r>
    </w:p>
    <w:p w:rsidR="00000000" w:rsidDel="00000000" w:rsidP="00000000" w:rsidRDefault="00000000" w:rsidRPr="00000000" w14:paraId="000000A5">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A6">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XIV.</w:t>
        <w:tab/>
      </w:r>
      <w:r w:rsidDel="00000000" w:rsidR="00000000" w:rsidRPr="00000000">
        <w:rPr>
          <w:rFonts w:ascii="Palatino Linotype" w:cs="Palatino Linotype" w:eastAsia="Palatino Linotype" w:hAnsi="Palatino Linotype"/>
          <w:b w:val="1"/>
          <w:bCs w:val="1"/>
          <w:i w:val="1"/>
          <w:iCs w:val="1"/>
          <w:rtl w:val="0"/>
        </w:rPr>
        <w:t xml:space="preserve">Licitación pública:</w:t>
      </w:r>
      <w:r w:rsidDel="00000000" w:rsidR="00000000" w:rsidRPr="00000000">
        <w:rPr>
          <w:rFonts w:ascii="Palatino Linotype" w:cs="Palatino Linotype" w:eastAsia="Palatino Linotype" w:hAnsi="Palatino Linotype"/>
          <w:i w:val="1"/>
          <w:iCs w:val="1"/>
          <w:rtl w:val="0"/>
        </w:rPr>
        <w:t xml:space="preserve"> Modalidad de adquisición de bienes y contratación de servicios, mediante convocatoria pública que realicen la Secretaría, organismos auxiliares, tribunales administrativos o municipios, por el que se aseguran las mejores condiciones en cuanto a precio, calidad, financiamiento, oportunidad y demás circunstancias pertinentes.</w:t>
      </w:r>
    </w:p>
    <w:p w:rsidR="00000000" w:rsidDel="00000000" w:rsidP="00000000" w:rsidRDefault="00000000" w:rsidRPr="00000000" w14:paraId="000000A7">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A8">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XXI.</w:t>
        <w:tab/>
      </w:r>
      <w:r w:rsidDel="00000000" w:rsidR="00000000" w:rsidRPr="00000000">
        <w:rPr>
          <w:rFonts w:ascii="Palatino Linotype" w:cs="Palatino Linotype" w:eastAsia="Palatino Linotype" w:hAnsi="Palatino Linotype"/>
          <w:b w:val="1"/>
          <w:bCs w:val="1"/>
          <w:i w:val="1"/>
          <w:iCs w:val="1"/>
          <w:rtl w:val="0"/>
        </w:rPr>
        <w:t xml:space="preserve">Procedimiento de adquisición:</w:t>
      </w:r>
      <w:r w:rsidDel="00000000" w:rsidR="00000000" w:rsidRPr="00000000">
        <w:rPr>
          <w:rFonts w:ascii="Palatino Linotype" w:cs="Palatino Linotype" w:eastAsia="Palatino Linotype" w:hAnsi="Palatino Linotype"/>
          <w:i w:val="1"/>
          <w:iCs w:val="1"/>
          <w:rtl w:val="0"/>
        </w:rPr>
        <w:t xml:space="preserve"> Conjunto de etapas por las que la Secretaría, las dependencias, organismos auxiliares, tribunales administrativos o municipios , adquieren bienes, contratan servicios o  adquieren  en  arrendamiento bienes  inmuebles  para  el cumplimiento  de  sus funciones, programas y acciones.</w:t>
      </w:r>
    </w:p>
    <w:p w:rsidR="00000000" w:rsidDel="00000000" w:rsidP="00000000" w:rsidRDefault="00000000" w:rsidRPr="00000000" w14:paraId="000000A9">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AA">
      <w:pPr>
        <w:spacing w:after="0" w:lineRule="auto"/>
        <w:ind w:left="567" w:right="49"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A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respecta a la materia del derecho de acceso a la información pública, es de destacar que de acuerdo con lo que establece el artículo 92, fracción XXIX de la Ley de Transparencia y Acceso a la Información Pública del Estado de México y Municipios los sujetos obligados deben poner a disposición de los particulares la información relacionada con los procedimientos de contratación, tal como se puede apreciar a continuación: </w:t>
      </w:r>
    </w:p>
    <w:p w:rsidR="00000000" w:rsidDel="00000000" w:rsidP="00000000" w:rsidRDefault="00000000" w:rsidRPr="00000000" w14:paraId="000000A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92.</w:t>
      </w:r>
      <w:r w:rsidDel="00000000" w:rsidR="00000000" w:rsidRPr="00000000">
        <w:rPr>
          <w:rFonts w:ascii="Palatino Linotype" w:cs="Palatino Linotype" w:eastAsia="Palatino Linotype" w:hAnsi="Palatino Linotype"/>
          <w:i w:val="1"/>
          <w:iCs w:val="1"/>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AE">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AF">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XXIX.</w:t>
      </w:r>
      <w:r w:rsidDel="00000000" w:rsidR="00000000" w:rsidRPr="00000000">
        <w:rPr>
          <w:rFonts w:ascii="Palatino Linotype" w:cs="Palatino Linotype" w:eastAsia="Palatino Linotype" w:hAnsi="Palatino Linotype"/>
          <w:i w:val="1"/>
          <w:iCs w:val="1"/>
          <w:rtl w:val="0"/>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000000" w:rsidDel="00000000" w:rsidP="00000000" w:rsidRDefault="00000000" w:rsidRPr="00000000" w14:paraId="000000B0">
      <w:pPr>
        <w:spacing w:after="0" w:lineRule="auto"/>
        <w:ind w:left="851" w:right="843" w:firstLine="0"/>
        <w:jc w:val="both"/>
        <w:rPr>
          <w:rFonts w:ascii="Palatino Linotype" w:cs="Palatino Linotype" w:eastAsia="Palatino Linotype" w:hAnsi="Palatino Linotype"/>
          <w:b w:val="1"/>
          <w:bCs w:val="1"/>
          <w:i w:val="1"/>
          <w:iCs w:val="1"/>
          <w:u w:val="single"/>
        </w:rPr>
      </w:pPr>
      <w:r w:rsidDel="00000000" w:rsidR="00000000" w:rsidRPr="00000000">
        <w:rPr>
          <w:rFonts w:ascii="Palatino Linotype" w:cs="Palatino Linotype" w:eastAsia="Palatino Linotype" w:hAnsi="Palatino Linotype"/>
          <w:b w:val="1"/>
          <w:bCs w:val="1"/>
          <w:i w:val="1"/>
          <w:iCs w:val="1"/>
          <w:u w:val="single"/>
          <w:rtl w:val="0"/>
        </w:rPr>
        <w:t xml:space="preserve">a) De licitaciones públicas o procedimientos de invitación restringida: </w:t>
      </w:r>
    </w:p>
    <w:p w:rsidR="00000000" w:rsidDel="00000000" w:rsidP="00000000" w:rsidRDefault="00000000" w:rsidRPr="00000000" w14:paraId="000000B1">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 La convocatoria o invitación emitida, así como los fundamentos legales aplicados para llevarla a cabo; </w:t>
      </w:r>
    </w:p>
    <w:p w:rsidR="00000000" w:rsidDel="00000000" w:rsidP="00000000" w:rsidRDefault="00000000" w:rsidRPr="00000000" w14:paraId="000000B2">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2) Los nombres de los participantes o invitados; </w:t>
      </w:r>
    </w:p>
    <w:p w:rsidR="00000000" w:rsidDel="00000000" w:rsidP="00000000" w:rsidRDefault="00000000" w:rsidRPr="00000000" w14:paraId="000000B3">
      <w:pPr>
        <w:spacing w:after="0" w:lineRule="auto"/>
        <w:ind w:left="851" w:right="843" w:firstLine="0"/>
        <w:jc w:val="both"/>
        <w:rPr>
          <w:rFonts w:ascii="Palatino Linotype" w:cs="Palatino Linotype" w:eastAsia="Palatino Linotype" w:hAnsi="Palatino Linotype"/>
          <w:b w:val="1"/>
          <w:bCs w:val="1"/>
          <w:i w:val="1"/>
          <w:iCs w:val="1"/>
          <w:u w:val="single"/>
        </w:rPr>
      </w:pPr>
      <w:r w:rsidDel="00000000" w:rsidR="00000000" w:rsidRPr="00000000">
        <w:rPr>
          <w:rFonts w:ascii="Palatino Linotype" w:cs="Palatino Linotype" w:eastAsia="Palatino Linotype" w:hAnsi="Palatino Linotype"/>
          <w:b w:val="1"/>
          <w:bCs w:val="1"/>
          <w:i w:val="1"/>
          <w:iCs w:val="1"/>
          <w:u w:val="single"/>
          <w:rtl w:val="0"/>
        </w:rPr>
        <w:t xml:space="preserve">3) El nombre del ganador y las razones que lo justifican; </w:t>
      </w:r>
    </w:p>
    <w:p w:rsidR="00000000" w:rsidDel="00000000" w:rsidP="00000000" w:rsidRDefault="00000000" w:rsidRPr="00000000" w14:paraId="000000B4">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4) El área solicitante y la responsable de su ejecución; </w:t>
      </w:r>
    </w:p>
    <w:p w:rsidR="00000000" w:rsidDel="00000000" w:rsidP="00000000" w:rsidRDefault="00000000" w:rsidRPr="00000000" w14:paraId="000000B5">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5) Las convocatorias e invitaciones emitidas; </w:t>
      </w:r>
    </w:p>
    <w:p w:rsidR="00000000" w:rsidDel="00000000" w:rsidP="00000000" w:rsidRDefault="00000000" w:rsidRPr="00000000" w14:paraId="000000B6">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6) Los dictámenes y fallo de adjudicación; </w:t>
      </w:r>
    </w:p>
    <w:p w:rsidR="00000000" w:rsidDel="00000000" w:rsidP="00000000" w:rsidRDefault="00000000" w:rsidRPr="00000000" w14:paraId="000000B7">
      <w:pPr>
        <w:spacing w:after="0" w:lineRule="auto"/>
        <w:ind w:left="851" w:right="843" w:firstLine="0"/>
        <w:jc w:val="both"/>
        <w:rPr>
          <w:rFonts w:ascii="Palatino Linotype" w:cs="Palatino Linotype" w:eastAsia="Palatino Linotype" w:hAnsi="Palatino Linotype"/>
          <w:b w:val="1"/>
          <w:bCs w:val="1"/>
          <w:i w:val="1"/>
          <w:iCs w:val="1"/>
          <w:u w:val="single"/>
        </w:rPr>
      </w:pPr>
      <w:r w:rsidDel="00000000" w:rsidR="00000000" w:rsidRPr="00000000">
        <w:rPr>
          <w:rFonts w:ascii="Palatino Linotype" w:cs="Palatino Linotype" w:eastAsia="Palatino Linotype" w:hAnsi="Palatino Linotype"/>
          <w:b w:val="1"/>
          <w:bCs w:val="1"/>
          <w:i w:val="1"/>
          <w:iCs w:val="1"/>
          <w:u w:val="single"/>
          <w:rtl w:val="0"/>
        </w:rPr>
        <w:t xml:space="preserve">7) El contrato y, en su caso, sus anexos; </w:t>
      </w:r>
    </w:p>
    <w:p w:rsidR="00000000" w:rsidDel="00000000" w:rsidP="00000000" w:rsidRDefault="00000000" w:rsidRPr="00000000" w14:paraId="000000B8">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8) Los mecanismos de vigilancia y supervisión, incluyendo en su caso, los estudios de impacto urbano y ambiental, según corresponda; </w:t>
      </w:r>
    </w:p>
    <w:p w:rsidR="00000000" w:rsidDel="00000000" w:rsidP="00000000" w:rsidRDefault="00000000" w:rsidRPr="00000000" w14:paraId="000000B9">
      <w:pPr>
        <w:spacing w:after="0" w:lineRule="auto"/>
        <w:ind w:left="851" w:right="843" w:firstLine="0"/>
        <w:jc w:val="both"/>
        <w:rPr>
          <w:rFonts w:ascii="Palatino Linotype" w:cs="Palatino Linotype" w:eastAsia="Palatino Linotype" w:hAnsi="Palatino Linotype"/>
          <w:b w:val="1"/>
          <w:bCs w:val="1"/>
          <w:i w:val="1"/>
          <w:iCs w:val="1"/>
          <w:u w:val="single"/>
        </w:rPr>
      </w:pPr>
      <w:r w:rsidDel="00000000" w:rsidR="00000000" w:rsidRPr="00000000">
        <w:rPr>
          <w:rFonts w:ascii="Palatino Linotype" w:cs="Palatino Linotype" w:eastAsia="Palatino Linotype" w:hAnsi="Palatino Linotype"/>
          <w:b w:val="1"/>
          <w:bCs w:val="1"/>
          <w:i w:val="1"/>
          <w:iCs w:val="1"/>
          <w:u w:val="single"/>
          <w:rtl w:val="0"/>
        </w:rPr>
        <w:t xml:space="preserve">9) La partida presupuestal, de conformidad con el clasificador por objeto del gasto, en el caso de ser aplicable; </w:t>
      </w:r>
    </w:p>
    <w:p w:rsidR="00000000" w:rsidDel="00000000" w:rsidP="00000000" w:rsidRDefault="00000000" w:rsidRPr="00000000" w14:paraId="000000BA">
      <w:pPr>
        <w:spacing w:after="0" w:lineRule="auto"/>
        <w:ind w:left="851" w:right="843" w:firstLine="0"/>
        <w:jc w:val="both"/>
        <w:rPr>
          <w:rFonts w:ascii="Palatino Linotype" w:cs="Palatino Linotype" w:eastAsia="Palatino Linotype" w:hAnsi="Palatino Linotype"/>
          <w:b w:val="1"/>
          <w:bCs w:val="1"/>
          <w:i w:val="1"/>
          <w:iCs w:val="1"/>
          <w:u w:val="single"/>
        </w:rPr>
      </w:pPr>
      <w:r w:rsidDel="00000000" w:rsidR="00000000" w:rsidRPr="00000000">
        <w:rPr>
          <w:rFonts w:ascii="Palatino Linotype" w:cs="Palatino Linotype" w:eastAsia="Palatino Linotype" w:hAnsi="Palatino Linotype"/>
          <w:b w:val="1"/>
          <w:bCs w:val="1"/>
          <w:i w:val="1"/>
          <w:iCs w:val="1"/>
          <w:u w:val="single"/>
          <w:rtl w:val="0"/>
        </w:rPr>
        <w:t xml:space="preserve">10) Origen de los recursos especificando si son federales, estatales o municipales, así como el tipo de fondo de participación o aportación respectiva; </w:t>
      </w:r>
    </w:p>
    <w:p w:rsidR="00000000" w:rsidDel="00000000" w:rsidP="00000000" w:rsidRDefault="00000000" w:rsidRPr="00000000" w14:paraId="000000BB">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11) Los convenios modificatorios que, en su caso, sean firmados, precisando el objeto y la fecha de celebración; </w:t>
      </w:r>
    </w:p>
    <w:p w:rsidR="00000000" w:rsidDel="00000000" w:rsidP="00000000" w:rsidRDefault="00000000" w:rsidRPr="00000000" w14:paraId="000000BC">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12) Los informes de avance físico y financiero sobre las obras o servicios contratados; </w:t>
      </w:r>
    </w:p>
    <w:p w:rsidR="00000000" w:rsidDel="00000000" w:rsidP="00000000" w:rsidRDefault="00000000" w:rsidRPr="00000000" w14:paraId="000000BD">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13) El convenio de terminación; y </w:t>
      </w:r>
    </w:p>
    <w:p w:rsidR="00000000" w:rsidDel="00000000" w:rsidP="00000000" w:rsidRDefault="00000000" w:rsidRPr="00000000" w14:paraId="000000BE">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14) El finiquito. </w:t>
      </w:r>
    </w:p>
    <w:p w:rsidR="00000000" w:rsidDel="00000000" w:rsidP="00000000" w:rsidRDefault="00000000" w:rsidRPr="00000000" w14:paraId="000000BF">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C0">
      <w:pPr>
        <w:spacing w:after="0" w:lineRule="auto"/>
        <w:ind w:left="851" w:right="843" w:firstLine="0"/>
        <w:jc w:val="both"/>
        <w:rPr>
          <w:rFonts w:ascii="Palatino Linotype" w:cs="Palatino Linotype" w:eastAsia="Palatino Linotype" w:hAnsi="Palatino Linotype"/>
          <w:b w:val="1"/>
          <w:bCs w:val="1"/>
          <w:i w:val="1"/>
          <w:iCs w:val="1"/>
          <w:u w:val="single"/>
        </w:rPr>
      </w:pPr>
      <w:r w:rsidDel="00000000" w:rsidR="00000000" w:rsidRPr="00000000">
        <w:rPr>
          <w:rFonts w:ascii="Palatino Linotype" w:cs="Palatino Linotype" w:eastAsia="Palatino Linotype" w:hAnsi="Palatino Linotype"/>
          <w:b w:val="1"/>
          <w:bCs w:val="1"/>
          <w:i w:val="1"/>
          <w:iCs w:val="1"/>
          <w:u w:val="single"/>
          <w:rtl w:val="0"/>
        </w:rPr>
        <w:t xml:space="preserve">b) De las adjudicaciones directas: </w:t>
      </w:r>
    </w:p>
    <w:p w:rsidR="00000000" w:rsidDel="00000000" w:rsidP="00000000" w:rsidRDefault="00000000" w:rsidRPr="00000000" w14:paraId="000000C1">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 La propuesta enviada por el participante; </w:t>
      </w:r>
    </w:p>
    <w:p w:rsidR="00000000" w:rsidDel="00000000" w:rsidP="00000000" w:rsidRDefault="00000000" w:rsidRPr="00000000" w14:paraId="000000C2">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2) Los motivos y fundamentos legales aplicados para llevarla a cabo; </w:t>
      </w:r>
    </w:p>
    <w:p w:rsidR="00000000" w:rsidDel="00000000" w:rsidP="00000000" w:rsidRDefault="00000000" w:rsidRPr="00000000" w14:paraId="000000C3">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3) La autorización del ejercicio de la opción; </w:t>
      </w:r>
    </w:p>
    <w:p w:rsidR="00000000" w:rsidDel="00000000" w:rsidP="00000000" w:rsidRDefault="00000000" w:rsidRPr="00000000" w14:paraId="000000C4">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4) En su caso, las cotizaciones consideradas, especificando los nombres de los proveedores y sus montos; </w:t>
      </w:r>
    </w:p>
    <w:p w:rsidR="00000000" w:rsidDel="00000000" w:rsidP="00000000" w:rsidRDefault="00000000" w:rsidRPr="00000000" w14:paraId="000000C5">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5) El nombre de la persona física o jurídica colectiva adjudicada; </w:t>
      </w:r>
    </w:p>
    <w:p w:rsidR="00000000" w:rsidDel="00000000" w:rsidP="00000000" w:rsidRDefault="00000000" w:rsidRPr="00000000" w14:paraId="000000C6">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6) La unidad administrativa solicitante y la responsable de su ejecución; </w:t>
      </w:r>
    </w:p>
    <w:p w:rsidR="00000000" w:rsidDel="00000000" w:rsidP="00000000" w:rsidRDefault="00000000" w:rsidRPr="00000000" w14:paraId="000000C7">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7) El número, fecha, el monto del contrato y el plazo de entrega o de ejecución de los servicios u obra; </w:t>
      </w:r>
    </w:p>
    <w:p w:rsidR="00000000" w:rsidDel="00000000" w:rsidP="00000000" w:rsidRDefault="00000000" w:rsidRPr="00000000" w14:paraId="000000C8">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8) Los mecanismos de vigilancia y supervisión, incluyendo, en su caso, los estudios de impacto urbano y ambiental, según corresponda; </w:t>
      </w:r>
    </w:p>
    <w:p w:rsidR="00000000" w:rsidDel="00000000" w:rsidP="00000000" w:rsidRDefault="00000000" w:rsidRPr="00000000" w14:paraId="000000C9">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9) Los informes de avance sobre las obras o servicios contratados; </w:t>
      </w:r>
    </w:p>
    <w:p w:rsidR="00000000" w:rsidDel="00000000" w:rsidP="00000000" w:rsidRDefault="00000000" w:rsidRPr="00000000" w14:paraId="000000CA">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10) El convenio de terminación; y </w:t>
      </w:r>
    </w:p>
    <w:p w:rsidR="00000000" w:rsidDel="00000000" w:rsidP="00000000" w:rsidRDefault="00000000" w:rsidRPr="00000000" w14:paraId="000000CB">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11) El finiquito.</w:t>
      </w:r>
    </w:p>
    <w:p w:rsidR="00000000" w:rsidDel="00000000" w:rsidP="00000000" w:rsidRDefault="00000000" w:rsidRPr="00000000" w14:paraId="000000C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se tiene que, la información relacionada con estos procedimientos, es información que se debe transparentar y poner a disposición del público, toda vez que se tratan de obligaciones de transparencia que todos los sujetos obligados deben acatar. Además de ello, se puntualiza que, dentro de la información de naturaleza pública se advierten los datos que desea obtener la parte Recurrente, como el costo, forma del pago, nombre del proveedor e incluso, se debe anexar las facturas como anexos. </w:t>
      </w:r>
    </w:p>
    <w:p w:rsidR="00000000" w:rsidDel="00000000" w:rsidP="00000000" w:rsidRDefault="00000000" w:rsidRPr="00000000" w14:paraId="000000C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lo que compete al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el Manual de Organización de la Protectora de Bosques del Estado de México establece, que se auxiliara de la Dirección de Administración, Finanzas y de Gestión Documental, misma que tiene como objetivo planear, organizar, coordinar, autorizar y administrar los recursos humanos, materiales, financieros, servicios generales, así como las acciones de gestión documental y de los archivos de la Protectora de Bosques del Estado de México, con el propósito de lograr su óptimo aprovechamiento y operatividad, con base en la normatividad aplicable; aunado a ello contara con las siguientes funciones:</w:t>
      </w:r>
    </w:p>
    <w:p w:rsidR="00000000" w:rsidDel="00000000" w:rsidP="00000000" w:rsidRDefault="00000000" w:rsidRPr="00000000" w14:paraId="000000D0">
      <w:pPr>
        <w:spacing w:after="0" w:lineRule="auto"/>
        <w:ind w:left="567" w:right="560"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D1">
      <w:pPr>
        <w:spacing w:after="0" w:lineRule="auto"/>
        <w:ind w:left="851" w:right="843" w:firstLine="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225C0201040000L DIRECCIÓN DE ADMINISTRACIÓN, FINANZAS Y DE GESTIÓN DOCUMENTAL </w:t>
      </w:r>
    </w:p>
    <w:p w:rsidR="00000000" w:rsidDel="00000000" w:rsidP="00000000" w:rsidRDefault="00000000" w:rsidRPr="00000000" w14:paraId="000000D2">
      <w:pPr>
        <w:spacing w:after="0" w:lineRule="auto"/>
        <w:ind w:left="851" w:right="843"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D3">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FUNCIONES:</w:t>
      </w:r>
      <w:r w:rsidDel="00000000" w:rsidR="00000000" w:rsidRPr="00000000">
        <w:rPr>
          <w:rFonts w:ascii="Palatino Linotype" w:cs="Palatino Linotype" w:eastAsia="Palatino Linotype" w:hAnsi="Palatino Linotype"/>
          <w:i w:val="1"/>
          <w:iCs w:val="1"/>
          <w:rtl w:val="0"/>
        </w:rPr>
        <w:t xml:space="preserve"> </w:t>
      </w:r>
    </w:p>
    <w:p w:rsidR="00000000" w:rsidDel="00000000" w:rsidP="00000000" w:rsidRDefault="00000000" w:rsidRPr="00000000" w14:paraId="000000D4">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0D5">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Proponer las transferencias del presupuesto de las partidas autorizadas, con base en las necesidades de operación de PROBOSQUE y de conformidad con la normatividad aplicable. </w:t>
      </w:r>
    </w:p>
    <w:p w:rsidR="00000000" w:rsidDel="00000000" w:rsidP="00000000" w:rsidRDefault="00000000" w:rsidRPr="00000000" w14:paraId="000000D6">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Formular conjuntamente con las unidades administrativas de PROBOSQUE, los programas</w:t>
      </w:r>
      <w:r w:rsidDel="00000000" w:rsidR="00000000" w:rsidRPr="00000000">
        <w:rPr>
          <w:rFonts w:ascii="Palatino Linotype" w:cs="Palatino Linotype" w:eastAsia="Palatino Linotype" w:hAnsi="Palatino Linotype"/>
          <w:i w:val="1"/>
          <w:iCs w:val="1"/>
          <w:rtl w:val="0"/>
        </w:rPr>
        <w:t xml:space="preserve"> anuales </w:t>
      </w:r>
      <w:r w:rsidDel="00000000" w:rsidR="00000000" w:rsidRPr="00000000">
        <w:rPr>
          <w:rFonts w:ascii="Palatino Linotype" w:cs="Palatino Linotype" w:eastAsia="Palatino Linotype" w:hAnsi="Palatino Linotype"/>
          <w:b w:val="1"/>
          <w:bCs w:val="1"/>
          <w:i w:val="1"/>
          <w:iCs w:val="1"/>
          <w:rtl w:val="0"/>
        </w:rPr>
        <w:t xml:space="preserve">de adquisiciones, arrendamientos y servicios del organismo,</w:t>
      </w:r>
      <w:r w:rsidDel="00000000" w:rsidR="00000000" w:rsidRPr="00000000">
        <w:rPr>
          <w:rFonts w:ascii="Palatino Linotype" w:cs="Palatino Linotype" w:eastAsia="Palatino Linotype" w:hAnsi="Palatino Linotype"/>
          <w:i w:val="1"/>
          <w:iCs w:val="1"/>
          <w:rtl w:val="0"/>
        </w:rPr>
        <w:t xml:space="preserve"> de acuerdo con las disposiciones legales aplicables, los programas de trabajo y los presupuestos de egresos respectivos.  </w:t>
      </w:r>
    </w:p>
    <w:p w:rsidR="00000000" w:rsidDel="00000000" w:rsidP="00000000" w:rsidRDefault="00000000" w:rsidRPr="00000000" w14:paraId="000000D7">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Elaborar, analizar, consolidar e informar sobre los estados financieros de PROBOSQUE, de acuerdo con los principios de contabilidad gubernamental. </w:t>
      </w:r>
    </w:p>
    <w:p w:rsidR="00000000" w:rsidDel="00000000" w:rsidP="00000000" w:rsidRDefault="00000000" w:rsidRPr="00000000" w14:paraId="000000D8">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Participar en los comités de adquisiciones y servicios, </w:t>
      </w:r>
      <w:r w:rsidDel="00000000" w:rsidR="00000000" w:rsidRPr="00000000">
        <w:rPr>
          <w:rFonts w:ascii="Palatino Linotype" w:cs="Palatino Linotype" w:eastAsia="Palatino Linotype" w:hAnsi="Palatino Linotype"/>
          <w:i w:val="1"/>
          <w:iCs w:val="1"/>
          <w:rtl w:val="0"/>
        </w:rPr>
        <w:t xml:space="preserve">y el de arrendamientos,</w:t>
      </w:r>
      <w:r w:rsidDel="00000000" w:rsidR="00000000" w:rsidRPr="00000000">
        <w:rPr>
          <w:rFonts w:ascii="Palatino Linotype" w:cs="Palatino Linotype" w:eastAsia="Palatino Linotype" w:hAnsi="Palatino Linotype"/>
          <w:b w:val="1"/>
          <w:bCs w:val="1"/>
          <w:i w:val="1"/>
          <w:iCs w:val="1"/>
          <w:rtl w:val="0"/>
        </w:rPr>
        <w:t xml:space="preserve"> adquisiciones de inmuebles y enajenaciones de los bienes muebles e inmuebles de PROBOSQUE, </w:t>
      </w:r>
      <w:r w:rsidDel="00000000" w:rsidR="00000000" w:rsidRPr="00000000">
        <w:rPr>
          <w:rFonts w:ascii="Palatino Linotype" w:cs="Palatino Linotype" w:eastAsia="Palatino Linotype" w:hAnsi="Palatino Linotype"/>
          <w:i w:val="1"/>
          <w:iCs w:val="1"/>
          <w:rtl w:val="0"/>
        </w:rPr>
        <w:t xml:space="preserve">de conformidad con la normatividad aplicable. </w:t>
      </w:r>
    </w:p>
    <w:p w:rsidR="00000000" w:rsidDel="00000000" w:rsidP="00000000" w:rsidRDefault="00000000" w:rsidRPr="00000000" w14:paraId="000000D9">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u w:val="single"/>
          <w:rtl w:val="0"/>
        </w:rPr>
        <w:t xml:space="preserve">Coordinar y supervisar la ejecución de los procedimientos de adquisiciones y servicios,</w:t>
      </w:r>
      <w:r w:rsidDel="00000000" w:rsidR="00000000" w:rsidRPr="00000000">
        <w:rPr>
          <w:rFonts w:ascii="Palatino Linotype" w:cs="Palatino Linotype" w:eastAsia="Palatino Linotype" w:hAnsi="Palatino Linotype"/>
          <w:i w:val="1"/>
          <w:iCs w:val="1"/>
          <w:rtl w:val="0"/>
        </w:rPr>
        <w:t xml:space="preserve"> arrendamientos, adquisiciones de inmuebles y enajenaciones y servicios generales de los bienes muebles e inmuebles de PROBOSQUE.</w:t>
      </w:r>
    </w:p>
    <w:p w:rsidR="00000000" w:rsidDel="00000000" w:rsidP="00000000" w:rsidRDefault="00000000" w:rsidRPr="00000000" w14:paraId="000000DA">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Suscribir contratos y convenios derivados de</w:t>
      </w:r>
      <w:r w:rsidDel="00000000" w:rsidR="00000000" w:rsidRPr="00000000">
        <w:rPr>
          <w:rFonts w:ascii="Palatino Linotype" w:cs="Palatino Linotype" w:eastAsia="Palatino Linotype" w:hAnsi="Palatino Linotype"/>
          <w:i w:val="1"/>
          <w:iCs w:val="1"/>
          <w:rtl w:val="0"/>
        </w:rPr>
        <w:t xml:space="preserve"> arrendamientos, </w:t>
      </w:r>
      <w:r w:rsidDel="00000000" w:rsidR="00000000" w:rsidRPr="00000000">
        <w:rPr>
          <w:rFonts w:ascii="Palatino Linotype" w:cs="Palatino Linotype" w:eastAsia="Palatino Linotype" w:hAnsi="Palatino Linotype"/>
          <w:b w:val="1"/>
          <w:bCs w:val="1"/>
          <w:i w:val="1"/>
          <w:iCs w:val="1"/>
          <w:rtl w:val="0"/>
        </w:rPr>
        <w:t xml:space="preserve">adquisiciones de inmuebles y enajenaciones de PROBOSQUE</w:t>
      </w:r>
      <w:r w:rsidDel="00000000" w:rsidR="00000000" w:rsidRPr="00000000">
        <w:rPr>
          <w:rFonts w:ascii="Palatino Linotype" w:cs="Palatino Linotype" w:eastAsia="Palatino Linotype" w:hAnsi="Palatino Linotype"/>
          <w:i w:val="1"/>
          <w:iCs w:val="1"/>
          <w:rtl w:val="0"/>
        </w:rPr>
        <w:t xml:space="preserve">, con base en la normatividad aplicable e informar a la persona Titular de la Dirección General. </w:t>
      </w:r>
    </w:p>
    <w:p w:rsidR="00000000" w:rsidDel="00000000" w:rsidP="00000000" w:rsidRDefault="00000000" w:rsidRPr="00000000" w14:paraId="000000DB">
      <w:pPr>
        <w:spacing w:after="0" w:lineRule="auto"/>
        <w:ind w:left="851" w:right="843" w:firstLine="0"/>
        <w:jc w:val="both"/>
        <w:rPr>
          <w:rFonts w:ascii="Palatino Linotype" w:cs="Palatino Linotype" w:eastAsia="Palatino Linotype" w:hAnsi="Palatino Linotype"/>
          <w:b w:val="1"/>
          <w:bCs w:val="1"/>
          <w:i w:val="1"/>
          <w:iCs w:val="1"/>
          <w:u w:val="single"/>
        </w:rPr>
      </w:pPr>
      <w:r w:rsidDel="00000000" w:rsidR="00000000" w:rsidRPr="00000000">
        <w:rPr>
          <w:rFonts w:ascii="Palatino Linotype" w:cs="Palatino Linotype" w:eastAsia="Palatino Linotype" w:hAnsi="Palatino Linotype"/>
          <w:b w:val="1"/>
          <w:bCs w:val="1"/>
          <w:i w:val="1"/>
          <w:iCs w:val="1"/>
          <w:u w:val="single"/>
          <w:rtl w:val="0"/>
        </w:rPr>
        <w:t xml:space="preserve">Suscribir contratos y convenios derivados de los procedimientos adquisitivos de bienes y de servicios con base en la normatividad aplicable, e informar a la persona Titular de la Dirección General. </w:t>
      </w:r>
    </w:p>
    <w:p w:rsidR="00000000" w:rsidDel="00000000" w:rsidP="00000000" w:rsidRDefault="00000000" w:rsidRPr="00000000" w14:paraId="000000DC">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Rescindir administrativamente los contratos de adquisiciones y servicios, y de arrendamientos, adquisiciones de inmuebles y enajenaciones que haya celebrado PROBOSQUE en coordinación con la Unidad Jurídica e Igualdad de Género, e imponer las sanciones que prevé la legislación en la materia.  </w:t>
      </w:r>
    </w:p>
    <w:p w:rsidR="00000000" w:rsidDel="00000000" w:rsidP="00000000" w:rsidRDefault="00000000" w:rsidRPr="00000000" w14:paraId="000000DD">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Diseñar, proponer y, en su caso, aplicar los instrumentos técnico-administrativos que contribuyan a elevar la eficiencia en la administración de los recursos asignados a PROBOSQUE. </w:t>
      </w:r>
    </w:p>
    <w:p w:rsidR="00000000" w:rsidDel="00000000" w:rsidP="00000000" w:rsidRDefault="00000000" w:rsidRPr="00000000" w14:paraId="000000DE">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Promover y vigilar la aplicación de las condiciones generales de trabajo de PROBOSQUE con perspectiva de género, así como evitar cualquier tipo de discriminación. </w:t>
      </w:r>
    </w:p>
    <w:p w:rsidR="00000000" w:rsidDel="00000000" w:rsidP="00000000" w:rsidRDefault="00000000" w:rsidRPr="00000000" w14:paraId="000000DF">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Establecer lineamientos para regular la asignación, utilización, conservación, aseguramiento, preparación, mantenimiento, rehabilitación y reaprovechamiento de los bienes de PROBOSQUE. </w:t>
      </w:r>
    </w:p>
    <w:p w:rsidR="00000000" w:rsidDel="00000000" w:rsidP="00000000" w:rsidRDefault="00000000" w:rsidRPr="00000000" w14:paraId="000000E0">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Supervisar el registro, control, mantenimiento y conservación de los bienes muebles e inmuebles asignados a las unidades administrativas de PROBOSQUE. </w:t>
      </w:r>
    </w:p>
    <w:p w:rsidR="00000000" w:rsidDel="00000000" w:rsidP="00000000" w:rsidRDefault="00000000" w:rsidRPr="00000000" w14:paraId="000000E1">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Establecer políticas y procedimientos para la administración y funcionamiento de los almacenes de PROBOSQUE, así como para el control de inventarios.”</w:t>
      </w:r>
    </w:p>
    <w:p w:rsidR="00000000" w:rsidDel="00000000" w:rsidP="00000000" w:rsidRDefault="00000000" w:rsidRPr="00000000" w14:paraId="000000E2">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(Énfasis Añadido)</w:t>
      </w:r>
    </w:p>
    <w:p w:rsidR="00000000" w:rsidDel="00000000" w:rsidP="00000000" w:rsidRDefault="00000000" w:rsidRPr="00000000" w14:paraId="000000E3">
      <w:pPr>
        <w:spacing w:after="0" w:line="360" w:lineRule="auto"/>
        <w:ind w:right="49"/>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E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colige que,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cuenta con facultades, atribuciones y competencia, para generar, administrar y poseer la información solicitada, debido a que cuenta con unidades administrativas como, la Dirección de Administración, Finanzas y de Gestión Documental. </w:t>
      </w:r>
    </w:p>
    <w:p w:rsidR="00000000" w:rsidDel="00000000" w:rsidP="00000000" w:rsidRDefault="00000000" w:rsidRPr="00000000" w14:paraId="000000E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6">
      <w:pPr>
        <w:spacing w:after="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Correlativo a lo anterior, es necesario precisar que de las constancias que obran en el expediente se logra vislumbrar que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turnó la solicitud de información a la unidad administrativa competente, a saber la Dirección de Administración, Finanzas y de Gestión Documental,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 </w:t>
      </w:r>
    </w:p>
    <w:p w:rsidR="00000000" w:rsidDel="00000000" w:rsidP="00000000" w:rsidRDefault="00000000" w:rsidRPr="00000000" w14:paraId="000000E7">
      <w:pPr>
        <w:spacing w:after="0" w:line="360" w:lineRule="auto"/>
        <w:ind w:right="56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360" w:lineRule="auto"/>
        <w:ind w:left="567" w:right="56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E9">
      <w:pPr>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3"/>
          <w:numId w:val="4"/>
        </w:numPr>
        <w:pBdr>
          <w:top w:space="0" w:sz="0" w:val="nil"/>
          <w:left w:space="0" w:sz="0" w:val="nil"/>
          <w:bottom w:space="0" w:sz="0" w:val="nil"/>
          <w:right w:space="0" w:sz="0" w:val="nil"/>
          <w:between w:space="0" w:sz="0" w:val="nil"/>
        </w:pBdr>
        <w:shd w:fill="auto" w:val="clear"/>
        <w:spacing w:after="0" w:before="0" w:line="360" w:lineRule="auto"/>
        <w:ind w:left="567" w:right="560" w:hanging="360"/>
        <w:jc w:val="both"/>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2"/>
          <w:szCs w:val="22"/>
          <w:u w:val="none"/>
          <w:shd w:fill="auto" w:val="clear"/>
          <w:vertAlign w:val="baseline"/>
          <w:rtl w:val="0"/>
        </w:rPr>
        <w:t xml:space="preserve">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00000000" w:rsidDel="00000000" w:rsidP="00000000" w:rsidRDefault="00000000" w:rsidRPr="00000000" w14:paraId="000000E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y conforme a lo establecido en párrafos anteriores,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cumplió con el procedimiento de búsqueda establecido en el artículo 162 de la Ley de Transparencia y Acceso a la Información Pública del Estado de México y Municipios, al gestionar el requerimiento de información al área competente para conocer de lo peticionado. </w:t>
      </w:r>
    </w:p>
    <w:p w:rsidR="00000000" w:rsidDel="00000000" w:rsidP="00000000" w:rsidRDefault="00000000" w:rsidRPr="00000000" w14:paraId="000000E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relación con los agravios hechos valer por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se advierte que, en respuesta la Unidad de Transparencia hizo del conocimiento únicamente el contenido de la solicitud interpuesta por el solicitante; no obstante, en Informe Justificado informó que por error humano, se había seleccionado dentro del catálogo la opción “respuesta a solicitud o entrega de información”, debiendo ser “turno al servidor público habilitado”; sin embargo, mediante oficio 323/2025 se notificó a la Encargada de Despacho de la Dirección de Administración, Finanzas y de Gestión Documental la solicitud de información con el objeto de proporcionar la información requerida.</w:t>
      </w:r>
    </w:p>
    <w:p w:rsidR="00000000" w:rsidDel="00000000" w:rsidP="00000000" w:rsidRDefault="00000000" w:rsidRPr="00000000" w14:paraId="000000E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Encargada de Despacho de la Dirección de Administración, Finanzas y de Gestión Documental informó que realizó una búsqueda exhaustiva y razonable de la información en sus archivos, expedientes y bases de datos, de la que no se encontró registro de la información solicitada; sin que precisara el periodo de búsqueda realizado. </w:t>
      </w:r>
    </w:p>
    <w:p w:rsidR="00000000" w:rsidDel="00000000" w:rsidP="00000000" w:rsidRDefault="00000000" w:rsidRPr="00000000" w14:paraId="000000F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y de lo manifestado por la unidad administrativa competente se pudiera considerar que se trata de un denominado hecho negativo, sin embargo, este Organismo Garante localizó dentro de la información que tiene publicada en el Portal de Información Pública de Oficio Mexiquense del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información referente a contratos pedidos de adquisiciones dentro del periodo solicitado, a manera de ejemplo se muestra a continuación: </w:t>
      </w:r>
    </w:p>
    <w:p w:rsidR="00000000" w:rsidDel="00000000" w:rsidP="00000000" w:rsidRDefault="00000000" w:rsidRPr="00000000" w14:paraId="000000F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3893185"/>
            <wp:effectExtent b="0" l="0" r="0" t="0"/>
            <wp:docPr descr="Texto&#10;&#10;El contenido generado por IA puede ser incorrecto." id="2075614076" name="image2.png"/>
            <a:graphic>
              <a:graphicData uri="http://schemas.openxmlformats.org/drawingml/2006/picture">
                <pic:pic>
                  <pic:nvPicPr>
                    <pic:cNvPr descr="Texto&#10;&#10;El contenido generado por IA puede ser incorrecto." id="0" name="image2.png"/>
                    <pic:cNvPicPr preferRelativeResize="0"/>
                  </pic:nvPicPr>
                  <pic:blipFill>
                    <a:blip r:embed="rId9"/>
                    <a:srcRect b="0" l="0" r="0" t="0"/>
                    <a:stretch>
                      <a:fillRect/>
                    </a:stretch>
                  </pic:blipFill>
                  <pic:spPr>
                    <a:xfrm>
                      <a:off x="0" y="0"/>
                      <a:ext cx="5756275" cy="3893185"/>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805815"/>
            <wp:effectExtent b="0" l="0" r="0" t="0"/>
            <wp:docPr descr="Imagen que contiene Interfaz de usuario gráfica&#10;&#10;El contenido generado por IA puede ser incorrecto." id="2075614078" name="image5.png"/>
            <a:graphic>
              <a:graphicData uri="http://schemas.openxmlformats.org/drawingml/2006/picture">
                <pic:pic>
                  <pic:nvPicPr>
                    <pic:cNvPr descr="Imagen que contiene Interfaz de usuario gráfica&#10;&#10;El contenido generado por IA puede ser incorrecto." id="0" name="image5.png"/>
                    <pic:cNvPicPr preferRelativeResize="0"/>
                  </pic:nvPicPr>
                  <pic:blipFill>
                    <a:blip r:embed="rId10"/>
                    <a:srcRect b="0" l="0" r="0" t="0"/>
                    <a:stretch>
                      <a:fillRect/>
                    </a:stretch>
                  </pic:blipFill>
                  <pic:spPr>
                    <a:xfrm>
                      <a:off x="0" y="0"/>
                      <a:ext cx="5756275" cy="805815"/>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94904" cy="520329"/>
            <wp:effectExtent b="0" l="0" r="0" t="0"/>
            <wp:docPr id="207561407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594904" cy="520329"/>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382047" cy="468727"/>
            <wp:effectExtent b="0" l="0" r="0" t="0"/>
            <wp:docPr descr="Interfaz de usuario gráfica, Texto&#10;&#10;El contenido generado por IA puede ser incorrecto." id="2075614080" name="image6.png"/>
            <a:graphic>
              <a:graphicData uri="http://schemas.openxmlformats.org/drawingml/2006/picture">
                <pic:pic>
                  <pic:nvPicPr>
                    <pic:cNvPr descr="Interfaz de usuario gráfica, Texto&#10;&#10;El contenido generado por IA puede ser incorrecto." id="0" name="image6.png"/>
                    <pic:cNvPicPr preferRelativeResize="0"/>
                  </pic:nvPicPr>
                  <pic:blipFill>
                    <a:blip r:embed="rId12"/>
                    <a:srcRect b="0" l="0" r="0" t="0"/>
                    <a:stretch>
                      <a:fillRect/>
                    </a:stretch>
                  </pic:blipFill>
                  <pic:spPr>
                    <a:xfrm>
                      <a:off x="0" y="0"/>
                      <a:ext cx="3382047" cy="468727"/>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2241975" cy="440506"/>
            <wp:effectExtent b="0" l="0" r="0" t="0"/>
            <wp:docPr descr="Interfaz de usuario gráfica, Texto, Aplicación&#10;&#10;El contenido generado por IA puede ser incorrecto." id="2075614079" name="image7.png"/>
            <a:graphic>
              <a:graphicData uri="http://schemas.openxmlformats.org/drawingml/2006/picture">
                <pic:pic>
                  <pic:nvPicPr>
                    <pic:cNvPr descr="Interfaz de usuario gráfica, Texto, Aplicación&#10;&#10;El contenido generado por IA puede ser incorrecto." id="0" name="image7.png"/>
                    <pic:cNvPicPr preferRelativeResize="0"/>
                  </pic:nvPicPr>
                  <pic:blipFill>
                    <a:blip r:embed="rId13"/>
                    <a:srcRect b="0" l="0" r="0" t="0"/>
                    <a:stretch>
                      <a:fillRect/>
                    </a:stretch>
                  </pic:blipFill>
                  <pic:spPr>
                    <a:xfrm>
                      <a:off x="0" y="0"/>
                      <a:ext cx="2241975" cy="440506"/>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ello, dentro de la información que tiene publicado dentro de su pagina oficial del Sujeto Obligado, se encuentra lo relativo a las contrataciones realizadas durante el ejercicio fiscal dos mil veinticuatro, de las que se advierte lo siguiente: </w:t>
      </w:r>
    </w:p>
    <w:p w:rsidR="00000000" w:rsidDel="00000000" w:rsidP="00000000" w:rsidRDefault="00000000" w:rsidRPr="00000000" w14:paraId="000000F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6100055" cy="6603172"/>
            <wp:effectExtent b="0" l="0" r="0" t="0"/>
            <wp:docPr descr="Tabla&#10;&#10;El contenido generado por IA puede ser incorrecto." id="2075614081" name="image4.png"/>
            <a:graphic>
              <a:graphicData uri="http://schemas.openxmlformats.org/drawingml/2006/picture">
                <pic:pic>
                  <pic:nvPicPr>
                    <pic:cNvPr descr="Tabla&#10;&#10;El contenido generado por IA puede ser incorrecto." id="0" name="image4.png"/>
                    <pic:cNvPicPr preferRelativeResize="0"/>
                  </pic:nvPicPr>
                  <pic:blipFill>
                    <a:blip r:embed="rId14"/>
                    <a:srcRect b="0" l="0" r="0" t="0"/>
                    <a:stretch>
                      <a:fillRect/>
                    </a:stretch>
                  </pic:blipFill>
                  <pic:spPr>
                    <a:xfrm>
                      <a:off x="0" y="0"/>
                      <a:ext cx="6100055" cy="660317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3836389</wp:posOffset>
                </wp:positionH>
                <wp:positionV relativeFrom="paragraph">
                  <wp:posOffset>1995716</wp:posOffset>
                </wp:positionV>
                <wp:extent cx="1192914" cy="512431"/>
                <wp:effectExtent b="0" l="0" r="0" t="0"/>
                <wp:wrapNone/>
                <wp:docPr id="2075614072" name=""/>
                <a:graphic>
                  <a:graphicData uri="http://schemas.microsoft.com/office/word/2010/wordprocessingShape">
                    <wps:wsp>
                      <wps:cNvSpPr/>
                      <wps:cNvPr id="2" name="Shape 2"/>
                      <wps:spPr>
                        <a:xfrm>
                          <a:off x="4755893" y="3530135"/>
                          <a:ext cx="1180214" cy="499731"/>
                        </a:xfrm>
                        <a:prstGeom prst="rect">
                          <a:avLst/>
                        </a:prstGeom>
                        <a:noFill/>
                        <a:ln cap="flat" cmpd="sng" w="127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3836389</wp:posOffset>
                </wp:positionH>
                <wp:positionV relativeFrom="paragraph">
                  <wp:posOffset>1995716</wp:posOffset>
                </wp:positionV>
                <wp:extent cx="1192914" cy="512431"/>
                <wp:effectExtent b="0" l="0" r="0" t="0"/>
                <wp:wrapNone/>
                <wp:docPr id="2075614072"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1192914" cy="51243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3836389</wp:posOffset>
                </wp:positionH>
                <wp:positionV relativeFrom="paragraph">
                  <wp:posOffset>3282256</wp:posOffset>
                </wp:positionV>
                <wp:extent cx="1192530" cy="352942"/>
                <wp:effectExtent b="0" l="0" r="0" t="0"/>
                <wp:wrapNone/>
                <wp:docPr id="2075614073" name=""/>
                <a:graphic>
                  <a:graphicData uri="http://schemas.microsoft.com/office/word/2010/wordprocessingShape">
                    <wps:wsp>
                      <wps:cNvSpPr/>
                      <wps:cNvPr id="3" name="Shape 3"/>
                      <wps:spPr>
                        <a:xfrm>
                          <a:off x="4756085" y="3609879"/>
                          <a:ext cx="1179830" cy="340242"/>
                        </a:xfrm>
                        <a:prstGeom prst="rect">
                          <a:avLst/>
                        </a:prstGeom>
                        <a:noFill/>
                        <a:ln cap="flat" cmpd="sng" w="12700">
                          <a:solidFill>
                            <a:srgbClr val="EE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3836389</wp:posOffset>
                </wp:positionH>
                <wp:positionV relativeFrom="paragraph">
                  <wp:posOffset>3282256</wp:posOffset>
                </wp:positionV>
                <wp:extent cx="1192530" cy="352942"/>
                <wp:effectExtent b="0" l="0" r="0" t="0"/>
                <wp:wrapNone/>
                <wp:docPr id="2075614073"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1192530" cy="352942"/>
                        </a:xfrm>
                        <a:prstGeom prst="rect"/>
                        <a:ln/>
                      </pic:spPr>
                    </pic:pic>
                  </a:graphicData>
                </a:graphic>
              </wp:anchor>
            </w:drawing>
          </mc:Fallback>
        </mc:AlternateContent>
      </w:r>
    </w:p>
    <w:p w:rsidR="00000000" w:rsidDel="00000000" w:rsidP="00000000" w:rsidRDefault="00000000" w:rsidRPr="00000000" w14:paraId="000000F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se advierte que si bien es cierto que la Encargada de Despacho de la Dirección de Administración, Finanzas y de Gestión Documental informó que realizó una búsqueda exhaustiva y razonable en sus archivos, expedientes y bases de datos; sin que se encontrara la información solicitada, lo cierto es que, a consideración de este Órgano Garante no se realizó adecuadamente el proceso de búsqueda de la información, ya que no se aportaron los medios de convicción que permitan advertir que en efecto se llevó a cabo la búsqueda de la misma, aunado a que no precisó ni el periodo ni los motivos por los cuales no se localizó la información. </w:t>
      </w:r>
    </w:p>
    <w:p w:rsidR="00000000" w:rsidDel="00000000" w:rsidP="00000000" w:rsidRDefault="00000000" w:rsidRPr="00000000" w14:paraId="000000F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ocasiona que en el caso no se cumpliera con el principio de búsqueda exhaustiva de la información requerida, cuyo alcance se encuentra establecido en el Criterio Reiterado 02/19 emitido por el Pleno de este Organismo Garante, a saber:</w:t>
      </w:r>
    </w:p>
    <w:p w:rsidR="00000000" w:rsidDel="00000000" w:rsidP="00000000" w:rsidRDefault="00000000" w:rsidRPr="00000000" w14:paraId="000000FE">
      <w:pPr>
        <w:spacing w:after="0" w:lineRule="auto"/>
        <w:ind w:left="851" w:right="616"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FF">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Del="00000000" w:rsidR="00000000" w:rsidRPr="00000000">
        <w:rPr>
          <w:rFonts w:ascii="Palatino Linotype" w:cs="Palatino Linotype" w:eastAsia="Palatino Linotype" w:hAnsi="Palatino Linotype"/>
          <w:i w:val="1"/>
          <w:iCs w:val="1"/>
          <w:rtl w:val="0"/>
        </w:rPr>
        <w:t xml:space="preserve">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rsidR="00000000" w:rsidDel="00000000" w:rsidP="00000000" w:rsidRDefault="00000000" w:rsidRPr="00000000" w14:paraId="0000010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1">
      <w:pPr>
        <w:spacing w:after="0" w:line="360" w:lineRule="auto"/>
        <w:jc w:val="both"/>
        <w:rPr>
          <w:rFonts w:ascii="Palatino Linotype" w:cs="Palatino Linotype" w:eastAsia="Palatino Linotype" w:hAnsi="Palatino Linotype"/>
          <w:b w:val="1"/>
          <w:bCs w:val="1"/>
          <w:u w:val="single"/>
        </w:rPr>
      </w:pPr>
      <w:r w:rsidDel="00000000" w:rsidR="00000000" w:rsidRPr="00000000">
        <w:rPr>
          <w:rFonts w:ascii="Palatino Linotype" w:cs="Palatino Linotype" w:eastAsia="Palatino Linotype" w:hAnsi="Palatino Linotype"/>
          <w:rtl w:val="0"/>
        </w:rPr>
        <w:t xml:space="preserve">Asimismo, se considera que el pronunciamiento del servidor público habilitado competente, tampoco cumplió con los principios de congruencia y exhaustividad, en virtud de que la respuesta no fue clara, pues el servidor público habilitado competente se limitó a señalar que no se cuenta con información, si</w:t>
      </w:r>
      <w:r w:rsidDel="00000000" w:rsidR="00000000" w:rsidRPr="00000000">
        <w:rPr>
          <w:rFonts w:ascii="Palatino Linotype" w:cs="Palatino Linotype" w:eastAsia="Palatino Linotype" w:hAnsi="Palatino Linotype"/>
          <w:b w:val="1"/>
          <w:bCs w:val="1"/>
          <w:u w:val="single"/>
          <w:rtl w:val="0"/>
        </w:rPr>
        <w:t xml:space="preserve">n precisar las razones por las que arribó a esa conclusión</w:t>
      </w:r>
      <w:r w:rsidDel="00000000" w:rsidR="00000000" w:rsidRPr="00000000">
        <w:rPr>
          <w:rFonts w:ascii="Palatino Linotype" w:cs="Palatino Linotype" w:eastAsia="Palatino Linotype" w:hAnsi="Palatino Linotype"/>
          <w:rtl w:val="0"/>
        </w:rPr>
        <w:t xml:space="preserve">, generando incertidumbre al particular por desconocer la causa por la que no se cuenta con la misma, es decir, no se indica si no se cuenta con ella porque no se generó o, porque habiéndolo generado, por alguna circunstancia en particular no obra en los archivos del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tl w:val="0"/>
        </w:rPr>
      </w:r>
    </w:p>
    <w:p w:rsidR="00000000" w:rsidDel="00000000" w:rsidP="00000000" w:rsidRDefault="00000000" w:rsidRPr="00000000" w14:paraId="0000010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resulta aplicable el Criterio orientador 02/17 emitido por el entonces Pleno del Instituto Nacional de Transparencia y Acceso a la Información y Protección de Datos Personales, de título y texto siguientes:</w:t>
      </w:r>
    </w:p>
    <w:p w:rsidR="00000000" w:rsidDel="00000000" w:rsidP="00000000" w:rsidRDefault="00000000" w:rsidRPr="00000000" w14:paraId="00000104">
      <w:pPr>
        <w:spacing w:after="0" w:lineRule="auto"/>
        <w:ind w:left="851" w:right="616"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105">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iCs w:val="1"/>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bCs w:val="1"/>
          <w:i w:val="1"/>
          <w:iCs w:val="1"/>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iCs w:val="1"/>
          <w:rtl w:val="0"/>
        </w:rPr>
        <w:t xml:space="preserve">; mientras que </w:t>
      </w:r>
      <w:r w:rsidDel="00000000" w:rsidR="00000000" w:rsidRPr="00000000">
        <w:rPr>
          <w:rFonts w:ascii="Palatino Linotype" w:cs="Palatino Linotype" w:eastAsia="Palatino Linotype" w:hAnsi="Palatino Linotype"/>
          <w:b w:val="1"/>
          <w:bCs w:val="1"/>
          <w:i w:val="1"/>
          <w:iCs w:val="1"/>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iCs w:val="1"/>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10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7">
      <w:pPr>
        <w:spacing w:after="0" w:line="360" w:lineRule="auto"/>
        <w:jc w:val="both"/>
        <w:rPr>
          <w:rFonts w:ascii="Palatino Linotype" w:cs="Palatino Linotype" w:eastAsia="Palatino Linotype" w:hAnsi="Palatino Linotype"/>
        </w:rPr>
      </w:pPr>
      <w:bookmarkStart w:colFirst="0" w:colLast="0" w:name="_heading=h.r7fux8nclfq7" w:id="4"/>
      <w:bookmarkEnd w:id="4"/>
      <w:r w:rsidDel="00000000" w:rsidR="00000000" w:rsidRPr="00000000">
        <w:rPr>
          <w:rFonts w:ascii="Palatino Linotype" w:cs="Palatino Linotype" w:eastAsia="Palatino Linotype" w:hAnsi="Palatino Linotype"/>
          <w:rtl w:val="0"/>
        </w:rPr>
        <w:t xml:space="preserve">De ahí que, la respuesta proporcionada al requerimiento en análisis no cumple con los principios de búsqueda exhaustiva, congruencia y exhaustividad; por lo que, este Instituto estima que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no colmó el derecho de acceso a la información de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toda vez que, como ya fue referido anteriormente, cuenta con la obligación de generar los contratos de prestación y adquisición de bienes y servicios; sin embargo, no se realizó la correcta búsqueda de la información dentro de sus archivos, por tanto, los motivos de inconformidad planteados por el particular devienen fundados; resultando procedente ordenar la entrega, de ser procedente en versión pública, de los contratos por motivo de prestación o adquisición de bienes y servicios, en beneficio del personal de la Dirección de Administración, Finanzas y de Gestión Documental, del primero de enero de dos mil veinticuatro al treinta de junio de dos mil veinticinco. </w:t>
      </w:r>
    </w:p>
    <w:p w:rsidR="00000000" w:rsidDel="00000000" w:rsidP="00000000" w:rsidRDefault="00000000" w:rsidRPr="00000000" w14:paraId="0000010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Quinto. Versión Pública. </w:t>
      </w:r>
      <w:r w:rsidDel="00000000" w:rsidR="00000000" w:rsidRPr="00000000">
        <w:rPr>
          <w:rFonts w:ascii="Palatino Linotype" w:cs="Palatino Linotype" w:eastAsia="Palatino Linotype" w:hAnsi="Palatino Linotype"/>
          <w:rtl w:val="0"/>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rsidR="00000000" w:rsidDel="00000000" w:rsidP="00000000" w:rsidRDefault="00000000" w:rsidRPr="00000000" w14:paraId="0000010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1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Entre los datos que puede encontrar en la información que se determina ordenar, de manera enunciativa, </w:t>
      </w:r>
      <w:r w:rsidDel="00000000" w:rsidR="00000000" w:rsidRPr="00000000">
        <w:rPr>
          <w:rFonts w:ascii="Palatino Linotype" w:cs="Palatino Linotype" w:eastAsia="Palatino Linotype" w:hAnsi="Palatino Linotype"/>
          <w:b w:val="1"/>
          <w:bCs w:val="1"/>
          <w:rtl w:val="0"/>
        </w:rPr>
        <w:t xml:space="preserve">más no limitativa </w:t>
      </w:r>
      <w:r w:rsidDel="00000000" w:rsidR="00000000" w:rsidRPr="00000000">
        <w:rPr>
          <w:rFonts w:ascii="Palatino Linotype" w:cs="Palatino Linotype" w:eastAsia="Palatino Linotype" w:hAnsi="Palatino Linotype"/>
          <w:rtl w:val="0"/>
        </w:rPr>
        <w:t xml:space="preserve">es la siguiente: </w:t>
      </w:r>
    </w:p>
    <w:p w:rsidR="00000000" w:rsidDel="00000000" w:rsidP="00000000" w:rsidRDefault="00000000" w:rsidRPr="00000000" w14:paraId="0000010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respecta a al RFC de personas físicas o morales proveedores, de acuerdo al criterio SO/004/2021, emitido por el entonces Instituto Nacional de Transparencia, Acceso a la Información y Protección de Datos Personales, que establece lo siguiente:</w:t>
      </w:r>
    </w:p>
    <w:p w:rsidR="00000000" w:rsidDel="00000000" w:rsidP="00000000" w:rsidRDefault="00000000" w:rsidRPr="00000000" w14:paraId="0000011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1">
      <w:pPr>
        <w:spacing w:after="0" w:lineRule="auto"/>
        <w:ind w:left="850" w:right="901"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Registro Federal de Contribuyentes (RFC) de personas físicas proveedores o contratistas</w:t>
      </w:r>
      <w:r w:rsidDel="00000000" w:rsidR="00000000" w:rsidRPr="00000000">
        <w:rPr>
          <w:rFonts w:ascii="Palatino Linotype" w:cs="Palatino Linotype" w:eastAsia="Palatino Linotype" w:hAnsi="Palatino Linotype"/>
          <w:b w:val="1"/>
          <w:bCs w:val="1"/>
          <w:i w:val="1"/>
          <w:iCs w:val="1"/>
          <w:u w:val="single"/>
          <w:rtl w:val="0"/>
        </w:rPr>
        <w:t xml:space="preserve">.</w:t>
      </w:r>
      <w:r w:rsidDel="00000000" w:rsidR="00000000" w:rsidRPr="00000000">
        <w:rPr>
          <w:rFonts w:ascii="Palatino Linotype" w:cs="Palatino Linotype" w:eastAsia="Palatino Linotype" w:hAnsi="Palatino Linotype"/>
          <w:i w:val="1"/>
          <w:iCs w:val="1"/>
          <w:u w:val="single"/>
          <w:rtl w:val="0"/>
        </w:rPr>
        <w:t xml:space="preserve"> </w:t>
      </w:r>
      <w:r w:rsidDel="00000000" w:rsidR="00000000" w:rsidRPr="00000000">
        <w:rPr>
          <w:rFonts w:ascii="Palatino Linotype" w:cs="Palatino Linotype" w:eastAsia="Palatino Linotype" w:hAnsi="Palatino Linotype"/>
          <w:b w:val="1"/>
          <w:bCs w:val="1"/>
          <w:i w:val="1"/>
          <w:iCs w:val="1"/>
          <w:u w:val="single"/>
          <w:rtl w:val="0"/>
        </w:rPr>
        <w:t xml:space="preserve">El RFC de contratistas o proveedores de sujetos obligados debe ser público</w:t>
      </w:r>
      <w:r w:rsidDel="00000000" w:rsidR="00000000" w:rsidRPr="00000000">
        <w:rPr>
          <w:rFonts w:ascii="Palatino Linotype" w:cs="Palatino Linotype" w:eastAsia="Palatino Linotype" w:hAnsi="Palatino Linotype"/>
          <w:b w:val="1"/>
          <w:bCs w:val="1"/>
          <w:i w:val="1"/>
          <w:iCs w:val="1"/>
          <w:rtl w:val="0"/>
        </w:rPr>
        <w:t xml:space="preserve">,</w:t>
      </w:r>
      <w:r w:rsidDel="00000000" w:rsidR="00000000" w:rsidRPr="00000000">
        <w:rPr>
          <w:rFonts w:ascii="Palatino Linotype" w:cs="Palatino Linotype" w:eastAsia="Palatino Linotype" w:hAnsi="Palatino Linotype"/>
          <w:i w:val="1"/>
          <w:iCs w:val="1"/>
          <w:rtl w:val="0"/>
        </w:rPr>
        <w:t xml:space="preserve"> ya que, al tratarse de personas relacionadas con contrataciones públicas, su difusión favorece la transparencia con la que deben administrarse los recursos públicos, en términos del artículo 134 de la Constitución Política de los Estados Unidos Mexicanos.</w:t>
      </w:r>
    </w:p>
    <w:p w:rsidR="00000000" w:rsidDel="00000000" w:rsidP="00000000" w:rsidRDefault="00000000" w:rsidRPr="00000000" w14:paraId="00000112">
      <w:pPr>
        <w:spacing w:after="0" w:lineRule="auto"/>
        <w:ind w:right="901"/>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113">
      <w:pPr>
        <w:widowControl w:val="0"/>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las cuentas bancarias y claves interbancarias es de precisar que dicha información es confidencial únicamente; por lo que, concierne a los particulares, y no así para los sujetos obligados que prevé el artículo 23, de la Ley de Transparencia y Acceso a la Información Pública del Estado de México y Municipios,</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toda vez que su publicidad abona a la transparencia y a la rendición de cuentas.</w:t>
      </w:r>
    </w:p>
    <w:p w:rsidR="00000000" w:rsidDel="00000000" w:rsidP="00000000" w:rsidRDefault="00000000" w:rsidRPr="00000000" w14:paraId="00000114">
      <w:pPr>
        <w:widowControl w:val="0"/>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es importante precisar que de acuerdo al </w:t>
      </w:r>
      <w:r w:rsidDel="00000000" w:rsidR="00000000" w:rsidRPr="00000000">
        <w:rPr>
          <w:rFonts w:ascii="Palatino Linotype" w:cs="Palatino Linotype" w:eastAsia="Palatino Linotype" w:hAnsi="Palatino Linotype"/>
          <w:b w:val="1"/>
          <w:bCs w:val="1"/>
          <w:rtl w:val="0"/>
        </w:rPr>
        <w:t xml:space="preserve">criterio 11/17</w:t>
      </w:r>
      <w:r w:rsidDel="00000000" w:rsidR="00000000" w:rsidRPr="00000000">
        <w:rPr>
          <w:rFonts w:ascii="Palatino Linotype" w:cs="Palatino Linotype" w:eastAsia="Palatino Linotype" w:hAnsi="Palatino Linotype"/>
          <w:rtl w:val="0"/>
        </w:rPr>
        <w:t xml:space="preserve"> emitido por el entonces INAI, las cuentas bancarias y/o clave interbancaria de los Sujetos Obligados es información de carácter público cuando:</w:t>
      </w:r>
    </w:p>
    <w:p w:rsidR="00000000" w:rsidDel="00000000" w:rsidP="00000000" w:rsidRDefault="00000000" w:rsidRPr="00000000" w14:paraId="0000011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7">
      <w:pPr>
        <w:tabs>
          <w:tab w:val="left" w:leader="none" w:pos="8222"/>
        </w:tabs>
        <w:spacing w:after="0" w:lineRule="auto"/>
        <w:ind w:left="851" w:right="902"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bCs w:val="1"/>
          <w:i w:val="1"/>
          <w:iCs w:val="1"/>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iCs w:val="1"/>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000000" w:rsidDel="00000000" w:rsidP="00000000" w:rsidRDefault="00000000" w:rsidRPr="00000000" w14:paraId="0000011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El número (folio) de la credencial para votar (Reconocimiento Óptico de Caracteres).</w:t>
      </w:r>
      <w:r w:rsidDel="00000000" w:rsidR="00000000" w:rsidRPr="00000000">
        <w:rPr>
          <w:rFonts w:ascii="Palatino Linotype" w:cs="Palatino Linotype" w:eastAsia="Palatino Linotype" w:hAnsi="Palatino Linotype"/>
          <w:rtl w:val="0"/>
        </w:rPr>
        <w:t xml:space="preserve"> Al respecto, debe precisarse que, en el reverso de la credencial para votar, se advierte la incorporación de un número de control denominado OCR (por sus siglas en inglés Optical Character Recognition), el cual se integra de 12 o 13 dígitos de la siguiente manera: los cuatro primeros corresponden con la clave de la sección electoral de la residencia del ciudadano, los restantes corresponden a un número consecutivo único asignado al momento de conformar la clave de elector correspondiente.</w:t>
      </w:r>
    </w:p>
    <w:p w:rsidR="00000000" w:rsidDel="00000000" w:rsidP="00000000" w:rsidRDefault="00000000" w:rsidRPr="00000000" w14:paraId="0000011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número de credencial de elector corresponde al denominado “Reconocimiento Óptico de Caracteres”. En este sentido, se considera que dicho número de control, al contener el número de la sección electoral en donde vota el ciudadano –titular de dicho documento-constituye un dato personal en razón de que revela información concerniente a una persona física identificada o identificable en función de la información geoelectoral ahí contenida. </w:t>
      </w:r>
    </w:p>
    <w:p w:rsidR="00000000" w:rsidDel="00000000" w:rsidP="00000000" w:rsidRDefault="00000000" w:rsidRPr="00000000" w14:paraId="0000011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se determina que tal dato debe ser considerado como confidencial, por configurarse la hipótesis prevista en el artículo 143, fracción I, de la Ley de Transparencia vigente en la entidad. </w:t>
      </w:r>
    </w:p>
    <w:p w:rsidR="00000000" w:rsidDel="00000000" w:rsidP="00000000" w:rsidRDefault="00000000" w:rsidRPr="00000000" w14:paraId="0000011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2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1">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Artículo 3.</w:t>
      </w:r>
      <w:r w:rsidDel="00000000" w:rsidR="00000000" w:rsidRPr="00000000">
        <w:rPr>
          <w:rFonts w:ascii="Palatino Linotype" w:cs="Palatino Linotype" w:eastAsia="Palatino Linotype" w:hAnsi="Palatino Linotype"/>
          <w:i w:val="1"/>
          <w:iCs w:val="1"/>
          <w:rtl w:val="0"/>
        </w:rPr>
        <w:t xml:space="preserve"> Para los efectos de la presente Ley se entenderá por:</w:t>
      </w:r>
    </w:p>
    <w:p w:rsidR="00000000" w:rsidDel="00000000" w:rsidP="00000000" w:rsidRDefault="00000000" w:rsidRPr="00000000" w14:paraId="00000122">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123">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24">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XX. Información clasificada: Aquella considerada por la presente Ley como reservada o confidencial;</w:t>
      </w:r>
    </w:p>
    <w:p w:rsidR="00000000" w:rsidDel="00000000" w:rsidP="00000000" w:rsidRDefault="00000000" w:rsidRPr="00000000" w14:paraId="00000125">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26">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27">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128">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91.</w:t>
      </w:r>
      <w:r w:rsidDel="00000000" w:rsidR="00000000" w:rsidRPr="00000000">
        <w:rPr>
          <w:rFonts w:ascii="Palatino Linotype" w:cs="Palatino Linotype" w:eastAsia="Palatino Linotype" w:hAnsi="Palatino Linotype"/>
          <w:i w:val="1"/>
          <w:iCs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29">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132.</w:t>
      </w:r>
      <w:r w:rsidDel="00000000" w:rsidR="00000000" w:rsidRPr="00000000">
        <w:rPr>
          <w:rFonts w:ascii="Palatino Linotype" w:cs="Palatino Linotype" w:eastAsia="Palatino Linotype" w:hAnsi="Palatino Linotype"/>
          <w:i w:val="1"/>
          <w:iCs w:val="1"/>
          <w:rtl w:val="0"/>
        </w:rPr>
        <w:t xml:space="preserve"> La clasificación de la información se llevará a cabo en el momento en que:</w:t>
      </w:r>
    </w:p>
    <w:p w:rsidR="00000000" w:rsidDel="00000000" w:rsidP="00000000" w:rsidRDefault="00000000" w:rsidRPr="00000000" w14:paraId="0000012A">
      <w:pPr>
        <w:tabs>
          <w:tab w:val="left" w:leader="none" w:pos="1134"/>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Se reciba una solicitud de acceso a la información;</w:t>
      </w:r>
    </w:p>
    <w:p w:rsidR="00000000" w:rsidDel="00000000" w:rsidP="00000000" w:rsidRDefault="00000000" w:rsidRPr="00000000" w14:paraId="0000012B">
      <w:pPr>
        <w:tabs>
          <w:tab w:val="left" w:leader="none" w:pos="1134"/>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Se determine mediante resolución de autoridad competente; o</w:t>
      </w:r>
    </w:p>
    <w:p w:rsidR="00000000" w:rsidDel="00000000" w:rsidP="00000000" w:rsidRDefault="00000000" w:rsidRPr="00000000" w14:paraId="0000012C">
      <w:pPr>
        <w:tabs>
          <w:tab w:val="left" w:leader="none" w:pos="1134"/>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Se generen versiones públicas para dar cumplimiento a las obligaciones de transparencia previstas en esta Ley.</w:t>
      </w:r>
    </w:p>
    <w:p w:rsidR="00000000" w:rsidDel="00000000" w:rsidP="00000000" w:rsidRDefault="00000000" w:rsidRPr="00000000" w14:paraId="0000012D">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12E">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Artículo 143</w:t>
      </w:r>
      <w:r w:rsidDel="00000000" w:rsidR="00000000" w:rsidRPr="00000000">
        <w:rPr>
          <w:rFonts w:ascii="Palatino Linotype" w:cs="Palatino Linotype" w:eastAsia="Palatino Linotype" w:hAnsi="Palatino Linotype"/>
          <w:i w:val="1"/>
          <w:iCs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2F">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30">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31">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32">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33">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34">
      <w:pPr>
        <w:spacing w:after="0" w:lineRule="auto"/>
        <w:ind w:left="567" w:right="49"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13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3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13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9">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 “</w:t>
      </w:r>
      <w:r w:rsidDel="00000000" w:rsidR="00000000" w:rsidRPr="00000000">
        <w:rPr>
          <w:rFonts w:ascii="Palatino Linotype" w:cs="Palatino Linotype" w:eastAsia="Palatino Linotype" w:hAnsi="Palatino Linotype"/>
          <w:b w:val="1"/>
          <w:bCs w:val="1"/>
          <w:i w:val="1"/>
          <w:iCs w:val="1"/>
          <w:rtl w:val="0"/>
        </w:rPr>
        <w:t xml:space="preserve">Quincuagésimo</w:t>
      </w:r>
      <w:r w:rsidDel="00000000" w:rsidR="00000000" w:rsidRPr="00000000">
        <w:rPr>
          <w:rFonts w:ascii="Palatino Linotype" w:cs="Palatino Linotype" w:eastAsia="Palatino Linotype" w:hAnsi="Palatino Linotype"/>
          <w:i w:val="1"/>
          <w:iCs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primero.</w:t>
      </w:r>
      <w:r w:rsidDel="00000000" w:rsidR="00000000" w:rsidRPr="00000000">
        <w:rPr>
          <w:rFonts w:ascii="Palatino Linotype" w:cs="Palatino Linotype" w:eastAsia="Palatino Linotype" w:hAnsi="Palatino Linotype"/>
          <w:i w:val="1"/>
          <w:iCs w:val="1"/>
          <w:rtl w:val="0"/>
        </w:rPr>
        <w:t xml:space="preserve"> Toda acta del Comité de Transparencia deberá contener: </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El número de sesión y fecha; </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El nombre del área que solicitó la clasificación de información; </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La fundamentación legal y motivación correspondiente; </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IV. La resolución o resoluciones aprobadas; y </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 La rúbrica o firma digital de cada integrante del Comité de Transparencia. </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Los motivos y razonamientos que sustenten la confirmación o modificación de la prueba de daño;</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Descripción de las partes o secciones reservadas, en caso de clasificación parcial; </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El periodo por el que mantendrá su clasificación y fecha de expiración; y </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IV. El nombre del titular y área encargada de realizar la versión pública del documento, en su caso. </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47">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segundo.</w:t>
      </w:r>
      <w:r w:rsidDel="00000000" w:rsidR="00000000" w:rsidRPr="00000000">
        <w:rPr>
          <w:rFonts w:ascii="Palatino Linotype" w:cs="Palatino Linotype" w:eastAsia="Palatino Linotype" w:hAnsi="Palatino Linotype"/>
          <w:i w:val="1"/>
          <w:iCs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48">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49">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4A">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4B">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Señalar las personas o instancias autorizadas a acceder a la información clasificada.</w:t>
      </w:r>
    </w:p>
    <w:p w:rsidR="00000000" w:rsidDel="00000000" w:rsidP="00000000" w:rsidRDefault="00000000" w:rsidRPr="00000000" w14:paraId="0000014C">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4D">
      <w:pPr>
        <w:spacing w:after="0" w:lineRule="auto"/>
        <w:ind w:left="567" w:right="49"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14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4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b w:val="1"/>
          <w:bCs w:val="1"/>
          <w:i w:val="1"/>
          <w:iCs w:val="1"/>
          <w:rtl w:val="0"/>
        </w:rPr>
        <w:t xml:space="preserve">Quincuagésimo cuarto.</w:t>
      </w:r>
      <w:r w:rsidDel="00000000" w:rsidR="00000000" w:rsidRPr="00000000">
        <w:rPr>
          <w:rFonts w:ascii="Palatino Linotype" w:cs="Palatino Linotype" w:eastAsia="Palatino Linotype" w:hAnsi="Palatino Linotype"/>
          <w:i w:val="1"/>
          <w:iCs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51">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quinto.</w:t>
      </w:r>
      <w:r w:rsidDel="00000000" w:rsidR="00000000" w:rsidRPr="00000000">
        <w:rPr>
          <w:rFonts w:ascii="Palatino Linotype" w:cs="Palatino Linotype" w:eastAsia="Palatino Linotype" w:hAnsi="Palatino Linotype"/>
          <w:i w:val="1"/>
          <w:iCs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52">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153">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rtl w:val="0"/>
        </w:rPr>
        <w:t xml:space="preserve">Quincuagésimo séptimo.</w:t>
      </w:r>
      <w:r w:rsidDel="00000000" w:rsidR="00000000" w:rsidRPr="00000000">
        <w:rPr>
          <w:rFonts w:ascii="Palatino Linotype" w:cs="Palatino Linotype" w:eastAsia="Palatino Linotype" w:hAnsi="Palatino Linotype"/>
          <w:i w:val="1"/>
          <w:iCs w:val="1"/>
          <w:rtl w:val="0"/>
        </w:rPr>
        <w:t xml:space="preserve"> Se considera, en principio, como información pública y no podrá omitirse de las versiones públicas la siguiente: </w:t>
      </w:r>
    </w:p>
    <w:p w:rsidR="00000000" w:rsidDel="00000000" w:rsidP="00000000" w:rsidRDefault="00000000" w:rsidRPr="00000000" w14:paraId="00000154">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55">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56">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57">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58">
      <w:pPr>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59">
      <w:pPr>
        <w:spacing w:after="0" w:line="360" w:lineRule="auto"/>
        <w:ind w:left="567" w:right="49"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15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Rule="auto"/>
        <w:ind w:left="567"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C">
      <w:pPr>
        <w:spacing w:after="0" w:line="360" w:lineRule="auto"/>
        <w:ind w:right="49"/>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bCs w:val="1"/>
          <w:rtl w:val="0"/>
        </w:rPr>
        <w:t xml:space="preserve">09574/INFOEM/IP/RR/2025</w:t>
      </w:r>
      <w:r w:rsidDel="00000000" w:rsidR="00000000" w:rsidRPr="00000000">
        <w:rPr>
          <w:rFonts w:ascii="Palatino Linotype" w:cs="Palatino Linotype" w:eastAsia="Palatino Linotype" w:hAnsi="Palatino Linotype"/>
          <w:rtl w:val="0"/>
        </w:rPr>
        <w:t xml:space="preserve">; por ello, y con fundamento en la fracción III del numeral 186 de la Ley de Transparencia y Acceso a la Información Pública del Estado de México y Municipios, se</w:t>
      </w:r>
      <w:r w:rsidDel="00000000" w:rsidR="00000000" w:rsidRPr="00000000">
        <w:rPr>
          <w:rFonts w:ascii="Palatino Linotype" w:cs="Palatino Linotype" w:eastAsia="Palatino Linotype" w:hAnsi="Palatino Linotype"/>
          <w:b w:val="1"/>
          <w:bCs w:val="1"/>
          <w:rtl w:val="0"/>
        </w:rPr>
        <w:t xml:space="preserve"> REVOCA </w:t>
      </w:r>
      <w:r w:rsidDel="00000000" w:rsidR="00000000" w:rsidRPr="00000000">
        <w:rPr>
          <w:rFonts w:ascii="Palatino Linotype" w:cs="Palatino Linotype" w:eastAsia="Palatino Linotype" w:hAnsi="Palatino Linotype"/>
          <w:rtl w:val="0"/>
        </w:rPr>
        <w:t xml:space="preserve">la respuesta a la solicitud de información número </w:t>
      </w:r>
      <w:r w:rsidDel="00000000" w:rsidR="00000000" w:rsidRPr="00000000">
        <w:rPr>
          <w:rFonts w:ascii="Palatino Linotype" w:cs="Palatino Linotype" w:eastAsia="Palatino Linotype" w:hAnsi="Palatino Linotype"/>
          <w:b w:val="1"/>
          <w:bCs w:val="1"/>
          <w:rtl w:val="0"/>
        </w:rPr>
        <w:t xml:space="preserve">00097/PROBOSQUE/IP/2025. </w:t>
      </w:r>
    </w:p>
    <w:p w:rsidR="00000000" w:rsidDel="00000000" w:rsidP="00000000" w:rsidRDefault="00000000" w:rsidRPr="00000000" w14:paraId="0000015D">
      <w:pPr>
        <w:spacing w:after="0" w:line="360" w:lineRule="auto"/>
        <w:ind w:right="49"/>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15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5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0">
      <w:pPr>
        <w:spacing w:after="0" w:line="360" w:lineRule="auto"/>
        <w:ind w:right="49"/>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III.</w:t>
        <w:tab/>
        <w:t xml:space="preserve">R E S U E L V E:</w:t>
      </w:r>
    </w:p>
    <w:p w:rsidR="00000000" w:rsidDel="00000000" w:rsidP="00000000" w:rsidRDefault="00000000" w:rsidRPr="00000000" w14:paraId="00000161">
      <w:pPr>
        <w:spacing w:after="0" w:line="360" w:lineRule="auto"/>
        <w:ind w:right="49"/>
        <w:jc w:val="center"/>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16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bCs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w:t>
      </w:r>
      <w:r w:rsidDel="00000000" w:rsidR="00000000" w:rsidRPr="00000000">
        <w:rPr>
          <w:rFonts w:ascii="Palatino Linotype" w:cs="Palatino Linotype" w:eastAsia="Palatino Linotype" w:hAnsi="Palatino Linotype"/>
          <w:b w:val="1"/>
          <w:bCs w:val="1"/>
          <w:rtl w:val="0"/>
        </w:rPr>
        <w:t xml:space="preserve">la 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bCs w:val="1"/>
          <w:rtl w:val="0"/>
        </w:rPr>
        <w:t xml:space="preserve">09574/INFOEM/IP/RR/2025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bCs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bCs w:val="1"/>
          <w:rtl w:val="0"/>
        </w:rPr>
        <w:t xml:space="preserve">Revoca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6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bCs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a que, en observancia de los </w:t>
      </w:r>
      <w:r w:rsidDel="00000000" w:rsidR="00000000" w:rsidRPr="00000000">
        <w:rPr>
          <w:rFonts w:ascii="Palatino Linotype" w:cs="Palatino Linotype" w:eastAsia="Palatino Linotype" w:hAnsi="Palatino Linotype"/>
          <w:b w:val="1"/>
          <w:bCs w:val="1"/>
          <w:rtl w:val="0"/>
        </w:rPr>
        <w:t xml:space="preserve">Considerandos Cuarto y Quinto</w:t>
      </w:r>
      <w:r w:rsidDel="00000000" w:rsidR="00000000" w:rsidRPr="00000000">
        <w:rPr>
          <w:rFonts w:ascii="Palatino Linotype" w:cs="Palatino Linotype" w:eastAsia="Palatino Linotype" w:hAnsi="Palatino Linotype"/>
          <w:rtl w:val="0"/>
        </w:rPr>
        <w:t xml:space="preserve">, haga entrega, vía Sistema de Acceso a la Información Mexiquense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de ser el caso en versión pública, de lo siguiente:</w:t>
      </w:r>
    </w:p>
    <w:p w:rsidR="00000000" w:rsidDel="00000000" w:rsidP="00000000" w:rsidRDefault="00000000" w:rsidRPr="00000000" w14:paraId="00000165">
      <w:pPr>
        <w:spacing w:after="0" w:line="360" w:lineRule="auto"/>
        <w:ind w:right="49"/>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851" w:right="843" w:firstLine="0"/>
        <w:jc w:val="both"/>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2"/>
          <w:szCs w:val="22"/>
          <w:u w:val="none"/>
          <w:shd w:fill="auto" w:val="clear"/>
          <w:vertAlign w:val="baseline"/>
          <w:rtl w:val="0"/>
        </w:rPr>
        <w:t xml:space="preserve">Los contratos celebrados por motivo de prestación o adquisición de bienes y servicios, en beneficio del personal de la Dirección de Administración, Finanzas y de Gestión Documental, del primero de enero de dos mil veinticuatro al treinta de junio de dos mil veinticinco.</w:t>
      </w:r>
    </w:p>
    <w:p w:rsidR="00000000" w:rsidDel="00000000" w:rsidP="00000000" w:rsidRDefault="00000000" w:rsidRPr="00000000" w14:paraId="00000167">
      <w:pPr>
        <w:tabs>
          <w:tab w:val="left" w:leader="none" w:pos="8080"/>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168">
      <w:pPr>
        <w:tabs>
          <w:tab w:val="left" w:leader="none" w:pos="8080"/>
        </w:tabs>
        <w:spacing w:after="0" w:lineRule="auto"/>
        <w:ind w:left="851" w:right="843" w:firstLine="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Del="00000000" w:rsidR="00000000" w:rsidRPr="00000000">
        <w:rPr>
          <w:rFonts w:ascii="Palatino Linotype" w:cs="Palatino Linotype" w:eastAsia="Palatino Linotype" w:hAnsi="Palatino Linotype"/>
          <w:b w:val="1"/>
          <w:bCs w:val="1"/>
          <w:i w:val="1"/>
          <w:iCs w:val="1"/>
          <w:rtl w:val="0"/>
        </w:rPr>
        <w:t xml:space="preserve">la parte Recurrente</w:t>
      </w:r>
      <w:r w:rsidDel="00000000" w:rsidR="00000000" w:rsidRPr="00000000">
        <w:rPr>
          <w:rFonts w:ascii="Palatino Linotype" w:cs="Palatino Linotype" w:eastAsia="Palatino Linotype" w:hAnsi="Palatino Linotype"/>
          <w:i w:val="1"/>
          <w:iCs w:val="1"/>
          <w:rtl w:val="0"/>
        </w:rPr>
        <w:t xml:space="preserve">.</w:t>
      </w:r>
    </w:p>
    <w:p w:rsidR="00000000" w:rsidDel="00000000" w:rsidP="00000000" w:rsidRDefault="00000000" w:rsidRPr="00000000" w14:paraId="00000169">
      <w:pPr>
        <w:spacing w:after="0" w:line="360" w:lineRule="auto"/>
        <w:ind w:right="49"/>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16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bCs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bCs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rsidR="00000000" w:rsidDel="00000000" w:rsidP="00000000" w:rsidRDefault="00000000" w:rsidRPr="00000000" w14:paraId="0000016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bCs w:val="1"/>
          <w:rtl w:val="0"/>
        </w:rPr>
        <w:t xml:space="preserve">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bCs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16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Quinto.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bCs w:val="1"/>
          <w:rtl w:val="0"/>
        </w:rPr>
        <w:t xml:space="preserve">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bCs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bCs w:val="1"/>
          <w:rtl w:val="0"/>
        </w:rPr>
        <w:t xml:space="preserve">Sujeto Obligado </w:t>
      </w:r>
      <w:r w:rsidDel="00000000" w:rsidR="00000000" w:rsidRPr="00000000">
        <w:rPr>
          <w:rFonts w:ascii="Palatino Linotype" w:cs="Palatino Linotype" w:eastAsia="Palatino Linotype" w:hAnsi="Palatino Linotype"/>
          <w:rtl w:val="0"/>
        </w:rPr>
        <w:t xml:space="preserve">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00000" w:rsidDel="00000000" w:rsidP="00000000" w:rsidRDefault="00000000" w:rsidRPr="00000000" w14:paraId="0000016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DIEZ DE DICIEMBRE DOS MIL VEINTICINCO, ANTE EL SECRETARIO TÉCNICO DEL PLENO ALEXIS TAPIA RAMÍREZ. </w:t>
      </w:r>
    </w:p>
    <w:p w:rsidR="00000000" w:rsidDel="00000000" w:rsidP="00000000" w:rsidRDefault="00000000" w:rsidRPr="00000000" w14:paraId="0000017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9">
      <w:pPr>
        <w:spacing w:after="0" w:line="360" w:lineRule="auto"/>
        <w:ind w:right="49"/>
        <w:jc w:val="both"/>
        <w:rPr>
          <w:rFonts w:ascii="Palatino Linotype" w:cs="Palatino Linotype" w:eastAsia="Palatino Linotype" w:hAnsi="Palatino Linotype"/>
        </w:rPr>
      </w:pPr>
      <w:bookmarkStart w:colFirst="0" w:colLast="0" w:name="_heading=h.2et92p0" w:id="5"/>
      <w:bookmarkEnd w:id="5"/>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bCs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bCs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bCs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-716278</wp:posOffset>
          </wp:positionH>
          <wp:positionV relativeFrom="paragraph">
            <wp:posOffset>-401953</wp:posOffset>
          </wp:positionV>
          <wp:extent cx="7809876" cy="10165823"/>
          <wp:effectExtent b="0" l="0" r="0" t="0"/>
          <wp:wrapNone/>
          <wp:docPr id="207561407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Recurso de Revisión:</w:t>
          </w:r>
        </w:p>
      </w:tc>
      <w:tc>
        <w:tcPr>
          <w:vAlign w:val="center"/>
        </w:tcPr>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09574/INFOEM/IP/RR/2025</w:t>
          </w:r>
        </w:p>
      </w:tc>
    </w:tr>
    <w:tr>
      <w:trPr>
        <w:cantSplit w:val="0"/>
        <w:trHeight w:val="217" w:hRule="atLeast"/>
        <w:tblHeader w:val="0"/>
      </w:trPr>
      <w:tc>
        <w:tcPr>
          <w:vAlign w:val="center"/>
        </w:tcPr>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Sujeto obligado:</w:t>
          </w:r>
        </w:p>
      </w:tc>
      <w:tc>
        <w:tcPr>
          <w:vAlign w:val="center"/>
        </w:tcPr>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419"/>
              <w:tab w:val="right" w:leader="none" w:pos="8838"/>
            </w:tabs>
            <w:ind w:right="168"/>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Protectora de Bosques del Estado de México</w:t>
          </w:r>
        </w:p>
      </w:tc>
    </w:tr>
    <w:tr>
      <w:trPr>
        <w:cantSplit w:val="0"/>
        <w:tblHeader w:val="0"/>
      </w:trPr>
      <w:tc>
        <w:tcPr>
          <w:vAlign w:val="center"/>
        </w:tcPr>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Comisionada ponente:</w:t>
          </w:r>
        </w:p>
      </w:tc>
      <w:tc>
        <w:tcPr>
          <w:vAlign w:val="center"/>
        </w:tcPr>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Guadalupe Ramírez Peña</w:t>
          </w:r>
        </w:p>
      </w:tc>
    </w:tr>
  </w:tbl>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left" w:leader="none" w:pos="2805"/>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-654049</wp:posOffset>
          </wp:positionH>
          <wp:positionV relativeFrom="paragraph">
            <wp:posOffset>-191134</wp:posOffset>
          </wp:positionV>
          <wp:extent cx="7809865" cy="10165715"/>
          <wp:effectExtent b="0" l="0" r="0" t="0"/>
          <wp:wrapNone/>
          <wp:docPr id="207561407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Recurso de Revisión:</w:t>
          </w:r>
        </w:p>
      </w:tc>
      <w:tc>
        <w:tcPr>
          <w:vAlign w:val="center"/>
        </w:tcPr>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09574/INFOEM/IP/RR/2025</w:t>
          </w:r>
        </w:p>
      </w:tc>
    </w:tr>
    <w:tr>
      <w:trPr>
        <w:cantSplit w:val="0"/>
        <w:tblHeader w:val="0"/>
      </w:trPr>
      <w:tc>
        <w:tcPr>
          <w:vAlign w:val="center"/>
        </w:tcPr>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Recurrente:</w:t>
          </w:r>
        </w:p>
      </w:tc>
      <w:tc>
        <w:tcPr>
          <w:vAlign w:val="center"/>
        </w:tcPr>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XXXXXXX XXXXXX XXXXX </w:t>
          </w:r>
        </w:p>
      </w:tc>
    </w:tr>
    <w:tr>
      <w:trPr>
        <w:cantSplit w:val="0"/>
        <w:trHeight w:val="152" w:hRule="atLeast"/>
        <w:tblHeader w:val="0"/>
      </w:trPr>
      <w:tc>
        <w:tcPr>
          <w:vAlign w:val="center"/>
        </w:tcPr>
        <w:p w:rsidR="00000000" w:rsidDel="00000000" w:rsidP="00000000" w:rsidRDefault="00000000" w:rsidRPr="00000000" w14:paraId="00000187">
          <w:pP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Sujeto obligado:</w:t>
          </w:r>
        </w:p>
      </w:tc>
      <w:tc>
        <w:tcPr>
          <w:vAlign w:val="center"/>
        </w:tcPr>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center" w:leader="none" w:pos="4419"/>
              <w:tab w:val="right" w:leader="none" w:pos="8838"/>
            </w:tabs>
            <w:ind w:right="174"/>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Protectora de Bosques del Estado de México</w:t>
          </w:r>
        </w:p>
      </w:tc>
    </w:tr>
    <w:tr>
      <w:trPr>
        <w:cantSplit w:val="0"/>
        <w:tblHeader w:val="0"/>
      </w:trPr>
      <w:tc>
        <w:tcPr>
          <w:vAlign w:val="center"/>
        </w:tcPr>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Comisionada ponente:</w:t>
          </w:r>
        </w:p>
      </w:tc>
      <w:tc>
        <w:tcPr>
          <w:vAlign w:val="center"/>
        </w:tcPr>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center" w:leader="none" w:pos="4419"/>
              <w:tab w:val="right" w:leader="none" w:pos="8838"/>
            </w:tabs>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Guadalupe Ramírez Peña</w:t>
          </w:r>
        </w:p>
      </w:tc>
    </w:tr>
  </w:tbl>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062" w:hanging="360"/>
      </w:pPr>
      <w:rPr>
        <w:b w:val="1"/>
        <w:bCs w:val="1"/>
        <w:color w:val="00000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927" w:hanging="360"/>
      </w:pPr>
      <w:rPr>
        <w:rFonts w:ascii="Palatino Linotype" w:cs="Palatino Linotype" w:eastAsia="Palatino Linotype" w:hAnsi="Palatino Linotype"/>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1080" w:hanging="72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CD74AE"/>
    <w:pPr>
      <w:ind w:left="720"/>
      <w:contextualSpacing w:val="1"/>
    </w:pPr>
  </w:style>
  <w:style w:type="character" w:styleId="Hipervnculo">
    <w:name w:val="Hyperlink"/>
    <w:aliases w:val="Hipervínculo1,Hipervínculo11,Hipervínculo12,Hipervínculo13,Hipervínculo14,Hipervínculo15"/>
    <w:basedOn w:val="Fuentedeprrafopredeter"/>
    <w:uiPriority w:val="99"/>
    <w:unhideWhenUsed w:val="1"/>
    <w:qFormat w:val="1"/>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val="1"/>
    <w:locked w:val="1"/>
    <w:rsid w:val="009F3FE6"/>
  </w:style>
  <w:style w:type="table" w:styleId="6" w:customStyle="1">
    <w:name w:val="6"/>
    <w:basedOn w:val="TableNormal10"/>
    <w:tblPr>
      <w:tblStyleRowBandSize w:val="1"/>
      <w:tblStyleColBandSize w:val="1"/>
      <w:tblCellMar>
        <w:top w:w="15.0" w:type="dxa"/>
        <w:left w:w="15.0" w:type="dxa"/>
        <w:bottom w:w="15.0" w:type="dxa"/>
        <w:right w:w="15.0" w:type="dxa"/>
      </w:tblCellMar>
    </w:tblPr>
  </w:style>
  <w:style w:type="table" w:styleId="5" w:customStyle="1">
    <w:name w:val="5"/>
    <w:basedOn w:val="TableNormal10"/>
    <w:tblPr>
      <w:tblStyleRowBandSize w:val="1"/>
      <w:tblStyleColBandSize w:val="1"/>
      <w:tblCellMar>
        <w:left w:w="115.0" w:type="dxa"/>
        <w:right w:w="115.0" w:type="dxa"/>
      </w:tblCellMar>
    </w:tblPr>
  </w:style>
  <w:style w:type="table" w:styleId="4" w:customStyle="1">
    <w:name w:val="4"/>
    <w:basedOn w:val="TableNormal10"/>
    <w:tblPr>
      <w:tblStyleRowBandSize w:val="1"/>
      <w:tblStyleColBandSize w:val="1"/>
      <w:tblCellMar>
        <w:left w:w="115.0" w:type="dxa"/>
        <w:right w:w="115.0" w:type="dxa"/>
      </w:tblCellMar>
    </w:tblPr>
  </w:style>
  <w:style w:type="table" w:styleId="3" w:customStyle="1">
    <w:name w:val="3"/>
    <w:basedOn w:val="TableNormal10"/>
    <w:tblPr>
      <w:tblStyleRowBandSize w:val="1"/>
      <w:tblStyleColBandSize w:val="1"/>
      <w:tblCellMar>
        <w:top w:w="15.0" w:type="dxa"/>
        <w:left w:w="115.0" w:type="dxa"/>
        <w:bottom w:w="15.0" w:type="dxa"/>
        <w:right w:w="115.0" w:type="dxa"/>
      </w:tblCellMar>
    </w:tblPr>
  </w:style>
  <w:style w:type="table" w:styleId="2" w:customStyle="1">
    <w:name w:val="2"/>
    <w:basedOn w:val="TableNormal10"/>
    <w:tblPr>
      <w:tblStyleRowBandSize w:val="1"/>
      <w:tblStyleColBandSize w:val="1"/>
      <w:tblCellMar>
        <w:top w:w="15.0" w:type="dxa"/>
        <w:left w:w="115.0" w:type="dxa"/>
        <w:bottom w:w="15.0" w:type="dxa"/>
        <w:right w:w="115.0" w:type="dxa"/>
      </w:tblCellMar>
    </w:tblPr>
  </w:style>
  <w:style w:type="table" w:styleId="1" w:customStyle="1">
    <w:name w:val="1"/>
    <w:basedOn w:val="TableNormal10"/>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character" w:styleId="Mencinsinresolver2" w:customStyle="1">
    <w:name w:val="Mención sin resolver2"/>
    <w:basedOn w:val="Fuentedeprrafopredeter"/>
    <w:uiPriority w:val="99"/>
    <w:semiHidden w:val="1"/>
    <w:unhideWhenUsed w:val="1"/>
    <w:rsid w:val="00AC79ED"/>
    <w:rPr>
      <w:color w:val="605e5c"/>
      <w:shd w:color="auto" w:fill="e1dfdd" w:val="clear"/>
    </w:rPr>
  </w:style>
  <w:style w:type="paragraph" w:styleId="Default" w:customStyle="1">
    <w:name w:val="Default"/>
    <w:rsid w:val="00A27592"/>
    <w:pPr>
      <w:autoSpaceDE w:val="0"/>
      <w:autoSpaceDN w:val="0"/>
      <w:adjustRightInd w:val="0"/>
      <w:spacing w:after="0" w:line="240" w:lineRule="auto"/>
    </w:pPr>
    <w:rPr>
      <w:rFonts w:ascii="Arial" w:cs="Arial" w:hAnsi="Arial"/>
      <w:color w:val="000000"/>
      <w:sz w:val="24"/>
      <w:szCs w:val="24"/>
    </w:rPr>
  </w:style>
  <w:style w:type="character" w:styleId="normaltextrun" w:customStyle="1">
    <w:name w:val="normaltextrun"/>
    <w:basedOn w:val="Fuentedeprrafopredeter"/>
    <w:rsid w:val="002F3C2D"/>
  </w:style>
  <w:style w:type="paragraph" w:styleId="Sinespaciado">
    <w:name w:val="No Spacing"/>
    <w:aliases w:val="Francesa,INAI"/>
    <w:link w:val="SinespaciadoCar"/>
    <w:uiPriority w:val="1"/>
    <w:qFormat w:val="1"/>
    <w:rsid w:val="00F01E4E"/>
    <w:pPr>
      <w:spacing w:after="0" w:line="240" w:lineRule="auto"/>
    </w:pPr>
    <w:rPr>
      <w:rFonts w:ascii="Times New Roman" w:cs="Times New Roman" w:eastAsia="Times New Roman" w:hAnsi="Times New Roman"/>
      <w:sz w:val="24"/>
      <w:szCs w:val="24"/>
      <w:lang w:eastAsia="es-ES" w:val="es-ES"/>
    </w:rPr>
  </w:style>
  <w:style w:type="character" w:styleId="SinespaciadoCar" w:customStyle="1">
    <w:name w:val="Sin espaciado Car"/>
    <w:aliases w:val="Francesa Car,INAI Car"/>
    <w:link w:val="Sinespaciado"/>
    <w:uiPriority w:val="1"/>
    <w:locked w:val="1"/>
    <w:rsid w:val="00F01E4E"/>
    <w:rPr>
      <w:rFonts w:ascii="Times New Roman" w:cs="Times New Roman" w:eastAsia="Times New Roman" w:hAnsi="Times New Roman"/>
      <w:sz w:val="24"/>
      <w:szCs w:val="24"/>
      <w:lang w:eastAsia="es-ES" w:val="es-ES"/>
    </w:rPr>
  </w:style>
  <w:style w:type="character" w:styleId="Mencinsinresolver3" w:customStyle="1">
    <w:name w:val="Mención sin resolver3"/>
    <w:basedOn w:val="Fuentedeprrafopredeter"/>
    <w:uiPriority w:val="99"/>
    <w:semiHidden w:val="1"/>
    <w:unhideWhenUsed w:val="1"/>
    <w:rsid w:val="0036720C"/>
    <w:rPr>
      <w:color w:val="605e5c"/>
      <w:shd w:color="auto" w:fill="e1dfdd" w:val="clear"/>
    </w:rPr>
  </w:style>
  <w:style w:type="character" w:styleId="Hipervnculovisitado">
    <w:name w:val="FollowedHyperlink"/>
    <w:basedOn w:val="Fuentedeprrafopredeter"/>
    <w:uiPriority w:val="99"/>
    <w:semiHidden w:val="1"/>
    <w:unhideWhenUsed w:val="1"/>
    <w:rsid w:val="00996EF5"/>
    <w:rPr>
      <w:color w:val="954f72" w:themeColor="followedHyperlink"/>
      <w:u w:val="single"/>
    </w:rPr>
  </w:style>
  <w:style w:type="table" w:styleId="a" w:customStyle="1">
    <w:basedOn w:val="TableNormal1"/>
    <w:pPr>
      <w:spacing w:after="0" w:line="240" w:lineRule="auto"/>
    </w:pPr>
    <w:tblPr>
      <w:tblStyleRowBandSize w:val="1"/>
      <w:tblStyleColBandSize w:val="1"/>
      <w:tblCellMar>
        <w:left w:w="108.0" w:type="dxa"/>
        <w:right w:w="108.0" w:type="dxa"/>
      </w:tblCellMar>
    </w:tblPr>
  </w:style>
  <w:style w:type="table" w:styleId="a0" w:customStyle="1">
    <w:basedOn w:val="TableNormal1"/>
    <w:tblPr>
      <w:tblStyleRowBandSize w:val="1"/>
      <w:tblStyleColBandSize w:val="1"/>
      <w:tblCellMar>
        <w:top w:w="15.0" w:type="dxa"/>
        <w:left w:w="115.0" w:type="dxa"/>
        <w:bottom w:w="15.0" w:type="dxa"/>
        <w:right w:w="115.0" w:type="dxa"/>
      </w:tblCellMar>
    </w:tblPr>
  </w:style>
  <w:style w:type="table" w:styleId="a1" w:customStyle="1">
    <w:basedOn w:val="TableNormal1"/>
    <w:tblPr>
      <w:tblStyleRowBandSize w:val="1"/>
      <w:tblStyleColBandSize w:val="1"/>
      <w:tblCellMar>
        <w:top w:w="15.0" w:type="dxa"/>
        <w:left w:w="115.0" w:type="dxa"/>
        <w:bottom w:w="15.0" w:type="dxa"/>
        <w:right w:w="115.0" w:type="dxa"/>
      </w:tblCellMar>
    </w:tblPr>
  </w:style>
  <w:style w:type="paragraph" w:styleId="Textoindependiente">
    <w:name w:val="Body Text"/>
    <w:basedOn w:val="Normal"/>
    <w:link w:val="TextoindependienteCar"/>
    <w:uiPriority w:val="1"/>
    <w:qFormat w:val="1"/>
    <w:rsid w:val="008E7CA6"/>
    <w:pPr>
      <w:autoSpaceDE w:val="0"/>
      <w:autoSpaceDN w:val="0"/>
      <w:adjustRightInd w:val="0"/>
      <w:spacing w:after="0" w:line="240" w:lineRule="auto"/>
      <w:ind w:left="93"/>
    </w:pPr>
    <w:rPr>
      <w:rFonts w:ascii="Times New Roman" w:hAnsi="Times New Roman" w:eastAsiaTheme="minorHAnsi"/>
      <w:sz w:val="23"/>
      <w:szCs w:val="23"/>
    </w:rPr>
  </w:style>
  <w:style w:type="character" w:styleId="TextoindependienteCar" w:customStyle="1">
    <w:name w:val="Texto independiente Car"/>
    <w:basedOn w:val="Fuentedeprrafopredeter"/>
    <w:link w:val="Textoindependiente"/>
    <w:uiPriority w:val="1"/>
    <w:rsid w:val="008E7CA6"/>
    <w:rPr>
      <w:rFonts w:ascii="Times New Roman" w:cs="Times New Roman" w:hAnsi="Times New Roman" w:eastAsiaTheme="minorHAnsi"/>
      <w:sz w:val="23"/>
      <w:szCs w:val="23"/>
      <w:lang w:eastAsia="en-US"/>
    </w:rPr>
  </w:style>
  <w:style w:type="table" w:styleId="a2"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table" w:styleId="a3" w:customStyle="1">
    <w:basedOn w:val="TableNormal0"/>
    <w:pPr>
      <w:spacing w:after="0" w:line="240" w:lineRule="auto"/>
    </w:p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4.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www.gob.mx/sfp/acciones-y-programas/1-3-3-adjudicacion-directa" TargetMode="External"/><Relationship Id="rId8" Type="http://schemas.openxmlformats.org/officeDocument/2006/relationships/hyperlink" Target="http://www.contraloriadf.gob.mx/contraloria/cursos/ADQUISICIONES/paginas/32.php#:~:text=Es%20un%20procedimiento%20administrativo%2C%20de,tres%20oferentes%20a%20presentar%20propuestas%2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pf2TByIHZI/R7Fw0qda6C3qKEQ==">CgMxLjAyDmgucXdtdmIwMmxlcmhoMgloLjN6bnlzaDcyCWguMzBqMHpsbDIOaC5nMmxjZDZqbzk3bHQyDmgucjdmdXg4bmNsZnE3MgloLjJldDkycDA4AHIhMVkyNEEtYnlvR3o3X3kxc1c4MVVJN2lWSXQ3Tk9NWjEx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2026-01-20T17:46:00Z</dcterms:created>
  <dc:creator>Cuenta Microsoft</dc:creator>
</cp:coreProperties>
</file>