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87F" w:rsidRPr="005D5A63" w:rsidRDefault="00CA461F" w:rsidP="0036324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0" w:name="_heading=h.ykfwixaf3bby" w:colFirst="0" w:colLast="0"/>
      <w:bookmarkStart w:id="1" w:name="_GoBack"/>
      <w:bookmarkEnd w:id="0"/>
      <w:bookmarkEnd w:id="1"/>
      <w:r w:rsidRPr="005D5A63">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de</w:t>
      </w:r>
      <w:r w:rsidR="00DA0935">
        <w:rPr>
          <w:rFonts w:ascii="Palatino Linotype" w:eastAsia="Palatino Linotype" w:hAnsi="Palatino Linotype" w:cs="Palatino Linotype"/>
          <w:color w:val="000000" w:themeColor="text1"/>
        </w:rPr>
        <w:t xml:space="preserve"> fecha </w:t>
      </w:r>
      <w:r w:rsidRPr="005D5A63">
        <w:rPr>
          <w:rFonts w:ascii="Palatino Linotype" w:eastAsia="Palatino Linotype" w:hAnsi="Palatino Linotype" w:cs="Palatino Linotype"/>
          <w:b/>
          <w:color w:val="000000" w:themeColor="text1"/>
        </w:rPr>
        <w:t>diez</w:t>
      </w:r>
      <w:r w:rsidR="00DA0935">
        <w:rPr>
          <w:rFonts w:ascii="Palatino Linotype" w:eastAsia="Palatino Linotype" w:hAnsi="Palatino Linotype" w:cs="Palatino Linotype"/>
          <w:b/>
          <w:color w:val="000000" w:themeColor="text1"/>
        </w:rPr>
        <w:t xml:space="preserve"> (10)</w:t>
      </w:r>
      <w:r w:rsidRPr="005D5A63">
        <w:rPr>
          <w:rFonts w:ascii="Palatino Linotype" w:eastAsia="Palatino Linotype" w:hAnsi="Palatino Linotype" w:cs="Palatino Linotype"/>
          <w:b/>
          <w:color w:val="000000" w:themeColor="text1"/>
        </w:rPr>
        <w:t xml:space="preserve"> de septiembre de dos mil veinticinco.</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6087F" w:rsidRPr="005D5A63" w:rsidRDefault="00CA461F" w:rsidP="0036324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2" w:name="_heading=h.q4xx1ts51n2h" w:colFirst="0" w:colLast="0"/>
      <w:bookmarkEnd w:id="2"/>
      <w:r w:rsidRPr="005D5A63">
        <w:rPr>
          <w:rFonts w:ascii="Palatino Linotype" w:eastAsia="Palatino Linotype" w:hAnsi="Palatino Linotype" w:cs="Palatino Linotype"/>
          <w:b/>
          <w:color w:val="000000" w:themeColor="text1"/>
        </w:rPr>
        <w:t>VISTOS</w:t>
      </w:r>
      <w:r w:rsidRPr="005D5A63">
        <w:rPr>
          <w:rFonts w:ascii="Palatino Linotype" w:eastAsia="Palatino Linotype" w:hAnsi="Palatino Linotype" w:cs="Palatino Linotype"/>
          <w:color w:val="000000" w:themeColor="text1"/>
        </w:rPr>
        <w:t xml:space="preserve"> los expedientes electrónicos formados con motivo de los Recursos de Revisión </w:t>
      </w:r>
      <w:r w:rsidRPr="005D5A63">
        <w:rPr>
          <w:rFonts w:ascii="Palatino Linotype" w:eastAsia="Palatino Linotype" w:hAnsi="Palatino Linotype" w:cs="Palatino Linotype"/>
          <w:b/>
          <w:color w:val="000000" w:themeColor="text1"/>
        </w:rPr>
        <w:t xml:space="preserve">08093/INFOEM/IP/RR/2025, 08094/INFOEM/IP/RR/2025, 08095/INFOEM/IP/RR/2025, 08096/INFOEM/IP/RR/2025, 08097/INFOEM/IP/RR/2025 </w:t>
      </w:r>
      <w:r w:rsidRPr="005D5A63">
        <w:rPr>
          <w:rFonts w:ascii="Palatino Linotype" w:eastAsia="Palatino Linotype" w:hAnsi="Palatino Linotype" w:cs="Palatino Linotype"/>
          <w:color w:val="000000" w:themeColor="text1"/>
        </w:rPr>
        <w:t>y</w:t>
      </w:r>
      <w:r w:rsidRPr="005D5A63">
        <w:rPr>
          <w:rFonts w:ascii="Palatino Linotype" w:eastAsia="Palatino Linotype" w:hAnsi="Palatino Linotype" w:cs="Palatino Linotype"/>
          <w:b/>
          <w:color w:val="000000" w:themeColor="text1"/>
        </w:rPr>
        <w:t xml:space="preserve"> 08098/INFOEM/IP/RR/2025</w:t>
      </w:r>
      <w:r w:rsidRPr="005D5A63">
        <w:rPr>
          <w:rFonts w:ascii="Palatino Linotype" w:eastAsia="Palatino Linotype" w:hAnsi="Palatino Linotype" w:cs="Palatino Linotype"/>
          <w:color w:val="000000" w:themeColor="text1"/>
        </w:rPr>
        <w:t>, promovidos por  </w:t>
      </w:r>
      <w:r w:rsidRPr="005D5A63">
        <w:rPr>
          <w:rFonts w:ascii="Palatino Linotype" w:eastAsia="Palatino Linotype" w:hAnsi="Palatino Linotype" w:cs="Palatino Linotype"/>
          <w:b/>
          <w:color w:val="000000" w:themeColor="text1"/>
        </w:rPr>
        <w:t>una persona que no proporcionó datos de identificación</w:t>
      </w:r>
      <w:r w:rsidRPr="005D5A63">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5D5A63">
        <w:rPr>
          <w:rFonts w:ascii="Palatino Linotype" w:eastAsia="Palatino Linotype" w:hAnsi="Palatino Linotype" w:cs="Palatino Linotype"/>
          <w:b/>
          <w:color w:val="000000" w:themeColor="text1"/>
        </w:rPr>
        <w:t>EL RECURRENTE</w:t>
      </w:r>
      <w:r w:rsidRPr="005D5A63">
        <w:rPr>
          <w:rFonts w:ascii="Palatino Linotype" w:eastAsia="Palatino Linotype" w:hAnsi="Palatino Linotype" w:cs="Palatino Linotype"/>
          <w:color w:val="000000" w:themeColor="text1"/>
        </w:rPr>
        <w:t xml:space="preserve">, en contra de las respuestas de la </w:t>
      </w:r>
      <w:r w:rsidRPr="005D5A63">
        <w:rPr>
          <w:rFonts w:ascii="Palatino Linotype" w:eastAsia="Palatino Linotype" w:hAnsi="Palatino Linotype" w:cs="Palatino Linotype"/>
          <w:b/>
          <w:color w:val="000000" w:themeColor="text1"/>
        </w:rPr>
        <w:t>Instituto Electoral del Estado de México</w:t>
      </w:r>
      <w:r w:rsidRPr="005D5A63">
        <w:rPr>
          <w:rFonts w:ascii="Palatino Linotype" w:eastAsia="Palatino Linotype" w:hAnsi="Palatino Linotype" w:cs="Palatino Linotype"/>
          <w:color w:val="000000" w:themeColor="text1"/>
        </w:rPr>
        <w:t xml:space="preserve">, en </w:t>
      </w:r>
      <w:r w:rsidR="004B2FCA">
        <w:rPr>
          <w:rFonts w:ascii="Palatino Linotype" w:eastAsia="Palatino Linotype" w:hAnsi="Palatino Linotype" w:cs="Palatino Linotype"/>
          <w:color w:val="000000" w:themeColor="text1"/>
        </w:rPr>
        <w:t>adelante</w:t>
      </w:r>
      <w:r w:rsidRPr="005D5A63">
        <w:rPr>
          <w:rFonts w:ascii="Palatino Linotype" w:eastAsia="Palatino Linotype" w:hAnsi="Palatino Linotype" w:cs="Palatino Linotype"/>
          <w:color w:val="000000" w:themeColor="text1"/>
        </w:rPr>
        <w:t xml:space="preserve"> </w:t>
      </w:r>
      <w:r w:rsidRPr="005D5A63">
        <w:rPr>
          <w:rFonts w:ascii="Palatino Linotype" w:eastAsia="Palatino Linotype" w:hAnsi="Palatino Linotype" w:cs="Palatino Linotype"/>
          <w:b/>
          <w:color w:val="000000" w:themeColor="text1"/>
        </w:rPr>
        <w:t>EL SUJETO OBLIGADO</w:t>
      </w:r>
      <w:r w:rsidRPr="005D5A63">
        <w:rPr>
          <w:rFonts w:ascii="Palatino Linotype" w:eastAsia="Palatino Linotype" w:hAnsi="Palatino Linotype" w:cs="Palatino Linotype"/>
          <w:color w:val="000000" w:themeColor="text1"/>
        </w:rPr>
        <w:t>, se procede a dictar la presente Resolución, con base en los siguientes:</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5D5A63">
        <w:rPr>
          <w:rFonts w:ascii="Palatino Linotype" w:eastAsia="Palatino Linotype" w:hAnsi="Palatino Linotype" w:cs="Palatino Linotype"/>
          <w:b/>
          <w:color w:val="000000" w:themeColor="text1"/>
        </w:rPr>
        <w:t>A N T E C E D E N T E S</w:t>
      </w:r>
    </w:p>
    <w:p w:rsidR="00A6087F" w:rsidRPr="005D5A63" w:rsidRDefault="00A6087F" w:rsidP="00363247">
      <w:pPr>
        <w:spacing w:line="360" w:lineRule="auto"/>
        <w:rPr>
          <w:rFonts w:ascii="Palatino Linotype" w:eastAsia="Palatino Linotype" w:hAnsi="Palatino Linotype" w:cs="Palatino Linotype"/>
          <w:color w:val="000000" w:themeColor="text1"/>
        </w:rPr>
      </w:pPr>
    </w:p>
    <w:p w:rsidR="00A6087F"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El día </w:t>
      </w:r>
      <w:r w:rsidRPr="005D5A63">
        <w:rPr>
          <w:rFonts w:ascii="Palatino Linotype" w:eastAsia="Palatino Linotype" w:hAnsi="Palatino Linotype" w:cs="Palatino Linotype"/>
          <w:b/>
          <w:color w:val="000000" w:themeColor="text1"/>
        </w:rPr>
        <w:t xml:space="preserve">dos de junio de dos mil veinticinco, </w:t>
      </w:r>
      <w:r w:rsidRPr="005D5A63">
        <w:rPr>
          <w:rFonts w:ascii="Palatino Linotype" w:eastAsia="Palatino Linotype" w:hAnsi="Palatino Linotype" w:cs="Palatino Linotype"/>
          <w:color w:val="000000" w:themeColor="text1"/>
        </w:rPr>
        <w:t xml:space="preserve">se presentó ante el </w:t>
      </w:r>
      <w:r w:rsidRPr="005D5A63">
        <w:rPr>
          <w:rFonts w:ascii="Palatino Linotype" w:eastAsia="Palatino Linotype" w:hAnsi="Palatino Linotype" w:cs="Palatino Linotype"/>
          <w:b/>
          <w:color w:val="000000" w:themeColor="text1"/>
        </w:rPr>
        <w:t>SUJETO OBLIGADO</w:t>
      </w:r>
      <w:r w:rsidRPr="005D5A63">
        <w:rPr>
          <w:rFonts w:ascii="Palatino Linotype" w:eastAsia="Palatino Linotype" w:hAnsi="Palatino Linotype" w:cs="Palatino Linotype"/>
          <w:color w:val="000000" w:themeColor="text1"/>
        </w:rPr>
        <w:t xml:space="preserve"> vía </w:t>
      </w:r>
      <w:r w:rsidRPr="005D5A63">
        <w:rPr>
          <w:rFonts w:ascii="Palatino Linotype" w:eastAsia="Palatino Linotype" w:hAnsi="Palatino Linotype" w:cs="Palatino Linotype"/>
          <w:b/>
          <w:color w:val="000000" w:themeColor="text1"/>
        </w:rPr>
        <w:t>SAIMEX</w:t>
      </w:r>
      <w:r w:rsidRPr="005D5A63">
        <w:rPr>
          <w:rFonts w:ascii="Palatino Linotype" w:eastAsia="Palatino Linotype" w:hAnsi="Palatino Linotype" w:cs="Palatino Linotype"/>
          <w:color w:val="000000" w:themeColor="text1"/>
        </w:rPr>
        <w:t>, las solicitudes de información pública registradas con los números</w:t>
      </w:r>
      <w:r w:rsidRPr="005D5A63">
        <w:rPr>
          <w:rFonts w:ascii="Palatino Linotype" w:eastAsia="Palatino Linotype" w:hAnsi="Palatino Linotype" w:cs="Palatino Linotype"/>
          <w:b/>
          <w:color w:val="000000" w:themeColor="text1"/>
        </w:rPr>
        <w:t xml:space="preserve"> 00997/IEEM/IP/2025, 00998/IEEM/IP/2025, 00999/IEEM/IP/2025, 01000/IEEM/IP/2025, 01001/IEEM/IP/2025 y 01002/IEEM/IP/2025; </w:t>
      </w:r>
      <w:r w:rsidR="00DA0935">
        <w:rPr>
          <w:rFonts w:ascii="Palatino Linotype" w:eastAsia="Palatino Linotype" w:hAnsi="Palatino Linotype" w:cs="Palatino Linotype"/>
          <w:color w:val="000000" w:themeColor="text1"/>
        </w:rPr>
        <w:t>en la</w:t>
      </w:r>
      <w:r w:rsidR="004B2FCA">
        <w:rPr>
          <w:rFonts w:ascii="Palatino Linotype" w:eastAsia="Palatino Linotype" w:hAnsi="Palatino Linotype" w:cs="Palatino Linotype"/>
          <w:color w:val="000000" w:themeColor="text1"/>
        </w:rPr>
        <w:t>s</w:t>
      </w:r>
      <w:r w:rsidR="00DA0935">
        <w:rPr>
          <w:rFonts w:ascii="Palatino Linotype" w:eastAsia="Palatino Linotype" w:hAnsi="Palatino Linotype" w:cs="Palatino Linotype"/>
          <w:color w:val="000000" w:themeColor="text1"/>
        </w:rPr>
        <w:t xml:space="preserve"> que</w:t>
      </w:r>
      <w:r w:rsidRPr="005D5A63">
        <w:rPr>
          <w:rFonts w:ascii="Palatino Linotype" w:eastAsia="Palatino Linotype" w:hAnsi="Palatino Linotype" w:cs="Palatino Linotype"/>
          <w:color w:val="000000" w:themeColor="text1"/>
        </w:rPr>
        <w:t xml:space="preserve"> se solicitó la siguiente información:</w:t>
      </w:r>
    </w:p>
    <w:p w:rsidR="00DA0935" w:rsidRPr="005D5A63" w:rsidRDefault="00DA0935" w:rsidP="00DA093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D5A63">
        <w:rPr>
          <w:rFonts w:ascii="Palatino Linotype" w:eastAsia="Palatino Linotype" w:hAnsi="Palatino Linotype" w:cs="Palatino Linotype"/>
          <w:b/>
          <w:color w:val="000000" w:themeColor="text1"/>
        </w:rPr>
        <w:t>Número de Folio de la Solicitud: 00997/IEEM/IP/2025</w:t>
      </w:r>
    </w:p>
    <w:p w:rsidR="00A6087F" w:rsidRPr="005D5A63" w:rsidRDefault="00CA461F" w:rsidP="0036324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 xml:space="preserve">“Del acuerdo IEEM/CT/96/2025, de las solicitudes 00394/IEEM/IP/2025 a la 00411/IEEM/IP/2025 de donde se desprende que “la DO, solicitó a la UT ser el conducto a efecto de poner a consideración </w:t>
      </w:r>
      <w:r w:rsidRPr="005D5A63">
        <w:rPr>
          <w:rFonts w:ascii="Palatino Linotype" w:eastAsia="Palatino Linotype" w:hAnsi="Palatino Linotype" w:cs="Palatino Linotype"/>
          <w:i/>
          <w:color w:val="000000" w:themeColor="text1"/>
        </w:rPr>
        <w:lastRenderedPageBreak/>
        <w:t>del Comité de Transparencia la procedencia de realizar el cambio de modalidad, ofreciendo a la persona solicitante otros medios como lo son la consulta in situ, así como la entrega sin costo alguno de la información si se proporcionan los medios electrónicos u ópticos”, en este orden de ideas: “Solicito todos los oficios generados durante el mes de marzo de 2025 (junta y consejo) de los órganos desconcentrados de los distritos 1, 2 y 3 del proceso electoral judicial extraordinario 2025” facilitando la dirección de correo electrónico que aparece en el apartado MODALIDAD DE ENTREGA, campo OTRO TIPO DE MEDIO (Especificar).”</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D5A63">
        <w:rPr>
          <w:rFonts w:ascii="Palatino Linotype" w:eastAsia="Palatino Linotype" w:hAnsi="Palatino Linotype" w:cs="Palatino Linotype"/>
          <w:b/>
          <w:color w:val="000000" w:themeColor="text1"/>
        </w:rPr>
        <w:t>Número de Folio de la Solicitud: 00998/IEEM/IP/2025</w:t>
      </w:r>
      <w:r w:rsidRPr="005D5A63">
        <w:rPr>
          <w:rFonts w:ascii="Palatino Linotype" w:eastAsia="Palatino Linotype" w:hAnsi="Palatino Linotype" w:cs="Palatino Linotype"/>
          <w:b/>
          <w:color w:val="000000" w:themeColor="text1"/>
        </w:rPr>
        <w:tab/>
      </w:r>
    </w:p>
    <w:p w:rsidR="00A6087F" w:rsidRPr="005D5A63" w:rsidRDefault="00CA461F" w:rsidP="0036324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“Del acuerdo IEEM/CT/96/2025, de las solicitudes 00394/IEEM/IP/2025 a la 00411/IEEM/IP/2025 de donde se desprende que “la DO, solicitó a la UT ser el conducto a efecto de poner a consideración del Comité de Transparencia la procedencia de realizar el cambio de modalidad, ofreciendo a la persona solicitante otros medios como lo son la consulta in situ, así como la entrega sin costo alguno de la información si se proporcionan los medios electrónicos u ópticos”, en este orden de ideas: “Solicito todos los oficios generados durante el mes de marzo de 2025 (junta y consejo) de los órganos desconcentrados de los distritos 4, 5 y 6 del proceso electoral judicial extraordinario 2025” facilitando la dirección de correo electrónico que aparece en el apartado MODALIDAD DE ENTREGA, campo OTRO TIPO DE MEDIO (Especificar).”</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D5A63">
        <w:rPr>
          <w:rFonts w:ascii="Palatino Linotype" w:eastAsia="Palatino Linotype" w:hAnsi="Palatino Linotype" w:cs="Palatino Linotype"/>
          <w:b/>
          <w:color w:val="000000" w:themeColor="text1"/>
        </w:rPr>
        <w:t>Número de Folio de la Solicitud: 0999/IEEM/IP/2025</w:t>
      </w:r>
    </w:p>
    <w:p w:rsidR="00A6087F" w:rsidRPr="005D5A63" w:rsidRDefault="00CA461F" w:rsidP="0036324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 xml:space="preserve">“Del acuerdo IEEM/CT/96/2025, de las solicitudes 00394/IEEM/IP/2025 a la 00411/IEEM/IP/2025 de donde se desprende que “la DO, solicitó a la UT ser el conducto a efecto de poner a consideración del Comité de Transparencia la procedencia de realizar el cambio de modalidad, ofreciendo a la persona </w:t>
      </w:r>
      <w:r w:rsidRPr="005D5A63">
        <w:rPr>
          <w:rFonts w:ascii="Palatino Linotype" w:eastAsia="Palatino Linotype" w:hAnsi="Palatino Linotype" w:cs="Palatino Linotype"/>
          <w:i/>
          <w:color w:val="000000" w:themeColor="text1"/>
        </w:rPr>
        <w:lastRenderedPageBreak/>
        <w:t>solicitante otros medios como lo son la consulta in situ, así como la entrega sin costo alguno de la información si se proporcionan los medios electrónicos u ópticos”, en este orden de ideas: “Solicito todos los oficios generados durante el mes de marzo de 2025 (junta y consejo) de los órganos desconcentrados de los distritos 7, 8 y 9 del proceso electoral judicial extraordinario 2025” facilitando la dirección de correo electrónico que aparece en el apartado MODALIDAD DE ENTREGA, campo OTRO TIPO DE MEDIO (Especificar).”</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A6087F" w:rsidRPr="005D5A63" w:rsidRDefault="00CA461F" w:rsidP="0036324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D5A63">
        <w:rPr>
          <w:rFonts w:ascii="Palatino Linotype" w:eastAsia="Palatino Linotype" w:hAnsi="Palatino Linotype" w:cs="Palatino Linotype"/>
          <w:b/>
          <w:color w:val="000000" w:themeColor="text1"/>
        </w:rPr>
        <w:t>Número de Folio de la Solicitud: 01000/IEEM/IP/2025</w:t>
      </w:r>
    </w:p>
    <w:p w:rsidR="00A6087F" w:rsidRPr="005D5A63" w:rsidRDefault="00CA461F" w:rsidP="0036324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“Del acuerdo IEEM/CT/96/2025, de las solicitudes 00394/IEEM/IP/2025 a la 00411/IEEM/IP/2025 de donde se desprende que “la DO, solicitó a la UT ser el conducto a efecto de poner a consideración del Comité de Transparencia la procedencia de realizar el cambio de modalidad, ofreciendo a la persona solicitante otros medios como lo son la consulta in situ, así como la entrega sin costo alguno de la información si se proporcionan los medios electrónicos u ópticos”, en este orden de ideas: “Solicito todos los oficios generados durante el mes de marzo de 2025 (junta y consejo) de los órganos desconcentrados de los distritos 10, 11 y 12 del proceso electoral judicial extraordinario 2025” facilitando la dirección de correo electrónico que aparece en el apartado MODALIDAD DE ENTREGA, campo OTRO TIPO DE MEDIO (Especificar).”</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A6087F" w:rsidRPr="005D5A63" w:rsidRDefault="00CA461F" w:rsidP="0036324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D5A63">
        <w:rPr>
          <w:rFonts w:ascii="Palatino Linotype" w:eastAsia="Palatino Linotype" w:hAnsi="Palatino Linotype" w:cs="Palatino Linotype"/>
          <w:b/>
          <w:color w:val="000000" w:themeColor="text1"/>
        </w:rPr>
        <w:t>Número de Folio de la Solicitud: 01001/IEEM/IP/2025</w:t>
      </w:r>
    </w:p>
    <w:p w:rsidR="00A6087F" w:rsidRPr="005D5A63" w:rsidRDefault="00CA461F" w:rsidP="0036324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 xml:space="preserve">“Del acuerdo IEEM/CT/96/2025, de las solicitudes 00394/IEEM/IP/2025 a la 00411/IEEM/IP/2025 de donde se desprende que “la DO, solicitó a la UT ser el conducto a efecto de poner a consideración del Comité de Transparencia la procedencia de realizar el cambio de modalidad, ofreciendo a la persona solicitante otros medios como lo son la consulta in situ, así como la entrega sin costo alguno de la </w:t>
      </w:r>
      <w:r w:rsidRPr="005D5A63">
        <w:rPr>
          <w:rFonts w:ascii="Palatino Linotype" w:eastAsia="Palatino Linotype" w:hAnsi="Palatino Linotype" w:cs="Palatino Linotype"/>
          <w:i/>
          <w:color w:val="000000" w:themeColor="text1"/>
        </w:rPr>
        <w:lastRenderedPageBreak/>
        <w:t>información si se proporcionan los medios electrónicos u ópticos”, en este orden de ideas: “Solicito todos los oficios generados durante el mes de marzo de 2025 (junta y consejo) de los órganos desconcentrados de los distritos 13, 14 y 15 del proceso electoral judicial extraordinario 2025” facilitando la dirección de correo electrónico que aparece en el apartado MODALIDAD DE ENTREGA, campo OTRO TIPO DE MEDIO (Especificar).”</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A6087F" w:rsidRPr="005D5A63" w:rsidRDefault="00CA461F" w:rsidP="0036324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D5A63">
        <w:rPr>
          <w:rFonts w:ascii="Palatino Linotype" w:eastAsia="Palatino Linotype" w:hAnsi="Palatino Linotype" w:cs="Palatino Linotype"/>
          <w:b/>
          <w:color w:val="000000" w:themeColor="text1"/>
        </w:rPr>
        <w:t>Número de Folio de la Solicitud: 01002/IEEM/IP/2025</w:t>
      </w:r>
    </w:p>
    <w:p w:rsidR="00A6087F" w:rsidRPr="005D5A63" w:rsidRDefault="00CA461F" w:rsidP="0036324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“Del acuerdo IEEM/CT/96/2025, de las solicitudes 00394/IEEM/IP/2025 a la 00411/IEEM/IP/2025 de donde se desprende que “la DO, solicitó a la UT ser el conducto a efecto de poner a consideración del Comité de Transparencia la procedencia de realizar el cambio de modalidad, ofreciendo a la persona solicitante otros medios como lo son la consulta in situ, así como la entrega sin costo alguno de la información si se proporcionan los medios electrónicos u ópticos”, en este orden de ideas: “Solicito todos los oficios generados durante el mes de marzo de 2025 (junta y consejo) de los órganos desconcentrados de los distritos 16, 17 y 18 del proceso electoral judicial extraordinario 2025” facilitando la dirección de correo electrónico que aparece en el apartado MODALIDAD DE ENTREGA, campo OTRO TIPO DE MEDIO (Especificar).”</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b/>
          <w:color w:val="000000" w:themeColor="text1"/>
        </w:rPr>
        <w:t>Modalidad de entrega</w:t>
      </w:r>
      <w:r w:rsidRPr="005D5A63">
        <w:rPr>
          <w:rFonts w:ascii="Palatino Linotype" w:eastAsia="Palatino Linotype" w:hAnsi="Palatino Linotype" w:cs="Palatino Linotype"/>
          <w:color w:val="000000" w:themeColor="text1"/>
        </w:rPr>
        <w:t>: correo electrónico</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El día </w:t>
      </w:r>
      <w:r w:rsidRPr="005D5A63">
        <w:rPr>
          <w:rFonts w:ascii="Palatino Linotype" w:eastAsia="Palatino Linotype" w:hAnsi="Palatino Linotype" w:cs="Palatino Linotype"/>
          <w:b/>
          <w:color w:val="000000" w:themeColor="text1"/>
        </w:rPr>
        <w:t>once de junio de dos mil veinticinco</w:t>
      </w:r>
      <w:r w:rsidRPr="005D5A63">
        <w:rPr>
          <w:rFonts w:ascii="Palatino Linotype" w:eastAsia="Palatino Linotype" w:hAnsi="Palatino Linotype" w:cs="Palatino Linotype"/>
          <w:color w:val="000000" w:themeColor="text1"/>
        </w:rPr>
        <w:t xml:space="preserve">, el </w:t>
      </w:r>
      <w:r w:rsidRPr="005D5A63">
        <w:rPr>
          <w:rFonts w:ascii="Palatino Linotype" w:eastAsia="Palatino Linotype" w:hAnsi="Palatino Linotype" w:cs="Palatino Linotype"/>
          <w:b/>
          <w:color w:val="000000" w:themeColor="text1"/>
        </w:rPr>
        <w:t>SUJETO OBLIGADO</w:t>
      </w:r>
      <w:r w:rsidRPr="005D5A63">
        <w:rPr>
          <w:rFonts w:ascii="Palatino Linotype" w:eastAsia="Palatino Linotype" w:hAnsi="Palatino Linotype" w:cs="Palatino Linotype"/>
          <w:color w:val="000000" w:themeColor="text1"/>
        </w:rPr>
        <w:t xml:space="preserve"> dio respuesta a las solicitudes de información mediante el archivo denominado: </w:t>
      </w:r>
      <w:r w:rsidRPr="005D5A63">
        <w:rPr>
          <w:rFonts w:ascii="Palatino Linotype" w:eastAsia="Palatino Linotype" w:hAnsi="Palatino Linotype" w:cs="Palatino Linotype"/>
          <w:b/>
          <w:i/>
          <w:color w:val="000000" w:themeColor="text1"/>
        </w:rPr>
        <w:t>RESPUESTA SOLICITUDES ACUMULADAS.rar</w:t>
      </w:r>
      <w:r w:rsidRPr="005D5A63">
        <w:rPr>
          <w:rFonts w:ascii="Palatino Linotype" w:eastAsia="Palatino Linotype" w:hAnsi="Palatino Linotype" w:cs="Palatino Linotype"/>
          <w:color w:val="000000" w:themeColor="text1"/>
        </w:rPr>
        <w:t>, que corresponde a un archivo comprimido, que a su vez contiene los siguientes documentos:</w:t>
      </w:r>
    </w:p>
    <w:p w:rsidR="00A6087F" w:rsidRPr="005D5A63" w:rsidRDefault="00CA461F" w:rsidP="00363247">
      <w:pPr>
        <w:spacing w:line="360" w:lineRule="auto"/>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b/>
          <w:i/>
          <w:color w:val="000000" w:themeColor="text1"/>
        </w:rPr>
        <w:lastRenderedPageBreak/>
        <w:t>RESPUESTA 886-2025 Y ACUMULADAS DO.pdf</w:t>
      </w:r>
      <w:r w:rsidRPr="005D5A63">
        <w:rPr>
          <w:rFonts w:ascii="Palatino Linotype" w:eastAsia="Palatino Linotype" w:hAnsi="Palatino Linotype" w:cs="Palatino Linotype"/>
          <w:color w:val="000000" w:themeColor="text1"/>
        </w:rPr>
        <w:t>, que corresponde a un oficio signado por el Director de Organización a través del cual realiza la transcripción de 111 solicitudes de acceso a la información, de los cuales refiere una imposibilidad de dar atención a través de correo electrónico y se ponen a disposición en consulta directa.</w:t>
      </w:r>
    </w:p>
    <w:p w:rsidR="00A6087F" w:rsidRPr="005D5A63" w:rsidRDefault="00A6087F" w:rsidP="00363247">
      <w:pP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spacing w:line="360" w:lineRule="auto"/>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b/>
          <w:i/>
          <w:color w:val="000000" w:themeColor="text1"/>
        </w:rPr>
        <w:t>OFICIO RESPUESTA 00886 y acumuladas-2025 UT.pdf</w:t>
      </w:r>
      <w:r w:rsidRPr="005D5A63">
        <w:rPr>
          <w:rFonts w:ascii="Palatino Linotype" w:eastAsia="Palatino Linotype" w:hAnsi="Palatino Linotype" w:cs="Palatino Linotype"/>
          <w:color w:val="000000" w:themeColor="text1"/>
        </w:rPr>
        <w:t>, que corresponde a un oficios suscrito por la Jefa de la Unidad de Transparencia, a través del cual informa de la respuesta emitida por el servidor público habilitado.</w:t>
      </w:r>
    </w:p>
    <w:p w:rsidR="00A6087F" w:rsidRPr="005D5A63" w:rsidRDefault="00A6087F" w:rsidP="00363247">
      <w:pP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spacing w:line="360" w:lineRule="auto"/>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b/>
          <w:i/>
          <w:color w:val="000000" w:themeColor="text1"/>
        </w:rPr>
        <w:t>OFICIO IMPOSIBILIDAD HUMANA ADMINISTRATIVA 886-2025 Y ACUMULADAS DO.pdf</w:t>
      </w:r>
      <w:r w:rsidRPr="005D5A63">
        <w:rPr>
          <w:rFonts w:ascii="Palatino Linotype" w:eastAsia="Palatino Linotype" w:hAnsi="Palatino Linotype" w:cs="Palatino Linotype"/>
          <w:color w:val="000000" w:themeColor="text1"/>
        </w:rPr>
        <w:t>, que corresponde a un oficio signado por el Director de Organización, donde expone diversos números de solicitudes de información, incluidos los de mérito, de los cuales expone las imposibilidades administrativas y humanas con las cuales cuenta para poder dar atención a las solicitudes de información y, se ofrecen otros medios de entrega de la información como los son los ópticos (USB, disco duro externo, CD-DVD, Blu-ray), o en su caso copias simples o certificadas.</w:t>
      </w:r>
    </w:p>
    <w:p w:rsidR="00A6087F" w:rsidRPr="005D5A63" w:rsidRDefault="00A6087F" w:rsidP="00363247">
      <w:pP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spacing w:line="360" w:lineRule="auto"/>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b/>
          <w:i/>
          <w:color w:val="000000" w:themeColor="text1"/>
        </w:rPr>
        <w:t>Anexo IEEM-CT-131-2025_Calendario Consulta-Directorio.pdf</w:t>
      </w:r>
      <w:r w:rsidRPr="005D5A63">
        <w:rPr>
          <w:rFonts w:ascii="Palatino Linotype" w:eastAsia="Palatino Linotype" w:hAnsi="Palatino Linotype" w:cs="Palatino Linotype"/>
          <w:color w:val="000000" w:themeColor="text1"/>
        </w:rPr>
        <w:t xml:space="preserve">, que corresponde a un calendario generado </w:t>
      </w:r>
      <w:r w:rsidRPr="005D5A63">
        <w:rPr>
          <w:rFonts w:ascii="Palatino Linotype" w:eastAsia="Palatino Linotype" w:hAnsi="Palatino Linotype" w:cs="Palatino Linotype"/>
          <w:i/>
          <w:color w:val="000000" w:themeColor="text1"/>
        </w:rPr>
        <w:t>ex profeso</w:t>
      </w:r>
      <w:r w:rsidRPr="005D5A63">
        <w:rPr>
          <w:rFonts w:ascii="Palatino Linotype" w:eastAsia="Palatino Linotype" w:hAnsi="Palatino Linotype" w:cs="Palatino Linotype"/>
          <w:color w:val="000000" w:themeColor="text1"/>
        </w:rPr>
        <w:t xml:space="preserve"> para dar atención a las solicitudes de información.</w:t>
      </w:r>
    </w:p>
    <w:p w:rsidR="00A6087F" w:rsidRPr="005D5A63" w:rsidRDefault="00A6087F" w:rsidP="00363247">
      <w:pP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spacing w:line="360" w:lineRule="auto"/>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b/>
          <w:i/>
          <w:color w:val="000000" w:themeColor="text1"/>
        </w:rPr>
        <w:t>ACUERDO IEEM-CT-129-2025.pdf</w:t>
      </w:r>
      <w:r w:rsidRPr="005D5A63">
        <w:rPr>
          <w:rFonts w:ascii="Palatino Linotype" w:eastAsia="Palatino Linotype" w:hAnsi="Palatino Linotype" w:cs="Palatino Linotype"/>
          <w:color w:val="000000" w:themeColor="text1"/>
        </w:rPr>
        <w:t>, que corresponde a un Acuerdo del Comité de Transparencia del Sujeto Obligado, mediante el cual aprueban la acumulación interna de diversas solicitudes de información a efecto de brindarles atención.</w:t>
      </w: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lastRenderedPageBreak/>
        <w:t xml:space="preserve">El día </w:t>
      </w:r>
      <w:r w:rsidRPr="005D5A63">
        <w:rPr>
          <w:rFonts w:ascii="Palatino Linotype" w:eastAsia="Palatino Linotype" w:hAnsi="Palatino Linotype" w:cs="Palatino Linotype"/>
          <w:b/>
          <w:color w:val="000000" w:themeColor="text1"/>
        </w:rPr>
        <w:t>dos de junio de dos mil veinticinco</w:t>
      </w:r>
      <w:r w:rsidRPr="005D5A63">
        <w:rPr>
          <w:rFonts w:ascii="Palatino Linotype" w:eastAsia="Palatino Linotype" w:hAnsi="Palatino Linotype" w:cs="Palatino Linotype"/>
          <w:color w:val="000000" w:themeColor="text1"/>
        </w:rPr>
        <w:t>, el solicitante interpuso recurso de revisión en las solicitudes de información</w:t>
      </w:r>
      <w:r w:rsidRPr="005D5A63">
        <w:rPr>
          <w:rFonts w:ascii="Palatino Linotype" w:eastAsia="Palatino Linotype" w:hAnsi="Palatino Linotype" w:cs="Palatino Linotype"/>
          <w:b/>
          <w:color w:val="000000" w:themeColor="text1"/>
        </w:rPr>
        <w:t xml:space="preserve"> </w:t>
      </w:r>
      <w:r w:rsidRPr="005D5A63">
        <w:rPr>
          <w:rFonts w:ascii="Palatino Linotype" w:eastAsia="Palatino Linotype" w:hAnsi="Palatino Linotype" w:cs="Palatino Linotype"/>
          <w:color w:val="000000" w:themeColor="text1"/>
        </w:rPr>
        <w:t>objeto de la presente acumulación, señalando en todos los recursos de revisión, las siguientes razones o motivos de inconformidad:</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087F" w:rsidRPr="00DA0935" w:rsidRDefault="00CA461F" w:rsidP="00DA0935">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DA0935">
        <w:rPr>
          <w:rFonts w:ascii="Palatino Linotype" w:eastAsia="Palatino Linotype" w:hAnsi="Palatino Linotype" w:cs="Palatino Linotype"/>
          <w:b/>
          <w:color w:val="000000" w:themeColor="text1"/>
        </w:rPr>
        <w:t>ACTO IMPUGNADO</w:t>
      </w:r>
      <w:r w:rsidRPr="00DA0935">
        <w:rPr>
          <w:rFonts w:ascii="Palatino Linotype" w:eastAsia="Palatino Linotype" w:hAnsi="Palatino Linotype" w:cs="Palatino Linotype"/>
          <w:b/>
          <w:color w:val="000000" w:themeColor="text1"/>
        </w:rPr>
        <w:tab/>
      </w:r>
    </w:p>
    <w:p w:rsidR="00A6087F" w:rsidRPr="005D5A63" w:rsidRDefault="00CA461F" w:rsidP="0036324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“Por el cambio de modalidad.”</w:t>
      </w:r>
    </w:p>
    <w:p w:rsidR="00363247" w:rsidRPr="005D5A63" w:rsidRDefault="00363247" w:rsidP="0036324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087F" w:rsidRPr="00DA0935" w:rsidRDefault="00CA461F" w:rsidP="00DA0935">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DA0935">
        <w:rPr>
          <w:rFonts w:ascii="Palatino Linotype" w:eastAsia="Palatino Linotype" w:hAnsi="Palatino Linotype" w:cs="Palatino Linotype"/>
          <w:b/>
          <w:color w:val="000000" w:themeColor="text1"/>
        </w:rPr>
        <w:t>RAZONES O MOTIVOS DE LA INCONFORMIDAD</w:t>
      </w:r>
      <w:r w:rsidRPr="00DA0935">
        <w:rPr>
          <w:rFonts w:ascii="Palatino Linotype" w:eastAsia="Palatino Linotype" w:hAnsi="Palatino Linotype" w:cs="Palatino Linotype"/>
          <w:b/>
          <w:color w:val="000000" w:themeColor="text1"/>
        </w:rPr>
        <w:tab/>
      </w:r>
    </w:p>
    <w:p w:rsidR="00A6087F" w:rsidRPr="005D5A63" w:rsidRDefault="00CA461F" w:rsidP="0036324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“Del acuerdo 96 del comité de transparencia del IEEM de este año 2025, se desprende que “la DO, solicitó a la UT ser el conducto a efecto de poner a consideración del Comité de Transparencia la procedencia de realizar el cambio de modalidad, ofreciendo a la persona solicitante otros medios como lo son la consulta in situ, ASÍ COMO LA ENTREGA SIN COSTO ALGUNO DE LA INFORMACIÓN SI SE PROPORCIONAN LOS MEDIOS ELECTRÓNICOS U ÓPTICOS”, en ese orden de ideas, se proporcionó una dirección de correo electrónico, pero de nueva cuenta se niegan a entregar la documentación solicitada, por lo anterior, pido al INFOEM privilegiar mi derecho de acceso a la información pública, ya que las imposibilidades argumentadas han dejado de existir al concluir diversas etapas y actividades de la elección judicial.”</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Los Comisionados Ponentes de origen con fundamento en lo dispuesto por el artículo 185 fracción II de la ley de la materia, a través de los </w:t>
      </w:r>
      <w:r w:rsidRPr="005D5A63">
        <w:rPr>
          <w:rFonts w:ascii="Palatino Linotype" w:eastAsia="Palatino Linotype" w:hAnsi="Palatino Linotype" w:cs="Palatino Linotype"/>
          <w:b/>
          <w:color w:val="000000" w:themeColor="text1"/>
        </w:rPr>
        <w:t xml:space="preserve">acuerdos de admisión </w:t>
      </w:r>
      <w:r w:rsidRPr="005D5A63">
        <w:rPr>
          <w:rFonts w:ascii="Palatino Linotype" w:eastAsia="Palatino Linotype" w:hAnsi="Palatino Linotype" w:cs="Palatino Linotype"/>
          <w:color w:val="000000" w:themeColor="text1"/>
        </w:rPr>
        <w:t>de fechas</w:t>
      </w:r>
      <w:r w:rsidRPr="005D5A63">
        <w:rPr>
          <w:rFonts w:ascii="Palatino Linotype" w:eastAsia="Palatino Linotype" w:hAnsi="Palatino Linotype" w:cs="Palatino Linotype"/>
          <w:b/>
          <w:color w:val="000000" w:themeColor="text1"/>
        </w:rPr>
        <w:t xml:space="preserve"> cuatro y siete de julio de dos mil veinticinco</w:t>
      </w:r>
      <w:r w:rsidRPr="005D5A63">
        <w:rPr>
          <w:rFonts w:ascii="Palatino Linotype" w:eastAsia="Palatino Linotype" w:hAnsi="Palatino Linotype" w:cs="Palatino Linotype"/>
          <w:color w:val="000000" w:themeColor="text1"/>
        </w:rPr>
        <w:t xml:space="preserve">, pusieron a disposición de las partes los expedientes electrónicos vía SAIMEX a efecto de que en un plazo máximo de siete días manifestaran lo que a su derecho conviniera, ofrecieran pruebas y alegatos según corresponda al caso </w:t>
      </w:r>
      <w:r w:rsidRPr="005D5A63">
        <w:rPr>
          <w:rFonts w:ascii="Palatino Linotype" w:eastAsia="Palatino Linotype" w:hAnsi="Palatino Linotype" w:cs="Palatino Linotype"/>
          <w:color w:val="000000" w:themeColor="text1"/>
        </w:rPr>
        <w:lastRenderedPageBreak/>
        <w:t xml:space="preserve">concreto, de esta forma para que el </w:t>
      </w:r>
      <w:r w:rsidRPr="005D5A63">
        <w:rPr>
          <w:rFonts w:ascii="Palatino Linotype" w:eastAsia="Palatino Linotype" w:hAnsi="Palatino Linotype" w:cs="Palatino Linotype"/>
          <w:b/>
          <w:color w:val="000000" w:themeColor="text1"/>
        </w:rPr>
        <w:t xml:space="preserve">SUJETO OBLIGADO </w:t>
      </w:r>
      <w:r w:rsidRPr="005D5A63">
        <w:rPr>
          <w:rFonts w:ascii="Palatino Linotype" w:eastAsia="Palatino Linotype" w:hAnsi="Palatino Linotype" w:cs="Palatino Linotype"/>
          <w:color w:val="000000" w:themeColor="text1"/>
        </w:rPr>
        <w:t>presentara el Informe Justificado procedente.</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Posteriormente mediante acuerdos de días</w:t>
      </w:r>
      <w:r w:rsidRPr="005D5A63">
        <w:rPr>
          <w:rFonts w:ascii="Palatino Linotype" w:eastAsia="Palatino Linotype" w:hAnsi="Palatino Linotype" w:cs="Palatino Linotype"/>
          <w:b/>
          <w:color w:val="000000" w:themeColor="text1"/>
        </w:rPr>
        <w:t xml:space="preserve"> cuatro y siete de julio dos mil veinticinco</w:t>
      </w:r>
      <w:r w:rsidRPr="005D5A63">
        <w:rPr>
          <w:rFonts w:ascii="Palatino Linotype" w:eastAsia="Palatino Linotype" w:hAnsi="Palatino Linotype" w:cs="Palatino Linotype"/>
          <w:color w:val="000000" w:themeColor="text1"/>
        </w:rPr>
        <w:t>; el Pleno de este Instituto ordenó la acumulación de los recursos de revisión de mérito, a efecto de que se</w:t>
      </w:r>
      <w:r w:rsidRPr="005D5A63">
        <w:rPr>
          <w:rFonts w:ascii="Palatino Linotype" w:eastAsia="Palatino Linotype" w:hAnsi="Palatino Linotype" w:cs="Palatino Linotype"/>
          <w:b/>
          <w:color w:val="000000" w:themeColor="text1"/>
        </w:rPr>
        <w:t xml:space="preserve"> </w:t>
      </w:r>
      <w:r w:rsidRPr="005D5A63">
        <w:rPr>
          <w:rFonts w:ascii="Palatino Linotype" w:eastAsia="Palatino Linotype" w:hAnsi="Palatino Linotype" w:cs="Palatino Linotype"/>
          <w:color w:val="000000" w:themeColor="text1"/>
        </w:rPr>
        <w:t>formulará y presentará el proyecto de resolución correspondiente de manera unificada,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5D5A63">
        <w:rPr>
          <w:rFonts w:ascii="Palatino Linotype" w:eastAsia="Palatino Linotype" w:hAnsi="Palatino Linotype" w:cs="Palatino Linotype"/>
          <w:i/>
          <w:color w:val="000000" w:themeColor="text1"/>
          <w:vertAlign w:val="superscript"/>
        </w:rPr>
        <w:footnoteReference w:id="1"/>
      </w:r>
      <w:r w:rsidRPr="005D5A63">
        <w:rPr>
          <w:rFonts w:ascii="Palatino Linotype" w:eastAsia="Palatino Linotype" w:hAnsi="Palatino Linotype" w:cs="Palatino Linotype"/>
          <w:color w:val="000000" w:themeColor="text1"/>
        </w:rPr>
        <w:t>, que señala:</w:t>
      </w:r>
    </w:p>
    <w:p w:rsidR="00A6087F" w:rsidRPr="005D5A63" w:rsidRDefault="00CA461F" w:rsidP="0036324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b/>
          <w:i/>
          <w:color w:val="000000" w:themeColor="text1"/>
        </w:rPr>
        <w:t>“ONCE.</w:t>
      </w:r>
      <w:r w:rsidRPr="005D5A63">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A6087F" w:rsidRPr="005D5A63" w:rsidRDefault="00CA461F" w:rsidP="0036324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w:t>
      </w:r>
      <w:r w:rsidRPr="005D5A63">
        <w:rPr>
          <w:rFonts w:ascii="Palatino Linotype" w:eastAsia="Palatino Linotype" w:hAnsi="Palatino Linotype" w:cs="Palatino Linotype"/>
          <w:i/>
          <w:color w:val="000000" w:themeColor="text1"/>
        </w:rPr>
        <w:tab/>
      </w:r>
    </w:p>
    <w:p w:rsidR="00A6087F" w:rsidRPr="005D5A63" w:rsidRDefault="00CA461F" w:rsidP="0036324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b) Las partes o los actos impugnados sean iguales</w:t>
      </w:r>
    </w:p>
    <w:p w:rsidR="00A6087F" w:rsidRPr="005D5A63" w:rsidRDefault="00CA461F" w:rsidP="0036324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c) Cuando se trate del mismo solicitante, el mismo SUJETO OBLIGADO, aunque se trate de solicitudes diversas;</w:t>
      </w:r>
    </w:p>
    <w:p w:rsidR="00A6087F" w:rsidRPr="005D5A63" w:rsidRDefault="00CA461F" w:rsidP="0036324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w:t>
      </w:r>
    </w:p>
    <w:p w:rsidR="00A6087F" w:rsidRPr="005D5A63" w:rsidRDefault="00A6087F" w:rsidP="0036324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Es así que,</w:t>
      </w:r>
      <w:r w:rsidRPr="005D5A63">
        <w:rPr>
          <w:rFonts w:ascii="Palatino Linotype" w:eastAsia="Palatino Linotype" w:hAnsi="Palatino Linotype" w:cs="Palatino Linotype"/>
          <w:i/>
          <w:color w:val="000000" w:themeColor="text1"/>
        </w:rPr>
        <w:t xml:space="preserve"> </w:t>
      </w:r>
      <w:r w:rsidRPr="005D5A63">
        <w:rPr>
          <w:rFonts w:ascii="Palatino Linotype" w:eastAsia="Palatino Linotype" w:hAnsi="Palatino Linotype" w:cs="Palatino Linotype"/>
          <w:color w:val="000000" w:themeColor="text1"/>
        </w:rPr>
        <w:t xml:space="preserve">resulta conveniente su trámite de forma unificada para mejor resolver y evitar la emisión de resoluciones contradictorias, por ello resultó procedente que este </w:t>
      </w:r>
      <w:r w:rsidRPr="005D5A63">
        <w:rPr>
          <w:rFonts w:ascii="Palatino Linotype" w:eastAsia="Palatino Linotype" w:hAnsi="Palatino Linotype" w:cs="Palatino Linotype"/>
          <w:color w:val="000000" w:themeColor="text1"/>
        </w:rPr>
        <w:lastRenderedPageBreak/>
        <w:t>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A6087F" w:rsidRPr="005D5A63" w:rsidRDefault="00CA461F" w:rsidP="00363247">
      <w:pPr>
        <w:pBdr>
          <w:top w:val="nil"/>
          <w:left w:val="nil"/>
          <w:bottom w:val="nil"/>
          <w:right w:val="nil"/>
          <w:between w:val="nil"/>
        </w:pBdr>
        <w:tabs>
          <w:tab w:val="left" w:pos="7889"/>
        </w:tabs>
        <w:spacing w:line="360" w:lineRule="auto"/>
        <w:jc w:val="both"/>
        <w:rPr>
          <w:rFonts w:ascii="Palatino Linotype" w:eastAsia="Palatino Linotype" w:hAnsi="Palatino Linotype" w:cs="Palatino Linotype"/>
          <w:b/>
          <w:i/>
          <w:color w:val="000000" w:themeColor="text1"/>
        </w:rPr>
      </w:pPr>
      <w:r w:rsidRPr="005D5A63">
        <w:rPr>
          <w:rFonts w:ascii="Palatino Linotype" w:eastAsia="Palatino Linotype" w:hAnsi="Palatino Linotype" w:cs="Palatino Linotype"/>
          <w:b/>
          <w:i/>
          <w:color w:val="000000" w:themeColor="text1"/>
        </w:rPr>
        <w:t>Código de Procedimientos Administrativos del Estado de México.</w:t>
      </w:r>
    </w:p>
    <w:p w:rsidR="00A6087F" w:rsidRPr="005D5A63" w:rsidRDefault="00CA461F" w:rsidP="00363247">
      <w:pPr>
        <w:pBdr>
          <w:top w:val="nil"/>
          <w:left w:val="nil"/>
          <w:bottom w:val="nil"/>
          <w:right w:val="nil"/>
          <w:between w:val="nil"/>
        </w:pBdr>
        <w:tabs>
          <w:tab w:val="left" w:pos="7889"/>
        </w:tabs>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b/>
          <w:i/>
          <w:color w:val="000000" w:themeColor="text1"/>
        </w:rPr>
        <w:t>“Artículo 18.-</w:t>
      </w:r>
      <w:r w:rsidRPr="005D5A63">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A6087F" w:rsidRPr="005D5A63" w:rsidRDefault="00A6087F" w:rsidP="00363247">
      <w:pPr>
        <w:pBdr>
          <w:top w:val="nil"/>
          <w:left w:val="nil"/>
          <w:bottom w:val="nil"/>
          <w:right w:val="nil"/>
          <w:between w:val="nil"/>
        </w:pBdr>
        <w:tabs>
          <w:tab w:val="left" w:pos="7889"/>
        </w:tabs>
        <w:spacing w:line="360" w:lineRule="auto"/>
        <w:jc w:val="both"/>
        <w:rPr>
          <w:rFonts w:ascii="Palatino Linotype" w:eastAsia="Palatino Linotype" w:hAnsi="Palatino Linotype" w:cs="Palatino Linotype"/>
          <w:i/>
          <w:color w:val="000000" w:themeColor="text1"/>
        </w:rPr>
      </w:pPr>
    </w:p>
    <w:p w:rsidR="00A6087F" w:rsidRPr="005D5A63" w:rsidRDefault="00CA461F" w:rsidP="00363247">
      <w:pPr>
        <w:pBdr>
          <w:top w:val="nil"/>
          <w:left w:val="nil"/>
          <w:bottom w:val="nil"/>
          <w:right w:val="nil"/>
          <w:between w:val="nil"/>
        </w:pBdr>
        <w:tabs>
          <w:tab w:val="left" w:pos="7889"/>
        </w:tabs>
        <w:spacing w:line="360" w:lineRule="auto"/>
        <w:jc w:val="both"/>
        <w:rPr>
          <w:rFonts w:ascii="Palatino Linotype" w:eastAsia="Palatino Linotype" w:hAnsi="Palatino Linotype" w:cs="Palatino Linotype"/>
          <w:b/>
          <w:i/>
          <w:color w:val="000000" w:themeColor="text1"/>
        </w:rPr>
      </w:pPr>
      <w:r w:rsidRPr="005D5A63">
        <w:rPr>
          <w:rFonts w:ascii="Palatino Linotype" w:eastAsia="Palatino Linotype" w:hAnsi="Palatino Linotype" w:cs="Palatino Linotype"/>
          <w:b/>
          <w:i/>
          <w:color w:val="000000" w:themeColor="text1"/>
        </w:rPr>
        <w:t>Ley de Transparencia y Acceso a la Información Pública del Estado de México y Municipios</w:t>
      </w:r>
    </w:p>
    <w:p w:rsidR="00A6087F" w:rsidRPr="005D5A63" w:rsidRDefault="00CA461F" w:rsidP="00363247">
      <w:pPr>
        <w:pBdr>
          <w:top w:val="nil"/>
          <w:left w:val="nil"/>
          <w:bottom w:val="nil"/>
          <w:right w:val="nil"/>
          <w:between w:val="nil"/>
        </w:pBdr>
        <w:tabs>
          <w:tab w:val="left" w:pos="7889"/>
        </w:tabs>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b/>
          <w:i/>
          <w:color w:val="000000" w:themeColor="text1"/>
        </w:rPr>
        <w:t>“Artículo 195.</w:t>
      </w:r>
      <w:r w:rsidRPr="005D5A63">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rsidR="00A6087F" w:rsidRPr="005D5A63" w:rsidRDefault="00CA461F" w:rsidP="00363247">
      <w:pPr>
        <w:pBdr>
          <w:top w:val="nil"/>
          <w:left w:val="nil"/>
          <w:bottom w:val="nil"/>
          <w:right w:val="nil"/>
          <w:between w:val="nil"/>
        </w:pBdr>
        <w:tabs>
          <w:tab w:val="left" w:pos="7889"/>
        </w:tabs>
        <w:spacing w:line="360" w:lineRule="auto"/>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(Énfasis añadido)</w:t>
      </w:r>
    </w:p>
    <w:p w:rsidR="00A6087F" w:rsidRPr="005D5A63" w:rsidRDefault="00A6087F" w:rsidP="00363247">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De lo anterior, el </w:t>
      </w:r>
      <w:r w:rsidRPr="005D5A63">
        <w:rPr>
          <w:rFonts w:ascii="Palatino Linotype" w:eastAsia="Palatino Linotype" w:hAnsi="Palatino Linotype" w:cs="Palatino Linotype"/>
          <w:b/>
          <w:color w:val="000000" w:themeColor="text1"/>
        </w:rPr>
        <w:t xml:space="preserve">SUJETO OBLIGADO </w:t>
      </w:r>
      <w:r w:rsidRPr="005D5A63">
        <w:rPr>
          <w:rFonts w:ascii="Palatino Linotype" w:eastAsia="Palatino Linotype" w:hAnsi="Palatino Linotype" w:cs="Palatino Linotype"/>
          <w:color w:val="000000" w:themeColor="text1"/>
        </w:rPr>
        <w:t xml:space="preserve">rindió informe justificado a los recursos de revisión de mérito en el mismo sentido mediante el archivo electrónico denominado </w:t>
      </w:r>
      <w:r w:rsidRPr="005D5A63">
        <w:rPr>
          <w:rFonts w:ascii="Palatino Linotype" w:eastAsia="Palatino Linotype" w:hAnsi="Palatino Linotype" w:cs="Palatino Linotype"/>
          <w:b/>
          <w:i/>
          <w:color w:val="000000" w:themeColor="text1"/>
        </w:rPr>
        <w:t xml:space="preserve">INFORME JUSTIFICADO RR 8072-2025 Y ACUMULADOS.rar, </w:t>
      </w:r>
      <w:r w:rsidRPr="005D5A63">
        <w:rPr>
          <w:rFonts w:ascii="Palatino Linotype" w:eastAsia="Palatino Linotype" w:hAnsi="Palatino Linotype" w:cs="Palatino Linotype"/>
          <w:color w:val="000000" w:themeColor="text1"/>
        </w:rPr>
        <w:t>que corresponde a un archivo comprimido que a su vez contiene los siguientes documentos:</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spacing w:line="360" w:lineRule="auto"/>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b/>
          <w:i/>
          <w:color w:val="000000" w:themeColor="text1"/>
        </w:rPr>
        <w:t>INFORME_JUSTIFICADO_RR_8072.pdf</w:t>
      </w:r>
      <w:r w:rsidRPr="005D5A63">
        <w:rPr>
          <w:rFonts w:ascii="Palatino Linotype" w:eastAsia="Palatino Linotype" w:hAnsi="Palatino Linotype" w:cs="Palatino Linotype"/>
          <w:color w:val="000000" w:themeColor="text1"/>
        </w:rPr>
        <w:t xml:space="preserve"> y </w:t>
      </w:r>
      <w:r w:rsidRPr="005D5A63">
        <w:rPr>
          <w:rFonts w:ascii="Palatino Linotype" w:eastAsia="Palatino Linotype" w:hAnsi="Palatino Linotype" w:cs="Palatino Linotype"/>
          <w:b/>
          <w:i/>
          <w:color w:val="000000" w:themeColor="text1"/>
        </w:rPr>
        <w:t>acumulados-2025_UT.pdf</w:t>
      </w:r>
      <w:r w:rsidRPr="005D5A63">
        <w:rPr>
          <w:rFonts w:ascii="Palatino Linotype" w:eastAsia="Palatino Linotype" w:hAnsi="Palatino Linotype" w:cs="Palatino Linotype"/>
          <w:color w:val="000000" w:themeColor="text1"/>
        </w:rPr>
        <w:t xml:space="preserve">, que corresponde a un escrito suscrito por la Jefa de la Unidad de Transparencia, a través del cual de manera </w:t>
      </w:r>
      <w:r w:rsidRPr="005D5A63">
        <w:rPr>
          <w:rFonts w:ascii="Palatino Linotype" w:eastAsia="Palatino Linotype" w:hAnsi="Palatino Linotype" w:cs="Palatino Linotype"/>
          <w:color w:val="000000" w:themeColor="text1"/>
        </w:rPr>
        <w:lastRenderedPageBreak/>
        <w:t>generan informa de la acumulación interna que realiza de diversas solicitudes de información y confirma su respuesta inicial al tenor de los siguientes argumentos:</w:t>
      </w:r>
    </w:p>
    <w:p w:rsidR="00A6087F" w:rsidRPr="005D5A63" w:rsidRDefault="00A6087F" w:rsidP="00363247">
      <w:pP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spacing w:line="360" w:lineRule="auto"/>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b/>
          <w:i/>
          <w:color w:val="000000" w:themeColor="text1"/>
        </w:rPr>
        <w:t>INFORME_JUSTIFICADO_RR_8072 y acumulados-2025_UT.docx</w:t>
      </w:r>
      <w:r w:rsidRPr="005D5A63">
        <w:rPr>
          <w:rFonts w:ascii="Palatino Linotype" w:eastAsia="Palatino Linotype" w:hAnsi="Palatino Linotype" w:cs="Palatino Linotype"/>
          <w:b/>
          <w:color w:val="000000" w:themeColor="text1"/>
        </w:rPr>
        <w:t xml:space="preserve"> </w:t>
      </w:r>
      <w:r w:rsidRPr="005D5A63">
        <w:rPr>
          <w:rFonts w:ascii="Palatino Linotype" w:eastAsia="Palatino Linotype" w:hAnsi="Palatino Linotype" w:cs="Palatino Linotype"/>
          <w:color w:val="000000" w:themeColor="text1"/>
        </w:rPr>
        <w:t>y,</w:t>
      </w:r>
      <w:r w:rsidRPr="005D5A63">
        <w:rPr>
          <w:rFonts w:ascii="Palatino Linotype" w:eastAsia="Palatino Linotype" w:hAnsi="Palatino Linotype" w:cs="Palatino Linotype"/>
          <w:b/>
          <w:color w:val="000000" w:themeColor="text1"/>
        </w:rPr>
        <w:t xml:space="preserve"> </w:t>
      </w:r>
      <w:r w:rsidRPr="005D5A63">
        <w:rPr>
          <w:rFonts w:ascii="Palatino Linotype" w:eastAsia="Palatino Linotype" w:hAnsi="Palatino Linotype" w:cs="Palatino Linotype"/>
          <w:b/>
          <w:i/>
          <w:color w:val="000000" w:themeColor="text1"/>
        </w:rPr>
        <w:t>INFORME JUSTIFICADO RR 08072-2025 Y ACUMULADOS UT.pdf</w:t>
      </w:r>
      <w:r w:rsidRPr="005D5A63">
        <w:rPr>
          <w:rFonts w:ascii="Palatino Linotype" w:eastAsia="Palatino Linotype" w:hAnsi="Palatino Linotype" w:cs="Palatino Linotype"/>
          <w:color w:val="000000" w:themeColor="text1"/>
        </w:rPr>
        <w:t>, que corresponden a un escrito suscrito por la Jefa de la Unidad de Transparencia, a través del cual de manera general informa de la acumulación interna que realiza de diversas solicitudes de información y confirma su respuesta inicial al tenor de los siguientes argumentos:</w:t>
      </w:r>
    </w:p>
    <w:p w:rsidR="00A6087F" w:rsidRPr="005D5A63" w:rsidRDefault="00A6087F" w:rsidP="00363247">
      <w:pP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"...si bien la persona ahora recurrente manifestó en las solicitudes materia del presente informe justificado su preferencia por una dirección de correo electrónico como vía para la entrega de la información, es preciso puntualizar que el cambio de modalidad no fue adoptado en razón de una imposibilidad técnica vinculada al uso de medios electrónicos, sino derivó de una imposibilidad administrativa y humana debidamente acreditada ante el Comité de Transparencia.</w:t>
      </w:r>
    </w:p>
    <w:p w:rsidR="00A6087F" w:rsidRPr="005D5A63" w:rsidRDefault="00CA461F" w:rsidP="00363247">
      <w:pP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w:t>
      </w:r>
    </w:p>
    <w:p w:rsidR="00A6087F" w:rsidRPr="005D5A63" w:rsidRDefault="00CA461F" w:rsidP="00363247">
      <w:pP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 xml:space="preserve">No obstante lo anterior, resulta necesario precisar que el correo electrónico, si bien es un elemento que puede configurarse como una modalidad prevista para la entrega de información pública, no siempre constituye una vía idónea, especialmente cuando se actualizan circunstancias técnicas que imposibilitan su uso eficaz. </w:t>
      </w:r>
    </w:p>
    <w:p w:rsidR="00A6087F" w:rsidRPr="005D5A63" w:rsidRDefault="00CA461F" w:rsidP="00363247">
      <w:pP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 xml:space="preserve">En efecto, es necesario apuntar que el servicio electrónico de correo de este instituto es bajo el domino “Outlook” de la empresa Microsoft, mismo que opera bajo las restricciones técnicas impuestas por el servicio que lo respalda, particularmente Exchange Online en el entorno de Microsoft 365. </w:t>
      </w:r>
    </w:p>
    <w:p w:rsidR="00A6087F" w:rsidRPr="005D5A63" w:rsidRDefault="00A6087F" w:rsidP="00363247">
      <w:pPr>
        <w:spacing w:line="360" w:lineRule="auto"/>
        <w:jc w:val="both"/>
        <w:rPr>
          <w:rFonts w:ascii="Palatino Linotype" w:eastAsia="Palatino Linotype" w:hAnsi="Palatino Linotype" w:cs="Palatino Linotype"/>
          <w:i/>
          <w:color w:val="000000" w:themeColor="text1"/>
        </w:rPr>
      </w:pPr>
    </w:p>
    <w:p w:rsidR="00A6087F" w:rsidRPr="005D5A63" w:rsidRDefault="00CA461F" w:rsidP="00363247">
      <w:pP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lastRenderedPageBreak/>
        <w:t>En este contexto, existen límites específicos de tamaño para los mensajes enviados y recibidos, tanto a nivel de cliente como del servidor. Estos límites impactan directamente la idoneidad del correo electrónico como vía para entregar información pública de gran volumen.</w:t>
      </w:r>
    </w:p>
    <w:p w:rsidR="00A6087F" w:rsidRPr="005D5A63" w:rsidRDefault="00CA461F" w:rsidP="00363247">
      <w:pP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A6087F" w:rsidRPr="005D5A63" w:rsidRDefault="00CA461F" w:rsidP="0036324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b/>
          <w:i/>
          <w:color w:val="000000" w:themeColor="text1"/>
        </w:rPr>
        <w:t>IEEM_DO_2133_2025 INFORME JUSTIFICADO RR 8102-2025 Y ACUMULADOS DO.pdf</w:t>
      </w:r>
      <w:r w:rsidRPr="005D5A63">
        <w:rPr>
          <w:rFonts w:ascii="Palatino Linotype" w:eastAsia="Palatino Linotype" w:hAnsi="Palatino Linotype" w:cs="Palatino Linotype"/>
          <w:b/>
          <w:color w:val="000000" w:themeColor="text1"/>
        </w:rPr>
        <w:t xml:space="preserve"> </w:t>
      </w:r>
      <w:r w:rsidRPr="005D5A63">
        <w:rPr>
          <w:rFonts w:ascii="Palatino Linotype" w:eastAsia="Palatino Linotype" w:hAnsi="Palatino Linotype" w:cs="Palatino Linotype"/>
          <w:color w:val="000000" w:themeColor="text1"/>
        </w:rPr>
        <w:t>y</w:t>
      </w:r>
      <w:r w:rsidRPr="005D5A63">
        <w:rPr>
          <w:rFonts w:ascii="Palatino Linotype" w:eastAsia="Palatino Linotype" w:hAnsi="Palatino Linotype" w:cs="Palatino Linotype"/>
          <w:b/>
          <w:color w:val="000000" w:themeColor="text1"/>
        </w:rPr>
        <w:t xml:space="preserve"> </w:t>
      </w:r>
      <w:r w:rsidRPr="005D5A63">
        <w:rPr>
          <w:rFonts w:ascii="Palatino Linotype" w:eastAsia="Palatino Linotype" w:hAnsi="Palatino Linotype" w:cs="Palatino Linotype"/>
          <w:b/>
          <w:i/>
          <w:color w:val="000000" w:themeColor="text1"/>
        </w:rPr>
        <w:t>IEEM_DO_2132_2025 INFORME JUSTIFICADO RR 8072-2025 Y ACUMULADOS.pdf</w:t>
      </w:r>
      <w:r w:rsidRPr="005D5A63">
        <w:rPr>
          <w:rFonts w:ascii="Palatino Linotype" w:eastAsia="Palatino Linotype" w:hAnsi="Palatino Linotype" w:cs="Palatino Linotype"/>
          <w:b/>
          <w:color w:val="000000" w:themeColor="text1"/>
        </w:rPr>
        <w:t xml:space="preserve">, </w:t>
      </w:r>
      <w:r w:rsidRPr="005D5A63">
        <w:rPr>
          <w:rFonts w:ascii="Palatino Linotype" w:eastAsia="Palatino Linotype" w:hAnsi="Palatino Linotype" w:cs="Palatino Linotype"/>
          <w:color w:val="000000" w:themeColor="text1"/>
        </w:rPr>
        <w:t>que corresponde a un oficio signado por el Director de Organización y dirigido a la Jefa de Transparencia a través del cual confirma su respuesta inicial y hace énfasis en la imposibilidad de atender las solicitudes de información a través de correo electrónico.</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6087F"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Informe justificado que fuera notificado a la parte Recurrente en fecha </w:t>
      </w:r>
      <w:r w:rsidRPr="005D5A63">
        <w:rPr>
          <w:rFonts w:ascii="Palatino Linotype" w:eastAsia="Palatino Linotype" w:hAnsi="Palatino Linotype" w:cs="Palatino Linotype"/>
          <w:b/>
          <w:color w:val="000000" w:themeColor="text1"/>
        </w:rPr>
        <w:t>dieciocho de agosto del año en curso</w:t>
      </w:r>
      <w:r w:rsidRPr="005D5A63">
        <w:rPr>
          <w:rFonts w:ascii="Palatino Linotype" w:eastAsia="Palatino Linotype" w:hAnsi="Palatino Linotype" w:cs="Palatino Linotype"/>
          <w:color w:val="000000" w:themeColor="text1"/>
        </w:rPr>
        <w:t xml:space="preserve">. Por su parte, el particular dejó de realizar manifestaciones que a su derecho conviniera y asistiera. </w:t>
      </w:r>
    </w:p>
    <w:p w:rsidR="00DA0935" w:rsidRPr="005D5A63" w:rsidRDefault="00DA0935" w:rsidP="00DA093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087F" w:rsidRPr="00DA0935"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D5A63">
        <w:rPr>
          <w:rFonts w:ascii="Palatino Linotype" w:eastAsia="Palatino Linotype" w:hAnsi="Palatino Linotype" w:cs="Palatino Linotype"/>
          <w:color w:val="000000" w:themeColor="text1"/>
        </w:rPr>
        <w:t xml:space="preserve">En fecha </w:t>
      </w:r>
      <w:r w:rsidRPr="005D5A63">
        <w:rPr>
          <w:rFonts w:ascii="Palatino Linotype" w:eastAsia="Palatino Linotype" w:hAnsi="Palatino Linotype" w:cs="Palatino Linotype"/>
          <w:b/>
          <w:color w:val="000000" w:themeColor="text1"/>
        </w:rPr>
        <w:t>veintiocho de agosto de dos mil veinticinco</w:t>
      </w:r>
      <w:r w:rsidRPr="005D5A63">
        <w:rPr>
          <w:rFonts w:ascii="Palatino Linotype" w:eastAsia="Palatino Linotype" w:hAnsi="Palatino Linotype" w:cs="Palatino Linotype"/>
          <w:color w:val="000000" w:themeColor="text1"/>
        </w:rPr>
        <w:t xml:space="preserve"> se amplió el término ordinario para emitir la resolución correspondiente. Finalmente, al no existir pendiente o diligencia por practicar, la Comisionada Ponente mediante acuerdo de misma fecha, decretó el cierre de instrucción de los expedientes, por lo que no habiendo más que hacer constar, y ----------</w:t>
      </w:r>
    </w:p>
    <w:p w:rsidR="00DA0935" w:rsidRDefault="00DA0935" w:rsidP="00DA0935">
      <w:pPr>
        <w:pStyle w:val="Prrafodelista"/>
        <w:rPr>
          <w:rFonts w:ascii="Palatino Linotype" w:eastAsia="Palatino Linotype" w:hAnsi="Palatino Linotype" w:cs="Palatino Linotype"/>
          <w:b/>
          <w:color w:val="000000" w:themeColor="text1"/>
        </w:rPr>
      </w:pPr>
    </w:p>
    <w:p w:rsidR="00DA0935" w:rsidRDefault="00DA0935" w:rsidP="00DA093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DA0935" w:rsidRPr="005D5A63" w:rsidRDefault="00DA0935" w:rsidP="00DA093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6087F" w:rsidRPr="005D5A63" w:rsidRDefault="00CA461F" w:rsidP="00363247">
      <w:pPr>
        <w:pStyle w:val="Ttulo1"/>
        <w:tabs>
          <w:tab w:val="left" w:pos="567"/>
        </w:tabs>
        <w:spacing w:before="0" w:line="360" w:lineRule="auto"/>
        <w:jc w:val="center"/>
        <w:rPr>
          <w:color w:val="000000" w:themeColor="text1"/>
        </w:rPr>
      </w:pPr>
      <w:bookmarkStart w:id="3" w:name="_heading=h.frvpcpgp0rwe" w:colFirst="0" w:colLast="0"/>
      <w:bookmarkEnd w:id="3"/>
      <w:r w:rsidRPr="005D5A63">
        <w:rPr>
          <w:color w:val="000000" w:themeColor="text1"/>
        </w:rPr>
        <w:lastRenderedPageBreak/>
        <w:t>C</w:t>
      </w:r>
      <w:r w:rsidR="00DA0935">
        <w:rPr>
          <w:color w:val="000000" w:themeColor="text1"/>
        </w:rPr>
        <w:t xml:space="preserve"> </w:t>
      </w:r>
      <w:r w:rsidRPr="005D5A63">
        <w:rPr>
          <w:color w:val="000000" w:themeColor="text1"/>
        </w:rPr>
        <w:t>O</w:t>
      </w:r>
      <w:r w:rsidR="00DA0935">
        <w:rPr>
          <w:color w:val="000000" w:themeColor="text1"/>
        </w:rPr>
        <w:t xml:space="preserve"> </w:t>
      </w:r>
      <w:r w:rsidRPr="005D5A63">
        <w:rPr>
          <w:color w:val="000000" w:themeColor="text1"/>
        </w:rPr>
        <w:t>N</w:t>
      </w:r>
      <w:r w:rsidR="00DA0935">
        <w:rPr>
          <w:color w:val="000000" w:themeColor="text1"/>
        </w:rPr>
        <w:t xml:space="preserve"> </w:t>
      </w:r>
      <w:r w:rsidRPr="005D5A63">
        <w:rPr>
          <w:color w:val="000000" w:themeColor="text1"/>
        </w:rPr>
        <w:t>S</w:t>
      </w:r>
      <w:r w:rsidR="00DA0935">
        <w:rPr>
          <w:color w:val="000000" w:themeColor="text1"/>
        </w:rPr>
        <w:t xml:space="preserve"> </w:t>
      </w:r>
      <w:r w:rsidRPr="005D5A63">
        <w:rPr>
          <w:color w:val="000000" w:themeColor="text1"/>
        </w:rPr>
        <w:t>I</w:t>
      </w:r>
      <w:r w:rsidR="00DA0935">
        <w:rPr>
          <w:color w:val="000000" w:themeColor="text1"/>
        </w:rPr>
        <w:t xml:space="preserve"> </w:t>
      </w:r>
      <w:r w:rsidRPr="005D5A63">
        <w:rPr>
          <w:color w:val="000000" w:themeColor="text1"/>
        </w:rPr>
        <w:t>D</w:t>
      </w:r>
      <w:r w:rsidR="00DA0935">
        <w:rPr>
          <w:color w:val="000000" w:themeColor="text1"/>
        </w:rPr>
        <w:t xml:space="preserve"> </w:t>
      </w:r>
      <w:r w:rsidRPr="005D5A63">
        <w:rPr>
          <w:color w:val="000000" w:themeColor="text1"/>
        </w:rPr>
        <w:t>E</w:t>
      </w:r>
      <w:r w:rsidR="00DA0935">
        <w:rPr>
          <w:color w:val="000000" w:themeColor="text1"/>
        </w:rPr>
        <w:t xml:space="preserve"> </w:t>
      </w:r>
      <w:r w:rsidRPr="005D5A63">
        <w:rPr>
          <w:color w:val="000000" w:themeColor="text1"/>
        </w:rPr>
        <w:t>R</w:t>
      </w:r>
      <w:r w:rsidR="00DA0935">
        <w:rPr>
          <w:color w:val="000000" w:themeColor="text1"/>
        </w:rPr>
        <w:t xml:space="preserve"> </w:t>
      </w:r>
      <w:r w:rsidRPr="005D5A63">
        <w:rPr>
          <w:color w:val="000000" w:themeColor="text1"/>
        </w:rPr>
        <w:t>A</w:t>
      </w:r>
      <w:r w:rsidR="00DA0935">
        <w:rPr>
          <w:color w:val="000000" w:themeColor="text1"/>
        </w:rPr>
        <w:t xml:space="preserve"> </w:t>
      </w:r>
      <w:r w:rsidRPr="005D5A63">
        <w:rPr>
          <w:color w:val="000000" w:themeColor="text1"/>
        </w:rPr>
        <w:t>N</w:t>
      </w:r>
      <w:r w:rsidR="00DA0935">
        <w:rPr>
          <w:color w:val="000000" w:themeColor="text1"/>
        </w:rPr>
        <w:t xml:space="preserve"> </w:t>
      </w:r>
      <w:r w:rsidRPr="005D5A63">
        <w:rPr>
          <w:color w:val="000000" w:themeColor="text1"/>
        </w:rPr>
        <w:t>D</w:t>
      </w:r>
      <w:r w:rsidR="00DA0935">
        <w:rPr>
          <w:color w:val="000000" w:themeColor="text1"/>
        </w:rPr>
        <w:t xml:space="preserve"> </w:t>
      </w:r>
      <w:r w:rsidRPr="005D5A63">
        <w:rPr>
          <w:color w:val="000000" w:themeColor="text1"/>
        </w:rPr>
        <w:t>O</w:t>
      </w:r>
    </w:p>
    <w:p w:rsidR="00A6087F" w:rsidRPr="005D5A63" w:rsidRDefault="00A6087F" w:rsidP="00363247">
      <w:pPr>
        <w:spacing w:line="360" w:lineRule="auto"/>
        <w:rPr>
          <w:rFonts w:ascii="Palatino Linotype" w:eastAsia="Palatino Linotype" w:hAnsi="Palatino Linotype" w:cs="Palatino Linotype"/>
          <w:color w:val="000000" w:themeColor="text1"/>
        </w:rPr>
      </w:pPr>
    </w:p>
    <w:p w:rsidR="00A6087F" w:rsidRPr="005D5A63" w:rsidRDefault="00CA461F" w:rsidP="00363247">
      <w:pPr>
        <w:pStyle w:val="Ttulo1"/>
        <w:tabs>
          <w:tab w:val="left" w:pos="567"/>
        </w:tabs>
        <w:spacing w:before="0" w:line="360" w:lineRule="auto"/>
        <w:rPr>
          <w:b w:val="0"/>
          <w:color w:val="000000" w:themeColor="text1"/>
        </w:rPr>
      </w:pPr>
      <w:bookmarkStart w:id="4" w:name="_heading=h.sq1hr44q29ws" w:colFirst="0" w:colLast="0"/>
      <w:bookmarkEnd w:id="4"/>
      <w:r w:rsidRPr="005D5A63">
        <w:rPr>
          <w:color w:val="000000" w:themeColor="text1"/>
        </w:rPr>
        <w:t>PRIMERO. De la competencia</w:t>
      </w: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A6087F" w:rsidRPr="005D5A63" w:rsidRDefault="00A6087F" w:rsidP="0036324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pStyle w:val="Ttulo2"/>
        <w:spacing w:before="0" w:line="360" w:lineRule="auto"/>
        <w:rPr>
          <w:b w:val="0"/>
          <w:color w:val="000000" w:themeColor="text1"/>
        </w:rPr>
      </w:pPr>
      <w:bookmarkStart w:id="5" w:name="_heading=h.w4wm97vxh6d4" w:colFirst="0" w:colLast="0"/>
      <w:bookmarkEnd w:id="5"/>
      <w:r w:rsidRPr="005D5A63">
        <w:rPr>
          <w:color w:val="000000" w:themeColor="text1"/>
        </w:rPr>
        <w:t>SEGUNDO. De la oportunidad y procedencia.</w:t>
      </w: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Este Órgano Garante considera que los medios de impugnación reúnen los requisitos de procedencia toda vez que: los recursos fueron presentados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A6087F" w:rsidRPr="005D5A63" w:rsidRDefault="00A6087F" w:rsidP="00363247">
      <w:pP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w:t>
      </w:r>
      <w:r w:rsidRPr="005D5A63">
        <w:rPr>
          <w:rFonts w:ascii="Palatino Linotype" w:eastAsia="Palatino Linotype" w:hAnsi="Palatino Linotype" w:cs="Palatino Linotype"/>
          <w:color w:val="000000" w:themeColor="text1"/>
        </w:rPr>
        <w:lastRenderedPageBreak/>
        <w:t>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A6087F" w:rsidRPr="005D5A63" w:rsidRDefault="00A6087F" w:rsidP="0036324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A6087F" w:rsidRPr="005D5A63" w:rsidRDefault="00CA461F" w:rsidP="00363247">
      <w:pP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w:t>
      </w:r>
      <w:r w:rsidRPr="005D5A63">
        <w:rPr>
          <w:rFonts w:ascii="Palatino Linotype" w:eastAsia="Palatino Linotype" w:hAnsi="Palatino Linotype" w:cs="Palatino Linotype"/>
          <w:b/>
          <w:i/>
          <w:color w:val="000000" w:themeColor="text1"/>
        </w:rPr>
        <w:t>Las solicitudes anónimas</w:t>
      </w:r>
      <w:r w:rsidRPr="005D5A63">
        <w:rPr>
          <w:rFonts w:ascii="Palatino Linotype" w:eastAsia="Palatino Linotype" w:hAnsi="Palatino Linotype" w:cs="Palatino Linotype"/>
          <w:i/>
          <w:color w:val="000000" w:themeColor="text1"/>
        </w:rPr>
        <w:t xml:space="preserve">, con nombre incompleto o seudónimo </w:t>
      </w:r>
      <w:r w:rsidRPr="005D5A63">
        <w:rPr>
          <w:rFonts w:ascii="Palatino Linotype" w:eastAsia="Palatino Linotype" w:hAnsi="Palatino Linotype" w:cs="Palatino Linotype"/>
          <w:b/>
          <w:i/>
          <w:color w:val="000000" w:themeColor="text1"/>
        </w:rPr>
        <w:t>serán procedentes para su trámite por parte del sujeto obligado ante quien se presente</w:t>
      </w:r>
      <w:r w:rsidRPr="005D5A63">
        <w:rPr>
          <w:rFonts w:ascii="Palatino Linotype" w:eastAsia="Palatino Linotype" w:hAnsi="Palatino Linotype" w:cs="Palatino Linotype"/>
          <w:i/>
          <w:color w:val="000000" w:themeColor="text1"/>
        </w:rPr>
        <w:t>. No podrá requerirse información adicional con motivo del nombre proporcionado por el solicitante."</w:t>
      </w:r>
    </w:p>
    <w:p w:rsidR="00A6087F" w:rsidRPr="005D5A63" w:rsidRDefault="00A6087F" w:rsidP="00363247">
      <w:pPr>
        <w:spacing w:line="360" w:lineRule="auto"/>
        <w:rPr>
          <w:rFonts w:ascii="Palatino Linotype" w:eastAsia="Palatino Linotype" w:hAnsi="Palatino Linotype" w:cs="Palatino Linotype"/>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Por otro lado,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A6087F" w:rsidRPr="005D5A63" w:rsidRDefault="00A6087F" w:rsidP="0036324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A6087F" w:rsidRPr="005D5A63" w:rsidRDefault="00CA461F" w:rsidP="00363247">
      <w:pPr>
        <w:pStyle w:val="Ttulo2"/>
        <w:spacing w:before="0" w:line="360" w:lineRule="auto"/>
        <w:rPr>
          <w:b w:val="0"/>
          <w:color w:val="000000" w:themeColor="text1"/>
        </w:rPr>
      </w:pPr>
      <w:bookmarkStart w:id="6" w:name="_heading=h.2ls4jq20wp4f" w:colFirst="0" w:colLast="0"/>
      <w:bookmarkEnd w:id="6"/>
      <w:r w:rsidRPr="005D5A63">
        <w:rPr>
          <w:color w:val="000000" w:themeColor="text1"/>
        </w:rPr>
        <w:t xml:space="preserve">TERCERO. Del planteamiento de la </w:t>
      </w:r>
      <w:r w:rsidRPr="005D5A63">
        <w:rPr>
          <w:i/>
          <w:color w:val="000000" w:themeColor="text1"/>
        </w:rPr>
        <w:t>Litis</w:t>
      </w:r>
      <w:r w:rsidRPr="005D5A63">
        <w:rPr>
          <w:color w:val="000000" w:themeColor="text1"/>
        </w:rPr>
        <w:t>.</w:t>
      </w: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Se solicitó tener acceso vía correo electrónico, a la información que a continuación se desagrega:</w:t>
      </w:r>
    </w:p>
    <w:p w:rsidR="00A6087F" w:rsidRPr="005D5A63" w:rsidRDefault="00CA461F" w:rsidP="0036324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Oficios generados durante el mes de marzo de 2025 por las Juntas Judiciales Electorales y el Consejo de los Órganos Desconcentrados de los distritos: 1, 2, 3, 4, 5, 6, 7, 8, 9, 10, 11, 12, 13, 14, 15, 16, 17 y 18; durante el Proceso Electoral Judicial Extraordinario 2025.</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087F" w:rsidRPr="00DA0935"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color w:val="000000" w:themeColor="text1"/>
        </w:rPr>
        <w:t xml:space="preserve">En respuesta el </w:t>
      </w:r>
      <w:r w:rsidRPr="005D5A63">
        <w:rPr>
          <w:rFonts w:ascii="Palatino Linotype" w:eastAsia="Palatino Linotype" w:hAnsi="Palatino Linotype" w:cs="Palatino Linotype"/>
          <w:b/>
          <w:color w:val="000000" w:themeColor="text1"/>
        </w:rPr>
        <w:t xml:space="preserve">SUJETO OBLIGADO </w:t>
      </w:r>
      <w:r w:rsidRPr="005D5A63">
        <w:rPr>
          <w:rFonts w:ascii="Palatino Linotype" w:eastAsia="Palatino Linotype" w:hAnsi="Palatino Linotype" w:cs="Palatino Linotype"/>
          <w:color w:val="000000" w:themeColor="text1"/>
        </w:rPr>
        <w:t xml:space="preserve">remitió los archivos ya descritos en el anterior Párrafo 2. Inconforme con la respuesta, el ahora solicitante interpuso recurso de revisión, </w:t>
      </w:r>
      <w:r w:rsidRPr="005D5A63">
        <w:rPr>
          <w:rFonts w:ascii="Palatino Linotype" w:eastAsia="Palatino Linotype" w:hAnsi="Palatino Linotype" w:cs="Palatino Linotype"/>
          <w:color w:val="000000" w:themeColor="text1"/>
        </w:rPr>
        <w:lastRenderedPageBreak/>
        <w:t>inconformándose por el cambio de modalidad de entrega de la información, al no privilegiar la elegida, saber: correo electrónico.</w:t>
      </w:r>
    </w:p>
    <w:p w:rsidR="00DA0935" w:rsidRPr="005D5A63" w:rsidRDefault="00DA0935" w:rsidP="00DA093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En dichas condiciones, la </w:t>
      </w:r>
      <w:r w:rsidRPr="005D5A63">
        <w:rPr>
          <w:rFonts w:ascii="Palatino Linotype" w:eastAsia="Palatino Linotype" w:hAnsi="Palatino Linotype" w:cs="Palatino Linotype"/>
          <w:i/>
          <w:color w:val="000000" w:themeColor="text1"/>
        </w:rPr>
        <w:t>Litis</w:t>
      </w:r>
      <w:r w:rsidRPr="005D5A63">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Pr="005D5A63">
        <w:rPr>
          <w:rFonts w:ascii="Palatino Linotype" w:eastAsia="Palatino Linotype" w:hAnsi="Palatino Linotype" w:cs="Palatino Linotype"/>
          <w:b/>
          <w:color w:val="000000" w:themeColor="text1"/>
        </w:rPr>
        <w:t xml:space="preserve">fracciones VIII </w:t>
      </w:r>
      <w:r w:rsidRPr="005D5A63">
        <w:rPr>
          <w:rFonts w:ascii="Palatino Linotype" w:eastAsia="Palatino Linotype" w:hAnsi="Palatino Linotype" w:cs="Palatino Linotype"/>
          <w:color w:val="000000" w:themeColor="text1"/>
        </w:rPr>
        <w:t xml:space="preserve">de la </w:t>
      </w:r>
      <w:r w:rsidRPr="005D5A63">
        <w:rPr>
          <w:rFonts w:ascii="Palatino Linotype" w:eastAsia="Palatino Linotype" w:hAnsi="Palatino Linotype" w:cs="Palatino Linotype"/>
          <w:b/>
          <w:color w:val="000000" w:themeColor="text1"/>
        </w:rPr>
        <w:t xml:space="preserve">Ley de Transparencia y Acceso a la Información Pública del Estado de </w:t>
      </w:r>
      <w:r w:rsidRPr="005D5A63">
        <w:rPr>
          <w:rFonts w:ascii="Palatino Linotype" w:eastAsia="Palatino Linotype" w:hAnsi="Palatino Linotype" w:cs="Palatino Linotype"/>
          <w:color w:val="000000" w:themeColor="text1"/>
        </w:rPr>
        <w:t>México</w:t>
      </w:r>
      <w:r w:rsidRPr="005D5A63">
        <w:rPr>
          <w:rFonts w:ascii="Palatino Linotype" w:eastAsia="Palatino Linotype" w:hAnsi="Palatino Linotype" w:cs="Palatino Linotype"/>
          <w:b/>
          <w:color w:val="000000" w:themeColor="text1"/>
        </w:rPr>
        <w:t xml:space="preserve"> y Municipios</w:t>
      </w:r>
      <w:r w:rsidRPr="005D5A63">
        <w:rPr>
          <w:rFonts w:ascii="Palatino Linotype" w:eastAsia="Palatino Linotype" w:hAnsi="Palatino Linotype" w:cs="Palatino Linotype"/>
          <w:color w:val="000000" w:themeColor="text1"/>
        </w:rPr>
        <w:t xml:space="preserve">; fracción que determinan la hipótesis jurídica relativa a la entrega o puesta a disposición de información en una modalidad distinta a la solicitada; contexto del cual se dolió </w:t>
      </w:r>
      <w:r w:rsidRPr="005D5A63">
        <w:rPr>
          <w:rFonts w:ascii="Palatino Linotype" w:eastAsia="Palatino Linotype" w:hAnsi="Palatino Linotype" w:cs="Palatino Linotype"/>
          <w:b/>
          <w:color w:val="000000" w:themeColor="text1"/>
        </w:rPr>
        <w:t xml:space="preserve">EL RECURRENTE </w:t>
      </w:r>
      <w:r w:rsidRPr="005D5A63">
        <w:rPr>
          <w:rFonts w:ascii="Palatino Linotype" w:eastAsia="Palatino Linotype" w:hAnsi="Palatino Linotype" w:cs="Palatino Linotype"/>
          <w:color w:val="000000" w:themeColor="text1"/>
        </w:rPr>
        <w:t xml:space="preserve">al momento de interponer sus inconformidades. De modo tal que los presentes recursos de revisión acumulados se abocaran en determinar si el </w:t>
      </w:r>
      <w:r w:rsidRPr="005D5A63">
        <w:rPr>
          <w:rFonts w:ascii="Palatino Linotype" w:eastAsia="Palatino Linotype" w:hAnsi="Palatino Linotype" w:cs="Palatino Linotype"/>
          <w:b/>
          <w:color w:val="000000" w:themeColor="text1"/>
        </w:rPr>
        <w:t>SUJETO</w:t>
      </w:r>
      <w:r w:rsidRPr="005D5A63">
        <w:rPr>
          <w:rFonts w:ascii="Palatino Linotype" w:eastAsia="Palatino Linotype" w:hAnsi="Palatino Linotype" w:cs="Palatino Linotype"/>
          <w:color w:val="000000" w:themeColor="text1"/>
        </w:rPr>
        <w:t xml:space="preserve"> </w:t>
      </w:r>
      <w:r w:rsidRPr="005D5A63">
        <w:rPr>
          <w:rFonts w:ascii="Palatino Linotype" w:eastAsia="Palatino Linotype" w:hAnsi="Palatino Linotype" w:cs="Palatino Linotype"/>
          <w:b/>
          <w:color w:val="000000" w:themeColor="text1"/>
        </w:rPr>
        <w:t>OBLIGADO</w:t>
      </w:r>
      <w:r w:rsidRPr="005D5A63">
        <w:rPr>
          <w:rFonts w:ascii="Palatino Linotype" w:eastAsia="Palatino Linotype" w:hAnsi="Palatino Linotype" w:cs="Palatino Linotype"/>
          <w:color w:val="000000" w:themeColor="text1"/>
        </w:rPr>
        <w:t xml:space="preserve"> con sus respuestas ciertamente actualizan las causales de procedencia</w:t>
      </w:r>
      <w:r w:rsidRPr="005D5A63">
        <w:rPr>
          <w:rFonts w:ascii="Palatino Linotype" w:eastAsia="Palatino Linotype" w:hAnsi="Palatino Linotype" w:cs="Palatino Linotype"/>
          <w:b/>
          <w:color w:val="000000" w:themeColor="text1"/>
        </w:rPr>
        <w:t xml:space="preserve"> </w:t>
      </w:r>
      <w:r w:rsidRPr="005D5A63">
        <w:rPr>
          <w:rFonts w:ascii="Palatino Linotype" w:eastAsia="Palatino Linotype" w:hAnsi="Palatino Linotype" w:cs="Palatino Linotype"/>
          <w:color w:val="000000" w:themeColor="text1"/>
        </w:rPr>
        <w:t xml:space="preserve">antes señaladas. </w:t>
      </w:r>
    </w:p>
    <w:p w:rsidR="00A6087F" w:rsidRPr="005D5A63" w:rsidRDefault="00A6087F" w:rsidP="0036324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pStyle w:val="Ttulo2"/>
        <w:spacing w:before="0" w:line="360" w:lineRule="auto"/>
        <w:rPr>
          <w:b w:val="0"/>
          <w:color w:val="000000" w:themeColor="text1"/>
        </w:rPr>
      </w:pPr>
      <w:r w:rsidRPr="005D5A63">
        <w:rPr>
          <w:color w:val="000000" w:themeColor="text1"/>
        </w:rPr>
        <w:t>CUARTO. Del estudio y resolución del asunto.</w:t>
      </w: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7" w:name="_heading=h.2s8eyo1" w:colFirst="0" w:colLast="0"/>
      <w:bookmarkEnd w:id="7"/>
      <w:r w:rsidRPr="005D5A63">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A6087F" w:rsidRPr="005D5A63" w:rsidRDefault="00A6087F" w:rsidP="0036324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A6087F" w:rsidRPr="005D5A63" w:rsidRDefault="00A6087F" w:rsidP="00363247">
      <w:pPr>
        <w:pBdr>
          <w:top w:val="nil"/>
          <w:left w:val="nil"/>
          <w:bottom w:val="nil"/>
          <w:right w:val="nil"/>
          <w:between w:val="nil"/>
        </w:pBdr>
        <w:rPr>
          <w:rFonts w:ascii="Palatino Linotype" w:eastAsia="Palatino Linotype" w:hAnsi="Palatino Linotype" w:cs="Palatino Linotype"/>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Dicho lo anterior, es necesario traer a contexto la respuesta emitida, a efecto de determinar la procedencia o improcedencia del cambio de modalidad de entrega de la información. Luego entonces se tiene que el </w:t>
      </w:r>
      <w:r w:rsidRPr="005D5A63">
        <w:rPr>
          <w:rFonts w:ascii="Palatino Linotype" w:eastAsia="Palatino Linotype" w:hAnsi="Palatino Linotype" w:cs="Palatino Linotype"/>
          <w:b/>
          <w:color w:val="000000" w:themeColor="text1"/>
        </w:rPr>
        <w:t>Instituto Electoral del Estado de México,</w:t>
      </w:r>
      <w:r w:rsidRPr="005D5A63">
        <w:rPr>
          <w:rFonts w:ascii="Palatino Linotype" w:eastAsia="Palatino Linotype" w:hAnsi="Palatino Linotype" w:cs="Palatino Linotype"/>
          <w:color w:val="000000" w:themeColor="text1"/>
        </w:rPr>
        <w:t xml:space="preserve"> invoca una imposibilidad de privilegiar la modalidad elegida en razón de diversas circunstancias; la primera el cumulo de información, al señalar ciento once (111) solicitudes de información en donde se requiere soporte documental equivalente, no obstante corresponde a una contestación que se desestima </w:t>
      </w:r>
      <w:r w:rsidRPr="005D5A63">
        <w:rPr>
          <w:rFonts w:ascii="Palatino Linotype" w:eastAsia="Palatino Linotype" w:hAnsi="Palatino Linotype" w:cs="Palatino Linotype"/>
          <w:i/>
          <w:color w:val="000000" w:themeColor="text1"/>
        </w:rPr>
        <w:t>de facto</w:t>
      </w:r>
      <w:r w:rsidRPr="005D5A63">
        <w:rPr>
          <w:rFonts w:ascii="Palatino Linotype" w:eastAsia="Palatino Linotype" w:hAnsi="Palatino Linotype" w:cs="Palatino Linotype"/>
          <w:color w:val="000000" w:themeColor="text1"/>
        </w:rPr>
        <w:t xml:space="preserve">; toda vez que ello se actualiza </w:t>
      </w:r>
      <w:r w:rsidRPr="005D5A63">
        <w:rPr>
          <w:rFonts w:ascii="Palatino Linotype" w:eastAsia="Palatino Linotype" w:hAnsi="Palatino Linotype" w:cs="Palatino Linotype"/>
          <w:color w:val="000000" w:themeColor="text1"/>
        </w:rPr>
        <w:lastRenderedPageBreak/>
        <w:t xml:space="preserve">derivado de una acumulación interna del </w:t>
      </w:r>
      <w:r w:rsidRPr="005D5A63">
        <w:rPr>
          <w:rFonts w:ascii="Palatino Linotype" w:eastAsia="Palatino Linotype" w:hAnsi="Palatino Linotype" w:cs="Palatino Linotype"/>
          <w:b/>
          <w:color w:val="000000" w:themeColor="text1"/>
        </w:rPr>
        <w:t xml:space="preserve">SUJETO OBLIGADO </w:t>
      </w:r>
      <w:r w:rsidRPr="005D5A63">
        <w:rPr>
          <w:rFonts w:ascii="Palatino Linotype" w:eastAsia="Palatino Linotype" w:hAnsi="Palatino Linotype" w:cs="Palatino Linotype"/>
          <w:color w:val="000000" w:themeColor="text1"/>
        </w:rPr>
        <w:t>en</w:t>
      </w:r>
      <w:r w:rsidRPr="005D5A63">
        <w:rPr>
          <w:rFonts w:ascii="Palatino Linotype" w:eastAsia="Palatino Linotype" w:hAnsi="Palatino Linotype" w:cs="Palatino Linotype"/>
          <w:b/>
          <w:color w:val="000000" w:themeColor="text1"/>
        </w:rPr>
        <w:t xml:space="preserve"> </w:t>
      </w:r>
      <w:r w:rsidRPr="005D5A63">
        <w:rPr>
          <w:rFonts w:ascii="Palatino Linotype" w:eastAsia="Palatino Linotype" w:hAnsi="Palatino Linotype" w:cs="Palatino Linotype"/>
          <w:color w:val="000000" w:themeColor="text1"/>
        </w:rPr>
        <w:t>términos del</w:t>
      </w:r>
      <w:r w:rsidRPr="005D5A63">
        <w:rPr>
          <w:rFonts w:ascii="Palatino Linotype" w:eastAsia="Palatino Linotype" w:hAnsi="Palatino Linotype" w:cs="Palatino Linotype"/>
          <w:b/>
          <w:color w:val="000000" w:themeColor="text1"/>
        </w:rPr>
        <w:t xml:space="preserve"> artículo 165 de la Ley de la Materia,</w:t>
      </w:r>
      <w:r w:rsidRPr="005D5A63">
        <w:rPr>
          <w:rFonts w:ascii="Palatino Linotype" w:eastAsia="Palatino Linotype" w:hAnsi="Palatino Linotype" w:cs="Palatino Linotype"/>
          <w:color w:val="000000" w:themeColor="text1"/>
        </w:rPr>
        <w:t xml:space="preserve"> ajena aquella realizada por el Órgano Garante mediante Acuerdo de fecha </w:t>
      </w:r>
      <w:r w:rsidRPr="005D5A63">
        <w:rPr>
          <w:rFonts w:ascii="Palatino Linotype" w:eastAsia="Palatino Linotype" w:hAnsi="Palatino Linotype" w:cs="Palatino Linotype"/>
          <w:b/>
          <w:color w:val="000000" w:themeColor="text1"/>
        </w:rPr>
        <w:t>ocho julio de dos mil veinticinc</w:t>
      </w:r>
      <w:r w:rsidRPr="005D5A63">
        <w:rPr>
          <w:rFonts w:ascii="Palatino Linotype" w:eastAsia="Palatino Linotype" w:hAnsi="Palatino Linotype" w:cs="Palatino Linotype"/>
          <w:color w:val="000000" w:themeColor="text1"/>
        </w:rPr>
        <w:t>o, debidamente notificado al</w:t>
      </w:r>
      <w:r w:rsidRPr="005D5A63">
        <w:rPr>
          <w:rFonts w:ascii="Palatino Linotype" w:eastAsia="Palatino Linotype" w:hAnsi="Palatino Linotype" w:cs="Palatino Linotype"/>
          <w:b/>
          <w:color w:val="000000" w:themeColor="text1"/>
        </w:rPr>
        <w:t xml:space="preserve"> Instituto Electoral del Estado de México </w:t>
      </w:r>
      <w:r w:rsidRPr="005D5A63">
        <w:rPr>
          <w:rFonts w:ascii="Palatino Linotype" w:eastAsia="Palatino Linotype" w:hAnsi="Palatino Linotype" w:cs="Palatino Linotype"/>
          <w:color w:val="000000" w:themeColor="text1"/>
        </w:rPr>
        <w:t>en los expedientes electrónicos en que se actúa mediante Acuerdo de fecha dieciocho de agosto de la anualidad en curso.</w:t>
      </w:r>
    </w:p>
    <w:p w:rsidR="00A6087F" w:rsidRPr="005D5A63" w:rsidRDefault="00A6087F" w:rsidP="00363247">
      <w:pPr>
        <w:pBdr>
          <w:top w:val="nil"/>
          <w:left w:val="nil"/>
          <w:bottom w:val="nil"/>
          <w:right w:val="nil"/>
          <w:between w:val="nil"/>
        </w:pBdr>
        <w:rPr>
          <w:rFonts w:ascii="Palatino Linotype" w:eastAsia="Palatino Linotype" w:hAnsi="Palatino Linotype" w:cs="Palatino Linotype"/>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Acumulación de la cual dio como resultado que el asunto de mérito </w:t>
      </w:r>
      <w:r w:rsidRPr="005D5A63">
        <w:rPr>
          <w:rFonts w:ascii="Palatino Linotype" w:eastAsia="Palatino Linotype" w:hAnsi="Palatino Linotype" w:cs="Palatino Linotype"/>
          <w:color w:val="000000" w:themeColor="text1"/>
          <w:u w:val="single"/>
        </w:rPr>
        <w:t>verse únicamente</w:t>
      </w:r>
      <w:r w:rsidRPr="005D5A63">
        <w:rPr>
          <w:rFonts w:ascii="Palatino Linotype" w:eastAsia="Palatino Linotype" w:hAnsi="Palatino Linotype" w:cs="Palatino Linotype"/>
          <w:color w:val="000000" w:themeColor="text1"/>
        </w:rPr>
        <w:t xml:space="preserve"> sobre los oficios generados durante el mes de marzo de 2025 por las Juntas Judiciales Electorales y el Consejo de los Órganos Desconcentrados de los distritos: 1, 2, 3, 4, 5, 6, 7, 8, 9, 10, 11, 12, 13, 14, 15, 16, 17 y 18 durante el Proceso Electoral Judicial Extraordinario 2025 y, no respecto de soporte documental y extremos temporales diversos que señala el </w:t>
      </w:r>
      <w:r w:rsidRPr="005D5A63">
        <w:rPr>
          <w:rFonts w:ascii="Palatino Linotype" w:eastAsia="Palatino Linotype" w:hAnsi="Palatino Linotype" w:cs="Palatino Linotype"/>
          <w:b/>
          <w:color w:val="000000" w:themeColor="text1"/>
        </w:rPr>
        <w:t>SUJETO OBLIGADO</w:t>
      </w:r>
      <w:r w:rsidRPr="005D5A63">
        <w:rPr>
          <w:rFonts w:ascii="Palatino Linotype" w:eastAsia="Palatino Linotype" w:hAnsi="Palatino Linotype" w:cs="Palatino Linotype"/>
          <w:color w:val="000000" w:themeColor="text1"/>
        </w:rPr>
        <w:t xml:space="preserve"> en su respuesta.</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Sin embargo, ello no es óbice para que eventualmente los oficios generados en el mes que ocupa el presente proveído eventualmente continúen sobrepasando la capacidad técnica de la modalidad elegida, como lo es el correo electrónico. Para efecto de subsanar el supuesto señalado, se realizó un requerimiento de información adicional al </w:t>
      </w:r>
      <w:r w:rsidRPr="005D5A63">
        <w:rPr>
          <w:rFonts w:ascii="Palatino Linotype" w:eastAsia="Palatino Linotype" w:hAnsi="Palatino Linotype" w:cs="Palatino Linotype"/>
          <w:b/>
          <w:color w:val="000000" w:themeColor="text1"/>
        </w:rPr>
        <w:t>SUJETO OBLIGADO</w:t>
      </w:r>
      <w:r w:rsidRPr="005D5A63">
        <w:rPr>
          <w:rFonts w:ascii="Palatino Linotype" w:eastAsia="Palatino Linotype" w:hAnsi="Palatino Linotype" w:cs="Palatino Linotype"/>
          <w:color w:val="000000" w:themeColor="text1"/>
        </w:rPr>
        <w:t xml:space="preserve"> vía correo electrónico en fecha </w:t>
      </w:r>
      <w:r w:rsidRPr="005D5A63">
        <w:rPr>
          <w:rFonts w:ascii="Palatino Linotype" w:eastAsia="Palatino Linotype" w:hAnsi="Palatino Linotype" w:cs="Palatino Linotype"/>
          <w:b/>
          <w:color w:val="000000" w:themeColor="text1"/>
        </w:rPr>
        <w:t>diecinueve de agosto de dos mil veinticinco,</w:t>
      </w:r>
      <w:r w:rsidRPr="005D5A63">
        <w:rPr>
          <w:rFonts w:ascii="Palatino Linotype" w:eastAsia="Palatino Linotype" w:hAnsi="Palatino Linotype" w:cs="Palatino Linotype"/>
          <w:color w:val="000000" w:themeColor="text1"/>
        </w:rPr>
        <w:t xml:space="preserve"> a la dirección de correo </w:t>
      </w:r>
      <w:r w:rsidR="00363247" w:rsidRPr="005D5A63">
        <w:rPr>
          <w:rFonts w:ascii="Palatino Linotype" w:eastAsia="Palatino Linotype" w:hAnsi="Palatino Linotype" w:cs="Palatino Linotype"/>
          <w:color w:val="000000" w:themeColor="text1"/>
        </w:rPr>
        <w:t>electrónico</w:t>
      </w:r>
      <w:r w:rsidRPr="005D5A63">
        <w:rPr>
          <w:rFonts w:ascii="Palatino Linotype" w:eastAsia="Palatino Linotype" w:hAnsi="Palatino Linotype" w:cs="Palatino Linotype"/>
          <w:color w:val="000000" w:themeColor="text1"/>
        </w:rPr>
        <w:t xml:space="preserve"> de la Titular de la Unidad de Transparencia y a la que el propio </w:t>
      </w:r>
      <w:r w:rsidRPr="005D5A63">
        <w:rPr>
          <w:rFonts w:ascii="Palatino Linotype" w:eastAsia="Palatino Linotype" w:hAnsi="Palatino Linotype" w:cs="Palatino Linotype"/>
          <w:b/>
          <w:color w:val="000000" w:themeColor="text1"/>
        </w:rPr>
        <w:t>SUJETO OBLIGADO</w:t>
      </w:r>
      <w:r w:rsidRPr="005D5A63">
        <w:rPr>
          <w:rFonts w:ascii="Palatino Linotype" w:eastAsia="Palatino Linotype" w:hAnsi="Palatino Linotype" w:cs="Palatino Linotype"/>
          <w:color w:val="000000" w:themeColor="text1"/>
        </w:rPr>
        <w:t xml:space="preserve"> publicó como la oficial de la Unidad de Transparencia en cumplimiento a sus obligaciones de transparencia en el Portal de Información Pública Mexiquense, a efecto de contar con elementos de convicción suficientes para avalar o desestimar el cambio de modalidad propuesto, como se observa:</w:t>
      </w:r>
    </w:p>
    <w:p w:rsidR="00A6087F" w:rsidRPr="005D5A63" w:rsidRDefault="00CA461F" w:rsidP="00363247">
      <w:pPr>
        <w:spacing w:line="360" w:lineRule="auto"/>
        <w:jc w:val="center"/>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noProof/>
          <w:color w:val="000000" w:themeColor="text1"/>
          <w:lang w:val="es-MX"/>
        </w:rPr>
        <w:lastRenderedPageBreak/>
        <w:drawing>
          <wp:inline distT="0" distB="0" distL="0" distR="0">
            <wp:extent cx="3813589" cy="4689081"/>
            <wp:effectExtent l="0" t="0" r="0" b="0"/>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813589" cy="4689081"/>
                    </a:xfrm>
                    <a:prstGeom prst="rect">
                      <a:avLst/>
                    </a:prstGeom>
                    <a:ln/>
                  </pic:spPr>
                </pic:pic>
              </a:graphicData>
            </a:graphic>
          </wp:inline>
        </w:drawing>
      </w:r>
    </w:p>
    <w:p w:rsidR="00A6087F" w:rsidRPr="005D5A63" w:rsidRDefault="00CA461F" w:rsidP="00363247">
      <w:pPr>
        <w:spacing w:line="360" w:lineRule="auto"/>
        <w:jc w:val="center"/>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noProof/>
          <w:color w:val="000000" w:themeColor="text1"/>
          <w:lang w:val="es-MX"/>
        </w:rPr>
        <w:lastRenderedPageBreak/>
        <w:drawing>
          <wp:inline distT="0" distB="0" distL="0" distR="0">
            <wp:extent cx="3396629" cy="3200670"/>
            <wp:effectExtent l="0" t="0" r="0" b="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396629" cy="3200670"/>
                    </a:xfrm>
                    <a:prstGeom prst="rect">
                      <a:avLst/>
                    </a:prstGeom>
                    <a:ln/>
                  </pic:spPr>
                </pic:pic>
              </a:graphicData>
            </a:graphic>
          </wp:inline>
        </w:drawing>
      </w:r>
    </w:p>
    <w:p w:rsidR="00A6087F" w:rsidRPr="005D5A63" w:rsidRDefault="00A6087F" w:rsidP="00363247">
      <w:pPr>
        <w:pBdr>
          <w:top w:val="nil"/>
          <w:left w:val="nil"/>
          <w:bottom w:val="nil"/>
          <w:right w:val="nil"/>
          <w:between w:val="nil"/>
        </w:pBdr>
        <w:rPr>
          <w:rFonts w:ascii="Palatino Linotype" w:eastAsia="Palatino Linotype" w:hAnsi="Palatino Linotype" w:cs="Palatino Linotype"/>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No obstante una vez precluido el lapso temporal otorgado, no se recibió contestación al requerimiento de referencia.</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Por otro lado, es necesario traer a colación la respuesta inicial en su parte relativa a lo ya resuelto por este Instituto. </w:t>
      </w:r>
    </w:p>
    <w:p w:rsidR="00A6087F" w:rsidRPr="005D5A63" w:rsidRDefault="00A6087F" w:rsidP="00363247">
      <w:pPr>
        <w:pBdr>
          <w:top w:val="nil"/>
          <w:left w:val="nil"/>
          <w:bottom w:val="nil"/>
          <w:right w:val="nil"/>
          <w:between w:val="nil"/>
        </w:pBdr>
        <w:rPr>
          <w:rFonts w:ascii="Palatino Linotype" w:eastAsia="Palatino Linotype" w:hAnsi="Palatino Linotype" w:cs="Palatino Linotype"/>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Contexto similar se actualiza con la pretendida imposibilidad humana que se invoca; pues esta atañe al argumento de la imposibilidad de dar contestación a 146 solicitudes, resultando necesario contar con el mayor número de personas disponibles ya que requiere una búsqueda en el archivo de cada una de las 18 Juntas y Consejos Judiciales. Contexto que se desestima por no guardar relación con el asunto que nos ocupa y del que -se insiste- fue debidamente notificado el </w:t>
      </w:r>
      <w:r w:rsidRPr="005D5A63">
        <w:rPr>
          <w:rFonts w:ascii="Palatino Linotype" w:eastAsia="Palatino Linotype" w:hAnsi="Palatino Linotype" w:cs="Palatino Linotype"/>
          <w:b/>
          <w:color w:val="000000" w:themeColor="text1"/>
        </w:rPr>
        <w:t>SUJETO OBLIGADO</w:t>
      </w:r>
      <w:r w:rsidRPr="005D5A63">
        <w:rPr>
          <w:rFonts w:ascii="Palatino Linotype" w:eastAsia="Palatino Linotype" w:hAnsi="Palatino Linotype" w:cs="Palatino Linotype"/>
          <w:color w:val="000000" w:themeColor="text1"/>
        </w:rPr>
        <w:t xml:space="preserve"> (acumulación) pudiendo ser subsanado </w:t>
      </w:r>
      <w:r w:rsidRPr="005D5A63">
        <w:rPr>
          <w:rFonts w:ascii="Palatino Linotype" w:eastAsia="Palatino Linotype" w:hAnsi="Palatino Linotype" w:cs="Palatino Linotype"/>
          <w:color w:val="000000" w:themeColor="text1"/>
        </w:rPr>
        <w:lastRenderedPageBreak/>
        <w:t xml:space="preserve">en la etapa procesal oportuna de </w:t>
      </w:r>
      <w:r w:rsidRPr="005D5A63">
        <w:rPr>
          <w:rFonts w:ascii="Palatino Linotype" w:eastAsia="Palatino Linotype" w:hAnsi="Palatino Linotype" w:cs="Palatino Linotype"/>
          <w:i/>
          <w:color w:val="000000" w:themeColor="text1"/>
        </w:rPr>
        <w:t>Manifestaciones</w:t>
      </w:r>
      <w:r w:rsidRPr="005D5A63">
        <w:rPr>
          <w:rFonts w:ascii="Palatino Linotype" w:eastAsia="Palatino Linotype" w:hAnsi="Palatino Linotype" w:cs="Palatino Linotype"/>
          <w:color w:val="000000" w:themeColor="text1"/>
        </w:rPr>
        <w:t xml:space="preserve"> en calidad de alcance al informe justificado o en el requerimiento de información adicional realizado vía correo electrónico, hecho que no ocurrió.</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Un tercer aspecto, corresponde a una pretendido aval de cambio de modalidad por parte de este Órgano Garante, por haberse resuelto con anterioridad el Recurso de Revisión 03860/INFOEM/IP/RR/2025 en el que se aprueba el cambio de modalidad de entrega de la información. Al respecto se advierte que se pretende hacer valer una </w:t>
      </w:r>
      <w:r w:rsidRPr="005D5A63">
        <w:rPr>
          <w:rFonts w:ascii="Palatino Linotype" w:eastAsia="Palatino Linotype" w:hAnsi="Palatino Linotype" w:cs="Palatino Linotype"/>
          <w:i/>
          <w:color w:val="000000" w:themeColor="text1"/>
        </w:rPr>
        <w:t>litispendencia</w:t>
      </w:r>
      <w:r w:rsidRPr="005D5A63">
        <w:rPr>
          <w:rFonts w:ascii="Palatino Linotype" w:eastAsia="Palatino Linotype" w:hAnsi="Palatino Linotype" w:cs="Palatino Linotype"/>
          <w:color w:val="000000" w:themeColor="text1"/>
        </w:rPr>
        <w:t xml:space="preserve"> que resulta inaplicable al caso concreto en virtud que en el recurso de revisión 03860/INFOEM/IP/RR/2025 y acumulados se aprobó un cambio de modalidad de soporte documental correspondiente a la anualidad 2024 vía SAIMEX en un total de 45 solicitudes de información, siendo en el presente asunto el correspondiente únicamente al mes de marzo del año 2025 vía correo electrónico, por lo cual no puede considerarse las mismas razones de imposibilidad administrativa y humana que el </w:t>
      </w:r>
      <w:r w:rsidRPr="005D5A63">
        <w:rPr>
          <w:rFonts w:ascii="Palatino Linotype" w:eastAsia="Palatino Linotype" w:hAnsi="Palatino Linotype" w:cs="Palatino Linotype"/>
          <w:b/>
          <w:color w:val="000000" w:themeColor="text1"/>
        </w:rPr>
        <w:t>SUJETO OBLIGADO</w:t>
      </w:r>
      <w:r w:rsidRPr="005D5A63">
        <w:rPr>
          <w:rFonts w:ascii="Palatino Linotype" w:eastAsia="Palatino Linotype" w:hAnsi="Palatino Linotype" w:cs="Palatino Linotype"/>
          <w:color w:val="000000" w:themeColor="text1"/>
        </w:rPr>
        <w:t xml:space="preserve"> afirma prevalecen por corresponder a circunstancias desiguales.</w:t>
      </w:r>
    </w:p>
    <w:p w:rsidR="00A6087F" w:rsidRPr="005D5A63" w:rsidRDefault="00A6087F" w:rsidP="00363247">
      <w:pPr>
        <w:pBdr>
          <w:top w:val="nil"/>
          <w:left w:val="nil"/>
          <w:bottom w:val="nil"/>
          <w:right w:val="nil"/>
          <w:between w:val="nil"/>
        </w:pBdr>
        <w:rPr>
          <w:rFonts w:ascii="Palatino Linotype" w:eastAsia="Palatino Linotype" w:hAnsi="Palatino Linotype" w:cs="Palatino Linotype"/>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Por otro lado, en calidad de informe justificado, se agregó como argumento novedoso el siguiente:</w:t>
      </w:r>
    </w:p>
    <w:p w:rsidR="00A6087F" w:rsidRPr="005D5A63" w:rsidRDefault="00CA461F" w:rsidP="00363247">
      <w:pP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 es necesario apuntar que el servicio electrónico de correo de este instituto es bajo el domino “Outlook” de la empresa Microsoft, mismo que opera bajo las restricciones técnicas impuestas por el servicio que lo respalda, particularmente Exchange Online en el entorno de Microsoft 365 .</w:t>
      </w:r>
    </w:p>
    <w:p w:rsidR="00A6087F" w:rsidRPr="005D5A63" w:rsidRDefault="00CA461F" w:rsidP="00363247">
      <w:pP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En este contexto, existen límites específicos de tamaño para los mensajes enviados y recibidos, tanto a nivel de cliente como del servidor. Estos límites impactan directamente la idoneidad del correo electrónico como vía para entregar información pública de gran volumen.</w:t>
      </w:r>
    </w:p>
    <w:p w:rsidR="00A6087F" w:rsidRPr="005D5A63" w:rsidRDefault="00CA461F" w:rsidP="00363247">
      <w:pP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lastRenderedPageBreak/>
        <w:t>…”</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Argumento que resulta infructuoso al caso concreto, al dar a conocer limites técnicos de un servicio de correo electrónico, pero sin aportar el volumen que implica el soporte documental a entregar que permitan hacer el cotejo que permita arribar a la conclusión puntual de que se actualiza una imposibilidad de atención en la vía de entrega de información solicitada; dejando de tener certeza plena al Órgano Garante del argumento que se pretende hacer valer.</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A más de lo anterior, si bien es cierto la modalidad elegida fue vía correo electrónico, se solicitó a la Dirección General de Informática de este Instituto, informara si el </w:t>
      </w:r>
      <w:r w:rsidRPr="005D5A63">
        <w:rPr>
          <w:rFonts w:ascii="Palatino Linotype" w:eastAsia="Palatino Linotype" w:hAnsi="Palatino Linotype" w:cs="Palatino Linotype"/>
          <w:b/>
          <w:color w:val="000000" w:themeColor="text1"/>
        </w:rPr>
        <w:t>SUJETO OBLIGADO</w:t>
      </w:r>
      <w:r w:rsidRPr="005D5A63">
        <w:rPr>
          <w:rFonts w:ascii="Palatino Linotype" w:eastAsia="Palatino Linotype" w:hAnsi="Palatino Linotype" w:cs="Palatino Linotype"/>
          <w:color w:val="000000" w:themeColor="text1"/>
        </w:rPr>
        <w:t xml:space="preserve"> realizó un registro de incidencia por actualizarse algún impedimento para dar cumplimiento vía SAIMEX a los recursos de revisión objeto de la presente acumulación, de la cual se obtuvo la respuesta siguiente:</w:t>
      </w:r>
    </w:p>
    <w:p w:rsidR="00A6087F" w:rsidRPr="005D5A63" w:rsidRDefault="00A6087F" w:rsidP="00363247">
      <w:pPr>
        <w:pBdr>
          <w:top w:val="nil"/>
          <w:left w:val="nil"/>
          <w:bottom w:val="nil"/>
          <w:right w:val="nil"/>
          <w:between w:val="nil"/>
        </w:pBdr>
        <w:rPr>
          <w:rFonts w:ascii="Palatino Linotype" w:eastAsia="Palatino Linotype" w:hAnsi="Palatino Linotype" w:cs="Palatino Linotype"/>
          <w:color w:val="000000" w:themeColor="text1"/>
        </w:rPr>
      </w:pPr>
    </w:p>
    <w:p w:rsidR="00A6087F" w:rsidRPr="005D5A63" w:rsidRDefault="00CA461F" w:rsidP="00363247">
      <w:pPr>
        <w:pBdr>
          <w:bottom w:val="single" w:sz="6" w:space="1" w:color="000000"/>
        </w:pBdr>
        <w:spacing w:line="360" w:lineRule="auto"/>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noProof/>
          <w:color w:val="000000" w:themeColor="text1"/>
          <w:lang w:val="es-MX"/>
        </w:rPr>
        <w:drawing>
          <wp:inline distT="0" distB="0" distL="0" distR="0">
            <wp:extent cx="5581015" cy="1906270"/>
            <wp:effectExtent l="0" t="0" r="0" b="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581015" cy="1906270"/>
                    </a:xfrm>
                    <a:prstGeom prst="rect">
                      <a:avLst/>
                    </a:prstGeom>
                    <a:ln/>
                  </pic:spPr>
                </pic:pic>
              </a:graphicData>
            </a:graphic>
          </wp:inline>
        </w:drawing>
      </w:r>
    </w:p>
    <w:p w:rsidR="00A6087F" w:rsidRPr="005D5A63" w:rsidRDefault="00A6087F" w:rsidP="00363247">
      <w:pPr>
        <w:pBdr>
          <w:bottom w:val="single" w:sz="6" w:space="1" w:color="000000"/>
        </w:pBdr>
        <w:spacing w:line="360" w:lineRule="auto"/>
        <w:jc w:val="both"/>
        <w:rPr>
          <w:rFonts w:ascii="Palatino Linotype" w:eastAsia="Palatino Linotype" w:hAnsi="Palatino Linotype" w:cs="Palatino Linotype"/>
          <w:color w:val="000000" w:themeColor="text1"/>
        </w:rPr>
      </w:pPr>
    </w:p>
    <w:p w:rsidR="00A6087F" w:rsidRPr="005D5A63" w:rsidRDefault="00A6087F" w:rsidP="00363247">
      <w:pP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spacing w:line="360" w:lineRule="auto"/>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noProof/>
          <w:color w:val="000000" w:themeColor="text1"/>
          <w:lang w:val="es-MX"/>
        </w:rPr>
        <w:lastRenderedPageBreak/>
        <w:drawing>
          <wp:inline distT="0" distB="0" distL="0" distR="0">
            <wp:extent cx="5581015" cy="936625"/>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581015" cy="936625"/>
                    </a:xfrm>
                    <a:prstGeom prst="rect">
                      <a:avLst/>
                    </a:prstGeom>
                    <a:ln/>
                  </pic:spPr>
                </pic:pic>
              </a:graphicData>
            </a:graphic>
          </wp:inline>
        </w:drawing>
      </w:r>
    </w:p>
    <w:p w:rsidR="00A6087F" w:rsidRPr="005D5A63" w:rsidRDefault="00A6087F" w:rsidP="00363247">
      <w:pPr>
        <w:pBdr>
          <w:top w:val="nil"/>
          <w:left w:val="nil"/>
          <w:bottom w:val="nil"/>
          <w:right w:val="nil"/>
          <w:between w:val="nil"/>
        </w:pBdr>
        <w:rPr>
          <w:rFonts w:ascii="Palatino Linotype" w:eastAsia="Palatino Linotype" w:hAnsi="Palatino Linotype" w:cs="Palatino Linotype"/>
          <w:color w:val="000000" w:themeColor="text1"/>
        </w:rPr>
      </w:pPr>
    </w:p>
    <w:p w:rsidR="00A6087F"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Como se observa, no se advierte registro alguno en donde se haya informado de un impedimento para dar atención a los recursos de mérito vía SAIMEX. Se hace hincapié en lo anterior; toda vez que respecto al cambio de modalidad el artículo 155, fracción V, de la Ley de Transparencia y Acceso a la Información Pública del Estado de México y Municipios, precisa que para presentar una solicitud, el particular podrá señalar </w:t>
      </w:r>
      <w:r w:rsidRPr="005D5A63">
        <w:rPr>
          <w:rFonts w:ascii="Palatino Linotype" w:eastAsia="Palatino Linotype" w:hAnsi="Palatino Linotype" w:cs="Palatino Linotype"/>
          <w:b/>
          <w:color w:val="000000" w:themeColor="text1"/>
        </w:rPr>
        <w:t>la modalidad en la que prefiere se otorgue el acceso a la información</w:t>
      </w:r>
      <w:r w:rsidRPr="005D5A63">
        <w:rPr>
          <w:rFonts w:ascii="Palatino Linotype" w:eastAsia="Palatino Linotype" w:hAnsi="Palatino Linotype" w:cs="Palatino Linotype"/>
          <w:color w:val="000000" w:themeColor="text1"/>
        </w:rPr>
        <w:t>, la cual podrá ser verbal, siempre y cuando sea para fines de orientación, mediante consulta directa, mediante la expedición de copias simples o certificadas o la reproducción en cualquier otro medio, incluidos los electrónicos.</w:t>
      </w:r>
    </w:p>
    <w:p w:rsidR="00DA0935" w:rsidRPr="005D5A63" w:rsidRDefault="00DA0935" w:rsidP="00DA093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D5A63">
        <w:rPr>
          <w:rFonts w:ascii="Palatino Linotype" w:eastAsia="Palatino Linotype" w:hAnsi="Palatino Linotype" w:cs="Palatino Linotype"/>
          <w:color w:val="000000" w:themeColor="text1"/>
        </w:rPr>
        <w:t xml:space="preserve">El artículo 158, dispone que, de manera excepcional, cuando de manera fundada y motivada lo determine el Sujeto Obligado, </w:t>
      </w:r>
      <w:r w:rsidRPr="005D5A63">
        <w:rPr>
          <w:rFonts w:ascii="Palatino Linotype" w:eastAsia="Palatino Linotype" w:hAnsi="Palatino Linotype" w:cs="Palatino Linotype"/>
          <w:b/>
          <w:color w:val="000000" w:themeColor="text1"/>
        </w:rPr>
        <w:t>en los casos en que la entrega de la información que se encuentre a su disposición, sobrepase las capacidades técnicas, administrativas y humanas del Sujeto Obligado para cumplir con la solicitud,  podrá poner a disposición del solicitante la información en consulta directa, hecho que en el presente caso no se acredita.</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En ese orden de ideas, el artículo 164 de dicho ordenamiento jurídico, prevé que el acceso se dará en la modalidad de entrega y, en su caso, de envío elegidos por al solicitante. </w:t>
      </w:r>
      <w:r w:rsidRPr="005D5A63">
        <w:rPr>
          <w:rFonts w:ascii="Palatino Linotype" w:eastAsia="Palatino Linotype" w:hAnsi="Palatino Linotype" w:cs="Palatino Linotype"/>
          <w:b/>
          <w:color w:val="000000" w:themeColor="text1"/>
        </w:rPr>
        <w:t xml:space="preserve">Cuando la información no pueda entregarse o enviarse en la modalidad elegida, el sujeto </w:t>
      </w:r>
      <w:r w:rsidRPr="005D5A63">
        <w:rPr>
          <w:rFonts w:ascii="Palatino Linotype" w:eastAsia="Palatino Linotype" w:hAnsi="Palatino Linotype" w:cs="Palatino Linotype"/>
          <w:b/>
          <w:color w:val="000000" w:themeColor="text1"/>
        </w:rPr>
        <w:lastRenderedPageBreak/>
        <w:t>obligado deberá ofrecer otra u otras modalidades de entrega.</w:t>
      </w:r>
      <w:r w:rsidRPr="005D5A63">
        <w:rPr>
          <w:rFonts w:ascii="Palatino Linotype" w:eastAsia="Palatino Linotype" w:hAnsi="Palatino Linotype" w:cs="Palatino Linotype"/>
          <w:color w:val="000000" w:themeColor="text1"/>
        </w:rPr>
        <w:t xml:space="preserve"> En cualquier caso, </w:t>
      </w:r>
      <w:r w:rsidRPr="005D5A63">
        <w:rPr>
          <w:rFonts w:ascii="Palatino Linotype" w:eastAsia="Palatino Linotype" w:hAnsi="Palatino Linotype" w:cs="Palatino Linotype"/>
          <w:b/>
          <w:color w:val="000000" w:themeColor="text1"/>
        </w:rPr>
        <w:t>se deberá fundar y motivar</w:t>
      </w:r>
      <w:r w:rsidRPr="005D5A63">
        <w:rPr>
          <w:rFonts w:ascii="Palatino Linotype" w:eastAsia="Palatino Linotype" w:hAnsi="Palatino Linotype" w:cs="Palatino Linotype"/>
          <w:color w:val="000000" w:themeColor="text1"/>
        </w:rPr>
        <w:t xml:space="preserve"> la necesidad de ofrecer otras modalidades.</w:t>
      </w:r>
    </w:p>
    <w:p w:rsidR="00A6087F" w:rsidRPr="005D5A63" w:rsidRDefault="00A6087F" w:rsidP="00363247">
      <w:pP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5D5A63">
        <w:rPr>
          <w:rFonts w:ascii="Palatino Linotype" w:eastAsia="Palatino Linotype" w:hAnsi="Palatino Linotype" w:cs="Palatino Linotype"/>
          <w:b/>
          <w:color w:val="000000" w:themeColor="text1"/>
        </w:rPr>
        <w:t>en la medida de lo posible, en la forma solicitada por el interesado, salvo que exista un impedimento justificado para atenderla</w:t>
      </w:r>
      <w:r w:rsidRPr="005D5A63">
        <w:rPr>
          <w:rFonts w:ascii="Palatino Linotype" w:eastAsia="Palatino Linotype" w:hAnsi="Palatino Linotype" w:cs="Palatino Linotype"/>
          <w:color w:val="000000" w:themeColor="text1"/>
        </w:rPr>
        <w:t xml:space="preserve">, en cuyo caso, deberán exponerse las razones por las cuales no es posible utilizar el medio de reproducción solicitado; en este sentido, la entrega de la información en una modalidad distinta a la elegida por la particular </w:t>
      </w:r>
      <w:r w:rsidRPr="005D5A63">
        <w:rPr>
          <w:rFonts w:ascii="Palatino Linotype" w:eastAsia="Palatino Linotype" w:hAnsi="Palatino Linotype" w:cs="Palatino Linotype"/>
          <w:b/>
          <w:color w:val="000000" w:themeColor="text1"/>
        </w:rPr>
        <w:t>sólo procede, en caso de que se acredite la imposibilidad de atenderla.</w:t>
      </w:r>
      <w:r w:rsidRPr="005D5A63">
        <w:rPr>
          <w:rFonts w:ascii="Palatino Linotype" w:eastAsia="Palatino Linotype" w:hAnsi="Palatino Linotype" w:cs="Palatino Linotype"/>
          <w:color w:val="000000" w:themeColor="text1"/>
        </w:rPr>
        <w:t xml:space="preserve"> </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Así, cuando se justifique el impedimento, los Sujetos Obligados deberán ofrecer al</w:t>
      </w:r>
      <w:r w:rsidRPr="005D5A63">
        <w:rPr>
          <w:rFonts w:ascii="Palatino Linotype" w:eastAsia="Palatino Linotype" w:hAnsi="Palatino Linotype" w:cs="Palatino Linotype"/>
          <w:b/>
          <w:color w:val="000000" w:themeColor="text1"/>
        </w:rPr>
        <w:t xml:space="preserve"> particular otras </w:t>
      </w:r>
      <w:r w:rsidRPr="005D5A63">
        <w:rPr>
          <w:rFonts w:ascii="Palatino Linotype" w:eastAsia="Palatino Linotype" w:hAnsi="Palatino Linotype" w:cs="Palatino Linotype"/>
          <w:color w:val="000000" w:themeColor="text1"/>
        </w:rPr>
        <w:t>modalidades</w:t>
      </w:r>
      <w:r w:rsidRPr="005D5A63">
        <w:rPr>
          <w:rFonts w:ascii="Palatino Linotype" w:eastAsia="Palatino Linotype" w:hAnsi="Palatino Linotype" w:cs="Palatino Linotype"/>
          <w:b/>
          <w:color w:val="000000" w:themeColor="text1"/>
        </w:rPr>
        <w:t xml:space="preserve"> de entrega que permita la información</w:t>
      </w:r>
      <w:r w:rsidRPr="005D5A63">
        <w:rPr>
          <w:rFonts w:ascii="Palatino Linotype" w:eastAsia="Palatino Linotype" w:hAnsi="Palatino Linotype" w:cs="Palatino Linotype"/>
          <w:color w:val="000000" w:themeColor="text1"/>
        </w:rPr>
        <w:t>, como consulta directa en las oficinas de la Unidad de Transparencia; lo anterior, es robustecido con el Criterio 08/17, emitido por el Pleno del Instituto Nacional de Transparencia, Acceso a la Información y Protección de Datos Personales, vigente a la fecha de la solicitud de información, el cual establece lo siguiente:</w:t>
      </w:r>
    </w:p>
    <w:p w:rsidR="00A6087F" w:rsidRPr="005D5A63" w:rsidRDefault="00CA461F" w:rsidP="00363247">
      <w:pP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b/>
          <w:i/>
          <w:color w:val="000000" w:themeColor="text1"/>
        </w:rPr>
        <w:t>“Modalidad de entrega. Procedencia de proporcionar la información solicitada en una diversa a la elegida por el solicitante.</w:t>
      </w:r>
      <w:r w:rsidRPr="005D5A63">
        <w:rPr>
          <w:rFonts w:ascii="Palatino Linotype" w:eastAsia="Palatino Linotype" w:hAnsi="Palatino Linotype" w:cs="Palatino Linotype"/>
          <w:i/>
          <w:color w:val="000000" w:themeColor="text1"/>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w:t>
      </w:r>
      <w:r w:rsidRPr="005D5A63">
        <w:rPr>
          <w:rFonts w:ascii="Palatino Linotype" w:eastAsia="Palatino Linotype" w:hAnsi="Palatino Linotype" w:cs="Palatino Linotype"/>
          <w:i/>
          <w:color w:val="000000" w:themeColor="text1"/>
        </w:rPr>
        <w:lastRenderedPageBreak/>
        <w:t>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A6087F" w:rsidRPr="005D5A63" w:rsidRDefault="00A6087F" w:rsidP="00363247">
      <w:pP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D5A63">
        <w:rPr>
          <w:rFonts w:ascii="Palatino Linotype" w:eastAsia="Palatino Linotype" w:hAnsi="Palatino Linotype" w:cs="Palatino Linotype"/>
          <w:color w:val="000000" w:themeColor="text1"/>
        </w:rPr>
        <w:t>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información en todas las modalidades que lo permitan, procurando reducir los costos de entrega.</w:t>
      </w:r>
    </w:p>
    <w:p w:rsidR="00A6087F" w:rsidRPr="005D5A63" w:rsidRDefault="00A6087F" w:rsidP="00363247">
      <w:pPr>
        <w:spacing w:line="360" w:lineRule="auto"/>
        <w:jc w:val="both"/>
        <w:rPr>
          <w:rFonts w:ascii="Palatino Linotype" w:eastAsia="Palatino Linotype" w:hAnsi="Palatino Linotype" w:cs="Palatino Linotype"/>
          <w:b/>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Además,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00A6087F" w:rsidRPr="005D5A63" w:rsidRDefault="00CA461F" w:rsidP="0036324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Las razones por las cuales la información implicaba un análisis, estudio o procesamiento de datos;</w:t>
      </w:r>
    </w:p>
    <w:p w:rsidR="00A6087F" w:rsidRPr="005D5A63" w:rsidRDefault="00CA461F" w:rsidP="0036324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El tiempo no es suficiente para atender la solicitud en la modalidad elegida, y</w:t>
      </w:r>
    </w:p>
    <w:p w:rsidR="00A6087F" w:rsidRPr="005D5A63" w:rsidRDefault="00CA461F" w:rsidP="0036324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La cantidad de recursos humanos y materiales con los que cuenta el Sujeto Obligado son insuficientes.</w:t>
      </w:r>
    </w:p>
    <w:p w:rsidR="00A6087F" w:rsidRPr="005D5A63" w:rsidRDefault="00A6087F" w:rsidP="00363247">
      <w:pPr>
        <w:spacing w:line="360" w:lineRule="auto"/>
        <w:jc w:val="both"/>
        <w:rPr>
          <w:rFonts w:ascii="Palatino Linotype" w:eastAsia="Palatino Linotype" w:hAnsi="Palatino Linotype" w:cs="Palatino Linotype"/>
          <w:b/>
          <w:color w:val="000000" w:themeColor="text1"/>
        </w:rPr>
      </w:pPr>
    </w:p>
    <w:p w:rsidR="00363247"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lastRenderedPageBreak/>
        <w:t xml:space="preserve">Luego entonces, se insiste que en el asunto de mérito es evidente que no se acreditó la imposibilidad para proporcionar la información a través del Sistema de Acceso a la Información Mexiquense. Bajo los argumentos expuestos, resulta procedente ordenar al </w:t>
      </w:r>
      <w:r w:rsidRPr="005D5A63">
        <w:rPr>
          <w:rFonts w:ascii="Palatino Linotype" w:eastAsia="Palatino Linotype" w:hAnsi="Palatino Linotype" w:cs="Palatino Linotype"/>
          <w:b/>
          <w:color w:val="000000" w:themeColor="text1"/>
        </w:rPr>
        <w:t>SUJETO OBLIGADO</w:t>
      </w:r>
      <w:r w:rsidRPr="005D5A63">
        <w:rPr>
          <w:rFonts w:ascii="Palatino Linotype" w:eastAsia="Palatino Linotype" w:hAnsi="Palatino Linotype" w:cs="Palatino Linotype"/>
          <w:color w:val="000000" w:themeColor="text1"/>
        </w:rPr>
        <w:t xml:space="preserve"> poner a disposición de la persona solicitante la información requerida, en la modalidad inicialmente elegida; es decir a través de correo electrónico y del SAIMEX, dado que no se acredita que lo solicitado supera las capacidades técnicas del SAIMEX (8,000 hojas); oficios que ya asumió si generó, posee y administra, tan es así que la puso a disposición del ahora </w:t>
      </w:r>
      <w:r w:rsidRPr="005D5A63">
        <w:rPr>
          <w:rFonts w:ascii="Palatino Linotype" w:eastAsia="Palatino Linotype" w:hAnsi="Palatino Linotype" w:cs="Palatino Linotype"/>
          <w:b/>
          <w:color w:val="000000" w:themeColor="text1"/>
        </w:rPr>
        <w:t>RECURRENTE</w:t>
      </w:r>
      <w:r w:rsidRPr="005D5A63">
        <w:rPr>
          <w:rFonts w:ascii="Palatino Linotype" w:eastAsia="Palatino Linotype" w:hAnsi="Palatino Linotype" w:cs="Palatino Linotype"/>
          <w:color w:val="000000" w:themeColor="text1"/>
        </w:rPr>
        <w:t xml:space="preserve"> en consulta directa, por lo cual es que se estima redundante realizar un análisis pormenorizado de la fuente obligacional del </w:t>
      </w:r>
      <w:r w:rsidRPr="005D5A63">
        <w:rPr>
          <w:rFonts w:ascii="Palatino Linotype" w:eastAsia="Palatino Linotype" w:hAnsi="Palatino Linotype" w:cs="Palatino Linotype"/>
          <w:b/>
          <w:color w:val="000000" w:themeColor="text1"/>
        </w:rPr>
        <w:t>Instituto Electoral del Estado de México</w:t>
      </w:r>
      <w:r w:rsidRPr="005D5A63">
        <w:rPr>
          <w:rFonts w:ascii="Palatino Linotype" w:eastAsia="Palatino Linotype" w:hAnsi="Palatino Linotype" w:cs="Palatino Linotype"/>
          <w:color w:val="000000" w:themeColor="text1"/>
        </w:rPr>
        <w:t xml:space="preserve"> para concluir se genera o posee algo que ya asumió si obra en sus archivos.</w:t>
      </w:r>
    </w:p>
    <w:p w:rsidR="00363247" w:rsidRPr="005D5A63" w:rsidRDefault="00363247" w:rsidP="0036324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63247"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Con la determinación anterior, se estima quedara por colmado el derecho de acceso a la información del ahora Recurrente; toda vez que el Derecho que tutela este Órgano Garante corresponde a la  </w:t>
      </w:r>
      <w:r w:rsidRPr="005D5A63">
        <w:rPr>
          <w:rFonts w:ascii="Palatino Linotype" w:eastAsia="Palatino Linotype" w:hAnsi="Palatino Linotype" w:cs="Palatino Linotype"/>
          <w:i/>
          <w:color w:val="000000" w:themeColor="text1"/>
        </w:rPr>
        <w:t>igualdad de oportunidades para recibir, buscar e impartir información</w:t>
      </w:r>
      <w:r w:rsidRPr="005D5A63">
        <w:rPr>
          <w:rFonts w:ascii="Palatino Linotype" w:eastAsia="Palatino Linotype" w:hAnsi="Palatino Linotype" w:cs="Palatino Linotype"/>
          <w:i/>
          <w:color w:val="000000" w:themeColor="text1"/>
          <w:vertAlign w:val="superscript"/>
        </w:rPr>
        <w:footnoteReference w:id="2"/>
      </w:r>
      <w:r w:rsidRPr="005D5A63">
        <w:rPr>
          <w:rFonts w:ascii="Palatino Linotype" w:eastAsia="Palatino Linotype" w:hAnsi="Palatino Linotype" w:cs="Palatino Linotype"/>
          <w:i/>
          <w:color w:val="000000" w:themeColor="text1"/>
        </w:rPr>
        <w:t xml:space="preserve"> en posesión de cualquier autoridad, entidad, órgano y organismo de los </w:t>
      </w:r>
      <w:r w:rsidRPr="005D5A63">
        <w:rPr>
          <w:rFonts w:ascii="Palatino Linotype" w:eastAsia="Palatino Linotype" w:hAnsi="Palatino Linotype" w:cs="Palatino Linotype"/>
          <w:color w:val="000000" w:themeColor="text1"/>
        </w:rPr>
        <w:t>poderes</w:t>
      </w:r>
      <w:r w:rsidRPr="005D5A63">
        <w:rPr>
          <w:rFonts w:ascii="Palatino Linotype" w:eastAsia="Palatino Linotype" w:hAnsi="Palatino Linotype" w:cs="Palatino Linotype"/>
          <w:i/>
          <w:color w:val="000000" w:themeColor="text1"/>
        </w:rPr>
        <w:t xml:space="preserve"> Ejecutivo, Legislativo y Judicial, órganos autónomos, partidos políticos, </w:t>
      </w:r>
      <w:r w:rsidRPr="005D5A63">
        <w:rPr>
          <w:rFonts w:ascii="Palatino Linotype" w:eastAsia="Palatino Linotype" w:hAnsi="Palatino Linotype" w:cs="Palatino Linotype"/>
          <w:color w:val="000000" w:themeColor="text1"/>
        </w:rPr>
        <w:t>fideicomisos</w:t>
      </w:r>
      <w:r w:rsidRPr="005D5A63">
        <w:rPr>
          <w:rFonts w:ascii="Palatino Linotype" w:eastAsia="Palatino Linotype" w:hAnsi="Palatino Linotype" w:cs="Palatino Linotype"/>
          <w:i/>
          <w:color w:val="000000" w:themeColor="text1"/>
        </w:rPr>
        <w:t>, y fondos públicos, así como de cualquier persona física, moral o sindicato que reciba y ejerza recursos públicos o realice actos de autoridad en el ámbito federal, estatal y municipal</w:t>
      </w:r>
      <w:r w:rsidRPr="005D5A63">
        <w:rPr>
          <w:rFonts w:ascii="Palatino Linotype" w:eastAsia="Palatino Linotype" w:hAnsi="Palatino Linotype" w:cs="Palatino Linotype"/>
          <w:color w:val="000000" w:themeColor="text1"/>
          <w:vertAlign w:val="superscript"/>
        </w:rPr>
        <w:footnoteReference w:id="3"/>
      </w:r>
      <w:r w:rsidRPr="005D5A63">
        <w:rPr>
          <w:rFonts w:ascii="Palatino Linotype" w:eastAsia="Palatino Linotype" w:hAnsi="Palatino Linotype" w:cs="Palatino Linotype"/>
          <w:i/>
          <w:color w:val="000000" w:themeColor="text1"/>
        </w:rPr>
        <w:t xml:space="preserve"> </w:t>
      </w:r>
      <w:r w:rsidRPr="005D5A63">
        <w:rPr>
          <w:rFonts w:ascii="Palatino Linotype" w:eastAsia="Palatino Linotype" w:hAnsi="Palatino Linotype" w:cs="Palatino Linotype"/>
          <w:color w:val="000000" w:themeColor="text1"/>
        </w:rPr>
        <w:t xml:space="preserve">que se constituye como una herramienta fundamental para </w:t>
      </w:r>
      <w:r w:rsidRPr="005D5A63">
        <w:rPr>
          <w:rFonts w:ascii="Palatino Linotype" w:eastAsia="Palatino Linotype" w:hAnsi="Palatino Linotype" w:cs="Palatino Linotype"/>
          <w:i/>
          <w:color w:val="000000" w:themeColor="text1"/>
        </w:rPr>
        <w:t xml:space="preserve">ejercer control democrático de las gestiones estatales, de forma tal que puedan cuestionar, indagar y considerar si se está dando un adecuado cumplimiento de las funciones </w:t>
      </w:r>
      <w:r w:rsidRPr="005D5A63">
        <w:rPr>
          <w:rFonts w:ascii="Palatino Linotype" w:eastAsia="Palatino Linotype" w:hAnsi="Palatino Linotype" w:cs="Palatino Linotype"/>
          <w:i/>
          <w:color w:val="000000" w:themeColor="text1"/>
        </w:rPr>
        <w:lastRenderedPageBreak/>
        <w:t>públicas,</w:t>
      </w:r>
      <w:r w:rsidRPr="005D5A63">
        <w:rPr>
          <w:rFonts w:ascii="Palatino Linotype" w:eastAsia="Palatino Linotype" w:hAnsi="Palatino Linotype" w:cs="Palatino Linotype"/>
          <w:i/>
          <w:color w:val="000000" w:themeColor="text1"/>
          <w:vertAlign w:val="superscript"/>
        </w:rPr>
        <w:footnoteReference w:id="4"/>
      </w:r>
      <w:r w:rsidRPr="005D5A63">
        <w:rPr>
          <w:rFonts w:ascii="Palatino Linotype" w:eastAsia="Palatino Linotype" w:hAnsi="Palatino Linotype" w:cs="Palatino Linotype"/>
          <w:color w:val="000000" w:themeColor="text1"/>
        </w:rPr>
        <w:t>fomentando</w:t>
      </w:r>
      <w:r w:rsidRPr="005D5A63">
        <w:rPr>
          <w:rFonts w:ascii="Palatino Linotype" w:eastAsia="Palatino Linotype" w:hAnsi="Palatino Linotype" w:cs="Palatino Linotype"/>
          <w:i/>
          <w:color w:val="000000" w:themeColor="text1"/>
        </w:rPr>
        <w:t xml:space="preserve"> la transparencia de las actividades estatales y</w:t>
      </w:r>
      <w:r w:rsidRPr="005D5A63">
        <w:rPr>
          <w:rFonts w:ascii="Palatino Linotype" w:eastAsia="Palatino Linotype" w:hAnsi="Palatino Linotype" w:cs="Palatino Linotype"/>
          <w:color w:val="000000" w:themeColor="text1"/>
        </w:rPr>
        <w:t xml:space="preserve"> promoviendo</w:t>
      </w:r>
      <w:r w:rsidRPr="005D5A63">
        <w:rPr>
          <w:rFonts w:ascii="Palatino Linotype" w:eastAsia="Palatino Linotype" w:hAnsi="Palatino Linotype" w:cs="Palatino Linotype"/>
          <w:i/>
          <w:color w:val="000000" w:themeColor="text1"/>
        </w:rPr>
        <w:t xml:space="preserve"> la responsabilidad de los funcionarios sobre su gestión pública</w:t>
      </w:r>
      <w:r w:rsidRPr="005D5A63">
        <w:rPr>
          <w:rFonts w:ascii="Palatino Linotype" w:eastAsia="Palatino Linotype" w:hAnsi="Palatino Linotype" w:cs="Palatino Linotype"/>
          <w:i/>
          <w:color w:val="000000" w:themeColor="text1"/>
          <w:vertAlign w:val="superscript"/>
        </w:rPr>
        <w:footnoteReference w:id="5"/>
      </w:r>
      <w:r w:rsidRPr="005D5A63">
        <w:rPr>
          <w:rFonts w:ascii="Palatino Linotype" w:eastAsia="Palatino Linotype" w:hAnsi="Palatino Linotype" w:cs="Palatino Linotype"/>
          <w:i/>
          <w:color w:val="000000" w:themeColor="text1"/>
        </w:rPr>
        <w:t xml:space="preserve"> </w:t>
      </w:r>
      <w:r w:rsidRPr="005D5A63">
        <w:rPr>
          <w:rFonts w:ascii="Palatino Linotype" w:eastAsia="Palatino Linotype" w:hAnsi="Palatino Linotype" w:cs="Palatino Linotype"/>
          <w:color w:val="000000" w:themeColor="text1"/>
        </w:rPr>
        <w:t>que permite</w:t>
      </w:r>
      <w:r w:rsidRPr="005D5A63">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5D5A63">
        <w:rPr>
          <w:rFonts w:ascii="Palatino Linotype" w:eastAsia="Palatino Linotype" w:hAnsi="Palatino Linotype" w:cs="Palatino Linotype"/>
          <w:i/>
          <w:color w:val="000000" w:themeColor="text1"/>
          <w:vertAlign w:val="superscript"/>
        </w:rPr>
        <w:footnoteReference w:id="6"/>
      </w:r>
      <w:r w:rsidRPr="005D5A63">
        <w:rPr>
          <w:rFonts w:ascii="Palatino Linotype" w:eastAsia="Palatino Linotype" w:hAnsi="Palatino Linotype" w:cs="Palatino Linotype"/>
          <w:color w:val="000000" w:themeColor="text1"/>
        </w:rPr>
        <w:t xml:space="preserve"> ” </w:t>
      </w:r>
    </w:p>
    <w:p w:rsidR="00363247" w:rsidRPr="005D5A63" w:rsidRDefault="00363247" w:rsidP="0036324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6087F" w:rsidRPr="005D5A63" w:rsidRDefault="00CA461F" w:rsidP="00363247">
      <w:pPr>
        <w:spacing w:line="360" w:lineRule="auto"/>
        <w:jc w:val="both"/>
        <w:rPr>
          <w:rFonts w:ascii="Palatino Linotype" w:eastAsia="Palatino Linotype" w:hAnsi="Palatino Linotype" w:cs="Palatino Linotype"/>
          <w:b/>
          <w:i/>
          <w:color w:val="000000" w:themeColor="text1"/>
        </w:rPr>
      </w:pPr>
      <w:r w:rsidRPr="005D5A63">
        <w:rPr>
          <w:rFonts w:ascii="Palatino Linotype" w:eastAsia="Palatino Linotype" w:hAnsi="Palatino Linotype" w:cs="Palatino Linotype"/>
          <w:b/>
          <w:i/>
          <w:color w:val="000000" w:themeColor="text1"/>
        </w:rPr>
        <w:t>“CRITERIO 0002-11</w:t>
      </w:r>
    </w:p>
    <w:p w:rsidR="00A6087F" w:rsidRPr="005D5A63" w:rsidRDefault="00CA461F" w:rsidP="00363247">
      <w:pP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5D5A63">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6087F" w:rsidRPr="005D5A63" w:rsidRDefault="00CA461F" w:rsidP="00363247">
      <w:pP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lastRenderedPageBreak/>
        <w:t>En consecuencia el acceso a la información se refiere a que se cumplan cualquiera de los siguientes tres supuestos:</w:t>
      </w:r>
    </w:p>
    <w:p w:rsidR="00A6087F" w:rsidRPr="005D5A63" w:rsidRDefault="00CA461F" w:rsidP="00363247">
      <w:pP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A6087F" w:rsidRPr="005D5A63" w:rsidRDefault="00CA461F" w:rsidP="00363247">
      <w:pP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A6087F" w:rsidRPr="005D5A63" w:rsidRDefault="00CA461F" w:rsidP="00363247">
      <w:pP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363247" w:rsidRPr="005D5A63" w:rsidRDefault="00363247" w:rsidP="0036324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Es así que, todos los actos de autoridad que realicen los Sujetos Obligados </w:t>
      </w:r>
      <w:r w:rsidRPr="005D5A63">
        <w:rPr>
          <w:rFonts w:ascii="Palatino Linotype" w:eastAsia="Palatino Linotype" w:hAnsi="Palatino Linotype" w:cs="Palatino Linotype"/>
          <w:b/>
          <w:color w:val="000000" w:themeColor="text1"/>
        </w:rPr>
        <w:t xml:space="preserve">deben </w:t>
      </w:r>
      <w:r w:rsidRPr="005D5A63">
        <w:rPr>
          <w:rFonts w:ascii="Palatino Linotype" w:eastAsia="Palatino Linotype" w:hAnsi="Palatino Linotype" w:cs="Palatino Linotype"/>
          <w:color w:val="000000" w:themeColor="text1"/>
        </w:rPr>
        <w:t>estar</w:t>
      </w:r>
      <w:r w:rsidRPr="005D5A63">
        <w:rPr>
          <w:rFonts w:ascii="Palatino Linotype" w:eastAsia="Palatino Linotype" w:hAnsi="Palatino Linotype" w:cs="Palatino Linotype"/>
          <w:b/>
          <w:color w:val="000000" w:themeColor="text1"/>
        </w:rPr>
        <w:t xml:space="preserve"> </w:t>
      </w:r>
      <w:r w:rsidRPr="005D5A63">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A6087F" w:rsidRPr="005D5A63" w:rsidRDefault="00CA461F" w:rsidP="00363247">
      <w:pP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b/>
          <w:i/>
          <w:color w:val="000000" w:themeColor="text1"/>
        </w:rPr>
        <w:t xml:space="preserve">“Artículo 4. </w:t>
      </w:r>
      <w:r w:rsidRPr="005D5A63">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A6087F" w:rsidRPr="005D5A63" w:rsidRDefault="00CA461F" w:rsidP="00363247">
      <w:pP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b/>
          <w:i/>
          <w:color w:val="000000" w:themeColor="text1"/>
        </w:rPr>
        <w:t>Toda la información</w:t>
      </w:r>
      <w:r w:rsidRPr="005D5A63">
        <w:rPr>
          <w:rFonts w:ascii="Palatino Linotype" w:eastAsia="Palatino Linotype" w:hAnsi="Palatino Linotype" w:cs="Palatino Linotype"/>
          <w:i/>
          <w:color w:val="000000" w:themeColor="text1"/>
        </w:rPr>
        <w:t xml:space="preserve"> generada, obtenida, adquirida, transformada, administrada o </w:t>
      </w:r>
      <w:r w:rsidRPr="005D5A63">
        <w:rPr>
          <w:rFonts w:ascii="Palatino Linotype" w:eastAsia="Palatino Linotype" w:hAnsi="Palatino Linotype" w:cs="Palatino Linotype"/>
          <w:b/>
          <w:i/>
          <w:color w:val="000000" w:themeColor="text1"/>
        </w:rPr>
        <w:t>en posesión de los sujetos obligados es pública</w:t>
      </w:r>
      <w:r w:rsidRPr="005D5A63">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w:t>
      </w:r>
      <w:r w:rsidRPr="005D5A63">
        <w:rPr>
          <w:rFonts w:ascii="Palatino Linotype" w:eastAsia="Palatino Linotype" w:hAnsi="Palatino Linotype" w:cs="Palatino Linotype"/>
          <w:i/>
          <w:color w:val="000000" w:themeColor="text1"/>
        </w:rPr>
        <w:lastRenderedPageBreak/>
        <w:t>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6087F" w:rsidRPr="005D5A63" w:rsidRDefault="00CA461F" w:rsidP="00363247">
      <w:pP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A6087F" w:rsidRPr="005D5A63" w:rsidRDefault="00A6087F" w:rsidP="00363247">
      <w:pP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D5A63">
        <w:rPr>
          <w:rFonts w:ascii="Palatino Linotype" w:eastAsia="Palatino Linotype" w:hAnsi="Palatino Linotype" w:cs="Palatino Linotype"/>
          <w:color w:val="000000" w:themeColor="text1"/>
          <w:vertAlign w:val="superscript"/>
        </w:rPr>
        <w:footnoteReference w:id="7"/>
      </w:r>
      <w:r w:rsidRPr="005D5A63">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A6087F" w:rsidRPr="005D5A63" w:rsidRDefault="00A6087F" w:rsidP="00363247">
      <w:pP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A6087F" w:rsidRPr="005D5A63" w:rsidRDefault="00A6087F" w:rsidP="00363247">
      <w:pPr>
        <w:pBdr>
          <w:top w:val="nil"/>
          <w:left w:val="nil"/>
          <w:bottom w:val="nil"/>
          <w:right w:val="nil"/>
          <w:between w:val="nil"/>
        </w:pBdr>
        <w:rPr>
          <w:rFonts w:ascii="Palatino Linotype" w:eastAsia="Palatino Linotype" w:hAnsi="Palatino Linotype" w:cs="Palatino Linotype"/>
          <w:color w:val="000000" w:themeColor="text1"/>
        </w:rPr>
      </w:pPr>
    </w:p>
    <w:p w:rsidR="00A6087F" w:rsidRDefault="00CA461F" w:rsidP="00363247">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b/>
          <w:i/>
          <w:color w:val="000000" w:themeColor="text1"/>
        </w:rPr>
        <w:lastRenderedPageBreak/>
        <w:t>“ACCESO A LA INFORMACIÓN. IMPLICACIÓN DEL PRINCIPIO DE MÁXIMA PUBLICIDAD EN EL DERECHO FUNDAMENTAL RELATIVO.</w:t>
      </w:r>
      <w:r w:rsidRPr="005D5A63">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DA0935" w:rsidRPr="005D5A63" w:rsidRDefault="00DA0935" w:rsidP="00363247">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A6087F" w:rsidRPr="005D5A63" w:rsidRDefault="00CA461F" w:rsidP="0036324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Finalmente no pasa desapercibido, que al tratarse de oficios, dada su propia y especial naturaleza, eventualmente no se cuenten con todos al existir la posibilidad de haber </w:t>
      </w:r>
      <w:r w:rsidRPr="005D5A63">
        <w:rPr>
          <w:rFonts w:ascii="Palatino Linotype" w:eastAsia="Palatino Linotype" w:hAnsi="Palatino Linotype" w:cs="Palatino Linotype"/>
          <w:color w:val="000000" w:themeColor="text1"/>
        </w:rPr>
        <w:lastRenderedPageBreak/>
        <w:t xml:space="preserve">sido generados pero posteriormente cancelados y consecuentemente no remitidos a su destinatario. </w:t>
      </w:r>
    </w:p>
    <w:p w:rsidR="00A6087F" w:rsidRPr="005D5A63" w:rsidRDefault="00A6087F" w:rsidP="0036324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Por lo que de ser el caso que el </w:t>
      </w:r>
      <w:r w:rsidRPr="005D5A63">
        <w:rPr>
          <w:rFonts w:ascii="Palatino Linotype" w:eastAsia="Palatino Linotype" w:hAnsi="Palatino Linotype" w:cs="Palatino Linotype"/>
          <w:b/>
          <w:color w:val="000000" w:themeColor="text1"/>
        </w:rPr>
        <w:t>SUJETO OBLIGADO</w:t>
      </w:r>
      <w:r w:rsidRPr="005D5A63">
        <w:rPr>
          <w:rFonts w:ascii="Palatino Linotype" w:eastAsia="Palatino Linotype" w:hAnsi="Palatino Linotype" w:cs="Palatino Linotype"/>
          <w:color w:val="000000" w:themeColor="text1"/>
        </w:rPr>
        <w:t xml:space="preserve"> no cuente con algún oficio en razón de haber sido cancelado, deberá de hacerlo del conocimiento del </w:t>
      </w:r>
      <w:r w:rsidRPr="005D5A63">
        <w:rPr>
          <w:rFonts w:ascii="Palatino Linotype" w:eastAsia="Palatino Linotype" w:hAnsi="Palatino Linotype" w:cs="Palatino Linotype"/>
          <w:b/>
          <w:color w:val="000000" w:themeColor="text1"/>
        </w:rPr>
        <w:t>RECURRENTE</w:t>
      </w:r>
      <w:r w:rsidRPr="005D5A63">
        <w:rPr>
          <w:rFonts w:ascii="Palatino Linotype" w:eastAsia="Palatino Linotype" w:hAnsi="Palatino Linotype" w:cs="Palatino Linotype"/>
          <w:color w:val="000000" w:themeColor="text1"/>
        </w:rPr>
        <w:t xml:space="preserve"> al momento de dar cumplimiento a la presente Resolución en términos del artículo 19 segundo párrafo de la Ley Transparencia y Acceso a la Información Pública del Estado de México y Municipios. </w:t>
      </w:r>
    </w:p>
    <w:p w:rsidR="00A6087F" w:rsidRPr="005D5A63" w:rsidRDefault="00A6087F" w:rsidP="00363247">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A6087F" w:rsidRPr="005D5A63" w:rsidRDefault="00CA461F" w:rsidP="00363247">
      <w:pPr>
        <w:pStyle w:val="Ttulo2"/>
        <w:spacing w:before="0" w:line="360" w:lineRule="auto"/>
        <w:rPr>
          <w:b w:val="0"/>
          <w:color w:val="000000" w:themeColor="text1"/>
        </w:rPr>
      </w:pPr>
      <w:r w:rsidRPr="005D5A63">
        <w:rPr>
          <w:color w:val="000000" w:themeColor="text1"/>
        </w:rPr>
        <w:t>QUINTA. De la versión pública</w:t>
      </w:r>
    </w:p>
    <w:p w:rsidR="00A6087F" w:rsidRPr="005D5A63" w:rsidRDefault="00CA461F" w:rsidP="0036324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8" w:name="_heading=h.kwrde81cq48d" w:colFirst="0" w:colLast="0"/>
      <w:bookmarkEnd w:id="8"/>
      <w:r w:rsidRPr="005D5A63">
        <w:rPr>
          <w:rFonts w:ascii="Palatino Linotype" w:eastAsia="Palatino Linotype" w:hAnsi="Palatino Linotype" w:cs="Palatino Linotype"/>
          <w:color w:val="000000" w:themeColor="text1"/>
        </w:rPr>
        <w:t>Una vez expuesto lo anterior es necesario referir que el sujeto obligado en todo momento debe proteger los datos que puedan poner en riesgo la vida o integridad de las personas y de los servidores públicos de los que se habrá de hacer entrega de sus datos personales, por tal motivo es susceptible de ser entregada a través del SAIMEX, en versión pública.</w:t>
      </w:r>
    </w:p>
    <w:p w:rsidR="00A6087F" w:rsidRPr="005D5A63" w:rsidRDefault="00A6087F" w:rsidP="00363247">
      <w:pP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Por ende deberá emitir la debida clasificación de información, en la que dé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rsidR="00A6087F" w:rsidRPr="005D5A63" w:rsidRDefault="00A6087F" w:rsidP="00363247">
      <w:pPr>
        <w:tabs>
          <w:tab w:val="left" w:pos="7938"/>
        </w:tabs>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La </w:t>
      </w:r>
      <w:r w:rsidRPr="005D5A63">
        <w:rPr>
          <w:rFonts w:ascii="Palatino Linotype" w:eastAsia="Palatino Linotype" w:hAnsi="Palatino Linotype" w:cs="Palatino Linotype"/>
          <w:b/>
          <w:color w:val="000000" w:themeColor="text1"/>
        </w:rPr>
        <w:t>versión pública</w:t>
      </w:r>
      <w:r w:rsidRPr="005D5A63">
        <w:rPr>
          <w:rFonts w:ascii="Palatino Linotype" w:eastAsia="Palatino Linotype" w:hAnsi="Palatino Linotype" w:cs="Palatino Linotype"/>
          <w:color w:val="000000" w:themeColor="text1"/>
        </w:rPr>
        <w:t xml:space="preserve"> el Sujeto Obligado deberá argumentar que la liberación de la información pueda amenazar el interés protegido por la ley, es decir esgrimir ideas jurídicas </w:t>
      </w:r>
      <w:r w:rsidRPr="005D5A63">
        <w:rPr>
          <w:rFonts w:ascii="Palatino Linotype" w:eastAsia="Palatino Linotype" w:hAnsi="Palatino Linotype" w:cs="Palatino Linotype"/>
          <w:color w:val="000000" w:themeColor="text1"/>
        </w:rPr>
        <w:lastRenderedPageBreak/>
        <w:t>en el cual se evidencie la amenaza del daño o alteración al procedimiento que aduce el sujeto obligado, amparado de razones, y circunstancias especiales que lo llevaron a concluir que el caso particular se ajusta al supuesto previsto en la norma legal invocada como fundamento, específicamente como lo hizo valer en su respuesta, empero por la aplicabilidad de la Ley de Transparencia en la materia deberá clasificarla por la hipótesis análoga siendo aplicables los numerales de la Ley de la materia, que a la letra esgrimen:</w:t>
      </w:r>
    </w:p>
    <w:p w:rsidR="00A6087F" w:rsidRPr="005D5A63" w:rsidRDefault="00CA461F" w:rsidP="00363247">
      <w:pPr>
        <w:spacing w:line="360" w:lineRule="auto"/>
        <w:jc w:val="both"/>
        <w:rPr>
          <w:rFonts w:ascii="Palatino Linotype" w:eastAsia="Palatino Linotype" w:hAnsi="Palatino Linotype" w:cs="Palatino Linotype"/>
          <w:b/>
          <w:i/>
          <w:color w:val="000000" w:themeColor="text1"/>
        </w:rPr>
      </w:pPr>
      <w:r w:rsidRPr="005D5A63">
        <w:rPr>
          <w:rFonts w:ascii="Palatino Linotype" w:eastAsia="Palatino Linotype" w:hAnsi="Palatino Linotype" w:cs="Palatino Linotype"/>
          <w:b/>
          <w:i/>
          <w:color w:val="000000" w:themeColor="text1"/>
        </w:rPr>
        <w:t>Artículo 3. Para los efectos de la presente Ley se entenderá por:</w:t>
      </w:r>
    </w:p>
    <w:p w:rsidR="00A6087F" w:rsidRPr="005D5A63" w:rsidRDefault="00CA461F" w:rsidP="00363247">
      <w:pPr>
        <w:spacing w:line="360" w:lineRule="auto"/>
        <w:jc w:val="both"/>
        <w:rPr>
          <w:rFonts w:ascii="Palatino Linotype" w:eastAsia="Palatino Linotype" w:hAnsi="Palatino Linotype" w:cs="Palatino Linotype"/>
          <w:b/>
          <w:i/>
          <w:color w:val="000000" w:themeColor="text1"/>
        </w:rPr>
      </w:pPr>
      <w:r w:rsidRPr="005D5A63">
        <w:rPr>
          <w:rFonts w:ascii="Palatino Linotype" w:eastAsia="Palatino Linotype" w:hAnsi="Palatino Linotype" w:cs="Palatino Linotype"/>
          <w:b/>
          <w:i/>
          <w:color w:val="000000" w:themeColor="text1"/>
        </w:rPr>
        <w:t>[…]</w:t>
      </w:r>
    </w:p>
    <w:p w:rsidR="00A6087F" w:rsidRPr="005D5A63" w:rsidRDefault="00CA461F" w:rsidP="00363247">
      <w:pPr>
        <w:spacing w:line="360" w:lineRule="auto"/>
        <w:jc w:val="both"/>
        <w:rPr>
          <w:rFonts w:ascii="Palatino Linotype" w:eastAsia="Palatino Linotype" w:hAnsi="Palatino Linotype" w:cs="Palatino Linotype"/>
          <w:b/>
          <w:i/>
          <w:color w:val="000000" w:themeColor="text1"/>
        </w:rPr>
      </w:pPr>
      <w:r w:rsidRPr="005D5A63">
        <w:rPr>
          <w:rFonts w:ascii="Palatino Linotype" w:eastAsia="Palatino Linotype" w:hAnsi="Palatino Linotype" w:cs="Palatino Linotype"/>
          <w:b/>
          <w:i/>
          <w:color w:val="000000" w:themeColor="text1"/>
        </w:rPr>
        <w:t>IX. Datos personales: La información concerniente a una persona, identificada o identificable según lo dispuesto por la Ley de Protección de Datos Personales del Estado de México;</w:t>
      </w:r>
    </w:p>
    <w:p w:rsidR="00A6087F" w:rsidRPr="005D5A63" w:rsidRDefault="00CA461F" w:rsidP="00363247">
      <w:pPr>
        <w:spacing w:line="360" w:lineRule="auto"/>
        <w:jc w:val="both"/>
        <w:rPr>
          <w:rFonts w:ascii="Palatino Linotype" w:eastAsia="Palatino Linotype" w:hAnsi="Palatino Linotype" w:cs="Palatino Linotype"/>
          <w:b/>
          <w:i/>
          <w:color w:val="000000" w:themeColor="text1"/>
        </w:rPr>
      </w:pPr>
      <w:r w:rsidRPr="005D5A63">
        <w:rPr>
          <w:rFonts w:ascii="Palatino Linotype" w:eastAsia="Palatino Linotype" w:hAnsi="Palatino Linotype" w:cs="Palatino Linotype"/>
          <w:b/>
          <w:i/>
          <w:color w:val="000000" w:themeColor="text1"/>
        </w:rPr>
        <w:t>[…]</w:t>
      </w:r>
    </w:p>
    <w:p w:rsidR="00A6087F" w:rsidRPr="005D5A63" w:rsidRDefault="00CA461F" w:rsidP="00363247">
      <w:pPr>
        <w:spacing w:line="360" w:lineRule="auto"/>
        <w:jc w:val="both"/>
        <w:rPr>
          <w:rFonts w:ascii="Palatino Linotype" w:eastAsia="Palatino Linotype" w:hAnsi="Palatino Linotype" w:cs="Palatino Linotype"/>
          <w:b/>
          <w:i/>
          <w:color w:val="000000" w:themeColor="text1"/>
        </w:rPr>
      </w:pPr>
      <w:r w:rsidRPr="005D5A63">
        <w:rPr>
          <w:rFonts w:ascii="Palatino Linotype" w:eastAsia="Palatino Linotype" w:hAnsi="Palatino Linotype" w:cs="Palatino Linotype"/>
          <w:b/>
          <w:i/>
          <w:color w:val="000000" w:themeColor="text1"/>
        </w:rPr>
        <w:t>XLV. Versión pública: Documento en el que se elimine, suprime o borra la información clasificada como reservada o confidencial para permitir su acceso.</w:t>
      </w:r>
    </w:p>
    <w:p w:rsidR="00A6087F" w:rsidRPr="005D5A63" w:rsidRDefault="00CA461F" w:rsidP="00363247">
      <w:pP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Artículo 122. La clasificación es el proceso mediante el cual el sujeto obligado determina que la información en su poder actualiza alguno de los supuestos de reserva o confidencialidad, de conformidad con lo dispuesto en el presente título.</w:t>
      </w:r>
    </w:p>
    <w:p w:rsidR="00A6087F" w:rsidRPr="005D5A63" w:rsidRDefault="00CA461F" w:rsidP="00363247">
      <w:pP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w:t>
      </w:r>
    </w:p>
    <w:p w:rsidR="00A6087F" w:rsidRPr="005D5A63" w:rsidRDefault="00CA461F" w:rsidP="00363247">
      <w:pP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Artículo 132. La clasificación de la información se llevará a cabo en el momento en que:</w:t>
      </w:r>
    </w:p>
    <w:p w:rsidR="00A6087F" w:rsidRPr="005D5A63" w:rsidRDefault="00CA461F" w:rsidP="00363247">
      <w:pP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t>[…]</w:t>
      </w:r>
    </w:p>
    <w:p w:rsidR="00A6087F" w:rsidRPr="005D5A63" w:rsidRDefault="00CA461F" w:rsidP="00363247">
      <w:pPr>
        <w:spacing w:line="360" w:lineRule="auto"/>
        <w:jc w:val="both"/>
        <w:rPr>
          <w:rFonts w:ascii="Palatino Linotype" w:eastAsia="Palatino Linotype" w:hAnsi="Palatino Linotype" w:cs="Palatino Linotype"/>
          <w:b/>
          <w:i/>
          <w:color w:val="000000" w:themeColor="text1"/>
        </w:rPr>
      </w:pPr>
      <w:r w:rsidRPr="005D5A63">
        <w:rPr>
          <w:rFonts w:ascii="Palatino Linotype" w:eastAsia="Palatino Linotype" w:hAnsi="Palatino Linotype" w:cs="Palatino Linotype"/>
          <w:b/>
          <w:i/>
          <w:color w:val="000000" w:themeColor="text1"/>
        </w:rPr>
        <w:t>III. Se generen versiones públicas para dar cumplimiento a las obligaciones de transparencia previstas en esta Ley.</w:t>
      </w:r>
    </w:p>
    <w:p w:rsidR="00A6087F" w:rsidRPr="005D5A63" w:rsidRDefault="00CA461F" w:rsidP="00363247">
      <w:pPr>
        <w:spacing w:line="360" w:lineRule="auto"/>
        <w:jc w:val="both"/>
        <w:rPr>
          <w:rFonts w:ascii="Palatino Linotype" w:eastAsia="Palatino Linotype" w:hAnsi="Palatino Linotype" w:cs="Palatino Linotype"/>
          <w:b/>
          <w:i/>
          <w:color w:val="000000" w:themeColor="text1"/>
          <w:u w:val="single"/>
        </w:rPr>
      </w:pPr>
      <w:r w:rsidRPr="005D5A63">
        <w:rPr>
          <w:rFonts w:ascii="Palatino Linotype" w:eastAsia="Palatino Linotype" w:hAnsi="Palatino Linotype" w:cs="Palatino Linotype"/>
          <w:b/>
          <w:i/>
          <w:color w:val="000000" w:themeColor="text1"/>
        </w:rPr>
        <w:lastRenderedPageBreak/>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D5A63">
        <w:rPr>
          <w:rFonts w:ascii="Palatino Linotype" w:eastAsia="Palatino Linotype" w:hAnsi="Palatino Linotype" w:cs="Palatino Linotype"/>
          <w:b/>
          <w:i/>
          <w:color w:val="000000" w:themeColor="text1"/>
          <w:u w:val="single"/>
        </w:rPr>
        <w:t>de manera genérica y fundando y motivando su clasificación.</w:t>
      </w:r>
    </w:p>
    <w:p w:rsidR="00A6087F" w:rsidRPr="005D5A63" w:rsidRDefault="00A6087F" w:rsidP="00363247">
      <w:pP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De la interpretación sistemática de los artículos citados, se advierte que el Sujeto Obligado debe realizar la debida reserva de la información por seguir en trámite el procedimiento aludido, siguiendo los requisitos expuestos: </w:t>
      </w:r>
    </w:p>
    <w:p w:rsidR="00A6087F" w:rsidRPr="005D5A63" w:rsidRDefault="00CA461F" w:rsidP="0036324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5D5A63">
        <w:rPr>
          <w:rFonts w:ascii="Palatino Linotype" w:eastAsia="Palatino Linotype" w:hAnsi="Palatino Linotype" w:cs="Palatino Linotype"/>
          <w:b/>
          <w:i/>
          <w:color w:val="000000" w:themeColor="text1"/>
        </w:rPr>
        <w:t>La divulgación de la información representa un riesgo real, demostrable e identificable del perjuicio significativo al interés público o a la seguridad pública;</w:t>
      </w:r>
    </w:p>
    <w:p w:rsidR="00A6087F" w:rsidRPr="005D5A63" w:rsidRDefault="00CA461F" w:rsidP="00363247">
      <w:pPr>
        <w:numPr>
          <w:ilvl w:val="0"/>
          <w:numId w:val="2"/>
        </w:numPr>
        <w:pBdr>
          <w:top w:val="nil"/>
          <w:left w:val="nil"/>
          <w:bottom w:val="nil"/>
          <w:right w:val="nil"/>
          <w:between w:val="nil"/>
        </w:pBdr>
        <w:tabs>
          <w:tab w:val="left" w:pos="709"/>
        </w:tabs>
        <w:spacing w:line="360" w:lineRule="auto"/>
        <w:ind w:left="0" w:firstLine="0"/>
        <w:jc w:val="both"/>
        <w:rPr>
          <w:rFonts w:ascii="Palatino Linotype" w:eastAsia="Palatino Linotype" w:hAnsi="Palatino Linotype" w:cs="Palatino Linotype"/>
          <w:b/>
          <w:i/>
          <w:color w:val="000000" w:themeColor="text1"/>
        </w:rPr>
      </w:pPr>
      <w:r w:rsidRPr="005D5A63">
        <w:rPr>
          <w:rFonts w:ascii="Palatino Linotype" w:eastAsia="Palatino Linotype" w:hAnsi="Palatino Linotype" w:cs="Palatino Linotype"/>
          <w:b/>
          <w:i/>
          <w:color w:val="000000" w:themeColor="text1"/>
        </w:rPr>
        <w:t>El riesgo de perjuicio que supondría la divulgación supera el interés público general de que se difunda; y</w:t>
      </w:r>
    </w:p>
    <w:p w:rsidR="00A6087F" w:rsidRPr="005D5A63" w:rsidRDefault="00CA461F" w:rsidP="00363247">
      <w:pPr>
        <w:numPr>
          <w:ilvl w:val="0"/>
          <w:numId w:val="2"/>
        </w:numPr>
        <w:pBdr>
          <w:top w:val="nil"/>
          <w:left w:val="nil"/>
          <w:bottom w:val="nil"/>
          <w:right w:val="nil"/>
          <w:between w:val="nil"/>
        </w:pBdr>
        <w:tabs>
          <w:tab w:val="left" w:pos="709"/>
        </w:tabs>
        <w:spacing w:line="360" w:lineRule="auto"/>
        <w:ind w:left="0" w:firstLine="0"/>
        <w:jc w:val="both"/>
        <w:rPr>
          <w:rFonts w:ascii="Palatino Linotype" w:eastAsia="Palatino Linotype" w:hAnsi="Palatino Linotype" w:cs="Palatino Linotype"/>
          <w:b/>
          <w:i/>
          <w:color w:val="000000" w:themeColor="text1"/>
        </w:rPr>
      </w:pPr>
      <w:r w:rsidRPr="005D5A63">
        <w:rPr>
          <w:rFonts w:ascii="Palatino Linotype" w:eastAsia="Palatino Linotype" w:hAnsi="Palatino Linotype" w:cs="Palatino Linotype"/>
          <w:b/>
          <w:i/>
          <w:color w:val="000000" w:themeColor="text1"/>
        </w:rPr>
        <w:t>La limitación se adecua al principio de proporcionalidad y representa el medio menos restrictivo disponible representa el medio menos restrictivo disponible para evitar el perjuicio.</w:t>
      </w:r>
    </w:p>
    <w:p w:rsidR="00A6087F" w:rsidRPr="005D5A63" w:rsidRDefault="00A6087F" w:rsidP="00363247">
      <w:pP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A6087F" w:rsidRPr="005D5A63" w:rsidRDefault="00A6087F" w:rsidP="00363247">
      <w:pP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spacing w:line="360" w:lineRule="auto"/>
        <w:jc w:val="both"/>
        <w:rPr>
          <w:rFonts w:ascii="Palatino Linotype" w:eastAsia="Palatino Linotype" w:hAnsi="Palatino Linotype" w:cs="Palatino Linotype"/>
          <w:b/>
          <w:i/>
          <w:color w:val="000000" w:themeColor="text1"/>
        </w:rPr>
      </w:pPr>
      <w:r w:rsidRPr="005D5A63">
        <w:rPr>
          <w:rFonts w:ascii="Palatino Linotype" w:eastAsia="Palatino Linotype" w:hAnsi="Palatino Linotype" w:cs="Palatino Linotype"/>
          <w:b/>
          <w:i/>
          <w:color w:val="000000" w:themeColor="text1"/>
        </w:rPr>
        <w:lastRenderedPageBreak/>
        <w:t>FUNDAMENTACIÓN Y MOTIVACIÓN. EL ASPECTO FORMAL DE LA GARANTÍA Y SU FINALIDAD SE TRADUCEN EN EXPLICAR, JUSTIFICAR, POSIBILITAR LA DEFENSA Y COMUNICAR LA DECISIÓN.</w:t>
      </w:r>
    </w:p>
    <w:p w:rsidR="00A6087F" w:rsidRPr="005D5A63" w:rsidRDefault="00CA461F" w:rsidP="00363247">
      <w:pPr>
        <w:spacing w:line="360" w:lineRule="auto"/>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i/>
          <w:color w:val="000000" w:themeColor="text1"/>
        </w:rPr>
        <w:br/>
        <w:t>El contenido formal de la garantía de legalidad prevista en el artículo </w:t>
      </w:r>
      <w:hyperlink r:id="rId12">
        <w:r w:rsidRPr="005D5A63">
          <w:rPr>
            <w:rFonts w:ascii="Palatino Linotype" w:eastAsia="Palatino Linotype" w:hAnsi="Palatino Linotype" w:cs="Palatino Linotype"/>
            <w:i/>
            <w:color w:val="000000" w:themeColor="text1"/>
          </w:rPr>
          <w:t>16 constitucional</w:t>
        </w:r>
      </w:hyperlink>
      <w:r w:rsidRPr="005D5A63">
        <w:rPr>
          <w:rFonts w:ascii="Palatino Linotype" w:eastAsia="Palatino Linotype" w:hAnsi="Palatino Linotype" w:cs="Palatino Linotype"/>
          <w:i/>
          <w:color w:val="000000" w:themeColor="text1"/>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A6087F" w:rsidRPr="005D5A63" w:rsidRDefault="00A6087F" w:rsidP="00363247">
      <w:pPr>
        <w:spacing w:line="360" w:lineRule="auto"/>
        <w:jc w:val="both"/>
        <w:rPr>
          <w:rFonts w:ascii="Palatino Linotype" w:eastAsia="Palatino Linotype" w:hAnsi="Palatino Linotype" w:cs="Palatino Linotype"/>
          <w:i/>
          <w:color w:val="000000" w:themeColor="text1"/>
        </w:rPr>
      </w:pPr>
    </w:p>
    <w:p w:rsidR="00A6087F" w:rsidRPr="005D5A63" w:rsidRDefault="00CA461F" w:rsidP="0036324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Asimismo 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w:t>
      </w:r>
      <w:r w:rsidRPr="005D5A63">
        <w:rPr>
          <w:rFonts w:ascii="Palatino Linotype" w:eastAsia="Palatino Linotype" w:hAnsi="Palatino Linotype" w:cs="Palatino Linotype"/>
          <w:color w:val="000000" w:themeColor="text1"/>
        </w:rPr>
        <w:lastRenderedPageBreak/>
        <w:t xml:space="preserve">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A6087F" w:rsidRPr="005D5A63" w:rsidRDefault="00A6087F" w:rsidP="00363247">
      <w:pP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A6087F" w:rsidRPr="005D5A63" w:rsidRDefault="00A6087F" w:rsidP="00363247">
      <w:pP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Así, los LINEAMIENTOS GENERALES EN MATERIA DE CLASIFICACIÓN Y DESCLASIFICACIÓN DE LA INFORMACIÓN, ASÍ COMO PARA LA ELABORACIÓN DE VERSIONES PÚBLICAS, emitidos por el Sistema Nacional de Transparencia, señalan con claridad cuáles son aquellos datos personales que deben ser clasificados al momento de la elaboración de las versiones públicas. </w:t>
      </w:r>
    </w:p>
    <w:p w:rsidR="00A6087F" w:rsidRPr="005D5A63" w:rsidRDefault="00A6087F" w:rsidP="00363247">
      <w:pP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Efectivamente, cuando se clasifica información como confidencial o reservada es deber someterlo al Comité de Información,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w:t>
      </w:r>
      <w:r w:rsidRPr="005D5A63">
        <w:rPr>
          <w:rFonts w:ascii="Palatino Linotype" w:eastAsia="Palatino Linotype" w:hAnsi="Palatino Linotype" w:cs="Palatino Linotype"/>
          <w:color w:val="000000" w:themeColor="text1"/>
        </w:rPr>
        <w:lastRenderedPageBreak/>
        <w:t>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A6087F" w:rsidRPr="005D5A63" w:rsidRDefault="00A6087F" w:rsidP="00363247">
      <w:pP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No pasa desapercibido para este Órgano Garante que los </w:t>
      </w:r>
      <w:r w:rsidRPr="005D5A63">
        <w:rPr>
          <w:rFonts w:ascii="Palatino Linotype" w:eastAsia="Palatino Linotype" w:hAnsi="Palatino Linotype" w:cs="Palatino Linotype"/>
          <w:b/>
          <w:color w:val="000000" w:themeColor="text1"/>
        </w:rPr>
        <w:t xml:space="preserve">Sujetos Obligados </w:t>
      </w:r>
      <w:r w:rsidRPr="005D5A63">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A6087F" w:rsidRPr="005D5A63" w:rsidRDefault="00A6087F" w:rsidP="00363247">
      <w:pPr>
        <w:spacing w:line="360" w:lineRule="auto"/>
        <w:jc w:val="both"/>
        <w:rPr>
          <w:rFonts w:ascii="Palatino Linotype" w:eastAsia="Palatino Linotype" w:hAnsi="Palatino Linotype" w:cs="Palatino Linotype"/>
          <w:color w:val="000000" w:themeColor="text1"/>
        </w:rPr>
      </w:pPr>
    </w:p>
    <w:tbl>
      <w:tblPr>
        <w:tblStyle w:val="a"/>
        <w:tblW w:w="935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662"/>
      </w:tblGrid>
      <w:tr w:rsidR="00363247" w:rsidRPr="005D5A63" w:rsidTr="00DA09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A6087F" w:rsidRPr="005D5A63" w:rsidRDefault="00CA461F" w:rsidP="00363247">
            <w:pPr>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a) Requisitos previos.</w:t>
            </w:r>
          </w:p>
        </w:tc>
        <w:tc>
          <w:tcPr>
            <w:tcW w:w="6662" w:type="dxa"/>
          </w:tcPr>
          <w:p w:rsidR="00A6087F" w:rsidRPr="005D5A63" w:rsidRDefault="00CA461F" w:rsidP="00363247">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b w:val="0"/>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A6087F" w:rsidRPr="005D5A63" w:rsidRDefault="00CA461F" w:rsidP="00363247">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b w:val="0"/>
                <w:color w:val="000000" w:themeColor="text1"/>
              </w:rPr>
              <w:t>Al hacerlo tienen que precisar de qué información se trata, señalando el supuesto de clasificación (confidencialidad o reserva).</w:t>
            </w:r>
          </w:p>
          <w:p w:rsidR="00A6087F" w:rsidRPr="005D5A63" w:rsidRDefault="00CA461F" w:rsidP="00363247">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b w:val="0"/>
                <w:color w:val="000000" w:themeColor="text1"/>
              </w:rPr>
              <w:t>Además, se debe señalar el procedimiento, de los tres que establecen los artículos 132 y 106 de la Ley Estatal y General, respectivamente.</w:t>
            </w:r>
          </w:p>
          <w:p w:rsidR="00A6087F" w:rsidRPr="005D5A63" w:rsidRDefault="00CA461F" w:rsidP="00363247">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b w:val="0"/>
                <w:color w:val="000000" w:themeColor="text1"/>
              </w:rPr>
              <w:t xml:space="preserve">El último de estos requisitos previos consiste en que no se pueden emitir acuerdos de carácter general ni particular, esto </w:t>
            </w:r>
            <w:r w:rsidRPr="005D5A63">
              <w:rPr>
                <w:rFonts w:ascii="Palatino Linotype" w:eastAsia="Palatino Linotype" w:hAnsi="Palatino Linotype" w:cs="Palatino Linotype"/>
                <w:b w:val="0"/>
                <w:color w:val="000000" w:themeColor="text1"/>
              </w:rPr>
              <w:lastRenderedPageBreak/>
              <w:t xml:space="preserve">es, </w:t>
            </w:r>
            <w:r w:rsidRPr="005D5A63">
              <w:rPr>
                <w:rFonts w:ascii="Palatino Linotype" w:eastAsia="Palatino Linotype" w:hAnsi="Palatino Linotype" w:cs="Palatino Linotype"/>
                <w:b w:val="0"/>
                <w:color w:val="000000" w:themeColor="text1"/>
                <w:u w:val="single"/>
              </w:rPr>
              <w:t>no se puede hacer un acuerdo para clasificar de manera general todos los documentos de un expediente o área, sin</w:t>
            </w:r>
            <w:r w:rsidRPr="005D5A63">
              <w:rPr>
                <w:rFonts w:ascii="Palatino Linotype" w:eastAsia="Palatino Linotype" w:hAnsi="Palatino Linotype" w:cs="Palatino Linotype"/>
                <w:b w:val="0"/>
                <w:color w:val="000000" w:themeColor="text1"/>
              </w:rPr>
              <w:t xml:space="preserve"> individualizar su análisis y tampoco se puede hacer un acuerdo por cada dato que se vaya a clasificar dentro de un documento con diez datos, por ejemplo, susceptibles de ser clasificados.</w:t>
            </w:r>
          </w:p>
          <w:p w:rsidR="00A6087F" w:rsidRPr="005D5A63" w:rsidRDefault="00A6087F" w:rsidP="00363247">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r>
      <w:tr w:rsidR="00363247" w:rsidRPr="005D5A63" w:rsidTr="00DA0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A6087F" w:rsidRPr="005D5A63" w:rsidRDefault="00CA461F" w:rsidP="00363247">
            <w:pPr>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lastRenderedPageBreak/>
              <w:t>b) Supuestos de clasificación.</w:t>
            </w:r>
          </w:p>
        </w:tc>
        <w:tc>
          <w:tcPr>
            <w:tcW w:w="6662" w:type="dxa"/>
          </w:tcPr>
          <w:p w:rsidR="00A6087F" w:rsidRPr="005D5A63" w:rsidRDefault="00CA461F" w:rsidP="00363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A6087F" w:rsidRPr="005D5A63" w:rsidRDefault="00CA461F" w:rsidP="00363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6087F" w:rsidRPr="005D5A63" w:rsidRDefault="00CA461F" w:rsidP="00363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El </w:t>
            </w:r>
            <w:r w:rsidRPr="005D5A63">
              <w:rPr>
                <w:rFonts w:ascii="Palatino Linotype" w:eastAsia="Palatino Linotype" w:hAnsi="Palatino Linotype" w:cs="Palatino Linotype"/>
                <w:b/>
                <w:color w:val="000000" w:themeColor="text1"/>
              </w:rPr>
              <w:t>Sujeto Obligado</w:t>
            </w:r>
            <w:r w:rsidRPr="005D5A63">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A6087F" w:rsidRPr="005D5A63" w:rsidRDefault="00A6087F" w:rsidP="00363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r>
      <w:tr w:rsidR="00363247" w:rsidRPr="005D5A63" w:rsidTr="00DA0935">
        <w:tc>
          <w:tcPr>
            <w:cnfStyle w:val="001000000000" w:firstRow="0" w:lastRow="0" w:firstColumn="1" w:lastColumn="0" w:oddVBand="0" w:evenVBand="0" w:oddHBand="0" w:evenHBand="0" w:firstRowFirstColumn="0" w:firstRowLastColumn="0" w:lastRowFirstColumn="0" w:lastRowLastColumn="0"/>
            <w:tcW w:w="2689" w:type="dxa"/>
          </w:tcPr>
          <w:p w:rsidR="00A6087F" w:rsidRPr="005D5A63" w:rsidRDefault="00CA461F" w:rsidP="00363247">
            <w:pPr>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c) Formalidades para emitir el acuerdo de clasificación.</w:t>
            </w:r>
          </w:p>
        </w:tc>
        <w:tc>
          <w:tcPr>
            <w:tcW w:w="6662" w:type="dxa"/>
          </w:tcPr>
          <w:p w:rsidR="00A6087F" w:rsidRPr="005D5A63" w:rsidRDefault="00CA461F" w:rsidP="0036324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A6087F" w:rsidRPr="005D5A63" w:rsidRDefault="00CA461F" w:rsidP="0036324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Es necesario que </w:t>
            </w:r>
            <w:r w:rsidRPr="005D5A63">
              <w:rPr>
                <w:rFonts w:ascii="Palatino Linotype" w:eastAsia="Palatino Linotype" w:hAnsi="Palatino Linotype" w:cs="Palatino Linotype"/>
                <w:b/>
                <w:color w:val="000000" w:themeColor="text1"/>
                <w:u w:val="single"/>
              </w:rPr>
              <w:t>el acto reúna con los requisitos elementales</w:t>
            </w:r>
            <w:r w:rsidRPr="005D5A63">
              <w:rPr>
                <w:rFonts w:ascii="Palatino Linotype" w:eastAsia="Palatino Linotype" w:hAnsi="Palatino Linotype" w:cs="Palatino Linotype"/>
                <w:color w:val="000000" w:themeColor="text1"/>
              </w:rPr>
              <w:t>, entre ellos, que la autoridad que va a emitir el acto de autoridad sea la legalmente facultada para ello.</w:t>
            </w:r>
          </w:p>
          <w:p w:rsidR="00A6087F" w:rsidRPr="005D5A63" w:rsidRDefault="00CA461F" w:rsidP="0036324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w:t>
            </w:r>
            <w:r w:rsidRPr="005D5A63">
              <w:rPr>
                <w:rFonts w:ascii="Palatino Linotype" w:eastAsia="Palatino Linotype" w:hAnsi="Palatino Linotype" w:cs="Palatino Linotype"/>
                <w:color w:val="000000" w:themeColor="text1"/>
              </w:rPr>
              <w:lastRenderedPageBreak/>
              <w:t>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A6087F" w:rsidRPr="005D5A63" w:rsidRDefault="00A6087F" w:rsidP="0036324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r>
      <w:tr w:rsidR="00363247" w:rsidRPr="005D5A63" w:rsidTr="00DA0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A6087F" w:rsidRPr="005D5A63" w:rsidRDefault="00A6087F" w:rsidP="00363247">
            <w:pPr>
              <w:rPr>
                <w:rFonts w:ascii="Palatino Linotype" w:eastAsia="Palatino Linotype" w:hAnsi="Palatino Linotype" w:cs="Palatino Linotype"/>
                <w:color w:val="000000" w:themeColor="text1"/>
              </w:rPr>
            </w:pPr>
          </w:p>
          <w:p w:rsidR="00A6087F" w:rsidRPr="005D5A63" w:rsidRDefault="00CA461F" w:rsidP="00363247">
            <w:pPr>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d) Requisitos de fondo del acuerdo de clasificación. </w:t>
            </w:r>
          </w:p>
        </w:tc>
        <w:tc>
          <w:tcPr>
            <w:tcW w:w="6662" w:type="dxa"/>
          </w:tcPr>
          <w:p w:rsidR="00A6087F" w:rsidRPr="005D5A63" w:rsidRDefault="00CA461F" w:rsidP="00363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D5A63">
              <w:rPr>
                <w:rFonts w:ascii="Palatino Linotype" w:eastAsia="Palatino Linotype" w:hAnsi="Palatino Linotype" w:cs="Palatino Linotype"/>
                <w:b/>
                <w:color w:val="000000" w:themeColor="text1"/>
              </w:rPr>
              <w:t>Sujetos Obligados</w:t>
            </w:r>
            <w:r w:rsidRPr="005D5A63">
              <w:rPr>
                <w:rFonts w:ascii="Palatino Linotype" w:eastAsia="Palatino Linotype" w:hAnsi="Palatino Linotype" w:cs="Palatino Linotype"/>
                <w:color w:val="000000" w:themeColor="text1"/>
              </w:rPr>
              <w:t xml:space="preserve">, por lo que deberán fundar y motivar debidamente la clasificación. </w:t>
            </w:r>
          </w:p>
          <w:p w:rsidR="00A6087F" w:rsidRPr="005D5A63" w:rsidRDefault="00CA461F" w:rsidP="00363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De lo anterior, se desprende que para una correcta </w:t>
            </w:r>
            <w:r w:rsidRPr="005D5A63">
              <w:rPr>
                <w:rFonts w:ascii="Palatino Linotype" w:eastAsia="Palatino Linotype" w:hAnsi="Palatino Linotype" w:cs="Palatino Linotype"/>
                <w:b/>
                <w:color w:val="000000" w:themeColor="text1"/>
              </w:rPr>
              <w:t>clasificación total o parcial</w:t>
            </w:r>
            <w:r w:rsidRPr="005D5A63">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6087F" w:rsidRPr="005D5A63" w:rsidRDefault="00CA461F" w:rsidP="00363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6087F" w:rsidRPr="005D5A63" w:rsidRDefault="00CA461F" w:rsidP="00363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En ese mismo sentido, el numeral trigésimo tercero fracción V de los Lineamientos Generales, precisa que para motivar la </w:t>
            </w:r>
            <w:r w:rsidRPr="005D5A63">
              <w:rPr>
                <w:rFonts w:ascii="Palatino Linotype" w:eastAsia="Palatino Linotype" w:hAnsi="Palatino Linotype" w:cs="Palatino Linotype"/>
                <w:color w:val="000000" w:themeColor="text1"/>
              </w:rPr>
              <w:lastRenderedPageBreak/>
              <w:t>clasificación se deben acreditar las circunstancias de tiempo, modo y lugar.</w:t>
            </w:r>
          </w:p>
          <w:p w:rsidR="00A6087F" w:rsidRPr="005D5A63" w:rsidRDefault="00CA461F" w:rsidP="00363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Ahora bien, </w:t>
            </w:r>
            <w:r w:rsidRPr="005D5A63">
              <w:rPr>
                <w:rFonts w:ascii="Palatino Linotype" w:eastAsia="Palatino Linotype" w:hAnsi="Palatino Linotype" w:cs="Palatino Linotype"/>
                <w:b/>
                <w:color w:val="000000" w:themeColor="text1"/>
                <w:u w:val="single"/>
              </w:rPr>
              <w:t>para cada caso además de fundar y motivar</w:t>
            </w:r>
            <w:r w:rsidRPr="005D5A63">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A6087F" w:rsidRPr="005D5A63" w:rsidRDefault="00A6087F" w:rsidP="00363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r>
      <w:tr w:rsidR="00363247" w:rsidRPr="005D5A63" w:rsidTr="00DA0935">
        <w:tc>
          <w:tcPr>
            <w:cnfStyle w:val="001000000000" w:firstRow="0" w:lastRow="0" w:firstColumn="1" w:lastColumn="0" w:oddVBand="0" w:evenVBand="0" w:oddHBand="0" w:evenHBand="0" w:firstRowFirstColumn="0" w:firstRowLastColumn="0" w:lastRowFirstColumn="0" w:lastRowLastColumn="0"/>
            <w:tcW w:w="2689" w:type="dxa"/>
          </w:tcPr>
          <w:p w:rsidR="00A6087F" w:rsidRPr="005D5A63" w:rsidRDefault="00CA461F" w:rsidP="00363247">
            <w:pPr>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b w:val="0"/>
                <w:color w:val="000000" w:themeColor="text1"/>
              </w:rPr>
              <w:lastRenderedPageBreak/>
              <w:t>e</w:t>
            </w:r>
            <w:r w:rsidRPr="005D5A63">
              <w:rPr>
                <w:rFonts w:ascii="Palatino Linotype" w:eastAsia="Palatino Linotype" w:hAnsi="Palatino Linotype" w:cs="Palatino Linotype"/>
                <w:color w:val="000000" w:themeColor="text1"/>
              </w:rPr>
              <w:t xml:space="preserve">) Condiciones especiales de la clasificación de la información como confidencial. </w:t>
            </w:r>
          </w:p>
        </w:tc>
        <w:tc>
          <w:tcPr>
            <w:tcW w:w="6662" w:type="dxa"/>
          </w:tcPr>
          <w:p w:rsidR="00A6087F" w:rsidRPr="005D5A63" w:rsidRDefault="00CA461F" w:rsidP="0036324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A6087F" w:rsidRPr="005D5A63" w:rsidRDefault="00CA461F" w:rsidP="0036324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6087F" w:rsidRPr="005D5A63" w:rsidRDefault="00CA461F" w:rsidP="00363247">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6087F" w:rsidRPr="005D5A63" w:rsidRDefault="00A6087F" w:rsidP="00363247">
      <w:pP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5D5A63">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A6087F" w:rsidRDefault="00CA461F" w:rsidP="0036324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9" w:name="_heading=h.90wlwp8cthr0" w:colFirst="0" w:colLast="0"/>
      <w:bookmarkEnd w:id="9"/>
      <w:r w:rsidRPr="005D5A63">
        <w:rPr>
          <w:rFonts w:ascii="Palatino Linotype" w:eastAsia="Palatino Linotype" w:hAnsi="Palatino Linotype" w:cs="Palatino Linotype"/>
          <w:color w:val="000000" w:themeColor="text1"/>
        </w:rPr>
        <w:lastRenderedPageBreak/>
        <w:t xml:space="preserve">Lo anterior a colación del eventual procesamiento que se pretende, ya mencionado. Por lo anteriormente expuesto y fundado, este </w:t>
      </w:r>
      <w:r w:rsidRPr="005D5A63">
        <w:rPr>
          <w:rFonts w:ascii="Palatino Linotype" w:eastAsia="Palatino Linotype" w:hAnsi="Palatino Linotype" w:cs="Palatino Linotype"/>
          <w:b/>
          <w:color w:val="000000" w:themeColor="text1"/>
        </w:rPr>
        <w:t>ÓRGANO GARANTE</w:t>
      </w:r>
      <w:r w:rsidRPr="005D5A63">
        <w:rPr>
          <w:rFonts w:ascii="Palatino Linotype" w:eastAsia="Palatino Linotype" w:hAnsi="Palatino Linotype" w:cs="Palatino Linotype"/>
          <w:color w:val="000000" w:themeColor="text1"/>
        </w:rPr>
        <w:t xml:space="preserve"> emite los siguientes: </w:t>
      </w:r>
    </w:p>
    <w:p w:rsidR="00DA0935" w:rsidRPr="005D5A63" w:rsidRDefault="00DA0935" w:rsidP="00DA093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pStyle w:val="Ttulo1"/>
        <w:spacing w:before="0" w:line="360" w:lineRule="auto"/>
        <w:jc w:val="center"/>
        <w:rPr>
          <w:b w:val="0"/>
          <w:color w:val="000000" w:themeColor="text1"/>
        </w:rPr>
      </w:pPr>
      <w:r w:rsidRPr="005D5A63">
        <w:rPr>
          <w:color w:val="000000" w:themeColor="text1"/>
        </w:rPr>
        <w:t>R E S O L U T I V O S</w:t>
      </w:r>
    </w:p>
    <w:p w:rsidR="00A6087F" w:rsidRPr="005D5A63" w:rsidRDefault="00A6087F" w:rsidP="00363247">
      <w:pPr>
        <w:spacing w:line="360" w:lineRule="auto"/>
        <w:rPr>
          <w:rFonts w:ascii="Palatino Linotype" w:eastAsia="Palatino Linotype" w:hAnsi="Palatino Linotype" w:cs="Palatino Linotype"/>
          <w:color w:val="000000" w:themeColor="text1"/>
        </w:rPr>
      </w:pPr>
    </w:p>
    <w:p w:rsidR="00A6087F" w:rsidRPr="005D5A63" w:rsidRDefault="00CA461F" w:rsidP="00363247">
      <w:pPr>
        <w:spacing w:line="360" w:lineRule="auto"/>
        <w:jc w:val="both"/>
        <w:rPr>
          <w:rFonts w:ascii="Palatino Linotype" w:eastAsia="Palatino Linotype" w:hAnsi="Palatino Linotype" w:cs="Palatino Linotype"/>
          <w:color w:val="000000" w:themeColor="text1"/>
        </w:rPr>
      </w:pPr>
      <w:bookmarkStart w:id="10" w:name="_heading=h.o1t60lqtjwn6" w:colFirst="0" w:colLast="0"/>
      <w:bookmarkEnd w:id="10"/>
      <w:r w:rsidRPr="005D5A63">
        <w:rPr>
          <w:rFonts w:ascii="Palatino Linotype" w:eastAsia="Palatino Linotype" w:hAnsi="Palatino Linotype" w:cs="Palatino Linotype"/>
          <w:b/>
          <w:color w:val="000000" w:themeColor="text1"/>
        </w:rPr>
        <w:t>PRIMERO</w:t>
      </w:r>
      <w:r w:rsidRPr="005D5A63">
        <w:rPr>
          <w:rFonts w:ascii="Palatino Linotype" w:eastAsia="Palatino Linotype" w:hAnsi="Palatino Linotype" w:cs="Palatino Linotype"/>
          <w:color w:val="000000" w:themeColor="text1"/>
        </w:rPr>
        <w:t>. Resultan fundadas las</w:t>
      </w:r>
      <w:r w:rsidRPr="005D5A63">
        <w:rPr>
          <w:rFonts w:ascii="Palatino Linotype" w:eastAsia="Palatino Linotype" w:hAnsi="Palatino Linotype" w:cs="Palatino Linotype"/>
          <w:b/>
          <w:color w:val="000000" w:themeColor="text1"/>
        </w:rPr>
        <w:t xml:space="preserve"> </w:t>
      </w:r>
      <w:r w:rsidRPr="005D5A63">
        <w:rPr>
          <w:rFonts w:ascii="Palatino Linotype" w:eastAsia="Palatino Linotype" w:hAnsi="Palatino Linotype" w:cs="Palatino Linotype"/>
          <w:color w:val="000000" w:themeColor="text1"/>
        </w:rPr>
        <w:t>razones o motivos de inconformidad hechos valer en los Recursos de Revisión</w:t>
      </w:r>
      <w:r w:rsidRPr="005D5A63">
        <w:rPr>
          <w:rFonts w:ascii="Palatino Linotype" w:eastAsia="Palatino Linotype" w:hAnsi="Palatino Linotype" w:cs="Palatino Linotype"/>
          <w:b/>
          <w:color w:val="000000" w:themeColor="text1"/>
        </w:rPr>
        <w:t xml:space="preserve"> 08093/INFOEM/IP/RR/2025, 08094/INFOEM/IP/RR/2025, 08095/INFOEM/IP/RR/2025, 08096/INFOEM/IP/RR/2025, 08097/INFOEM/IP/RR/2025 </w:t>
      </w:r>
      <w:r w:rsidRPr="005D5A63">
        <w:rPr>
          <w:rFonts w:ascii="Palatino Linotype" w:eastAsia="Palatino Linotype" w:hAnsi="Palatino Linotype" w:cs="Palatino Linotype"/>
          <w:color w:val="000000" w:themeColor="text1"/>
        </w:rPr>
        <w:t>y</w:t>
      </w:r>
      <w:r w:rsidRPr="005D5A63">
        <w:rPr>
          <w:rFonts w:ascii="Palatino Linotype" w:eastAsia="Palatino Linotype" w:hAnsi="Palatino Linotype" w:cs="Palatino Linotype"/>
          <w:b/>
          <w:color w:val="000000" w:themeColor="text1"/>
        </w:rPr>
        <w:t xml:space="preserve"> 08098/INFOEM/IP/RR/2025 </w:t>
      </w:r>
      <w:r w:rsidRPr="005D5A63">
        <w:rPr>
          <w:rFonts w:ascii="Palatino Linotype" w:eastAsia="Palatino Linotype" w:hAnsi="Palatino Linotype" w:cs="Palatino Linotype"/>
          <w:color w:val="000000" w:themeColor="text1"/>
        </w:rPr>
        <w:t>acumulados,</w:t>
      </w:r>
      <w:r w:rsidRPr="005D5A63">
        <w:rPr>
          <w:rFonts w:ascii="Palatino Linotype" w:eastAsia="Palatino Linotype" w:hAnsi="Palatino Linotype" w:cs="Palatino Linotype"/>
          <w:b/>
          <w:color w:val="000000" w:themeColor="text1"/>
        </w:rPr>
        <w:t xml:space="preserve"> </w:t>
      </w:r>
      <w:r w:rsidRPr="005D5A63">
        <w:rPr>
          <w:rFonts w:ascii="Palatino Linotype" w:eastAsia="Palatino Linotype" w:hAnsi="Palatino Linotype" w:cs="Palatino Linotype"/>
          <w:color w:val="000000" w:themeColor="text1"/>
        </w:rPr>
        <w:t xml:space="preserve">en términos de los </w:t>
      </w:r>
      <w:r w:rsidRPr="005D5A63">
        <w:rPr>
          <w:rFonts w:ascii="Palatino Linotype" w:eastAsia="Palatino Linotype" w:hAnsi="Palatino Linotype" w:cs="Palatino Linotype"/>
          <w:b/>
          <w:color w:val="000000" w:themeColor="text1"/>
        </w:rPr>
        <w:t>Considerandos</w:t>
      </w:r>
      <w:r w:rsidRPr="005D5A63">
        <w:rPr>
          <w:rFonts w:ascii="Palatino Linotype" w:eastAsia="Palatino Linotype" w:hAnsi="Palatino Linotype" w:cs="Palatino Linotype"/>
          <w:color w:val="000000" w:themeColor="text1"/>
        </w:rPr>
        <w:t xml:space="preserve"> </w:t>
      </w:r>
      <w:r w:rsidRPr="005D5A63">
        <w:rPr>
          <w:rFonts w:ascii="Palatino Linotype" w:eastAsia="Palatino Linotype" w:hAnsi="Palatino Linotype" w:cs="Palatino Linotype"/>
          <w:b/>
          <w:color w:val="000000" w:themeColor="text1"/>
        </w:rPr>
        <w:t>CUARTO</w:t>
      </w:r>
      <w:r w:rsidRPr="005D5A63">
        <w:rPr>
          <w:rFonts w:ascii="Palatino Linotype" w:eastAsia="Palatino Linotype" w:hAnsi="Palatino Linotype" w:cs="Palatino Linotype"/>
          <w:color w:val="000000" w:themeColor="text1"/>
        </w:rPr>
        <w:t xml:space="preserve"> y</w:t>
      </w:r>
      <w:r w:rsidRPr="005D5A63">
        <w:rPr>
          <w:rFonts w:ascii="Palatino Linotype" w:eastAsia="Palatino Linotype" w:hAnsi="Palatino Linotype" w:cs="Palatino Linotype"/>
          <w:b/>
          <w:color w:val="000000" w:themeColor="text1"/>
        </w:rPr>
        <w:t xml:space="preserve"> QUINTO </w:t>
      </w:r>
      <w:r w:rsidRPr="005D5A63">
        <w:rPr>
          <w:rFonts w:ascii="Palatino Linotype" w:eastAsia="Palatino Linotype" w:hAnsi="Palatino Linotype" w:cs="Palatino Linotype"/>
          <w:color w:val="000000" w:themeColor="text1"/>
        </w:rPr>
        <w:t>de la presente Resolución.</w:t>
      </w:r>
    </w:p>
    <w:p w:rsidR="00A6087F" w:rsidRPr="005D5A63" w:rsidRDefault="00A6087F" w:rsidP="00363247">
      <w:pP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spacing w:line="360" w:lineRule="auto"/>
        <w:jc w:val="both"/>
        <w:rPr>
          <w:rFonts w:ascii="Palatino Linotype" w:eastAsia="Palatino Linotype" w:hAnsi="Palatino Linotype" w:cs="Palatino Linotype"/>
          <w:b/>
          <w:color w:val="000000" w:themeColor="text1"/>
        </w:rPr>
      </w:pPr>
      <w:r w:rsidRPr="005D5A63">
        <w:rPr>
          <w:rFonts w:ascii="Palatino Linotype" w:eastAsia="Palatino Linotype" w:hAnsi="Palatino Linotype" w:cs="Palatino Linotype"/>
          <w:b/>
          <w:color w:val="000000" w:themeColor="text1"/>
        </w:rPr>
        <w:t>SEGUNDO.</w:t>
      </w:r>
      <w:r w:rsidRPr="005D5A63">
        <w:rPr>
          <w:rFonts w:ascii="Palatino Linotype" w:eastAsia="Palatino Linotype" w:hAnsi="Palatino Linotype" w:cs="Palatino Linotype"/>
          <w:color w:val="000000" w:themeColor="text1"/>
        </w:rPr>
        <w:t xml:space="preserve"> Se</w:t>
      </w:r>
      <w:r w:rsidRPr="005D5A63">
        <w:rPr>
          <w:rFonts w:ascii="Palatino Linotype" w:eastAsia="Palatino Linotype" w:hAnsi="Palatino Linotype" w:cs="Palatino Linotype"/>
          <w:b/>
          <w:color w:val="000000" w:themeColor="text1"/>
        </w:rPr>
        <w:t xml:space="preserve"> REVOCAN </w:t>
      </w:r>
      <w:r w:rsidRPr="005D5A63">
        <w:rPr>
          <w:rFonts w:ascii="Palatino Linotype" w:eastAsia="Palatino Linotype" w:hAnsi="Palatino Linotype" w:cs="Palatino Linotype"/>
          <w:color w:val="000000" w:themeColor="text1"/>
        </w:rPr>
        <w:t xml:space="preserve">las respuestas emitidas por el </w:t>
      </w:r>
      <w:r w:rsidRPr="005D5A63">
        <w:rPr>
          <w:rFonts w:ascii="Palatino Linotype" w:eastAsia="Palatino Linotype" w:hAnsi="Palatino Linotype" w:cs="Palatino Linotype"/>
          <w:b/>
          <w:color w:val="000000" w:themeColor="text1"/>
        </w:rPr>
        <w:t>Instituto Electoral del Estado de México</w:t>
      </w:r>
      <w:r w:rsidRPr="005D5A63">
        <w:rPr>
          <w:rFonts w:ascii="Palatino Linotype" w:eastAsia="Palatino Linotype" w:hAnsi="Palatino Linotype" w:cs="Palatino Linotype"/>
          <w:color w:val="000000" w:themeColor="text1"/>
        </w:rPr>
        <w:t xml:space="preserve"> a las solicitudes de información </w:t>
      </w:r>
      <w:r w:rsidRPr="005D5A63">
        <w:rPr>
          <w:rFonts w:ascii="Palatino Linotype" w:eastAsia="Palatino Linotype" w:hAnsi="Palatino Linotype" w:cs="Palatino Linotype"/>
          <w:b/>
          <w:color w:val="000000" w:themeColor="text1"/>
        </w:rPr>
        <w:t>00997/IEEM/IP/2025, 00998/IEEM/IP/2025, 00999/IEEM/IP/2025, 01000/IEEM/IP/2025, 01001/IEEM/IP/2025 y 01002/IEEM/IP/2025</w:t>
      </w:r>
      <w:r w:rsidRPr="005D5A63">
        <w:rPr>
          <w:rFonts w:ascii="Palatino Linotype" w:eastAsia="Palatino Linotype" w:hAnsi="Palatino Linotype" w:cs="Palatino Linotype"/>
          <w:color w:val="000000" w:themeColor="text1"/>
        </w:rPr>
        <w:t xml:space="preserve"> a efecto de</w:t>
      </w:r>
      <w:r w:rsidRPr="005D5A63">
        <w:rPr>
          <w:rFonts w:ascii="Palatino Linotype" w:eastAsia="Palatino Linotype" w:hAnsi="Palatino Linotype" w:cs="Palatino Linotype"/>
          <w:b/>
          <w:color w:val="000000" w:themeColor="text1"/>
        </w:rPr>
        <w:t xml:space="preserve"> ORDENAR </w:t>
      </w:r>
      <w:r w:rsidRPr="005D5A63">
        <w:rPr>
          <w:rFonts w:ascii="Palatino Linotype" w:eastAsia="Palatino Linotype" w:hAnsi="Palatino Linotype" w:cs="Palatino Linotype"/>
          <w:color w:val="000000" w:themeColor="text1"/>
        </w:rPr>
        <w:t xml:space="preserve">entregar vía </w:t>
      </w:r>
      <w:r w:rsidRPr="005D5A63">
        <w:rPr>
          <w:rFonts w:ascii="Palatino Linotype" w:eastAsia="Palatino Linotype" w:hAnsi="Palatino Linotype" w:cs="Palatino Linotype"/>
          <w:b/>
          <w:color w:val="000000" w:themeColor="text1"/>
        </w:rPr>
        <w:t>correo electrónico</w:t>
      </w:r>
      <w:r w:rsidRPr="005D5A63">
        <w:rPr>
          <w:rFonts w:ascii="Palatino Linotype" w:eastAsia="Palatino Linotype" w:hAnsi="Palatino Linotype" w:cs="Palatino Linotype"/>
          <w:color w:val="000000" w:themeColor="text1"/>
        </w:rPr>
        <w:t xml:space="preserve"> y del  Sistema de Accesos a la Información Mexiquense </w:t>
      </w:r>
      <w:r w:rsidRPr="005D5A63">
        <w:rPr>
          <w:rFonts w:ascii="Palatino Linotype" w:eastAsia="Palatino Linotype" w:hAnsi="Palatino Linotype" w:cs="Palatino Linotype"/>
          <w:b/>
          <w:color w:val="000000" w:themeColor="text1"/>
        </w:rPr>
        <w:t>(SAIMEX)</w:t>
      </w:r>
      <w:r w:rsidRPr="005D5A63">
        <w:rPr>
          <w:rFonts w:ascii="Palatino Linotype" w:eastAsia="Palatino Linotype" w:hAnsi="Palatino Linotype" w:cs="Palatino Linotype"/>
          <w:color w:val="000000" w:themeColor="text1"/>
        </w:rPr>
        <w:t>, de ser el caso en versión pública, la siguiente información:</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6087F" w:rsidRPr="005D5A63" w:rsidRDefault="00CA461F" w:rsidP="0036324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11" w:name="_heading=h.d5a1s12rau3r" w:colFirst="0" w:colLast="0"/>
      <w:bookmarkEnd w:id="11"/>
      <w:r w:rsidRPr="005D5A63">
        <w:rPr>
          <w:rFonts w:ascii="Palatino Linotype" w:eastAsia="Palatino Linotype" w:hAnsi="Palatino Linotype" w:cs="Palatino Linotype"/>
          <w:b/>
          <w:color w:val="000000" w:themeColor="text1"/>
        </w:rPr>
        <w:t>Oficios generados en el mes de marzo de 2025 por las Juntas Judiciales Electorales y el Consejo de los Órganos Desconcentrados de los distritos: 1, 2, 3, 4, 5, 6, 7, 8, 9, 10, 11, 12, 13, 14, 15, 16, 17 y 18; durante el Proceso Electoral Judicial Extraordinario 2025.</w:t>
      </w:r>
    </w:p>
    <w:p w:rsidR="00A6087F" w:rsidRPr="005D5A63" w:rsidRDefault="00A6087F" w:rsidP="0036324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6087F" w:rsidRPr="005D5A63" w:rsidRDefault="00CA461F" w:rsidP="00363247">
      <w:pPr>
        <w:spacing w:line="360" w:lineRule="auto"/>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A6087F" w:rsidRPr="005D5A63" w:rsidRDefault="00A6087F" w:rsidP="00363247">
      <w:pPr>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spacing w:line="360" w:lineRule="auto"/>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color w:val="000000" w:themeColor="text1"/>
        </w:rPr>
        <w:t xml:space="preserve">Para el caso de no contar con algún oficio, en razón de haber sido cancelado, bastará que lo haga del conocimiento del </w:t>
      </w:r>
      <w:r w:rsidRPr="005D5A63">
        <w:rPr>
          <w:rFonts w:ascii="Palatino Linotype" w:eastAsia="Palatino Linotype" w:hAnsi="Palatino Linotype" w:cs="Palatino Linotype"/>
          <w:b/>
          <w:color w:val="000000" w:themeColor="text1"/>
        </w:rPr>
        <w:t>RECURRENTE</w:t>
      </w:r>
      <w:r w:rsidRPr="005D5A63">
        <w:rPr>
          <w:rFonts w:ascii="Palatino Linotype" w:eastAsia="Palatino Linotype" w:hAnsi="Palatino Linotype" w:cs="Palatino Linotype"/>
          <w:color w:val="000000" w:themeColor="text1"/>
        </w:rPr>
        <w:t xml:space="preserve"> al momento de dar cumplimiento a la presente Resolución en términos del artículo 19 segundo párrafo de la  Ley de Transparencia y Acceso a la Información Pública del Estado de México y Municipios.</w:t>
      </w:r>
    </w:p>
    <w:p w:rsidR="00A6087F" w:rsidRPr="005D5A63" w:rsidRDefault="00A6087F" w:rsidP="00363247">
      <w:pPr>
        <w:spacing w:line="360" w:lineRule="auto"/>
        <w:jc w:val="both"/>
        <w:rPr>
          <w:rFonts w:ascii="Palatino Linotype" w:eastAsia="Palatino Linotype" w:hAnsi="Palatino Linotype" w:cs="Palatino Linotype"/>
          <w:b/>
          <w:color w:val="000000" w:themeColor="text1"/>
        </w:rPr>
      </w:pPr>
    </w:p>
    <w:p w:rsidR="00A6087F" w:rsidRPr="005D5A63" w:rsidRDefault="00CA461F" w:rsidP="00363247">
      <w:pPr>
        <w:tabs>
          <w:tab w:val="left" w:pos="284"/>
          <w:tab w:val="left" w:pos="8080"/>
        </w:tabs>
        <w:spacing w:line="360" w:lineRule="auto"/>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b/>
          <w:color w:val="000000" w:themeColor="text1"/>
        </w:rPr>
        <w:t>TERCERO. NOTIFÍQUESE</w:t>
      </w:r>
      <w:r w:rsidRPr="005D5A63">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5D5A63">
        <w:rPr>
          <w:rFonts w:ascii="Palatino Linotype" w:eastAsia="Palatino Linotype" w:hAnsi="Palatino Linotype" w:cs="Palatino Linotype"/>
          <w:b/>
          <w:color w:val="000000" w:themeColor="text1"/>
        </w:rPr>
        <w:t xml:space="preserve">dé cumplimiento a lo ordenado dentro del plazo de diez días hábiles, </w:t>
      </w:r>
      <w:r w:rsidRPr="005D5A63">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A6087F" w:rsidRPr="005D5A63" w:rsidRDefault="00A6087F" w:rsidP="00363247">
      <w:pPr>
        <w:tabs>
          <w:tab w:val="left" w:pos="284"/>
          <w:tab w:val="left" w:pos="8080"/>
        </w:tabs>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spacing w:line="360" w:lineRule="auto"/>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b/>
          <w:color w:val="000000" w:themeColor="text1"/>
        </w:rPr>
        <w:lastRenderedPageBreak/>
        <w:t xml:space="preserve">CUARTO. </w:t>
      </w:r>
      <w:r w:rsidRPr="005D5A63">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5D5A63">
        <w:rPr>
          <w:rFonts w:ascii="Palatino Linotype" w:eastAsia="Palatino Linotype" w:hAnsi="Palatino Linotype" w:cs="Palatino Linotype"/>
          <w:b/>
          <w:color w:val="000000" w:themeColor="text1"/>
        </w:rPr>
        <w:t>SUJETO OBLIGADO</w:t>
      </w:r>
      <w:r w:rsidRPr="005D5A63">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A6087F" w:rsidRPr="005D5A63" w:rsidRDefault="00A6087F" w:rsidP="00363247">
      <w:pPr>
        <w:tabs>
          <w:tab w:val="left" w:pos="284"/>
          <w:tab w:val="left" w:pos="8080"/>
        </w:tabs>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b/>
          <w:color w:val="000000" w:themeColor="text1"/>
        </w:rPr>
        <w:t xml:space="preserve">QUINTO. Notifíquese </w:t>
      </w:r>
      <w:r w:rsidRPr="005D5A63">
        <w:rPr>
          <w:rFonts w:ascii="Palatino Linotype" w:eastAsia="Palatino Linotype" w:hAnsi="Palatino Linotype" w:cs="Palatino Linotype"/>
          <w:color w:val="000000" w:themeColor="text1"/>
        </w:rPr>
        <w:t xml:space="preserve">al </w:t>
      </w:r>
      <w:r w:rsidRPr="005D5A63">
        <w:rPr>
          <w:rFonts w:ascii="Palatino Linotype" w:eastAsia="Palatino Linotype" w:hAnsi="Palatino Linotype" w:cs="Palatino Linotype"/>
          <w:b/>
          <w:color w:val="000000" w:themeColor="text1"/>
        </w:rPr>
        <w:t xml:space="preserve">RECURRENTE </w:t>
      </w:r>
      <w:r w:rsidRPr="005D5A63">
        <w:rPr>
          <w:rFonts w:ascii="Palatino Linotype" w:eastAsia="Palatino Linotype" w:hAnsi="Palatino Linotype" w:cs="Palatino Linotype"/>
          <w:color w:val="000000" w:themeColor="text1"/>
        </w:rPr>
        <w:t>la presente resolución a través del Sistema de Acceso a la Información Mexiquense (SAIMEX).</w:t>
      </w:r>
    </w:p>
    <w:p w:rsidR="00A6087F" w:rsidRPr="005D5A63" w:rsidRDefault="00A6087F" w:rsidP="00363247">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A6087F" w:rsidRPr="005D5A63" w:rsidRDefault="00CA461F" w:rsidP="00363247">
      <w:pPr>
        <w:spacing w:line="360" w:lineRule="auto"/>
        <w:jc w:val="both"/>
        <w:rPr>
          <w:rFonts w:ascii="Palatino Linotype" w:eastAsia="Palatino Linotype" w:hAnsi="Palatino Linotype" w:cs="Palatino Linotype"/>
          <w:color w:val="000000" w:themeColor="text1"/>
        </w:rPr>
      </w:pPr>
      <w:r w:rsidRPr="005D5A63">
        <w:rPr>
          <w:rFonts w:ascii="Palatino Linotype" w:eastAsia="Palatino Linotype" w:hAnsi="Palatino Linotype" w:cs="Palatino Linotype"/>
          <w:b/>
          <w:color w:val="000000" w:themeColor="text1"/>
        </w:rPr>
        <w:t>SEXTO.</w:t>
      </w:r>
      <w:r w:rsidRPr="005D5A63">
        <w:rPr>
          <w:rFonts w:ascii="Palatino Linotype" w:eastAsia="Palatino Linotype" w:hAnsi="Palatino Linotype" w:cs="Palatino Linotype"/>
          <w:color w:val="000000" w:themeColor="text1"/>
        </w:rPr>
        <w:t xml:space="preserve"> Se hace del conocimiento del </w:t>
      </w:r>
      <w:r w:rsidRPr="005D5A63">
        <w:rPr>
          <w:rFonts w:ascii="Palatino Linotype" w:eastAsia="Palatino Linotype" w:hAnsi="Palatino Linotype" w:cs="Palatino Linotype"/>
          <w:b/>
          <w:color w:val="000000" w:themeColor="text1"/>
        </w:rPr>
        <w:t>RECURRENTE</w:t>
      </w:r>
      <w:r w:rsidRPr="005D5A63">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3A1568" w:rsidRPr="005D5A63" w:rsidRDefault="003A1568" w:rsidP="00363247">
      <w:pPr>
        <w:shd w:val="clear" w:color="auto" w:fill="FFFFFF"/>
        <w:spacing w:line="360" w:lineRule="auto"/>
        <w:jc w:val="both"/>
        <w:rPr>
          <w:rFonts w:ascii="Palatino Linotype" w:eastAsia="Palatino Linotype" w:hAnsi="Palatino Linotype" w:cs="Palatino Linotype"/>
          <w:color w:val="000000" w:themeColor="text1"/>
        </w:rPr>
      </w:pPr>
    </w:p>
    <w:p w:rsidR="003A1568" w:rsidRPr="00444783" w:rsidRDefault="005D5A63" w:rsidP="003A1568">
      <w:pPr>
        <w:spacing w:line="360" w:lineRule="auto"/>
        <w:ind w:right="49"/>
        <w:jc w:val="both"/>
        <w:rPr>
          <w:rFonts w:ascii="Palatino Linotype" w:eastAsia="Palatino Linotype" w:hAnsi="Palatino Linotype" w:cs="Palatino Linotype"/>
        </w:rPr>
      </w:pPr>
      <w:r w:rsidRPr="005D5A6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3A1568" w:rsidRPr="005D5A63">
        <w:rPr>
          <w:rFonts w:ascii="Palatino Linotype" w:eastAsia="Palatino Linotype" w:hAnsi="Palatino Linotype" w:cs="Palatino Linotype"/>
        </w:rPr>
        <w:t>.</w:t>
      </w:r>
    </w:p>
    <w:p w:rsidR="00A6087F" w:rsidRPr="00363247" w:rsidRDefault="00A6087F" w:rsidP="00363247">
      <w:pPr>
        <w:spacing w:line="360" w:lineRule="auto"/>
        <w:jc w:val="both"/>
        <w:rPr>
          <w:rFonts w:ascii="Palatino Linotype" w:eastAsia="Palatino Linotype" w:hAnsi="Palatino Linotype" w:cs="Palatino Linotype"/>
          <w:color w:val="000000" w:themeColor="text1"/>
        </w:rPr>
      </w:pPr>
    </w:p>
    <w:p w:rsidR="00A6087F" w:rsidRPr="00363247" w:rsidRDefault="00CA461F" w:rsidP="00363247">
      <w:pPr>
        <w:shd w:val="clear" w:color="auto" w:fill="FFFFFF"/>
        <w:spacing w:line="360" w:lineRule="auto"/>
        <w:jc w:val="both"/>
        <w:rPr>
          <w:rFonts w:ascii="Palatino Linotype" w:eastAsia="Palatino Linotype" w:hAnsi="Palatino Linotype" w:cs="Palatino Linotype"/>
          <w:color w:val="000000" w:themeColor="text1"/>
        </w:rPr>
      </w:pPr>
      <w:r w:rsidRPr="00363247">
        <w:rPr>
          <w:rFonts w:ascii="Palatino Linotype" w:eastAsia="Palatino Linotype" w:hAnsi="Palatino Linotype" w:cs="Palatino Linotype"/>
          <w:color w:val="000000" w:themeColor="text1"/>
        </w:rPr>
        <w:t xml:space="preserve">  </w:t>
      </w:r>
    </w:p>
    <w:p w:rsidR="00A6087F" w:rsidRPr="00363247" w:rsidRDefault="00A6087F" w:rsidP="00363247">
      <w:pPr>
        <w:shd w:val="clear" w:color="auto" w:fill="FFFFFF"/>
        <w:spacing w:line="360" w:lineRule="auto"/>
        <w:jc w:val="both"/>
        <w:rPr>
          <w:rFonts w:ascii="Palatino Linotype" w:eastAsia="Palatino Linotype" w:hAnsi="Palatino Linotype" w:cs="Palatino Linotype"/>
          <w:color w:val="000000" w:themeColor="text1"/>
        </w:rPr>
      </w:pPr>
    </w:p>
    <w:p w:rsidR="00A6087F" w:rsidRPr="00363247" w:rsidRDefault="00A6087F" w:rsidP="00363247">
      <w:pPr>
        <w:shd w:val="clear" w:color="auto" w:fill="FFFFFF"/>
        <w:spacing w:line="360" w:lineRule="auto"/>
        <w:jc w:val="both"/>
        <w:rPr>
          <w:rFonts w:ascii="Palatino Linotype" w:eastAsia="Palatino Linotype" w:hAnsi="Palatino Linotype" w:cs="Palatino Linotype"/>
          <w:color w:val="000000" w:themeColor="text1"/>
        </w:rPr>
      </w:pPr>
    </w:p>
    <w:p w:rsidR="00A6087F" w:rsidRPr="00363247" w:rsidRDefault="00A6087F" w:rsidP="00363247">
      <w:pPr>
        <w:shd w:val="clear" w:color="auto" w:fill="FFFFFF"/>
        <w:spacing w:line="360" w:lineRule="auto"/>
        <w:jc w:val="both"/>
        <w:rPr>
          <w:rFonts w:ascii="Palatino Linotype" w:eastAsia="Palatino Linotype" w:hAnsi="Palatino Linotype" w:cs="Palatino Linotype"/>
          <w:color w:val="000000" w:themeColor="text1"/>
        </w:rPr>
      </w:pPr>
    </w:p>
    <w:p w:rsidR="00A6087F" w:rsidRPr="00363247" w:rsidRDefault="00A6087F" w:rsidP="00363247">
      <w:pPr>
        <w:shd w:val="clear" w:color="auto" w:fill="FFFFFF"/>
        <w:spacing w:line="360" w:lineRule="auto"/>
        <w:jc w:val="both"/>
        <w:rPr>
          <w:rFonts w:ascii="Palatino Linotype" w:eastAsia="Palatino Linotype" w:hAnsi="Palatino Linotype" w:cs="Palatino Linotype"/>
          <w:color w:val="000000" w:themeColor="text1"/>
        </w:rPr>
      </w:pPr>
    </w:p>
    <w:p w:rsidR="00A6087F" w:rsidRPr="00363247" w:rsidRDefault="00A6087F" w:rsidP="00363247">
      <w:pPr>
        <w:shd w:val="clear" w:color="auto" w:fill="FFFFFF"/>
        <w:spacing w:line="360" w:lineRule="auto"/>
        <w:jc w:val="both"/>
        <w:rPr>
          <w:rFonts w:ascii="Palatino Linotype" w:eastAsia="Palatino Linotype" w:hAnsi="Palatino Linotype" w:cs="Palatino Linotype"/>
          <w:color w:val="000000" w:themeColor="text1"/>
        </w:rPr>
      </w:pPr>
    </w:p>
    <w:p w:rsidR="00A6087F" w:rsidRPr="00363247" w:rsidRDefault="00A6087F" w:rsidP="00363247">
      <w:pPr>
        <w:shd w:val="clear" w:color="auto" w:fill="FFFFFF"/>
        <w:spacing w:line="360" w:lineRule="auto"/>
        <w:jc w:val="both"/>
        <w:rPr>
          <w:rFonts w:ascii="Palatino Linotype" w:eastAsia="Palatino Linotype" w:hAnsi="Palatino Linotype" w:cs="Palatino Linotype"/>
          <w:color w:val="000000" w:themeColor="text1"/>
        </w:rPr>
      </w:pPr>
    </w:p>
    <w:p w:rsidR="00A6087F" w:rsidRPr="00363247" w:rsidRDefault="00A6087F" w:rsidP="00363247">
      <w:pPr>
        <w:shd w:val="clear" w:color="auto" w:fill="FFFFFF"/>
        <w:spacing w:line="360" w:lineRule="auto"/>
        <w:jc w:val="both"/>
        <w:rPr>
          <w:rFonts w:ascii="Palatino Linotype" w:eastAsia="Palatino Linotype" w:hAnsi="Palatino Linotype" w:cs="Palatino Linotype"/>
          <w:color w:val="000000" w:themeColor="text1"/>
        </w:rPr>
      </w:pPr>
    </w:p>
    <w:p w:rsidR="00A6087F" w:rsidRPr="00363247" w:rsidRDefault="00A6087F" w:rsidP="00363247">
      <w:pPr>
        <w:shd w:val="clear" w:color="auto" w:fill="FFFFFF"/>
        <w:spacing w:line="360" w:lineRule="auto"/>
        <w:jc w:val="both"/>
        <w:rPr>
          <w:rFonts w:ascii="Palatino Linotype" w:eastAsia="Palatino Linotype" w:hAnsi="Palatino Linotype" w:cs="Palatino Linotype"/>
          <w:color w:val="000000" w:themeColor="text1"/>
        </w:rPr>
      </w:pPr>
    </w:p>
    <w:p w:rsidR="00A6087F" w:rsidRPr="00363247" w:rsidRDefault="00A6087F" w:rsidP="00363247">
      <w:pPr>
        <w:shd w:val="clear" w:color="auto" w:fill="FFFFFF"/>
        <w:spacing w:line="360" w:lineRule="auto"/>
        <w:jc w:val="both"/>
        <w:rPr>
          <w:rFonts w:ascii="Palatino Linotype" w:eastAsia="Palatino Linotype" w:hAnsi="Palatino Linotype" w:cs="Palatino Linotype"/>
          <w:color w:val="000000" w:themeColor="text1"/>
        </w:rPr>
      </w:pPr>
    </w:p>
    <w:p w:rsidR="00A6087F" w:rsidRPr="00363247" w:rsidRDefault="00A6087F" w:rsidP="00363247">
      <w:pPr>
        <w:shd w:val="clear" w:color="auto" w:fill="FFFFFF"/>
        <w:spacing w:line="360" w:lineRule="auto"/>
        <w:jc w:val="both"/>
        <w:rPr>
          <w:rFonts w:ascii="Palatino Linotype" w:eastAsia="Palatino Linotype" w:hAnsi="Palatino Linotype" w:cs="Palatino Linotype"/>
          <w:color w:val="000000" w:themeColor="text1"/>
        </w:rPr>
      </w:pPr>
    </w:p>
    <w:p w:rsidR="00A6087F" w:rsidRPr="00363247" w:rsidRDefault="00A6087F" w:rsidP="00363247">
      <w:pPr>
        <w:shd w:val="clear" w:color="auto" w:fill="FFFFFF"/>
        <w:spacing w:line="360" w:lineRule="auto"/>
        <w:jc w:val="both"/>
        <w:rPr>
          <w:rFonts w:ascii="Palatino Linotype" w:eastAsia="Palatino Linotype" w:hAnsi="Palatino Linotype" w:cs="Palatino Linotype"/>
          <w:color w:val="000000" w:themeColor="text1"/>
        </w:rPr>
      </w:pPr>
    </w:p>
    <w:p w:rsidR="00A6087F" w:rsidRPr="00363247" w:rsidRDefault="00A6087F" w:rsidP="00363247">
      <w:pPr>
        <w:shd w:val="clear" w:color="auto" w:fill="FFFFFF"/>
        <w:spacing w:line="360" w:lineRule="auto"/>
        <w:jc w:val="both"/>
        <w:rPr>
          <w:rFonts w:ascii="Palatino Linotype" w:eastAsia="Palatino Linotype" w:hAnsi="Palatino Linotype" w:cs="Palatino Linotype"/>
          <w:color w:val="000000" w:themeColor="text1"/>
        </w:rPr>
      </w:pPr>
    </w:p>
    <w:p w:rsidR="00A6087F" w:rsidRPr="00363247" w:rsidRDefault="00A6087F" w:rsidP="00363247">
      <w:pPr>
        <w:shd w:val="clear" w:color="auto" w:fill="FFFFFF"/>
        <w:spacing w:line="360" w:lineRule="auto"/>
        <w:jc w:val="both"/>
        <w:rPr>
          <w:rFonts w:ascii="Palatino Linotype" w:eastAsia="Palatino Linotype" w:hAnsi="Palatino Linotype" w:cs="Palatino Linotype"/>
          <w:color w:val="000000" w:themeColor="text1"/>
        </w:rPr>
      </w:pPr>
    </w:p>
    <w:p w:rsidR="00A6087F" w:rsidRPr="00363247" w:rsidRDefault="00A6087F" w:rsidP="00363247">
      <w:pPr>
        <w:shd w:val="clear" w:color="auto" w:fill="FFFFFF"/>
        <w:spacing w:line="360" w:lineRule="auto"/>
        <w:jc w:val="both"/>
        <w:rPr>
          <w:rFonts w:ascii="Palatino Linotype" w:eastAsia="Palatino Linotype" w:hAnsi="Palatino Linotype" w:cs="Palatino Linotype"/>
          <w:color w:val="000000" w:themeColor="text1"/>
        </w:rPr>
      </w:pPr>
    </w:p>
    <w:p w:rsidR="00A6087F" w:rsidRPr="00363247" w:rsidRDefault="00A6087F" w:rsidP="00363247">
      <w:pPr>
        <w:shd w:val="clear" w:color="auto" w:fill="FFFFFF"/>
        <w:spacing w:line="360" w:lineRule="auto"/>
        <w:jc w:val="both"/>
        <w:rPr>
          <w:rFonts w:ascii="Palatino Linotype" w:eastAsia="Palatino Linotype" w:hAnsi="Palatino Linotype" w:cs="Palatino Linotype"/>
          <w:color w:val="000000" w:themeColor="text1"/>
        </w:rPr>
      </w:pPr>
    </w:p>
    <w:p w:rsidR="00A6087F" w:rsidRPr="00363247" w:rsidRDefault="00A6087F" w:rsidP="00363247">
      <w:pPr>
        <w:shd w:val="clear" w:color="auto" w:fill="FFFFFF"/>
        <w:spacing w:line="360" w:lineRule="auto"/>
        <w:jc w:val="both"/>
        <w:rPr>
          <w:rFonts w:ascii="Palatino Linotype" w:eastAsia="Palatino Linotype" w:hAnsi="Palatino Linotype" w:cs="Palatino Linotype"/>
          <w:color w:val="000000" w:themeColor="text1"/>
        </w:rPr>
      </w:pPr>
    </w:p>
    <w:p w:rsidR="00A6087F" w:rsidRPr="00363247" w:rsidRDefault="00A6087F" w:rsidP="00363247">
      <w:pPr>
        <w:shd w:val="clear" w:color="auto" w:fill="FFFFFF"/>
        <w:spacing w:line="360" w:lineRule="auto"/>
        <w:jc w:val="both"/>
        <w:rPr>
          <w:rFonts w:ascii="Palatino Linotype" w:eastAsia="Palatino Linotype" w:hAnsi="Palatino Linotype" w:cs="Palatino Linotype"/>
          <w:color w:val="000000" w:themeColor="text1"/>
        </w:rPr>
      </w:pPr>
    </w:p>
    <w:p w:rsidR="00A6087F" w:rsidRPr="00363247" w:rsidRDefault="00A6087F" w:rsidP="00363247">
      <w:pPr>
        <w:shd w:val="clear" w:color="auto" w:fill="FFFFFF"/>
        <w:spacing w:line="360" w:lineRule="auto"/>
        <w:jc w:val="both"/>
        <w:rPr>
          <w:rFonts w:ascii="Palatino Linotype" w:eastAsia="Palatino Linotype" w:hAnsi="Palatino Linotype" w:cs="Palatino Linotype"/>
          <w:color w:val="000000" w:themeColor="text1"/>
        </w:rPr>
      </w:pPr>
    </w:p>
    <w:p w:rsidR="00A6087F" w:rsidRPr="00363247" w:rsidRDefault="00A6087F" w:rsidP="00363247">
      <w:pPr>
        <w:shd w:val="clear" w:color="auto" w:fill="FFFFFF"/>
        <w:spacing w:line="360" w:lineRule="auto"/>
        <w:jc w:val="both"/>
        <w:rPr>
          <w:rFonts w:ascii="Palatino Linotype" w:eastAsia="Palatino Linotype" w:hAnsi="Palatino Linotype" w:cs="Palatino Linotype"/>
          <w:color w:val="000000" w:themeColor="text1"/>
        </w:rPr>
      </w:pPr>
    </w:p>
    <w:p w:rsidR="00A6087F" w:rsidRPr="00363247" w:rsidRDefault="00A6087F" w:rsidP="00363247">
      <w:pPr>
        <w:shd w:val="clear" w:color="auto" w:fill="FFFFFF"/>
        <w:spacing w:line="360" w:lineRule="auto"/>
        <w:jc w:val="both"/>
        <w:rPr>
          <w:rFonts w:ascii="Palatino Linotype" w:eastAsia="Palatino Linotype" w:hAnsi="Palatino Linotype" w:cs="Palatino Linotype"/>
          <w:color w:val="000000" w:themeColor="text1"/>
        </w:rPr>
      </w:pPr>
    </w:p>
    <w:p w:rsidR="00A6087F" w:rsidRPr="00363247" w:rsidRDefault="00A6087F" w:rsidP="00363247">
      <w:pPr>
        <w:shd w:val="clear" w:color="auto" w:fill="FFFFFF"/>
        <w:spacing w:line="360" w:lineRule="auto"/>
        <w:jc w:val="both"/>
        <w:rPr>
          <w:rFonts w:ascii="Palatino Linotype" w:eastAsia="Palatino Linotype" w:hAnsi="Palatino Linotype" w:cs="Palatino Linotype"/>
          <w:color w:val="000000" w:themeColor="text1"/>
        </w:rPr>
      </w:pPr>
    </w:p>
    <w:p w:rsidR="00A6087F" w:rsidRPr="00363247" w:rsidRDefault="00A6087F" w:rsidP="00363247">
      <w:pPr>
        <w:spacing w:line="360" w:lineRule="auto"/>
        <w:rPr>
          <w:rFonts w:ascii="Palatino Linotype" w:eastAsia="Palatino Linotype" w:hAnsi="Palatino Linotype" w:cs="Palatino Linotype"/>
          <w:color w:val="000000" w:themeColor="text1"/>
        </w:rPr>
      </w:pPr>
    </w:p>
    <w:p w:rsidR="00A6087F" w:rsidRPr="00363247" w:rsidRDefault="00A6087F" w:rsidP="00363247">
      <w:pPr>
        <w:spacing w:line="360" w:lineRule="auto"/>
        <w:rPr>
          <w:rFonts w:ascii="Palatino Linotype" w:eastAsia="Palatino Linotype" w:hAnsi="Palatino Linotype" w:cs="Palatino Linotype"/>
          <w:color w:val="000000" w:themeColor="text1"/>
        </w:rPr>
      </w:pPr>
    </w:p>
    <w:sectPr w:rsidR="00A6087F" w:rsidRPr="00363247" w:rsidSect="00DA0935">
      <w:headerReference w:type="default" r:id="rId13"/>
      <w:footerReference w:type="default" r:id="rId14"/>
      <w:headerReference w:type="first" r:id="rId15"/>
      <w:footerReference w:type="first" r:id="rId16"/>
      <w:pgSz w:w="12240" w:h="15840"/>
      <w:pgMar w:top="1691" w:right="900" w:bottom="2127" w:left="1701" w:header="426"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0FF" w:rsidRDefault="00A940FF">
      <w:r>
        <w:separator/>
      </w:r>
    </w:p>
  </w:endnote>
  <w:endnote w:type="continuationSeparator" w:id="0">
    <w:p w:rsidR="00A940FF" w:rsidRDefault="00A9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7F" w:rsidRDefault="00CA461F">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4B2FCA">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4B2FCA">
      <w:rPr>
        <w:rFonts w:ascii="Palatino Linotype" w:eastAsia="Palatino Linotype" w:hAnsi="Palatino Linotype" w:cs="Palatino Linotype"/>
        <w:b/>
        <w:noProof/>
        <w:color w:val="000000"/>
        <w:sz w:val="22"/>
        <w:szCs w:val="22"/>
      </w:rPr>
      <w:t>40</w:t>
    </w:r>
    <w:r>
      <w:rPr>
        <w:rFonts w:ascii="Palatino Linotype" w:eastAsia="Palatino Linotype" w:hAnsi="Palatino Linotype" w:cs="Palatino Linotype"/>
        <w:b/>
        <w:color w:val="000000"/>
        <w:sz w:val="22"/>
        <w:szCs w:val="22"/>
      </w:rPr>
      <w:fldChar w:fldCharType="end"/>
    </w:r>
  </w:p>
  <w:p w:rsidR="00A6087F" w:rsidRDefault="00A6087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A6087F" w:rsidRDefault="00A608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7F" w:rsidRDefault="00CA461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B2FCA">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B2FCA">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p>
  <w:p w:rsidR="00A6087F" w:rsidRDefault="00A6087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A6087F" w:rsidRDefault="00A608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0FF" w:rsidRDefault="00A940FF">
      <w:r>
        <w:separator/>
      </w:r>
    </w:p>
  </w:footnote>
  <w:footnote w:type="continuationSeparator" w:id="0">
    <w:p w:rsidR="00A940FF" w:rsidRDefault="00A940FF">
      <w:r>
        <w:continuationSeparator/>
      </w:r>
    </w:p>
  </w:footnote>
  <w:footnote w:id="1">
    <w:p w:rsidR="00A6087F" w:rsidRDefault="00CA461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A6087F" w:rsidRDefault="00CA461F">
      <w:pPr>
        <w:pBdr>
          <w:top w:val="nil"/>
          <w:left w:val="nil"/>
          <w:bottom w:val="nil"/>
          <w:right w:val="nil"/>
          <w:between w:val="nil"/>
        </w:pBdr>
        <w:rPr>
          <w:color w:val="000000"/>
        </w:rPr>
      </w:pPr>
      <w:r>
        <w:rPr>
          <w:vertAlign w:val="superscript"/>
        </w:rPr>
        <w:footnoteRef/>
      </w:r>
      <w:r>
        <w:rPr>
          <w:color w:val="000000"/>
        </w:rPr>
        <w:t xml:space="preserve"> Convención Americana sobre Derechos Humanos. Artículo 13.</w:t>
      </w:r>
    </w:p>
  </w:footnote>
  <w:footnote w:id="3">
    <w:p w:rsidR="00A6087F" w:rsidRDefault="00CA461F">
      <w:pPr>
        <w:pBdr>
          <w:top w:val="nil"/>
          <w:left w:val="nil"/>
          <w:bottom w:val="nil"/>
          <w:right w:val="nil"/>
          <w:between w:val="nil"/>
        </w:pBdr>
        <w:rPr>
          <w:color w:val="000000"/>
        </w:rPr>
      </w:pPr>
      <w:r>
        <w:rPr>
          <w:vertAlign w:val="superscript"/>
        </w:rPr>
        <w:footnoteRef/>
      </w:r>
      <w:r>
        <w:rPr>
          <w:color w:val="000000"/>
        </w:rPr>
        <w:t xml:space="preserve"> Constitución Política de los Estados Unidos Mexicanos. Artículo sexto, sección A, Fracción I.</w:t>
      </w:r>
    </w:p>
  </w:footnote>
  <w:footnote w:id="4">
    <w:p w:rsidR="00A6087F" w:rsidRDefault="00CA461F">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rsidR="00A6087F" w:rsidRDefault="00CA461F">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6">
    <w:p w:rsidR="00A6087F" w:rsidRDefault="00CA461F">
      <w:pPr>
        <w:pBdr>
          <w:top w:val="nil"/>
          <w:left w:val="nil"/>
          <w:bottom w:val="nil"/>
          <w:right w:val="nil"/>
          <w:between w:val="nil"/>
        </w:pBdr>
        <w:rPr>
          <w:color w:val="00000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7">
    <w:p w:rsidR="00A6087F" w:rsidRDefault="00CA461F">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A6087F" w:rsidRDefault="00CA461F">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A6087F" w:rsidRDefault="00CA461F">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7F" w:rsidRDefault="00CA461F">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simplePos x="0" y="0"/>
          <wp:positionH relativeFrom="column">
            <wp:posOffset>-876829</wp:posOffset>
          </wp:positionH>
          <wp:positionV relativeFrom="paragraph">
            <wp:posOffset>-421004</wp:posOffset>
          </wp:positionV>
          <wp:extent cx="7809876" cy="10165823"/>
          <wp:effectExtent l="0" t="0" r="0" b="0"/>
          <wp:wrapNone/>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7412"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734"/>
      <w:gridCol w:w="4678"/>
    </w:tblGrid>
    <w:tr w:rsidR="00A6087F" w:rsidTr="00DA0935">
      <w:trPr>
        <w:trHeight w:val="138"/>
      </w:trPr>
      <w:tc>
        <w:tcPr>
          <w:tcW w:w="2734" w:type="dxa"/>
          <w:vAlign w:val="center"/>
        </w:tcPr>
        <w:p w:rsidR="00A6087F" w:rsidRPr="00363247" w:rsidRDefault="00CA461F" w:rsidP="00363247">
          <w:pPr>
            <w:ind w:right="-7"/>
            <w:jc w:val="right"/>
            <w:rPr>
              <w:rFonts w:ascii="Palatino Linotype" w:eastAsia="Palatino Linotype" w:hAnsi="Palatino Linotype" w:cs="Palatino Linotype"/>
              <w:b/>
              <w:color w:val="000000" w:themeColor="text1"/>
            </w:rPr>
          </w:pPr>
          <w:r w:rsidRPr="00363247">
            <w:rPr>
              <w:rFonts w:ascii="Palatino Linotype" w:eastAsia="Palatino Linotype" w:hAnsi="Palatino Linotype" w:cs="Palatino Linotype"/>
              <w:b/>
              <w:color w:val="000000" w:themeColor="text1"/>
            </w:rPr>
            <w:t>Recurso de Revisión:</w:t>
          </w:r>
        </w:p>
      </w:tc>
      <w:tc>
        <w:tcPr>
          <w:tcW w:w="4678" w:type="dxa"/>
          <w:vAlign w:val="center"/>
        </w:tcPr>
        <w:p w:rsidR="00A6087F" w:rsidRPr="00363247" w:rsidRDefault="00CA461F" w:rsidP="00363247">
          <w:pPr>
            <w:pBdr>
              <w:top w:val="nil"/>
              <w:left w:val="nil"/>
              <w:bottom w:val="nil"/>
              <w:right w:val="nil"/>
              <w:between w:val="nil"/>
            </w:pBdr>
            <w:tabs>
              <w:tab w:val="right" w:pos="8504"/>
            </w:tabs>
            <w:rPr>
              <w:rFonts w:ascii="Palatino Linotype" w:eastAsia="Palatino Linotype" w:hAnsi="Palatino Linotype" w:cs="Palatino Linotype"/>
              <w:color w:val="000000" w:themeColor="text1"/>
            </w:rPr>
          </w:pPr>
          <w:r w:rsidRPr="00363247">
            <w:rPr>
              <w:rFonts w:ascii="Palatino Linotype" w:eastAsia="Palatino Linotype" w:hAnsi="Palatino Linotype" w:cs="Palatino Linotype"/>
              <w:color w:val="000000" w:themeColor="text1"/>
            </w:rPr>
            <w:t>08093/INFOEM/IP/RR/2025 y acumulados</w:t>
          </w:r>
        </w:p>
      </w:tc>
    </w:tr>
    <w:tr w:rsidR="00A6087F" w:rsidTr="00DA0935">
      <w:trPr>
        <w:trHeight w:val="321"/>
      </w:trPr>
      <w:tc>
        <w:tcPr>
          <w:tcW w:w="2734" w:type="dxa"/>
          <w:vAlign w:val="center"/>
        </w:tcPr>
        <w:p w:rsidR="00A6087F" w:rsidRPr="00363247" w:rsidRDefault="00CA461F" w:rsidP="00363247">
          <w:pPr>
            <w:ind w:right="-7"/>
            <w:jc w:val="right"/>
            <w:rPr>
              <w:rFonts w:ascii="Palatino Linotype" w:eastAsia="Palatino Linotype" w:hAnsi="Palatino Linotype" w:cs="Palatino Linotype"/>
              <w:b/>
              <w:color w:val="000000" w:themeColor="text1"/>
            </w:rPr>
          </w:pPr>
          <w:r w:rsidRPr="00363247">
            <w:rPr>
              <w:rFonts w:ascii="Palatino Linotype" w:eastAsia="Palatino Linotype" w:hAnsi="Palatino Linotype" w:cs="Palatino Linotype"/>
              <w:b/>
              <w:color w:val="000000" w:themeColor="text1"/>
            </w:rPr>
            <w:t>Sujeto Obligado:</w:t>
          </w:r>
        </w:p>
      </w:tc>
      <w:tc>
        <w:tcPr>
          <w:tcW w:w="4678" w:type="dxa"/>
          <w:vAlign w:val="center"/>
        </w:tcPr>
        <w:p w:rsidR="00A6087F" w:rsidRPr="00363247" w:rsidRDefault="00CA461F" w:rsidP="00363247">
          <w:pPr>
            <w:rPr>
              <w:rFonts w:ascii="Palatino Linotype" w:eastAsia="Palatino Linotype" w:hAnsi="Palatino Linotype" w:cs="Palatino Linotype"/>
              <w:color w:val="000000" w:themeColor="text1"/>
            </w:rPr>
          </w:pPr>
          <w:r w:rsidRPr="00363247">
            <w:rPr>
              <w:rFonts w:ascii="Palatino Linotype" w:eastAsia="Palatino Linotype" w:hAnsi="Palatino Linotype" w:cs="Palatino Linotype"/>
              <w:color w:val="000000" w:themeColor="text1"/>
            </w:rPr>
            <w:t>Instituto Electoral del Estado de México</w:t>
          </w:r>
        </w:p>
      </w:tc>
    </w:tr>
    <w:tr w:rsidR="00A6087F" w:rsidTr="00DA0935">
      <w:trPr>
        <w:trHeight w:val="321"/>
      </w:trPr>
      <w:tc>
        <w:tcPr>
          <w:tcW w:w="2734" w:type="dxa"/>
          <w:vAlign w:val="center"/>
        </w:tcPr>
        <w:p w:rsidR="00A6087F" w:rsidRPr="00363247" w:rsidRDefault="00CA461F" w:rsidP="00363247">
          <w:pPr>
            <w:ind w:right="-7"/>
            <w:jc w:val="right"/>
            <w:rPr>
              <w:rFonts w:ascii="Palatino Linotype" w:eastAsia="Palatino Linotype" w:hAnsi="Palatino Linotype" w:cs="Palatino Linotype"/>
              <w:b/>
              <w:color w:val="000000" w:themeColor="text1"/>
            </w:rPr>
          </w:pPr>
          <w:r w:rsidRPr="00363247">
            <w:rPr>
              <w:rFonts w:ascii="Palatino Linotype" w:eastAsia="Palatino Linotype" w:hAnsi="Palatino Linotype" w:cs="Palatino Linotype"/>
              <w:b/>
              <w:color w:val="000000" w:themeColor="text1"/>
            </w:rPr>
            <w:t>Comisionada Ponente:</w:t>
          </w:r>
        </w:p>
      </w:tc>
      <w:tc>
        <w:tcPr>
          <w:tcW w:w="4678" w:type="dxa"/>
          <w:vAlign w:val="center"/>
        </w:tcPr>
        <w:p w:rsidR="00A6087F" w:rsidRPr="00363247" w:rsidRDefault="00CA461F" w:rsidP="00363247">
          <w:pPr>
            <w:pBdr>
              <w:top w:val="nil"/>
              <w:left w:val="nil"/>
              <w:bottom w:val="nil"/>
              <w:right w:val="nil"/>
              <w:between w:val="nil"/>
            </w:pBdr>
            <w:tabs>
              <w:tab w:val="right" w:pos="8504"/>
            </w:tabs>
            <w:rPr>
              <w:rFonts w:ascii="Palatino Linotype" w:eastAsia="Palatino Linotype" w:hAnsi="Palatino Linotype" w:cs="Palatino Linotype"/>
              <w:color w:val="000000" w:themeColor="text1"/>
            </w:rPr>
          </w:pPr>
          <w:r w:rsidRPr="00363247">
            <w:rPr>
              <w:rFonts w:ascii="Palatino Linotype" w:eastAsia="Palatino Linotype" w:hAnsi="Palatino Linotype" w:cs="Palatino Linotype"/>
              <w:color w:val="000000" w:themeColor="text1"/>
            </w:rPr>
            <w:t>María del Rosario Mejía Ayala</w:t>
          </w:r>
        </w:p>
      </w:tc>
    </w:tr>
  </w:tbl>
  <w:p w:rsidR="00A6087F" w:rsidRDefault="00A6087F">
    <w:pPr>
      <w:pBdr>
        <w:top w:val="nil"/>
        <w:left w:val="nil"/>
        <w:bottom w:val="nil"/>
        <w:right w:val="nil"/>
        <w:between w:val="nil"/>
      </w:pBdr>
      <w:tabs>
        <w:tab w:val="center" w:pos="4252"/>
        <w:tab w:val="right" w:pos="8504"/>
      </w:tabs>
      <w:rPr>
        <w:color w:val="000000"/>
      </w:rPr>
    </w:pPr>
  </w:p>
  <w:p w:rsidR="00A6087F" w:rsidRDefault="00A608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7F" w:rsidRDefault="00CA461F" w:rsidP="00DA0935">
    <w:pPr>
      <w:pBdr>
        <w:top w:val="nil"/>
        <w:left w:val="nil"/>
        <w:bottom w:val="nil"/>
        <w:right w:val="nil"/>
        <w:between w:val="nil"/>
      </w:pBdr>
      <w:tabs>
        <w:tab w:val="right" w:pos="8504"/>
        <w:tab w:val="left" w:pos="3103"/>
      </w:tabs>
      <w:rPr>
        <w:color w:val="000000"/>
      </w:rPr>
    </w:pPr>
    <w:r>
      <w:rPr>
        <w:noProof/>
        <w:lang w:val="es-MX"/>
      </w:rPr>
      <w:drawing>
        <wp:anchor distT="0" distB="0" distL="0" distR="0" simplePos="0" relativeHeight="251659264" behindDoc="1" locked="0" layoutInCell="1" hidden="0" allowOverlap="1">
          <wp:simplePos x="0" y="0"/>
          <wp:positionH relativeFrom="column">
            <wp:posOffset>-1033769</wp:posOffset>
          </wp:positionH>
          <wp:positionV relativeFrom="paragraph">
            <wp:posOffset>-375919</wp:posOffset>
          </wp:positionV>
          <wp:extent cx="7809876" cy="10165823"/>
          <wp:effectExtent l="0" t="0" r="0" b="0"/>
          <wp:wrapNone/>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7544" w:type="dxa"/>
      <w:tblInd w:w="27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583"/>
      <w:gridCol w:w="4961"/>
    </w:tblGrid>
    <w:tr w:rsidR="00363247" w:rsidTr="00363247">
      <w:trPr>
        <w:trHeight w:val="138"/>
      </w:trPr>
      <w:tc>
        <w:tcPr>
          <w:tcW w:w="2583" w:type="dxa"/>
          <w:vAlign w:val="center"/>
        </w:tcPr>
        <w:p w:rsidR="00363247" w:rsidRPr="00363247" w:rsidRDefault="00363247" w:rsidP="00363247">
          <w:pPr>
            <w:ind w:right="-108"/>
            <w:jc w:val="right"/>
            <w:rPr>
              <w:rFonts w:ascii="Palatino Linotype" w:eastAsia="Palatino Linotype" w:hAnsi="Palatino Linotype" w:cs="Palatino Linotype"/>
              <w:b/>
              <w:color w:val="000000" w:themeColor="text1"/>
            </w:rPr>
          </w:pPr>
          <w:r w:rsidRPr="00363247">
            <w:rPr>
              <w:rFonts w:ascii="Palatino Linotype" w:eastAsia="Palatino Linotype" w:hAnsi="Palatino Linotype" w:cs="Palatino Linotype"/>
              <w:b/>
              <w:color w:val="000000" w:themeColor="text1"/>
            </w:rPr>
            <w:t>Recurso de Revisión:</w:t>
          </w:r>
        </w:p>
      </w:tc>
      <w:tc>
        <w:tcPr>
          <w:tcW w:w="4961" w:type="dxa"/>
          <w:vAlign w:val="center"/>
        </w:tcPr>
        <w:p w:rsidR="00363247" w:rsidRPr="00363247" w:rsidRDefault="00363247" w:rsidP="00363247">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themeColor="text1"/>
            </w:rPr>
          </w:pPr>
          <w:r w:rsidRPr="00363247">
            <w:rPr>
              <w:rFonts w:ascii="Palatino Linotype" w:eastAsia="Palatino Linotype" w:hAnsi="Palatino Linotype" w:cs="Palatino Linotype"/>
              <w:color w:val="000000" w:themeColor="text1"/>
            </w:rPr>
            <w:t>08093/INFOEM/IP/RR/2025 y acumulados</w:t>
          </w:r>
        </w:p>
      </w:tc>
    </w:tr>
    <w:tr w:rsidR="00363247" w:rsidTr="00363247">
      <w:trPr>
        <w:trHeight w:val="227"/>
      </w:trPr>
      <w:tc>
        <w:tcPr>
          <w:tcW w:w="2583" w:type="dxa"/>
          <w:vAlign w:val="center"/>
        </w:tcPr>
        <w:p w:rsidR="00363247" w:rsidRPr="00363247" w:rsidRDefault="00363247" w:rsidP="00363247">
          <w:pPr>
            <w:ind w:right="-108"/>
            <w:jc w:val="right"/>
            <w:rPr>
              <w:rFonts w:ascii="Palatino Linotype" w:eastAsia="Palatino Linotype" w:hAnsi="Palatino Linotype" w:cs="Palatino Linotype"/>
              <w:b/>
              <w:color w:val="000000" w:themeColor="text1"/>
            </w:rPr>
          </w:pPr>
          <w:r w:rsidRPr="00363247">
            <w:rPr>
              <w:rFonts w:ascii="Palatino Linotype" w:eastAsia="Palatino Linotype" w:hAnsi="Palatino Linotype" w:cs="Palatino Linotype"/>
              <w:b/>
              <w:color w:val="000000" w:themeColor="text1"/>
            </w:rPr>
            <w:t>Recurrente:</w:t>
          </w:r>
        </w:p>
      </w:tc>
      <w:tc>
        <w:tcPr>
          <w:tcW w:w="4961" w:type="dxa"/>
          <w:vAlign w:val="center"/>
        </w:tcPr>
        <w:p w:rsidR="00363247" w:rsidRPr="00363247" w:rsidRDefault="00363247" w:rsidP="00363247">
          <w:pPr>
            <w:pBdr>
              <w:top w:val="nil"/>
              <w:left w:val="nil"/>
              <w:bottom w:val="nil"/>
              <w:right w:val="nil"/>
              <w:between w:val="nil"/>
            </w:pBdr>
            <w:tabs>
              <w:tab w:val="right" w:pos="8504"/>
            </w:tabs>
            <w:rPr>
              <w:rFonts w:ascii="Palatino Linotype" w:eastAsia="Palatino Linotype" w:hAnsi="Palatino Linotype" w:cs="Palatino Linotype"/>
              <w:color w:val="000000" w:themeColor="text1"/>
            </w:rPr>
          </w:pPr>
        </w:p>
      </w:tc>
    </w:tr>
    <w:tr w:rsidR="00363247" w:rsidTr="00363247">
      <w:trPr>
        <w:trHeight w:val="232"/>
      </w:trPr>
      <w:tc>
        <w:tcPr>
          <w:tcW w:w="2583" w:type="dxa"/>
          <w:vAlign w:val="center"/>
        </w:tcPr>
        <w:p w:rsidR="00363247" w:rsidRPr="00363247" w:rsidRDefault="00363247" w:rsidP="00363247">
          <w:pPr>
            <w:ind w:right="-108"/>
            <w:jc w:val="right"/>
            <w:rPr>
              <w:rFonts w:ascii="Palatino Linotype" w:eastAsia="Palatino Linotype" w:hAnsi="Palatino Linotype" w:cs="Palatino Linotype"/>
              <w:b/>
              <w:color w:val="000000" w:themeColor="text1"/>
            </w:rPr>
          </w:pPr>
          <w:r w:rsidRPr="00363247">
            <w:rPr>
              <w:rFonts w:ascii="Palatino Linotype" w:eastAsia="Palatino Linotype" w:hAnsi="Palatino Linotype" w:cs="Palatino Linotype"/>
              <w:b/>
              <w:color w:val="000000" w:themeColor="text1"/>
            </w:rPr>
            <w:t>Sujeto Obligado:</w:t>
          </w:r>
        </w:p>
      </w:tc>
      <w:tc>
        <w:tcPr>
          <w:tcW w:w="4961" w:type="dxa"/>
          <w:vAlign w:val="center"/>
        </w:tcPr>
        <w:p w:rsidR="00363247" w:rsidRPr="00363247" w:rsidRDefault="00363247" w:rsidP="00363247">
          <w:pPr>
            <w:rPr>
              <w:color w:val="000000" w:themeColor="text1"/>
            </w:rPr>
          </w:pPr>
          <w:r w:rsidRPr="00363247">
            <w:rPr>
              <w:rFonts w:ascii="Palatino Linotype" w:eastAsia="Palatino Linotype" w:hAnsi="Palatino Linotype" w:cs="Palatino Linotype"/>
              <w:color w:val="000000" w:themeColor="text1"/>
            </w:rPr>
            <w:t>Instituto Electoral del Estado de México</w:t>
          </w:r>
        </w:p>
      </w:tc>
    </w:tr>
    <w:tr w:rsidR="00363247" w:rsidTr="00363247">
      <w:trPr>
        <w:trHeight w:val="320"/>
      </w:trPr>
      <w:tc>
        <w:tcPr>
          <w:tcW w:w="2583" w:type="dxa"/>
          <w:vAlign w:val="center"/>
        </w:tcPr>
        <w:p w:rsidR="00363247" w:rsidRPr="00363247" w:rsidRDefault="00363247" w:rsidP="00363247">
          <w:pPr>
            <w:ind w:right="-108"/>
            <w:jc w:val="right"/>
            <w:rPr>
              <w:rFonts w:ascii="Palatino Linotype" w:eastAsia="Palatino Linotype" w:hAnsi="Palatino Linotype" w:cs="Palatino Linotype"/>
              <w:b/>
              <w:color w:val="000000" w:themeColor="text1"/>
            </w:rPr>
          </w:pPr>
          <w:r w:rsidRPr="00363247">
            <w:rPr>
              <w:rFonts w:ascii="Palatino Linotype" w:eastAsia="Palatino Linotype" w:hAnsi="Palatino Linotype" w:cs="Palatino Linotype"/>
              <w:b/>
              <w:color w:val="000000" w:themeColor="text1"/>
            </w:rPr>
            <w:t>Comisionada Ponente:</w:t>
          </w:r>
        </w:p>
      </w:tc>
      <w:tc>
        <w:tcPr>
          <w:tcW w:w="4961" w:type="dxa"/>
          <w:vAlign w:val="center"/>
        </w:tcPr>
        <w:p w:rsidR="00363247" w:rsidRPr="00363247" w:rsidRDefault="00363247" w:rsidP="00363247">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themeColor="text1"/>
            </w:rPr>
          </w:pPr>
          <w:r w:rsidRPr="00363247">
            <w:rPr>
              <w:rFonts w:ascii="Palatino Linotype" w:eastAsia="Palatino Linotype" w:hAnsi="Palatino Linotype" w:cs="Palatino Linotype"/>
              <w:color w:val="000000" w:themeColor="text1"/>
            </w:rPr>
            <w:t>María del Rosario Mejía Ayala</w:t>
          </w:r>
        </w:p>
      </w:tc>
    </w:tr>
  </w:tbl>
  <w:p w:rsidR="00A6087F" w:rsidRDefault="00A6087F" w:rsidP="00363247">
    <w:pPr>
      <w:pBdr>
        <w:top w:val="nil"/>
        <w:left w:val="nil"/>
        <w:bottom w:val="nil"/>
        <w:right w:val="nil"/>
        <w:between w:val="nil"/>
      </w:pBdr>
      <w:tabs>
        <w:tab w:val="center" w:pos="4252"/>
        <w:tab w:val="right" w:pos="8504"/>
      </w:tabs>
      <w:rPr>
        <w:color w:val="000000"/>
      </w:rPr>
    </w:pPr>
  </w:p>
  <w:p w:rsidR="00A6087F" w:rsidRDefault="00A608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43E73"/>
    <w:multiLevelType w:val="multilevel"/>
    <w:tmpl w:val="0548D754"/>
    <w:lvl w:ilvl="0">
      <w:start w:val="1"/>
      <w:numFmt w:val="decimal"/>
      <w:lvlText w:val="%1."/>
      <w:lvlJc w:val="left"/>
      <w:pPr>
        <w:ind w:left="644" w:hanging="359"/>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AC5869"/>
    <w:multiLevelType w:val="multilevel"/>
    <w:tmpl w:val="1CE6F5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FB1FB1"/>
    <w:multiLevelType w:val="multilevel"/>
    <w:tmpl w:val="E71E016C"/>
    <w:lvl w:ilvl="0">
      <w:start w:val="1"/>
      <w:numFmt w:val="lowerLetter"/>
      <w:lvlText w:val="%1)"/>
      <w:lvlJc w:val="left"/>
      <w:pPr>
        <w:ind w:left="1865" w:hanging="360"/>
      </w:pPr>
    </w:lvl>
    <w:lvl w:ilvl="1">
      <w:start w:val="1"/>
      <w:numFmt w:val="lowerLetter"/>
      <w:lvlText w:val="%2."/>
      <w:lvlJc w:val="left"/>
      <w:pPr>
        <w:ind w:left="2585" w:hanging="360"/>
      </w:pPr>
    </w:lvl>
    <w:lvl w:ilvl="2">
      <w:start w:val="1"/>
      <w:numFmt w:val="lowerRoman"/>
      <w:lvlText w:val="%3."/>
      <w:lvlJc w:val="right"/>
      <w:pPr>
        <w:ind w:left="3305" w:hanging="180"/>
      </w:pPr>
    </w:lvl>
    <w:lvl w:ilvl="3">
      <w:start w:val="1"/>
      <w:numFmt w:val="decimal"/>
      <w:lvlText w:val="%4."/>
      <w:lvlJc w:val="left"/>
      <w:pPr>
        <w:ind w:left="4025" w:hanging="360"/>
      </w:pPr>
    </w:lvl>
    <w:lvl w:ilvl="4">
      <w:start w:val="1"/>
      <w:numFmt w:val="lowerLetter"/>
      <w:lvlText w:val="%5."/>
      <w:lvlJc w:val="left"/>
      <w:pPr>
        <w:ind w:left="4745" w:hanging="360"/>
      </w:pPr>
    </w:lvl>
    <w:lvl w:ilvl="5">
      <w:start w:val="1"/>
      <w:numFmt w:val="lowerRoman"/>
      <w:lvlText w:val="%6."/>
      <w:lvlJc w:val="right"/>
      <w:pPr>
        <w:ind w:left="5465" w:hanging="180"/>
      </w:pPr>
    </w:lvl>
    <w:lvl w:ilvl="6">
      <w:start w:val="1"/>
      <w:numFmt w:val="decimal"/>
      <w:lvlText w:val="%7."/>
      <w:lvlJc w:val="left"/>
      <w:pPr>
        <w:ind w:left="6185" w:hanging="360"/>
      </w:pPr>
    </w:lvl>
    <w:lvl w:ilvl="7">
      <w:start w:val="1"/>
      <w:numFmt w:val="lowerLetter"/>
      <w:lvlText w:val="%8."/>
      <w:lvlJc w:val="left"/>
      <w:pPr>
        <w:ind w:left="6905" w:hanging="360"/>
      </w:pPr>
    </w:lvl>
    <w:lvl w:ilvl="8">
      <w:start w:val="1"/>
      <w:numFmt w:val="lowerRoman"/>
      <w:lvlText w:val="%9."/>
      <w:lvlJc w:val="right"/>
      <w:pPr>
        <w:ind w:left="7625" w:hanging="180"/>
      </w:pPr>
    </w:lvl>
  </w:abstractNum>
  <w:abstractNum w:abstractNumId="3" w15:restartNumberingAfterBreak="0">
    <w:nsid w:val="2FA57D28"/>
    <w:multiLevelType w:val="multilevel"/>
    <w:tmpl w:val="81F8A5BA"/>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60FD0713"/>
    <w:multiLevelType w:val="hybridMultilevel"/>
    <w:tmpl w:val="87B00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75C0C58"/>
    <w:multiLevelType w:val="multilevel"/>
    <w:tmpl w:val="7F10F73C"/>
    <w:lvl w:ilvl="0">
      <w:start w:val="40"/>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F430B40"/>
    <w:multiLevelType w:val="multilevel"/>
    <w:tmpl w:val="A9B8714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5"/>
  </w:num>
  <w:num w:numId="2">
    <w:abstractNumId w:val="3"/>
  </w:num>
  <w:num w:numId="3">
    <w:abstractNumId w:val="2"/>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87F"/>
    <w:rsid w:val="00363247"/>
    <w:rsid w:val="003A1568"/>
    <w:rsid w:val="003B1EE3"/>
    <w:rsid w:val="004B2FCA"/>
    <w:rsid w:val="005D5A63"/>
    <w:rsid w:val="00A6087F"/>
    <w:rsid w:val="00A940FF"/>
    <w:rsid w:val="00CA461F"/>
    <w:rsid w:val="00D333E8"/>
    <w:rsid w:val="00DA0935"/>
    <w:rsid w:val="00EF3E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A115EC-BD6D-497E-8238-DA4A06DC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43647A"/>
    <w:rPr>
      <w:rFonts w:ascii="Palatino Linotype" w:eastAsiaTheme="majorEastAsia" w:hAnsi="Palatino Linotype" w:cstheme="majorBidi"/>
      <w:b/>
      <w:color w:val="000000" w:themeColor="text1"/>
      <w:sz w:val="24"/>
      <w:szCs w:val="32"/>
    </w:rPr>
  </w:style>
  <w:style w:type="character" w:customStyle="1" w:styleId="Ttulo2Car">
    <w:name w:val="Título 2 Car"/>
    <w:basedOn w:val="Fuentedeprrafopredeter"/>
    <w:uiPriority w:val="9"/>
    <w:rsid w:val="0043647A"/>
    <w:rPr>
      <w:rFonts w:ascii="Palatino Linotype" w:eastAsiaTheme="majorEastAsia" w:hAnsi="Palatino Linotype" w:cstheme="majorBidi"/>
      <w:b/>
      <w:color w:val="000000" w:themeColor="text1"/>
      <w:sz w:val="24"/>
      <w:szCs w:val="26"/>
    </w:rPr>
  </w:style>
  <w:style w:type="paragraph" w:styleId="Encabezado">
    <w:name w:val="header"/>
    <w:basedOn w:val="Normal"/>
    <w:link w:val="EncabezadoCar"/>
    <w:uiPriority w:val="99"/>
    <w:unhideWhenUsed/>
    <w:rsid w:val="0043647A"/>
    <w:pPr>
      <w:tabs>
        <w:tab w:val="center" w:pos="4252"/>
        <w:tab w:val="right" w:pos="8504"/>
      </w:tabs>
    </w:pPr>
  </w:style>
  <w:style w:type="character" w:customStyle="1" w:styleId="EncabezadoCar">
    <w:name w:val="Encabezado Car"/>
    <w:basedOn w:val="Fuentedeprrafopredeter"/>
    <w:link w:val="Encabezado"/>
    <w:uiPriority w:val="99"/>
    <w:rsid w:val="0043647A"/>
    <w:rPr>
      <w:rFonts w:eastAsiaTheme="minorEastAsia"/>
      <w:sz w:val="24"/>
      <w:szCs w:val="24"/>
      <w:lang w:val="es-ES_tradnl" w:eastAsia="es-ES"/>
    </w:rPr>
  </w:style>
  <w:style w:type="paragraph" w:styleId="Piedepgina">
    <w:name w:val="footer"/>
    <w:basedOn w:val="Normal"/>
    <w:link w:val="PiedepginaCar"/>
    <w:uiPriority w:val="99"/>
    <w:unhideWhenUsed/>
    <w:rsid w:val="0043647A"/>
    <w:pPr>
      <w:tabs>
        <w:tab w:val="center" w:pos="4252"/>
        <w:tab w:val="right" w:pos="8504"/>
      </w:tabs>
    </w:pPr>
  </w:style>
  <w:style w:type="character" w:customStyle="1" w:styleId="PiedepginaCar">
    <w:name w:val="Pie de página Car"/>
    <w:basedOn w:val="Fuentedeprrafopredeter"/>
    <w:link w:val="Piedepgina"/>
    <w:uiPriority w:val="99"/>
    <w:rsid w:val="0043647A"/>
    <w:rPr>
      <w:rFonts w:eastAsiaTheme="minorEastAsia"/>
      <w:sz w:val="24"/>
      <w:szCs w:val="24"/>
      <w:lang w:val="es-ES_tradnl" w:eastAsia="es-ES"/>
    </w:rPr>
  </w:style>
  <w:style w:type="table" w:styleId="Tablaconcuadrcula">
    <w:name w:val="Table Grid"/>
    <w:basedOn w:val="Tablanormal"/>
    <w:uiPriority w:val="59"/>
    <w:rsid w:val="0043647A"/>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3647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647A"/>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3647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3647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3647A"/>
    <w:rPr>
      <w:vertAlign w:val="superscript"/>
    </w:rPr>
  </w:style>
  <w:style w:type="paragraph" w:styleId="Sangradetextonormal">
    <w:name w:val="Body Text Indent"/>
    <w:basedOn w:val="Normal"/>
    <w:link w:val="SangradetextonormalCar"/>
    <w:uiPriority w:val="99"/>
    <w:semiHidden/>
    <w:unhideWhenUsed/>
    <w:rsid w:val="0043647A"/>
    <w:pPr>
      <w:spacing w:after="120"/>
      <w:ind w:left="283"/>
    </w:pPr>
  </w:style>
  <w:style w:type="character" w:customStyle="1" w:styleId="SangradetextonormalCar">
    <w:name w:val="Sangría de texto normal Car"/>
    <w:basedOn w:val="Fuentedeprrafopredeter"/>
    <w:link w:val="Sangradetextonormal"/>
    <w:uiPriority w:val="99"/>
    <w:semiHidden/>
    <w:rsid w:val="0043647A"/>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43647A"/>
    <w:pPr>
      <w:spacing w:after="0"/>
      <w:ind w:left="360" w:firstLine="360"/>
    </w:pPr>
    <w:rPr>
      <w:rFonts w:ascii="Times New Roman" w:eastAsia="Times New Roman" w:hAnsi="Times New Roman" w:cs="Times New Roman"/>
      <w:lang w:val="es-MX"/>
    </w:rPr>
  </w:style>
  <w:style w:type="character" w:customStyle="1" w:styleId="Textoindependienteprimerasangra2Car">
    <w:name w:val="Texto independiente primera sangría 2 Car"/>
    <w:basedOn w:val="SangradetextonormalCar"/>
    <w:link w:val="Textoindependienteprimerasangra2"/>
    <w:uiPriority w:val="99"/>
    <w:rsid w:val="0043647A"/>
    <w:rPr>
      <w:rFonts w:ascii="Times New Roman" w:eastAsia="Times New Roman" w:hAnsi="Times New Roman" w:cs="Times New Roman"/>
      <w:sz w:val="24"/>
      <w:szCs w:val="24"/>
      <w:lang w:val="es-ES_tradnl" w:eastAsia="es-MX"/>
    </w:rPr>
  </w:style>
  <w:style w:type="paragraph" w:styleId="NormalWeb">
    <w:name w:val="Normal (Web)"/>
    <w:basedOn w:val="Normal"/>
    <w:uiPriority w:val="99"/>
    <w:unhideWhenUsed/>
    <w:rsid w:val="00B00CE4"/>
    <w:pPr>
      <w:spacing w:before="100" w:beforeAutospacing="1" w:after="100" w:afterAutospacing="1"/>
    </w:pPr>
    <w:rPr>
      <w:rFonts w:ascii="Times New Roman" w:eastAsia="Times New Roman" w:hAnsi="Times New Roman" w:cs="Times New Roman"/>
      <w:lang w:val="es-MX"/>
    </w:rPr>
  </w:style>
  <w:style w:type="character" w:styleId="Textoennegrita">
    <w:name w:val="Strong"/>
    <w:basedOn w:val="Fuentedeprrafopredeter"/>
    <w:uiPriority w:val="22"/>
    <w:qFormat/>
    <w:rsid w:val="00317781"/>
    <w:rPr>
      <w:b/>
      <w:bCs/>
    </w:rPr>
  </w:style>
  <w:style w:type="paragraph" w:customStyle="1" w:styleId="Citas">
    <w:name w:val="Citas"/>
    <w:basedOn w:val="Normal"/>
    <w:qFormat/>
    <w:rsid w:val="00317781"/>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eNormal5">
    <w:name w:val="Table Normal5"/>
    <w:rsid w:val="00270845"/>
    <w:rPr>
      <w:rFonts w:ascii="Times New Roman" w:eastAsia="Times New Roman" w:hAnsi="Times New Roman" w:cs="Times New Roman"/>
    </w:rPr>
    <w:tblPr>
      <w:tblCellMar>
        <w:top w:w="0" w:type="dxa"/>
        <w:left w:w="0" w:type="dxa"/>
        <w:bottom w:w="0" w:type="dxa"/>
        <w:right w:w="0" w:type="dxa"/>
      </w:tblCellMar>
    </w:tblPr>
  </w:style>
  <w:style w:type="character" w:styleId="Hipervnculo">
    <w:name w:val="Hyperlink"/>
    <w:basedOn w:val="Fuentedeprrafopredeter"/>
    <w:uiPriority w:val="99"/>
    <w:unhideWhenUsed/>
    <w:rsid w:val="005259C3"/>
    <w:rPr>
      <w:color w:val="0563C1" w:themeColor="hyperlink"/>
      <w:u w:val="single"/>
    </w:rPr>
  </w:style>
  <w:style w:type="paragraph" w:customStyle="1" w:styleId="Default">
    <w:name w:val="Default"/>
    <w:qFormat/>
    <w:rsid w:val="003C3B55"/>
    <w:pPr>
      <w:autoSpaceDE w:val="0"/>
      <w:autoSpaceDN w:val="0"/>
      <w:adjustRightInd w:val="0"/>
    </w:pPr>
    <w:rPr>
      <w:rFonts w:ascii="Arial" w:hAnsi="Arial" w:cs="Arial"/>
      <w:color w:val="000000"/>
    </w:rPr>
  </w:style>
  <w:style w:type="paragraph" w:styleId="Sinespaciado">
    <w:name w:val="No Spacing"/>
    <w:aliases w:val="Francesa"/>
    <w:link w:val="SinespaciadoCar"/>
    <w:uiPriority w:val="1"/>
    <w:qFormat/>
    <w:rsid w:val="00893232"/>
    <w:rPr>
      <w:rFonts w:eastAsiaTheme="minorEastAsia"/>
      <w:lang w:eastAsia="es-ES"/>
    </w:rPr>
  </w:style>
  <w:style w:type="character" w:customStyle="1" w:styleId="SinespaciadoCar">
    <w:name w:val="Sin espaciado Car"/>
    <w:aliases w:val="Francesa Car"/>
    <w:link w:val="Sinespaciado"/>
    <w:uiPriority w:val="1"/>
    <w:locked/>
    <w:rsid w:val="00893232"/>
    <w:rPr>
      <w:rFonts w:eastAsiaTheme="minorEastAsia"/>
      <w:sz w:val="24"/>
      <w:szCs w:val="24"/>
      <w:lang w:val="es-ES_tradnl" w:eastAsia="es-ES"/>
    </w:rPr>
  </w:style>
  <w:style w:type="table" w:styleId="Tablanormal1">
    <w:name w:val="Plain Table 1"/>
    <w:basedOn w:val="Tablanormal"/>
    <w:uiPriority w:val="41"/>
    <w:rsid w:val="00E84A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pEogNGsazTgSxQSxSPiKdOcfSQ==">CgMxLjAyDmgueWtmd2l4YWYzYmJ5Mg5oLnE0eHgxdHM1MW4yaDIOaC5mcnZwY3BncDByd2UyDmguc3ExaHI0NHEyOXdzMg5oLnc0d205N3Z4aDZkNDIOaC4ybHM0anEyMHdwNGYyCWguMnM4ZXlvMTIOaC5rd3JkZTgxY3E0OGQyDmguOTB3bHdwOGN0aHIwMg5oLm8xdDYwbHF0anduNjIOaC5kNWExczEycmF1M3I4AHIhMVFFM3c5bk92d2pCNVc4NGtSajdBSXVzVy1wdEFGWXV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40</Pages>
  <Words>9064</Words>
  <Characters>49857</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6</cp:revision>
  <cp:lastPrinted>2025-09-11T16:01:00Z</cp:lastPrinted>
  <dcterms:created xsi:type="dcterms:W3CDTF">2025-08-19T18:08:00Z</dcterms:created>
  <dcterms:modified xsi:type="dcterms:W3CDTF">2025-09-23T23:24:00Z</dcterms:modified>
</cp:coreProperties>
</file>