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BA8F4" w14:textId="5D922788" w:rsidR="00785E98" w:rsidRDefault="005D216E">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w:t>
      </w:r>
      <w:r w:rsidR="00B451BA">
        <w:rPr>
          <w:rFonts w:ascii="Palatino Linotype" w:eastAsia="Palatino Linotype" w:hAnsi="Palatino Linotype" w:cs="Palatino Linotype"/>
          <w:color w:val="000000"/>
        </w:rPr>
        <w:t xml:space="preserve"> de México, a </w:t>
      </w:r>
      <w:r w:rsidR="00CE2F14">
        <w:rPr>
          <w:rFonts w:ascii="Palatino Linotype" w:eastAsia="Palatino Linotype" w:hAnsi="Palatino Linotype" w:cs="Palatino Linotype"/>
          <w:color w:val="000000"/>
        </w:rPr>
        <w:t>dos de abril</w:t>
      </w:r>
      <w:r w:rsidR="00F51907">
        <w:rPr>
          <w:rFonts w:ascii="Palatino Linotype" w:eastAsia="Palatino Linotype" w:hAnsi="Palatino Linotype" w:cs="Palatino Linotype"/>
          <w:color w:val="000000"/>
        </w:rPr>
        <w:t xml:space="preserve"> </w:t>
      </w:r>
      <w:r w:rsidR="00A15154">
        <w:rPr>
          <w:rFonts w:ascii="Palatino Linotype" w:eastAsia="Palatino Linotype" w:hAnsi="Palatino Linotype" w:cs="Palatino Linotype"/>
          <w:color w:val="000000"/>
        </w:rPr>
        <w:t>de dos mil veinticinco</w:t>
      </w:r>
      <w:r>
        <w:rPr>
          <w:rFonts w:ascii="Palatino Linotype" w:eastAsia="Palatino Linotype" w:hAnsi="Palatino Linotype" w:cs="Palatino Linotype"/>
          <w:color w:val="000000"/>
        </w:rPr>
        <w:t>.</w:t>
      </w:r>
    </w:p>
    <w:p w14:paraId="685D7B78" w14:textId="77777777" w:rsidR="00785E98" w:rsidRDefault="00785E98">
      <w:pPr>
        <w:shd w:val="clear" w:color="auto" w:fill="FFFFFF"/>
        <w:spacing w:line="360" w:lineRule="auto"/>
        <w:jc w:val="both"/>
        <w:rPr>
          <w:rFonts w:ascii="Palatino Linotype" w:eastAsia="Palatino Linotype" w:hAnsi="Palatino Linotype" w:cs="Palatino Linotype"/>
          <w:color w:val="000000"/>
        </w:rPr>
      </w:pPr>
    </w:p>
    <w:p w14:paraId="65569AD6" w14:textId="155BA8F5" w:rsidR="00785E98" w:rsidRDefault="00A15154">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sidR="005D216E">
        <w:rPr>
          <w:rFonts w:ascii="Palatino Linotype" w:eastAsia="Palatino Linotype" w:hAnsi="Palatino Linotype" w:cs="Palatino Linotype"/>
        </w:rPr>
        <w:t xml:space="preserve"> </w:t>
      </w:r>
      <w:r>
        <w:rPr>
          <w:rFonts w:ascii="Palatino Linotype" w:eastAsia="Palatino Linotype" w:hAnsi="Palatino Linotype" w:cs="Palatino Linotype"/>
        </w:rPr>
        <w:t>el expediente electrónico formado con motivo del recurso</w:t>
      </w:r>
      <w:r w:rsidR="005D216E">
        <w:rPr>
          <w:rFonts w:ascii="Palatino Linotype" w:eastAsia="Palatino Linotype" w:hAnsi="Palatino Linotype" w:cs="Palatino Linotype"/>
        </w:rPr>
        <w:t xml:space="preserve"> de revisión número</w:t>
      </w:r>
      <w:r w:rsidR="005D216E">
        <w:rPr>
          <w:rFonts w:ascii="Palatino Linotype" w:eastAsia="Palatino Linotype" w:hAnsi="Palatino Linotype" w:cs="Palatino Linotype"/>
          <w:b/>
          <w:sz w:val="23"/>
          <w:szCs w:val="23"/>
        </w:rPr>
        <w:t xml:space="preserve"> 0</w:t>
      </w:r>
      <w:r w:rsidR="00705B42">
        <w:rPr>
          <w:rFonts w:ascii="Palatino Linotype" w:eastAsia="Palatino Linotype" w:hAnsi="Palatino Linotype" w:cs="Palatino Linotype"/>
          <w:b/>
          <w:sz w:val="23"/>
          <w:szCs w:val="23"/>
        </w:rPr>
        <w:t>2</w:t>
      </w:r>
      <w:r w:rsidR="00C1300D">
        <w:rPr>
          <w:rFonts w:ascii="Palatino Linotype" w:eastAsia="Palatino Linotype" w:hAnsi="Palatino Linotype" w:cs="Palatino Linotype"/>
          <w:b/>
          <w:sz w:val="23"/>
          <w:szCs w:val="23"/>
        </w:rPr>
        <w:t>25</w:t>
      </w:r>
      <w:r w:rsidR="00705B42">
        <w:rPr>
          <w:rFonts w:ascii="Palatino Linotype" w:eastAsia="Palatino Linotype" w:hAnsi="Palatino Linotype" w:cs="Palatino Linotype"/>
          <w:b/>
          <w:sz w:val="23"/>
          <w:szCs w:val="23"/>
        </w:rPr>
        <w:t>0</w:t>
      </w:r>
      <w:r>
        <w:rPr>
          <w:rFonts w:ascii="Palatino Linotype" w:eastAsia="Palatino Linotype" w:hAnsi="Palatino Linotype" w:cs="Palatino Linotype"/>
          <w:b/>
          <w:sz w:val="23"/>
          <w:szCs w:val="23"/>
        </w:rPr>
        <w:t>/INFOEM/IP/RR/202</w:t>
      </w:r>
      <w:r w:rsidR="00CA47DE">
        <w:rPr>
          <w:rFonts w:ascii="Palatino Linotype" w:eastAsia="Palatino Linotype" w:hAnsi="Palatino Linotype" w:cs="Palatino Linotype"/>
          <w:b/>
          <w:sz w:val="23"/>
          <w:szCs w:val="23"/>
        </w:rPr>
        <w:t>5</w:t>
      </w:r>
      <w:r>
        <w:rPr>
          <w:rFonts w:ascii="Palatino Linotype" w:eastAsia="Palatino Linotype" w:hAnsi="Palatino Linotype" w:cs="Palatino Linotype"/>
        </w:rPr>
        <w:t xml:space="preserve">, </w:t>
      </w:r>
      <w:r w:rsidR="00C1300D" w:rsidRPr="00C1300D">
        <w:rPr>
          <w:rFonts w:ascii="Palatino Linotype" w:eastAsia="Palatino Linotype" w:hAnsi="Palatino Linotype" w:cs="Palatino Linotype"/>
        </w:rPr>
        <w:t>interpuesto por un particular que al momento de ingresar la solicitud de información e interponer el recurso de revisión, no señaló nombre o seudónimo con el cual desee ser identificado</w:t>
      </w:r>
      <w:r w:rsidR="005D216E">
        <w:rPr>
          <w:rFonts w:ascii="Palatino Linotype" w:eastAsia="Palatino Linotype" w:hAnsi="Palatino Linotype" w:cs="Palatino Linotype"/>
        </w:rPr>
        <w:t>,</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 xml:space="preserve">en lo sucesivo la parte </w:t>
      </w:r>
      <w:r w:rsidR="005D216E">
        <w:rPr>
          <w:rFonts w:ascii="Palatino Linotype" w:eastAsia="Palatino Linotype" w:hAnsi="Palatino Linotype" w:cs="Palatino Linotype"/>
          <w:b/>
        </w:rPr>
        <w:t>Recurrente</w:t>
      </w:r>
      <w:r w:rsidR="005D216E">
        <w:rPr>
          <w:rFonts w:ascii="Palatino Linotype" w:eastAsia="Palatino Linotype" w:hAnsi="Palatino Linotype" w:cs="Palatino Linotype"/>
        </w:rPr>
        <w:t>, en cont</w:t>
      </w:r>
      <w:r w:rsidR="00693587">
        <w:rPr>
          <w:rFonts w:ascii="Palatino Linotype" w:eastAsia="Palatino Linotype" w:hAnsi="Palatino Linotype" w:cs="Palatino Linotype"/>
        </w:rPr>
        <w:t xml:space="preserve">ra de la falta de respuesta del </w:t>
      </w:r>
      <w:r w:rsidR="00C1300D" w:rsidRPr="00C1300D">
        <w:rPr>
          <w:rFonts w:ascii="Palatino Linotype" w:eastAsia="Palatino Linotype" w:hAnsi="Palatino Linotype" w:cs="Palatino Linotype"/>
          <w:b/>
        </w:rPr>
        <w:t>Ayuntamiento de Isidro Fabela</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en lo subsecuente</w:t>
      </w:r>
      <w:r w:rsidR="00CA47DE">
        <w:rPr>
          <w:rFonts w:ascii="Palatino Linotype" w:eastAsia="Palatino Linotype" w:hAnsi="Palatino Linotype" w:cs="Palatino Linotype"/>
        </w:rPr>
        <w:t xml:space="preserve"> el </w:t>
      </w:r>
      <w:r w:rsidR="005D216E">
        <w:rPr>
          <w:rFonts w:ascii="Palatino Linotype" w:eastAsia="Palatino Linotype" w:hAnsi="Palatino Linotype" w:cs="Palatino Linotype"/>
          <w:b/>
        </w:rPr>
        <w:t xml:space="preserve">Sujeto Obligado, </w:t>
      </w:r>
      <w:r w:rsidR="005D216E">
        <w:rPr>
          <w:rFonts w:ascii="Palatino Linotype" w:eastAsia="Palatino Linotype" w:hAnsi="Palatino Linotype" w:cs="Palatino Linotype"/>
        </w:rPr>
        <w:t>se procede a dictar la presente resolución.</w:t>
      </w:r>
    </w:p>
    <w:p w14:paraId="467EE154" w14:textId="77777777" w:rsidR="00785E98" w:rsidRDefault="00785E98">
      <w:pPr>
        <w:shd w:val="clear" w:color="auto" w:fill="FFFFFF"/>
        <w:spacing w:line="360" w:lineRule="auto"/>
        <w:jc w:val="both"/>
        <w:rPr>
          <w:rFonts w:ascii="Palatino Linotype" w:eastAsia="Palatino Linotype" w:hAnsi="Palatino Linotype" w:cs="Palatino Linotype"/>
          <w:color w:val="000000"/>
        </w:rPr>
      </w:pPr>
    </w:p>
    <w:p w14:paraId="0C972857" w14:textId="77777777"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   D E L   A S U N T O</w:t>
      </w:r>
    </w:p>
    <w:p w14:paraId="1DF33666" w14:textId="77777777" w:rsidR="00785E98" w:rsidRDefault="00785E98">
      <w:pPr>
        <w:pBdr>
          <w:top w:val="nil"/>
          <w:left w:val="nil"/>
          <w:bottom w:val="nil"/>
          <w:right w:val="nil"/>
          <w:between w:val="nil"/>
        </w:pBdr>
        <w:rPr>
          <w:color w:val="000000"/>
        </w:rPr>
      </w:pPr>
    </w:p>
    <w:p w14:paraId="167AA1A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w:t>
      </w:r>
      <w:r w:rsidR="00693587">
        <w:rPr>
          <w:rFonts w:ascii="Palatino Linotype" w:eastAsia="Palatino Linotype" w:hAnsi="Palatino Linotype" w:cs="Palatino Linotype"/>
          <w:b/>
          <w:sz w:val="28"/>
          <w:szCs w:val="28"/>
        </w:rPr>
        <w:t>De la</w:t>
      </w:r>
      <w:r>
        <w:rPr>
          <w:rFonts w:ascii="Palatino Linotype" w:eastAsia="Palatino Linotype" w:hAnsi="Palatino Linotype" w:cs="Palatino Linotype"/>
          <w:b/>
          <w:sz w:val="28"/>
          <w:szCs w:val="28"/>
        </w:rPr>
        <w:t xml:space="preserve"> Solic</w:t>
      </w:r>
      <w:r w:rsidR="00693587">
        <w:rPr>
          <w:rFonts w:ascii="Palatino Linotype" w:eastAsia="Palatino Linotype" w:hAnsi="Palatino Linotype" w:cs="Palatino Linotype"/>
          <w:b/>
          <w:sz w:val="28"/>
          <w:szCs w:val="28"/>
        </w:rPr>
        <w:t>itud</w:t>
      </w:r>
      <w:r>
        <w:rPr>
          <w:rFonts w:ascii="Palatino Linotype" w:eastAsia="Palatino Linotype" w:hAnsi="Palatino Linotype" w:cs="Palatino Linotype"/>
          <w:b/>
          <w:sz w:val="28"/>
          <w:szCs w:val="28"/>
        </w:rPr>
        <w:t xml:space="preserve"> de Información.</w:t>
      </w:r>
    </w:p>
    <w:p w14:paraId="02E8BA14" w14:textId="4563333D" w:rsidR="00CA47DE"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fecha </w:t>
      </w:r>
      <w:r w:rsidR="00C1300D">
        <w:rPr>
          <w:rFonts w:ascii="Palatino Linotype" w:eastAsia="Palatino Linotype" w:hAnsi="Palatino Linotype" w:cs="Palatino Linotype"/>
        </w:rPr>
        <w:t>cuatro de febrero</w:t>
      </w:r>
      <w:r w:rsidR="006B41E2">
        <w:rPr>
          <w:rFonts w:ascii="Palatino Linotype" w:eastAsia="Palatino Linotype" w:hAnsi="Palatino Linotype" w:cs="Palatino Linotype"/>
        </w:rPr>
        <w:t xml:space="preserve"> de dos mil veinticinco</w:t>
      </w:r>
      <w:r>
        <w:rPr>
          <w:rFonts w:ascii="Palatino Linotype" w:eastAsia="Palatino Linotype" w:hAnsi="Palatino Linotype" w:cs="Palatino Linotype"/>
        </w:rPr>
        <w:t>,</w:t>
      </w:r>
      <w:r w:rsidR="00693587">
        <w:rPr>
          <w:rFonts w:ascii="Palatino Linotype" w:eastAsia="Palatino Linotype" w:hAnsi="Palatino Linotype" w:cs="Palatino Linotype"/>
        </w:rPr>
        <w:t xml:space="preserv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presentó a través del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ante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 xml:space="preserve">la </w:t>
      </w:r>
      <w:r>
        <w:rPr>
          <w:rFonts w:ascii="Palatino Linotype" w:eastAsia="Palatino Linotype" w:hAnsi="Palatino Linotype" w:cs="Palatino Linotype"/>
        </w:rPr>
        <w:t xml:space="preserve">solicitud de acceso a la información pública, registrada bajo </w:t>
      </w:r>
      <w:r w:rsidR="00693587">
        <w:rPr>
          <w:rFonts w:ascii="Palatino Linotype" w:eastAsia="Palatino Linotype" w:hAnsi="Palatino Linotype" w:cs="Palatino Linotype"/>
        </w:rPr>
        <w:t>el número de expediente</w:t>
      </w:r>
      <w:r>
        <w:rPr>
          <w:rFonts w:ascii="Palatino Linotype" w:eastAsia="Palatino Linotype" w:hAnsi="Palatino Linotype" w:cs="Palatino Linotype"/>
        </w:rPr>
        <w:t xml:space="preserve"> </w:t>
      </w:r>
      <w:r w:rsidR="00C1300D" w:rsidRPr="00C1300D">
        <w:rPr>
          <w:rFonts w:ascii="Palatino Linotype" w:eastAsia="Palatino Linotype" w:hAnsi="Palatino Linotype" w:cs="Palatino Linotype"/>
          <w:b/>
        </w:rPr>
        <w:t>00018/ISIFABE/IP/2025</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Pr>
          <w:rFonts w:ascii="Palatino Linotype" w:eastAsia="Palatino Linotype" w:hAnsi="Palatino Linotype" w:cs="Palatino Linotype"/>
        </w:rPr>
        <w:t>mediante la cual</w:t>
      </w:r>
      <w:r>
        <w:rPr>
          <w:rFonts w:ascii="Palatino Linotype" w:eastAsia="Palatino Linotype" w:hAnsi="Palatino Linotype" w:cs="Palatino Linotype"/>
        </w:rPr>
        <w:t xml:space="preserve"> solicitó lo siguiente: </w:t>
      </w:r>
    </w:p>
    <w:p w14:paraId="3CD09154" w14:textId="77777777" w:rsidR="00705B42" w:rsidRPr="00C1300D" w:rsidRDefault="00705B42" w:rsidP="00C1300D">
      <w:pPr>
        <w:pStyle w:val="Sinespaciado"/>
        <w:rPr>
          <w:rStyle w:val="Ttulodellibro"/>
          <w:rFonts w:ascii="Palatino Linotype" w:eastAsia="Palatino Linotype" w:hAnsi="Palatino Linotype" w:cs="Palatino Linotype"/>
          <w:b w:val="0"/>
          <w:bCs w:val="0"/>
          <w:i w:val="0"/>
          <w:iCs w:val="0"/>
          <w:spacing w:val="0"/>
          <w:sz w:val="16"/>
          <w:szCs w:val="16"/>
        </w:rPr>
      </w:pPr>
    </w:p>
    <w:p w14:paraId="19491BC9" w14:textId="760A47A7" w:rsidR="00693587" w:rsidRDefault="00693587" w:rsidP="00C1300D">
      <w:pPr>
        <w:ind w:left="567" w:right="474"/>
        <w:jc w:val="both"/>
        <w:rPr>
          <w:rFonts w:ascii="Palatino Linotype" w:eastAsia="Palatino Linotype" w:hAnsi="Palatino Linotype" w:cs="Palatino Linotype"/>
          <w:i/>
        </w:rPr>
      </w:pPr>
      <w:r w:rsidRPr="00693587">
        <w:rPr>
          <w:rFonts w:ascii="Palatino Linotype" w:eastAsia="Palatino Linotype" w:hAnsi="Palatino Linotype" w:cs="Palatino Linotype"/>
          <w:i/>
        </w:rPr>
        <w:t>“</w:t>
      </w:r>
      <w:r w:rsidR="00C1300D" w:rsidRPr="00C1300D">
        <w:rPr>
          <w:rFonts w:ascii="Palatino Linotype" w:eastAsia="Palatino Linotype" w:hAnsi="Palatino Linotype" w:cs="Palatino Linotype"/>
          <w:i/>
        </w:rPr>
        <w:t xml:space="preserve">solicito la transparencia de la </w:t>
      </w:r>
      <w:proofErr w:type="spellStart"/>
      <w:r w:rsidR="00C1300D" w:rsidRPr="00C1300D">
        <w:rPr>
          <w:rFonts w:ascii="Palatino Linotype" w:eastAsia="Palatino Linotype" w:hAnsi="Palatino Linotype" w:cs="Palatino Linotype"/>
          <w:i/>
        </w:rPr>
        <w:t>nomina</w:t>
      </w:r>
      <w:proofErr w:type="spellEnd"/>
      <w:r w:rsidR="00C1300D" w:rsidRPr="00C1300D">
        <w:rPr>
          <w:rFonts w:ascii="Palatino Linotype" w:eastAsia="Palatino Linotype" w:hAnsi="Palatino Linotype" w:cs="Palatino Linotype"/>
          <w:i/>
        </w:rPr>
        <w:t xml:space="preserve"> de todos los servidores públicos del ayuntamiento de isidro Fabela en su versión publica para que no haya tema de que no me quieren dar la información del mes de enero de las dos quincenas que van, además de saber </w:t>
      </w:r>
      <w:proofErr w:type="spellStart"/>
      <w:r w:rsidR="00C1300D" w:rsidRPr="00C1300D">
        <w:rPr>
          <w:rFonts w:ascii="Palatino Linotype" w:eastAsia="Palatino Linotype" w:hAnsi="Palatino Linotype" w:cs="Palatino Linotype"/>
          <w:i/>
        </w:rPr>
        <w:t>por que</w:t>
      </w:r>
      <w:proofErr w:type="spellEnd"/>
      <w:r w:rsidR="00C1300D" w:rsidRPr="00C1300D">
        <w:rPr>
          <w:rFonts w:ascii="Palatino Linotype" w:eastAsia="Palatino Linotype" w:hAnsi="Palatino Linotype" w:cs="Palatino Linotype"/>
          <w:i/>
        </w:rPr>
        <w:t xml:space="preserve"> no se han subido a su </w:t>
      </w:r>
      <w:proofErr w:type="spellStart"/>
      <w:r w:rsidR="00C1300D" w:rsidRPr="00C1300D">
        <w:rPr>
          <w:rFonts w:ascii="Palatino Linotype" w:eastAsia="Palatino Linotype" w:hAnsi="Palatino Linotype" w:cs="Palatino Linotype"/>
          <w:i/>
        </w:rPr>
        <w:t>pagina</w:t>
      </w:r>
      <w:proofErr w:type="spellEnd"/>
      <w:r w:rsidR="00C1300D" w:rsidRPr="00C1300D">
        <w:rPr>
          <w:rFonts w:ascii="Palatino Linotype" w:eastAsia="Palatino Linotype" w:hAnsi="Palatino Linotype" w:cs="Palatino Linotype"/>
          <w:i/>
        </w:rPr>
        <w:t xml:space="preserve"> municipal web los nombres de las personas que están en los cargos administrativos, ya un mes de su entrada y no veo información actualizada solo se ve la </w:t>
      </w:r>
      <w:proofErr w:type="spellStart"/>
      <w:r w:rsidR="00C1300D" w:rsidRPr="00C1300D">
        <w:rPr>
          <w:rFonts w:ascii="Palatino Linotype" w:eastAsia="Palatino Linotype" w:hAnsi="Palatino Linotype" w:cs="Palatino Linotype"/>
          <w:i/>
        </w:rPr>
        <w:t>nformación</w:t>
      </w:r>
      <w:proofErr w:type="spellEnd"/>
      <w:r w:rsidR="00C1300D" w:rsidRPr="00C1300D">
        <w:rPr>
          <w:rFonts w:ascii="Palatino Linotype" w:eastAsia="Palatino Linotype" w:hAnsi="Palatino Linotype" w:cs="Palatino Linotype"/>
          <w:i/>
        </w:rPr>
        <w:t xml:space="preserve"> de la administración pasada</w:t>
      </w:r>
      <w:r w:rsidRPr="00693587">
        <w:rPr>
          <w:rFonts w:ascii="Palatino Linotype" w:eastAsia="Palatino Linotype" w:hAnsi="Palatino Linotype" w:cs="Palatino Linotype"/>
          <w:i/>
        </w:rPr>
        <w:t xml:space="preserve">” (Sic). </w:t>
      </w:r>
    </w:p>
    <w:p w14:paraId="121490CA" w14:textId="77777777" w:rsidR="006B41E2" w:rsidRPr="00693587" w:rsidRDefault="006B41E2" w:rsidP="006B41E2">
      <w:pPr>
        <w:spacing w:line="276" w:lineRule="auto"/>
        <w:ind w:left="567" w:right="474"/>
        <w:jc w:val="both"/>
        <w:rPr>
          <w:rFonts w:ascii="Palatino Linotype" w:eastAsia="Palatino Linotype" w:hAnsi="Palatino Linotype" w:cs="Palatino Linotype"/>
          <w:i/>
        </w:rPr>
      </w:pPr>
    </w:p>
    <w:p w14:paraId="14D55A45" w14:textId="6F63E30B" w:rsidR="00705B42" w:rsidRDefault="005D216E">
      <w:pPr>
        <w:spacing w:line="360" w:lineRule="auto"/>
        <w:ind w:right="850"/>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w:t>
      </w:r>
      <w:bookmarkStart w:id="0" w:name="_GoBack"/>
      <w:bookmarkEnd w:id="0"/>
    </w:p>
    <w:p w14:paraId="6E7FFE41" w14:textId="77777777"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SEGUNDO. De la respuesta del Sujeto Obligado.</w:t>
      </w:r>
    </w:p>
    <w:p w14:paraId="3F49FAC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expediente electrónico </w:t>
      </w:r>
      <w:r>
        <w:rPr>
          <w:rFonts w:ascii="Palatino Linotype" w:eastAsia="Palatino Linotype" w:hAnsi="Palatino Linotype" w:cs="Palatino Linotype"/>
          <w:b/>
        </w:rPr>
        <w:t>SAIMEX</w:t>
      </w:r>
      <w:r>
        <w:rPr>
          <w:rFonts w:ascii="Palatino Linotype" w:eastAsia="Palatino Linotype" w:hAnsi="Palatino Linotype" w:cs="Palatino Linotype"/>
        </w:rPr>
        <w:t>, se aprecia que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sidR="00693587">
        <w:rPr>
          <w:rFonts w:ascii="Palatino Linotype" w:eastAsia="Palatino Linotype" w:hAnsi="Palatino Linotype" w:cs="Palatino Linotype"/>
        </w:rPr>
        <w:t>fue omiso en dar respuesta a la solicitud de información presentada</w:t>
      </w:r>
      <w:r>
        <w:rPr>
          <w:rFonts w:ascii="Palatino Linotype" w:eastAsia="Palatino Linotype" w:hAnsi="Palatino Linotype" w:cs="Palatino Linotype"/>
        </w:rPr>
        <w:t xml:space="preserve"> por</w:t>
      </w:r>
      <w:r w:rsidR="00693587">
        <w:rPr>
          <w:rFonts w:ascii="Palatino Linotype" w:eastAsia="Palatino Linotype" w:hAnsi="Palatino Linotype" w:cs="Palatino Linotype"/>
        </w:rPr>
        <w:t xml:space="preserve"> el</w:t>
      </w:r>
      <w:r w:rsidR="00CA19C9">
        <w:rPr>
          <w:rFonts w:ascii="Palatino Linotype" w:eastAsia="Palatino Linotype" w:hAnsi="Palatino Linotype" w:cs="Palatino Linotype"/>
        </w:rPr>
        <w:t xml:space="preserve"> particular</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Derivado de lo anterior, se constituye la figura de la </w:t>
      </w:r>
      <w:r>
        <w:rPr>
          <w:rFonts w:ascii="Palatino Linotype" w:eastAsia="Palatino Linotype" w:hAnsi="Palatino Linotype" w:cs="Palatino Linotype"/>
          <w:b/>
          <w:i/>
        </w:rPr>
        <w:t>Negativa Ficta</w:t>
      </w:r>
      <w:r>
        <w:rPr>
          <w:rFonts w:ascii="Palatino Linotype" w:eastAsia="Palatino Linotype" w:hAnsi="Palatino Linotype" w:cs="Palatino Linotype"/>
        </w:rPr>
        <w:t xml:space="preserve">, cuya esencia consiste en atribuir un efecto negativo de la autoridad administrativa frente a las instancias y solicitudes que hagan los particulares. </w:t>
      </w:r>
    </w:p>
    <w:p w14:paraId="14256A66" w14:textId="77777777" w:rsidR="00785E98" w:rsidRDefault="00785E98">
      <w:pPr>
        <w:spacing w:line="360" w:lineRule="auto"/>
        <w:jc w:val="both"/>
        <w:rPr>
          <w:rFonts w:ascii="Palatino Linotype" w:eastAsia="Palatino Linotype" w:hAnsi="Palatino Linotype" w:cs="Palatino Linotype"/>
        </w:rPr>
      </w:pPr>
    </w:p>
    <w:p w14:paraId="7A6F8BF0" w14:textId="77777777"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TERCERO. Del recurso de revisión.</w:t>
      </w:r>
    </w:p>
    <w:p w14:paraId="727D5828" w14:textId="4C0033ED" w:rsidR="00785E98" w:rsidRDefault="005D216E" w:rsidP="00E94B1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la falta de respuesta por </w:t>
      </w:r>
      <w:r w:rsidR="00CA19C9">
        <w:rPr>
          <w:rFonts w:ascii="Palatino Linotype" w:eastAsia="Palatino Linotype" w:hAnsi="Palatino Linotype" w:cs="Palatino Linotype"/>
        </w:rPr>
        <w:t>parte d</w:t>
      </w:r>
      <w:r w:rsidR="00693587">
        <w:rPr>
          <w:rFonts w:ascii="Palatino Linotype" w:eastAsia="Palatino Linotype" w:hAnsi="Palatino Linotype" w:cs="Palatino Linotype"/>
        </w:rPr>
        <w:t>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sidRPr="00693587">
        <w:rPr>
          <w:rFonts w:ascii="Palatino Linotype" w:eastAsia="Palatino Linotype" w:hAnsi="Palatino Linotype" w:cs="Palatino Linotype"/>
        </w:rPr>
        <w:t>el</w:t>
      </w:r>
      <w:r w:rsidR="00CA19C9">
        <w:rPr>
          <w:rFonts w:ascii="Palatino Linotype" w:eastAsia="Palatino Linotype" w:hAnsi="Palatino Linotype" w:cs="Palatino Linotype"/>
        </w:rPr>
        <w:t xml:space="preserve"> ahora</w:t>
      </w:r>
      <w:r w:rsidR="00693587" w:rsidRPr="00693587">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interpuso </w:t>
      </w:r>
      <w:r w:rsidR="00693587">
        <w:rPr>
          <w:rFonts w:ascii="Palatino Linotype" w:eastAsia="Palatino Linotype" w:hAnsi="Palatino Linotype" w:cs="Palatino Linotype"/>
        </w:rPr>
        <w:t>el presente recurso</w:t>
      </w:r>
      <w:r>
        <w:rPr>
          <w:rFonts w:ascii="Palatino Linotype" w:eastAsia="Palatino Linotype" w:hAnsi="Palatino Linotype" w:cs="Palatino Linotype"/>
        </w:rPr>
        <w:t xml:space="preserve"> de revisión, en fecha </w:t>
      </w:r>
      <w:r w:rsidR="0004245C">
        <w:rPr>
          <w:rFonts w:ascii="Palatino Linotype" w:eastAsia="Palatino Linotype" w:hAnsi="Palatino Linotype" w:cs="Palatino Linotype"/>
        </w:rPr>
        <w:t>veinti</w:t>
      </w:r>
      <w:r w:rsidR="00664FBF">
        <w:rPr>
          <w:rFonts w:ascii="Palatino Linotype" w:eastAsia="Palatino Linotype" w:hAnsi="Palatino Linotype" w:cs="Palatino Linotype"/>
        </w:rPr>
        <w:t>ocho</w:t>
      </w:r>
      <w:r w:rsidR="00CA47DE">
        <w:rPr>
          <w:rFonts w:ascii="Palatino Linotype" w:eastAsia="Palatino Linotype" w:hAnsi="Palatino Linotype" w:cs="Palatino Linotype"/>
        </w:rPr>
        <w:t xml:space="preserve"> de febrero</w:t>
      </w:r>
      <w:r>
        <w:rPr>
          <w:rFonts w:ascii="Palatino Linotype" w:eastAsia="Palatino Linotype" w:hAnsi="Palatino Linotype" w:cs="Palatino Linotype"/>
        </w:rPr>
        <w:t xml:space="preserve"> de dos mil veintic</w:t>
      </w:r>
      <w:r w:rsidR="00CA47DE">
        <w:rPr>
          <w:rFonts w:ascii="Palatino Linotype" w:eastAsia="Palatino Linotype" w:hAnsi="Palatino Linotype" w:cs="Palatino Linotype"/>
        </w:rPr>
        <w:t>inco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el cual fue registrado</w:t>
      </w:r>
      <w:r>
        <w:rPr>
          <w:rFonts w:ascii="Palatino Linotype" w:eastAsia="Palatino Linotype" w:hAnsi="Palatino Linotype" w:cs="Palatino Linotype"/>
        </w:rPr>
        <w:t xml:space="preserve"> con </w:t>
      </w:r>
      <w:r w:rsidR="00693587">
        <w:rPr>
          <w:rFonts w:ascii="Palatino Linotype" w:eastAsia="Palatino Linotype" w:hAnsi="Palatino Linotype" w:cs="Palatino Linotype"/>
        </w:rPr>
        <w:t>el expediente</w:t>
      </w:r>
      <w:r>
        <w:rPr>
          <w:rFonts w:ascii="Palatino Linotype" w:eastAsia="Palatino Linotype" w:hAnsi="Palatino Linotype" w:cs="Palatino Linotype"/>
        </w:rPr>
        <w:t xml:space="preserve"> número </w:t>
      </w:r>
      <w:r>
        <w:rPr>
          <w:rFonts w:ascii="Palatino Linotype" w:eastAsia="Palatino Linotype" w:hAnsi="Palatino Linotype" w:cs="Palatino Linotype"/>
          <w:b/>
          <w:sz w:val="23"/>
          <w:szCs w:val="23"/>
        </w:rPr>
        <w:t>0</w:t>
      </w:r>
      <w:r w:rsidR="00705B42">
        <w:rPr>
          <w:rFonts w:ascii="Palatino Linotype" w:eastAsia="Palatino Linotype" w:hAnsi="Palatino Linotype" w:cs="Palatino Linotype"/>
          <w:b/>
          <w:sz w:val="23"/>
          <w:szCs w:val="23"/>
        </w:rPr>
        <w:t>2</w:t>
      </w:r>
      <w:r w:rsidR="00664FBF">
        <w:rPr>
          <w:rFonts w:ascii="Palatino Linotype" w:eastAsia="Palatino Linotype" w:hAnsi="Palatino Linotype" w:cs="Palatino Linotype"/>
          <w:b/>
          <w:sz w:val="23"/>
          <w:szCs w:val="23"/>
        </w:rPr>
        <w:t>25</w:t>
      </w:r>
      <w:r w:rsidR="00705B42">
        <w:rPr>
          <w:rFonts w:ascii="Palatino Linotype" w:eastAsia="Palatino Linotype" w:hAnsi="Palatino Linotype" w:cs="Palatino Linotype"/>
          <w:b/>
          <w:sz w:val="23"/>
          <w:szCs w:val="23"/>
        </w:rPr>
        <w:t>0</w:t>
      </w:r>
      <w:r>
        <w:rPr>
          <w:rFonts w:ascii="Palatino Linotype" w:eastAsia="Palatino Linotype" w:hAnsi="Palatino Linotype" w:cs="Palatino Linotype"/>
          <w:b/>
          <w:sz w:val="23"/>
          <w:szCs w:val="23"/>
        </w:rPr>
        <w:t>/INFOEM/IP/RR/202</w:t>
      </w:r>
      <w:r w:rsidR="00CA47DE">
        <w:rPr>
          <w:rFonts w:ascii="Palatino Linotype" w:eastAsia="Palatino Linotype" w:hAnsi="Palatino Linotype" w:cs="Palatino Linotype"/>
          <w:b/>
          <w:sz w:val="23"/>
          <w:szCs w:val="23"/>
        </w:rPr>
        <w:t>5</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el cual arguye, las siguientes manifestaciones: </w:t>
      </w:r>
    </w:p>
    <w:p w14:paraId="0B590D79" w14:textId="77777777" w:rsidR="00E94B1F" w:rsidRPr="00E94B1F" w:rsidRDefault="00E94B1F" w:rsidP="00E94B1F">
      <w:pPr>
        <w:spacing w:line="360" w:lineRule="auto"/>
        <w:jc w:val="both"/>
        <w:rPr>
          <w:rFonts w:ascii="Palatino Linotype" w:eastAsia="Palatino Linotype" w:hAnsi="Palatino Linotype" w:cs="Palatino Linotype"/>
        </w:rPr>
      </w:pPr>
    </w:p>
    <w:p w14:paraId="4DABE86C" w14:textId="0F8C1047" w:rsidR="00785E98" w:rsidRPr="00693587" w:rsidRDefault="00693587" w:rsidP="0004245C">
      <w:pPr>
        <w:pStyle w:val="Prrafodelista"/>
        <w:numPr>
          <w:ilvl w:val="0"/>
          <w:numId w:val="2"/>
        </w:numPr>
        <w:pBdr>
          <w:top w:val="nil"/>
          <w:left w:val="nil"/>
          <w:bottom w:val="nil"/>
          <w:right w:val="nil"/>
          <w:between w:val="nil"/>
        </w:pBdr>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Acto impugnado:</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w:t>
      </w:r>
      <w:r w:rsidR="00664FBF" w:rsidRPr="00664FBF">
        <w:rPr>
          <w:rFonts w:ascii="Palatino Linotype" w:eastAsia="Palatino Linotype" w:hAnsi="Palatino Linotype" w:cs="Palatino Linotype"/>
          <w:i/>
          <w:color w:val="000000"/>
        </w:rPr>
        <w:t>ya paso la fecha donde me darían respuesta y no se me ha presentado nada</w:t>
      </w:r>
      <w:r w:rsidRPr="00693587">
        <w:rPr>
          <w:rFonts w:ascii="Palatino Linotype" w:eastAsia="Palatino Linotype" w:hAnsi="Palatino Linotype" w:cs="Palatino Linotype"/>
          <w:i/>
          <w:color w:val="000000"/>
        </w:rPr>
        <w:t>” (Sic).</w:t>
      </w:r>
    </w:p>
    <w:p w14:paraId="570054AB" w14:textId="77777777" w:rsidR="00693587" w:rsidRDefault="00693587" w:rsidP="00693587">
      <w:pPr>
        <w:pStyle w:val="Prrafodelista"/>
        <w:pBdr>
          <w:top w:val="nil"/>
          <w:left w:val="nil"/>
          <w:bottom w:val="nil"/>
          <w:right w:val="nil"/>
          <w:between w:val="nil"/>
        </w:pBdr>
        <w:rPr>
          <w:rFonts w:ascii="Palatino Linotype" w:eastAsia="Palatino Linotype" w:hAnsi="Palatino Linotype" w:cs="Palatino Linotype"/>
          <w:color w:val="000000"/>
        </w:rPr>
      </w:pPr>
    </w:p>
    <w:p w14:paraId="42BD115E" w14:textId="18EF812F" w:rsidR="00693587" w:rsidRPr="00693587" w:rsidRDefault="00693587" w:rsidP="0004245C">
      <w:pPr>
        <w:pStyle w:val="Prrafodelista"/>
        <w:numPr>
          <w:ilvl w:val="0"/>
          <w:numId w:val="2"/>
        </w:numPr>
        <w:pBdr>
          <w:top w:val="nil"/>
          <w:left w:val="nil"/>
          <w:bottom w:val="nil"/>
          <w:right w:val="nil"/>
          <w:between w:val="nil"/>
        </w:pBdr>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Razones o motivos de la inconformidad:</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w:t>
      </w:r>
      <w:r w:rsidR="00664FBF" w:rsidRPr="00664FBF">
        <w:rPr>
          <w:rFonts w:ascii="Palatino Linotype" w:eastAsia="Palatino Linotype" w:hAnsi="Palatino Linotype" w:cs="Palatino Linotype"/>
          <w:i/>
          <w:color w:val="000000"/>
        </w:rPr>
        <w:t>no me han otorgado la información</w:t>
      </w:r>
      <w:r w:rsidRPr="00693587">
        <w:rPr>
          <w:rFonts w:ascii="Palatino Linotype" w:eastAsia="Palatino Linotype" w:hAnsi="Palatino Linotype" w:cs="Palatino Linotype"/>
          <w:i/>
          <w:color w:val="000000"/>
        </w:rPr>
        <w:t xml:space="preserve">” (Sic). </w:t>
      </w:r>
    </w:p>
    <w:p w14:paraId="6A50168B"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649132A0" w14:textId="77777777" w:rsidR="00CA47DE" w:rsidRPr="00CA47DE" w:rsidRDefault="00CA47DE">
      <w:pPr>
        <w:pBdr>
          <w:top w:val="nil"/>
          <w:left w:val="nil"/>
          <w:bottom w:val="nil"/>
          <w:right w:val="nil"/>
          <w:between w:val="nil"/>
        </w:pBdr>
        <w:rPr>
          <w:rFonts w:ascii="Palatino Linotype" w:eastAsia="Palatino Linotype" w:hAnsi="Palatino Linotype" w:cs="Palatino Linotype"/>
          <w:color w:val="000000"/>
          <w:sz w:val="18"/>
          <w:szCs w:val="18"/>
        </w:rPr>
      </w:pPr>
    </w:p>
    <w:p w14:paraId="1D7DB2B5" w14:textId="77777777" w:rsidR="00785E98" w:rsidRPr="00E94B1F" w:rsidRDefault="005D216E">
      <w:pPr>
        <w:spacing w:line="360" w:lineRule="auto"/>
        <w:jc w:val="both"/>
        <w:rPr>
          <w:rFonts w:ascii="Palatino Linotype" w:eastAsia="Palatino Linotype" w:hAnsi="Palatino Linotype" w:cs="Palatino Linotype"/>
          <w:b/>
          <w:sz w:val="28"/>
          <w:szCs w:val="28"/>
        </w:rPr>
      </w:pPr>
      <w:r w:rsidRPr="00E94B1F">
        <w:rPr>
          <w:rFonts w:ascii="Palatino Linotype" w:eastAsia="Palatino Linotype" w:hAnsi="Palatino Linotype" w:cs="Palatino Linotype"/>
          <w:b/>
          <w:sz w:val="28"/>
          <w:szCs w:val="28"/>
        </w:rPr>
        <w:t>CUARTO</w:t>
      </w:r>
      <w:r w:rsidRPr="00E94B1F">
        <w:rPr>
          <w:rFonts w:ascii="Palatino Linotype" w:eastAsia="Palatino Linotype" w:hAnsi="Palatino Linotype" w:cs="Palatino Linotype"/>
          <w:b/>
        </w:rPr>
        <w:t xml:space="preserve">. </w:t>
      </w:r>
      <w:r w:rsidRPr="00E94B1F">
        <w:rPr>
          <w:rFonts w:ascii="Palatino Linotype" w:eastAsia="Palatino Linotype" w:hAnsi="Palatino Linotype" w:cs="Palatino Linotype"/>
          <w:b/>
          <w:sz w:val="28"/>
          <w:szCs w:val="28"/>
        </w:rPr>
        <w:t>Del turno del recurso de revisión.</w:t>
      </w:r>
    </w:p>
    <w:p w14:paraId="1F8FD466" w14:textId="6441571E" w:rsidR="00E94B1F" w:rsidRDefault="00CA19C9">
      <w:pPr>
        <w:spacing w:line="360" w:lineRule="auto"/>
        <w:jc w:val="both"/>
        <w:rPr>
          <w:rFonts w:ascii="Palatino Linotype" w:eastAsia="Palatino Linotype" w:hAnsi="Palatino Linotype" w:cs="Palatino Linotype"/>
        </w:rPr>
      </w:pPr>
      <w:r w:rsidRPr="00E94B1F">
        <w:rPr>
          <w:rFonts w:ascii="Palatino Linotype" w:eastAsia="Palatino Linotype" w:hAnsi="Palatino Linotype" w:cs="Palatino Linotype"/>
        </w:rPr>
        <w:t>Medio de impugnación que le fue turnado al Comisionado Presidente</w:t>
      </w:r>
      <w:r w:rsidR="005D216E" w:rsidRPr="00E94B1F">
        <w:rPr>
          <w:rFonts w:ascii="Palatino Linotype" w:eastAsia="Palatino Linotype" w:hAnsi="Palatino Linotype" w:cs="Palatino Linotype"/>
        </w:rPr>
        <w:t xml:space="preserve"> </w:t>
      </w:r>
      <w:r w:rsidR="005D216E" w:rsidRPr="00E94B1F">
        <w:rPr>
          <w:rFonts w:ascii="Palatino Linotype" w:eastAsia="Palatino Linotype" w:hAnsi="Palatino Linotype" w:cs="Palatino Linotype"/>
          <w:b/>
        </w:rPr>
        <w:t>José Martínez Vilchis</w:t>
      </w:r>
      <w:r w:rsidR="005D216E" w:rsidRPr="00E94B1F">
        <w:rPr>
          <w:rFonts w:ascii="Palatino Linotype" w:eastAsia="Palatino Linotype" w:hAnsi="Palatino Linotype" w:cs="Palatino Linotype"/>
        </w:rPr>
        <w:t>, por medio del sistema electrónico en términos del arábigo 185, fracción I, de la</w:t>
      </w:r>
      <w:r w:rsidR="005D216E">
        <w:rPr>
          <w:rFonts w:ascii="Palatino Linotype" w:eastAsia="Palatino Linotype" w:hAnsi="Palatino Linotype" w:cs="Palatino Linotype"/>
        </w:rPr>
        <w:t xml:space="preserve"> Ley de Transparencia y Acceso a la información Pública del Es</w:t>
      </w:r>
      <w:r>
        <w:rPr>
          <w:rFonts w:ascii="Palatino Linotype" w:eastAsia="Palatino Linotype" w:hAnsi="Palatino Linotype" w:cs="Palatino Linotype"/>
        </w:rPr>
        <w:t>tado de México y Municipios, del cual recayó acuerdo</w:t>
      </w:r>
      <w:r w:rsidR="005D216E">
        <w:rPr>
          <w:rFonts w:ascii="Palatino Linotype" w:eastAsia="Palatino Linotype" w:hAnsi="Palatino Linotype" w:cs="Palatino Linotype"/>
        </w:rPr>
        <w:t xml:space="preserve"> de admisión en fecha </w:t>
      </w:r>
      <w:r w:rsidR="00664FBF">
        <w:rPr>
          <w:rFonts w:ascii="Palatino Linotype" w:eastAsia="Palatino Linotype" w:hAnsi="Palatino Linotype" w:cs="Palatino Linotype"/>
        </w:rPr>
        <w:t>siete</w:t>
      </w:r>
      <w:r w:rsidR="00705B42">
        <w:rPr>
          <w:rFonts w:ascii="Palatino Linotype" w:eastAsia="Palatino Linotype" w:hAnsi="Palatino Linotype" w:cs="Palatino Linotype"/>
        </w:rPr>
        <w:t xml:space="preserve"> de marzo</w:t>
      </w:r>
      <w:r>
        <w:rPr>
          <w:rFonts w:ascii="Palatino Linotype" w:eastAsia="Palatino Linotype" w:hAnsi="Palatino Linotype" w:cs="Palatino Linotype"/>
        </w:rPr>
        <w:t xml:space="preserve"> </w:t>
      </w:r>
      <w:r w:rsidR="005D216E">
        <w:rPr>
          <w:rFonts w:ascii="Palatino Linotype" w:eastAsia="Palatino Linotype" w:hAnsi="Palatino Linotype" w:cs="Palatino Linotype"/>
        </w:rPr>
        <w:t>de dos mil veint</w:t>
      </w:r>
      <w:r>
        <w:rPr>
          <w:rFonts w:ascii="Palatino Linotype" w:eastAsia="Palatino Linotype" w:hAnsi="Palatino Linotype" w:cs="Palatino Linotype"/>
        </w:rPr>
        <w:t>ic</w:t>
      </w:r>
      <w:r w:rsidR="00E94B1F">
        <w:rPr>
          <w:rFonts w:ascii="Palatino Linotype" w:eastAsia="Palatino Linotype" w:hAnsi="Palatino Linotype" w:cs="Palatino Linotype"/>
        </w:rPr>
        <w:t>inco</w:t>
      </w:r>
      <w:r>
        <w:rPr>
          <w:rFonts w:ascii="Palatino Linotype" w:eastAsia="Palatino Linotype" w:hAnsi="Palatino Linotype" w:cs="Palatino Linotype"/>
        </w:rPr>
        <w:t>, determinándose en él</w:t>
      </w:r>
      <w:r w:rsidR="005D216E">
        <w:rPr>
          <w:rFonts w:ascii="Palatino Linotype" w:eastAsia="Palatino Linotype" w:hAnsi="Palatino Linotype" w:cs="Palatino Linotype"/>
        </w:rPr>
        <w:t>, un plazo de siete días para que las partes manifestaran lo que a su derecho corresponda en términos del numeral ya citado.</w:t>
      </w:r>
    </w:p>
    <w:p w14:paraId="2547831B" w14:textId="77777777"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QUINT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 la etapa de instrucción.</w:t>
      </w:r>
    </w:p>
    <w:p w14:paraId="3D71DD04" w14:textId="672EE8B8" w:rsidR="00CA19C9"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una vez transcurrido el término legal referido,</w:t>
      </w:r>
      <w:r w:rsidR="00CA19C9">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fue omiso en remitir su informe justificado; asimismo, se aprecia que la parte </w:t>
      </w:r>
      <w:r>
        <w:rPr>
          <w:rFonts w:ascii="Palatino Linotype" w:eastAsia="Palatino Linotype" w:hAnsi="Palatino Linotype" w:cs="Palatino Linotype"/>
          <w:b/>
        </w:rPr>
        <w:t>Recurrente</w:t>
      </w:r>
      <w:r>
        <w:rPr>
          <w:rFonts w:ascii="Palatino Linotype" w:eastAsia="Palatino Linotype" w:hAnsi="Palatino Linotype" w:cs="Palatino Linotype"/>
        </w:rPr>
        <w:t>,</w:t>
      </w:r>
      <w:r w:rsidR="00CA19C9">
        <w:rPr>
          <w:rFonts w:ascii="Palatino Linotype" w:eastAsia="Palatino Linotype" w:hAnsi="Palatino Linotype" w:cs="Palatino Linotype"/>
        </w:rPr>
        <w:t xml:space="preserve"> tampoco rindió manifestaciones</w:t>
      </w:r>
      <w:r w:rsidR="00E94B1F">
        <w:rPr>
          <w:rFonts w:ascii="Palatino Linotype" w:eastAsia="Palatino Linotype" w:hAnsi="Palatino Linotype" w:cs="Palatino Linotype"/>
        </w:rPr>
        <w:t>.</w:t>
      </w:r>
    </w:p>
    <w:p w14:paraId="75465ACA" w14:textId="77777777" w:rsidR="00E94B1F" w:rsidRDefault="00E94B1F">
      <w:pPr>
        <w:spacing w:line="360" w:lineRule="auto"/>
        <w:jc w:val="both"/>
        <w:rPr>
          <w:rFonts w:ascii="Palatino Linotype" w:eastAsia="Palatino Linotype" w:hAnsi="Palatino Linotype" w:cs="Palatino Linotype"/>
        </w:rPr>
      </w:pPr>
    </w:p>
    <w:p w14:paraId="5438B373" w14:textId="77777777"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SEXT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Del Cierre de la Etapa de Instrucción.</w:t>
      </w:r>
    </w:p>
    <w:p w14:paraId="1E492A2E" w14:textId="428037C6"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fecha </w:t>
      </w:r>
      <w:r w:rsidR="00664FBF">
        <w:rPr>
          <w:rFonts w:ascii="Palatino Linotype" w:eastAsia="Palatino Linotype" w:hAnsi="Palatino Linotype" w:cs="Palatino Linotype"/>
        </w:rPr>
        <w:t>veinte</w:t>
      </w:r>
      <w:r w:rsidR="00705B42">
        <w:rPr>
          <w:rFonts w:ascii="Palatino Linotype" w:eastAsia="Palatino Linotype" w:hAnsi="Palatino Linotype" w:cs="Palatino Linotype"/>
        </w:rPr>
        <w:t xml:space="preserve"> </w:t>
      </w:r>
      <w:r w:rsidR="0004245C">
        <w:rPr>
          <w:rFonts w:ascii="Palatino Linotype" w:eastAsia="Palatino Linotype" w:hAnsi="Palatino Linotype" w:cs="Palatino Linotype"/>
        </w:rPr>
        <w:t>de marzo</w:t>
      </w:r>
      <w:r w:rsidR="00CA19C9">
        <w:rPr>
          <w:rFonts w:ascii="Palatino Linotype" w:eastAsia="Palatino Linotype" w:hAnsi="Palatino Linotype" w:cs="Palatino Linotype"/>
        </w:rPr>
        <w:t xml:space="preserve"> de dos mil veinticinco</w:t>
      </w:r>
      <w:r>
        <w:rPr>
          <w:rFonts w:ascii="Palatino Linotype" w:eastAsia="Palatino Linotype" w:hAnsi="Palatino Linotype" w:cs="Palatino Linotype"/>
        </w:rPr>
        <w:t>, en términos del artículo 185, fracción VI, de la Ley de Transparencia y Acceso a la Información Pública del Estado de México y Municipios, se decretó el cierre de instrucción, iniciando el término legal para dictar resolución definitiva del asunto.</w:t>
      </w:r>
    </w:p>
    <w:p w14:paraId="77E3F3A9" w14:textId="77777777" w:rsidR="00785E98" w:rsidRDefault="00785E98">
      <w:pPr>
        <w:spacing w:line="360" w:lineRule="auto"/>
        <w:jc w:val="both"/>
        <w:rPr>
          <w:rFonts w:ascii="Palatino Linotype" w:eastAsia="Palatino Linotype" w:hAnsi="Palatino Linotype" w:cs="Palatino Linotype"/>
        </w:rPr>
      </w:pPr>
    </w:p>
    <w:p w14:paraId="7F078923" w14:textId="77777777"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C O N S I D E R A N D O </w:t>
      </w:r>
    </w:p>
    <w:p w14:paraId="5F24EF89" w14:textId="77777777" w:rsidR="00785E98" w:rsidRDefault="00785E98">
      <w:pPr>
        <w:spacing w:line="360" w:lineRule="auto"/>
        <w:jc w:val="center"/>
        <w:rPr>
          <w:rFonts w:ascii="Palatino Linotype" w:eastAsia="Palatino Linotype" w:hAnsi="Palatino Linotype" w:cs="Palatino Linotype"/>
          <w:b/>
          <w:sz w:val="22"/>
          <w:szCs w:val="22"/>
        </w:rPr>
      </w:pPr>
    </w:p>
    <w:p w14:paraId="2706434C"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b/>
        </w:rPr>
        <w:t xml:space="preserve"> </w:t>
      </w:r>
      <w:r>
        <w:rPr>
          <w:rFonts w:ascii="Palatino Linotype" w:eastAsia="Palatino Linotype" w:hAnsi="Palatino Linotype" w:cs="Palatino Linotype"/>
          <w:b/>
          <w:sz w:val="28"/>
          <w:szCs w:val="28"/>
        </w:rPr>
        <w:t>De la competencia</w:t>
      </w:r>
      <w:r>
        <w:rPr>
          <w:rFonts w:ascii="Palatino Linotype" w:eastAsia="Palatino Linotype" w:hAnsi="Palatino Linotype" w:cs="Palatino Linotype"/>
          <w:sz w:val="28"/>
          <w:szCs w:val="28"/>
        </w:rPr>
        <w:t>.</w:t>
      </w:r>
    </w:p>
    <w:p w14:paraId="48D819EE" w14:textId="16DBA9FE" w:rsidR="00785E98" w:rsidRDefault="009714F5">
      <w:pPr>
        <w:pBdr>
          <w:top w:val="nil"/>
          <w:left w:val="nil"/>
          <w:bottom w:val="nil"/>
          <w:right w:val="nil"/>
          <w:between w:val="nil"/>
        </w:pBdr>
        <w:spacing w:line="360" w:lineRule="auto"/>
        <w:jc w:val="both"/>
        <w:rPr>
          <w:rFonts w:ascii="Palatino Linotype" w:eastAsia="Palatino Linotype" w:hAnsi="Palatino Linotype" w:cs="Palatino Linotype"/>
          <w:color w:val="222222"/>
          <w:highlight w:val="white"/>
        </w:rPr>
      </w:pPr>
      <w:r w:rsidRPr="009714F5">
        <w:rPr>
          <w:rFonts w:ascii="Palatino Linotype" w:eastAsia="Palatino Linotype" w:hAnsi="Palatino Linotype" w:cs="Palatino Linotype"/>
          <w:color w:val="222222"/>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5678A64"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lastRenderedPageBreak/>
        <w:t>SEGUNDO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sz w:val="28"/>
          <w:szCs w:val="28"/>
        </w:rPr>
        <w:t>Sobre los alcances del recurso de revisión.</w:t>
      </w:r>
      <w:r>
        <w:rPr>
          <w:rFonts w:ascii="Palatino Linotype" w:eastAsia="Palatino Linotype" w:hAnsi="Palatino Linotype" w:cs="Palatino Linotype"/>
          <w:b/>
          <w:color w:val="000000"/>
        </w:rPr>
        <w:t xml:space="preserve"> </w:t>
      </w:r>
    </w:p>
    <w:p w14:paraId="1034EA62"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9107316" w14:textId="77777777" w:rsidR="00785E98" w:rsidRDefault="00785E98">
      <w:pPr>
        <w:spacing w:line="360" w:lineRule="auto"/>
        <w:jc w:val="both"/>
        <w:rPr>
          <w:rFonts w:ascii="Palatino Linotype" w:eastAsia="Palatino Linotype" w:hAnsi="Palatino Linotype" w:cs="Palatino Linotype"/>
        </w:rPr>
      </w:pPr>
    </w:p>
    <w:p w14:paraId="671C09C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 de precisar que la Ley de Transparencia y Acceso a la Información Pública del Estado de México y Municipios, describe el mecanismo de procedencia de los recursos de revisión, en ese sentido en su artículo 163, se indica lo siguiente:</w:t>
      </w:r>
    </w:p>
    <w:p w14:paraId="39AF0722"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0AB16AE9"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163.</w:t>
      </w:r>
      <w:r>
        <w:rPr>
          <w:rFonts w:ascii="Palatino Linotype" w:eastAsia="Palatino Linotype" w:hAnsi="Palatino Linotype" w:cs="Palatino Linotype"/>
          <w:i/>
          <w:color w:val="000000"/>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535F3207"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060F1807"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0C198416" w14:textId="77777777" w:rsidR="00785E98" w:rsidRDefault="005D216E">
      <w:pPr>
        <w:pBdr>
          <w:top w:val="nil"/>
          <w:left w:val="nil"/>
          <w:bottom w:val="nil"/>
          <w:right w:val="nil"/>
          <w:between w:val="nil"/>
        </w:pBdr>
        <w:ind w:left="567" w:right="567"/>
        <w:jc w:val="right"/>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(Énfasis añadido)</w:t>
      </w:r>
    </w:p>
    <w:p w14:paraId="49ECF4AB" w14:textId="77777777" w:rsidR="00785E98" w:rsidRDefault="00785E98">
      <w:pPr>
        <w:spacing w:line="360" w:lineRule="auto"/>
        <w:jc w:val="both"/>
        <w:rPr>
          <w:rFonts w:ascii="Palatino Linotype" w:eastAsia="Palatino Linotype" w:hAnsi="Palatino Linotype" w:cs="Palatino Linotype"/>
        </w:rPr>
      </w:pPr>
    </w:p>
    <w:p w14:paraId="2273123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la interpretación al precepto legal inserto, se advierte que el plazo que les asiste a los Sujetos Obligados para notificar la respuesta a una solicitud de información pública, es de quince días hábiles posteriores a la presentación de ésta.</w:t>
      </w:r>
    </w:p>
    <w:p w14:paraId="25C9D193" w14:textId="4BE886EA" w:rsidR="00785E98" w:rsidRDefault="005D216E" w:rsidP="00664FB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 Derivado de lo anterior, se constituye la figura jurídica de la </w:t>
      </w:r>
      <w:r>
        <w:rPr>
          <w:rFonts w:ascii="Palatino Linotype" w:eastAsia="Palatino Linotype" w:hAnsi="Palatino Linotype" w:cs="Palatino Linotype"/>
          <w:b/>
          <w:i/>
        </w:rPr>
        <w:t>Negativa Ficta</w:t>
      </w:r>
      <w:r>
        <w:rPr>
          <w:rFonts w:ascii="Palatino Linotype" w:eastAsia="Palatino Linotype" w:hAnsi="Palatino Linotype" w:cs="Palatino Linotype"/>
        </w:rPr>
        <w:t>, cuya esencia consiste en atribuir un efecto negativo al silencio de la autoridad administrativa frente a las instancias y solicitudes que hagan los particulares.</w:t>
      </w:r>
    </w:p>
    <w:p w14:paraId="54FC0395" w14:textId="77777777" w:rsidR="00664FBF" w:rsidRPr="00664FBF" w:rsidRDefault="00664FBF" w:rsidP="00664FBF">
      <w:pPr>
        <w:spacing w:line="360" w:lineRule="auto"/>
        <w:jc w:val="both"/>
        <w:rPr>
          <w:rFonts w:ascii="Palatino Linotype" w:eastAsia="Palatino Linotype" w:hAnsi="Palatino Linotype" w:cs="Palatino Linotype"/>
        </w:rPr>
      </w:pPr>
    </w:p>
    <w:p w14:paraId="4A79A99A"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el artículo 178, de la Ley de Transparencia y Acceso a la Información Pública del Estado de México y Municipios, establece:</w:t>
      </w:r>
    </w:p>
    <w:p w14:paraId="386C5170" w14:textId="77777777" w:rsidR="00785E98" w:rsidRDefault="00785E98">
      <w:pPr>
        <w:pBdr>
          <w:top w:val="nil"/>
          <w:left w:val="nil"/>
          <w:bottom w:val="nil"/>
          <w:right w:val="nil"/>
          <w:between w:val="nil"/>
        </w:pBdr>
        <w:rPr>
          <w:color w:val="000000"/>
        </w:rPr>
      </w:pPr>
    </w:p>
    <w:p w14:paraId="2E7CFD05"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178.</w:t>
      </w:r>
      <w:r>
        <w:rPr>
          <w:rFonts w:ascii="Palatino Linotype" w:eastAsia="Palatino Linotype" w:hAnsi="Palatino Linotype" w:cs="Palatino Linotype"/>
          <w:i/>
          <w:color w:val="000000"/>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C037FA9"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7D453DDF"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 falta de respuesta del sujeto obligado, dentro de los plazos establecidos en esta Ley, a una solicitud de acceso a la información pública, el recurso podrá ser interpuesto en cualquier momento</w:t>
      </w:r>
      <w:r>
        <w:rPr>
          <w:rFonts w:ascii="Palatino Linotype" w:eastAsia="Palatino Linotype" w:hAnsi="Palatino Linotype" w:cs="Palatino Linotype"/>
          <w:i/>
          <w:color w:val="000000"/>
          <w:sz w:val="22"/>
          <w:szCs w:val="22"/>
        </w:rPr>
        <w:t>, acompañado con el documento que pruebe la fecha en que presentó la solicitud.</w:t>
      </w:r>
    </w:p>
    <w:p w14:paraId="64639F27"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5CDD80D8"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el caso de que se interponga ante la Unidad de Transparencia, ésta deberá remitir el recurso de revisión al Instituto a más tardar al día siguiente de haberlo recibido.”</w:t>
      </w:r>
    </w:p>
    <w:p w14:paraId="38A4CAF7"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50B402C"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no existió respuesta a la solicitud de información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partir de la cual pudiera computarse dicho plazo, por tal motivo es pertinente establecer que no existe plazo específico para la interposición del </w:t>
      </w:r>
      <w:r>
        <w:rPr>
          <w:rFonts w:ascii="Palatino Linotype" w:eastAsia="Palatino Linotype" w:hAnsi="Palatino Linotype" w:cs="Palatino Linotype"/>
          <w:color w:val="000000"/>
        </w:rPr>
        <w:lastRenderedPageBreak/>
        <w:t>recurso de revisión, y este puede ser presentado en cualquier momento. Por lo que la interposición del presente recurso de revisión resulta oportuna.</w:t>
      </w:r>
    </w:p>
    <w:p w14:paraId="320458C1" w14:textId="77777777" w:rsidR="006B41E2" w:rsidRDefault="006B41E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47E2A2D" w14:textId="77777777" w:rsidR="006B41E2" w:rsidRPr="006B41E2" w:rsidRDefault="006B41E2" w:rsidP="006B41E2">
      <w:pPr>
        <w:autoSpaceDE w:val="0"/>
        <w:autoSpaceDN w:val="0"/>
        <w:adjustRightInd w:val="0"/>
        <w:spacing w:line="360" w:lineRule="auto"/>
        <w:jc w:val="both"/>
        <w:rPr>
          <w:rFonts w:ascii="Palatino Linotype" w:hAnsi="Palatino Linotype" w:cs="Arial"/>
          <w:b/>
          <w:lang w:eastAsia="es-ES"/>
        </w:rPr>
      </w:pPr>
      <w:r w:rsidRPr="006B41E2">
        <w:rPr>
          <w:rFonts w:ascii="Palatino Linotype" w:hAnsi="Palatino Linotype" w:cs="Arial"/>
          <w:b/>
          <w:sz w:val="28"/>
          <w:lang w:eastAsia="es-ES"/>
        </w:rPr>
        <w:t>TERCERO. Cuestiones de previo y especial pronunciamiento</w:t>
      </w:r>
      <w:r w:rsidRPr="006B41E2">
        <w:rPr>
          <w:rFonts w:ascii="Palatino Linotype" w:hAnsi="Palatino Linotype" w:cs="Arial"/>
          <w:b/>
          <w:lang w:eastAsia="es-ES"/>
        </w:rPr>
        <w:t>.</w:t>
      </w:r>
    </w:p>
    <w:p w14:paraId="6724DBD5" w14:textId="77777777" w:rsidR="006B41E2" w:rsidRPr="006B41E2" w:rsidRDefault="006B41E2" w:rsidP="006B41E2">
      <w:pPr>
        <w:spacing w:line="360" w:lineRule="auto"/>
        <w:jc w:val="both"/>
        <w:rPr>
          <w:rFonts w:ascii="Palatino Linotype" w:hAnsi="Palatino Linotype"/>
          <w:lang w:eastAsia="es-ES"/>
        </w:rPr>
      </w:pPr>
      <w:r w:rsidRPr="006B41E2">
        <w:rPr>
          <w:rFonts w:ascii="Palatino Linotype" w:hAnsi="Palatino Linotype"/>
          <w:lang w:eastAsia="es-ES"/>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6B41E2">
        <w:rPr>
          <w:rFonts w:ascii="Palatino Linotype" w:hAnsi="Palatino Linotype"/>
          <w:b/>
          <w:lang w:eastAsia="es-ES"/>
        </w:rPr>
        <w:t>Recurrente,</w:t>
      </w:r>
      <w:r w:rsidRPr="006B41E2">
        <w:rPr>
          <w:rFonts w:ascii="Palatino Linotype" w:hAnsi="Palatino Linotype"/>
          <w:lang w:eastAsia="es-ES"/>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6B41E2">
        <w:rPr>
          <w:rFonts w:ascii="Palatino Linotype" w:hAnsi="Palatino Linotype" w:cs="Arial"/>
          <w:lang w:eastAsia="es-ES"/>
        </w:rPr>
        <w:t>, del cual no se colige que corresponda al nombre de una persona.</w:t>
      </w:r>
    </w:p>
    <w:p w14:paraId="0C127245"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p>
    <w:p w14:paraId="3799AECA" w14:textId="0415392A" w:rsidR="00664FBF"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r w:rsidRPr="006B41E2">
        <w:rPr>
          <w:rFonts w:ascii="Palatino Linotype" w:hAnsi="Palatino Linotype" w:cs="Arial"/>
          <w:lang w:eastAsia="es-ES"/>
        </w:rPr>
        <w:t xml:space="preserve">Esta Ponencia considera importante abordar el análisis de los requisitos de procedibilidad de los recursos de revisión, así el artículo 180 de la </w:t>
      </w:r>
      <w:r w:rsidRPr="006B41E2">
        <w:rPr>
          <w:rFonts w:ascii="Palatino Linotype" w:hAnsi="Palatino Linotype" w:cs="Arial"/>
        </w:rPr>
        <w:t xml:space="preserve">Ley de Transparencia y Acceso a la Información Pública del Estado de México y Municipios, que </w:t>
      </w:r>
      <w:r w:rsidRPr="006B41E2">
        <w:rPr>
          <w:rFonts w:ascii="Palatino Linotype" w:hAnsi="Palatino Linotype" w:cs="Arial"/>
          <w:lang w:eastAsia="es-ES"/>
        </w:rPr>
        <w:t>establece lo siguiente:</w:t>
      </w:r>
    </w:p>
    <w:p w14:paraId="0279E301" w14:textId="77777777" w:rsidR="006B41E2" w:rsidRPr="006B41E2" w:rsidRDefault="006B41E2" w:rsidP="006B41E2">
      <w:pPr>
        <w:rPr>
          <w:lang w:val="es-MX" w:eastAsia="es-ES"/>
        </w:rPr>
      </w:pPr>
    </w:p>
    <w:p w14:paraId="19064202" w14:textId="77777777" w:rsidR="006B41E2" w:rsidRPr="006B41E2" w:rsidRDefault="006B41E2" w:rsidP="006B41E2">
      <w:pPr>
        <w:ind w:left="851" w:right="851"/>
        <w:jc w:val="both"/>
        <w:rPr>
          <w:rFonts w:ascii="Palatino Linotype" w:hAnsi="Palatino Linotype"/>
          <w:b/>
          <w:i/>
          <w:sz w:val="22"/>
          <w:lang w:eastAsia="es-ES"/>
        </w:rPr>
      </w:pPr>
      <w:r w:rsidRPr="006B41E2">
        <w:rPr>
          <w:rFonts w:ascii="Palatino Linotype" w:hAnsi="Palatino Linotype"/>
          <w:i/>
          <w:sz w:val="22"/>
          <w:lang w:eastAsia="es-ES"/>
        </w:rPr>
        <w:t>“</w:t>
      </w:r>
      <w:r w:rsidRPr="006B41E2">
        <w:rPr>
          <w:rFonts w:ascii="Palatino Linotype" w:hAnsi="Palatino Linotype"/>
          <w:b/>
          <w:i/>
          <w:sz w:val="22"/>
          <w:lang w:eastAsia="es-ES"/>
        </w:rPr>
        <w:t xml:space="preserve">Artículo 180. </w:t>
      </w:r>
      <w:r w:rsidRPr="006B41E2">
        <w:rPr>
          <w:rFonts w:ascii="Palatino Linotype" w:hAnsi="Palatino Linotype"/>
          <w:i/>
          <w:sz w:val="22"/>
          <w:lang w:eastAsia="es-ES"/>
        </w:rPr>
        <w:t xml:space="preserve">El </w:t>
      </w:r>
      <w:r w:rsidRPr="006B41E2">
        <w:rPr>
          <w:rFonts w:ascii="Palatino Linotype" w:hAnsi="Palatino Linotype" w:cs="Arial"/>
          <w:i/>
          <w:sz w:val="22"/>
          <w:lang w:eastAsia="es-ES"/>
        </w:rPr>
        <w:t>recurso</w:t>
      </w:r>
      <w:r w:rsidRPr="006B41E2">
        <w:rPr>
          <w:rFonts w:ascii="Palatino Linotype" w:hAnsi="Palatino Linotype"/>
          <w:i/>
          <w:sz w:val="22"/>
          <w:lang w:eastAsia="es-ES"/>
        </w:rPr>
        <w:t xml:space="preserve"> </w:t>
      </w:r>
      <w:r w:rsidRPr="006B41E2">
        <w:rPr>
          <w:rFonts w:ascii="Palatino Linotype" w:hAnsi="Palatino Linotype" w:cs="Arial"/>
          <w:i/>
          <w:sz w:val="22"/>
        </w:rPr>
        <w:t>de</w:t>
      </w:r>
      <w:r w:rsidRPr="006B41E2">
        <w:rPr>
          <w:rFonts w:ascii="Palatino Linotype" w:hAnsi="Palatino Linotype"/>
          <w:i/>
          <w:sz w:val="22"/>
          <w:lang w:eastAsia="es-ES"/>
        </w:rPr>
        <w:t xml:space="preserve"> revisión contendrá:</w:t>
      </w:r>
      <w:r w:rsidRPr="006B41E2">
        <w:rPr>
          <w:rFonts w:ascii="Palatino Linotype" w:hAnsi="Palatino Linotype"/>
          <w:b/>
          <w:i/>
          <w:sz w:val="22"/>
          <w:lang w:eastAsia="es-ES"/>
        </w:rPr>
        <w:t xml:space="preserve"> </w:t>
      </w:r>
    </w:p>
    <w:p w14:paraId="201EF363" w14:textId="77777777" w:rsidR="006B41E2" w:rsidRPr="006B41E2" w:rsidRDefault="006B41E2" w:rsidP="006B41E2">
      <w:pPr>
        <w:ind w:left="851" w:right="851"/>
        <w:jc w:val="both"/>
        <w:rPr>
          <w:rFonts w:ascii="Palatino Linotype" w:hAnsi="Palatino Linotype"/>
          <w:b/>
          <w:i/>
          <w:sz w:val="22"/>
          <w:lang w:eastAsia="es-ES"/>
        </w:rPr>
      </w:pPr>
      <w:r w:rsidRPr="006B41E2">
        <w:rPr>
          <w:rFonts w:ascii="Palatino Linotype" w:hAnsi="Palatino Linotype"/>
          <w:b/>
          <w:i/>
          <w:sz w:val="22"/>
          <w:lang w:eastAsia="es-ES"/>
        </w:rPr>
        <w:t xml:space="preserve">I. </w:t>
      </w:r>
      <w:r w:rsidRPr="006B41E2">
        <w:rPr>
          <w:rFonts w:ascii="Palatino Linotype" w:hAnsi="Palatino Linotype"/>
          <w:i/>
          <w:sz w:val="22"/>
          <w:lang w:eastAsia="es-ES"/>
        </w:rPr>
        <w:t xml:space="preserve">El sujeto obligado ante </w:t>
      </w:r>
      <w:r w:rsidRPr="006B41E2">
        <w:rPr>
          <w:rFonts w:ascii="Palatino Linotype" w:hAnsi="Palatino Linotype" w:cs="Arial"/>
          <w:i/>
          <w:sz w:val="22"/>
          <w:lang w:eastAsia="es-ES"/>
        </w:rPr>
        <w:t>la</w:t>
      </w:r>
      <w:r w:rsidRPr="006B41E2">
        <w:rPr>
          <w:rFonts w:ascii="Palatino Linotype" w:hAnsi="Palatino Linotype"/>
          <w:i/>
          <w:sz w:val="22"/>
          <w:lang w:eastAsia="es-ES"/>
        </w:rPr>
        <w:t xml:space="preserve"> cual </w:t>
      </w:r>
      <w:r w:rsidRPr="006B41E2">
        <w:rPr>
          <w:rFonts w:ascii="Palatino Linotype" w:hAnsi="Palatino Linotype" w:cs="Arial"/>
          <w:i/>
          <w:sz w:val="22"/>
        </w:rPr>
        <w:t>se</w:t>
      </w:r>
      <w:r w:rsidRPr="006B41E2">
        <w:rPr>
          <w:rFonts w:ascii="Palatino Linotype" w:hAnsi="Palatino Linotype"/>
          <w:i/>
          <w:sz w:val="22"/>
          <w:lang w:eastAsia="es-ES"/>
        </w:rPr>
        <w:t xml:space="preserve"> presentó la solicitud;</w:t>
      </w:r>
      <w:r w:rsidRPr="006B41E2">
        <w:rPr>
          <w:rFonts w:ascii="Palatino Linotype" w:hAnsi="Palatino Linotype"/>
          <w:b/>
          <w:i/>
          <w:sz w:val="22"/>
          <w:lang w:eastAsia="es-ES"/>
        </w:rPr>
        <w:t xml:space="preserve"> </w:t>
      </w:r>
    </w:p>
    <w:p w14:paraId="5E6BF155" w14:textId="77777777" w:rsidR="006B41E2" w:rsidRPr="006B41E2" w:rsidRDefault="006B41E2" w:rsidP="006B41E2">
      <w:pPr>
        <w:ind w:left="851" w:right="851"/>
        <w:jc w:val="both"/>
        <w:rPr>
          <w:rFonts w:ascii="Palatino Linotype" w:hAnsi="Palatino Linotype"/>
          <w:b/>
          <w:i/>
          <w:sz w:val="22"/>
          <w:lang w:eastAsia="es-ES"/>
        </w:rPr>
      </w:pPr>
      <w:r w:rsidRPr="006B41E2">
        <w:rPr>
          <w:rFonts w:ascii="Palatino Linotype" w:hAnsi="Palatino Linotype"/>
          <w:b/>
          <w:i/>
          <w:sz w:val="22"/>
          <w:lang w:eastAsia="es-ES"/>
        </w:rPr>
        <w:t xml:space="preserve">II. </w:t>
      </w:r>
      <w:r w:rsidRPr="006B41E2">
        <w:rPr>
          <w:rFonts w:ascii="Palatino Linotype" w:hAnsi="Palatino Linotype"/>
          <w:b/>
          <w:i/>
          <w:sz w:val="22"/>
          <w:u w:val="single"/>
          <w:lang w:eastAsia="es-ES"/>
        </w:rPr>
        <w:t xml:space="preserve">El nombre del solicitante </w:t>
      </w:r>
      <w:r w:rsidRPr="006B41E2">
        <w:rPr>
          <w:rFonts w:ascii="Palatino Linotype" w:hAnsi="Palatino Linotype" w:cs="Arial"/>
          <w:b/>
          <w:i/>
          <w:sz w:val="22"/>
          <w:u w:val="single"/>
        </w:rPr>
        <w:t>que</w:t>
      </w:r>
      <w:r w:rsidRPr="006B41E2">
        <w:rPr>
          <w:rFonts w:ascii="Palatino Linotype" w:hAnsi="Palatino Linotype"/>
          <w:b/>
          <w:i/>
          <w:sz w:val="22"/>
          <w:u w:val="single"/>
          <w:lang w:eastAsia="es-ES"/>
        </w:rPr>
        <w:t xml:space="preserve"> recurre</w:t>
      </w:r>
      <w:r w:rsidRPr="006B41E2">
        <w:rPr>
          <w:rFonts w:ascii="Palatino Linotype" w:hAnsi="Palatino Linotype"/>
          <w:b/>
          <w:i/>
          <w:sz w:val="22"/>
          <w:lang w:eastAsia="es-ES"/>
        </w:rPr>
        <w:t xml:space="preserve"> </w:t>
      </w:r>
      <w:r w:rsidRPr="006B41E2">
        <w:rPr>
          <w:rFonts w:ascii="Palatino Linotype" w:hAnsi="Palatino Linotype"/>
          <w:i/>
          <w:sz w:val="22"/>
          <w:lang w:eastAsia="es-ES"/>
        </w:rPr>
        <w:t>o de su representante y, en su caso, del tercero interesado, así como la dirección o medio que señale para recibir notificaciones;</w:t>
      </w:r>
      <w:r w:rsidRPr="006B41E2">
        <w:rPr>
          <w:rFonts w:ascii="Palatino Linotype" w:hAnsi="Palatino Linotype"/>
          <w:b/>
          <w:i/>
          <w:sz w:val="22"/>
          <w:lang w:eastAsia="es-ES"/>
        </w:rPr>
        <w:t xml:space="preserve"> </w:t>
      </w:r>
    </w:p>
    <w:p w14:paraId="6E1637F2"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p>
    <w:p w14:paraId="656D3898"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r w:rsidRPr="006B41E2">
        <w:rPr>
          <w:rFonts w:ascii="Palatino Linotype" w:hAnsi="Palatino Linotype"/>
          <w:lang w:eastAsia="es-ES"/>
        </w:rPr>
        <w:t xml:space="preserve">En principio, de una interpretación del artículo transcrito se observan los requisitos que </w:t>
      </w:r>
      <w:r w:rsidRPr="006B41E2">
        <w:rPr>
          <w:rFonts w:ascii="Palatino Linotype" w:hAnsi="Palatino Linotype" w:cs="Arial"/>
          <w:lang w:eastAsia="es-ES"/>
        </w:rPr>
        <w:t>deberán</w:t>
      </w:r>
      <w:r w:rsidRPr="006B41E2">
        <w:rPr>
          <w:rFonts w:ascii="Palatino Linotype" w:hAnsi="Palatino Linotype"/>
          <w:lang w:eastAsia="es-ES"/>
        </w:rPr>
        <w:t xml:space="preserve"> contener los recursos de revisión; sobre el particular, de la revisión del </w:t>
      </w:r>
      <w:r w:rsidRPr="006B41E2">
        <w:rPr>
          <w:rFonts w:ascii="Palatino Linotype" w:hAnsi="Palatino Linotype"/>
          <w:lang w:eastAsia="es-ES"/>
        </w:rPr>
        <w:lastRenderedPageBreak/>
        <w:t xml:space="preserve">expediente electrónico del </w:t>
      </w:r>
      <w:r w:rsidRPr="006B41E2">
        <w:rPr>
          <w:rFonts w:ascii="Palatino Linotype" w:hAnsi="Palatino Linotype"/>
          <w:b/>
          <w:lang w:eastAsia="es-ES"/>
        </w:rPr>
        <w:t>SAIMEX</w:t>
      </w:r>
      <w:r w:rsidRPr="006B41E2">
        <w:rPr>
          <w:rFonts w:ascii="Palatino Linotype" w:hAnsi="Palatino Linotype"/>
          <w:lang w:eastAsia="es-ES"/>
        </w:rPr>
        <w:t xml:space="preserve"> se desprende que el solicitante y ahora </w:t>
      </w:r>
      <w:r w:rsidRPr="006B41E2">
        <w:rPr>
          <w:rFonts w:ascii="Palatino Linotype" w:hAnsi="Palatino Linotype"/>
          <w:b/>
          <w:lang w:eastAsia="es-ES"/>
        </w:rPr>
        <w:t>Recurrente</w:t>
      </w:r>
      <w:r w:rsidRPr="006B41E2">
        <w:rPr>
          <w:rFonts w:ascii="Palatino Linotype" w:hAnsi="Palatino Linotype"/>
          <w:lang w:eastAsia="es-ES"/>
        </w:rPr>
        <w:t xml:space="preserve">, en ejercicio de su derecho de acceso a la información pública, no proporcionó un nombre para que </w:t>
      </w:r>
      <w:r w:rsidRPr="006B41E2">
        <w:rPr>
          <w:rFonts w:ascii="Palatino Linotype" w:hAnsi="Palatino Linotype" w:cs="Arial"/>
          <w:lang w:eastAsia="es-ES"/>
        </w:rPr>
        <w:t>sea</w:t>
      </w:r>
      <w:r w:rsidRPr="006B41E2">
        <w:rPr>
          <w:rFonts w:ascii="Palatino Linotype" w:hAnsi="Palatino Linotype"/>
          <w:lang w:eastAsia="es-ES"/>
        </w:rPr>
        <w:t xml:space="preserve"> identificado; por lo que no tiene certeza sobre su identidad, lo que en estricto sentido, no se colmarían los requisitos establecidos en el citado artículo 180, de la Ley de Transparencia.</w:t>
      </w:r>
    </w:p>
    <w:p w14:paraId="2A211ED3"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p>
    <w:p w14:paraId="53A844F1"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r w:rsidRPr="006B41E2">
        <w:rPr>
          <w:rFonts w:ascii="Palatino Linotype" w:hAnsi="Palatino Linotype"/>
          <w:lang w:eastAsia="es-ES"/>
        </w:rPr>
        <w:t xml:space="preserve">No obstante lo anterior, debe destacarse que el artículo 15, de </w:t>
      </w:r>
      <w:r w:rsidRPr="006B41E2">
        <w:rPr>
          <w:rFonts w:ascii="Palatino Linotype" w:hAnsi="Palatino Linotype" w:cs="Arial"/>
        </w:rPr>
        <w:t xml:space="preserve">Ley de Transparencia y Acceso a la </w:t>
      </w:r>
      <w:r w:rsidRPr="006B41E2">
        <w:rPr>
          <w:rFonts w:ascii="Palatino Linotype" w:hAnsi="Palatino Linotype" w:cs="Arial"/>
          <w:lang w:eastAsia="es-ES"/>
        </w:rPr>
        <w:t>Información</w:t>
      </w:r>
      <w:r w:rsidRPr="006B41E2">
        <w:rPr>
          <w:rFonts w:ascii="Palatino Linotype" w:hAnsi="Palatino Linotype" w:cs="Arial"/>
        </w:rPr>
        <w:t xml:space="preserve"> Pública del Estado de México y Municipios </w:t>
      </w:r>
      <w:r w:rsidRPr="006B41E2">
        <w:rPr>
          <w:rFonts w:ascii="Palatino Linotype" w:hAnsi="Palatino Linotype" w:cs="Arial"/>
          <w:iCs/>
          <w:lang w:eastAsia="es-ES"/>
        </w:rPr>
        <w:t xml:space="preserve">prevé que, </w:t>
      </w:r>
      <w:r w:rsidRPr="006B41E2">
        <w:rPr>
          <w:rFonts w:ascii="Palatino Linotype" w:hAnsi="Palatino Linotype"/>
          <w:lang w:eastAsia="es-ES"/>
        </w:rPr>
        <w:t xml:space="preserve">toda persona tendrá acceso a la información </w:t>
      </w:r>
      <w:r w:rsidRPr="006B41E2">
        <w:rPr>
          <w:rFonts w:ascii="Palatino Linotype" w:hAnsi="Palatino Linotype" w:cs="Arial"/>
          <w:lang w:eastAsia="es-ES"/>
        </w:rPr>
        <w:t xml:space="preserve">sin necesidad de acreditar interés alguno o justificar su utilización, de lo que se infiere que para el </w:t>
      </w:r>
      <w:r w:rsidRPr="006B41E2">
        <w:rPr>
          <w:rFonts w:ascii="Palatino Linotype" w:hAnsi="Palatino Linotype"/>
          <w:lang w:eastAsia="es-ES"/>
        </w:rPr>
        <w:t>ejercicio</w:t>
      </w:r>
      <w:r w:rsidRPr="006B41E2">
        <w:rPr>
          <w:rFonts w:ascii="Palatino Linotype" w:hAnsi="Palatino Linotype" w:cs="Arial"/>
          <w:lang w:eastAsia="es-ES"/>
        </w:rPr>
        <w:t xml:space="preserve"> del derecho de acceso a la información pública, el nombre no es un requisito </w:t>
      </w:r>
      <w:r w:rsidRPr="006B41E2">
        <w:rPr>
          <w:rFonts w:ascii="Palatino Linotype" w:hAnsi="Palatino Linotype" w:cs="Arial"/>
          <w:i/>
          <w:lang w:eastAsia="es-ES"/>
        </w:rPr>
        <w:t>sine qua non</w:t>
      </w:r>
      <w:r w:rsidRPr="006B41E2">
        <w:rPr>
          <w:rFonts w:ascii="Palatino Linotype" w:hAnsi="Palatino Linotype" w:cs="Arial"/>
          <w:lang w:eastAsia="es-ES"/>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7969A58B"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p>
    <w:p w14:paraId="6500B716"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r w:rsidRPr="006B41E2">
        <w:rPr>
          <w:rFonts w:ascii="Palatino Linotype" w:hAnsi="Palatino Linotype"/>
          <w:lang w:eastAsia="es-ES"/>
        </w:rPr>
        <w:t xml:space="preserve">Por lo que el derecho humano de acceso a la información pública se reitera que toda persona, sin necesidad de acreditar interés alguno o justificar su utilización, deberá tener acceso a la información pública, es decir, dicho </w:t>
      </w:r>
      <w:r w:rsidRPr="006B41E2">
        <w:rPr>
          <w:rFonts w:ascii="Palatino Linotype" w:hAnsi="Palatino Linotype" w:cs="Arial"/>
          <w:lang w:eastAsia="es-ES"/>
        </w:rPr>
        <w:t>derecho</w:t>
      </w:r>
      <w:r w:rsidRPr="006B41E2">
        <w:rPr>
          <w:rFonts w:ascii="Palatino Linotype" w:hAnsi="Palatino Linotype"/>
          <w:lang w:eastAsia="es-ES"/>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BA994AD" w14:textId="77777777" w:rsidR="00785E98" w:rsidRDefault="00785E98">
      <w:pPr>
        <w:spacing w:line="360" w:lineRule="auto"/>
        <w:jc w:val="both"/>
        <w:rPr>
          <w:rFonts w:ascii="Palatino Linotype" w:eastAsia="Palatino Linotype" w:hAnsi="Palatino Linotype" w:cs="Palatino Linotype"/>
        </w:rPr>
      </w:pPr>
    </w:p>
    <w:p w14:paraId="2703E1AE" w14:textId="77777777" w:rsidR="009714F5" w:rsidRDefault="009714F5">
      <w:pPr>
        <w:spacing w:line="360" w:lineRule="auto"/>
        <w:jc w:val="both"/>
        <w:rPr>
          <w:rFonts w:ascii="Palatino Linotype" w:eastAsia="Palatino Linotype" w:hAnsi="Palatino Linotype" w:cs="Palatino Linotype"/>
        </w:rPr>
      </w:pPr>
    </w:p>
    <w:p w14:paraId="1C981143" w14:textId="77777777" w:rsidR="009714F5" w:rsidRDefault="009714F5">
      <w:pPr>
        <w:spacing w:line="360" w:lineRule="auto"/>
        <w:jc w:val="both"/>
        <w:rPr>
          <w:rFonts w:ascii="Palatino Linotype" w:eastAsia="Palatino Linotype" w:hAnsi="Palatino Linotype" w:cs="Palatino Linotype"/>
        </w:rPr>
      </w:pPr>
    </w:p>
    <w:p w14:paraId="73B98FA1" w14:textId="42B8689B" w:rsidR="00785E98" w:rsidRDefault="006B41E2">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CUART</w:t>
      </w:r>
      <w:r w:rsidR="005D216E">
        <w:rPr>
          <w:rFonts w:ascii="Palatino Linotype" w:eastAsia="Palatino Linotype" w:hAnsi="Palatino Linotype" w:cs="Palatino Linotype"/>
          <w:b/>
          <w:sz w:val="28"/>
          <w:szCs w:val="28"/>
        </w:rPr>
        <w:t xml:space="preserve">O. Del estudio de las causas de improcedencia. </w:t>
      </w:r>
    </w:p>
    <w:p w14:paraId="30C80B1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55DADD9" w14:textId="77777777" w:rsidR="00785E98" w:rsidRDefault="00785E98">
      <w:pPr>
        <w:pBdr>
          <w:top w:val="nil"/>
          <w:left w:val="nil"/>
          <w:bottom w:val="nil"/>
          <w:right w:val="nil"/>
          <w:between w:val="nil"/>
        </w:pBdr>
        <w:rPr>
          <w:color w:val="000000"/>
        </w:rPr>
      </w:pPr>
    </w:p>
    <w:p w14:paraId="75E31E6B" w14:textId="77777777" w:rsidR="00785E98" w:rsidRDefault="005D216E">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IMPROCEDENCIA Y SOBRESEIMIENTO EN EL JUICIO DE AMPARO. LAS CAUSAS PREVISTAS EN LOS ARTÍCULOS 73 Y 74 DE LA LEY DE LA MATERIA, RESPECTIVAMENTE, NO SON INCOMPATIBLES CON EL ARTÍCULO 25.1 DE LA CONVENCIÓN AMERICANA SOBRE DERECHOS HUMANOS.</w:t>
      </w:r>
    </w:p>
    <w:p w14:paraId="2512DEBE" w14:textId="77777777" w:rsidR="00785E98" w:rsidRDefault="00785E98">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p>
    <w:p w14:paraId="5FF7D9D7"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Del examen de compatibilidad de los artículos </w:t>
      </w:r>
      <w:hyperlink r:id="rId7">
        <w:r>
          <w:rPr>
            <w:rFonts w:ascii="Palatino Linotype" w:eastAsia="Palatino Linotype" w:hAnsi="Palatino Linotype" w:cs="Palatino Linotype"/>
            <w:i/>
            <w:color w:val="0563C1"/>
            <w:sz w:val="22"/>
            <w:szCs w:val="22"/>
            <w:u w:val="single"/>
          </w:rPr>
          <w:t>73 y 74 de la Ley de Amparo</w:t>
        </w:r>
      </w:hyperlink>
      <w:r>
        <w:rPr>
          <w:rFonts w:ascii="Palatino Linotype" w:eastAsia="Palatino Linotype" w:hAnsi="Palatino Linotype" w:cs="Palatino Linotype"/>
          <w:i/>
          <w:color w:val="000000"/>
          <w:sz w:val="22"/>
          <w:szCs w:val="22"/>
        </w:rPr>
        <w:t> con el artículo </w:t>
      </w:r>
      <w:hyperlink r:id="rId8">
        <w:r>
          <w:rPr>
            <w:rFonts w:ascii="Palatino Linotype" w:eastAsia="Palatino Linotype" w:hAnsi="Palatino Linotype" w:cs="Palatino Linotype"/>
            <w:i/>
            <w:color w:val="0563C1"/>
            <w:sz w:val="22"/>
            <w:szCs w:val="22"/>
            <w:u w:val="single"/>
          </w:rPr>
          <w:t>25.1 de la Convención Americana sobre Derechos Humanos</w:t>
        </w:r>
      </w:hyperlink>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color w:val="000000"/>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rFonts w:ascii="Palatino Linotype" w:eastAsia="Palatino Linotype" w:hAnsi="Palatino Linotype" w:cs="Palatino Linotype"/>
          <w:i/>
          <w:color w:val="000000"/>
          <w:sz w:val="22"/>
          <w:szCs w:val="22"/>
        </w:rPr>
        <w:t>concesoria</w:t>
      </w:r>
      <w:proofErr w:type="spellEnd"/>
      <w:r>
        <w:rPr>
          <w:rFonts w:ascii="Palatino Linotype" w:eastAsia="Palatino Linotype" w:hAnsi="Palatino Linotype" w:cs="Palatino Linotype"/>
          <w:i/>
          <w:color w:val="000000"/>
          <w:sz w:val="22"/>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w:t>
      </w:r>
      <w:r>
        <w:rPr>
          <w:rFonts w:ascii="Palatino Linotype" w:eastAsia="Palatino Linotype" w:hAnsi="Palatino Linotype" w:cs="Palatino Linotype"/>
          <w:i/>
          <w:color w:val="000000"/>
          <w:sz w:val="22"/>
          <w:szCs w:val="22"/>
        </w:rPr>
        <w:lastRenderedPageBreak/>
        <w:t>precepto 25.1, pues no impiden decidir sencilla, rápida y efectivamente sobre los derechos fundamentales reclamados como violados dentro del juicio de garantías.</w:t>
      </w:r>
    </w:p>
    <w:p w14:paraId="426CFD80"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A45DCA8"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una vez que se analizó el expediente en estudio se cae en la cuenta de que no se actualiza ninguna de las casuales a continuación transcritas:</w:t>
      </w:r>
    </w:p>
    <w:p w14:paraId="152F0BF9" w14:textId="77777777" w:rsidR="00785E98" w:rsidRDefault="00785E98">
      <w:pPr>
        <w:pBdr>
          <w:top w:val="nil"/>
          <w:left w:val="nil"/>
          <w:bottom w:val="nil"/>
          <w:right w:val="nil"/>
          <w:between w:val="nil"/>
        </w:pBdr>
        <w:rPr>
          <w:color w:val="000000"/>
        </w:rPr>
      </w:pPr>
    </w:p>
    <w:p w14:paraId="48EB1B5C"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191.</w:t>
      </w:r>
      <w:r>
        <w:rPr>
          <w:rFonts w:ascii="Palatino Linotype" w:eastAsia="Palatino Linotype" w:hAnsi="Palatino Linotype" w:cs="Palatino Linotype"/>
          <w:i/>
          <w:color w:val="000000"/>
          <w:sz w:val="22"/>
          <w:szCs w:val="22"/>
        </w:rPr>
        <w:t xml:space="preserve"> El recurso será desechado por improcedente cuando:  </w:t>
      </w:r>
    </w:p>
    <w:p w14:paraId="7E857255"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Sea extemporáneo por haber transcurrido el plazo establecido en la presente Ley, a partir de la respuesta;  </w:t>
      </w:r>
    </w:p>
    <w:p w14:paraId="608025E1"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14:paraId="2F3A2472"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No actualice alguno de los supuestos previstos en la presente Ley;  </w:t>
      </w:r>
    </w:p>
    <w:p w14:paraId="6494FEFB"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No se haya desahogado la prevención en los términos establecidos en la presente Ley;</w:t>
      </w:r>
    </w:p>
    <w:p w14:paraId="4306CDA8"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Se impugne la veracidad de la información proporcionada;  </w:t>
      </w:r>
    </w:p>
    <w:p w14:paraId="770C8423"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Se trate de una consulta, o trámite en específico; y  </w:t>
      </w:r>
    </w:p>
    <w:p w14:paraId="36363850"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14:paraId="591B29CE" w14:textId="77777777" w:rsidR="00785E98" w:rsidRDefault="00785E98">
      <w:pPr>
        <w:spacing w:line="360" w:lineRule="auto"/>
        <w:jc w:val="both"/>
        <w:rPr>
          <w:rFonts w:ascii="Palatino Linotype" w:eastAsia="Palatino Linotype" w:hAnsi="Palatino Linotype" w:cs="Palatino Linotype"/>
        </w:rPr>
      </w:pPr>
    </w:p>
    <w:p w14:paraId="021FAE6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6C795053"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las cosas, al no existir causas de improcedencia invocadas por las partes ni advertidas de oficio por este Resolutor, se proceden al análisis del fondo de los asuntos en los siguientes términos.</w:t>
      </w:r>
    </w:p>
    <w:p w14:paraId="398064D3" w14:textId="77777777" w:rsidR="009714F5" w:rsidRDefault="009714F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242B7AC" w14:textId="269BAE3A" w:rsidR="00785E98" w:rsidRDefault="006B41E2">
      <w:pPr>
        <w:tabs>
          <w:tab w:val="left" w:pos="709"/>
        </w:tabs>
        <w:spacing w:line="360" w:lineRule="auto"/>
        <w:ind w:right="51"/>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QUIN</w:t>
      </w:r>
      <w:r w:rsidR="005D216E">
        <w:rPr>
          <w:rFonts w:ascii="Palatino Linotype" w:eastAsia="Palatino Linotype" w:hAnsi="Palatino Linotype" w:cs="Palatino Linotype"/>
          <w:b/>
          <w:sz w:val="28"/>
          <w:szCs w:val="28"/>
        </w:rPr>
        <w:t xml:space="preserve">TO. Estudio y resolución del asunto </w:t>
      </w:r>
    </w:p>
    <w:p w14:paraId="748CFE79" w14:textId="77777777" w:rsidR="00785E98" w:rsidRDefault="005D216E">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El derecho de acceso a la información pública es un </w:t>
      </w:r>
      <w:r>
        <w:rPr>
          <w:rFonts w:ascii="Palatino Linotype" w:eastAsia="Palatino Linotype" w:hAnsi="Palatino Linotype" w:cs="Palatino Linotype"/>
          <w:color w:val="000000"/>
        </w:rPr>
        <w:t xml:space="preserve">derecho humano reconocido en el Pacto de Derechos Civiles y Políticos en su artículo 19.2; en la Convención Americana </w:t>
      </w:r>
      <w:r>
        <w:rPr>
          <w:rFonts w:ascii="Palatino Linotype" w:eastAsia="Palatino Linotype" w:hAnsi="Palatino Linotype" w:cs="Palatino Linotype"/>
          <w:color w:val="000000"/>
        </w:rPr>
        <w:lastRenderedPageBreak/>
        <w:t xml:space="preserve">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00B629D" w14:textId="77777777" w:rsidR="00785E98" w:rsidRDefault="00785E98">
      <w:pPr>
        <w:spacing w:line="360" w:lineRule="auto"/>
        <w:jc w:val="both"/>
        <w:rPr>
          <w:rFonts w:ascii="Palatino Linotype" w:eastAsia="Palatino Linotype" w:hAnsi="Palatino Linotype" w:cs="Palatino Linotype"/>
          <w:color w:val="000000"/>
        </w:rPr>
      </w:pPr>
    </w:p>
    <w:p w14:paraId="2FD30836"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está constreñido a dar atención a las solicitudes de información que a través del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o de vía directa le sean presentadas en ejercicio del derecho humano de acceso a la información pública, lo cual, en el caso no aconteció, pues tal y como se ha acreditado de la revisión del expediente electrónico formado de las constancias que obran en el sistema </w:t>
      </w:r>
      <w:r w:rsidRPr="00CA19C9">
        <w:rPr>
          <w:rFonts w:ascii="Palatino Linotype" w:eastAsia="Palatino Linotype" w:hAnsi="Palatino Linotype" w:cs="Palatino Linotype"/>
          <w:b/>
        </w:rPr>
        <w:t>SAIMEX</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dar respuesta a la solicitud de información dentro de los plazos establecidos en la Ley de Transparencia Loca</w:t>
      </w:r>
      <w:r w:rsidR="00CA19C9">
        <w:rPr>
          <w:rFonts w:ascii="Palatino Linotype" w:eastAsia="Palatino Linotype" w:hAnsi="Palatino Linotype" w:cs="Palatino Linotype"/>
        </w:rPr>
        <w:t>l</w:t>
      </w:r>
      <w:r>
        <w:rPr>
          <w:rFonts w:ascii="Palatino Linotype" w:eastAsia="Palatino Linotype" w:hAnsi="Palatino Linotype" w:cs="Palatino Linotype"/>
        </w:rPr>
        <w:t>.</w:t>
      </w:r>
    </w:p>
    <w:p w14:paraId="4DEEDE07" w14:textId="77777777" w:rsidR="00785E98" w:rsidRDefault="00785E98">
      <w:pPr>
        <w:spacing w:line="360" w:lineRule="auto"/>
        <w:jc w:val="both"/>
        <w:rPr>
          <w:rFonts w:ascii="Palatino Linotype" w:eastAsia="Palatino Linotype" w:hAnsi="Palatino Linotype" w:cs="Palatino Linotype"/>
        </w:rPr>
      </w:pPr>
    </w:p>
    <w:p w14:paraId="5FC88749"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los motivos o razones de inconformidad expuestos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rPr>
        <w:t>en la fracción VII, del artículo 179, de la Ley de Transparencia y Acceso a la Información Pública del Estado 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y</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por tanto, procedente la interposición del recurso de revisión.</w:t>
      </w:r>
    </w:p>
    <w:p w14:paraId="2AFAE612" w14:textId="77777777" w:rsidR="00785E98" w:rsidRDefault="00785E98">
      <w:pPr>
        <w:spacing w:line="360" w:lineRule="auto"/>
        <w:jc w:val="both"/>
        <w:rPr>
          <w:rFonts w:ascii="Palatino Linotype" w:eastAsia="Palatino Linotype" w:hAnsi="Palatino Linotype" w:cs="Palatino Linotype"/>
        </w:rPr>
      </w:pPr>
    </w:p>
    <w:p w14:paraId="7658FF4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las razones o motivos de inconformidad hechos valer, resultan </w:t>
      </w:r>
      <w:r>
        <w:rPr>
          <w:rFonts w:ascii="Palatino Linotype" w:eastAsia="Palatino Linotype" w:hAnsi="Palatino Linotype" w:cs="Palatino Linotype"/>
          <w:b/>
        </w:rPr>
        <w:t>fundadas y procedentes</w:t>
      </w:r>
      <w:r>
        <w:rPr>
          <w:rFonts w:ascii="Palatino Linotype" w:eastAsia="Palatino Linotype" w:hAnsi="Palatino Linotype" w:cs="Palatino Linotype"/>
        </w:rPr>
        <w:t xml:space="preserve">, en virtud de las constancias que obran en los expedientes electrónicos </w:t>
      </w:r>
      <w:r>
        <w:rPr>
          <w:rFonts w:ascii="Palatino Linotype" w:eastAsia="Palatino Linotype" w:hAnsi="Palatino Linotype" w:cs="Palatino Linotype"/>
          <w:b/>
        </w:rPr>
        <w:t>SAIMEX</w:t>
      </w:r>
      <w:r>
        <w:rPr>
          <w:rFonts w:ascii="Palatino Linotype" w:eastAsia="Palatino Linotype" w:hAnsi="Palatino Linotype" w:cs="Palatino Linotype"/>
        </w:rPr>
        <w:t xml:space="preserve">, se acredita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responder las </w:t>
      </w:r>
      <w:r>
        <w:rPr>
          <w:rFonts w:ascii="Palatino Linotype" w:eastAsia="Palatino Linotype" w:hAnsi="Palatino Linotype" w:cs="Palatino Linotype"/>
        </w:rPr>
        <w:lastRenderedPageBreak/>
        <w:t xml:space="preserve">solicitudes de información hecha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es decir, incumplió las obligaciones que se le imponen como </w:t>
      </w:r>
      <w:r>
        <w:rPr>
          <w:rFonts w:ascii="Palatino Linotype" w:eastAsia="Palatino Linotype" w:hAnsi="Palatino Linotype" w:cs="Palatino Linotype"/>
          <w:b/>
        </w:rPr>
        <w:t>Sujeto Obligado</w:t>
      </w:r>
      <w:r>
        <w:rPr>
          <w:rFonts w:ascii="Palatino Linotype" w:eastAsia="Palatino Linotype" w:hAnsi="Palatino Linotype" w:cs="Palatino Linotype"/>
        </w:rPr>
        <w:t>, de conformidad con lo establecido en los artículos 4, 12, 23 fracción IV, 24 último párrafo y 160 de la Ley de Transparencia y Acceso a la Información Pública del Estado de México y Municipios.</w:t>
      </w:r>
    </w:p>
    <w:p w14:paraId="4F453BBA" w14:textId="77777777" w:rsidR="00785E98" w:rsidRDefault="00785E98">
      <w:pPr>
        <w:spacing w:line="360" w:lineRule="auto"/>
        <w:jc w:val="both"/>
        <w:rPr>
          <w:rFonts w:ascii="Palatino Linotype" w:eastAsia="Palatino Linotype" w:hAnsi="Palatino Linotype" w:cs="Palatino Linotype"/>
        </w:rPr>
      </w:pPr>
    </w:p>
    <w:p w14:paraId="2E11239E" w14:textId="77777777"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62901E17" w14:textId="77777777" w:rsidR="00785E98" w:rsidRDefault="00785E98">
      <w:pPr>
        <w:widowControl w:val="0"/>
        <w:tabs>
          <w:tab w:val="left" w:pos="1276"/>
        </w:tabs>
        <w:spacing w:line="360" w:lineRule="auto"/>
        <w:jc w:val="both"/>
        <w:rPr>
          <w:rFonts w:ascii="Palatino Linotype" w:eastAsia="Palatino Linotype" w:hAnsi="Palatino Linotype" w:cs="Palatino Linotype"/>
        </w:rPr>
      </w:pPr>
    </w:p>
    <w:p w14:paraId="4DDF5350" w14:textId="77777777"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B8C00AD" w14:textId="77777777" w:rsidR="00785E98" w:rsidRDefault="00785E98">
      <w:pPr>
        <w:widowControl w:val="0"/>
        <w:tabs>
          <w:tab w:val="left" w:pos="1276"/>
        </w:tabs>
        <w:spacing w:line="360" w:lineRule="auto"/>
        <w:jc w:val="both"/>
        <w:rPr>
          <w:rFonts w:ascii="Palatino Linotype" w:eastAsia="Palatino Linotype" w:hAnsi="Palatino Linotype" w:cs="Palatino Linotype"/>
        </w:rPr>
      </w:pPr>
    </w:p>
    <w:p w14:paraId="1502B3CF"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w:t>
      </w:r>
      <w:r>
        <w:rPr>
          <w:rFonts w:ascii="Palatino Linotype" w:eastAsia="Palatino Linotype" w:hAnsi="Palatino Linotype" w:cs="Palatino Linotype"/>
        </w:rPr>
        <w:lastRenderedPageBreak/>
        <w:t>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23B8C034" w14:textId="77777777" w:rsidR="00785E98" w:rsidRDefault="00785E98">
      <w:pPr>
        <w:spacing w:line="360" w:lineRule="auto"/>
        <w:jc w:val="both"/>
        <w:rPr>
          <w:rFonts w:ascii="Palatino Linotype" w:eastAsia="Palatino Linotype" w:hAnsi="Palatino Linotype" w:cs="Palatino Linotype"/>
        </w:rPr>
      </w:pPr>
    </w:p>
    <w:p w14:paraId="01B2409E"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rPr>
        <w:t xml:space="preserve">procedimiento de acceso a la información es la garantía primaria del derecho en cuestión, </w:t>
      </w:r>
      <w:r>
        <w:rPr>
          <w:rFonts w:ascii="Palatino Linotype" w:eastAsia="Palatino Linotype" w:hAnsi="Palatino Linotype" w:cs="Palatino Linotype"/>
        </w:rPr>
        <w:t xml:space="preserve">por lo tanto, la falta de respuesta a una solicitud de acceso a la información constituye un incumplimiento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su deber de garantizar el derecho, lo que constituye una vulneración al mismo.</w:t>
      </w:r>
    </w:p>
    <w:p w14:paraId="61428337" w14:textId="77777777" w:rsidR="00E94B1F" w:rsidRDefault="00E94B1F">
      <w:pPr>
        <w:spacing w:line="360" w:lineRule="auto"/>
        <w:jc w:val="both"/>
        <w:rPr>
          <w:rFonts w:ascii="Palatino Linotype" w:eastAsia="Palatino Linotype" w:hAnsi="Palatino Linotype" w:cs="Palatino Linotype"/>
          <w:i/>
        </w:rPr>
      </w:pPr>
    </w:p>
    <w:p w14:paraId="72A60D1F" w14:textId="0DA8B352" w:rsidR="00705B42"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esta resolución,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5DBF8FD2" w14:textId="77777777" w:rsidR="00705B42" w:rsidRDefault="00705B42">
      <w:pPr>
        <w:spacing w:line="360" w:lineRule="auto"/>
        <w:jc w:val="both"/>
        <w:rPr>
          <w:rFonts w:ascii="Palatino Linotype" w:eastAsia="Palatino Linotype" w:hAnsi="Palatino Linotype" w:cs="Palatino Linotype"/>
        </w:rPr>
      </w:pPr>
    </w:p>
    <w:p w14:paraId="4EFCC0CE" w14:textId="77777777" w:rsidR="00785E98" w:rsidRDefault="005D216E" w:rsidP="00664FBF">
      <w:pPr>
        <w:numPr>
          <w:ilvl w:val="0"/>
          <w:numId w:val="1"/>
        </w:numPr>
        <w:pBdr>
          <w:top w:val="nil"/>
          <w:left w:val="nil"/>
          <w:bottom w:val="nil"/>
          <w:right w:val="nil"/>
          <w:between w:val="nil"/>
        </w:pBdr>
        <w:spacing w:line="360" w:lineRule="auto"/>
        <w:jc w:val="both"/>
        <w:rPr>
          <w:b/>
          <w:color w:val="000000"/>
          <w:sz w:val="28"/>
          <w:szCs w:val="28"/>
        </w:rPr>
      </w:pPr>
      <w:r>
        <w:rPr>
          <w:rFonts w:ascii="Palatino Linotype" w:eastAsia="Palatino Linotype" w:hAnsi="Palatino Linotype" w:cs="Palatino Linotype"/>
          <w:b/>
          <w:color w:val="000000"/>
          <w:sz w:val="28"/>
          <w:szCs w:val="28"/>
        </w:rPr>
        <w:t>De la clasificación de la información</w:t>
      </w:r>
    </w:p>
    <w:p w14:paraId="517D8DA7" w14:textId="77777777" w:rsidR="00785E98" w:rsidRDefault="005D216E" w:rsidP="00664FBF">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w:t>
      </w:r>
      <w:r>
        <w:rPr>
          <w:rFonts w:ascii="Palatino Linotype" w:eastAsia="Palatino Linotype" w:hAnsi="Palatino Linotype" w:cs="Palatino Linotype"/>
        </w:rPr>
        <w:lastRenderedPageBreak/>
        <w:t xml:space="preserve">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58B0324F" w14:textId="77777777" w:rsidR="00785E98" w:rsidRDefault="00785E98">
      <w:pPr>
        <w:spacing w:after="160" w:line="360" w:lineRule="auto"/>
        <w:jc w:val="both"/>
        <w:rPr>
          <w:rFonts w:ascii="Palatino Linotype" w:eastAsia="Palatino Linotype" w:hAnsi="Palatino Linotype" w:cs="Palatino Linotype"/>
        </w:rPr>
      </w:pPr>
    </w:p>
    <w:p w14:paraId="7A86D717"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La Ley de Transparencia y Acceso a la Información Pública del Estado de México y Municipios, en sus artículos 140 y 143 prevé los siguientes supuestos para clasificar la información como reservada o confidencial.</w:t>
      </w:r>
    </w:p>
    <w:p w14:paraId="21F677C1"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075CFE42"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para dar atención a la solicitud de información,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592E6F9" w14:textId="77777777" w:rsidR="00785E98" w:rsidRDefault="00785E98">
      <w:pPr>
        <w:spacing w:line="360" w:lineRule="auto"/>
        <w:jc w:val="both"/>
        <w:rPr>
          <w:rFonts w:ascii="Palatino Linotype" w:eastAsia="Palatino Linotype" w:hAnsi="Palatino Linotype" w:cs="Palatino Linotype"/>
        </w:rPr>
      </w:pPr>
    </w:p>
    <w:p w14:paraId="3FB38C63"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661D9910"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1885F89F"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669F9E43"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14875A84"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7A83C31"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7C19ED2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9ABEAB5" w14:textId="77777777" w:rsidR="00785E98" w:rsidRDefault="00785E98">
      <w:pPr>
        <w:spacing w:line="360" w:lineRule="auto"/>
        <w:jc w:val="both"/>
        <w:rPr>
          <w:rFonts w:ascii="Palatino Linotype" w:eastAsia="Palatino Linotype" w:hAnsi="Palatino Linotype" w:cs="Palatino Linotype"/>
        </w:rPr>
      </w:pPr>
    </w:p>
    <w:p w14:paraId="2357C6D8"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97422EF"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776D1C30"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2FDF56E6"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261579F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rPr>
        <w:t>.</w:t>
      </w:r>
    </w:p>
    <w:p w14:paraId="20F4CC5A" w14:textId="77777777" w:rsidR="00785E98" w:rsidRDefault="00785E98">
      <w:pPr>
        <w:spacing w:line="360" w:lineRule="auto"/>
        <w:jc w:val="both"/>
        <w:rPr>
          <w:rFonts w:ascii="Palatino Linotype" w:eastAsia="Palatino Linotype" w:hAnsi="Palatino Linotype" w:cs="Palatino Linotype"/>
        </w:rPr>
      </w:pPr>
    </w:p>
    <w:p w14:paraId="6A506771" w14:textId="77777777" w:rsidR="00785E98" w:rsidRDefault="005D216E" w:rsidP="00664FBF">
      <w:pPr>
        <w:numPr>
          <w:ilvl w:val="0"/>
          <w:numId w:val="1"/>
        </w:numPr>
        <w:pBdr>
          <w:top w:val="nil"/>
          <w:left w:val="nil"/>
          <w:bottom w:val="nil"/>
          <w:right w:val="nil"/>
          <w:between w:val="nil"/>
        </w:pBdr>
        <w:tabs>
          <w:tab w:val="left" w:pos="7938"/>
        </w:tabs>
        <w:spacing w:line="360" w:lineRule="auto"/>
        <w:jc w:val="both"/>
        <w:rPr>
          <w:b/>
          <w:color w:val="000000"/>
          <w:sz w:val="28"/>
          <w:szCs w:val="28"/>
        </w:rPr>
      </w:pPr>
      <w:r>
        <w:rPr>
          <w:rFonts w:ascii="Palatino Linotype" w:eastAsia="Palatino Linotype" w:hAnsi="Palatino Linotype" w:cs="Palatino Linotype"/>
          <w:b/>
          <w:color w:val="000000"/>
          <w:sz w:val="28"/>
          <w:szCs w:val="28"/>
        </w:rPr>
        <w:t xml:space="preserve">De la vista a los órganos de control interno competentes </w:t>
      </w:r>
    </w:p>
    <w:p w14:paraId="299D5695" w14:textId="77777777" w:rsidR="00785E98" w:rsidRDefault="005D216E" w:rsidP="00664FBF">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Como ya se mencionó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rPr>
        <w:t xml:space="preserve"> </w:t>
      </w:r>
      <w:r>
        <w:rPr>
          <w:rFonts w:ascii="Palatino Linotype" w:eastAsia="Palatino Linotype" w:hAnsi="Palatino Linotype" w:cs="Palatino Linotype"/>
        </w:rPr>
        <w:t>a la Secretaría Técnica del Pleno de este Instituto para hacer del conocimiento del Órgano Interno de Control competente la presente resolución, a fin de que de conformidad con los</w:t>
      </w:r>
      <w:r w:rsidR="00CA19C9">
        <w:rPr>
          <w:rFonts w:ascii="Palatino Linotype" w:eastAsia="Palatino Linotype" w:hAnsi="Palatino Linotype" w:cs="Palatino Linotype"/>
        </w:rPr>
        <w:t xml:space="preserve"> artículos 190 y 222 </w:t>
      </w:r>
      <w:r>
        <w:rPr>
          <w:rFonts w:ascii="Palatino Linotype" w:eastAsia="Palatino Linotype" w:hAnsi="Palatino Linotype" w:cs="Palatino Linotype"/>
        </w:rPr>
        <w:t xml:space="preserve">de la Ley de Transparencia y Acceso a la Información Pública </w:t>
      </w:r>
      <w:r>
        <w:rPr>
          <w:rFonts w:ascii="Palatino Linotype" w:eastAsia="Palatino Linotype" w:hAnsi="Palatino Linotype" w:cs="Palatino Linotype"/>
        </w:rPr>
        <w:lastRenderedPageBreak/>
        <w:t>del Estado de México y Municipios y 19 fracción XXVII, del Reglamento Interior del Instituto de Transparencia, Acceso a la Información y Protección de Datos Personales del Estado de México y Municipios, se determine lo conducente.</w:t>
      </w:r>
    </w:p>
    <w:p w14:paraId="47D38419" w14:textId="77777777" w:rsidR="00E94B1F" w:rsidRDefault="00E94B1F">
      <w:pPr>
        <w:spacing w:line="360" w:lineRule="auto"/>
        <w:ind w:right="49"/>
        <w:jc w:val="both"/>
        <w:rPr>
          <w:rFonts w:ascii="Palatino Linotype" w:eastAsia="Palatino Linotype" w:hAnsi="Palatino Linotype" w:cs="Palatino Linotype"/>
        </w:rPr>
      </w:pPr>
    </w:p>
    <w:p w14:paraId="140F67A0" w14:textId="31F85E1C" w:rsidR="00785E98" w:rsidRDefault="005D216E">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Por lo tanto, en mérito de lo expuesto en líneas anteriores, con fundamento en la fracción IV, del artículo 186, de la Ley de Transparencia y Acceso a la Información Pública del Estado de México y Municipios, se </w:t>
      </w:r>
      <w:r>
        <w:rPr>
          <w:rFonts w:ascii="Palatino Linotype" w:eastAsia="Palatino Linotype" w:hAnsi="Palatino Linotype" w:cs="Palatino Linotype"/>
          <w:b/>
        </w:rPr>
        <w:t>ORDENA</w:t>
      </w:r>
      <w:r>
        <w:rPr>
          <w:rFonts w:ascii="Palatino Linotype" w:eastAsia="Palatino Linotype" w:hAnsi="Palatino Linotype" w:cs="Palatino Linotype"/>
        </w:rPr>
        <w:t xml:space="preserve"> 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w:t>
      </w:r>
      <w:r w:rsidR="00CA19C9">
        <w:rPr>
          <w:rFonts w:ascii="Palatino Linotype" w:eastAsia="Palatino Linotype" w:hAnsi="Palatino Linotype" w:cs="Palatino Linotype"/>
        </w:rPr>
        <w:t xml:space="preserve">número </w:t>
      </w:r>
      <w:r w:rsidR="00664FBF" w:rsidRPr="00664FBF">
        <w:rPr>
          <w:rFonts w:ascii="Palatino Linotype" w:eastAsia="Palatino Linotype" w:hAnsi="Palatino Linotype" w:cs="Palatino Linotype"/>
          <w:b/>
        </w:rPr>
        <w:t>00018/ISIFABE/IP/2025</w:t>
      </w:r>
      <w:r w:rsidR="00CA19C9">
        <w:rPr>
          <w:rFonts w:ascii="Palatino Linotype" w:eastAsia="Palatino Linotype" w:hAnsi="Palatino Linotype" w:cs="Palatino Linotype"/>
        </w:rPr>
        <w:t>, que ha</w:t>
      </w:r>
      <w:r>
        <w:rPr>
          <w:rFonts w:ascii="Palatino Linotype" w:eastAsia="Palatino Linotype" w:hAnsi="Palatino Linotype" w:cs="Palatino Linotype"/>
        </w:rPr>
        <w:t xml:space="preserve"> sido materia del presente fallo.</w:t>
      </w:r>
    </w:p>
    <w:p w14:paraId="2E072245" w14:textId="77777777" w:rsidR="00785E98" w:rsidRDefault="00785E98">
      <w:pPr>
        <w:spacing w:line="360" w:lineRule="auto"/>
        <w:jc w:val="both"/>
        <w:rPr>
          <w:rFonts w:ascii="Palatino Linotype" w:eastAsia="Palatino Linotype" w:hAnsi="Palatino Linotype" w:cs="Palatino Linotype"/>
        </w:rPr>
      </w:pPr>
    </w:p>
    <w:p w14:paraId="62BA6CEF" w14:textId="77777777" w:rsidR="00785E98" w:rsidRDefault="005D216E" w:rsidP="00CA19C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antes expuesto y fundado es de resolverse y;</w:t>
      </w:r>
    </w:p>
    <w:p w14:paraId="246F0C2F" w14:textId="77777777" w:rsidR="0004245C" w:rsidRPr="00CA19C9" w:rsidRDefault="0004245C" w:rsidP="00CA19C9">
      <w:pPr>
        <w:spacing w:line="360" w:lineRule="auto"/>
        <w:jc w:val="both"/>
        <w:rPr>
          <w:rFonts w:ascii="Palatino Linotype" w:eastAsia="Palatino Linotype" w:hAnsi="Palatino Linotype" w:cs="Palatino Linotype"/>
        </w:rPr>
      </w:pPr>
    </w:p>
    <w:p w14:paraId="6FEB70C3" w14:textId="77777777" w:rsidR="00785E98" w:rsidRDefault="005D216E">
      <w:pPr>
        <w:spacing w:line="360" w:lineRule="auto"/>
        <w:ind w:right="-234" w:firstLine="567"/>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 E     R E S U E L V E</w:t>
      </w:r>
    </w:p>
    <w:p w14:paraId="3651E107" w14:textId="77777777" w:rsidR="00785E98" w:rsidRDefault="00785E98">
      <w:pPr>
        <w:pBdr>
          <w:top w:val="nil"/>
          <w:left w:val="nil"/>
          <w:bottom w:val="nil"/>
          <w:right w:val="nil"/>
          <w:between w:val="nil"/>
        </w:pBdr>
        <w:rPr>
          <w:color w:val="000000"/>
        </w:rPr>
      </w:pPr>
    </w:p>
    <w:p w14:paraId="7E328A81" w14:textId="56F5BED4" w:rsidR="00785E98" w:rsidRDefault="005D216E">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Resultan fundadas las razones o motivos de inconformidad hechos valer por </w:t>
      </w:r>
      <w:r w:rsidR="00CA19C9">
        <w:rPr>
          <w:rFonts w:ascii="Palatino Linotype" w:eastAsia="Palatino Linotype" w:hAnsi="Palatino Linotype" w:cs="Palatino Linotype"/>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términos del Considerando </w:t>
      </w:r>
      <w:r w:rsidR="006B41E2">
        <w:rPr>
          <w:rFonts w:ascii="Palatino Linotype" w:eastAsia="Palatino Linotype" w:hAnsi="Palatino Linotype" w:cs="Palatino Linotype"/>
          <w:b/>
        </w:rPr>
        <w:t>QUIN</w:t>
      </w:r>
      <w:r>
        <w:rPr>
          <w:rFonts w:ascii="Palatino Linotype" w:eastAsia="Palatino Linotype" w:hAnsi="Palatino Linotype" w:cs="Palatino Linotype"/>
          <w:b/>
        </w:rPr>
        <w:t xml:space="preserve">TO </w:t>
      </w:r>
      <w:r>
        <w:rPr>
          <w:rFonts w:ascii="Palatino Linotype" w:eastAsia="Palatino Linotype" w:hAnsi="Palatino Linotype" w:cs="Palatino Linotype"/>
        </w:rPr>
        <w:t>de la presente resolución.</w:t>
      </w:r>
    </w:p>
    <w:p w14:paraId="73F86335" w14:textId="77777777" w:rsidR="00785E98" w:rsidRDefault="00785E98">
      <w:pPr>
        <w:spacing w:line="360" w:lineRule="auto"/>
        <w:ind w:right="49"/>
        <w:jc w:val="both"/>
        <w:rPr>
          <w:rFonts w:ascii="Palatino Linotype" w:eastAsia="Palatino Linotype" w:hAnsi="Palatino Linotype" w:cs="Palatino Linotype"/>
        </w:rPr>
      </w:pPr>
    </w:p>
    <w:p w14:paraId="1B02DB45" w14:textId="1B62FC76"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8"/>
          <w:szCs w:val="28"/>
        </w:rPr>
        <w:t>.</w:t>
      </w:r>
      <w:r>
        <w:rPr>
          <w:rFonts w:ascii="Palatino Linotype" w:eastAsia="Palatino Linotype" w:hAnsi="Palatino Linotype" w:cs="Palatino Linotype"/>
        </w:rPr>
        <w:t> Se</w:t>
      </w:r>
      <w:r>
        <w:rPr>
          <w:rFonts w:ascii="Palatino Linotype" w:eastAsia="Palatino Linotype" w:hAnsi="Palatino Linotype" w:cs="Palatino Linotype"/>
          <w:b/>
        </w:rPr>
        <w:t> 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número </w:t>
      </w:r>
      <w:r w:rsidR="00664FBF" w:rsidRPr="00664FBF">
        <w:rPr>
          <w:rFonts w:ascii="Palatino Linotype" w:eastAsia="Palatino Linotype" w:hAnsi="Palatino Linotype" w:cs="Palatino Linotype"/>
          <w:b/>
        </w:rPr>
        <w:t>00018/ISIFABE/IP/2025</w:t>
      </w:r>
      <w:r>
        <w:rPr>
          <w:rFonts w:ascii="Palatino Linotype" w:eastAsia="Palatino Linotype" w:hAnsi="Palatino Linotype" w:cs="Palatino Linotype"/>
        </w:rPr>
        <w:t>,</w:t>
      </w:r>
      <w:r w:rsidR="00CA19C9">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del Considerando </w:t>
      </w:r>
      <w:r w:rsidR="006B41E2">
        <w:rPr>
          <w:rFonts w:ascii="Palatino Linotype" w:eastAsia="Palatino Linotype" w:hAnsi="Palatino Linotype" w:cs="Palatino Linotype"/>
          <w:b/>
        </w:rPr>
        <w:t>QUIN</w:t>
      </w:r>
      <w:r>
        <w:rPr>
          <w:rFonts w:ascii="Palatino Linotype" w:eastAsia="Palatino Linotype" w:hAnsi="Palatino Linotype" w:cs="Palatino Linotype"/>
          <w:b/>
        </w:rPr>
        <w:t>TO</w:t>
      </w:r>
      <w:r>
        <w:rPr>
          <w:rFonts w:ascii="Palatino Linotype" w:eastAsia="Palatino Linotype" w:hAnsi="Palatino Linotype" w:cs="Palatino Linotype"/>
        </w:rPr>
        <w:t xml:space="preserve"> de esta resolución,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79ED268A" w14:textId="77777777" w:rsidR="009714F5" w:rsidRDefault="009714F5">
      <w:pPr>
        <w:spacing w:line="360" w:lineRule="auto"/>
        <w:jc w:val="both"/>
        <w:rPr>
          <w:rFonts w:ascii="Palatino Linotype" w:eastAsia="Palatino Linotype" w:hAnsi="Palatino Linotype" w:cs="Palatino Linotype"/>
        </w:rPr>
      </w:pPr>
    </w:p>
    <w:p w14:paraId="18A084DB"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t>TERCERO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sidRPr="00CA19C9">
        <w:rPr>
          <w:rFonts w:ascii="Palatino Linotype" w:eastAsia="Palatino Linotype" w:hAnsi="Palatino Linotype" w:cs="Palatino Linotype"/>
          <w:b/>
        </w:rPr>
        <w:t>(SAIMEX)</w:t>
      </w:r>
      <w:r>
        <w:rPr>
          <w:rFonts w:ascii="Palatino Linotype" w:eastAsia="Palatino Linotype" w:hAnsi="Palatino Linotype" w:cs="Palatino Linotype"/>
        </w:rPr>
        <w:t xml:space="preserve">, la presente resolución al Titular de la Unidad de Transparencia del Sujeto </w:t>
      </w:r>
      <w:r>
        <w:rPr>
          <w:rFonts w:ascii="Palatino Linotype" w:eastAsia="Palatino Linotype" w:hAnsi="Palatino Linotype" w:cs="Palatino Linotype"/>
        </w:rPr>
        <w:lastRenderedPageBreak/>
        <w:t>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w:t>
      </w:r>
      <w:r w:rsidR="00CA19C9">
        <w:rPr>
          <w:rFonts w:ascii="Palatino Linotype" w:eastAsia="Palatino Linotype" w:hAnsi="Palatino Linotype" w:cs="Palatino Linotype"/>
        </w:rPr>
        <w:t>n III; 214, 215 y 216 de la Ley</w:t>
      </w:r>
      <w:r>
        <w:rPr>
          <w:rFonts w:ascii="Palatino Linotype" w:eastAsia="Palatino Linotype" w:hAnsi="Palatino Linotype" w:cs="Palatino Linotype"/>
        </w:rPr>
        <w:t xml:space="preserve"> de Transparencia y Acceso a la Información Pública del Estado de México y Municipios</w:t>
      </w:r>
    </w:p>
    <w:p w14:paraId="61157416" w14:textId="77777777" w:rsidR="00785E98" w:rsidRDefault="00785E98">
      <w:pPr>
        <w:spacing w:line="360" w:lineRule="auto"/>
        <w:jc w:val="both"/>
        <w:rPr>
          <w:rFonts w:ascii="Palatino Linotype" w:eastAsia="Palatino Linotype" w:hAnsi="Palatino Linotype" w:cs="Palatino Linotype"/>
        </w:rPr>
      </w:pPr>
    </w:p>
    <w:p w14:paraId="0F13687B"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t>CUARTO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769BED27" w14:textId="77777777" w:rsidR="00785E98" w:rsidRDefault="00785E98">
      <w:pPr>
        <w:spacing w:line="360" w:lineRule="auto"/>
        <w:jc w:val="both"/>
        <w:rPr>
          <w:rFonts w:ascii="Palatino Linotype" w:eastAsia="Palatino Linotype" w:hAnsi="Palatino Linotype" w:cs="Palatino Linotype"/>
        </w:rPr>
      </w:pPr>
    </w:p>
    <w:p w14:paraId="56E5F364"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QUINTO</w:t>
      </w:r>
      <w:r>
        <w:rPr>
          <w:rFonts w:ascii="Palatino Linotype" w:eastAsia="Palatino Linotype" w:hAnsi="Palatino Linotype" w:cs="Palatino Linotype"/>
        </w:rPr>
        <w:t xml:space="preserve">. Se hace del conocimiento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D0F4796" w14:textId="77777777" w:rsidR="009714F5" w:rsidRDefault="009714F5">
      <w:pPr>
        <w:spacing w:line="360" w:lineRule="auto"/>
        <w:jc w:val="both"/>
        <w:rPr>
          <w:rFonts w:ascii="Palatino Linotype" w:eastAsia="Palatino Linotype" w:hAnsi="Palatino Linotype" w:cs="Palatino Linotype"/>
        </w:rPr>
      </w:pPr>
    </w:p>
    <w:p w14:paraId="65E61E40" w14:textId="1D286F56"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lastRenderedPageBreak/>
        <w:t>SEXTO</w:t>
      </w:r>
      <w:r>
        <w:rPr>
          <w:rFonts w:ascii="Palatino Linotype" w:eastAsia="Palatino Linotype" w:hAnsi="Palatino Linotype" w:cs="Palatino Linotype"/>
        </w:rPr>
        <w:t xml:space="preserve">. </w:t>
      </w:r>
      <w:r>
        <w:rPr>
          <w:rFonts w:ascii="Palatino Linotype" w:eastAsia="Palatino Linotype" w:hAnsi="Palatino Linotype" w:cs="Palatino Linotype"/>
          <w:b/>
        </w:rPr>
        <w:t>GÍRESE</w:t>
      </w:r>
      <w:r>
        <w:rPr>
          <w:rFonts w:ascii="Palatino Linotype" w:eastAsia="Palatino Linotype" w:hAnsi="Palatino Linotype" w:cs="Palatino Linotype"/>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CA19C9">
        <w:rPr>
          <w:rFonts w:ascii="Palatino Linotype" w:eastAsia="Palatino Linotype" w:hAnsi="Palatino Linotype" w:cs="Palatino Linotype"/>
        </w:rPr>
        <w:t>Considerand</w:t>
      </w:r>
      <w:r w:rsidRPr="0004245C">
        <w:rPr>
          <w:rFonts w:ascii="Palatino Linotype" w:eastAsia="Palatino Linotype" w:hAnsi="Palatino Linotype" w:cs="Palatino Linotype"/>
        </w:rPr>
        <w:t>o</w:t>
      </w:r>
      <w:r>
        <w:rPr>
          <w:rFonts w:ascii="Palatino Linotype" w:eastAsia="Palatino Linotype" w:hAnsi="Palatino Linotype" w:cs="Palatino Linotype"/>
        </w:rPr>
        <w:t xml:space="preserve"> </w:t>
      </w:r>
      <w:r w:rsidR="006B41E2">
        <w:rPr>
          <w:rFonts w:ascii="Palatino Linotype" w:eastAsia="Palatino Linotype" w:hAnsi="Palatino Linotype" w:cs="Palatino Linotype"/>
          <w:b/>
        </w:rPr>
        <w:t>QUIN</w:t>
      </w:r>
      <w:r>
        <w:rPr>
          <w:rFonts w:ascii="Palatino Linotype" w:eastAsia="Palatino Linotype" w:hAnsi="Palatino Linotype" w:cs="Palatino Linotype"/>
          <w:b/>
        </w:rPr>
        <w:t>TO</w:t>
      </w:r>
      <w:r>
        <w:rPr>
          <w:rFonts w:ascii="Palatino Linotype" w:eastAsia="Palatino Linotype" w:hAnsi="Palatino Linotype" w:cs="Palatino Linotype"/>
        </w:rPr>
        <w:t xml:space="preserve"> de la presente resolución.</w:t>
      </w:r>
    </w:p>
    <w:p w14:paraId="4EA7B864" w14:textId="77777777" w:rsidR="00CA47DE" w:rsidRDefault="00CA47DE">
      <w:pPr>
        <w:spacing w:line="360" w:lineRule="auto"/>
        <w:jc w:val="both"/>
        <w:rPr>
          <w:rFonts w:ascii="Palatino Linotype" w:eastAsia="Palatino Linotype" w:hAnsi="Palatino Linotype" w:cs="Palatino Linotype"/>
        </w:rPr>
      </w:pPr>
    </w:p>
    <w:p w14:paraId="482373B6" w14:textId="41AF2CA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4245C">
        <w:rPr>
          <w:rFonts w:ascii="Palatino Linotype" w:eastAsia="Palatino Linotype" w:hAnsi="Palatino Linotype" w:cs="Palatino Linotype"/>
        </w:rPr>
        <w:t xml:space="preserve">DÉCIMA </w:t>
      </w:r>
      <w:r w:rsidR="00705B42">
        <w:rPr>
          <w:rFonts w:ascii="Palatino Linotype" w:eastAsia="Palatino Linotype" w:hAnsi="Palatino Linotype" w:cs="Palatino Linotype"/>
        </w:rPr>
        <w:t>SEGUND</w:t>
      </w:r>
      <w:r w:rsidR="00693587">
        <w:rPr>
          <w:rFonts w:ascii="Palatino Linotype" w:eastAsia="Palatino Linotype" w:hAnsi="Palatino Linotype" w:cs="Palatino Linotype"/>
        </w:rPr>
        <w:t>A</w:t>
      </w:r>
      <w:r>
        <w:rPr>
          <w:rFonts w:ascii="Palatino Linotype" w:eastAsia="Palatino Linotype" w:hAnsi="Palatino Linotype" w:cs="Palatino Linotype"/>
        </w:rPr>
        <w:t xml:space="preserve"> SESIÓN </w:t>
      </w:r>
      <w:r w:rsidR="00693587">
        <w:rPr>
          <w:rFonts w:ascii="Palatino Linotype" w:eastAsia="Palatino Linotype" w:hAnsi="Palatino Linotype" w:cs="Palatino Linotype"/>
        </w:rPr>
        <w:t>OR</w:t>
      </w:r>
      <w:r w:rsidR="00B451BA">
        <w:rPr>
          <w:rFonts w:ascii="Palatino Linotype" w:eastAsia="Palatino Linotype" w:hAnsi="Palatino Linotype" w:cs="Palatino Linotype"/>
        </w:rPr>
        <w:t xml:space="preserve">DINARIA CELEBRADA EL </w:t>
      </w:r>
      <w:r w:rsidR="00705B42">
        <w:rPr>
          <w:rFonts w:ascii="Palatino Linotype" w:eastAsia="Palatino Linotype" w:hAnsi="Palatino Linotype" w:cs="Palatino Linotype"/>
        </w:rPr>
        <w:t>DOS DE ABRIL</w:t>
      </w:r>
      <w:r w:rsidR="00CA47DE" w:rsidRPr="00CA47DE">
        <w:rPr>
          <w:rFonts w:ascii="Palatino Linotype" w:eastAsia="Palatino Linotype" w:hAnsi="Palatino Linotype" w:cs="Palatino Linotype"/>
        </w:rPr>
        <w:t xml:space="preserve"> DE DOS MIL VEINTICINCO</w:t>
      </w:r>
      <w:r>
        <w:rPr>
          <w:rFonts w:ascii="Palatino Linotype" w:eastAsia="Palatino Linotype" w:hAnsi="Palatino Linotype" w:cs="Palatino Linotype"/>
        </w:rPr>
        <w:t>, ANTE EL SECRETARIO TÉCNICO DEL PLENO, ALEXIS TAPIA RAMÍREZ.----------------------------------------------------------</w:t>
      </w:r>
      <w:r w:rsidR="00693587">
        <w:rPr>
          <w:rFonts w:ascii="Palatino Linotype" w:eastAsia="Palatino Linotype" w:hAnsi="Palatino Linotype" w:cs="Palatino Linotype"/>
        </w:rPr>
        <w:t>-------------------------------</w:t>
      </w:r>
      <w:r>
        <w:rPr>
          <w:rFonts w:ascii="Palatino Linotype" w:eastAsia="Palatino Linotype" w:hAnsi="Palatino Linotype" w:cs="Palatino Linotype"/>
        </w:rPr>
        <w:t>----------</w:t>
      </w:r>
      <w:r w:rsidR="00CA19C9" w:rsidRPr="00CA19C9">
        <w:rPr>
          <w:rFonts w:ascii="Palatino Linotype" w:eastAsia="Palatino Linotype" w:hAnsi="Palatino Linotype" w:cs="Palatino Linotype"/>
        </w:rPr>
        <w:t xml:space="preserve"> </w:t>
      </w:r>
      <w:r w:rsidR="00CA19C9">
        <w:rPr>
          <w:rFonts w:ascii="Palatino Linotype" w:eastAsia="Palatino Linotype" w:hAnsi="Palatino Linotype" w:cs="Palatino Linotype"/>
        </w:rPr>
        <w:t>------------------------------------------------------------------------------------------------------------------------------------------------------------------------------------------------------------------------------------------------------------------------------------------------------------------------------------------------------------------------------------------------------------------------------------------------------------------------------------------------------------------------------------------------------------------------------------------------------------------------------------------------------------------------------------------------------------</w:t>
      </w:r>
      <w:r w:rsidR="0004245C">
        <w:rPr>
          <w:rFonts w:ascii="Palatino Linotype" w:eastAsia="Palatino Linotype" w:hAnsi="Palatino Linotype" w:cs="Palatino Linotype"/>
        </w:rPr>
        <w:t>------------------------------------------------------------------------------------------------------------------------------------------------------------------------------------------------------------------------------------------------------------------------------------------------------------------------------------------------------</w:t>
      </w:r>
    </w:p>
    <w:p w14:paraId="131AEDA1"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sz w:val="16"/>
          <w:szCs w:val="16"/>
        </w:rPr>
        <w:t>JMV/CCR/</w:t>
      </w:r>
      <w:proofErr w:type="spellStart"/>
      <w:r>
        <w:rPr>
          <w:rFonts w:ascii="Palatino Linotype" w:eastAsia="Palatino Linotype" w:hAnsi="Palatino Linotype" w:cs="Palatino Linotype"/>
          <w:sz w:val="16"/>
          <w:szCs w:val="16"/>
        </w:rPr>
        <w:t>jasm</w:t>
      </w:r>
      <w:proofErr w:type="spellEnd"/>
    </w:p>
    <w:p w14:paraId="0B1AEB2B" w14:textId="77777777" w:rsidR="00785E98" w:rsidRDefault="00785E98">
      <w:pPr>
        <w:spacing w:line="360" w:lineRule="auto"/>
        <w:jc w:val="both"/>
        <w:rPr>
          <w:rFonts w:ascii="Palatino Linotype" w:eastAsia="Palatino Linotype" w:hAnsi="Palatino Linotype" w:cs="Palatino Linotype"/>
          <w:sz w:val="32"/>
          <w:szCs w:val="32"/>
        </w:rPr>
      </w:pPr>
    </w:p>
    <w:p w14:paraId="22BC9482" w14:textId="77777777" w:rsidR="00785E98" w:rsidRDefault="00785E98">
      <w:pPr>
        <w:spacing w:line="360" w:lineRule="auto"/>
        <w:jc w:val="both"/>
        <w:rPr>
          <w:rFonts w:ascii="Palatino Linotype" w:eastAsia="Palatino Linotype" w:hAnsi="Palatino Linotype" w:cs="Palatino Linotype"/>
        </w:rPr>
      </w:pPr>
    </w:p>
    <w:p w14:paraId="379A086F" w14:textId="77777777" w:rsidR="00785E98" w:rsidRDefault="00785E98">
      <w:pPr>
        <w:spacing w:line="360" w:lineRule="auto"/>
        <w:jc w:val="both"/>
        <w:rPr>
          <w:rFonts w:ascii="Palatino Linotype" w:eastAsia="Palatino Linotype" w:hAnsi="Palatino Linotype" w:cs="Palatino Linotype"/>
        </w:rPr>
      </w:pPr>
    </w:p>
    <w:p w14:paraId="2B424F8F" w14:textId="77777777" w:rsidR="00785E98" w:rsidRDefault="00785E98">
      <w:pPr>
        <w:spacing w:line="360" w:lineRule="auto"/>
        <w:jc w:val="both"/>
        <w:rPr>
          <w:rFonts w:ascii="Palatino Linotype" w:eastAsia="Palatino Linotype" w:hAnsi="Palatino Linotype" w:cs="Palatino Linotype"/>
        </w:rPr>
      </w:pPr>
    </w:p>
    <w:p w14:paraId="29F2F47F" w14:textId="77777777" w:rsidR="00785E98" w:rsidRDefault="00785E98">
      <w:pPr>
        <w:spacing w:line="480" w:lineRule="auto"/>
        <w:jc w:val="both"/>
        <w:rPr>
          <w:rFonts w:ascii="Palatino Linotype" w:eastAsia="Palatino Linotype" w:hAnsi="Palatino Linotype" w:cs="Palatino Linotype"/>
        </w:rPr>
      </w:pPr>
    </w:p>
    <w:p w14:paraId="689A73EA" w14:textId="77777777" w:rsidR="00785E98" w:rsidRDefault="00785E98">
      <w:pPr>
        <w:spacing w:line="480" w:lineRule="auto"/>
        <w:jc w:val="both"/>
        <w:rPr>
          <w:rFonts w:ascii="Palatino Linotype" w:eastAsia="Palatino Linotype" w:hAnsi="Palatino Linotype" w:cs="Palatino Linotype"/>
        </w:rPr>
      </w:pPr>
    </w:p>
    <w:p w14:paraId="085DD8AA" w14:textId="77777777" w:rsidR="00785E98" w:rsidRDefault="00785E98">
      <w:pPr>
        <w:spacing w:line="480" w:lineRule="auto"/>
        <w:jc w:val="both"/>
        <w:rPr>
          <w:rFonts w:ascii="Palatino Linotype" w:eastAsia="Palatino Linotype" w:hAnsi="Palatino Linotype" w:cs="Palatino Linotype"/>
        </w:rPr>
      </w:pPr>
    </w:p>
    <w:p w14:paraId="134DA084" w14:textId="77777777" w:rsidR="00785E98" w:rsidRDefault="00785E98">
      <w:pPr>
        <w:spacing w:line="480" w:lineRule="auto"/>
        <w:jc w:val="both"/>
        <w:rPr>
          <w:rFonts w:ascii="Palatino Linotype" w:eastAsia="Palatino Linotype" w:hAnsi="Palatino Linotype" w:cs="Palatino Linotype"/>
        </w:rPr>
      </w:pPr>
    </w:p>
    <w:p w14:paraId="2413A89E" w14:textId="77777777" w:rsidR="00785E98" w:rsidRDefault="005D216E">
      <w:pPr>
        <w:spacing w:line="48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213885E0" w14:textId="77777777" w:rsidR="00785E98" w:rsidRDefault="00785E98">
      <w:pPr>
        <w:spacing w:line="480" w:lineRule="auto"/>
        <w:jc w:val="both"/>
        <w:rPr>
          <w:rFonts w:ascii="Palatino Linotype" w:eastAsia="Palatino Linotype" w:hAnsi="Palatino Linotype" w:cs="Palatino Linotype"/>
        </w:rPr>
      </w:pPr>
    </w:p>
    <w:p w14:paraId="10749900" w14:textId="77777777" w:rsidR="00785E98" w:rsidRDefault="00785E98">
      <w:pPr>
        <w:spacing w:line="480" w:lineRule="auto"/>
        <w:jc w:val="center"/>
        <w:rPr>
          <w:rFonts w:ascii="Palatino Linotype" w:eastAsia="Palatino Linotype" w:hAnsi="Palatino Linotype" w:cs="Palatino Linotype"/>
        </w:rPr>
      </w:pPr>
    </w:p>
    <w:p w14:paraId="641E586F" w14:textId="77777777" w:rsidR="00785E98" w:rsidRDefault="00785E98">
      <w:pPr>
        <w:spacing w:line="480" w:lineRule="auto"/>
        <w:rPr>
          <w:rFonts w:ascii="Palatino Linotype" w:eastAsia="Palatino Linotype" w:hAnsi="Palatino Linotype" w:cs="Palatino Linotype"/>
          <w:b/>
        </w:rPr>
      </w:pPr>
    </w:p>
    <w:p w14:paraId="7B338671" w14:textId="77777777" w:rsidR="00785E98" w:rsidRDefault="00785E98">
      <w:pPr>
        <w:spacing w:line="480" w:lineRule="auto"/>
        <w:rPr>
          <w:rFonts w:ascii="Palatino Linotype" w:eastAsia="Palatino Linotype" w:hAnsi="Palatino Linotype" w:cs="Palatino Linotype"/>
          <w:b/>
        </w:rPr>
      </w:pPr>
    </w:p>
    <w:p w14:paraId="02B9A161" w14:textId="77777777" w:rsidR="00785E98" w:rsidRDefault="00785E98">
      <w:pPr>
        <w:spacing w:line="480" w:lineRule="auto"/>
        <w:rPr>
          <w:rFonts w:ascii="Palatino Linotype" w:eastAsia="Palatino Linotype" w:hAnsi="Palatino Linotype" w:cs="Palatino Linotype"/>
          <w:b/>
        </w:rPr>
      </w:pPr>
    </w:p>
    <w:p w14:paraId="2670B153" w14:textId="77777777" w:rsidR="00785E98" w:rsidRDefault="00785E98">
      <w:pPr>
        <w:spacing w:line="480" w:lineRule="auto"/>
        <w:rPr>
          <w:rFonts w:ascii="Palatino Linotype" w:eastAsia="Palatino Linotype" w:hAnsi="Palatino Linotype" w:cs="Palatino Linotype"/>
          <w:b/>
        </w:rPr>
      </w:pPr>
    </w:p>
    <w:p w14:paraId="4C4F81A4" w14:textId="77777777" w:rsidR="00785E98" w:rsidRDefault="00785E98">
      <w:pPr>
        <w:spacing w:line="480" w:lineRule="auto"/>
        <w:rPr>
          <w:rFonts w:ascii="Palatino Linotype" w:eastAsia="Palatino Linotype" w:hAnsi="Palatino Linotype" w:cs="Palatino Linotype"/>
          <w:b/>
        </w:rPr>
      </w:pPr>
    </w:p>
    <w:p w14:paraId="212D3BCF" w14:textId="77777777" w:rsidR="00785E98" w:rsidRDefault="00785E98">
      <w:pPr>
        <w:spacing w:line="480" w:lineRule="auto"/>
        <w:rPr>
          <w:rFonts w:ascii="Palatino Linotype" w:eastAsia="Palatino Linotype" w:hAnsi="Palatino Linotype" w:cs="Palatino Linotype"/>
          <w:b/>
        </w:rPr>
      </w:pPr>
    </w:p>
    <w:p w14:paraId="5F5C35C3" w14:textId="77777777" w:rsidR="00785E98" w:rsidRDefault="00785E98">
      <w:pPr>
        <w:spacing w:line="480" w:lineRule="auto"/>
        <w:rPr>
          <w:rFonts w:ascii="Palatino Linotype" w:eastAsia="Palatino Linotype" w:hAnsi="Palatino Linotype" w:cs="Palatino Linotype"/>
          <w:b/>
        </w:rPr>
      </w:pPr>
    </w:p>
    <w:p w14:paraId="6F875134" w14:textId="77777777" w:rsidR="00785E98" w:rsidRDefault="00785E98"/>
    <w:sectPr w:rsidR="00785E98">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F310F" w14:textId="77777777" w:rsidR="00621FB2" w:rsidRDefault="00621FB2">
      <w:r>
        <w:separator/>
      </w:r>
    </w:p>
  </w:endnote>
  <w:endnote w:type="continuationSeparator" w:id="0">
    <w:p w14:paraId="00E27F0B" w14:textId="77777777" w:rsidR="00621FB2" w:rsidRDefault="0062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4E0F" w14:textId="77777777"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12623">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12623">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D7DE" w14:textId="77777777"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12623">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12623">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69033" w14:textId="77777777" w:rsidR="00621FB2" w:rsidRDefault="00621FB2">
      <w:r>
        <w:separator/>
      </w:r>
    </w:p>
  </w:footnote>
  <w:footnote w:type="continuationSeparator" w:id="0">
    <w:p w14:paraId="7C65D274" w14:textId="77777777" w:rsidR="00621FB2" w:rsidRDefault="00621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5A89" w14:textId="77777777" w:rsidR="00785E98" w:rsidRDefault="00A12623">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3420D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BEF21" w14:textId="77777777" w:rsidR="00785E98" w:rsidRDefault="00A12623">
    <w:pPr>
      <w:widowControl w:val="0"/>
      <w:pBdr>
        <w:top w:val="nil"/>
        <w:left w:val="nil"/>
        <w:bottom w:val="nil"/>
        <w:right w:val="nil"/>
        <w:between w:val="nil"/>
      </w:pBdr>
      <w:spacing w:line="276" w:lineRule="auto"/>
      <w:rPr>
        <w:rFonts w:ascii="Calibri" w:eastAsia="Calibri" w:hAnsi="Calibri" w:cs="Calibri"/>
        <w:color w:val="000000"/>
      </w:rPr>
    </w:pPr>
    <w:r>
      <w:rPr>
        <w:rFonts w:ascii="Palatino Linotype" w:eastAsia="Palatino Linotype" w:hAnsi="Palatino Linotype" w:cs="Palatino Linotype"/>
        <w:color w:val="000000"/>
        <w:sz w:val="20"/>
        <w:szCs w:val="20"/>
      </w:rPr>
      <w:pict w14:anchorId="69E52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82.3pt;margin-top:-129.35pt;width:609.4pt;height:793.75pt;z-index:-251659776;mso-position-horizontal-relative:margin;mso-position-vertical-relative:margin">
          <v:imagedata r:id="rId1" o:title="image1"/>
          <w10:wrap anchorx="margin" anchory="margin"/>
        </v:shape>
      </w:pict>
    </w:r>
  </w:p>
  <w:tbl>
    <w:tblPr>
      <w:tblStyle w:val="2"/>
      <w:tblW w:w="6237" w:type="dxa"/>
      <w:tblInd w:w="2835" w:type="dxa"/>
      <w:tblLayout w:type="fixed"/>
      <w:tblLook w:val="0400" w:firstRow="0" w:lastRow="0" w:firstColumn="0" w:lastColumn="0" w:noHBand="0" w:noVBand="1"/>
    </w:tblPr>
    <w:tblGrid>
      <w:gridCol w:w="2552"/>
      <w:gridCol w:w="3685"/>
    </w:tblGrid>
    <w:tr w:rsidR="00785E98" w14:paraId="36F672A3" w14:textId="77777777">
      <w:tc>
        <w:tcPr>
          <w:tcW w:w="2552" w:type="dxa"/>
          <w:shd w:val="clear" w:color="auto" w:fill="auto"/>
        </w:tcPr>
        <w:p w14:paraId="2BB1B53C"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5B827605" w14:textId="0C3A9682" w:rsidR="00785E98" w:rsidRDefault="00A15154" w:rsidP="00A15154">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705B42">
            <w:rPr>
              <w:rFonts w:ascii="Palatino Linotype" w:eastAsia="Palatino Linotype" w:hAnsi="Palatino Linotype" w:cs="Palatino Linotype"/>
              <w:sz w:val="22"/>
              <w:szCs w:val="22"/>
            </w:rPr>
            <w:t>2</w:t>
          </w:r>
          <w:r w:rsidR="00233B15">
            <w:rPr>
              <w:rFonts w:ascii="Palatino Linotype" w:eastAsia="Palatino Linotype" w:hAnsi="Palatino Linotype" w:cs="Palatino Linotype"/>
              <w:sz w:val="22"/>
              <w:szCs w:val="22"/>
            </w:rPr>
            <w:t>250</w:t>
          </w:r>
          <w:r>
            <w:rPr>
              <w:rFonts w:ascii="Palatino Linotype" w:eastAsia="Palatino Linotype" w:hAnsi="Palatino Linotype" w:cs="Palatino Linotype"/>
              <w:sz w:val="22"/>
              <w:szCs w:val="22"/>
            </w:rPr>
            <w:t>/INFOEM/IP/RR/202</w:t>
          </w:r>
          <w:r w:rsidR="00F51907">
            <w:rPr>
              <w:rFonts w:ascii="Palatino Linotype" w:eastAsia="Palatino Linotype" w:hAnsi="Palatino Linotype" w:cs="Palatino Linotype"/>
              <w:sz w:val="22"/>
              <w:szCs w:val="22"/>
            </w:rPr>
            <w:t>5</w:t>
          </w:r>
        </w:p>
      </w:tc>
    </w:tr>
    <w:tr w:rsidR="00785E98" w14:paraId="18F7D44C" w14:textId="77777777">
      <w:tc>
        <w:tcPr>
          <w:tcW w:w="2552" w:type="dxa"/>
          <w:shd w:val="clear" w:color="auto" w:fill="auto"/>
        </w:tcPr>
        <w:p w14:paraId="2798A25F"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2599D11C" w14:textId="0406DC24" w:rsidR="00785E98" w:rsidRDefault="00705B42">
          <w:pPr>
            <w:spacing w:line="276" w:lineRule="auto"/>
            <w:jc w:val="right"/>
            <w:rPr>
              <w:rFonts w:ascii="Palatino Linotype" w:eastAsia="Palatino Linotype" w:hAnsi="Palatino Linotype" w:cs="Palatino Linotype"/>
              <w:sz w:val="21"/>
              <w:szCs w:val="21"/>
            </w:rPr>
          </w:pPr>
          <w:r w:rsidRPr="00705B42">
            <w:rPr>
              <w:rFonts w:ascii="Palatino Linotype" w:eastAsia="Palatino Linotype" w:hAnsi="Palatino Linotype" w:cs="Palatino Linotype"/>
              <w:sz w:val="21"/>
              <w:szCs w:val="21"/>
            </w:rPr>
            <w:t>Ayuntamiento de Tepotzotlán</w:t>
          </w:r>
        </w:p>
      </w:tc>
    </w:tr>
    <w:tr w:rsidR="00785E98" w14:paraId="1EF6ED61" w14:textId="77777777">
      <w:trPr>
        <w:trHeight w:val="228"/>
      </w:trPr>
      <w:tc>
        <w:tcPr>
          <w:tcW w:w="2552" w:type="dxa"/>
          <w:shd w:val="clear" w:color="auto" w:fill="auto"/>
        </w:tcPr>
        <w:p w14:paraId="76983921"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14:paraId="48D498CE" w14:textId="77777777"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14:paraId="01FD7437" w14:textId="77777777" w:rsidR="00543AA4" w:rsidRDefault="00543AA4">
    <w:pPr>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A972" w14:textId="77777777" w:rsidR="00785E98" w:rsidRDefault="00A1262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0"/>
        <w:szCs w:val="20"/>
      </w:rPr>
    </w:pPr>
    <w:r>
      <w:rPr>
        <w:rFonts w:ascii="Calibri" w:eastAsia="Calibri" w:hAnsi="Calibri" w:cs="Calibri"/>
        <w:color w:val="000000"/>
        <w:sz w:val="10"/>
        <w:szCs w:val="10"/>
      </w:rPr>
      <w:pict w14:anchorId="182D8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89.45pt;margin-top:-139pt;width:609.4pt;height:793.75pt;z-index:-251658752;mso-position-horizontal-relative:margin;mso-position-vertical-relative:margin">
          <v:imagedata r:id="rId1" o:title="image1"/>
          <w10:wrap anchorx="margin" anchory="margin"/>
        </v:shape>
      </w:pict>
    </w:r>
  </w:p>
  <w:tbl>
    <w:tblPr>
      <w:tblStyle w:val="1"/>
      <w:tblW w:w="6520" w:type="dxa"/>
      <w:tblInd w:w="2552" w:type="dxa"/>
      <w:tblLayout w:type="fixed"/>
      <w:tblLook w:val="0400" w:firstRow="0" w:lastRow="0" w:firstColumn="0" w:lastColumn="0" w:noHBand="0" w:noVBand="1"/>
    </w:tblPr>
    <w:tblGrid>
      <w:gridCol w:w="2835"/>
      <w:gridCol w:w="3685"/>
    </w:tblGrid>
    <w:tr w:rsidR="00785E98" w14:paraId="2B1D97A5" w14:textId="77777777">
      <w:tc>
        <w:tcPr>
          <w:tcW w:w="2835" w:type="dxa"/>
          <w:shd w:val="clear" w:color="auto" w:fill="auto"/>
        </w:tcPr>
        <w:p w14:paraId="408478AB"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35161482" w14:textId="02FD9945" w:rsidR="00785E98" w:rsidRDefault="005D216E" w:rsidP="00A15154">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CE2F14">
            <w:rPr>
              <w:rFonts w:ascii="Palatino Linotype" w:eastAsia="Palatino Linotype" w:hAnsi="Palatino Linotype" w:cs="Palatino Linotype"/>
              <w:sz w:val="22"/>
              <w:szCs w:val="22"/>
            </w:rPr>
            <w:t>2</w:t>
          </w:r>
          <w:r w:rsidR="00233B15">
            <w:rPr>
              <w:rFonts w:ascii="Palatino Linotype" w:eastAsia="Palatino Linotype" w:hAnsi="Palatino Linotype" w:cs="Palatino Linotype"/>
              <w:sz w:val="22"/>
              <w:szCs w:val="22"/>
            </w:rPr>
            <w:t>250</w:t>
          </w:r>
          <w:r w:rsidR="00A15154">
            <w:rPr>
              <w:rFonts w:ascii="Palatino Linotype" w:eastAsia="Palatino Linotype" w:hAnsi="Palatino Linotype" w:cs="Palatino Linotype"/>
              <w:sz w:val="22"/>
              <w:szCs w:val="22"/>
            </w:rPr>
            <w:t>/INFOEM/IP/RR/202</w:t>
          </w:r>
          <w:r w:rsidR="00F51907">
            <w:rPr>
              <w:rFonts w:ascii="Palatino Linotype" w:eastAsia="Palatino Linotype" w:hAnsi="Palatino Linotype" w:cs="Palatino Linotype"/>
              <w:sz w:val="22"/>
              <w:szCs w:val="22"/>
            </w:rPr>
            <w:t>5</w:t>
          </w:r>
        </w:p>
      </w:tc>
    </w:tr>
    <w:tr w:rsidR="00785E98" w14:paraId="03AF8D15" w14:textId="77777777">
      <w:tc>
        <w:tcPr>
          <w:tcW w:w="2835" w:type="dxa"/>
          <w:shd w:val="clear" w:color="auto" w:fill="auto"/>
          <w:vAlign w:val="center"/>
        </w:tcPr>
        <w:p w14:paraId="294F554E"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63886C4C" w14:textId="1D13ED57" w:rsidR="00785E98" w:rsidRDefault="00A12623">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w:t>
          </w:r>
        </w:p>
      </w:tc>
    </w:tr>
    <w:tr w:rsidR="00785E98" w14:paraId="5D5F87F9" w14:textId="77777777">
      <w:trPr>
        <w:trHeight w:val="228"/>
      </w:trPr>
      <w:tc>
        <w:tcPr>
          <w:tcW w:w="2835" w:type="dxa"/>
          <w:shd w:val="clear" w:color="auto" w:fill="auto"/>
          <w:vAlign w:val="center"/>
        </w:tcPr>
        <w:p w14:paraId="00C42092"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7F222E84" w14:textId="4C8ED3AE" w:rsidR="00785E98" w:rsidRDefault="00233B15">
          <w:pPr>
            <w:jc w:val="right"/>
            <w:rPr>
              <w:rFonts w:ascii="Palatino Linotype" w:eastAsia="Palatino Linotype" w:hAnsi="Palatino Linotype" w:cs="Palatino Linotype"/>
              <w:sz w:val="21"/>
              <w:szCs w:val="21"/>
            </w:rPr>
          </w:pPr>
          <w:r w:rsidRPr="00233B15">
            <w:rPr>
              <w:rFonts w:ascii="Palatino Linotype" w:eastAsia="Palatino Linotype" w:hAnsi="Palatino Linotype" w:cs="Palatino Linotype"/>
              <w:sz w:val="21"/>
              <w:szCs w:val="21"/>
            </w:rPr>
            <w:t>Ayuntamiento de Isidro Fabela</w:t>
          </w:r>
        </w:p>
      </w:tc>
    </w:tr>
    <w:tr w:rsidR="00785E98" w14:paraId="24FAB01C" w14:textId="77777777">
      <w:tc>
        <w:tcPr>
          <w:tcW w:w="2835" w:type="dxa"/>
          <w:shd w:val="clear" w:color="auto" w:fill="auto"/>
        </w:tcPr>
        <w:p w14:paraId="34F030CD"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14:paraId="7D8CFE0A" w14:textId="77777777"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14:paraId="4042D9FE" w14:textId="77777777" w:rsidR="00785E98" w:rsidRDefault="00785E98">
    <w:pPr>
      <w:pBdr>
        <w:top w:val="nil"/>
        <w:left w:val="nil"/>
        <w:bottom w:val="nil"/>
        <w:right w:val="nil"/>
        <w:between w:val="nil"/>
      </w:pBdr>
      <w:tabs>
        <w:tab w:val="center" w:pos="4252"/>
        <w:tab w:val="right" w:pos="8504"/>
      </w:tabs>
      <w:rPr>
        <w:rFonts w:ascii="Calibri" w:eastAsia="Calibri" w:hAnsi="Calibri" w:cs="Calibri"/>
        <w:color w:val="00000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D5BF3"/>
    <w:multiLevelType w:val="hybridMultilevel"/>
    <w:tmpl w:val="A7FCF658"/>
    <w:lvl w:ilvl="0" w:tplc="15A6E13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9B201B"/>
    <w:multiLevelType w:val="multilevel"/>
    <w:tmpl w:val="B2EA4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98"/>
    <w:rsid w:val="0004245C"/>
    <w:rsid w:val="00100BBB"/>
    <w:rsid w:val="001471C7"/>
    <w:rsid w:val="001B0B8F"/>
    <w:rsid w:val="00232219"/>
    <w:rsid w:val="00233B15"/>
    <w:rsid w:val="00305209"/>
    <w:rsid w:val="004169D1"/>
    <w:rsid w:val="00543AA4"/>
    <w:rsid w:val="005B3D5F"/>
    <w:rsid w:val="005D216E"/>
    <w:rsid w:val="00603A5B"/>
    <w:rsid w:val="00621FB2"/>
    <w:rsid w:val="00643491"/>
    <w:rsid w:val="00645942"/>
    <w:rsid w:val="00664FBF"/>
    <w:rsid w:val="00693587"/>
    <w:rsid w:val="006B41E2"/>
    <w:rsid w:val="00705B42"/>
    <w:rsid w:val="00784677"/>
    <w:rsid w:val="00785E98"/>
    <w:rsid w:val="009714F5"/>
    <w:rsid w:val="009E14D9"/>
    <w:rsid w:val="00A12623"/>
    <w:rsid w:val="00A15154"/>
    <w:rsid w:val="00B451BA"/>
    <w:rsid w:val="00BE036E"/>
    <w:rsid w:val="00BE0D77"/>
    <w:rsid w:val="00C1300D"/>
    <w:rsid w:val="00CA19C9"/>
    <w:rsid w:val="00CA47DE"/>
    <w:rsid w:val="00CE2F14"/>
    <w:rsid w:val="00E56997"/>
    <w:rsid w:val="00E94B1F"/>
    <w:rsid w:val="00EB1290"/>
    <w:rsid w:val="00F41F5E"/>
    <w:rsid w:val="00F519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A61AC"/>
  <w15:docId w15:val="{B9772697-E269-4EA1-ACD8-8FF9317D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A15154"/>
    <w:pPr>
      <w:tabs>
        <w:tab w:val="center" w:pos="4419"/>
        <w:tab w:val="right" w:pos="8838"/>
      </w:tabs>
    </w:pPr>
  </w:style>
  <w:style w:type="character" w:customStyle="1" w:styleId="PiedepginaCar">
    <w:name w:val="Pie de página Car"/>
    <w:basedOn w:val="Fuentedeprrafopredeter"/>
    <w:link w:val="Piedepgina"/>
    <w:uiPriority w:val="99"/>
    <w:rsid w:val="00A15154"/>
  </w:style>
  <w:style w:type="paragraph" w:styleId="Prrafodelista">
    <w:name w:val="List Paragraph"/>
    <w:basedOn w:val="Normal"/>
    <w:uiPriority w:val="34"/>
    <w:qFormat/>
    <w:rsid w:val="00693587"/>
    <w:pPr>
      <w:ind w:left="720"/>
      <w:contextualSpacing/>
    </w:pPr>
  </w:style>
  <w:style w:type="character" w:styleId="Ttulodellibro">
    <w:name w:val="Book Title"/>
    <w:basedOn w:val="Fuentedeprrafopredeter"/>
    <w:uiPriority w:val="33"/>
    <w:qFormat/>
    <w:rsid w:val="00CA47DE"/>
    <w:rPr>
      <w:b/>
      <w:bCs/>
      <w:i/>
      <w:iCs/>
      <w:spacing w:val="5"/>
    </w:rPr>
  </w:style>
  <w:style w:type="paragraph" w:styleId="Sinespaciado">
    <w:name w:val="No Spacing"/>
    <w:uiPriority w:val="1"/>
    <w:qFormat/>
    <w:rsid w:val="00C1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19</Pages>
  <Words>4756</Words>
  <Characters>26160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INFOEM423</dc:creator>
  <cp:lastModifiedBy>INFOEM557</cp:lastModifiedBy>
  <cp:revision>5</cp:revision>
  <dcterms:created xsi:type="dcterms:W3CDTF">2025-03-20T17:04:00Z</dcterms:created>
  <dcterms:modified xsi:type="dcterms:W3CDTF">2025-04-29T18:24:00Z</dcterms:modified>
</cp:coreProperties>
</file>