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8884" w14:textId="63420028" w:rsidR="00B54BB4" w:rsidRPr="00014C16" w:rsidRDefault="00D4045C">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1F226D" w:rsidRPr="00014C16">
        <w:rPr>
          <w:rFonts w:ascii="Palatino Linotype" w:eastAsia="Palatino Linotype" w:hAnsi="Palatino Linotype" w:cs="Palatino Linotype"/>
        </w:rPr>
        <w:t>seis</w:t>
      </w:r>
      <w:r w:rsidR="00CA62C7" w:rsidRPr="00014C16">
        <w:rPr>
          <w:rFonts w:ascii="Palatino Linotype" w:eastAsia="Palatino Linotype" w:hAnsi="Palatino Linotype" w:cs="Palatino Linotype"/>
        </w:rPr>
        <w:t xml:space="preserve"> de </w:t>
      </w:r>
      <w:r w:rsidR="001F226D" w:rsidRPr="00014C16">
        <w:rPr>
          <w:rFonts w:ascii="Palatino Linotype" w:eastAsia="Palatino Linotype" w:hAnsi="Palatino Linotype" w:cs="Palatino Linotype"/>
        </w:rPr>
        <w:t>marzo</w:t>
      </w:r>
      <w:r w:rsidR="00CA62C7" w:rsidRPr="00014C16">
        <w:rPr>
          <w:rFonts w:ascii="Palatino Linotype" w:eastAsia="Palatino Linotype" w:hAnsi="Palatino Linotype" w:cs="Palatino Linotype"/>
        </w:rPr>
        <w:t xml:space="preserve"> </w:t>
      </w:r>
      <w:r w:rsidRPr="00014C16">
        <w:rPr>
          <w:rFonts w:ascii="Palatino Linotype" w:eastAsia="Palatino Linotype" w:hAnsi="Palatino Linotype" w:cs="Palatino Linotype"/>
        </w:rPr>
        <w:t xml:space="preserve">de dos mil veinticinco. </w:t>
      </w:r>
    </w:p>
    <w:p w14:paraId="63661986" w14:textId="2AB70642" w:rsidR="00B54BB4" w:rsidRPr="00014C16" w:rsidRDefault="00D4045C">
      <w:pPr>
        <w:tabs>
          <w:tab w:val="left" w:pos="5812"/>
        </w:tabs>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VISTO</w:t>
      </w:r>
      <w:r w:rsidRPr="00014C16">
        <w:rPr>
          <w:rFonts w:ascii="Palatino Linotype" w:eastAsia="Palatino Linotype" w:hAnsi="Palatino Linotype" w:cs="Palatino Linotype"/>
        </w:rPr>
        <w:t xml:space="preserve"> el expediente formado con motivo del recurso de revisión </w:t>
      </w:r>
      <w:r w:rsidRPr="00014C16">
        <w:rPr>
          <w:rFonts w:ascii="Palatino Linotype" w:eastAsia="Palatino Linotype" w:hAnsi="Palatino Linotype" w:cs="Palatino Linotype"/>
          <w:b/>
        </w:rPr>
        <w:t>0</w:t>
      </w:r>
      <w:r w:rsidR="00F0365F" w:rsidRPr="00014C16">
        <w:rPr>
          <w:rFonts w:ascii="Palatino Linotype" w:eastAsia="Palatino Linotype" w:hAnsi="Palatino Linotype" w:cs="Palatino Linotype"/>
          <w:b/>
        </w:rPr>
        <w:t>0</w:t>
      </w:r>
      <w:r w:rsidR="000179D1" w:rsidRPr="00014C16">
        <w:rPr>
          <w:rFonts w:ascii="Palatino Linotype" w:eastAsia="Palatino Linotype" w:hAnsi="Palatino Linotype" w:cs="Palatino Linotype"/>
          <w:b/>
        </w:rPr>
        <w:t>769</w:t>
      </w:r>
      <w:r w:rsidR="00CA62C7" w:rsidRPr="00014C16">
        <w:rPr>
          <w:rFonts w:ascii="Palatino Linotype" w:eastAsia="Palatino Linotype" w:hAnsi="Palatino Linotype" w:cs="Palatino Linotype"/>
          <w:b/>
        </w:rPr>
        <w:t>/INFOEM/IP/RR/2025</w:t>
      </w:r>
      <w:r w:rsidRPr="00014C16">
        <w:rPr>
          <w:rFonts w:ascii="Palatino Linotype" w:eastAsia="Palatino Linotype" w:hAnsi="Palatino Linotype" w:cs="Palatino Linotype"/>
        </w:rPr>
        <w:t xml:space="preserve">, interpuesto por </w:t>
      </w:r>
      <w:r w:rsidR="00D75CAF" w:rsidRPr="00D75CAF">
        <w:rPr>
          <w:rFonts w:ascii="Palatino Linotype" w:eastAsia="Palatino Linotype" w:hAnsi="Palatino Linotype" w:cs="Palatino Linotype"/>
          <w:b/>
        </w:rPr>
        <w:t>XXXXXX XXX XXXXXXXXXX</w:t>
      </w:r>
      <w:r w:rsidRPr="00014C16">
        <w:rPr>
          <w:rFonts w:ascii="Palatino Linotype" w:eastAsia="Palatino Linotype" w:hAnsi="Palatino Linotype" w:cs="Palatino Linotype"/>
          <w:b/>
        </w:rPr>
        <w:t>,</w:t>
      </w:r>
      <w:r w:rsidRPr="00014C16">
        <w:rPr>
          <w:rFonts w:ascii="Palatino Linotype" w:eastAsia="Palatino Linotype" w:hAnsi="Palatino Linotype" w:cs="Palatino Linotype"/>
        </w:rPr>
        <w:t xml:space="preserve"> en lo sucesivo</w:t>
      </w:r>
      <w:r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rPr>
        <w:t xml:space="preserve">la parte </w:t>
      </w:r>
      <w:r w:rsidRPr="00014C16">
        <w:rPr>
          <w:rFonts w:ascii="Palatino Linotype" w:eastAsia="Palatino Linotype" w:hAnsi="Palatino Linotype" w:cs="Palatino Linotype"/>
          <w:b/>
        </w:rPr>
        <w:t>Recurrente,</w:t>
      </w:r>
      <w:r w:rsidRPr="00014C16">
        <w:rPr>
          <w:rFonts w:ascii="Palatino Linotype" w:eastAsia="Palatino Linotype" w:hAnsi="Palatino Linotype" w:cs="Palatino Linotype"/>
        </w:rPr>
        <w:t xml:space="preserve"> en contra de la respuesta a la solicitud de información con número de folio</w:t>
      </w:r>
      <w:r w:rsidRPr="00014C16">
        <w:rPr>
          <w:rFonts w:ascii="Palatino Linotype" w:eastAsia="Palatino Linotype" w:hAnsi="Palatino Linotype" w:cs="Palatino Linotype"/>
          <w:b/>
        </w:rPr>
        <w:t xml:space="preserve"> </w:t>
      </w:r>
      <w:r w:rsidR="000179D1" w:rsidRPr="00014C16">
        <w:rPr>
          <w:rFonts w:ascii="Palatino Linotype" w:eastAsia="Palatino Linotype" w:hAnsi="Palatino Linotype" w:cs="Palatino Linotype"/>
          <w:b/>
        </w:rPr>
        <w:t>00177/CUAUTIZC/IP/2025</w:t>
      </w:r>
      <w:r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rPr>
        <w:t xml:space="preserve">por parte del </w:t>
      </w:r>
      <w:r w:rsidR="000179D1" w:rsidRPr="00014C16">
        <w:rPr>
          <w:rFonts w:ascii="Palatino Linotype" w:eastAsia="Palatino Linotype" w:hAnsi="Palatino Linotype" w:cs="Palatino Linotype"/>
          <w:b/>
        </w:rPr>
        <w:t>Ayuntamiento de Cuautitlán Izcalli</w:t>
      </w:r>
      <w:r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rPr>
        <w:t xml:space="preserve">en lo sucesivo el </w:t>
      </w:r>
      <w:r w:rsidRPr="00014C16">
        <w:rPr>
          <w:rFonts w:ascii="Palatino Linotype" w:eastAsia="Palatino Linotype" w:hAnsi="Palatino Linotype" w:cs="Palatino Linotype"/>
          <w:b/>
        </w:rPr>
        <w:t xml:space="preserve">Sujeto Obligado, </w:t>
      </w:r>
      <w:r w:rsidRPr="00014C16">
        <w:rPr>
          <w:rFonts w:ascii="Palatino Linotype" w:eastAsia="Palatino Linotype" w:hAnsi="Palatino Linotype" w:cs="Palatino Linotype"/>
        </w:rPr>
        <w:t xml:space="preserve">se procede a dictar la presente resolución con base en los siguientes: </w:t>
      </w:r>
    </w:p>
    <w:p w14:paraId="5EEE2755" w14:textId="77777777" w:rsidR="00B54BB4" w:rsidRPr="00014C16" w:rsidRDefault="00D4045C">
      <w:pPr>
        <w:spacing w:before="240" w:after="240" w:line="360" w:lineRule="auto"/>
        <w:jc w:val="center"/>
        <w:rPr>
          <w:rFonts w:ascii="Palatino Linotype" w:eastAsia="Palatino Linotype" w:hAnsi="Palatino Linotype" w:cs="Palatino Linotype"/>
          <w:b/>
        </w:rPr>
      </w:pPr>
      <w:r w:rsidRPr="00014C16">
        <w:rPr>
          <w:rFonts w:ascii="Palatino Linotype" w:eastAsia="Palatino Linotype" w:hAnsi="Palatino Linotype" w:cs="Palatino Linotype"/>
          <w:b/>
        </w:rPr>
        <w:t>I. A N T E C E D E N T E S</w:t>
      </w:r>
    </w:p>
    <w:p w14:paraId="7167D92B" w14:textId="6A0B5FA5" w:rsidR="00B54BB4" w:rsidRPr="00014C16" w:rsidRDefault="00D4045C">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014C16">
        <w:rPr>
          <w:rFonts w:ascii="Palatino Linotype" w:eastAsia="Palatino Linotype" w:hAnsi="Palatino Linotype" w:cs="Palatino Linotype"/>
          <w:b/>
        </w:rPr>
        <w:t>1. Solicitud de acceso a la información.</w:t>
      </w:r>
      <w:r w:rsidRPr="00014C16">
        <w:rPr>
          <w:rFonts w:ascii="Palatino Linotype" w:eastAsia="Palatino Linotype" w:hAnsi="Palatino Linotype" w:cs="Palatino Linotype"/>
        </w:rPr>
        <w:t xml:space="preserve"> El </w:t>
      </w:r>
      <w:r w:rsidR="00CA62C7" w:rsidRPr="00014C16">
        <w:rPr>
          <w:rFonts w:ascii="Palatino Linotype" w:eastAsia="Palatino Linotype" w:hAnsi="Palatino Linotype" w:cs="Palatino Linotype"/>
          <w:b/>
        </w:rPr>
        <w:t>trece de enero</w:t>
      </w:r>
      <w:r w:rsidRPr="00014C16">
        <w:rPr>
          <w:rFonts w:ascii="Palatino Linotype" w:eastAsia="Palatino Linotype" w:hAnsi="Palatino Linotype" w:cs="Palatino Linotype"/>
          <w:b/>
        </w:rPr>
        <w:t xml:space="preserve"> de dos mil veintic</w:t>
      </w:r>
      <w:r w:rsidR="00CA62C7" w:rsidRPr="00014C16">
        <w:rPr>
          <w:rFonts w:ascii="Palatino Linotype" w:eastAsia="Palatino Linotype" w:hAnsi="Palatino Linotype" w:cs="Palatino Linotype"/>
          <w:b/>
        </w:rPr>
        <w:t>inco</w:t>
      </w:r>
      <w:r w:rsidRPr="00014C16">
        <w:rPr>
          <w:rFonts w:ascii="Palatino Linotype" w:eastAsia="Palatino Linotype" w:hAnsi="Palatino Linotype" w:cs="Palatino Linotype"/>
          <w:b/>
        </w:rPr>
        <w:t>,</w:t>
      </w:r>
      <w:r w:rsidRPr="00014C16">
        <w:rPr>
          <w:rFonts w:ascii="Palatino Linotype" w:eastAsia="Palatino Linotype" w:hAnsi="Palatino Linotype" w:cs="Palatino Linotype"/>
        </w:rPr>
        <w:t xml:space="preserve"> la parte </w:t>
      </w:r>
      <w:r w:rsidRPr="00014C16">
        <w:rPr>
          <w:rFonts w:ascii="Palatino Linotype" w:eastAsia="Palatino Linotype" w:hAnsi="Palatino Linotype" w:cs="Palatino Linotype"/>
          <w:b/>
        </w:rPr>
        <w:t xml:space="preserve">Recurrente </w:t>
      </w:r>
      <w:r w:rsidR="00CA62C7" w:rsidRPr="00014C16">
        <w:rPr>
          <w:rFonts w:ascii="Palatino Linotype" w:eastAsia="Palatino Linotype" w:hAnsi="Palatino Linotype" w:cs="Palatino Linotype"/>
        </w:rPr>
        <w:t>presentó, a través de</w:t>
      </w:r>
      <w:r w:rsidRPr="00014C16">
        <w:rPr>
          <w:rFonts w:ascii="Palatino Linotype" w:eastAsia="Palatino Linotype" w:hAnsi="Palatino Linotype" w:cs="Palatino Linotype"/>
        </w:rPr>
        <w:t xml:space="preserve">l Sistema de Acceso a la Información Mexiquense, en lo subsecuente el </w:t>
      </w:r>
      <w:r w:rsidRPr="00014C16">
        <w:rPr>
          <w:rFonts w:ascii="Palatino Linotype" w:eastAsia="Palatino Linotype" w:hAnsi="Palatino Linotype" w:cs="Palatino Linotype"/>
          <w:b/>
        </w:rPr>
        <w:t>SAIMEX,</w:t>
      </w:r>
      <w:r w:rsidRPr="00014C16">
        <w:rPr>
          <w:rFonts w:ascii="Palatino Linotype" w:eastAsia="Palatino Linotype" w:hAnsi="Palatino Linotype" w:cs="Palatino Linotype"/>
        </w:rPr>
        <w:t xml:space="preserve"> ante el </w:t>
      </w:r>
      <w:r w:rsidRPr="00014C16">
        <w:rPr>
          <w:rFonts w:ascii="Palatino Linotype" w:eastAsia="Palatino Linotype" w:hAnsi="Palatino Linotype" w:cs="Palatino Linotype"/>
          <w:b/>
        </w:rPr>
        <w:t>Sujeto Obligado</w:t>
      </w:r>
      <w:r w:rsidRPr="00014C16">
        <w:rPr>
          <w:rFonts w:ascii="Palatino Linotype" w:eastAsia="Palatino Linotype" w:hAnsi="Palatino Linotype" w:cs="Palatino Linotype"/>
        </w:rPr>
        <w:t xml:space="preserve">, la solicitud de acceso a la información pública, mediante la cual requirió la información siguiente: </w:t>
      </w:r>
    </w:p>
    <w:p w14:paraId="3803390A" w14:textId="24EC05F4" w:rsidR="00B54BB4" w:rsidRPr="00014C16" w:rsidRDefault="00D4045C">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014C16">
        <w:rPr>
          <w:rFonts w:ascii="Palatino Linotype" w:eastAsia="Palatino Linotype" w:hAnsi="Palatino Linotype" w:cs="Palatino Linotype"/>
          <w:i/>
          <w:sz w:val="22"/>
          <w:szCs w:val="22"/>
        </w:rPr>
        <w:t xml:space="preserve"> “</w:t>
      </w:r>
      <w:r w:rsidR="00F0365F" w:rsidRPr="00014C16">
        <w:rPr>
          <w:rFonts w:ascii="Palatino Linotype" w:eastAsia="Palatino Linotype" w:hAnsi="Palatino Linotype" w:cs="Palatino Linotype"/>
          <w:i/>
          <w:sz w:val="22"/>
          <w:szCs w:val="22"/>
        </w:rPr>
        <w:t>Solicito los nombramientos de esta nueva administración</w:t>
      </w:r>
      <w:r w:rsidRPr="00014C16">
        <w:rPr>
          <w:rFonts w:ascii="Palatino Linotype" w:eastAsia="Palatino Linotype" w:hAnsi="Palatino Linotype" w:cs="Palatino Linotype"/>
          <w:b/>
          <w:i/>
          <w:sz w:val="22"/>
          <w:szCs w:val="22"/>
        </w:rPr>
        <w:t>”</w:t>
      </w:r>
      <w:r w:rsidRPr="00014C16">
        <w:rPr>
          <w:rFonts w:ascii="Palatino Linotype" w:eastAsia="Palatino Linotype" w:hAnsi="Palatino Linotype" w:cs="Palatino Linotype"/>
          <w:i/>
          <w:sz w:val="22"/>
          <w:szCs w:val="22"/>
        </w:rPr>
        <w:t xml:space="preserve"> (sic) </w:t>
      </w:r>
    </w:p>
    <w:p w14:paraId="32AC4792" w14:textId="0E95D741" w:rsidR="00CA62C7" w:rsidRPr="00014C16" w:rsidRDefault="00CA62C7" w:rsidP="00CA62C7">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014C16">
        <w:rPr>
          <w:rFonts w:ascii="Palatino Linotype" w:eastAsia="Palatino Linotype" w:hAnsi="Palatino Linotype" w:cs="Palatino Linotype"/>
          <w:b/>
        </w:rPr>
        <w:t>Modalidad de Entrega:</w:t>
      </w:r>
      <w:r w:rsidRPr="00014C16">
        <w:rPr>
          <w:rFonts w:ascii="Palatino Linotype" w:eastAsia="Palatino Linotype" w:hAnsi="Palatino Linotype" w:cs="Palatino Linotype"/>
        </w:rPr>
        <w:t xml:space="preserve"> a través del</w:t>
      </w:r>
      <w:r w:rsidRPr="00014C16">
        <w:rPr>
          <w:rFonts w:ascii="Palatino Linotype" w:eastAsia="Palatino Linotype" w:hAnsi="Palatino Linotype" w:cs="Palatino Linotype"/>
          <w:b/>
        </w:rPr>
        <w:t xml:space="preserve"> SAIMEX.</w:t>
      </w:r>
    </w:p>
    <w:p w14:paraId="57CCC354" w14:textId="1879FA14" w:rsidR="009E16D2" w:rsidRPr="00014C16" w:rsidRDefault="00D4045C" w:rsidP="009E16D2">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 xml:space="preserve">2. </w:t>
      </w:r>
      <w:r w:rsidR="009E16D2" w:rsidRPr="00014C16">
        <w:rPr>
          <w:rFonts w:ascii="Palatino Linotype" w:eastAsia="Palatino Linotype" w:hAnsi="Palatino Linotype" w:cs="Palatino Linotype"/>
          <w:b/>
        </w:rPr>
        <w:t xml:space="preserve">Prórroga. </w:t>
      </w:r>
      <w:r w:rsidR="009E16D2" w:rsidRPr="00014C16">
        <w:rPr>
          <w:rFonts w:ascii="Palatino Linotype" w:eastAsia="Palatino Linotype" w:hAnsi="Palatino Linotype" w:cs="Palatino Linotype"/>
        </w:rPr>
        <w:t xml:space="preserve">El </w:t>
      </w:r>
      <w:r w:rsidR="009E16D2" w:rsidRPr="00014C16">
        <w:rPr>
          <w:rFonts w:ascii="Palatino Linotype" w:eastAsia="Palatino Linotype" w:hAnsi="Palatino Linotype" w:cs="Palatino Linotype"/>
          <w:b/>
        </w:rPr>
        <w:t xml:space="preserve">cuatro de febrero de dos mil veinticinco, </w:t>
      </w:r>
      <w:r w:rsidR="009E16D2" w:rsidRPr="00014C16">
        <w:rPr>
          <w:rFonts w:ascii="Palatino Linotype" w:eastAsia="Palatino Linotype" w:hAnsi="Palatino Linotype" w:cs="Palatino Linotype"/>
        </w:rPr>
        <w:t xml:space="preserve">el </w:t>
      </w:r>
      <w:r w:rsidR="009E16D2" w:rsidRPr="00014C16">
        <w:rPr>
          <w:rFonts w:ascii="Palatino Linotype" w:eastAsia="Palatino Linotype" w:hAnsi="Palatino Linotype" w:cs="Palatino Linotype"/>
          <w:b/>
        </w:rPr>
        <w:t xml:space="preserve">Sujeto Obligado </w:t>
      </w:r>
      <w:r w:rsidR="009E16D2" w:rsidRPr="00014C16">
        <w:rPr>
          <w:rFonts w:ascii="Palatino Linotype" w:eastAsia="Palatino Linotype" w:hAnsi="Palatino Linotype" w:cs="Palatino Linotype"/>
        </w:rPr>
        <w:t>notificó a la persona solicitante la prórroga para dar respuesta a la solicitud</w:t>
      </w:r>
      <w:r w:rsidR="009E16D2" w:rsidRPr="00014C16">
        <w:rPr>
          <w:rFonts w:ascii="Palatino Linotype" w:eastAsia="Palatino Linotype" w:hAnsi="Palatino Linotype" w:cs="Palatino Linotype"/>
          <w:b/>
        </w:rPr>
        <w:t>,</w:t>
      </w:r>
      <w:r w:rsidR="009E16D2" w:rsidRPr="00014C16">
        <w:rPr>
          <w:rFonts w:ascii="Palatino Linotype" w:eastAsia="Palatino Linotype" w:hAnsi="Palatino Linotype" w:cs="Palatino Linotype"/>
        </w:rPr>
        <w:t xml:space="preserve"> medularmente en los siguientes términos:</w:t>
      </w:r>
    </w:p>
    <w:p w14:paraId="0745E62D" w14:textId="77777777" w:rsidR="009E16D2" w:rsidRPr="00014C16" w:rsidRDefault="009E16D2" w:rsidP="009E16D2">
      <w:pPr>
        <w:spacing w:before="240" w:after="240"/>
        <w:ind w:left="851" w:right="900"/>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6A53256" w14:textId="4E771243" w:rsidR="009E16D2" w:rsidRPr="00014C16" w:rsidRDefault="009E16D2" w:rsidP="009E16D2">
      <w:pPr>
        <w:spacing w:before="240" w:after="240"/>
        <w:ind w:left="851" w:right="900"/>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Acuerdo No. CTM//CI/TERCERA/ORD/2025/15 - Se confirma por unanimidad la prórroga por siete días hábiles más, para dar respuesta a la Solicitud de Información. Se anexa acuerdo correspondiente.” (sic)</w:t>
      </w:r>
    </w:p>
    <w:p w14:paraId="40643737" w14:textId="09B92E29" w:rsidR="009E16D2" w:rsidRPr="00014C16" w:rsidRDefault="009E16D2" w:rsidP="009E16D2">
      <w:pPr>
        <w:spacing w:line="360" w:lineRule="auto"/>
        <w:jc w:val="both"/>
        <w:rPr>
          <w:rFonts w:ascii="Palatino Linotype" w:hAnsi="Palatino Linotype" w:cs="Arial"/>
        </w:rPr>
      </w:pPr>
      <w:r w:rsidRPr="00014C16">
        <w:rPr>
          <w:rFonts w:ascii="Palatino Linotype" w:hAnsi="Palatino Linotype" w:cs="Arial"/>
        </w:rPr>
        <w:t xml:space="preserve">El </w:t>
      </w:r>
      <w:r w:rsidRPr="00014C16">
        <w:rPr>
          <w:rFonts w:ascii="Palatino Linotype" w:hAnsi="Palatino Linotype" w:cs="Arial"/>
          <w:b/>
          <w:bCs/>
        </w:rPr>
        <w:t>Sujeto Obligado</w:t>
      </w:r>
      <w:r w:rsidRPr="00014C16">
        <w:rPr>
          <w:rFonts w:ascii="Palatino Linotype" w:hAnsi="Palatino Linotype" w:cs="Arial"/>
        </w:rPr>
        <w:t xml:space="preserve"> adjuntó el Acuerdo</w:t>
      </w:r>
      <w:r w:rsidR="00FC5D5D" w:rsidRPr="00014C16">
        <w:rPr>
          <w:rFonts w:ascii="Palatino Linotype" w:hAnsi="Palatino Linotype" w:cs="Arial"/>
        </w:rPr>
        <w:t xml:space="preserve"> CTM//CI/TERCERA/ORD/2025/15 </w:t>
      </w:r>
      <w:r w:rsidRPr="00014C16">
        <w:rPr>
          <w:rFonts w:ascii="Palatino Linotype" w:hAnsi="Palatino Linotype" w:cs="Arial"/>
        </w:rPr>
        <w:t xml:space="preserve"> del treinta de enero de dos mil veinticuatro mediante el cual el Comité de Transparencia aprobó la prórroga para dar respuesta  a diversas solicitudes de información, entre las que se encuentra la 00177/CUAUTIZC/IP/2025</w:t>
      </w:r>
      <w:r w:rsidR="0034054E" w:rsidRPr="00014C16">
        <w:rPr>
          <w:rFonts w:ascii="Palatino Linotype" w:hAnsi="Palatino Linotype" w:cs="Arial"/>
        </w:rPr>
        <w:t>, a solicitud de la Dirección de Administración, al estar realizando la búsqueda de la información</w:t>
      </w:r>
      <w:r w:rsidR="00FC5D5D" w:rsidRPr="00014C16">
        <w:rPr>
          <w:rFonts w:ascii="Palatino Linotype" w:hAnsi="Palatino Linotype" w:cs="Arial"/>
        </w:rPr>
        <w:t>.</w:t>
      </w:r>
    </w:p>
    <w:p w14:paraId="50E83A74" w14:textId="2E245428" w:rsidR="00B54BB4" w:rsidRPr="00014C16" w:rsidRDefault="000179D1">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 xml:space="preserve">3. </w:t>
      </w:r>
      <w:r w:rsidR="00D4045C" w:rsidRPr="00014C16">
        <w:rPr>
          <w:rFonts w:ascii="Palatino Linotype" w:eastAsia="Palatino Linotype" w:hAnsi="Palatino Linotype" w:cs="Palatino Linotype"/>
          <w:b/>
        </w:rPr>
        <w:t xml:space="preserve">Respuesta. </w:t>
      </w:r>
      <w:r w:rsidR="00D4045C" w:rsidRPr="00014C16">
        <w:rPr>
          <w:rFonts w:ascii="Palatino Linotype" w:eastAsia="Palatino Linotype" w:hAnsi="Palatino Linotype" w:cs="Palatino Linotype"/>
        </w:rPr>
        <w:t xml:space="preserve">El </w:t>
      </w:r>
      <w:r w:rsidR="00FC5D5D" w:rsidRPr="00014C16">
        <w:rPr>
          <w:rFonts w:ascii="Palatino Linotype" w:eastAsia="Palatino Linotype" w:hAnsi="Palatino Linotype" w:cs="Palatino Linotype"/>
          <w:b/>
        </w:rPr>
        <w:t xml:space="preserve">seis </w:t>
      </w:r>
      <w:r w:rsidR="004D79C7" w:rsidRPr="00014C16">
        <w:rPr>
          <w:rFonts w:ascii="Palatino Linotype" w:eastAsia="Palatino Linotype" w:hAnsi="Palatino Linotype" w:cs="Palatino Linotype"/>
          <w:b/>
        </w:rPr>
        <w:t>de febrero</w:t>
      </w:r>
      <w:r w:rsidR="00D4045C" w:rsidRPr="00014C16">
        <w:rPr>
          <w:rFonts w:ascii="Palatino Linotype" w:eastAsia="Palatino Linotype" w:hAnsi="Palatino Linotype" w:cs="Palatino Linotype"/>
          <w:b/>
        </w:rPr>
        <w:t xml:space="preserve"> de dos mil veintic</w:t>
      </w:r>
      <w:r w:rsidR="00CA62C7" w:rsidRPr="00014C16">
        <w:rPr>
          <w:rFonts w:ascii="Palatino Linotype" w:eastAsia="Palatino Linotype" w:hAnsi="Palatino Linotype" w:cs="Palatino Linotype"/>
          <w:b/>
        </w:rPr>
        <w:t>inco</w:t>
      </w:r>
      <w:r w:rsidR="00D4045C" w:rsidRPr="00014C16">
        <w:rPr>
          <w:rFonts w:ascii="Palatino Linotype" w:eastAsia="Palatino Linotype" w:hAnsi="Palatino Linotype" w:cs="Palatino Linotype"/>
          <w:b/>
        </w:rPr>
        <w:t>,</w:t>
      </w:r>
      <w:r w:rsidR="00D4045C" w:rsidRPr="00014C16">
        <w:rPr>
          <w:rFonts w:ascii="Palatino Linotype" w:eastAsia="Palatino Linotype" w:hAnsi="Palatino Linotype" w:cs="Palatino Linotype"/>
        </w:rPr>
        <w:t xml:space="preserve"> el </w:t>
      </w:r>
      <w:r w:rsidR="00D4045C" w:rsidRPr="00014C16">
        <w:rPr>
          <w:rFonts w:ascii="Palatino Linotype" w:eastAsia="Palatino Linotype" w:hAnsi="Palatino Linotype" w:cs="Palatino Linotype"/>
          <w:b/>
        </w:rPr>
        <w:t xml:space="preserve">Sujeto Obligado </w:t>
      </w:r>
      <w:r w:rsidR="00D4045C" w:rsidRPr="00014C16">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8174A15" w14:textId="2DC4D968" w:rsidR="00B54BB4" w:rsidRPr="00014C16" w:rsidRDefault="00D4045C">
      <w:pPr>
        <w:spacing w:before="240" w:after="24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00FC5D5D" w:rsidRPr="00014C16">
        <w:rPr>
          <w:rFonts w:ascii="Palatino Linotype" w:eastAsia="Palatino Linotype" w:hAnsi="Palatino Linotype" w:cs="Palatino Linotype"/>
          <w:i/>
          <w:sz w:val="22"/>
          <w:szCs w:val="22"/>
        </w:rPr>
        <w:t>Se procede a notificar la respuesta a la solicitud de información pública. Así mismo se hace de su conocimiento que usted puede interponer su recurso de revisión dentro del plazo de 15 días hábiles contados a partir de la fecha en que se realice la notificación vía electrónica, a través del SAIMEX</w:t>
      </w:r>
      <w:r w:rsidR="00CA62C7"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i/>
          <w:sz w:val="22"/>
          <w:szCs w:val="22"/>
        </w:rPr>
        <w:t>..” (sic)</w:t>
      </w:r>
    </w:p>
    <w:p w14:paraId="7197CC3D" w14:textId="77777777" w:rsidR="008E4DDE" w:rsidRPr="00014C16" w:rsidRDefault="00D4045C">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El </w:t>
      </w:r>
      <w:r w:rsidRPr="00014C16">
        <w:rPr>
          <w:rFonts w:ascii="Palatino Linotype" w:eastAsia="Palatino Linotype" w:hAnsi="Palatino Linotype" w:cs="Palatino Linotype"/>
          <w:b/>
        </w:rPr>
        <w:t xml:space="preserve">Sujeto Obligado </w:t>
      </w:r>
      <w:r w:rsidR="00EF4477" w:rsidRPr="00014C16">
        <w:rPr>
          <w:rFonts w:ascii="Palatino Linotype" w:eastAsia="Palatino Linotype" w:hAnsi="Palatino Linotype" w:cs="Palatino Linotype"/>
        </w:rPr>
        <w:t>adjuntó</w:t>
      </w:r>
      <w:r w:rsidR="008E4DDE" w:rsidRPr="00014C16">
        <w:rPr>
          <w:rFonts w:ascii="Palatino Linotype" w:eastAsia="Palatino Linotype" w:hAnsi="Palatino Linotype" w:cs="Palatino Linotype"/>
        </w:rPr>
        <w:t xml:space="preserve"> lo siguiente:</w:t>
      </w:r>
    </w:p>
    <w:p w14:paraId="73D54345" w14:textId="3209BC83" w:rsidR="00FC5D5D" w:rsidRPr="00014C16" w:rsidRDefault="008E4DDE">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O</w:t>
      </w:r>
      <w:r w:rsidR="00FC5D5D" w:rsidRPr="00014C16">
        <w:rPr>
          <w:rFonts w:ascii="Palatino Linotype" w:eastAsia="Palatino Linotype" w:hAnsi="Palatino Linotype" w:cs="Palatino Linotype"/>
        </w:rPr>
        <w:t xml:space="preserve">ficio número SA/0644/2025, del seis de febrero de dos mil veinticinco, mediante el cual el Director de Administración, dentro del ámbito de competencia y derivado de una búsqueda exhaustiva y razonable en los archivos y bases de datos que obran en la Dirección a su cargo, adjuntó en formato PDF, los nombramientos de los </w:t>
      </w:r>
      <w:r w:rsidR="00FC5D5D" w:rsidRPr="00014C16">
        <w:rPr>
          <w:rFonts w:ascii="Palatino Linotype" w:eastAsia="Palatino Linotype" w:hAnsi="Palatino Linotype" w:cs="Palatino Linotype"/>
        </w:rPr>
        <w:lastRenderedPageBreak/>
        <w:t>titulares de las unidades administrativas que integran la administración pública 2025-2027</w:t>
      </w:r>
      <w:r w:rsidRPr="00014C16">
        <w:rPr>
          <w:rFonts w:ascii="Palatino Linotype" w:eastAsia="Palatino Linotype" w:hAnsi="Palatino Linotype" w:cs="Palatino Linotype"/>
        </w:rPr>
        <w:t>.</w:t>
      </w:r>
    </w:p>
    <w:p w14:paraId="0693CD84" w14:textId="74379DDA" w:rsidR="008E4DDE" w:rsidRPr="00014C16" w:rsidRDefault="008E4DDE">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- 130 Nombramientos en formato PDF.</w:t>
      </w:r>
    </w:p>
    <w:p w14:paraId="547C0A35" w14:textId="7C5714F6" w:rsidR="00B54BB4" w:rsidRPr="00014C16" w:rsidRDefault="008E4DDE">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b/>
        </w:rPr>
        <w:t>4</w:t>
      </w:r>
      <w:r w:rsidR="00D4045C" w:rsidRPr="00014C16">
        <w:rPr>
          <w:rFonts w:ascii="Palatino Linotype" w:eastAsia="Palatino Linotype" w:hAnsi="Palatino Linotype" w:cs="Palatino Linotype"/>
          <w:b/>
        </w:rPr>
        <w:t xml:space="preserve">. Interposición del recurso de revisión. </w:t>
      </w:r>
      <w:r w:rsidR="00D4045C" w:rsidRPr="00014C16">
        <w:rPr>
          <w:rFonts w:ascii="Palatino Linotype" w:eastAsia="Palatino Linotype" w:hAnsi="Palatino Linotype" w:cs="Palatino Linotype"/>
        </w:rPr>
        <w:t xml:space="preserve">Inconforme con los términos de la respuesta emitida por parte del </w:t>
      </w:r>
      <w:r w:rsidR="00D4045C" w:rsidRPr="00014C16">
        <w:rPr>
          <w:rFonts w:ascii="Palatino Linotype" w:eastAsia="Palatino Linotype" w:hAnsi="Palatino Linotype" w:cs="Palatino Linotype"/>
          <w:b/>
        </w:rPr>
        <w:t>Sujeto Obligado</w:t>
      </w:r>
      <w:r w:rsidR="00D4045C" w:rsidRPr="00014C16">
        <w:rPr>
          <w:rFonts w:ascii="Palatino Linotype" w:eastAsia="Palatino Linotype" w:hAnsi="Palatino Linotype" w:cs="Palatino Linotype"/>
        </w:rPr>
        <w:t xml:space="preserve">, el </w:t>
      </w:r>
      <w:r w:rsidRPr="00014C16">
        <w:rPr>
          <w:rFonts w:ascii="Palatino Linotype" w:eastAsia="Palatino Linotype" w:hAnsi="Palatino Linotype" w:cs="Palatino Linotype"/>
          <w:b/>
        </w:rPr>
        <w:t>seis</w:t>
      </w:r>
      <w:r w:rsidR="00266BF4" w:rsidRPr="00014C16">
        <w:rPr>
          <w:rFonts w:ascii="Palatino Linotype" w:eastAsia="Palatino Linotype" w:hAnsi="Palatino Linotype" w:cs="Palatino Linotype"/>
          <w:b/>
        </w:rPr>
        <w:t xml:space="preserve"> </w:t>
      </w:r>
      <w:r w:rsidR="00512A2E" w:rsidRPr="00014C16">
        <w:rPr>
          <w:rFonts w:ascii="Palatino Linotype" w:eastAsia="Palatino Linotype" w:hAnsi="Palatino Linotype" w:cs="Palatino Linotype"/>
          <w:b/>
        </w:rPr>
        <w:t>de febrero de dos mil veinticinco</w:t>
      </w:r>
      <w:r w:rsidR="00D4045C" w:rsidRPr="00014C16">
        <w:rPr>
          <w:rFonts w:ascii="Palatino Linotype" w:eastAsia="Palatino Linotype" w:hAnsi="Palatino Linotype" w:cs="Palatino Linotype"/>
          <w:b/>
        </w:rPr>
        <w:t xml:space="preserve">, </w:t>
      </w:r>
      <w:r w:rsidR="00D4045C" w:rsidRPr="00014C16">
        <w:rPr>
          <w:rFonts w:ascii="Palatino Linotype" w:eastAsia="Palatino Linotype" w:hAnsi="Palatino Linotype" w:cs="Palatino Linotype"/>
        </w:rPr>
        <w:t xml:space="preserve">la parte </w:t>
      </w:r>
      <w:r w:rsidR="00D4045C" w:rsidRPr="00014C16">
        <w:rPr>
          <w:rFonts w:ascii="Palatino Linotype" w:eastAsia="Palatino Linotype" w:hAnsi="Palatino Linotype" w:cs="Palatino Linotype"/>
          <w:b/>
        </w:rPr>
        <w:t>Recurrente</w:t>
      </w:r>
      <w:r w:rsidR="00D4045C" w:rsidRPr="00014C16">
        <w:rPr>
          <w:rFonts w:ascii="Palatino Linotype" w:eastAsia="Palatino Linotype" w:hAnsi="Palatino Linotype" w:cs="Palatino Linotype"/>
        </w:rPr>
        <w:t xml:space="preserve"> interpuso el recurso de revisión a través de </w:t>
      </w:r>
      <w:r w:rsidR="00D4045C" w:rsidRPr="00014C16">
        <w:rPr>
          <w:rFonts w:ascii="Palatino Linotype" w:eastAsia="Palatino Linotype" w:hAnsi="Palatino Linotype" w:cs="Palatino Linotype"/>
          <w:b/>
        </w:rPr>
        <w:t xml:space="preserve">SAIMEX, </w:t>
      </w:r>
      <w:r w:rsidR="00D4045C" w:rsidRPr="00014C16">
        <w:rPr>
          <w:rFonts w:ascii="Palatino Linotype" w:eastAsia="Palatino Linotype" w:hAnsi="Palatino Linotype" w:cs="Palatino Linotype"/>
        </w:rPr>
        <w:t>en donde se manifestó de la siguiente manera:</w:t>
      </w:r>
    </w:p>
    <w:p w14:paraId="67076DCE" w14:textId="77777777" w:rsidR="00B54BB4" w:rsidRPr="00014C16" w:rsidRDefault="00D4045C">
      <w:pPr>
        <w:tabs>
          <w:tab w:val="left" w:pos="2745"/>
        </w:tabs>
        <w:spacing w:before="240" w:after="240" w:line="360" w:lineRule="auto"/>
        <w:jc w:val="both"/>
        <w:rPr>
          <w:rFonts w:ascii="Palatino Linotype" w:eastAsia="Palatino Linotype" w:hAnsi="Palatino Linotype" w:cs="Palatino Linotype"/>
          <w:b/>
        </w:rPr>
      </w:pPr>
      <w:r w:rsidRPr="00014C16">
        <w:rPr>
          <w:rFonts w:ascii="Palatino Linotype" w:eastAsia="Palatino Linotype" w:hAnsi="Palatino Linotype" w:cs="Palatino Linotype"/>
          <w:b/>
        </w:rPr>
        <w:t xml:space="preserve">Acto impugnado: </w:t>
      </w:r>
    </w:p>
    <w:p w14:paraId="230C6A1B" w14:textId="6FBBBA63" w:rsidR="00B54BB4" w:rsidRPr="00014C16" w:rsidRDefault="00D4045C">
      <w:pPr>
        <w:tabs>
          <w:tab w:val="left" w:pos="2745"/>
        </w:tabs>
        <w:spacing w:before="240" w:after="240"/>
        <w:ind w:left="851" w:right="900"/>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00266BF4" w:rsidRPr="00014C16">
        <w:rPr>
          <w:rFonts w:ascii="Palatino Linotype" w:eastAsia="Palatino Linotype" w:hAnsi="Palatino Linotype" w:cs="Palatino Linotype"/>
          <w:i/>
          <w:sz w:val="22"/>
          <w:szCs w:val="22"/>
        </w:rPr>
        <w:t>Respuesta</w:t>
      </w:r>
      <w:r w:rsidRPr="00014C16">
        <w:rPr>
          <w:rFonts w:ascii="Palatino Linotype" w:eastAsia="Palatino Linotype" w:hAnsi="Palatino Linotype" w:cs="Palatino Linotype"/>
          <w:i/>
          <w:sz w:val="22"/>
          <w:szCs w:val="22"/>
        </w:rPr>
        <w:t>” (sic)</w:t>
      </w:r>
    </w:p>
    <w:p w14:paraId="2E4F415C" w14:textId="77777777" w:rsidR="00B54BB4" w:rsidRPr="00014C16" w:rsidRDefault="00D4045C">
      <w:pPr>
        <w:spacing w:line="360" w:lineRule="auto"/>
        <w:jc w:val="both"/>
        <w:rPr>
          <w:rFonts w:ascii="Palatino Linotype" w:eastAsia="Palatino Linotype" w:hAnsi="Palatino Linotype" w:cs="Palatino Linotype"/>
        </w:rPr>
      </w:pPr>
      <w:bookmarkStart w:id="3" w:name="_heading=h.30j0zll" w:colFirst="0" w:colLast="0"/>
      <w:bookmarkEnd w:id="3"/>
      <w:r w:rsidRPr="00014C16">
        <w:rPr>
          <w:rFonts w:ascii="Palatino Linotype" w:eastAsia="Palatino Linotype" w:hAnsi="Palatino Linotype" w:cs="Palatino Linotype"/>
          <w:b/>
        </w:rPr>
        <w:t>Y, Razones o motivos de inconformidad</w:t>
      </w:r>
      <w:r w:rsidRPr="00014C16">
        <w:rPr>
          <w:rFonts w:ascii="Palatino Linotype" w:eastAsia="Palatino Linotype" w:hAnsi="Palatino Linotype" w:cs="Palatino Linotype"/>
        </w:rPr>
        <w:t>:</w:t>
      </w:r>
    </w:p>
    <w:p w14:paraId="318B3F10" w14:textId="701B31AD" w:rsidR="00B54BB4" w:rsidRPr="00014C16" w:rsidRDefault="00D4045C">
      <w:pPr>
        <w:tabs>
          <w:tab w:val="left" w:pos="2745"/>
        </w:tabs>
        <w:spacing w:before="240" w:after="240"/>
        <w:ind w:left="851" w:right="900"/>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008E4DDE" w:rsidRPr="00014C16">
        <w:rPr>
          <w:rFonts w:ascii="Palatino Linotype" w:eastAsia="Palatino Linotype" w:hAnsi="Palatino Linotype" w:cs="Palatino Linotype"/>
          <w:i/>
          <w:sz w:val="22"/>
          <w:szCs w:val="22"/>
        </w:rPr>
        <w:t xml:space="preserve">Remiten documentos Ad hoc, toda vez, que los documentos remitidos no cumplen con las formalidades que contempla la ley respecto a las características que debe contener un nombramiento, por lo tanto solicito el acuerdo de inexistencia en vista de que solo tienen documentos </w:t>
      </w:r>
      <w:proofErr w:type="spellStart"/>
      <w:r w:rsidR="008E4DDE" w:rsidRPr="00014C16">
        <w:rPr>
          <w:rFonts w:ascii="Palatino Linotype" w:eastAsia="Palatino Linotype" w:hAnsi="Palatino Linotype" w:cs="Palatino Linotype"/>
          <w:i/>
          <w:sz w:val="22"/>
          <w:szCs w:val="22"/>
        </w:rPr>
        <w:t>adhoc</w:t>
      </w:r>
      <w:proofErr w:type="spellEnd"/>
      <w:r w:rsidRPr="00014C16">
        <w:rPr>
          <w:rFonts w:ascii="Palatino Linotype" w:eastAsia="Palatino Linotype" w:hAnsi="Palatino Linotype" w:cs="Palatino Linotype"/>
          <w:i/>
          <w:sz w:val="22"/>
          <w:szCs w:val="22"/>
        </w:rPr>
        <w:t>” (sic)</w:t>
      </w:r>
    </w:p>
    <w:p w14:paraId="45FF1E15" w14:textId="62BA0694" w:rsidR="00B54BB4" w:rsidRPr="00014C16" w:rsidRDefault="008E4DDE">
      <w:pPr>
        <w:spacing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5</w:t>
      </w:r>
      <w:r w:rsidR="00D4045C" w:rsidRPr="00014C16">
        <w:rPr>
          <w:rFonts w:ascii="Palatino Linotype" w:eastAsia="Palatino Linotype" w:hAnsi="Palatino Linotype" w:cs="Palatino Linotype"/>
          <w:b/>
        </w:rPr>
        <w:t xml:space="preserve">. Turno. </w:t>
      </w:r>
      <w:r w:rsidR="00D4045C" w:rsidRPr="00014C1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D4045C" w:rsidRPr="00014C16">
        <w:rPr>
          <w:rFonts w:ascii="Palatino Linotype" w:eastAsia="Palatino Linotype" w:hAnsi="Palatino Linotype" w:cs="Palatino Linotype"/>
          <w:b/>
        </w:rPr>
        <w:t xml:space="preserve">Guadalupe Ramírez Peña, </w:t>
      </w:r>
      <w:r w:rsidR="00D4045C" w:rsidRPr="00014C16">
        <w:rPr>
          <w:rFonts w:ascii="Palatino Linotype" w:eastAsia="Palatino Linotype" w:hAnsi="Palatino Linotype" w:cs="Palatino Linotype"/>
        </w:rPr>
        <w:t xml:space="preserve">a efecto de que analizara sobre su admisión o su </w:t>
      </w:r>
      <w:proofErr w:type="spellStart"/>
      <w:r w:rsidR="00D4045C" w:rsidRPr="00014C16">
        <w:rPr>
          <w:rFonts w:ascii="Palatino Linotype" w:eastAsia="Palatino Linotype" w:hAnsi="Palatino Linotype" w:cs="Palatino Linotype"/>
        </w:rPr>
        <w:t>desechamiento</w:t>
      </w:r>
      <w:proofErr w:type="spellEnd"/>
      <w:r w:rsidR="00D4045C" w:rsidRPr="00014C16">
        <w:rPr>
          <w:rFonts w:ascii="Palatino Linotype" w:eastAsia="Palatino Linotype" w:hAnsi="Palatino Linotype" w:cs="Palatino Linotype"/>
        </w:rPr>
        <w:t>.</w:t>
      </w:r>
    </w:p>
    <w:p w14:paraId="6731DA3A" w14:textId="7D009A23" w:rsidR="00B54BB4" w:rsidRPr="00014C16" w:rsidRDefault="008E4DD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6</w:t>
      </w:r>
      <w:r w:rsidR="00D4045C" w:rsidRPr="00014C16">
        <w:rPr>
          <w:rFonts w:ascii="Palatino Linotype" w:eastAsia="Palatino Linotype" w:hAnsi="Palatino Linotype" w:cs="Palatino Linotype"/>
          <w:b/>
        </w:rPr>
        <w:t>. Admisión del Recurso de revisión.</w:t>
      </w:r>
      <w:r w:rsidR="00D4045C" w:rsidRPr="00014C16">
        <w:rPr>
          <w:rFonts w:ascii="Palatino Linotype" w:eastAsia="Palatino Linotype" w:hAnsi="Palatino Linotype" w:cs="Palatino Linotype"/>
        </w:rPr>
        <w:t xml:space="preserve"> El</w:t>
      </w:r>
      <w:r w:rsidR="00D4045C"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b/>
        </w:rPr>
        <w:t>once</w:t>
      </w:r>
      <w:r w:rsidR="00266BF4" w:rsidRPr="00014C16">
        <w:rPr>
          <w:rFonts w:ascii="Palatino Linotype" w:eastAsia="Palatino Linotype" w:hAnsi="Palatino Linotype" w:cs="Palatino Linotype"/>
          <w:b/>
        </w:rPr>
        <w:t xml:space="preserve"> </w:t>
      </w:r>
      <w:r w:rsidR="00512A2E" w:rsidRPr="00014C16">
        <w:rPr>
          <w:rFonts w:ascii="Palatino Linotype" w:eastAsia="Palatino Linotype" w:hAnsi="Palatino Linotype" w:cs="Palatino Linotype"/>
          <w:b/>
        </w:rPr>
        <w:t>de febrero de dos mil veinticinco</w:t>
      </w:r>
      <w:r w:rsidR="00D4045C" w:rsidRPr="00014C16">
        <w:rPr>
          <w:rFonts w:ascii="Palatino Linotype" w:eastAsia="Palatino Linotype" w:hAnsi="Palatino Linotype" w:cs="Palatino Linotype"/>
          <w:b/>
        </w:rPr>
        <w:t xml:space="preserve">, </w:t>
      </w:r>
      <w:r w:rsidR="00D4045C" w:rsidRPr="00014C16">
        <w:rPr>
          <w:rFonts w:ascii="Palatino Linotype" w:eastAsia="Palatino Linotype" w:hAnsi="Palatino Linotype" w:cs="Palatino Linotype"/>
        </w:rPr>
        <w:t xml:space="preserve">este Instituto de Transparencia, Acceso a la Información Pública y Protección de </w:t>
      </w:r>
      <w:r w:rsidR="00D4045C" w:rsidRPr="00014C16">
        <w:rPr>
          <w:rFonts w:ascii="Palatino Linotype" w:eastAsia="Palatino Linotype" w:hAnsi="Palatino Linotype" w:cs="Palatino Linotype"/>
        </w:rPr>
        <w:lastRenderedPageBreak/>
        <w:t xml:space="preserve">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D4045C" w:rsidRPr="00014C16">
        <w:rPr>
          <w:rFonts w:ascii="Palatino Linotype" w:eastAsia="Palatino Linotype" w:hAnsi="Palatino Linotype" w:cs="Palatino Linotype"/>
          <w:b/>
        </w:rPr>
        <w:t xml:space="preserve">Sujeto Obligado </w:t>
      </w:r>
      <w:r w:rsidR="00D4045C" w:rsidRPr="00014C16">
        <w:rPr>
          <w:rFonts w:ascii="Palatino Linotype" w:eastAsia="Palatino Linotype" w:hAnsi="Palatino Linotype" w:cs="Palatino Linotype"/>
        </w:rPr>
        <w:t>presentara su informe justificado.</w:t>
      </w:r>
    </w:p>
    <w:p w14:paraId="16AE6D9E" w14:textId="2BBF98CE" w:rsidR="008E4DDE" w:rsidRPr="00014C16" w:rsidRDefault="008E4DDE" w:rsidP="008E4DDE">
      <w:pPr>
        <w:spacing w:line="360" w:lineRule="auto"/>
        <w:jc w:val="both"/>
        <w:rPr>
          <w:rFonts w:ascii="Palatino Linotype" w:eastAsia="Palatino Linotype" w:hAnsi="Palatino Linotype" w:cs="Palatino Linotype"/>
        </w:rPr>
      </w:pPr>
      <w:bookmarkStart w:id="4" w:name="_heading=h.2s8eyo1" w:colFirst="0" w:colLast="0"/>
      <w:bookmarkEnd w:id="4"/>
      <w:r w:rsidRPr="00014C16">
        <w:rPr>
          <w:rFonts w:ascii="Palatino Linotype" w:eastAsia="Palatino Linotype" w:hAnsi="Palatino Linotype" w:cs="Palatino Linotype"/>
          <w:b/>
        </w:rPr>
        <w:t>7</w:t>
      </w:r>
      <w:r w:rsidR="00D4045C" w:rsidRPr="00014C16">
        <w:rPr>
          <w:rFonts w:ascii="Palatino Linotype" w:eastAsia="Palatino Linotype" w:hAnsi="Palatino Linotype" w:cs="Palatino Linotype"/>
          <w:b/>
        </w:rPr>
        <w:t>. Manifestaciones</w:t>
      </w:r>
      <w:r w:rsidR="00D4045C" w:rsidRPr="00014C16">
        <w:rPr>
          <w:rFonts w:ascii="Palatino Linotype" w:eastAsia="Palatino Linotype" w:hAnsi="Palatino Linotype" w:cs="Palatino Linotype"/>
        </w:rPr>
        <w:t xml:space="preserve">. </w:t>
      </w:r>
      <w:r w:rsidRPr="00014C16">
        <w:rPr>
          <w:rFonts w:ascii="Palatino Linotype" w:eastAsia="Palatino Linotype" w:hAnsi="Palatino Linotype" w:cs="Palatino Linotype"/>
        </w:rPr>
        <w:t xml:space="preserve">De las constancias que obran en el expediente electrónico del SAIMEX se desprende que el </w:t>
      </w:r>
      <w:r w:rsidRPr="00014C16">
        <w:rPr>
          <w:rFonts w:ascii="Palatino Linotype" w:eastAsia="Palatino Linotype" w:hAnsi="Palatino Linotype" w:cs="Palatino Linotype"/>
          <w:b/>
        </w:rPr>
        <w:t>Sujeto Obligado</w:t>
      </w:r>
      <w:r w:rsidRPr="00014C16">
        <w:rPr>
          <w:rFonts w:ascii="Palatino Linotype" w:eastAsia="Palatino Linotype" w:hAnsi="Palatino Linotype" w:cs="Palatino Linotype"/>
        </w:rPr>
        <w:t xml:space="preserve"> no rindió su Informe Justificado, del mismo modo la parte</w:t>
      </w:r>
      <w:r w:rsidRPr="00014C16">
        <w:rPr>
          <w:rFonts w:ascii="Palatino Linotype" w:eastAsia="Palatino Linotype" w:hAnsi="Palatino Linotype" w:cs="Palatino Linotype"/>
          <w:b/>
        </w:rPr>
        <w:t xml:space="preserve"> Recurrente</w:t>
      </w:r>
      <w:r w:rsidRPr="00014C16">
        <w:rPr>
          <w:rFonts w:ascii="Palatino Linotype" w:eastAsia="Palatino Linotype" w:hAnsi="Palatino Linotype" w:cs="Palatino Linotype"/>
        </w:rPr>
        <w:t xml:space="preserve"> omitió realizar manifestaciones, como se observa a continuación:</w:t>
      </w:r>
    </w:p>
    <w:p w14:paraId="1B26271B" w14:textId="40DED608" w:rsidR="008E4DDE" w:rsidRPr="00014C16" w:rsidRDefault="008E4DD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noProof/>
        </w:rPr>
        <w:drawing>
          <wp:inline distT="0" distB="0" distL="0" distR="0" wp14:anchorId="3FC5BFF5" wp14:editId="2A48887F">
            <wp:extent cx="5612130" cy="16852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85290"/>
                    </a:xfrm>
                    <a:prstGeom prst="rect">
                      <a:avLst/>
                    </a:prstGeom>
                  </pic:spPr>
                </pic:pic>
              </a:graphicData>
            </a:graphic>
          </wp:inline>
        </w:drawing>
      </w:r>
    </w:p>
    <w:p w14:paraId="289D789B" w14:textId="4EA30D24" w:rsidR="00B54BB4" w:rsidRPr="00014C16" w:rsidRDefault="008E4DD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8</w:t>
      </w:r>
      <w:r w:rsidR="00D4045C" w:rsidRPr="00014C16">
        <w:rPr>
          <w:rFonts w:ascii="Palatino Linotype" w:eastAsia="Palatino Linotype" w:hAnsi="Palatino Linotype" w:cs="Palatino Linotype"/>
          <w:b/>
        </w:rPr>
        <w:t xml:space="preserve">. Cierre de instrucción. </w:t>
      </w:r>
      <w:r w:rsidR="00D4045C" w:rsidRPr="00014C16">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361A16" w:rsidRPr="00014C16">
        <w:rPr>
          <w:rFonts w:ascii="Palatino Linotype" w:eastAsia="Palatino Linotype" w:hAnsi="Palatino Linotype" w:cs="Palatino Linotype"/>
          <w:b/>
        </w:rPr>
        <w:t>veinti</w:t>
      </w:r>
      <w:r w:rsidRPr="00014C16">
        <w:rPr>
          <w:rFonts w:ascii="Palatino Linotype" w:eastAsia="Palatino Linotype" w:hAnsi="Palatino Linotype" w:cs="Palatino Linotype"/>
          <w:b/>
        </w:rPr>
        <w:t>un</w:t>
      </w:r>
      <w:r w:rsidR="00361A16" w:rsidRPr="00014C16">
        <w:rPr>
          <w:rFonts w:ascii="Palatino Linotype" w:eastAsia="Palatino Linotype" w:hAnsi="Palatino Linotype" w:cs="Palatino Linotype"/>
          <w:b/>
        </w:rPr>
        <w:t xml:space="preserve">o </w:t>
      </w:r>
      <w:r w:rsidR="00512A2E" w:rsidRPr="00014C16">
        <w:rPr>
          <w:rFonts w:ascii="Palatino Linotype" w:eastAsia="Palatino Linotype" w:hAnsi="Palatino Linotype" w:cs="Palatino Linotype"/>
          <w:b/>
        </w:rPr>
        <w:t>de febrero</w:t>
      </w:r>
      <w:r w:rsidR="00D4045C" w:rsidRPr="00014C16">
        <w:rPr>
          <w:rFonts w:ascii="Palatino Linotype" w:eastAsia="Palatino Linotype" w:hAnsi="Palatino Linotype" w:cs="Palatino Linotype"/>
          <w:b/>
        </w:rPr>
        <w:t xml:space="preserve"> de dos mil veintic</w:t>
      </w:r>
      <w:r w:rsidR="00512A2E" w:rsidRPr="00014C16">
        <w:rPr>
          <w:rFonts w:ascii="Palatino Linotype" w:eastAsia="Palatino Linotype" w:hAnsi="Palatino Linotype" w:cs="Palatino Linotype"/>
          <w:b/>
        </w:rPr>
        <w:t>inco</w:t>
      </w:r>
      <w:r w:rsidR="00D4045C" w:rsidRPr="00014C1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C289C30" w14:textId="77777777" w:rsidR="00B54BB4" w:rsidRPr="00014C16" w:rsidRDefault="00D4045C">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CFCBB05" w14:textId="77777777" w:rsidR="00B54BB4" w:rsidRPr="00014C16" w:rsidRDefault="00D4045C">
      <w:pPr>
        <w:widowControl w:val="0"/>
        <w:spacing w:before="240" w:after="240" w:line="360" w:lineRule="auto"/>
        <w:jc w:val="center"/>
        <w:rPr>
          <w:rFonts w:ascii="Palatino Linotype" w:eastAsia="Palatino Linotype" w:hAnsi="Palatino Linotype" w:cs="Palatino Linotype"/>
          <w:b/>
        </w:rPr>
      </w:pPr>
      <w:r w:rsidRPr="00014C16">
        <w:rPr>
          <w:rFonts w:ascii="Palatino Linotype" w:eastAsia="Palatino Linotype" w:hAnsi="Palatino Linotype" w:cs="Palatino Linotype"/>
          <w:b/>
        </w:rPr>
        <w:t>II. C O N S I D E R A N D O S</w:t>
      </w:r>
    </w:p>
    <w:p w14:paraId="069FAA01" w14:textId="77777777" w:rsidR="00B54BB4" w:rsidRPr="00014C16" w:rsidRDefault="00D4045C">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Primero. Competencia.</w:t>
      </w:r>
      <w:r w:rsidRPr="00014C1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498D27" w14:textId="77777777" w:rsidR="00B54BB4" w:rsidRPr="00014C16" w:rsidRDefault="00D4045C">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014C16">
        <w:rPr>
          <w:rFonts w:ascii="Palatino Linotype" w:eastAsia="Palatino Linotype" w:hAnsi="Palatino Linotype" w:cs="Palatino Linotype"/>
          <w:b/>
        </w:rPr>
        <w:t>Segundo. Oportunidad y Procedibilidad del Recurso de Revisión</w:t>
      </w:r>
      <w:r w:rsidRPr="00014C16">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139B4D1" w14:textId="61F6D07B" w:rsidR="00266BF4" w:rsidRPr="00014C16" w:rsidRDefault="00D4045C" w:rsidP="00266BF4">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014C16">
        <w:rPr>
          <w:rFonts w:ascii="Palatino Linotype" w:eastAsia="Palatino Linotype" w:hAnsi="Palatino Linotype" w:cs="Palatino Linotype"/>
        </w:rPr>
        <w:lastRenderedPageBreak/>
        <w:t xml:space="preserve">Pública del Estado de México y Municipios, toda vez que el </w:t>
      </w:r>
      <w:r w:rsidRPr="00014C16">
        <w:rPr>
          <w:rFonts w:ascii="Palatino Linotype" w:eastAsia="Palatino Linotype" w:hAnsi="Palatino Linotype" w:cs="Palatino Linotype"/>
          <w:b/>
        </w:rPr>
        <w:t xml:space="preserve">Sujeto Obligado </w:t>
      </w:r>
      <w:r w:rsidRPr="00014C16">
        <w:rPr>
          <w:rFonts w:ascii="Palatino Linotype" w:eastAsia="Palatino Linotype" w:hAnsi="Palatino Linotype" w:cs="Palatino Linotype"/>
        </w:rPr>
        <w:t xml:space="preserve">remitió la respuesta a la solicitud de información el día </w:t>
      </w:r>
      <w:r w:rsidR="008E4DDE" w:rsidRPr="00014C16">
        <w:rPr>
          <w:rFonts w:ascii="Palatino Linotype" w:eastAsia="Palatino Linotype" w:hAnsi="Palatino Linotype" w:cs="Palatino Linotype"/>
          <w:b/>
        </w:rPr>
        <w:t>seis</w:t>
      </w:r>
      <w:r w:rsidR="00266BF4" w:rsidRPr="00014C16">
        <w:rPr>
          <w:rFonts w:ascii="Palatino Linotype" w:eastAsia="Palatino Linotype" w:hAnsi="Palatino Linotype" w:cs="Palatino Linotype"/>
          <w:b/>
        </w:rPr>
        <w:t xml:space="preserve"> de febrero </w:t>
      </w:r>
      <w:r w:rsidR="00F415CB" w:rsidRPr="00014C16">
        <w:rPr>
          <w:rFonts w:ascii="Palatino Linotype" w:eastAsia="Palatino Linotype" w:hAnsi="Palatino Linotype" w:cs="Palatino Linotype"/>
          <w:b/>
        </w:rPr>
        <w:t xml:space="preserve">de </w:t>
      </w:r>
      <w:r w:rsidRPr="00014C16">
        <w:rPr>
          <w:rFonts w:ascii="Palatino Linotype" w:eastAsia="Palatino Linotype" w:hAnsi="Palatino Linotype" w:cs="Palatino Linotype"/>
          <w:b/>
        </w:rPr>
        <w:t>dos mil veintic</w:t>
      </w:r>
      <w:r w:rsidR="00F415CB" w:rsidRPr="00014C16">
        <w:rPr>
          <w:rFonts w:ascii="Palatino Linotype" w:eastAsia="Palatino Linotype" w:hAnsi="Palatino Linotype" w:cs="Palatino Linotype"/>
          <w:b/>
        </w:rPr>
        <w:t>inco</w:t>
      </w:r>
      <w:r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rPr>
        <w:t xml:space="preserve">mientras que el recurso de revisión interpuesto por la parte </w:t>
      </w:r>
      <w:r w:rsidRPr="00014C16">
        <w:rPr>
          <w:rFonts w:ascii="Palatino Linotype" w:eastAsia="Palatino Linotype" w:hAnsi="Palatino Linotype" w:cs="Palatino Linotype"/>
          <w:b/>
        </w:rPr>
        <w:t xml:space="preserve">Recurrente, </w:t>
      </w:r>
      <w:r w:rsidRPr="00014C16">
        <w:rPr>
          <w:rFonts w:ascii="Palatino Linotype" w:eastAsia="Palatino Linotype" w:hAnsi="Palatino Linotype" w:cs="Palatino Linotype"/>
        </w:rPr>
        <w:t>se tuvo por presentado el día</w:t>
      </w:r>
      <w:r w:rsidRPr="00014C16">
        <w:rPr>
          <w:rFonts w:ascii="Palatino Linotype" w:eastAsia="Palatino Linotype" w:hAnsi="Palatino Linotype" w:cs="Palatino Linotype"/>
          <w:b/>
        </w:rPr>
        <w:t xml:space="preserve"> </w:t>
      </w:r>
      <w:r w:rsidR="008E4DDE" w:rsidRPr="00014C16">
        <w:rPr>
          <w:rFonts w:ascii="Palatino Linotype" w:eastAsia="Palatino Linotype" w:hAnsi="Palatino Linotype" w:cs="Palatino Linotype"/>
          <w:b/>
        </w:rPr>
        <w:t xml:space="preserve">seis </w:t>
      </w:r>
      <w:r w:rsidR="00266BF4" w:rsidRPr="00014C16">
        <w:rPr>
          <w:rFonts w:ascii="Palatino Linotype" w:eastAsia="Palatino Linotype" w:hAnsi="Palatino Linotype" w:cs="Palatino Linotype"/>
          <w:b/>
        </w:rPr>
        <w:t xml:space="preserve">de febrero </w:t>
      </w:r>
      <w:r w:rsidR="00F415CB" w:rsidRPr="00014C16">
        <w:rPr>
          <w:rFonts w:ascii="Palatino Linotype" w:eastAsia="Palatino Linotype" w:hAnsi="Palatino Linotype" w:cs="Palatino Linotype"/>
          <w:b/>
        </w:rPr>
        <w:t>de dos mil veinticinco,</w:t>
      </w:r>
      <w:r w:rsidRPr="00014C16">
        <w:rPr>
          <w:rFonts w:ascii="Palatino Linotype" w:eastAsia="Palatino Linotype" w:hAnsi="Palatino Linotype" w:cs="Palatino Linotype"/>
          <w:b/>
        </w:rPr>
        <w:t xml:space="preserve"> </w:t>
      </w:r>
      <w:r w:rsidR="00266BF4" w:rsidRPr="00014C16">
        <w:rPr>
          <w:rFonts w:ascii="Palatino Linotype" w:eastAsia="Palatino Linotype" w:hAnsi="Palatino Linotype" w:cs="Palatino Linotype"/>
        </w:rPr>
        <w:t>esto es, el mismo día en el que tuvo conocimiento de las respuestas impugnadas. En este sentido, se concluye que los presentes recursos de revisión se encuentran dentro de los márgenes temporales previstos en las disposiciones legales referidas.</w:t>
      </w:r>
    </w:p>
    <w:p w14:paraId="2DDAA6B2" w14:textId="77777777" w:rsidR="00266BF4" w:rsidRPr="00014C16" w:rsidRDefault="00266BF4" w:rsidP="00266BF4">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839BC4D" w14:textId="77777777" w:rsidR="00266BF4" w:rsidRPr="00014C16" w:rsidRDefault="00266BF4" w:rsidP="00266BF4">
      <w:pPr>
        <w:spacing w:before="120" w:after="120"/>
        <w:ind w:left="851" w:right="902"/>
        <w:jc w:val="both"/>
        <w:rPr>
          <w:rFonts w:ascii="Palatino Linotype" w:eastAsia="Palatino Linotype" w:hAnsi="Palatino Linotype" w:cs="Palatino Linotype"/>
          <w:i/>
          <w:sz w:val="22"/>
        </w:rPr>
      </w:pPr>
      <w:r w:rsidRPr="00014C16">
        <w:rPr>
          <w:rFonts w:ascii="Palatino Linotype" w:eastAsia="Palatino Linotype" w:hAnsi="Palatino Linotype" w:cs="Palatino Linotype"/>
          <w:i/>
          <w:sz w:val="22"/>
        </w:rPr>
        <w:t>“</w:t>
      </w:r>
      <w:r w:rsidRPr="00014C16">
        <w:rPr>
          <w:rFonts w:ascii="Palatino Linotype" w:eastAsia="Palatino Linotype" w:hAnsi="Palatino Linotype" w:cs="Palatino Linotype"/>
          <w:b/>
          <w:i/>
          <w:sz w:val="22"/>
        </w:rPr>
        <w:t>RECURSO DE RECLAMACIÓN. SU INTERPOSICIÓN NO ES EXTEMPORÁNEA SI SE REALIZA ANTES DE QUE INICIE EL PLAZO PARA HACERLO.</w:t>
      </w:r>
      <w:r w:rsidRPr="00014C16">
        <w:rPr>
          <w:rFonts w:ascii="Palatino Linotype" w:eastAsia="Palatino Linotype" w:hAnsi="Palatino Linotype" w:cs="Palatino Linotype"/>
          <w:i/>
          <w:sz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w:t>
      </w:r>
      <w:r w:rsidRPr="00014C16">
        <w:rPr>
          <w:rFonts w:ascii="Palatino Linotype" w:eastAsia="Palatino Linotype" w:hAnsi="Palatino Linotype" w:cs="Palatino Linotype"/>
          <w:i/>
          <w:sz w:val="22"/>
        </w:rPr>
        <w:lastRenderedPageBreak/>
        <w:t>iniciado ese término. De ahí que si dicho recurso se interpone antes de que inicie el plazo para hacerlo, su presentación no es extemporánea.”</w:t>
      </w:r>
    </w:p>
    <w:p w14:paraId="56AB5F22" w14:textId="77777777" w:rsidR="00266BF4" w:rsidRPr="00014C16" w:rsidRDefault="00266BF4" w:rsidP="00266BF4">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Además, por cuanto hace a la procedibilidad del recurso de revisión, es de suma importancia señalar que </w:t>
      </w:r>
      <w:r w:rsidRPr="00014C16">
        <w:rPr>
          <w:rFonts w:ascii="Palatino Linotype" w:eastAsia="Palatino Linotype" w:hAnsi="Palatino Linotype" w:cs="Palatino Linotype"/>
          <w:bCs/>
        </w:rPr>
        <w:t>la parte</w:t>
      </w:r>
      <w:r w:rsidRPr="00014C16">
        <w:rPr>
          <w:rFonts w:ascii="Palatino Linotype" w:eastAsia="Palatino Linotype" w:hAnsi="Palatino Linotype" w:cs="Palatino Linotype"/>
          <w:b/>
        </w:rPr>
        <w:t xml:space="preserve"> Recurrente</w:t>
      </w:r>
      <w:r w:rsidRPr="00014C16">
        <w:rPr>
          <w:rFonts w:ascii="Palatino Linotype" w:eastAsia="Palatino Linotype" w:hAnsi="Palatino Linotype" w:cs="Palatino Linotype"/>
        </w:rPr>
        <w:t xml:space="preserve">, no señaló un </w:t>
      </w:r>
      <w:r w:rsidRPr="00014C16">
        <w:rPr>
          <w:rFonts w:ascii="Palatino Linotype" w:eastAsia="Palatino Linotype" w:hAnsi="Palatino Linotype" w:cs="Palatino Linotype"/>
          <w:b/>
          <w:bCs/>
        </w:rPr>
        <w:t>nombre</w:t>
      </w:r>
      <w:r w:rsidRPr="00014C16">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6D7E1C" w14:textId="77777777" w:rsidR="00266BF4" w:rsidRPr="00014C16" w:rsidRDefault="00266BF4" w:rsidP="00266BF4">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b/>
          <w:i/>
          <w:sz w:val="22"/>
          <w:szCs w:val="22"/>
        </w:rPr>
        <w:t>Las solicitudes anónimas</w:t>
      </w:r>
      <w:r w:rsidRPr="00014C16">
        <w:rPr>
          <w:rFonts w:ascii="Palatino Linotype" w:eastAsia="Palatino Linotype" w:hAnsi="Palatino Linotype" w:cs="Palatino Linotype"/>
          <w:i/>
          <w:sz w:val="22"/>
          <w:szCs w:val="22"/>
        </w:rPr>
        <w:t xml:space="preserve">, con nombre incompleto o </w:t>
      </w:r>
      <w:r w:rsidRPr="00014C16">
        <w:rPr>
          <w:rFonts w:ascii="Palatino Linotype" w:eastAsia="Palatino Linotype" w:hAnsi="Palatino Linotype" w:cs="Palatino Linotype"/>
          <w:b/>
          <w:i/>
          <w:sz w:val="22"/>
          <w:szCs w:val="22"/>
        </w:rPr>
        <w:t>seudónimo</w:t>
      </w:r>
      <w:r w:rsidRPr="00014C16">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0E8BBB16" w14:textId="77777777" w:rsidR="00266BF4" w:rsidRPr="00014C16" w:rsidRDefault="00266BF4" w:rsidP="00266BF4">
      <w:pPr>
        <w:spacing w:before="240" w:after="240" w:line="360" w:lineRule="auto"/>
        <w:jc w:val="both"/>
        <w:rPr>
          <w:rFonts w:ascii="Palatino Linotype" w:eastAsia="Palatino Linotype" w:hAnsi="Palatino Linotype" w:cs="Palatino Linotype"/>
          <w:b/>
        </w:rPr>
      </w:pPr>
      <w:r w:rsidRPr="00014C16">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14C16">
        <w:rPr>
          <w:rFonts w:ascii="Palatino Linotype" w:eastAsia="Palatino Linotype" w:hAnsi="Palatino Linotype" w:cs="Palatino Linotype"/>
          <w:bCs/>
        </w:rPr>
        <w:t>el</w:t>
      </w:r>
      <w:r w:rsidRPr="00014C16">
        <w:rPr>
          <w:rFonts w:ascii="Palatino Linotype" w:eastAsia="Palatino Linotype" w:hAnsi="Palatino Linotype" w:cs="Palatino Linotype"/>
          <w:b/>
        </w:rPr>
        <w:t xml:space="preserve"> SAIMEX.</w:t>
      </w:r>
    </w:p>
    <w:p w14:paraId="0D1F39D6" w14:textId="77777777" w:rsidR="002B1D55" w:rsidRPr="00014C16" w:rsidRDefault="002B1D55" w:rsidP="002B1D55">
      <w:pPr>
        <w:spacing w:before="240" w:after="240" w:line="360" w:lineRule="auto"/>
        <w:jc w:val="both"/>
      </w:pPr>
      <w:r w:rsidRPr="00014C16">
        <w:rPr>
          <w:rFonts w:ascii="Palatino Linotype" w:eastAsia="Palatino Linotype" w:hAnsi="Palatino Linotype" w:cs="Palatino Linotype"/>
          <w:b/>
        </w:rPr>
        <w:t>Tercero. Análisis de las causales de improcedencia y sobreseimiento del Recurso de Revisión.</w:t>
      </w:r>
      <w:r w:rsidRPr="00014C16">
        <w:t xml:space="preserve"> </w:t>
      </w:r>
      <w:r w:rsidRPr="00014C16">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w:t>
      </w:r>
      <w:r w:rsidRPr="00014C16">
        <w:rPr>
          <w:rFonts w:ascii="Palatino Linotype" w:eastAsia="Palatino Linotype" w:hAnsi="Palatino Linotype" w:cs="Palatino Linotype"/>
        </w:rPr>
        <w:lastRenderedPageBreak/>
        <w:t>Municipios, en correlación con la seguridad jurídica que debe generar lo actuado ante este Organismo Garante.</w:t>
      </w:r>
    </w:p>
    <w:p w14:paraId="01FA7102" w14:textId="5D86586D" w:rsidR="002B1D55" w:rsidRPr="00014C16" w:rsidRDefault="002B1D55" w:rsidP="002B1D55">
      <w:pPr>
        <w:spacing w:before="240" w:after="240" w:line="360" w:lineRule="auto"/>
        <w:jc w:val="both"/>
      </w:pPr>
      <w:r w:rsidRPr="00014C16">
        <w:rPr>
          <w:rFonts w:ascii="Palatino Linotype" w:eastAsia="Palatino Linotype" w:hAnsi="Palatino Linotype" w:cs="Palatino Linotype"/>
        </w:rPr>
        <w:t>En este sentido, es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7FCDF7EB" w14:textId="77777777" w:rsidR="002B1D55" w:rsidRPr="00014C16" w:rsidRDefault="002B1D55" w:rsidP="002B1D55">
      <w:pPr>
        <w:spacing w:before="240" w:after="240" w:line="360" w:lineRule="auto"/>
        <w:ind w:right="51"/>
        <w:jc w:val="both"/>
        <w:rPr>
          <w:rFonts w:ascii="Palatino Linotype" w:eastAsia="Palatino Linotype" w:hAnsi="Palatino Linotype" w:cs="Palatino Linotype"/>
        </w:rPr>
      </w:pPr>
      <w:r w:rsidRPr="00014C16">
        <w:rPr>
          <w:rFonts w:ascii="Palatino Linotype" w:eastAsia="Palatino Linotype" w:hAnsi="Palatino Linotype" w:cs="Palatino Linotype"/>
        </w:rPr>
        <w:t>De manera preliminar en el caso concreto conviene analizar si se actualiza alguna de las causales de sobreseimiento del recurso de revisión.</w:t>
      </w:r>
    </w:p>
    <w:p w14:paraId="1BACFA4C" w14:textId="77777777" w:rsidR="002B1D55" w:rsidRPr="00014C16" w:rsidRDefault="002B1D55" w:rsidP="002B1D55">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Así, del análisis de la solicitud de información motivo del recurso de revisión que ahora se resuelve, se advierte que la persona solicitante requirió al </w:t>
      </w:r>
      <w:r w:rsidRPr="00014C16">
        <w:rPr>
          <w:rFonts w:ascii="Palatino Linotype" w:eastAsia="Palatino Linotype" w:hAnsi="Palatino Linotype" w:cs="Palatino Linotype"/>
          <w:b/>
        </w:rPr>
        <w:t>Sujeto Obligado</w:t>
      </w:r>
      <w:r w:rsidRPr="00014C16">
        <w:rPr>
          <w:rFonts w:ascii="Palatino Linotype" w:eastAsia="Palatino Linotype" w:hAnsi="Palatino Linotype" w:cs="Palatino Linotype"/>
        </w:rPr>
        <w:t xml:space="preserve"> le proporcione información consistente en lo siguiente:</w:t>
      </w:r>
    </w:p>
    <w:p w14:paraId="229C94AA" w14:textId="3897A8F8" w:rsidR="00030056" w:rsidRPr="00014C16" w:rsidRDefault="00030056" w:rsidP="00030056">
      <w:pPr>
        <w:spacing w:before="240" w:after="240" w:line="360" w:lineRule="auto"/>
        <w:ind w:left="284" w:right="51"/>
        <w:jc w:val="both"/>
        <w:rPr>
          <w:rFonts w:ascii="Palatino Linotype" w:eastAsia="Palatino Linotype" w:hAnsi="Palatino Linotype" w:cs="Palatino Linotype"/>
        </w:rPr>
      </w:pPr>
      <w:r w:rsidRPr="00014C16">
        <w:rPr>
          <w:rFonts w:ascii="Palatino Linotype" w:eastAsia="Palatino Linotype" w:hAnsi="Palatino Linotype" w:cs="Palatino Linotype"/>
        </w:rPr>
        <w:t>1.</w:t>
      </w:r>
      <w:r w:rsidR="009822E3" w:rsidRPr="00014C16">
        <w:t xml:space="preserve"> </w:t>
      </w:r>
      <w:r w:rsidR="009822E3" w:rsidRPr="00014C16">
        <w:rPr>
          <w:rFonts w:ascii="Palatino Linotype" w:eastAsia="Palatino Linotype" w:hAnsi="Palatino Linotype" w:cs="Palatino Linotype"/>
        </w:rPr>
        <w:t>Nombramientos de la nueva administración</w:t>
      </w:r>
      <w:r w:rsidRPr="00014C16">
        <w:rPr>
          <w:rFonts w:ascii="Palatino Linotype" w:eastAsia="Palatino Linotype" w:hAnsi="Palatino Linotype" w:cs="Palatino Linotype"/>
        </w:rPr>
        <w:t>.</w:t>
      </w:r>
    </w:p>
    <w:p w14:paraId="2FFCA8E2" w14:textId="50E43166" w:rsidR="00D972BA" w:rsidRPr="00014C16" w:rsidRDefault="00D4045C" w:rsidP="0008664A">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E</w:t>
      </w:r>
      <w:r w:rsidR="002B1D55" w:rsidRPr="00014C16">
        <w:rPr>
          <w:rFonts w:ascii="Palatino Linotype" w:eastAsia="Palatino Linotype" w:hAnsi="Palatino Linotype" w:cs="Palatino Linotype"/>
        </w:rPr>
        <w:t>n su respuesta e</w:t>
      </w:r>
      <w:r w:rsidRPr="00014C16">
        <w:rPr>
          <w:rFonts w:ascii="Palatino Linotype" w:eastAsia="Palatino Linotype" w:hAnsi="Palatino Linotype" w:cs="Palatino Linotype"/>
        </w:rPr>
        <w:t xml:space="preserve">l </w:t>
      </w:r>
      <w:r w:rsidRPr="00014C16">
        <w:rPr>
          <w:rFonts w:ascii="Palatino Linotype" w:eastAsia="Palatino Linotype" w:hAnsi="Palatino Linotype" w:cs="Palatino Linotype"/>
          <w:b/>
        </w:rPr>
        <w:t xml:space="preserve">Sujeto Obligado, </w:t>
      </w:r>
      <w:r w:rsidRPr="00014C16">
        <w:rPr>
          <w:rFonts w:ascii="Palatino Linotype" w:eastAsia="Palatino Linotype" w:hAnsi="Palatino Linotype" w:cs="Palatino Linotype"/>
        </w:rPr>
        <w:t xml:space="preserve">hizo </w:t>
      </w:r>
      <w:r w:rsidR="0069413B" w:rsidRPr="00014C16">
        <w:rPr>
          <w:rFonts w:ascii="Palatino Linotype" w:eastAsia="Palatino Linotype" w:hAnsi="Palatino Linotype" w:cs="Palatino Linotype"/>
        </w:rPr>
        <w:t>entrega de</w:t>
      </w:r>
      <w:r w:rsidR="00D972BA" w:rsidRPr="00014C16">
        <w:rPr>
          <w:rFonts w:ascii="Palatino Linotype" w:eastAsia="Palatino Linotype" w:hAnsi="Palatino Linotype" w:cs="Palatino Linotype"/>
        </w:rPr>
        <w:t xml:space="preserve"> la información proporcionada por la Dirección de Administración, </w:t>
      </w:r>
      <w:r w:rsidR="00040DE4" w:rsidRPr="00014C16">
        <w:rPr>
          <w:rFonts w:ascii="Palatino Linotype" w:eastAsia="Palatino Linotype" w:hAnsi="Palatino Linotype" w:cs="Palatino Linotype"/>
        </w:rPr>
        <w:t>la cual consiste en 130 nombramientos</w:t>
      </w:r>
      <w:r w:rsidR="006B2A0B" w:rsidRPr="00014C16">
        <w:rPr>
          <w:rFonts w:ascii="Palatino Linotype" w:eastAsia="Palatino Linotype" w:hAnsi="Palatino Linotype" w:cs="Palatino Linotype"/>
        </w:rPr>
        <w:t xml:space="preserve"> </w:t>
      </w:r>
      <w:r w:rsidR="00F65390" w:rsidRPr="00014C16">
        <w:rPr>
          <w:rFonts w:ascii="Palatino Linotype" w:eastAsia="Palatino Linotype" w:hAnsi="Palatino Linotype" w:cs="Palatino Linotype"/>
        </w:rPr>
        <w:t xml:space="preserve">de los titulares de las unidades administrativas que integran la administración pública </w:t>
      </w:r>
      <w:r w:rsidR="00F65390" w:rsidRPr="00014C16">
        <w:rPr>
          <w:rFonts w:ascii="Palatino Linotype" w:eastAsia="Palatino Linotype" w:hAnsi="Palatino Linotype" w:cs="Palatino Linotype"/>
        </w:rPr>
        <w:lastRenderedPageBreak/>
        <w:t xml:space="preserve">2025-2027, </w:t>
      </w:r>
      <w:r w:rsidR="006B2A0B" w:rsidRPr="00014C16">
        <w:rPr>
          <w:rFonts w:ascii="Palatino Linotype" w:eastAsia="Palatino Linotype" w:hAnsi="Palatino Linotype" w:cs="Palatino Linotype"/>
        </w:rPr>
        <w:t>localizados derivado de búsqueda exhaustiva y razonable en los archivos y bases de datos a su cargo</w:t>
      </w:r>
      <w:r w:rsidR="00F65390" w:rsidRPr="00014C16">
        <w:rPr>
          <w:rFonts w:ascii="Palatino Linotype" w:eastAsia="Palatino Linotype" w:hAnsi="Palatino Linotype" w:cs="Palatino Linotype"/>
        </w:rPr>
        <w:t>.</w:t>
      </w:r>
    </w:p>
    <w:p w14:paraId="75037FC6" w14:textId="030308A0" w:rsidR="002B1D55" w:rsidRPr="00014C16" w:rsidRDefault="002B1D55">
      <w:pPr>
        <w:pBdr>
          <w:top w:val="nil"/>
          <w:left w:val="nil"/>
          <w:bottom w:val="nil"/>
          <w:right w:val="nil"/>
          <w:between w:val="nil"/>
        </w:pBdr>
        <w:spacing w:before="240" w:after="240" w:line="360" w:lineRule="auto"/>
        <w:jc w:val="both"/>
        <w:rPr>
          <w:rFonts w:ascii="Palatino Linotype" w:eastAsia="Palatino Linotype" w:hAnsi="Palatino Linotype" w:cs="Palatino Linotype"/>
          <w:i/>
        </w:rPr>
      </w:pPr>
      <w:r w:rsidRPr="00014C16">
        <w:rPr>
          <w:rFonts w:ascii="Palatino Linotype" w:eastAsia="Palatino Linotype" w:hAnsi="Palatino Linotype" w:cs="Palatino Linotype"/>
        </w:rPr>
        <w:t xml:space="preserve">Una vez conocida esta respuesta, la persona solicitante interpuso el medio de impugnación que nos ocupa, expresando dentro de sus razones o motivos de inconformidad, lo siguiente: </w:t>
      </w:r>
      <w:r w:rsidRPr="00014C16">
        <w:rPr>
          <w:rFonts w:ascii="Palatino Linotype" w:eastAsia="Palatino Linotype" w:hAnsi="Palatino Linotype" w:cs="Palatino Linotype"/>
          <w:b/>
          <w:u w:val="single"/>
        </w:rPr>
        <w:t>“</w:t>
      </w:r>
      <w:r w:rsidRPr="00014C16">
        <w:rPr>
          <w:rFonts w:ascii="Palatino Linotype" w:eastAsia="Palatino Linotype" w:hAnsi="Palatino Linotype" w:cs="Palatino Linotype"/>
          <w:bCs/>
          <w:i/>
          <w:u w:val="single"/>
        </w:rPr>
        <w:t xml:space="preserve">Remiten documentos Ad hoc, toda vez, que </w:t>
      </w:r>
      <w:r w:rsidRPr="00014C16">
        <w:rPr>
          <w:rFonts w:ascii="Palatino Linotype" w:eastAsia="Palatino Linotype" w:hAnsi="Palatino Linotype" w:cs="Palatino Linotype"/>
          <w:b/>
          <w:i/>
        </w:rPr>
        <w:t>los documentos remitidos no cumplen con las formalidades que contempla la ley</w:t>
      </w:r>
      <w:r w:rsidRPr="00014C16">
        <w:rPr>
          <w:rFonts w:ascii="Palatino Linotype" w:eastAsia="Palatino Linotype" w:hAnsi="Palatino Linotype" w:cs="Palatino Linotype"/>
          <w:bCs/>
          <w:i/>
          <w:u w:val="single"/>
        </w:rPr>
        <w:t xml:space="preserve"> respecto a las características que debe contener un nombramiento, por lo tanto solicito el acuerdo de inexistencia en vista de que solo tienen documentos </w:t>
      </w:r>
      <w:proofErr w:type="spellStart"/>
      <w:r w:rsidRPr="00014C16">
        <w:rPr>
          <w:rFonts w:ascii="Palatino Linotype" w:eastAsia="Palatino Linotype" w:hAnsi="Palatino Linotype" w:cs="Palatino Linotype"/>
          <w:bCs/>
          <w:i/>
          <w:u w:val="single"/>
        </w:rPr>
        <w:t>adhoc</w:t>
      </w:r>
      <w:proofErr w:type="spellEnd"/>
      <w:r w:rsidRPr="00014C16">
        <w:rPr>
          <w:rFonts w:ascii="Palatino Linotype" w:eastAsia="Palatino Linotype" w:hAnsi="Palatino Linotype" w:cs="Palatino Linotype"/>
          <w:b/>
          <w:i/>
        </w:rPr>
        <w:t>”</w:t>
      </w:r>
      <w:r w:rsidRPr="00014C16">
        <w:rPr>
          <w:rFonts w:ascii="Palatino Linotype" w:eastAsia="Palatino Linotype" w:hAnsi="Palatino Linotype" w:cs="Palatino Linotype"/>
          <w:i/>
        </w:rPr>
        <w:t xml:space="preserve"> (sic)</w:t>
      </w:r>
    </w:p>
    <w:p w14:paraId="1B23A659" w14:textId="73CB9D36" w:rsidR="009A5F9E" w:rsidRPr="00014C16" w:rsidRDefault="00E10851" w:rsidP="009A5F9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En atención a lo anterior, primeramente es necesario precisar que de la lectura a los motivos de inconformidad de la parte </w:t>
      </w:r>
      <w:r w:rsidRPr="00014C16">
        <w:rPr>
          <w:rFonts w:ascii="Palatino Linotype" w:eastAsia="Palatino Linotype" w:hAnsi="Palatino Linotype" w:cs="Palatino Linotype"/>
          <w:b/>
        </w:rPr>
        <w:t>Recurrente</w:t>
      </w:r>
      <w:r w:rsidRPr="00014C16">
        <w:rPr>
          <w:rFonts w:ascii="Palatino Linotype" w:eastAsia="Palatino Linotype" w:hAnsi="Palatino Linotype" w:cs="Palatino Linotype"/>
        </w:rPr>
        <w:t xml:space="preserve"> se tiene que, esta no impugna la información por cuanto hace a los servidores públicos de quienes se entregaron los nombramientos, o las áreas de adscripción de estos, lo anterior en virtud de que </w:t>
      </w:r>
      <w:r w:rsidRPr="00014C16">
        <w:rPr>
          <w:rFonts w:ascii="Palatino Linotype" w:eastAsia="Palatino Linotype" w:hAnsi="Palatino Linotype" w:cs="Palatino Linotype"/>
          <w:b/>
        </w:rPr>
        <w:t xml:space="preserve">únicamente expresa que los nombramientos entregados no cumplen con las formalidades que la Ley contempla, al considerar que </w:t>
      </w:r>
      <w:r w:rsidR="002C7867" w:rsidRPr="00014C16">
        <w:rPr>
          <w:rFonts w:ascii="Palatino Linotype" w:eastAsia="Palatino Linotype" w:hAnsi="Palatino Linotype" w:cs="Palatino Linotype"/>
          <w:b/>
        </w:rPr>
        <w:t>se trata de</w:t>
      </w:r>
      <w:r w:rsidRPr="00014C16">
        <w:rPr>
          <w:rFonts w:ascii="Palatino Linotype" w:eastAsia="Palatino Linotype" w:hAnsi="Palatino Linotype" w:cs="Palatino Linotype"/>
          <w:b/>
        </w:rPr>
        <w:t xml:space="preserve"> documentos ad hoc, </w:t>
      </w:r>
      <w:r w:rsidRPr="00014C16">
        <w:rPr>
          <w:rFonts w:ascii="Palatino Linotype" w:eastAsia="Palatino Linotype" w:hAnsi="Palatino Linotype" w:cs="Palatino Linotype"/>
        </w:rPr>
        <w:t>por lo que al no haber realizado manifestaciones de inconformidad</w:t>
      </w:r>
      <w:r w:rsidR="009A5F9E" w:rsidRPr="00014C16">
        <w:rPr>
          <w:rFonts w:ascii="Palatino Linotype" w:eastAsia="Palatino Linotype" w:hAnsi="Palatino Linotype" w:cs="Palatino Linotype"/>
        </w:rPr>
        <w:t xml:space="preserve"> respecto a las áreas que integran la estructura orgánica del </w:t>
      </w:r>
      <w:r w:rsidR="009A5F9E" w:rsidRPr="00014C16">
        <w:rPr>
          <w:rFonts w:ascii="Palatino Linotype" w:eastAsia="Palatino Linotype" w:hAnsi="Palatino Linotype" w:cs="Palatino Linotype"/>
          <w:b/>
        </w:rPr>
        <w:t>Sujeto Obligado</w:t>
      </w:r>
      <w:r w:rsidR="009A5F9E" w:rsidRPr="00014C16">
        <w:rPr>
          <w:rFonts w:ascii="Palatino Linotype" w:eastAsia="Palatino Linotype" w:hAnsi="Palatino Linotype" w:cs="Palatino Linotype"/>
        </w:rPr>
        <w:t xml:space="preserve">, y los servidores públicos titulares de las mismas, </w:t>
      </w:r>
      <w:r w:rsidRPr="00014C16">
        <w:rPr>
          <w:rFonts w:ascii="Palatino Linotype" w:eastAsia="Palatino Linotype" w:hAnsi="Palatino Linotype" w:cs="Palatino Linotype"/>
        </w:rPr>
        <w:t xml:space="preserve">se infiere que </w:t>
      </w:r>
      <w:r w:rsidR="009A5F9E" w:rsidRPr="00014C16">
        <w:rPr>
          <w:rFonts w:ascii="Palatino Linotype" w:eastAsia="Palatino Linotype" w:hAnsi="Palatino Linotype" w:cs="Palatino Linotype"/>
        </w:rPr>
        <w:t xml:space="preserve">dicha </w:t>
      </w:r>
      <w:r w:rsidRPr="00014C16">
        <w:rPr>
          <w:rFonts w:ascii="Palatino Linotype" w:eastAsia="Palatino Linotype" w:hAnsi="Palatino Linotype" w:cs="Palatino Linotype"/>
        </w:rPr>
        <w:t>información satisface la pretensión de la persona solicitante</w:t>
      </w:r>
      <w:r w:rsidR="009A5F9E" w:rsidRPr="00014C16">
        <w:rPr>
          <w:rFonts w:ascii="Palatino Linotype" w:eastAsia="Palatino Linotype" w:hAnsi="Palatino Linotype" w:cs="Palatino Linotype"/>
        </w:rPr>
        <w:t>, pues se insiste, únicamente impugnó el formato de los documentos entregados, al considerar que estos no cumplen con los requisitos que establece la normativa en la materia.</w:t>
      </w:r>
    </w:p>
    <w:p w14:paraId="00567F87" w14:textId="2BBCB419" w:rsidR="009A5F9E" w:rsidRPr="00014C16" w:rsidRDefault="009A5F9E" w:rsidP="009A5F9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Por consiguiente esta parte de la respuesta debe declararse consentida, ya que al no haber realizado manifestaciones de inconformidad al respecto, no pueden </w:t>
      </w:r>
      <w:r w:rsidRPr="00014C16">
        <w:rPr>
          <w:rFonts w:ascii="Palatino Linotype" w:eastAsia="Palatino Linotype" w:hAnsi="Palatino Linotype" w:cs="Palatino Linotype"/>
        </w:rPr>
        <w:lastRenderedPageBreak/>
        <w:t>producirse efectos jurídicos tendentes a revocar, confirmar o modificar el acto, y por consiguiente, no es procedente el análisis de fondo en la resolución.</w:t>
      </w:r>
    </w:p>
    <w:p w14:paraId="00D3FAB9" w14:textId="77777777" w:rsidR="009A5F9E" w:rsidRPr="00014C16" w:rsidRDefault="009A5F9E" w:rsidP="009A5F9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5F464460" w14:textId="77777777" w:rsidR="009A5F9E" w:rsidRPr="00014C16" w:rsidRDefault="009A5F9E" w:rsidP="009A5F9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b/>
          <w:i/>
          <w:sz w:val="22"/>
          <w:szCs w:val="22"/>
        </w:rPr>
        <w:t xml:space="preserve">Actos consentidos tácitamente. Improcedencia de su análisis. </w:t>
      </w:r>
      <w:r w:rsidRPr="00014C16">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5BA076C" w14:textId="77777777" w:rsidR="009A5F9E" w:rsidRPr="00014C16" w:rsidRDefault="009A5F9E" w:rsidP="009A5F9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6CBB726E" w14:textId="77777777" w:rsidR="009A5F9E" w:rsidRPr="00014C16" w:rsidRDefault="009A5F9E" w:rsidP="009A5F9E">
      <w:pPr>
        <w:ind w:left="851" w:right="900"/>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mallCaps/>
          <w:sz w:val="22"/>
          <w:szCs w:val="22"/>
        </w:rPr>
        <w:t xml:space="preserve">“ACTOS CONSENTIDOS. SON LOS QUE NO SE IMPUGNAN MEDIANTE EL RECURSO IDÓNEO. </w:t>
      </w:r>
      <w:r w:rsidRPr="00014C16">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7D0C2F8" w14:textId="77777777" w:rsidR="009A5F9E" w:rsidRPr="00014C16" w:rsidRDefault="009A5F9E" w:rsidP="009A5F9E">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En consecuencia, se insiste, ante la falta de impugnación eficaz, la respuesta entregada debe declararse consentida por la persona solicitante, y p</w:t>
      </w:r>
      <w:r w:rsidRPr="00014C16">
        <w:rPr>
          <w:rFonts w:ascii="Palatino Linotype" w:hAnsi="Palatino Linotype" w:cs="Arial"/>
        </w:rPr>
        <w:t>or consiguiente, no es procedente el análisis de fondo en la resolución.</w:t>
      </w:r>
    </w:p>
    <w:p w14:paraId="0FCE084C" w14:textId="77F696A3" w:rsidR="002B1D55" w:rsidRPr="00014C16" w:rsidRDefault="002B1D55" w:rsidP="002B1D55">
      <w:pPr>
        <w:tabs>
          <w:tab w:val="left" w:pos="1418"/>
        </w:tabs>
        <w:spacing w:before="240" w:after="240" w:line="360" w:lineRule="auto"/>
        <w:ind w:right="49"/>
        <w:jc w:val="both"/>
        <w:rPr>
          <w:rFonts w:ascii="Palatino Linotype" w:eastAsia="Palatino Linotype" w:hAnsi="Palatino Linotype"/>
        </w:rPr>
      </w:pPr>
      <w:r w:rsidRPr="00014C16">
        <w:rPr>
          <w:rFonts w:ascii="Palatino Linotype" w:eastAsia="Palatino Linotype" w:hAnsi="Palatino Linotype" w:cs="Palatino Linotype"/>
        </w:rPr>
        <w:t xml:space="preserve">Una vez admitido el recurso de revisión a trámite, debe mencionarse que la parte </w:t>
      </w:r>
      <w:r w:rsidRPr="00014C16">
        <w:rPr>
          <w:rFonts w:ascii="Palatino Linotype" w:eastAsia="Palatino Linotype" w:hAnsi="Palatino Linotype" w:cs="Palatino Linotype"/>
          <w:b/>
        </w:rPr>
        <w:t>Recurrente</w:t>
      </w:r>
      <w:r w:rsidRPr="00014C16">
        <w:rPr>
          <w:rFonts w:ascii="Palatino Linotype" w:eastAsia="Palatino Linotype" w:hAnsi="Palatino Linotype" w:cs="Palatino Linotype"/>
        </w:rPr>
        <w:t xml:space="preserve"> fue omisa en presentar manifestaciones o alegatos, mientras que el </w:t>
      </w:r>
      <w:r w:rsidRPr="00014C16">
        <w:rPr>
          <w:rFonts w:ascii="Palatino Linotype" w:eastAsia="Palatino Linotype" w:hAnsi="Palatino Linotype" w:cs="Palatino Linotype"/>
          <w:b/>
        </w:rPr>
        <w:lastRenderedPageBreak/>
        <w:t xml:space="preserve">Sujeto Obligado </w:t>
      </w:r>
      <w:r w:rsidRPr="00014C16">
        <w:rPr>
          <w:rFonts w:ascii="Palatino Linotype" w:eastAsia="Palatino Linotype" w:hAnsi="Palatino Linotype" w:cs="Palatino Linotype"/>
        </w:rPr>
        <w:t>omitió presentar su informe justificado</w:t>
      </w:r>
      <w:r w:rsidRPr="00014C16">
        <w:rPr>
          <w:rFonts w:ascii="Palatino Linotype" w:eastAsia="Palatino Linotype" w:hAnsi="Palatino Linotype"/>
        </w:rPr>
        <w:t>, como se advierte en los antecedentes de la presente resolución.</w:t>
      </w:r>
    </w:p>
    <w:p w14:paraId="7F1940B7" w14:textId="40EECBDA" w:rsidR="00F9420D" w:rsidRPr="00014C16" w:rsidRDefault="009242DF" w:rsidP="00F9420D">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A partir de</w:t>
      </w:r>
      <w:r w:rsidR="00F9420D" w:rsidRPr="00014C16">
        <w:rPr>
          <w:rFonts w:ascii="Palatino Linotype" w:eastAsia="Palatino Linotype" w:hAnsi="Palatino Linotype" w:cs="Palatino Linotype"/>
        </w:rPr>
        <w:t xml:space="preserve"> lo anterior, resulta pertinente señalar que del análisis a los motivos de inconformidad de la parte </w:t>
      </w:r>
      <w:r w:rsidR="00F9420D" w:rsidRPr="00014C16">
        <w:rPr>
          <w:rFonts w:ascii="Palatino Linotype" w:eastAsia="Palatino Linotype" w:hAnsi="Palatino Linotype" w:cs="Palatino Linotype"/>
          <w:b/>
        </w:rPr>
        <w:t>Recurrente</w:t>
      </w:r>
      <w:r w:rsidR="00F9420D" w:rsidRPr="00014C16">
        <w:rPr>
          <w:rFonts w:ascii="Palatino Linotype" w:eastAsia="Palatino Linotype" w:hAnsi="Palatino Linotype" w:cs="Palatino Linotype"/>
        </w:rPr>
        <w:t>, no se advierte que</w:t>
      </w:r>
      <w:r w:rsidRPr="00014C16">
        <w:rPr>
          <w:rFonts w:ascii="Palatino Linotype" w:eastAsia="Palatino Linotype" w:hAnsi="Palatino Linotype" w:cs="Palatino Linotype"/>
        </w:rPr>
        <w:t xml:space="preserve"> se actualice alguna</w:t>
      </w:r>
      <w:r w:rsidR="00F9420D" w:rsidRPr="00014C16">
        <w:rPr>
          <w:rFonts w:ascii="Palatino Linotype" w:eastAsia="Palatino Linotype" w:hAnsi="Palatino Linotype" w:cs="Palatino Linotype"/>
        </w:rPr>
        <w:t xml:space="preserve"> de las causales de procedencia del recurso de revisión, previstas en el artículo 179 de la Ley de Transparencia y Acceso a la Información Pública del Estado de México y Municipios, a saber:</w:t>
      </w:r>
    </w:p>
    <w:p w14:paraId="06D4A1B6" w14:textId="77777777" w:rsidR="00F9420D" w:rsidRPr="00014C16" w:rsidRDefault="00F9420D" w:rsidP="00F9420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“Artículo 179</w:t>
      </w:r>
      <w:r w:rsidRPr="00014C16">
        <w:rPr>
          <w:rFonts w:ascii="Palatino Linotype" w:eastAsia="Palatino Linotype" w:hAnsi="Palatino Linotype" w:cs="Palatino Linotype"/>
          <w:i/>
          <w:sz w:val="22"/>
          <w:szCs w:val="22"/>
        </w:rPr>
        <w:t>. El recurso de revisión es un medio de protección que la Ley otorga a los particulares, para hacer valer su derecho de acceso a la información pública, y procederá en contra de las siguientes causas:</w:t>
      </w:r>
    </w:p>
    <w:p w14:paraId="264C6A4E"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I.</w:t>
      </w:r>
      <w:r w:rsidRPr="00014C16">
        <w:rPr>
          <w:rFonts w:ascii="Palatino Linotype" w:eastAsia="Palatino Linotype" w:hAnsi="Palatino Linotype" w:cs="Palatino Linotype"/>
          <w:i/>
          <w:sz w:val="22"/>
          <w:szCs w:val="22"/>
        </w:rPr>
        <w:t xml:space="preserve"> La negativa a la información solicitada;</w:t>
      </w:r>
    </w:p>
    <w:p w14:paraId="5C970C19"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II</w:t>
      </w:r>
      <w:r w:rsidRPr="00014C16">
        <w:rPr>
          <w:rFonts w:ascii="Palatino Linotype" w:eastAsia="Palatino Linotype" w:hAnsi="Palatino Linotype" w:cs="Palatino Linotype"/>
          <w:i/>
          <w:sz w:val="22"/>
          <w:szCs w:val="22"/>
        </w:rPr>
        <w:t>. La clasificación de la información;</w:t>
      </w:r>
    </w:p>
    <w:p w14:paraId="29B80C27"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III</w:t>
      </w:r>
      <w:r w:rsidRPr="00014C16">
        <w:rPr>
          <w:rFonts w:ascii="Palatino Linotype" w:eastAsia="Palatino Linotype" w:hAnsi="Palatino Linotype" w:cs="Palatino Linotype"/>
          <w:i/>
          <w:sz w:val="22"/>
          <w:szCs w:val="22"/>
        </w:rPr>
        <w:t>. La declaración de inexistencia de la información;</w:t>
      </w:r>
    </w:p>
    <w:p w14:paraId="14B6EB51"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IV</w:t>
      </w:r>
      <w:r w:rsidRPr="00014C16">
        <w:rPr>
          <w:rFonts w:ascii="Palatino Linotype" w:eastAsia="Palatino Linotype" w:hAnsi="Palatino Linotype" w:cs="Palatino Linotype"/>
          <w:i/>
          <w:sz w:val="22"/>
          <w:szCs w:val="22"/>
        </w:rPr>
        <w:t>. La declaración de incompetencia por el sujeto obligado;</w:t>
      </w:r>
    </w:p>
    <w:p w14:paraId="486E5047"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V</w:t>
      </w:r>
      <w:r w:rsidRPr="00014C16">
        <w:rPr>
          <w:rFonts w:ascii="Palatino Linotype" w:eastAsia="Palatino Linotype" w:hAnsi="Palatino Linotype" w:cs="Palatino Linotype"/>
          <w:i/>
          <w:sz w:val="22"/>
          <w:szCs w:val="22"/>
        </w:rPr>
        <w:t>. La entrega de información incompleta;</w:t>
      </w:r>
    </w:p>
    <w:p w14:paraId="4B0A8311"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VI.</w:t>
      </w:r>
      <w:r w:rsidRPr="00014C16">
        <w:rPr>
          <w:rFonts w:ascii="Palatino Linotype" w:eastAsia="Palatino Linotype" w:hAnsi="Palatino Linotype" w:cs="Palatino Linotype"/>
          <w:i/>
          <w:sz w:val="22"/>
          <w:szCs w:val="22"/>
        </w:rPr>
        <w:t xml:space="preserve"> La entrega de información que no corresponda con lo solicitado;</w:t>
      </w:r>
    </w:p>
    <w:p w14:paraId="6D5303C2"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VII</w:t>
      </w:r>
      <w:r w:rsidRPr="00014C16">
        <w:rPr>
          <w:rFonts w:ascii="Palatino Linotype" w:eastAsia="Palatino Linotype" w:hAnsi="Palatino Linotype" w:cs="Palatino Linotype"/>
          <w:i/>
          <w:sz w:val="22"/>
          <w:szCs w:val="22"/>
        </w:rPr>
        <w:t>. La falta de respuesta a una solicitud de acceso a la información;</w:t>
      </w:r>
    </w:p>
    <w:p w14:paraId="24C4087D"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VIII</w:t>
      </w:r>
      <w:r w:rsidRPr="00014C16">
        <w:rPr>
          <w:rFonts w:ascii="Palatino Linotype" w:eastAsia="Palatino Linotype" w:hAnsi="Palatino Linotype" w:cs="Palatino Linotype"/>
          <w:i/>
          <w:sz w:val="22"/>
          <w:szCs w:val="22"/>
        </w:rPr>
        <w:t>. La notificación, entrega o puesta a disposición de información en una modalidad o formato distinto al solicitado;</w:t>
      </w:r>
    </w:p>
    <w:p w14:paraId="0F86632D"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IX.</w:t>
      </w:r>
      <w:r w:rsidRPr="00014C16">
        <w:rPr>
          <w:rFonts w:ascii="Palatino Linotype" w:eastAsia="Palatino Linotype" w:hAnsi="Palatino Linotype" w:cs="Palatino Linotype"/>
          <w:i/>
          <w:sz w:val="22"/>
          <w:szCs w:val="22"/>
        </w:rPr>
        <w:t xml:space="preserve"> La entrega o puesta a disposición de información en un formato incomprensible y/o no accesible para el solicitante;</w:t>
      </w:r>
    </w:p>
    <w:p w14:paraId="31977EEE"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w:t>
      </w:r>
      <w:r w:rsidRPr="00014C16">
        <w:rPr>
          <w:rFonts w:ascii="Palatino Linotype" w:eastAsia="Palatino Linotype" w:hAnsi="Palatino Linotype" w:cs="Palatino Linotype"/>
          <w:i/>
          <w:sz w:val="22"/>
          <w:szCs w:val="22"/>
        </w:rPr>
        <w:t xml:space="preserve"> Los costos o tiempos de entrega de la información;</w:t>
      </w:r>
    </w:p>
    <w:p w14:paraId="1BED322D"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XI.</w:t>
      </w:r>
      <w:r w:rsidRPr="00014C16">
        <w:rPr>
          <w:rFonts w:ascii="Palatino Linotype" w:eastAsia="Palatino Linotype" w:hAnsi="Palatino Linotype" w:cs="Palatino Linotype"/>
          <w:i/>
          <w:sz w:val="22"/>
          <w:szCs w:val="22"/>
        </w:rPr>
        <w:t xml:space="preserve"> La falta de trámite a una solicitud;</w:t>
      </w:r>
    </w:p>
    <w:p w14:paraId="75AAA749"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XII.</w:t>
      </w:r>
      <w:r w:rsidRPr="00014C16">
        <w:rPr>
          <w:rFonts w:ascii="Palatino Linotype" w:eastAsia="Palatino Linotype" w:hAnsi="Palatino Linotype" w:cs="Palatino Linotype"/>
          <w:i/>
          <w:sz w:val="22"/>
          <w:szCs w:val="22"/>
        </w:rPr>
        <w:t xml:space="preserve"> La negativa a permitir la consulta directa de la información;</w:t>
      </w:r>
    </w:p>
    <w:p w14:paraId="2EE08B8A"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XIII.</w:t>
      </w:r>
      <w:r w:rsidRPr="00014C16">
        <w:rPr>
          <w:rFonts w:ascii="Palatino Linotype" w:eastAsia="Palatino Linotype" w:hAnsi="Palatino Linotype" w:cs="Palatino Linotype"/>
          <w:i/>
          <w:sz w:val="22"/>
          <w:szCs w:val="22"/>
        </w:rPr>
        <w:t xml:space="preserve"> La falta, deficiencia o insuficiencia de la fundamentación y/o motivación en la respuesta; y</w:t>
      </w:r>
    </w:p>
    <w:p w14:paraId="7755F5E3" w14:textId="77777777" w:rsidR="00F9420D" w:rsidRPr="00014C16" w:rsidRDefault="00F9420D" w:rsidP="00F9420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XIV</w:t>
      </w:r>
      <w:r w:rsidRPr="00014C16">
        <w:rPr>
          <w:rFonts w:ascii="Palatino Linotype" w:eastAsia="Palatino Linotype" w:hAnsi="Palatino Linotype" w:cs="Palatino Linotype"/>
          <w:i/>
          <w:sz w:val="22"/>
          <w:szCs w:val="22"/>
        </w:rPr>
        <w:t>. La orientación a un trámite específico.</w:t>
      </w:r>
    </w:p>
    <w:p w14:paraId="37C6ED9E" w14:textId="77777777" w:rsidR="00F9420D" w:rsidRPr="00014C16" w:rsidRDefault="00F9420D" w:rsidP="00F9420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lastRenderedPageBreak/>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3305342B" w14:textId="77777777" w:rsidR="009242DF" w:rsidRPr="00014C16" w:rsidRDefault="00F9420D" w:rsidP="00F9420D">
      <w:pPr>
        <w:tabs>
          <w:tab w:val="left" w:pos="1418"/>
        </w:tabs>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De tal suerte que como se puede vislumbrar, la expresión </w:t>
      </w:r>
      <w:r w:rsidRPr="00014C16">
        <w:rPr>
          <w:rFonts w:ascii="Palatino Linotype" w:eastAsia="Palatino Linotype" w:hAnsi="Palatino Linotype" w:cs="Palatino Linotype"/>
          <w:b/>
          <w:i/>
          <w:u w:val="single"/>
        </w:rPr>
        <w:t xml:space="preserve">“Remiten documentos Ad hoc, toda vez, que los documentos remitidos no cumplen con las formalidades que contempla la ley respecto a las características que debe contener un nombramiento, por lo tanto solicito el acuerdo de inexistencia en vista de que solo tienen documentos </w:t>
      </w:r>
      <w:proofErr w:type="spellStart"/>
      <w:r w:rsidRPr="00014C16">
        <w:rPr>
          <w:rFonts w:ascii="Palatino Linotype" w:eastAsia="Palatino Linotype" w:hAnsi="Palatino Linotype" w:cs="Palatino Linotype"/>
          <w:b/>
          <w:i/>
          <w:u w:val="single"/>
        </w:rPr>
        <w:t>adhoc</w:t>
      </w:r>
      <w:proofErr w:type="spellEnd"/>
      <w:r w:rsidRPr="00014C16">
        <w:rPr>
          <w:rFonts w:ascii="Palatino Linotype" w:eastAsia="Palatino Linotype" w:hAnsi="Palatino Linotype" w:cs="Palatino Linotype"/>
          <w:i/>
        </w:rPr>
        <w:t xml:space="preserve"> (sic) </w:t>
      </w:r>
      <w:r w:rsidRPr="00014C16">
        <w:rPr>
          <w:rFonts w:ascii="Palatino Linotype" w:eastAsia="Palatino Linotype" w:hAnsi="Palatino Linotype" w:cs="Palatino Linotype"/>
        </w:rPr>
        <w:t>no actualiza alguno de los supuestos que la norma jurídica contempla para la procedencia del recurso de revisión</w:t>
      </w:r>
      <w:r w:rsidR="009242DF" w:rsidRPr="00014C16">
        <w:rPr>
          <w:rFonts w:ascii="Palatino Linotype" w:eastAsia="Palatino Linotype" w:hAnsi="Palatino Linotype" w:cs="Palatino Linotype"/>
        </w:rPr>
        <w:t>.</w:t>
      </w:r>
    </w:p>
    <w:p w14:paraId="4BE822DB" w14:textId="67B46581" w:rsidR="001450E1" w:rsidRPr="00014C16" w:rsidRDefault="009242DF" w:rsidP="001450E1">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N</w:t>
      </w:r>
      <w:r w:rsidR="00F9420D" w:rsidRPr="00014C16">
        <w:rPr>
          <w:rFonts w:ascii="Palatino Linotype" w:eastAsia="Palatino Linotype" w:hAnsi="Palatino Linotype" w:cs="Palatino Linotype"/>
        </w:rPr>
        <w:t>o obstante, si bien es cierto que ya se señaló que el medio de impugnación que nos ocupa no es procedente, no menos cierto es que en aras de tutelar el derecho a la protección de datos personales, este Organismo Garante procedió a la revisión de los documentos remitidos en respuesta, a</w:t>
      </w:r>
      <w:r w:rsidR="002C7867" w:rsidRPr="00014C16">
        <w:rPr>
          <w:rFonts w:ascii="Palatino Linotype" w:eastAsia="Palatino Linotype" w:hAnsi="Palatino Linotype" w:cs="Palatino Linotype"/>
        </w:rPr>
        <w:t>dvirtiendo que la Dirección de A</w:t>
      </w:r>
      <w:r w:rsidR="00F9420D" w:rsidRPr="00014C16">
        <w:rPr>
          <w:rFonts w:ascii="Palatino Linotype" w:eastAsia="Palatino Linotype" w:hAnsi="Palatino Linotype" w:cs="Palatino Linotype"/>
        </w:rPr>
        <w:t xml:space="preserve">dministración, en el ámbito de sus competencias, remitió los nombramientos de los </w:t>
      </w:r>
      <w:r w:rsidRPr="00014C16">
        <w:rPr>
          <w:rFonts w:ascii="Palatino Linotype" w:eastAsia="Palatino Linotype" w:hAnsi="Palatino Linotype" w:cs="Palatino Linotype"/>
        </w:rPr>
        <w:t xml:space="preserve">titulares de las unidades administrativas que integran la administración pública 2025-2027, los cuales se encuentran firmados por el Presidente Municipal y la Secretaria del Ayuntamiento, en el caso de </w:t>
      </w:r>
      <w:r w:rsidR="001450E1" w:rsidRPr="00014C16">
        <w:rPr>
          <w:rFonts w:ascii="Palatino Linotype" w:eastAsia="Palatino Linotype" w:hAnsi="Palatino Linotype" w:cs="Palatino Linotype"/>
        </w:rPr>
        <w:t>mandos superiores; y por el Director de Administración en el caso de mandos medios, como se ilustra a continuación para mejor referencia:</w:t>
      </w:r>
    </w:p>
    <w:p w14:paraId="2DFF2E4D" w14:textId="297741B0" w:rsidR="00F9420D" w:rsidRPr="00014C16" w:rsidRDefault="001450E1" w:rsidP="001450E1">
      <w:pPr>
        <w:spacing w:before="240" w:after="240" w:line="360" w:lineRule="auto"/>
        <w:ind w:right="49"/>
        <w:jc w:val="center"/>
        <w:rPr>
          <w:rFonts w:ascii="Palatino Linotype" w:eastAsia="Palatino Linotype" w:hAnsi="Palatino Linotype" w:cs="Palatino Linotype"/>
        </w:rPr>
      </w:pPr>
      <w:r w:rsidRPr="00014C16">
        <w:rPr>
          <w:rFonts w:ascii="Palatino Linotype" w:eastAsia="Palatino Linotype" w:hAnsi="Palatino Linotype" w:cs="Palatino Linotype"/>
          <w:noProof/>
        </w:rPr>
        <w:lastRenderedPageBreak/>
        <w:drawing>
          <wp:inline distT="0" distB="0" distL="0" distR="0" wp14:anchorId="13376638" wp14:editId="7B5A4285">
            <wp:extent cx="4860000" cy="652686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0000" cy="6526860"/>
                    </a:xfrm>
                    <a:prstGeom prst="rect">
                      <a:avLst/>
                    </a:prstGeom>
                  </pic:spPr>
                </pic:pic>
              </a:graphicData>
            </a:graphic>
          </wp:inline>
        </w:drawing>
      </w:r>
    </w:p>
    <w:p w14:paraId="1CA09949" w14:textId="7EFF7C1D" w:rsidR="001450E1" w:rsidRPr="00014C16" w:rsidRDefault="001450E1" w:rsidP="001450E1">
      <w:pPr>
        <w:spacing w:before="240" w:after="240" w:line="360" w:lineRule="auto"/>
        <w:ind w:right="49"/>
        <w:jc w:val="center"/>
        <w:rPr>
          <w:rFonts w:ascii="Palatino Linotype" w:eastAsia="Palatino Linotype" w:hAnsi="Palatino Linotype" w:cs="Palatino Linotype"/>
        </w:rPr>
      </w:pPr>
      <w:r w:rsidRPr="00014C16">
        <w:rPr>
          <w:rFonts w:ascii="Palatino Linotype" w:eastAsia="Palatino Linotype" w:hAnsi="Palatino Linotype" w:cs="Palatino Linotype"/>
          <w:noProof/>
        </w:rPr>
        <w:lastRenderedPageBreak/>
        <w:drawing>
          <wp:inline distT="0" distB="0" distL="0" distR="0" wp14:anchorId="2A4973F3" wp14:editId="3D74789D">
            <wp:extent cx="4860000" cy="66890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0000" cy="6689032"/>
                    </a:xfrm>
                    <a:prstGeom prst="rect">
                      <a:avLst/>
                    </a:prstGeom>
                  </pic:spPr>
                </pic:pic>
              </a:graphicData>
            </a:graphic>
          </wp:inline>
        </w:drawing>
      </w:r>
    </w:p>
    <w:p w14:paraId="2390ADC2" w14:textId="77DD6437" w:rsidR="00DB162D" w:rsidRPr="00014C16" w:rsidRDefault="00DB162D" w:rsidP="00DB162D">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lastRenderedPageBreak/>
        <w:t>Bajo esta línea de pensamiento, es oportuno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066B164"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b/>
          <w:i/>
          <w:sz w:val="22"/>
          <w:szCs w:val="22"/>
        </w:rPr>
        <w:t>Artículo 4</w:t>
      </w:r>
      <w:r w:rsidRPr="00014C1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AFE87F"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14C1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D773F8F"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14C16">
        <w:rPr>
          <w:rFonts w:ascii="Palatino Linotype" w:eastAsia="Palatino Linotype" w:hAnsi="Palatino Linotype" w:cs="Palatino Linotype"/>
          <w:i/>
          <w:sz w:val="22"/>
          <w:szCs w:val="22"/>
        </w:rPr>
        <w:t>.”</w:t>
      </w:r>
    </w:p>
    <w:p w14:paraId="22CE16B6" w14:textId="77777777" w:rsidR="00DB162D" w:rsidRPr="00014C16" w:rsidRDefault="00DB162D" w:rsidP="00DB162D">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w:t>
      </w:r>
      <w:r w:rsidRPr="00014C16">
        <w:rPr>
          <w:rFonts w:ascii="Palatino Linotype" w:eastAsia="Palatino Linotype" w:hAnsi="Palatino Linotype" w:cs="Palatino Linotype"/>
        </w:rPr>
        <w:lastRenderedPageBreak/>
        <w:t>al interés del solicitante; como así lo establece el artículo 12 de la Ley de Transparencia y Acceso a la Información Pública del Estado de México y Municipios, que a la letra dice:</w:t>
      </w:r>
    </w:p>
    <w:p w14:paraId="5749FBB6"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“Artículo 12.-</w:t>
      </w:r>
      <w:r w:rsidRPr="00014C1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C4A6CC7"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14C16">
        <w:rPr>
          <w:rFonts w:ascii="Palatino Linotype" w:eastAsia="Palatino Linotype" w:hAnsi="Palatino Linotype" w:cs="Palatino Linotype"/>
          <w:i/>
          <w:sz w:val="22"/>
          <w:szCs w:val="22"/>
        </w:rPr>
        <w:t xml:space="preserve">. </w:t>
      </w:r>
      <w:r w:rsidRPr="00014C1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E3BEB34" w14:textId="5D8391BE" w:rsidR="00DB162D" w:rsidRPr="00014C16" w:rsidRDefault="00DB162D" w:rsidP="00DB162D">
      <w:pPr>
        <w:spacing w:before="240" w:after="240" w:line="360" w:lineRule="auto"/>
        <w:ind w:right="-93"/>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w:t>
      </w:r>
      <w:r w:rsidRPr="00014C16">
        <w:rPr>
          <w:rFonts w:ascii="Palatino Linotype" w:eastAsia="Palatino Linotype" w:hAnsi="Palatino Linotype" w:cs="Palatino Linotype"/>
          <w:b/>
          <w:u w:val="single"/>
        </w:rPr>
        <w:t>los Sujetos Obligados sólo se concretaran a proporcionar la información solicitada que tengan en su poder en el estado que se encuentran</w:t>
      </w:r>
      <w:r w:rsidRPr="00014C16">
        <w:rPr>
          <w:rFonts w:ascii="Palatino Linotype" w:eastAsia="Palatino Linotype" w:hAnsi="Palatino Linotype" w:cs="Palatino Linotype"/>
        </w:rPr>
        <w:t>, sin necesidad de concretarse al interés o términos específicos del solicitante.</w:t>
      </w:r>
    </w:p>
    <w:p w14:paraId="3BBB0CB9" w14:textId="77777777" w:rsidR="00DB162D" w:rsidRPr="00014C16" w:rsidRDefault="00DB162D" w:rsidP="00DB162D">
      <w:pPr>
        <w:spacing w:before="240" w:after="240" w:line="360" w:lineRule="auto"/>
        <w:jc w:val="both"/>
        <w:rPr>
          <w:rFonts w:ascii="Palatino Linotype" w:eastAsia="Palatino Linotype" w:hAnsi="Palatino Linotype" w:cs="Palatino Linotype"/>
          <w:b/>
        </w:rPr>
      </w:pPr>
      <w:r w:rsidRPr="00014C16">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014C16">
        <w:rPr>
          <w:rFonts w:ascii="Palatino Linotype" w:eastAsia="Palatino Linotype" w:hAnsi="Palatino Linotype" w:cs="Palatino Linotype"/>
          <w:b/>
        </w:rPr>
        <w:t xml:space="preserve"> </w:t>
      </w:r>
    </w:p>
    <w:p w14:paraId="11E3DF17" w14:textId="77777777" w:rsidR="00DB162D" w:rsidRPr="00014C16" w:rsidRDefault="00DB162D" w:rsidP="00DB162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b/>
          <w:i/>
          <w:sz w:val="22"/>
          <w:szCs w:val="22"/>
        </w:rPr>
        <w:t>No existe obligación de elaborar documentos ad hoc para atender las solicitudes de acceso a la información.</w:t>
      </w:r>
      <w:r w:rsidRPr="00014C1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w:t>
      </w:r>
      <w:r w:rsidRPr="00014C16">
        <w:rPr>
          <w:rFonts w:ascii="Palatino Linotype" w:eastAsia="Palatino Linotype" w:hAnsi="Palatino Linotype" w:cs="Palatino Linotype"/>
          <w:i/>
          <w:sz w:val="22"/>
          <w:szCs w:val="22"/>
        </w:rPr>
        <w:lastRenderedPageBreak/>
        <w:t>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DF22C93" w14:textId="77777777" w:rsidR="00DB162D" w:rsidRPr="00014C16" w:rsidRDefault="00DB162D" w:rsidP="00DB162D">
      <w:pPr>
        <w:spacing w:before="120" w:after="12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En esa tesitura, el artículo 24 en su último párrafo de la Ley de la Materia, dispone que </w:t>
      </w:r>
      <w:r w:rsidRPr="00014C16">
        <w:rPr>
          <w:rFonts w:ascii="Palatino Linotype" w:eastAsia="Palatino Linotype" w:hAnsi="Palatino Linotype" w:cs="Palatino Linotype"/>
          <w:b/>
          <w:u w:val="single"/>
        </w:rPr>
        <w:t>los Sujetos Obligados sólo proporcionarán la información pública que generen, administren o posean en el ejercicio de sus atribuciones</w:t>
      </w:r>
      <w:r w:rsidRPr="00014C16">
        <w:rPr>
          <w:rFonts w:ascii="Palatino Linotype" w:eastAsia="Palatino Linotype" w:hAnsi="Palatino Linotype" w:cs="Palatino Linotype"/>
        </w:rPr>
        <w:t>; por consiguiente, la información pública se encuentra a disposición de cualquier persona, lo que implica que es deber de los Sujetos Obligados, garantizar el Derecho de Acceso a la Información Pública.</w:t>
      </w:r>
    </w:p>
    <w:p w14:paraId="7EA4FE95" w14:textId="77777777" w:rsidR="00DB162D" w:rsidRPr="00014C16" w:rsidRDefault="00DB162D" w:rsidP="00DB162D">
      <w:pPr>
        <w:spacing w:before="120" w:after="12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C78BA6"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r w:rsidRPr="00014C16">
        <w:rPr>
          <w:rFonts w:ascii="Palatino Linotype" w:eastAsia="Palatino Linotype" w:hAnsi="Palatino Linotype" w:cs="Palatino Linotype"/>
          <w:b/>
          <w:i/>
          <w:sz w:val="22"/>
          <w:szCs w:val="22"/>
        </w:rPr>
        <w:t xml:space="preserve">Artículo 3. </w:t>
      </w:r>
      <w:r w:rsidRPr="00014C16">
        <w:rPr>
          <w:rFonts w:ascii="Palatino Linotype" w:eastAsia="Palatino Linotype" w:hAnsi="Palatino Linotype" w:cs="Palatino Linotype"/>
          <w:i/>
          <w:sz w:val="22"/>
          <w:szCs w:val="22"/>
        </w:rPr>
        <w:t>Para los efectos de la presente Ley se entenderá por:</w:t>
      </w:r>
    </w:p>
    <w:p w14:paraId="744519F8" w14:textId="77777777" w:rsidR="00DB162D" w:rsidRPr="00014C16" w:rsidRDefault="00DB162D" w:rsidP="00DB162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w:t>
      </w:r>
    </w:p>
    <w:p w14:paraId="1A0247EA" w14:textId="77777777" w:rsidR="00DB162D" w:rsidRPr="00014C16" w:rsidRDefault="00DB162D" w:rsidP="00DB162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XI. Documento:</w:t>
      </w:r>
      <w:r w:rsidRPr="00014C16">
        <w:rPr>
          <w:rFonts w:ascii="Palatino Linotype" w:eastAsia="Palatino Linotype" w:hAnsi="Palatino Linotype" w:cs="Palatino Linotype"/>
          <w:i/>
          <w:sz w:val="22"/>
          <w:szCs w:val="22"/>
        </w:rPr>
        <w:t xml:space="preserve"> Los expedientes, reportes, estudios, actas</w:t>
      </w:r>
      <w:r w:rsidRPr="00014C16">
        <w:rPr>
          <w:rFonts w:ascii="Palatino Linotype" w:eastAsia="Palatino Linotype" w:hAnsi="Palatino Linotype" w:cs="Palatino Linotype"/>
          <w:b/>
          <w:i/>
          <w:sz w:val="22"/>
          <w:szCs w:val="22"/>
        </w:rPr>
        <w:t>,</w:t>
      </w:r>
      <w:r w:rsidRPr="00014C1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014C16">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48DA98F" w14:textId="77777777" w:rsidR="00DB162D" w:rsidRPr="00014C16" w:rsidRDefault="00DB162D" w:rsidP="00DB162D">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AEACB7"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sz w:val="22"/>
          <w:szCs w:val="22"/>
        </w:rPr>
        <w:t>“</w:t>
      </w:r>
      <w:r w:rsidRPr="00014C1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14C1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24B32F" w14:textId="77777777" w:rsidR="00DB162D" w:rsidRPr="00014C16" w:rsidRDefault="00DB162D" w:rsidP="00DB162D">
      <w:pPr>
        <w:spacing w:before="120" w:after="120"/>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3FAEF95" w14:textId="77777777" w:rsidR="00DB162D" w:rsidRPr="00014C16" w:rsidRDefault="00DB162D" w:rsidP="00DB162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EFA2E50" w14:textId="77777777" w:rsidR="00DB162D" w:rsidRPr="00014C16" w:rsidRDefault="00DB162D" w:rsidP="00DB162D">
      <w:pPr>
        <w:spacing w:before="120" w:after="120"/>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00635945" w14:textId="3ECF973E" w:rsidR="002B1D55" w:rsidRPr="00014C16" w:rsidRDefault="00DB162D" w:rsidP="00DB162D">
      <w:pPr>
        <w:spacing w:before="120" w:after="120"/>
        <w:ind w:left="1134" w:right="902"/>
        <w:jc w:val="both"/>
        <w:rPr>
          <w:rFonts w:ascii="Palatino Linotype" w:eastAsia="Palatino Linotype" w:hAnsi="Palatino Linotype" w:cs="Palatino Linotype"/>
        </w:rPr>
      </w:pPr>
      <w:r w:rsidRPr="00014C16">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3F83F95D" w14:textId="0EA6E51A" w:rsidR="00B156EB" w:rsidRPr="00014C16" w:rsidRDefault="00DB162D" w:rsidP="00B156EB">
      <w:pPr>
        <w:spacing w:before="280" w:after="280" w:line="360" w:lineRule="auto"/>
        <w:jc w:val="both"/>
        <w:rPr>
          <w:rFonts w:ascii="Palatino Linotype" w:hAnsi="Palatino Linotype"/>
        </w:rPr>
      </w:pPr>
      <w:r w:rsidRPr="00014C16">
        <w:rPr>
          <w:rFonts w:ascii="Palatino Linotype" w:eastAsia="Palatino Linotype" w:hAnsi="Palatino Linotype" w:cs="Palatino Linotype"/>
        </w:rPr>
        <w:t>En el presente asunto, el servidor público habilitado de la</w:t>
      </w:r>
      <w:r w:rsidRPr="00014C16">
        <w:rPr>
          <w:rFonts w:ascii="Palatino Linotype" w:eastAsia="Palatino Linotype" w:hAnsi="Palatino Linotype" w:cs="Palatino Linotype"/>
          <w:b/>
        </w:rPr>
        <w:t xml:space="preserve"> Dirección de Administración</w:t>
      </w:r>
      <w:r w:rsidR="002C7867" w:rsidRPr="00014C16">
        <w:rPr>
          <w:rFonts w:ascii="Palatino Linotype" w:eastAsia="Palatino Linotype" w:hAnsi="Palatino Linotype" w:cs="Palatino Linotype"/>
          <w:b/>
        </w:rPr>
        <w:t>,</w:t>
      </w:r>
      <w:r w:rsidRPr="00014C16">
        <w:rPr>
          <w:rFonts w:ascii="Palatino Linotype" w:eastAsia="Palatino Linotype" w:hAnsi="Palatino Linotype" w:cs="Palatino Linotype"/>
        </w:rPr>
        <w:t xml:space="preserve"> quien de conformidad con el</w:t>
      </w:r>
      <w:r w:rsidR="0097473B" w:rsidRPr="00014C16">
        <w:rPr>
          <w:rFonts w:ascii="Palatino Linotype" w:eastAsia="Palatino Linotype" w:hAnsi="Palatino Linotype" w:cs="Palatino Linotype"/>
        </w:rPr>
        <w:t xml:space="preserve"> artículo 49 del</w:t>
      </w:r>
      <w:r w:rsidRPr="00014C16">
        <w:rPr>
          <w:rFonts w:ascii="Palatino Linotype" w:eastAsia="Palatino Linotype" w:hAnsi="Palatino Linotype" w:cs="Palatino Linotype"/>
        </w:rPr>
        <w:t xml:space="preserve"> Reglamento de </w:t>
      </w:r>
      <w:r w:rsidRPr="00014C16">
        <w:rPr>
          <w:rFonts w:ascii="Palatino Linotype" w:eastAsia="Palatino Linotype" w:hAnsi="Palatino Linotype" w:cs="Palatino Linotype"/>
        </w:rPr>
        <w:lastRenderedPageBreak/>
        <w:t xml:space="preserve">Organización Interna de la Administración Pública del Municipio de Cuautitlán Izcalli, </w:t>
      </w:r>
      <w:r w:rsidR="0097473B" w:rsidRPr="00014C16">
        <w:rPr>
          <w:rFonts w:ascii="Palatino Linotype" w:eastAsia="Palatino Linotype" w:hAnsi="Palatino Linotype" w:cs="Palatino Linotype"/>
          <w:b/>
          <w:u w:val="single"/>
        </w:rPr>
        <w:t xml:space="preserve">es responsable de integrar los expedientes de los servidores públicos adscritos al Sujeto Obligado, así como de  </w:t>
      </w:r>
      <w:r w:rsidR="0097473B" w:rsidRPr="00014C16">
        <w:rPr>
          <w:rFonts w:ascii="Palatino Linotype" w:hAnsi="Palatino Linotype"/>
          <w:b/>
          <w:u w:val="single"/>
        </w:rPr>
        <w:t>expedir y firmar los nombramientos de las personas servidoras públicas que no sean competencia del Ayuntamiento como cuerpo colegiado</w:t>
      </w:r>
      <w:r w:rsidR="0097473B" w:rsidRPr="00014C16">
        <w:rPr>
          <w:rFonts w:ascii="Palatino Linotype" w:hAnsi="Palatino Linotype"/>
        </w:rPr>
        <w:t>, hizo entrega de los do</w:t>
      </w:r>
      <w:r w:rsidR="002923DB" w:rsidRPr="00014C16">
        <w:rPr>
          <w:rFonts w:ascii="Palatino Linotype" w:hAnsi="Palatino Linotype"/>
        </w:rPr>
        <w:t>cumentos mediante los cuales se designaron a los tit</w:t>
      </w:r>
      <w:r w:rsidR="00EE1B10" w:rsidRPr="00014C16">
        <w:rPr>
          <w:rFonts w:ascii="Palatino Linotype" w:hAnsi="Palatino Linotype"/>
        </w:rPr>
        <w:t xml:space="preserve">ulares de las diversas unidades administrativas que integran la estructura orgánica del </w:t>
      </w:r>
      <w:r w:rsidR="00EE1B10" w:rsidRPr="00014C16">
        <w:rPr>
          <w:rFonts w:ascii="Palatino Linotype" w:hAnsi="Palatino Linotype"/>
          <w:b/>
        </w:rPr>
        <w:t>Sujeto Obligado</w:t>
      </w:r>
      <w:r w:rsidR="007376B0" w:rsidRPr="00014C16">
        <w:rPr>
          <w:rFonts w:ascii="Palatino Linotype" w:hAnsi="Palatino Linotype"/>
          <w:b/>
        </w:rPr>
        <w:t xml:space="preserve">, </w:t>
      </w:r>
      <w:r w:rsidR="00675A1D" w:rsidRPr="00014C16">
        <w:rPr>
          <w:rFonts w:ascii="Palatino Linotype" w:hAnsi="Palatino Linotype"/>
          <w:b/>
          <w:u w:val="single"/>
        </w:rPr>
        <w:t>tal y como fueron generados, y como obran en sus archivos</w:t>
      </w:r>
      <w:r w:rsidR="00251073" w:rsidRPr="00014C16">
        <w:rPr>
          <w:rFonts w:ascii="Palatino Linotype" w:hAnsi="Palatino Linotype"/>
          <w:b/>
          <w:u w:val="single"/>
        </w:rPr>
        <w:t>,</w:t>
      </w:r>
      <w:r w:rsidR="00675A1D" w:rsidRPr="00014C16">
        <w:rPr>
          <w:rFonts w:ascii="Palatino Linotype" w:hAnsi="Palatino Linotype"/>
        </w:rPr>
        <w:t xml:space="preserve"> derivado de la búsqueda exhaustiva y ra</w:t>
      </w:r>
      <w:r w:rsidR="00B156EB" w:rsidRPr="00014C16">
        <w:rPr>
          <w:rFonts w:ascii="Palatino Linotype" w:hAnsi="Palatino Linotype"/>
        </w:rPr>
        <w:t>zonable efectuada en los mismos,</w:t>
      </w:r>
      <w:r w:rsidR="00675A1D" w:rsidRPr="00014C16">
        <w:rPr>
          <w:rFonts w:ascii="Palatino Linotype" w:hAnsi="Palatino Linotype"/>
        </w:rPr>
        <w:t xml:space="preserve"> situación que cumple con lo establecido en el artículo 12 de la  Ley de Transparencia y Acceso a la Información Pública del Estado de México y</w:t>
      </w:r>
      <w:r w:rsidR="00B156EB" w:rsidRPr="00014C16">
        <w:rPr>
          <w:rFonts w:ascii="Palatino Linotype" w:hAnsi="Palatino Linotype"/>
        </w:rPr>
        <w:t xml:space="preserve"> Municipios, previamente citado, </w:t>
      </w:r>
      <w:r w:rsidR="00B156EB" w:rsidRPr="00014C16">
        <w:rPr>
          <w:rFonts w:ascii="Palatino Linotype" w:eastAsia="Palatino Linotype" w:hAnsi="Palatino Linotype" w:cs="Palatino Linotype"/>
        </w:rPr>
        <w:t>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00B156EB" w:rsidRPr="00014C16">
        <w:rPr>
          <w:rFonts w:ascii="Palatino Linotype" w:eastAsia="Palatino Linotype" w:hAnsi="Palatino Linotype" w:cs="Palatino Linotype"/>
          <w:i/>
        </w:rPr>
        <w:t xml:space="preserve"> contrario sensu</w:t>
      </w:r>
      <w:r w:rsidR="00B156EB" w:rsidRPr="00014C16">
        <w:rPr>
          <w:rFonts w:ascii="Palatino Linotype" w:eastAsia="Palatino Linotype" w:hAnsi="Palatino Linotype" w:cs="Palatino Linotype"/>
        </w:rPr>
        <w:t xml:space="preserve"> significa que no se está obligado a proporcionar lo que no obre en sus archivos.</w:t>
      </w:r>
    </w:p>
    <w:p w14:paraId="7978BC09" w14:textId="27A5E0BF" w:rsidR="00B156EB" w:rsidRPr="00014C16" w:rsidRDefault="00B156EB" w:rsidP="00B156EB">
      <w:pPr>
        <w:spacing w:before="240" w:after="360" w:line="360" w:lineRule="auto"/>
        <w:ind w:right="18"/>
        <w:jc w:val="both"/>
        <w:rPr>
          <w:rFonts w:ascii="Palatino Linotype" w:eastAsia="Palatino Linotype" w:hAnsi="Palatino Linotype" w:cs="Palatino Linotype"/>
        </w:rPr>
      </w:pPr>
      <w:r w:rsidRPr="00014C16">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12897CC3" w14:textId="45024B49" w:rsidR="00B156EB" w:rsidRPr="00014C16" w:rsidRDefault="00B156EB" w:rsidP="00B156EB">
      <w:pPr>
        <w:spacing w:before="280" w:after="280" w:line="360" w:lineRule="auto"/>
        <w:jc w:val="both"/>
        <w:rPr>
          <w:rFonts w:ascii="Palatino Linotype" w:hAnsi="Palatino Linotype"/>
        </w:rPr>
      </w:pPr>
    </w:p>
    <w:p w14:paraId="59346BD8" w14:textId="54B30ACC" w:rsidR="00D5289A" w:rsidRPr="00014C16" w:rsidRDefault="00D5289A" w:rsidP="00D5289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lastRenderedPageBreak/>
        <w:t xml:space="preserve">Aunado a lo anterior, no debe perderse de vista que de conformidad con lo establecido en el artículo 166, primer párrafo de la Ley de Transparencia y Acceso a la Información Pública del Estado de México y Municipios, </w:t>
      </w:r>
      <w:r w:rsidRPr="00014C16">
        <w:rPr>
          <w:rFonts w:ascii="Palatino Linotype" w:eastAsia="Palatino Linotype" w:hAnsi="Palatino Linotype" w:cs="Palatino Linotype"/>
          <w:b/>
          <w:u w:val="single"/>
        </w:rPr>
        <w:t>la obligación de acceso a la información pública se tendrá por cumplida cuando el solicitante tenga a su disposición la información requerida</w:t>
      </w:r>
      <w:r w:rsidRPr="00014C16">
        <w:rPr>
          <w:rFonts w:ascii="Palatino Linotype" w:eastAsia="Palatino Linotype" w:hAnsi="Palatino Linotype" w:cs="Palatino Linotype"/>
        </w:rPr>
        <w:t>, o cuando realice la consulta de la misma en el lugar en el que ésta se localice, situación que acontece en el presente caso, ya que fueron entregados los nombramientos de los servidores públicos que se encuentran en sus archivos.</w:t>
      </w:r>
    </w:p>
    <w:p w14:paraId="79C94DAB" w14:textId="7FDDD473" w:rsidR="00D52D49" w:rsidRPr="00014C16" w:rsidRDefault="00D52D49" w:rsidP="00D52D4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Por otro lado, respecto a las formalidades que dichos documentos deben cumplir o las características que deben contener de conformidad con la normativa aplicable en la materia, es de resaltar que este Instituto de Transparencia no está facultado para pronunciarse, toda vez que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w:t>
      </w:r>
      <w:r w:rsidRPr="00014C16">
        <w:rPr>
          <w:rFonts w:ascii="Palatino Linotype" w:eastAsia="Palatino Linotype" w:hAnsi="Palatino Linotype" w:cs="Palatino Linotype"/>
        </w:rPr>
        <w:lastRenderedPageBreak/>
        <w:t>solicitud, no se permita la consulta directa de la solicitud, se fundamente o motive deficientemente, y/o cuando se oriente a un trámite en específico; todo en ejercicio del derecho de acceso a la información pública, no así cuando se trate de valorar el cumplimiento o incumplimiento de las formalidades o características que deben contener determinados documentos a la luz de determinada norma, como pretende hacer valer la persona solicitante a t</w:t>
      </w:r>
      <w:r w:rsidR="007C66D2" w:rsidRPr="00014C16">
        <w:rPr>
          <w:rFonts w:ascii="Palatino Linotype" w:eastAsia="Palatino Linotype" w:hAnsi="Palatino Linotype" w:cs="Palatino Linotype"/>
        </w:rPr>
        <w:t>ravés de su recurso de revisión</w:t>
      </w:r>
      <w:r w:rsidR="00D5289A" w:rsidRPr="00014C16">
        <w:rPr>
          <w:rFonts w:ascii="Palatino Linotype" w:eastAsia="Palatino Linotype" w:hAnsi="Palatino Linotype" w:cs="Palatino Linotype"/>
        </w:rPr>
        <w:t>.</w:t>
      </w:r>
    </w:p>
    <w:p w14:paraId="456A0E9D" w14:textId="466D27F3" w:rsidR="00D52D49" w:rsidRPr="00014C16" w:rsidRDefault="001F226D" w:rsidP="00D52D4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En ese sentido</w:t>
      </w:r>
      <w:r w:rsidR="00D5289A" w:rsidRPr="00014C16">
        <w:rPr>
          <w:rFonts w:ascii="Palatino Linotype" w:eastAsia="Palatino Linotype" w:hAnsi="Palatino Linotype" w:cs="Palatino Linotype"/>
        </w:rPr>
        <w:t>, se dejan a salvo los derechos de la persona solicitante, para que en caso de considerarlo oportuno</w:t>
      </w:r>
      <w:r w:rsidR="00251073" w:rsidRPr="00014C16">
        <w:rPr>
          <w:rFonts w:ascii="Palatino Linotype" w:eastAsia="Palatino Linotype" w:hAnsi="Palatino Linotype" w:cs="Palatino Linotype"/>
        </w:rPr>
        <w:t xml:space="preserve"> a sus intereses</w:t>
      </w:r>
      <w:r w:rsidR="00D5289A" w:rsidRPr="00014C16">
        <w:rPr>
          <w:rFonts w:ascii="Palatino Linotype" w:eastAsia="Palatino Linotype" w:hAnsi="Palatino Linotype" w:cs="Palatino Linotype"/>
        </w:rPr>
        <w:t xml:space="preserve">, </w:t>
      </w:r>
      <w:r w:rsidRPr="00014C16">
        <w:rPr>
          <w:rFonts w:ascii="Palatino Linotype" w:eastAsia="Palatino Linotype" w:hAnsi="Palatino Linotype" w:cs="Palatino Linotype"/>
        </w:rPr>
        <w:t>presente su queja ante las instancias correspondientes.</w:t>
      </w:r>
      <w:r w:rsidR="00D5289A" w:rsidRPr="00014C16">
        <w:rPr>
          <w:rFonts w:ascii="Palatino Linotype" w:eastAsia="Palatino Linotype" w:hAnsi="Palatino Linotype" w:cs="Palatino Linotype"/>
        </w:rPr>
        <w:t xml:space="preserve"> </w:t>
      </w:r>
    </w:p>
    <w:p w14:paraId="739BF710" w14:textId="441527E0" w:rsidR="00C70F4F" w:rsidRPr="00014C16" w:rsidRDefault="001F226D" w:rsidP="00C70F4F">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Es </w:t>
      </w:r>
      <w:r w:rsidR="00C70F4F" w:rsidRPr="00014C16">
        <w:rPr>
          <w:rFonts w:ascii="Palatino Linotype" w:eastAsia="Palatino Linotype" w:hAnsi="Palatino Linotype" w:cs="Palatino Linotype"/>
        </w:rPr>
        <w:t>por lo anteriormente expuesto que se insiste que</w:t>
      </w:r>
      <w:r w:rsidRPr="00014C16">
        <w:rPr>
          <w:rFonts w:ascii="Palatino Linotype" w:eastAsia="Palatino Linotype" w:hAnsi="Palatino Linotype" w:cs="Palatino Linotype"/>
        </w:rPr>
        <w:t>,</w:t>
      </w:r>
      <w:r w:rsidR="00C70F4F" w:rsidRPr="00014C16">
        <w:rPr>
          <w:rFonts w:ascii="Palatino Linotype" w:eastAsia="Palatino Linotype" w:hAnsi="Palatino Linotype" w:cs="Palatino Linotype"/>
        </w:rPr>
        <w:t xml:space="preserve"> al no actualizar alguna causal de procedencia, resulta aplicable al caso concreto el contenido de los artículos 186, </w:t>
      </w:r>
      <w:r w:rsidRPr="00014C16">
        <w:rPr>
          <w:rFonts w:ascii="Palatino Linotype" w:eastAsia="Palatino Linotype" w:hAnsi="Palatino Linotype" w:cs="Palatino Linotype"/>
        </w:rPr>
        <w:t xml:space="preserve">fracción I, </w:t>
      </w:r>
      <w:r w:rsidR="00C70F4F" w:rsidRPr="00014C16">
        <w:rPr>
          <w:rFonts w:ascii="Palatino Linotype" w:eastAsia="Palatino Linotype" w:hAnsi="Palatino Linotype" w:cs="Palatino Linotype"/>
        </w:rPr>
        <w:t>191,</w:t>
      </w:r>
      <w:r w:rsidRPr="00014C16">
        <w:rPr>
          <w:rFonts w:ascii="Palatino Linotype" w:eastAsia="Palatino Linotype" w:hAnsi="Palatino Linotype" w:cs="Palatino Linotype"/>
        </w:rPr>
        <w:t xml:space="preserve"> fracción III, </w:t>
      </w:r>
      <w:r w:rsidR="00C70F4F" w:rsidRPr="00014C16">
        <w:rPr>
          <w:rFonts w:ascii="Palatino Linotype" w:eastAsia="Palatino Linotype" w:hAnsi="Palatino Linotype" w:cs="Palatino Linotype"/>
        </w:rPr>
        <w:t>y 192,</w:t>
      </w:r>
      <w:r w:rsidRPr="00014C16">
        <w:rPr>
          <w:rFonts w:ascii="Palatino Linotype" w:eastAsia="Palatino Linotype" w:hAnsi="Palatino Linotype" w:cs="Palatino Linotype"/>
        </w:rPr>
        <w:t xml:space="preserve"> fracción IV</w:t>
      </w:r>
      <w:r w:rsidR="00C70F4F" w:rsidRPr="00014C16">
        <w:rPr>
          <w:rFonts w:ascii="Palatino Linotype" w:eastAsia="Palatino Linotype" w:hAnsi="Palatino Linotype" w:cs="Palatino Linotype"/>
        </w:rPr>
        <w:t xml:space="preserve"> de la de la Ley de Transparencia y Acceso a la Información Pública del Estado de México y Municipios, que disponen lo siguiente:</w:t>
      </w:r>
    </w:p>
    <w:p w14:paraId="416208AA" w14:textId="77777777" w:rsidR="00C70F4F" w:rsidRPr="00014C16" w:rsidRDefault="00C70F4F" w:rsidP="002C7867">
      <w:pPr>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 xml:space="preserve">“Artículo 186. </w:t>
      </w:r>
      <w:r w:rsidRPr="00014C16">
        <w:rPr>
          <w:rFonts w:ascii="Palatino Linotype" w:eastAsia="Palatino Linotype" w:hAnsi="Palatino Linotype" w:cs="Palatino Linotype"/>
          <w:i/>
          <w:sz w:val="22"/>
          <w:szCs w:val="22"/>
        </w:rPr>
        <w:t>Las resoluciones del Instituto podrán:</w:t>
      </w:r>
    </w:p>
    <w:p w14:paraId="68F3324E" w14:textId="77777777" w:rsidR="00C70F4F" w:rsidRPr="00014C16" w:rsidRDefault="00C70F4F" w:rsidP="002C7867">
      <w:pPr>
        <w:ind w:left="1134" w:right="902"/>
        <w:jc w:val="both"/>
        <w:rPr>
          <w:rFonts w:ascii="Palatino Linotype" w:eastAsia="Palatino Linotype" w:hAnsi="Palatino Linotype" w:cs="Palatino Linotype"/>
          <w:b/>
          <w:i/>
          <w:sz w:val="22"/>
          <w:szCs w:val="22"/>
        </w:rPr>
      </w:pPr>
      <w:r w:rsidRPr="00014C16">
        <w:rPr>
          <w:rFonts w:ascii="Palatino Linotype" w:eastAsia="Palatino Linotype" w:hAnsi="Palatino Linotype" w:cs="Palatino Linotype"/>
          <w:b/>
          <w:i/>
          <w:sz w:val="22"/>
          <w:szCs w:val="22"/>
        </w:rPr>
        <w:t>I. Desechar o sobreseer el recurso;</w:t>
      </w:r>
    </w:p>
    <w:p w14:paraId="0D9A33DB" w14:textId="77777777" w:rsidR="00C70F4F" w:rsidRPr="00014C16" w:rsidRDefault="00C70F4F" w:rsidP="002C7867">
      <w:pPr>
        <w:ind w:left="851" w:right="902"/>
        <w:jc w:val="both"/>
        <w:rPr>
          <w:rFonts w:ascii="Palatino Linotype" w:eastAsia="Palatino Linotype" w:hAnsi="Palatino Linotype" w:cs="Palatino Linotype"/>
          <w:b/>
          <w:i/>
          <w:sz w:val="22"/>
          <w:szCs w:val="22"/>
        </w:rPr>
      </w:pPr>
      <w:r w:rsidRPr="00014C16">
        <w:rPr>
          <w:rFonts w:ascii="Palatino Linotype" w:eastAsia="Palatino Linotype" w:hAnsi="Palatino Linotype" w:cs="Palatino Linotype"/>
          <w:b/>
          <w:i/>
          <w:sz w:val="22"/>
          <w:szCs w:val="22"/>
        </w:rPr>
        <w:t>...</w:t>
      </w:r>
    </w:p>
    <w:p w14:paraId="6FC4153F" w14:textId="77777777" w:rsidR="00C70F4F" w:rsidRPr="00014C16" w:rsidRDefault="00C70F4F" w:rsidP="002C7867">
      <w:pPr>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 xml:space="preserve">Artículo 191. </w:t>
      </w:r>
      <w:r w:rsidRPr="00014C16">
        <w:rPr>
          <w:rFonts w:ascii="Palatino Linotype" w:eastAsia="Palatino Linotype" w:hAnsi="Palatino Linotype" w:cs="Palatino Linotype"/>
          <w:i/>
          <w:sz w:val="22"/>
          <w:szCs w:val="22"/>
        </w:rPr>
        <w:t>El recurso será desechado por improcedente cuando:</w:t>
      </w:r>
    </w:p>
    <w:p w14:paraId="77308590" w14:textId="4EF38D7F" w:rsidR="00C70F4F" w:rsidRPr="00014C16" w:rsidRDefault="001F226D" w:rsidP="002C7867">
      <w:pPr>
        <w:tabs>
          <w:tab w:val="left" w:pos="1276"/>
        </w:tabs>
        <w:ind w:left="1134"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w:t>
      </w:r>
    </w:p>
    <w:p w14:paraId="1B80E897" w14:textId="77777777" w:rsidR="00C70F4F" w:rsidRPr="00014C16" w:rsidRDefault="00C70F4F" w:rsidP="002C7867">
      <w:pPr>
        <w:tabs>
          <w:tab w:val="left" w:pos="1276"/>
        </w:tabs>
        <w:ind w:left="1134" w:right="902"/>
        <w:jc w:val="both"/>
        <w:rPr>
          <w:rFonts w:ascii="Palatino Linotype" w:eastAsia="Palatino Linotype" w:hAnsi="Palatino Linotype" w:cs="Palatino Linotype"/>
          <w:b/>
          <w:i/>
          <w:sz w:val="22"/>
          <w:szCs w:val="22"/>
        </w:rPr>
      </w:pPr>
      <w:r w:rsidRPr="00014C16">
        <w:rPr>
          <w:rFonts w:ascii="Palatino Linotype" w:eastAsia="Palatino Linotype" w:hAnsi="Palatino Linotype" w:cs="Palatino Linotype"/>
          <w:b/>
          <w:i/>
          <w:sz w:val="22"/>
          <w:szCs w:val="22"/>
        </w:rPr>
        <w:t>III. No actualice alguno de los supuestos previstos en la presente Ley;</w:t>
      </w:r>
    </w:p>
    <w:p w14:paraId="18561760" w14:textId="77777777" w:rsidR="00C70F4F" w:rsidRPr="00014C16" w:rsidRDefault="00C70F4F" w:rsidP="002C7867">
      <w:pPr>
        <w:ind w:left="851" w:right="902"/>
        <w:jc w:val="both"/>
        <w:rPr>
          <w:rFonts w:ascii="Palatino Linotype" w:eastAsia="Palatino Linotype" w:hAnsi="Palatino Linotype" w:cs="Palatino Linotype"/>
          <w:i/>
          <w:sz w:val="22"/>
          <w:szCs w:val="22"/>
        </w:rPr>
      </w:pPr>
      <w:r w:rsidRPr="00014C16">
        <w:rPr>
          <w:rFonts w:ascii="Palatino Linotype" w:eastAsia="Palatino Linotype" w:hAnsi="Palatino Linotype" w:cs="Palatino Linotype"/>
          <w:b/>
          <w:i/>
          <w:sz w:val="22"/>
          <w:szCs w:val="22"/>
        </w:rPr>
        <w:t xml:space="preserve">Artículo 192. </w:t>
      </w:r>
      <w:r w:rsidRPr="00014C16">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0882743" w14:textId="6EE0337A" w:rsidR="001F226D" w:rsidRPr="00014C16" w:rsidRDefault="001F226D" w:rsidP="002C7867">
      <w:pPr>
        <w:ind w:left="1134" w:right="902"/>
        <w:jc w:val="both"/>
        <w:rPr>
          <w:rFonts w:ascii="Palatino Linotype" w:eastAsia="Palatino Linotype" w:hAnsi="Palatino Linotype" w:cs="Palatino Linotype"/>
          <w:b/>
          <w:i/>
          <w:sz w:val="22"/>
          <w:szCs w:val="22"/>
        </w:rPr>
      </w:pPr>
      <w:r w:rsidRPr="00014C16">
        <w:rPr>
          <w:rFonts w:ascii="Palatino Linotype" w:eastAsia="Palatino Linotype" w:hAnsi="Palatino Linotype" w:cs="Palatino Linotype"/>
          <w:b/>
          <w:i/>
          <w:sz w:val="22"/>
          <w:szCs w:val="22"/>
        </w:rPr>
        <w:t>...</w:t>
      </w:r>
    </w:p>
    <w:p w14:paraId="67F6FB3A" w14:textId="37340396" w:rsidR="00C70F4F" w:rsidRPr="00014C16" w:rsidRDefault="00C70F4F" w:rsidP="002C7867">
      <w:pPr>
        <w:ind w:left="1134" w:right="902"/>
        <w:jc w:val="both"/>
        <w:rPr>
          <w:rFonts w:ascii="Palatino Linotype" w:eastAsia="Palatino Linotype" w:hAnsi="Palatino Linotype" w:cs="Palatino Linotype"/>
          <w:b/>
          <w:i/>
          <w:sz w:val="22"/>
          <w:szCs w:val="22"/>
        </w:rPr>
      </w:pPr>
      <w:r w:rsidRPr="00014C16">
        <w:rPr>
          <w:rFonts w:ascii="Palatino Linotype" w:eastAsia="Palatino Linotype" w:hAnsi="Palatino Linotype" w:cs="Palatino Linotype"/>
          <w:b/>
          <w:i/>
          <w:sz w:val="22"/>
          <w:szCs w:val="22"/>
        </w:rPr>
        <w:t>IV. Admitido el recurso de revisión, aparezca alguna causal de improcedencia en los términos de la presente Ley; y</w:t>
      </w:r>
      <w:r w:rsidRPr="00014C16">
        <w:rPr>
          <w:rFonts w:ascii="Palatino Linotype" w:eastAsia="Palatino Linotype" w:hAnsi="Palatino Linotype" w:cs="Palatino Linotype"/>
          <w:sz w:val="22"/>
          <w:szCs w:val="22"/>
        </w:rPr>
        <w:t>.”</w:t>
      </w:r>
    </w:p>
    <w:p w14:paraId="0910D171" w14:textId="77777777" w:rsidR="00C70F4F" w:rsidRPr="00014C16" w:rsidRDefault="00C70F4F" w:rsidP="00C70F4F">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lastRenderedPageBreak/>
        <w:t>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653F88B5" w14:textId="0621581A" w:rsidR="00C70F4F" w:rsidRPr="00014C16" w:rsidRDefault="00B8408D" w:rsidP="00C70F4F">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En </w:t>
      </w:r>
      <w:r w:rsidR="00C70F4F" w:rsidRPr="00014C16">
        <w:rPr>
          <w:rFonts w:ascii="Palatino Linotype" w:eastAsia="Palatino Linotype" w:hAnsi="Palatino Linotype" w:cs="Palatino Linotype"/>
        </w:rPr>
        <w:t xml:space="preserve">este orden de ideas, es evidente que no se puede invocar el precepto legal 191 de la Ley en cita ulteriormente a que ha sido admitido, determinando la actualización de un </w:t>
      </w:r>
      <w:proofErr w:type="spellStart"/>
      <w:r w:rsidR="00C70F4F" w:rsidRPr="00014C16">
        <w:rPr>
          <w:rFonts w:ascii="Palatino Linotype" w:eastAsia="Palatino Linotype" w:hAnsi="Palatino Linotype" w:cs="Palatino Linotype"/>
        </w:rPr>
        <w:t>desechamiento</w:t>
      </w:r>
      <w:proofErr w:type="spellEnd"/>
      <w:r w:rsidR="00C70F4F" w:rsidRPr="00014C16">
        <w:rPr>
          <w:rFonts w:ascii="Palatino Linotype" w:eastAsia="Palatino Linotype" w:hAnsi="Palatino Linotype" w:cs="Palatino Linotype"/>
          <w:vertAlign w:val="superscript"/>
        </w:rPr>
        <w:footnoteReference w:id="1"/>
      </w:r>
      <w:r w:rsidR="00C70F4F" w:rsidRPr="00014C16">
        <w:rPr>
          <w:rFonts w:ascii="Palatino Linotype" w:eastAsia="Palatino Linotype" w:hAnsi="Palatino Linotype" w:cs="Palatino Linotype"/>
        </w:rPr>
        <w:t>, porque está ya sería posterior a la etapa procedimental en la que debió desecharse.</w:t>
      </w:r>
    </w:p>
    <w:p w14:paraId="5364E637" w14:textId="77777777" w:rsidR="00B8408D" w:rsidRPr="00014C16" w:rsidRDefault="00B8408D" w:rsidP="00B8408D">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 xml:space="preserve">Por tanto, cobra aplicación lo previsto en la fracción IV del artículo 192 de la Ley en la Materia, en razón a que al haber sido admitido el recurso y al actualizarse una causal de improcedencia, debe ser sobreseído. </w:t>
      </w:r>
    </w:p>
    <w:p w14:paraId="47C644C4" w14:textId="77777777" w:rsidR="00B8408D" w:rsidRPr="00014C16" w:rsidRDefault="00B8408D" w:rsidP="00B8408D">
      <w:pPr>
        <w:spacing w:before="240" w:after="240" w:line="360" w:lineRule="auto"/>
        <w:ind w:right="49"/>
        <w:jc w:val="both"/>
        <w:rPr>
          <w:rFonts w:ascii="Palatino Linotype" w:eastAsia="Palatino Linotype" w:hAnsi="Palatino Linotype" w:cs="Palatino Linotype"/>
        </w:rPr>
      </w:pPr>
      <w:r w:rsidRPr="00014C16">
        <w:rPr>
          <w:rFonts w:ascii="Palatino Linotype" w:eastAsia="Palatino Linotype" w:hAnsi="Palatino Linotype" w:cs="Palatino Linotype"/>
        </w:rPr>
        <w:t>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III del artículo 191 de la misma Ley, toda vez que se reitera, en el recurso de revisión no se actualiza alguna de las causales de procedencia previstas en el artículo 179 del referido ordenamiento.</w:t>
      </w:r>
    </w:p>
    <w:p w14:paraId="6CB0FEC8" w14:textId="77777777" w:rsidR="00C70F4F" w:rsidRPr="00014C16" w:rsidRDefault="00C70F4F" w:rsidP="00C70F4F">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lastRenderedPageBreak/>
        <w:t xml:space="preserve">En consecuencia, resulta procedente </w:t>
      </w:r>
      <w:r w:rsidRPr="00014C16">
        <w:rPr>
          <w:rFonts w:ascii="Palatino Linotype" w:eastAsia="Palatino Linotype" w:hAnsi="Palatino Linotype" w:cs="Palatino Linotype"/>
          <w:i/>
        </w:rPr>
        <w:t>sobreseer</w:t>
      </w:r>
      <w:r w:rsidRPr="00014C16">
        <w:rPr>
          <w:rFonts w:ascii="Palatino Linotype" w:eastAsia="Palatino Linotype" w:hAnsi="Palatino Linotype" w:cs="Palatino Linotype"/>
        </w:rPr>
        <w:t xml:space="preserve"> el recurso de revisión materia de la presente resolución en términos del artículo 186 fracción I de la de la Ley de Transparencia y Acceso a la Información Pública del Estado de México y Municipios en relación directa con los artículos 191, fracción III y 192, fracción IV de mismo ordenamiento legal.</w:t>
      </w:r>
    </w:p>
    <w:p w14:paraId="5D2B3E55" w14:textId="77777777" w:rsidR="00C70F4F" w:rsidRPr="00014C16" w:rsidRDefault="00C70F4F" w:rsidP="00C70F4F">
      <w:pPr>
        <w:spacing w:before="240" w:after="240" w:line="360" w:lineRule="auto"/>
        <w:jc w:val="both"/>
        <w:rPr>
          <w:rFonts w:ascii="Palatino Linotype" w:eastAsia="Palatino Linotype" w:hAnsi="Palatino Linotype" w:cs="Palatino Linotype"/>
          <w:b/>
        </w:rPr>
      </w:pPr>
      <w:r w:rsidRPr="00014C16">
        <w:rPr>
          <w:rFonts w:ascii="Palatino Linotype" w:eastAsia="Palatino Linotype" w:hAnsi="Palatino Linotype" w:cs="Palatino Linotype"/>
        </w:rPr>
        <w:t xml:space="preserve">Atento a los razonamientos lógico jurídicos que han quedado precisados y toda vez que el  </w:t>
      </w:r>
      <w:r w:rsidRPr="00014C16">
        <w:rPr>
          <w:rFonts w:ascii="Palatino Linotype" w:eastAsia="Palatino Linotype" w:hAnsi="Palatino Linotype" w:cs="Palatino Linotype"/>
          <w:i/>
        </w:rPr>
        <w:t xml:space="preserve">sobreseimiento </w:t>
      </w:r>
      <w:r w:rsidRPr="00014C16">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014C16">
        <w:rPr>
          <w:rFonts w:ascii="Palatino Linotype" w:eastAsia="Palatino Linotype" w:hAnsi="Palatino Linotype" w:cs="Palatino Linotype"/>
          <w:b/>
        </w:rPr>
        <w:t>SOBRESEIMIENTO, NO PERMITE ENTRAR AL ESTUDIO DE LAS CUESTIONES DE FONDO</w:t>
      </w:r>
      <w:r w:rsidRPr="00014C16">
        <w:rPr>
          <w:rFonts w:ascii="Palatino Linotype" w:eastAsia="Palatino Linotype" w:hAnsi="Palatino Linotype" w:cs="Palatino Linotype"/>
          <w:vertAlign w:val="superscript"/>
        </w:rPr>
        <w:footnoteReference w:id="2"/>
      </w:r>
      <w:r w:rsidRPr="00014C16">
        <w:rPr>
          <w:rFonts w:ascii="Palatino Linotype" w:eastAsia="Palatino Linotype" w:hAnsi="Palatino Linotype" w:cs="Palatino Linotype"/>
          <w:b/>
        </w:rPr>
        <w:t>.</w:t>
      </w:r>
    </w:p>
    <w:p w14:paraId="0642D47C" w14:textId="77777777" w:rsidR="00B54BB4" w:rsidRPr="00014C16" w:rsidRDefault="00D4045C">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4CDE4E18" w14:textId="77777777" w:rsidR="00B54BB4" w:rsidRPr="00014C16" w:rsidRDefault="00D4045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014C16">
        <w:rPr>
          <w:rFonts w:ascii="Palatino Linotype" w:eastAsia="Palatino Linotype" w:hAnsi="Palatino Linotype" w:cs="Palatino Linotype"/>
          <w:b/>
        </w:rPr>
        <w:lastRenderedPageBreak/>
        <w:t>III. R E S U E L V E</w:t>
      </w:r>
    </w:p>
    <w:p w14:paraId="5D5DCF03" w14:textId="6E1219CD" w:rsidR="001F226D" w:rsidRPr="00014C16" w:rsidRDefault="001F226D" w:rsidP="001F226D">
      <w:pPr>
        <w:pBdr>
          <w:top w:val="nil"/>
          <w:left w:val="nil"/>
          <w:bottom w:val="nil"/>
          <w:right w:val="nil"/>
          <w:between w:val="nil"/>
        </w:pBdr>
        <w:tabs>
          <w:tab w:val="left" w:pos="7936"/>
        </w:tabs>
        <w:spacing w:before="240" w:after="240" w:line="360" w:lineRule="auto"/>
        <w:ind w:left="93"/>
        <w:jc w:val="both"/>
        <w:rPr>
          <w:rFonts w:ascii="Palatino Linotype" w:eastAsia="Palatino Linotype" w:hAnsi="Palatino Linotype" w:cs="Palatino Linotype"/>
        </w:rPr>
      </w:pPr>
      <w:bookmarkStart w:id="6" w:name="_heading=h.1t3h5sf" w:colFirst="0" w:colLast="0"/>
      <w:bookmarkEnd w:id="6"/>
      <w:r w:rsidRPr="00014C16">
        <w:rPr>
          <w:rFonts w:ascii="Palatino Linotype" w:eastAsia="Palatino Linotype" w:hAnsi="Palatino Linotype" w:cs="Palatino Linotype"/>
          <w:b/>
        </w:rPr>
        <w:t xml:space="preserve">Primero. </w:t>
      </w:r>
      <w:r w:rsidRPr="00014C16">
        <w:rPr>
          <w:rFonts w:ascii="Palatino Linotype" w:eastAsia="Palatino Linotype" w:hAnsi="Palatino Linotype" w:cs="Palatino Linotype"/>
        </w:rPr>
        <w:t>Se</w:t>
      </w:r>
      <w:r w:rsidRPr="00014C16">
        <w:rPr>
          <w:rFonts w:ascii="Palatino Linotype" w:eastAsia="Palatino Linotype" w:hAnsi="Palatino Linotype" w:cs="Palatino Linotype"/>
          <w:b/>
        </w:rPr>
        <w:t xml:space="preserve"> Sobresee </w:t>
      </w:r>
      <w:r w:rsidRPr="00014C16">
        <w:rPr>
          <w:rFonts w:ascii="Palatino Linotype" w:eastAsia="Palatino Linotype" w:hAnsi="Palatino Linotype" w:cs="Palatino Linotype"/>
        </w:rPr>
        <w:t xml:space="preserve">el recurso de revisión número </w:t>
      </w:r>
      <w:r w:rsidRPr="00014C16">
        <w:rPr>
          <w:rFonts w:ascii="Palatino Linotype" w:eastAsia="Palatino Linotype" w:hAnsi="Palatino Linotype" w:cs="Palatino Linotype"/>
          <w:b/>
        </w:rPr>
        <w:t xml:space="preserve">00769/INFOEM/IP/RR/2025, </w:t>
      </w:r>
      <w:r w:rsidRPr="00014C16">
        <w:rPr>
          <w:rFonts w:ascii="Palatino Linotype" w:eastAsia="Palatino Linotype" w:hAnsi="Palatino Linotype" w:cs="Palatino Linotype"/>
        </w:rPr>
        <w:t>en términos del Considerando</w:t>
      </w:r>
      <w:r w:rsidRPr="00014C16">
        <w:rPr>
          <w:rFonts w:ascii="Palatino Linotype" w:eastAsia="Palatino Linotype" w:hAnsi="Palatino Linotype" w:cs="Palatino Linotype"/>
          <w:b/>
        </w:rPr>
        <w:t xml:space="preserve"> Tercero </w:t>
      </w:r>
      <w:r w:rsidRPr="00014C16">
        <w:rPr>
          <w:rFonts w:ascii="Palatino Linotype" w:eastAsia="Palatino Linotype" w:hAnsi="Palatino Linotype" w:cs="Palatino Linotype"/>
        </w:rPr>
        <w:t xml:space="preserve">de la presente resolución, por improcedente, de conformidad con el artículo 192, fracción IV, en relación con la causal prevista en el artículo 191, fracción III, de la Ley de Transparencia Acceso a la Información Pública y Protección de Datos Personales del Estado de México y Municipios. </w:t>
      </w:r>
    </w:p>
    <w:p w14:paraId="72DB8313" w14:textId="77777777" w:rsidR="001F226D" w:rsidRPr="00014C16" w:rsidRDefault="001F226D" w:rsidP="001F226D">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 xml:space="preserve">Segundo. Notifíquese, </w:t>
      </w:r>
      <w:r w:rsidRPr="00014C16">
        <w:rPr>
          <w:rFonts w:ascii="Palatino Linotype" w:eastAsia="Palatino Linotype" w:hAnsi="Palatino Linotype" w:cs="Palatino Linotype"/>
        </w:rPr>
        <w:t xml:space="preserve">al Titular de la Unidad de Transparencia del </w:t>
      </w:r>
      <w:r w:rsidRPr="00014C16">
        <w:rPr>
          <w:rFonts w:ascii="Palatino Linotype" w:eastAsia="Palatino Linotype" w:hAnsi="Palatino Linotype" w:cs="Palatino Linotype"/>
          <w:b/>
        </w:rPr>
        <w:t>Sujeto Obligado</w:t>
      </w:r>
      <w:r w:rsidRPr="00014C16">
        <w:rPr>
          <w:rFonts w:ascii="Palatino Linotype" w:eastAsia="Palatino Linotype" w:hAnsi="Palatino Linotype" w:cs="Palatino Linotype"/>
        </w:rPr>
        <w:t xml:space="preserve"> la presente resolución, para su conocimiento.</w:t>
      </w:r>
    </w:p>
    <w:p w14:paraId="6A4059B3" w14:textId="77777777" w:rsidR="001F226D" w:rsidRPr="00014C16" w:rsidRDefault="001F226D" w:rsidP="001F226D">
      <w:pPr>
        <w:spacing w:before="240" w:after="240" w:line="360" w:lineRule="auto"/>
        <w:jc w:val="both"/>
        <w:rPr>
          <w:rFonts w:ascii="Palatino Linotype" w:eastAsia="Palatino Linotype" w:hAnsi="Palatino Linotype" w:cs="Palatino Linotype"/>
        </w:rPr>
      </w:pPr>
      <w:r w:rsidRPr="00014C16">
        <w:rPr>
          <w:rFonts w:ascii="Palatino Linotype" w:eastAsia="Palatino Linotype" w:hAnsi="Palatino Linotype" w:cs="Palatino Linotype"/>
          <w:b/>
        </w:rPr>
        <w:t xml:space="preserve">Tercero. Notifíquese, </w:t>
      </w:r>
      <w:r w:rsidRPr="00014C16">
        <w:rPr>
          <w:rFonts w:ascii="Palatino Linotype" w:eastAsia="Palatino Linotype" w:hAnsi="Palatino Linotype" w:cs="Palatino Linotype"/>
        </w:rPr>
        <w:t>vía</w:t>
      </w:r>
      <w:r w:rsidRPr="00014C16">
        <w:rPr>
          <w:rFonts w:ascii="Palatino Linotype" w:eastAsia="Palatino Linotype" w:hAnsi="Palatino Linotype" w:cs="Palatino Linotype"/>
          <w:b/>
        </w:rPr>
        <w:t xml:space="preserve"> SAIMEX</w:t>
      </w:r>
      <w:r w:rsidRPr="00014C16">
        <w:rPr>
          <w:rFonts w:ascii="Palatino Linotype" w:eastAsia="Palatino Linotype" w:hAnsi="Palatino Linotype" w:cs="Palatino Linotype"/>
        </w:rPr>
        <w:t>, a</w:t>
      </w:r>
      <w:r w:rsidRPr="00014C16">
        <w:rPr>
          <w:rFonts w:ascii="Palatino Linotype" w:eastAsia="Palatino Linotype" w:hAnsi="Palatino Linotype" w:cs="Palatino Linotype"/>
          <w:b/>
        </w:rPr>
        <w:t xml:space="preserve"> </w:t>
      </w:r>
      <w:r w:rsidRPr="00014C16">
        <w:rPr>
          <w:rFonts w:ascii="Palatino Linotype" w:eastAsia="Palatino Linotype" w:hAnsi="Palatino Linotype" w:cs="Palatino Linotype"/>
        </w:rPr>
        <w:t xml:space="preserve">la parte </w:t>
      </w:r>
      <w:r w:rsidRPr="00014C16">
        <w:rPr>
          <w:rFonts w:ascii="Palatino Linotype" w:eastAsia="Palatino Linotype" w:hAnsi="Palatino Linotype" w:cs="Palatino Linotype"/>
          <w:b/>
        </w:rPr>
        <w:t>Recurrente</w:t>
      </w:r>
      <w:r w:rsidRPr="00014C16">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3B12E82" w14:textId="6DD55C3A" w:rsidR="00B54BB4" w:rsidRPr="00452A39" w:rsidRDefault="00D4045C">
      <w:pPr>
        <w:tabs>
          <w:tab w:val="left" w:pos="8647"/>
        </w:tabs>
        <w:spacing w:before="240" w:after="240" w:line="360" w:lineRule="auto"/>
        <w:ind w:right="51"/>
        <w:jc w:val="both"/>
        <w:rPr>
          <w:rFonts w:ascii="Palatino Linotype" w:eastAsia="Palatino Linotype" w:hAnsi="Palatino Linotype" w:cs="Palatino Linotype"/>
        </w:rPr>
      </w:pPr>
      <w:r w:rsidRPr="00014C1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w:t>
      </w:r>
      <w:r w:rsidR="005B2C71" w:rsidRPr="00014C16">
        <w:rPr>
          <w:rFonts w:ascii="Palatino Linotype" w:eastAsia="Palatino Linotype" w:hAnsi="Palatino Linotype" w:cs="Palatino Linotype"/>
        </w:rPr>
        <w:t>ISIONADOS JOSÉ MARTÍNEZ VILCHIS,</w:t>
      </w:r>
      <w:r w:rsidRPr="00014C16">
        <w:rPr>
          <w:rFonts w:ascii="Palatino Linotype" w:eastAsia="Palatino Linotype" w:hAnsi="Palatino Linotype" w:cs="Palatino Linotype"/>
        </w:rPr>
        <w:t xml:space="preserve"> MARÍA D</w:t>
      </w:r>
      <w:r w:rsidR="001052CB" w:rsidRPr="00014C16">
        <w:rPr>
          <w:rFonts w:ascii="Palatino Linotype" w:eastAsia="Palatino Linotype" w:hAnsi="Palatino Linotype" w:cs="Palatino Linotype"/>
        </w:rPr>
        <w:t>EL ROSARIO MEJÍA AYALA,</w:t>
      </w:r>
      <w:r w:rsidRPr="00014C16">
        <w:rPr>
          <w:rFonts w:ascii="Palatino Linotype" w:eastAsia="Palatino Linotype" w:hAnsi="Palatino Linotype" w:cs="Palatino Linotype"/>
        </w:rPr>
        <w:t xml:space="preserve"> S</w:t>
      </w:r>
      <w:r w:rsidR="005B2C71" w:rsidRPr="00014C16">
        <w:rPr>
          <w:rFonts w:ascii="Palatino Linotype" w:eastAsia="Palatino Linotype" w:hAnsi="Palatino Linotype" w:cs="Palatino Linotype"/>
        </w:rPr>
        <w:t xml:space="preserve">HARON CRISTINA MORALES MARTÍNEZ, </w:t>
      </w:r>
      <w:r w:rsidRPr="00014C16">
        <w:rPr>
          <w:rFonts w:ascii="Palatino Linotype" w:eastAsia="Palatino Linotype" w:hAnsi="Palatino Linotype" w:cs="Palatino Linotype"/>
        </w:rPr>
        <w:t>LUIS GUSTAVO PARRA NORIEGA</w:t>
      </w:r>
      <w:r w:rsidR="005B2C71" w:rsidRPr="00014C16">
        <w:rPr>
          <w:rFonts w:ascii="Palatino Linotype" w:eastAsia="Palatino Linotype" w:hAnsi="Palatino Linotype" w:cs="Palatino Linotype"/>
        </w:rPr>
        <w:t xml:space="preserve">, </w:t>
      </w:r>
      <w:r w:rsidRPr="00014C16">
        <w:rPr>
          <w:rFonts w:ascii="Palatino Linotype" w:eastAsia="Palatino Linotype" w:hAnsi="Palatino Linotype" w:cs="Palatino Linotype"/>
        </w:rPr>
        <w:t xml:space="preserve">Y GUADALUPE RAMÍREZ PEÑA, EN LA </w:t>
      </w:r>
      <w:r w:rsidR="001F226D" w:rsidRPr="00014C16">
        <w:rPr>
          <w:rFonts w:ascii="Palatino Linotype" w:eastAsia="Palatino Linotype" w:hAnsi="Palatino Linotype" w:cs="Palatino Linotype"/>
        </w:rPr>
        <w:t>OCTAVA</w:t>
      </w:r>
      <w:r w:rsidR="00CA62C7" w:rsidRPr="00014C16">
        <w:rPr>
          <w:rFonts w:ascii="Palatino Linotype" w:eastAsia="Palatino Linotype" w:hAnsi="Palatino Linotype" w:cs="Palatino Linotype"/>
        </w:rPr>
        <w:t xml:space="preserve"> </w:t>
      </w:r>
      <w:r w:rsidRPr="00014C16">
        <w:rPr>
          <w:rFonts w:ascii="Palatino Linotype" w:eastAsia="Palatino Linotype" w:hAnsi="Palatino Linotype" w:cs="Palatino Linotype"/>
        </w:rPr>
        <w:t xml:space="preserve">SESIÓN ORDINARIA CELEBRADA EL </w:t>
      </w:r>
      <w:r w:rsidR="00CA62C7" w:rsidRPr="00014C16">
        <w:rPr>
          <w:rFonts w:ascii="Palatino Linotype" w:eastAsia="Palatino Linotype" w:hAnsi="Palatino Linotype" w:cs="Palatino Linotype"/>
        </w:rPr>
        <w:t xml:space="preserve">SÉIS DE </w:t>
      </w:r>
      <w:r w:rsidR="001F226D" w:rsidRPr="00014C16">
        <w:rPr>
          <w:rFonts w:ascii="Palatino Linotype" w:eastAsia="Palatino Linotype" w:hAnsi="Palatino Linotype" w:cs="Palatino Linotype"/>
        </w:rPr>
        <w:t>MARZO</w:t>
      </w:r>
      <w:r w:rsidRPr="00014C16">
        <w:rPr>
          <w:rFonts w:ascii="Palatino Linotype" w:eastAsia="Palatino Linotype" w:hAnsi="Palatino Linotype" w:cs="Palatino Linotype"/>
        </w:rPr>
        <w:t xml:space="preserve"> DE DOS MIL VEINTICINCO, ANTE EL SECRETARIO TÉCNICO DEL PLENO ALEXIS TAPIA RAMÍREZ.</w:t>
      </w:r>
    </w:p>
    <w:p w14:paraId="2F5202D3" w14:textId="77777777" w:rsidR="00B54BB4" w:rsidRPr="00452A39" w:rsidRDefault="00B54BB4">
      <w:pPr>
        <w:spacing w:line="360" w:lineRule="auto"/>
        <w:jc w:val="both"/>
        <w:rPr>
          <w:rFonts w:ascii="Palatino Linotype" w:eastAsia="Palatino Linotype" w:hAnsi="Palatino Linotype" w:cs="Palatino Linotype"/>
        </w:rPr>
      </w:pPr>
    </w:p>
    <w:p w14:paraId="78432B12" w14:textId="77777777" w:rsidR="00B54BB4" w:rsidRPr="00452A39" w:rsidRDefault="00B54BB4" w:rsidP="009F29B4">
      <w:pPr>
        <w:spacing w:line="360" w:lineRule="auto"/>
        <w:jc w:val="center"/>
        <w:rPr>
          <w:rFonts w:ascii="Palatino Linotype" w:eastAsia="Palatino Linotype" w:hAnsi="Palatino Linotype" w:cs="Palatino Linotype"/>
        </w:rPr>
      </w:pPr>
    </w:p>
    <w:p w14:paraId="43D84A40" w14:textId="77777777" w:rsidR="00B54BB4" w:rsidRPr="00452A39" w:rsidRDefault="00B54BB4">
      <w:pPr>
        <w:spacing w:line="360" w:lineRule="auto"/>
        <w:jc w:val="both"/>
        <w:rPr>
          <w:rFonts w:ascii="Palatino Linotype" w:eastAsia="Palatino Linotype" w:hAnsi="Palatino Linotype" w:cs="Palatino Linotype"/>
        </w:rPr>
      </w:pPr>
    </w:p>
    <w:p w14:paraId="5BA544B4" w14:textId="77777777" w:rsidR="00B54BB4" w:rsidRPr="00452A39" w:rsidRDefault="00B54BB4">
      <w:pPr>
        <w:spacing w:line="360" w:lineRule="auto"/>
        <w:jc w:val="both"/>
        <w:rPr>
          <w:rFonts w:ascii="Palatino Linotype" w:eastAsia="Palatino Linotype" w:hAnsi="Palatino Linotype" w:cs="Palatino Linotype"/>
        </w:rPr>
      </w:pPr>
    </w:p>
    <w:p w14:paraId="6E4983DB" w14:textId="77777777" w:rsidR="00B54BB4" w:rsidRPr="00452A39" w:rsidRDefault="00B54BB4">
      <w:pPr>
        <w:spacing w:line="360" w:lineRule="auto"/>
        <w:jc w:val="both"/>
        <w:rPr>
          <w:rFonts w:ascii="Palatino Linotype" w:eastAsia="Palatino Linotype" w:hAnsi="Palatino Linotype" w:cs="Palatino Linotype"/>
        </w:rPr>
      </w:pPr>
    </w:p>
    <w:p w14:paraId="155459EE" w14:textId="77777777" w:rsidR="00B54BB4" w:rsidRPr="00452A39" w:rsidRDefault="00B54BB4">
      <w:pPr>
        <w:spacing w:line="360" w:lineRule="auto"/>
        <w:jc w:val="both"/>
        <w:rPr>
          <w:rFonts w:ascii="Palatino Linotype" w:eastAsia="Palatino Linotype" w:hAnsi="Palatino Linotype" w:cs="Palatino Linotype"/>
        </w:rPr>
      </w:pPr>
    </w:p>
    <w:p w14:paraId="600AAC31" w14:textId="77777777" w:rsidR="00B54BB4" w:rsidRPr="00452A39" w:rsidRDefault="00B54BB4">
      <w:pPr>
        <w:spacing w:line="360" w:lineRule="auto"/>
        <w:jc w:val="both"/>
        <w:rPr>
          <w:rFonts w:ascii="Palatino Linotype" w:eastAsia="Palatino Linotype" w:hAnsi="Palatino Linotype" w:cs="Palatino Linotype"/>
        </w:rPr>
      </w:pPr>
    </w:p>
    <w:p w14:paraId="147CBE80" w14:textId="77777777" w:rsidR="00B54BB4" w:rsidRPr="00452A39" w:rsidRDefault="00B54BB4">
      <w:pPr>
        <w:spacing w:line="360" w:lineRule="auto"/>
        <w:jc w:val="both"/>
        <w:rPr>
          <w:rFonts w:ascii="Palatino Linotype" w:eastAsia="Palatino Linotype" w:hAnsi="Palatino Linotype" w:cs="Palatino Linotype"/>
        </w:rPr>
      </w:pPr>
    </w:p>
    <w:p w14:paraId="10A50128" w14:textId="77777777" w:rsidR="00B54BB4" w:rsidRPr="00452A39" w:rsidRDefault="00B54BB4">
      <w:pPr>
        <w:spacing w:line="360" w:lineRule="auto"/>
        <w:jc w:val="both"/>
        <w:rPr>
          <w:rFonts w:ascii="Palatino Linotype" w:eastAsia="Palatino Linotype" w:hAnsi="Palatino Linotype" w:cs="Palatino Linotype"/>
        </w:rPr>
      </w:pPr>
    </w:p>
    <w:p w14:paraId="252A080A" w14:textId="77777777" w:rsidR="00B54BB4" w:rsidRPr="00452A39" w:rsidRDefault="00B54BB4">
      <w:pPr>
        <w:spacing w:line="360" w:lineRule="auto"/>
        <w:jc w:val="both"/>
        <w:rPr>
          <w:rFonts w:ascii="Palatino Linotype" w:eastAsia="Palatino Linotype" w:hAnsi="Palatino Linotype" w:cs="Palatino Linotype"/>
        </w:rPr>
      </w:pPr>
    </w:p>
    <w:p w14:paraId="58833D6D" w14:textId="77777777" w:rsidR="00B54BB4" w:rsidRPr="00452A39" w:rsidRDefault="00B54BB4">
      <w:pPr>
        <w:spacing w:line="360" w:lineRule="auto"/>
        <w:jc w:val="both"/>
        <w:rPr>
          <w:rFonts w:ascii="Palatino Linotype" w:eastAsia="Palatino Linotype" w:hAnsi="Palatino Linotype" w:cs="Palatino Linotype"/>
        </w:rPr>
      </w:pPr>
    </w:p>
    <w:p w14:paraId="3DD8579D" w14:textId="77777777" w:rsidR="00B54BB4" w:rsidRPr="00452A39" w:rsidRDefault="00B54BB4">
      <w:pPr>
        <w:spacing w:line="360" w:lineRule="auto"/>
        <w:jc w:val="both"/>
        <w:rPr>
          <w:rFonts w:ascii="Palatino Linotype" w:eastAsia="Palatino Linotype" w:hAnsi="Palatino Linotype" w:cs="Palatino Linotype"/>
        </w:rPr>
      </w:pPr>
    </w:p>
    <w:p w14:paraId="2FA5F3C9" w14:textId="77777777" w:rsidR="00B54BB4" w:rsidRPr="00452A39" w:rsidRDefault="00B54BB4">
      <w:pPr>
        <w:spacing w:line="360" w:lineRule="auto"/>
        <w:jc w:val="both"/>
        <w:rPr>
          <w:rFonts w:ascii="Palatino Linotype" w:eastAsia="Palatino Linotype" w:hAnsi="Palatino Linotype" w:cs="Palatino Linotype"/>
        </w:rPr>
      </w:pPr>
    </w:p>
    <w:p w14:paraId="0C862004" w14:textId="77777777" w:rsidR="00B54BB4" w:rsidRPr="00452A39" w:rsidRDefault="00B54BB4">
      <w:pPr>
        <w:spacing w:line="360" w:lineRule="auto"/>
        <w:jc w:val="both"/>
        <w:rPr>
          <w:rFonts w:ascii="Palatino Linotype" w:eastAsia="Palatino Linotype" w:hAnsi="Palatino Linotype" w:cs="Palatino Linotype"/>
        </w:rPr>
      </w:pPr>
    </w:p>
    <w:p w14:paraId="1087038F" w14:textId="77777777" w:rsidR="00B54BB4" w:rsidRPr="00452A39" w:rsidRDefault="00B54BB4">
      <w:pPr>
        <w:spacing w:line="360" w:lineRule="auto"/>
        <w:jc w:val="both"/>
        <w:rPr>
          <w:rFonts w:ascii="Palatino Linotype" w:eastAsia="Palatino Linotype" w:hAnsi="Palatino Linotype" w:cs="Palatino Linotype"/>
        </w:rPr>
      </w:pPr>
    </w:p>
    <w:p w14:paraId="26A05114" w14:textId="77777777" w:rsidR="00B54BB4" w:rsidRPr="00452A39" w:rsidRDefault="00B54BB4">
      <w:pPr>
        <w:spacing w:line="360" w:lineRule="auto"/>
        <w:jc w:val="both"/>
        <w:rPr>
          <w:rFonts w:ascii="Palatino Linotype" w:eastAsia="Palatino Linotype" w:hAnsi="Palatino Linotype" w:cs="Palatino Linotype"/>
        </w:rPr>
      </w:pPr>
    </w:p>
    <w:sectPr w:rsidR="00B54BB4" w:rsidRPr="00452A39">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C5D7" w14:textId="77777777" w:rsidR="00197DFD" w:rsidRDefault="00197DFD">
      <w:r>
        <w:separator/>
      </w:r>
    </w:p>
  </w:endnote>
  <w:endnote w:type="continuationSeparator" w:id="0">
    <w:p w14:paraId="07689663" w14:textId="77777777" w:rsidR="00197DFD" w:rsidRDefault="001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56C7" w14:textId="77777777" w:rsidR="00D52D49" w:rsidRDefault="00D52D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4C16">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4C1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250414D8" w14:textId="77777777" w:rsidR="00D52D49" w:rsidRDefault="00D52D4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568C" w14:textId="77777777" w:rsidR="00D52D49" w:rsidRDefault="00D52D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4C1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4C1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2D70D28" w14:textId="77777777" w:rsidR="00D52D49" w:rsidRDefault="00D52D4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F328" w14:textId="77777777" w:rsidR="00197DFD" w:rsidRDefault="00197DFD">
      <w:r>
        <w:separator/>
      </w:r>
    </w:p>
  </w:footnote>
  <w:footnote w:type="continuationSeparator" w:id="0">
    <w:p w14:paraId="33B280C7" w14:textId="77777777" w:rsidR="00197DFD" w:rsidRDefault="00197DFD">
      <w:r>
        <w:continuationSeparator/>
      </w:r>
    </w:p>
  </w:footnote>
  <w:footnote w:id="1">
    <w:p w14:paraId="18686E60" w14:textId="0686BCE4" w:rsidR="00C70F4F" w:rsidRPr="00665FA4" w:rsidRDefault="00C70F4F" w:rsidP="001F226D">
      <w:pPr>
        <w:pBdr>
          <w:top w:val="nil"/>
          <w:left w:val="nil"/>
          <w:bottom w:val="nil"/>
          <w:right w:val="nil"/>
          <w:between w:val="nil"/>
        </w:pBdr>
        <w:jc w:val="both"/>
        <w:rPr>
          <w:rFonts w:ascii="Palatino Linotype" w:eastAsia="Palatino Linotype" w:hAnsi="Palatino Linotype" w:cs="Palatino Linotype"/>
          <w:color w:val="000000"/>
          <w:sz w:val="14"/>
          <w:szCs w:val="14"/>
        </w:rPr>
      </w:pPr>
      <w:r w:rsidRPr="00665FA4">
        <w:rPr>
          <w:rFonts w:ascii="Palatino Linotype" w:hAnsi="Palatino Linotype"/>
          <w:sz w:val="14"/>
          <w:szCs w:val="14"/>
          <w:vertAlign w:val="superscript"/>
        </w:rPr>
        <w:footnoteRef/>
      </w:r>
      <w:r w:rsidRPr="00665FA4">
        <w:rPr>
          <w:rFonts w:ascii="Palatino Linotype" w:eastAsia="Palatino Linotype" w:hAnsi="Palatino Linotype" w:cs="Palatino Linotype"/>
          <w:color w:val="000000"/>
          <w:sz w:val="14"/>
          <w:szCs w:val="14"/>
        </w:rPr>
        <w:t xml:space="preserve"> “</w:t>
      </w:r>
      <w:r w:rsidRPr="00665FA4">
        <w:rPr>
          <w:rFonts w:ascii="Palatino Linotype" w:eastAsia="Palatino Linotype" w:hAnsi="Palatino Linotype" w:cs="Palatino Linotype"/>
          <w:i/>
          <w:color w:val="000000"/>
          <w:sz w:val="14"/>
          <w:szCs w:val="14"/>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795F2479" w14:textId="77777777" w:rsidR="00C70F4F" w:rsidRPr="00665FA4" w:rsidRDefault="00C70F4F" w:rsidP="00C70F4F">
      <w:pPr>
        <w:pBdr>
          <w:top w:val="nil"/>
          <w:left w:val="nil"/>
          <w:bottom w:val="nil"/>
          <w:right w:val="nil"/>
          <w:between w:val="nil"/>
        </w:pBdr>
        <w:jc w:val="both"/>
        <w:rPr>
          <w:rFonts w:ascii="Palatino Linotype" w:eastAsia="Palatino Linotype" w:hAnsi="Palatino Linotype" w:cs="Palatino Linotype"/>
          <w:color w:val="000000"/>
          <w:sz w:val="14"/>
          <w:szCs w:val="14"/>
        </w:rPr>
      </w:pPr>
      <w:r w:rsidRPr="00665FA4">
        <w:rPr>
          <w:rFonts w:ascii="Palatino Linotype" w:hAnsi="Palatino Linotype"/>
          <w:sz w:val="14"/>
          <w:szCs w:val="14"/>
          <w:vertAlign w:val="superscript"/>
        </w:rPr>
        <w:footnoteRef/>
      </w:r>
      <w:r w:rsidRPr="00665FA4">
        <w:rPr>
          <w:rFonts w:ascii="Palatino Linotype" w:eastAsia="Palatino Linotype" w:hAnsi="Palatino Linotype" w:cs="Palatino Linotype"/>
          <w:color w:val="000000"/>
          <w:sz w:val="14"/>
          <w:szCs w:val="14"/>
        </w:rPr>
        <w:t xml:space="preserve"> </w:t>
      </w:r>
      <w:r w:rsidRPr="00665FA4">
        <w:rPr>
          <w:rFonts w:ascii="Palatino Linotype" w:eastAsia="Palatino Linotype" w:hAnsi="Palatino Linotype" w:cs="Palatino Linotype"/>
          <w:b/>
          <w:color w:val="000000"/>
          <w:sz w:val="14"/>
          <w:szCs w:val="14"/>
        </w:rPr>
        <w:t>Cuerpo de tesis:</w:t>
      </w:r>
      <w:r w:rsidRPr="00665FA4">
        <w:rPr>
          <w:rFonts w:ascii="Palatino Linotype" w:eastAsia="Palatino Linotype" w:hAnsi="Palatino Linotype" w:cs="Palatino Linotype"/>
          <w:color w:val="000000"/>
          <w:sz w:val="14"/>
          <w:szCs w:val="14"/>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520740B9" w14:textId="77777777" w:rsidR="00C70F4F" w:rsidRPr="00665FA4" w:rsidRDefault="00C70F4F" w:rsidP="00C70F4F">
      <w:pPr>
        <w:pBdr>
          <w:top w:val="nil"/>
          <w:left w:val="nil"/>
          <w:bottom w:val="nil"/>
          <w:right w:val="nil"/>
          <w:between w:val="nil"/>
        </w:pBdr>
        <w:jc w:val="both"/>
        <w:rPr>
          <w:rFonts w:ascii="Palatino Linotype" w:eastAsia="Palatino Linotype" w:hAnsi="Palatino Linotype" w:cs="Palatino Linotype"/>
          <w:color w:val="000000"/>
          <w:sz w:val="14"/>
          <w:szCs w:val="14"/>
        </w:rPr>
      </w:pPr>
      <w:r w:rsidRPr="00665FA4">
        <w:rPr>
          <w:rFonts w:ascii="Palatino Linotype" w:eastAsia="Palatino Linotype" w:hAnsi="Palatino Linotype" w:cs="Palatino Linotype"/>
          <w:b/>
          <w:color w:val="000000"/>
          <w:sz w:val="14"/>
          <w:szCs w:val="14"/>
        </w:rPr>
        <w:t>Localización</w:t>
      </w:r>
      <w:r w:rsidRPr="00665FA4">
        <w:rPr>
          <w:rFonts w:ascii="Palatino Linotype" w:eastAsia="Palatino Linotype" w:hAnsi="Palatino Linotype" w:cs="Palatino Linotype"/>
          <w:color w:val="000000"/>
          <w:sz w:val="14"/>
          <w:szCs w:val="14"/>
        </w:rPr>
        <w:t>: 2</w:t>
      </w:r>
      <w:r w:rsidRPr="00665FA4">
        <w:rPr>
          <w:rFonts w:ascii="Palatino Linotype" w:eastAsia="Palatino Linotype" w:hAnsi="Palatino Linotype" w:cs="Palatino Linotype"/>
          <w:color w:val="000000"/>
          <w:sz w:val="14"/>
          <w:szCs w:val="14"/>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A685" w14:textId="77777777" w:rsidR="00D52D49" w:rsidRDefault="00D52D49">
    <w:pPr>
      <w:rPr>
        <w:rFonts w:ascii="Cambria" w:eastAsia="Cambria" w:hAnsi="Cambria" w:cs="Cambria"/>
        <w:color w:val="000000"/>
      </w:rPr>
    </w:pPr>
    <w:r>
      <w:rPr>
        <w:noProof/>
      </w:rPr>
      <w:drawing>
        <wp:anchor distT="0" distB="0" distL="0" distR="0" simplePos="0" relativeHeight="251658240" behindDoc="1" locked="0" layoutInCell="1" hidden="0" allowOverlap="1" wp14:anchorId="3476422B" wp14:editId="4F89F24C">
          <wp:simplePos x="0" y="0"/>
          <wp:positionH relativeFrom="column">
            <wp:posOffset>-1080099</wp:posOffset>
          </wp:positionH>
          <wp:positionV relativeFrom="paragraph">
            <wp:posOffset>-488272</wp:posOffset>
          </wp:positionV>
          <wp:extent cx="7809865" cy="10165715"/>
          <wp:effectExtent l="0" t="0" r="0" b="0"/>
          <wp:wrapNone/>
          <wp:docPr id="20832964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c"/>
      <w:tblW w:w="5953" w:type="dxa"/>
      <w:tblInd w:w="3261" w:type="dxa"/>
      <w:tblLayout w:type="fixed"/>
      <w:tblLook w:val="0400" w:firstRow="0" w:lastRow="0" w:firstColumn="0" w:lastColumn="0" w:noHBand="0" w:noVBand="1"/>
    </w:tblPr>
    <w:tblGrid>
      <w:gridCol w:w="2489"/>
      <w:gridCol w:w="3464"/>
    </w:tblGrid>
    <w:tr w:rsidR="00D52D49" w14:paraId="0B3ECCEC" w14:textId="77777777">
      <w:tc>
        <w:tcPr>
          <w:tcW w:w="2489" w:type="dxa"/>
          <w:shd w:val="clear" w:color="auto" w:fill="auto"/>
        </w:tcPr>
        <w:p w14:paraId="65E0103C" w14:textId="77777777" w:rsidR="00D52D49" w:rsidRDefault="00D52D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FDBB86B" w14:textId="1B6A48AC" w:rsidR="00D52D49" w:rsidRDefault="00D52D49" w:rsidP="000179D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00769/INFOEM/IP/RR/2025</w:t>
          </w:r>
        </w:p>
      </w:tc>
    </w:tr>
    <w:tr w:rsidR="00D52D49" w14:paraId="1DB7326F" w14:textId="77777777">
      <w:trPr>
        <w:trHeight w:val="228"/>
      </w:trPr>
      <w:tc>
        <w:tcPr>
          <w:tcW w:w="2489" w:type="dxa"/>
          <w:shd w:val="clear" w:color="auto" w:fill="auto"/>
          <w:vAlign w:val="center"/>
        </w:tcPr>
        <w:p w14:paraId="03482A5E" w14:textId="77777777" w:rsidR="00D52D49" w:rsidRDefault="00D52D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28E0735" w14:textId="65C649E6" w:rsidR="00D52D49" w:rsidRDefault="00D52D49">
          <w:pPr>
            <w:ind w:left="-45" w:right="176"/>
            <w:jc w:val="both"/>
            <w:rPr>
              <w:rFonts w:ascii="Palatino Linotype" w:eastAsia="Palatino Linotype" w:hAnsi="Palatino Linotype" w:cs="Palatino Linotype"/>
              <w:b/>
              <w:sz w:val="22"/>
              <w:szCs w:val="22"/>
            </w:rPr>
          </w:pPr>
          <w:r w:rsidRPr="000179D1">
            <w:rPr>
              <w:rFonts w:ascii="Palatino Linotype" w:eastAsia="Palatino Linotype" w:hAnsi="Palatino Linotype" w:cs="Palatino Linotype"/>
              <w:b/>
              <w:sz w:val="22"/>
              <w:szCs w:val="22"/>
            </w:rPr>
            <w:t>Ayuntamiento de Cuautitlán Izcalli</w:t>
          </w:r>
        </w:p>
      </w:tc>
    </w:tr>
    <w:tr w:rsidR="00D52D49" w14:paraId="51739564" w14:textId="77777777">
      <w:tc>
        <w:tcPr>
          <w:tcW w:w="2489" w:type="dxa"/>
          <w:shd w:val="clear" w:color="auto" w:fill="auto"/>
          <w:vAlign w:val="center"/>
        </w:tcPr>
        <w:p w14:paraId="18167CF3" w14:textId="77777777" w:rsidR="00D52D49" w:rsidRDefault="00D52D4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1C4440E" w14:textId="77777777" w:rsidR="00D52D49" w:rsidRDefault="00D52D4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370208" w14:textId="77777777" w:rsidR="00D52D49" w:rsidRDefault="00D52D4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211F" w14:textId="77777777" w:rsidR="00D52D49" w:rsidRDefault="00D52D4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994CB8A" wp14:editId="2C511080">
          <wp:simplePos x="0" y="0"/>
          <wp:positionH relativeFrom="column">
            <wp:posOffset>-1080125</wp:posOffset>
          </wp:positionH>
          <wp:positionV relativeFrom="paragraph">
            <wp:posOffset>-369900</wp:posOffset>
          </wp:positionV>
          <wp:extent cx="7809865" cy="10165715"/>
          <wp:effectExtent l="0" t="0" r="0" b="0"/>
          <wp:wrapNone/>
          <wp:docPr id="20832964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5953" w:type="dxa"/>
      <w:tblInd w:w="3261" w:type="dxa"/>
      <w:tblLayout w:type="fixed"/>
      <w:tblLook w:val="0400" w:firstRow="0" w:lastRow="0" w:firstColumn="0" w:lastColumn="0" w:noHBand="0" w:noVBand="1"/>
    </w:tblPr>
    <w:tblGrid>
      <w:gridCol w:w="2489"/>
      <w:gridCol w:w="3464"/>
    </w:tblGrid>
    <w:tr w:rsidR="00D52D49" w14:paraId="015A7EAD" w14:textId="77777777">
      <w:tc>
        <w:tcPr>
          <w:tcW w:w="2489" w:type="dxa"/>
          <w:shd w:val="clear" w:color="auto" w:fill="auto"/>
        </w:tcPr>
        <w:p w14:paraId="76625BBB" w14:textId="77777777" w:rsidR="00D52D49" w:rsidRDefault="00D52D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665FAFD" w14:textId="3B61B61A" w:rsidR="00D52D49" w:rsidRDefault="00D52D49" w:rsidP="000179D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00769/INFOEM/IP/RR/2025</w:t>
          </w:r>
        </w:p>
      </w:tc>
    </w:tr>
    <w:tr w:rsidR="00D52D49" w14:paraId="175FB567" w14:textId="77777777">
      <w:tc>
        <w:tcPr>
          <w:tcW w:w="2489" w:type="dxa"/>
          <w:shd w:val="clear" w:color="auto" w:fill="auto"/>
        </w:tcPr>
        <w:p w14:paraId="07BA6042" w14:textId="77777777" w:rsidR="00D52D49" w:rsidRDefault="00D52D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40B7A4E" w14:textId="2487B115" w:rsidR="00D52D49" w:rsidRDefault="00D75CAF">
          <w:pPr>
            <w:ind w:right="175"/>
            <w:jc w:val="both"/>
            <w:rPr>
              <w:rFonts w:ascii="Palatino Linotype" w:eastAsia="Palatino Linotype" w:hAnsi="Palatino Linotype" w:cs="Palatino Linotype"/>
              <w:b/>
              <w:sz w:val="22"/>
              <w:szCs w:val="22"/>
            </w:rPr>
          </w:pPr>
          <w:bookmarkStart w:id="7" w:name="_Hlk194321515"/>
          <w:r>
            <w:rPr>
              <w:rFonts w:ascii="Palatino Linotype" w:eastAsia="Palatino Linotype" w:hAnsi="Palatino Linotype" w:cs="Palatino Linotype"/>
              <w:b/>
              <w:sz w:val="22"/>
              <w:szCs w:val="22"/>
            </w:rPr>
            <w:t xml:space="preserve">XXXXXX XXX XXXXXXXXXX </w:t>
          </w:r>
          <w:bookmarkEnd w:id="7"/>
        </w:p>
      </w:tc>
    </w:tr>
    <w:tr w:rsidR="00D52D49" w14:paraId="59628F82" w14:textId="77777777">
      <w:trPr>
        <w:trHeight w:val="228"/>
      </w:trPr>
      <w:tc>
        <w:tcPr>
          <w:tcW w:w="2489" w:type="dxa"/>
          <w:shd w:val="clear" w:color="auto" w:fill="auto"/>
          <w:vAlign w:val="center"/>
        </w:tcPr>
        <w:p w14:paraId="4DBEEEF2" w14:textId="77777777" w:rsidR="00D52D49" w:rsidRDefault="00D52D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0E196CA" w14:textId="57BEB1A6" w:rsidR="00D52D49" w:rsidRDefault="00D52D49">
          <w:pPr>
            <w:ind w:left="-45" w:right="176"/>
            <w:jc w:val="both"/>
            <w:rPr>
              <w:rFonts w:ascii="Palatino Linotype" w:eastAsia="Palatino Linotype" w:hAnsi="Palatino Linotype" w:cs="Palatino Linotype"/>
              <w:b/>
              <w:sz w:val="22"/>
              <w:szCs w:val="22"/>
            </w:rPr>
          </w:pPr>
          <w:r w:rsidRPr="000179D1">
            <w:rPr>
              <w:rFonts w:ascii="Palatino Linotype" w:eastAsia="Palatino Linotype" w:hAnsi="Palatino Linotype" w:cs="Palatino Linotype"/>
              <w:b/>
              <w:sz w:val="22"/>
              <w:szCs w:val="22"/>
            </w:rPr>
            <w:t>Ayuntamiento de Cuautitlán Izcalli</w:t>
          </w:r>
        </w:p>
      </w:tc>
    </w:tr>
    <w:tr w:rsidR="00D52D49" w14:paraId="065C809C" w14:textId="77777777">
      <w:tc>
        <w:tcPr>
          <w:tcW w:w="2489" w:type="dxa"/>
          <w:shd w:val="clear" w:color="auto" w:fill="auto"/>
          <w:vAlign w:val="center"/>
        </w:tcPr>
        <w:p w14:paraId="35285D0C" w14:textId="77777777" w:rsidR="00D52D49" w:rsidRDefault="00D52D4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88661A2" w14:textId="77777777" w:rsidR="00D52D49" w:rsidRDefault="00D52D4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BEA4B5" w14:textId="77777777" w:rsidR="00D52D49" w:rsidRDefault="00D52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F50"/>
    <w:multiLevelType w:val="multilevel"/>
    <w:tmpl w:val="0CF42AA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E6A34"/>
    <w:multiLevelType w:val="multilevel"/>
    <w:tmpl w:val="37B6A7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E25D62"/>
    <w:multiLevelType w:val="hybridMultilevel"/>
    <w:tmpl w:val="42BED4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B0789D"/>
    <w:multiLevelType w:val="multilevel"/>
    <w:tmpl w:val="F474A92C"/>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41AB7E7B"/>
    <w:multiLevelType w:val="multilevel"/>
    <w:tmpl w:val="27F657E2"/>
    <w:lvl w:ilvl="0">
      <w:start w:val="1"/>
      <w:numFmt w:val="decimal"/>
      <w:lvlText w:val="%1."/>
      <w:lvlJc w:val="left"/>
      <w:pPr>
        <w:ind w:left="1636" w:hanging="359"/>
      </w:pPr>
    </w:lvl>
    <w:lvl w:ilvl="1">
      <w:start w:val="1"/>
      <w:numFmt w:val="lowerLetter"/>
      <w:lvlText w:val="%2."/>
      <w:lvlJc w:val="left"/>
      <w:pPr>
        <w:ind w:left="-3030" w:hanging="360"/>
      </w:pPr>
    </w:lvl>
    <w:lvl w:ilvl="2">
      <w:start w:val="1"/>
      <w:numFmt w:val="lowerRoman"/>
      <w:lvlText w:val="%3."/>
      <w:lvlJc w:val="right"/>
      <w:pPr>
        <w:ind w:left="-2310" w:hanging="180"/>
      </w:pPr>
    </w:lvl>
    <w:lvl w:ilvl="3">
      <w:start w:val="1"/>
      <w:numFmt w:val="decimal"/>
      <w:lvlText w:val="%4."/>
      <w:lvlJc w:val="left"/>
      <w:pPr>
        <w:ind w:left="-1590" w:hanging="360"/>
      </w:pPr>
    </w:lvl>
    <w:lvl w:ilvl="4">
      <w:start w:val="1"/>
      <w:numFmt w:val="lowerLetter"/>
      <w:lvlText w:val="%5."/>
      <w:lvlJc w:val="left"/>
      <w:pPr>
        <w:ind w:left="-870" w:hanging="360"/>
      </w:pPr>
    </w:lvl>
    <w:lvl w:ilvl="5">
      <w:start w:val="1"/>
      <w:numFmt w:val="lowerRoman"/>
      <w:lvlText w:val="%6."/>
      <w:lvlJc w:val="right"/>
      <w:pPr>
        <w:ind w:left="-150" w:hanging="180"/>
      </w:pPr>
    </w:lvl>
    <w:lvl w:ilvl="6">
      <w:start w:val="1"/>
      <w:numFmt w:val="decimal"/>
      <w:lvlText w:val="%7."/>
      <w:lvlJc w:val="left"/>
      <w:pPr>
        <w:ind w:left="570" w:hanging="360"/>
      </w:pPr>
    </w:lvl>
    <w:lvl w:ilvl="7">
      <w:start w:val="1"/>
      <w:numFmt w:val="lowerLetter"/>
      <w:lvlText w:val="%8."/>
      <w:lvlJc w:val="left"/>
      <w:pPr>
        <w:ind w:left="1290" w:hanging="360"/>
      </w:pPr>
    </w:lvl>
    <w:lvl w:ilvl="8">
      <w:start w:val="1"/>
      <w:numFmt w:val="lowerRoman"/>
      <w:lvlText w:val="%9."/>
      <w:lvlJc w:val="right"/>
      <w:pPr>
        <w:ind w:left="2010" w:hanging="180"/>
      </w:pPr>
    </w:lvl>
  </w:abstractNum>
  <w:abstractNum w:abstractNumId="5" w15:restartNumberingAfterBreak="0">
    <w:nsid w:val="429107E9"/>
    <w:multiLevelType w:val="multilevel"/>
    <w:tmpl w:val="428C8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0F21C2"/>
    <w:multiLevelType w:val="multilevel"/>
    <w:tmpl w:val="6C4ADB2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040667"/>
    <w:multiLevelType w:val="multilevel"/>
    <w:tmpl w:val="A454A0F6"/>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B4"/>
    <w:rsid w:val="00012C43"/>
    <w:rsid w:val="00014C16"/>
    <w:rsid w:val="000179D1"/>
    <w:rsid w:val="00030056"/>
    <w:rsid w:val="00040DE4"/>
    <w:rsid w:val="00061840"/>
    <w:rsid w:val="0008664A"/>
    <w:rsid w:val="000A41F3"/>
    <w:rsid w:val="000C0D82"/>
    <w:rsid w:val="000C745D"/>
    <w:rsid w:val="001052CB"/>
    <w:rsid w:val="001450E1"/>
    <w:rsid w:val="00197DFD"/>
    <w:rsid w:val="001C67F7"/>
    <w:rsid w:val="001E4CFB"/>
    <w:rsid w:val="001F226D"/>
    <w:rsid w:val="00222AEF"/>
    <w:rsid w:val="00230A44"/>
    <w:rsid w:val="002378A2"/>
    <w:rsid w:val="00251073"/>
    <w:rsid w:val="00266BF4"/>
    <w:rsid w:val="002923DB"/>
    <w:rsid w:val="00294A91"/>
    <w:rsid w:val="00294CC5"/>
    <w:rsid w:val="002A6A6D"/>
    <w:rsid w:val="002B1D55"/>
    <w:rsid w:val="002C7867"/>
    <w:rsid w:val="0031247B"/>
    <w:rsid w:val="0033666B"/>
    <w:rsid w:val="0034054E"/>
    <w:rsid w:val="00355851"/>
    <w:rsid w:val="00361A16"/>
    <w:rsid w:val="003E7B21"/>
    <w:rsid w:val="004241F4"/>
    <w:rsid w:val="0044731B"/>
    <w:rsid w:val="00452A39"/>
    <w:rsid w:val="00453FDD"/>
    <w:rsid w:val="00483EFC"/>
    <w:rsid w:val="004B1C34"/>
    <w:rsid w:val="004B426E"/>
    <w:rsid w:val="004D79C7"/>
    <w:rsid w:val="004E4E65"/>
    <w:rsid w:val="004F722B"/>
    <w:rsid w:val="0051162D"/>
    <w:rsid w:val="00512A2E"/>
    <w:rsid w:val="00513D35"/>
    <w:rsid w:val="00541215"/>
    <w:rsid w:val="00546658"/>
    <w:rsid w:val="00551584"/>
    <w:rsid w:val="00560D8F"/>
    <w:rsid w:val="005628CC"/>
    <w:rsid w:val="005B2C71"/>
    <w:rsid w:val="005E1B4F"/>
    <w:rsid w:val="005E70E0"/>
    <w:rsid w:val="00636816"/>
    <w:rsid w:val="00644073"/>
    <w:rsid w:val="00665FA4"/>
    <w:rsid w:val="00675A1D"/>
    <w:rsid w:val="0069413B"/>
    <w:rsid w:val="006B2A0B"/>
    <w:rsid w:val="006D3589"/>
    <w:rsid w:val="007376B0"/>
    <w:rsid w:val="00762A96"/>
    <w:rsid w:val="00771249"/>
    <w:rsid w:val="007847F6"/>
    <w:rsid w:val="00787038"/>
    <w:rsid w:val="007C438C"/>
    <w:rsid w:val="007C4484"/>
    <w:rsid w:val="007C66D2"/>
    <w:rsid w:val="007D2CC8"/>
    <w:rsid w:val="008118FC"/>
    <w:rsid w:val="0081316A"/>
    <w:rsid w:val="00816661"/>
    <w:rsid w:val="00870864"/>
    <w:rsid w:val="00891A46"/>
    <w:rsid w:val="008A35F3"/>
    <w:rsid w:val="008C1F71"/>
    <w:rsid w:val="008D6CA0"/>
    <w:rsid w:val="008D7CEA"/>
    <w:rsid w:val="008E4DDE"/>
    <w:rsid w:val="008F1C1D"/>
    <w:rsid w:val="00912D0B"/>
    <w:rsid w:val="00915002"/>
    <w:rsid w:val="009242DF"/>
    <w:rsid w:val="00965E38"/>
    <w:rsid w:val="0097473B"/>
    <w:rsid w:val="009822E3"/>
    <w:rsid w:val="009828F5"/>
    <w:rsid w:val="009A5F9E"/>
    <w:rsid w:val="009C3C85"/>
    <w:rsid w:val="009D723F"/>
    <w:rsid w:val="009E16D2"/>
    <w:rsid w:val="009E4431"/>
    <w:rsid w:val="009F29B4"/>
    <w:rsid w:val="00A8700F"/>
    <w:rsid w:val="00AA360C"/>
    <w:rsid w:val="00AC3541"/>
    <w:rsid w:val="00AF23CE"/>
    <w:rsid w:val="00B156EB"/>
    <w:rsid w:val="00B1733A"/>
    <w:rsid w:val="00B22652"/>
    <w:rsid w:val="00B54BB4"/>
    <w:rsid w:val="00B54C49"/>
    <w:rsid w:val="00B8408D"/>
    <w:rsid w:val="00B96AFA"/>
    <w:rsid w:val="00BA51EF"/>
    <w:rsid w:val="00BE5092"/>
    <w:rsid w:val="00C01ADD"/>
    <w:rsid w:val="00C02417"/>
    <w:rsid w:val="00C35D1D"/>
    <w:rsid w:val="00C43FB9"/>
    <w:rsid w:val="00C5555D"/>
    <w:rsid w:val="00C70F4F"/>
    <w:rsid w:val="00CA10A6"/>
    <w:rsid w:val="00CA62C7"/>
    <w:rsid w:val="00CE2E29"/>
    <w:rsid w:val="00D4045C"/>
    <w:rsid w:val="00D5289A"/>
    <w:rsid w:val="00D52D49"/>
    <w:rsid w:val="00D75CAF"/>
    <w:rsid w:val="00D943E9"/>
    <w:rsid w:val="00D972BA"/>
    <w:rsid w:val="00DA7F84"/>
    <w:rsid w:val="00DB162D"/>
    <w:rsid w:val="00DB2B32"/>
    <w:rsid w:val="00DC3D76"/>
    <w:rsid w:val="00DE32B4"/>
    <w:rsid w:val="00DF4F4C"/>
    <w:rsid w:val="00E10851"/>
    <w:rsid w:val="00E62EA0"/>
    <w:rsid w:val="00E830A0"/>
    <w:rsid w:val="00ED5473"/>
    <w:rsid w:val="00EE1B10"/>
    <w:rsid w:val="00EE3C92"/>
    <w:rsid w:val="00EF0410"/>
    <w:rsid w:val="00EF4477"/>
    <w:rsid w:val="00F0365F"/>
    <w:rsid w:val="00F415CB"/>
    <w:rsid w:val="00F422EF"/>
    <w:rsid w:val="00F538E6"/>
    <w:rsid w:val="00F617F0"/>
    <w:rsid w:val="00F65390"/>
    <w:rsid w:val="00F72BB4"/>
    <w:rsid w:val="00F85765"/>
    <w:rsid w:val="00F9420D"/>
    <w:rsid w:val="00F95F93"/>
    <w:rsid w:val="00FB02BC"/>
    <w:rsid w:val="00FB42BB"/>
    <w:rsid w:val="00FC5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A1BC"/>
  <w15:docId w15:val="{B98D3CD5-7BF3-424F-B2AD-DC11363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9"/>
    <w:tblPr>
      <w:tblStyleRowBandSize w:val="1"/>
      <w:tblStyleColBandSize w:val="1"/>
      <w:tblCellMar>
        <w:left w:w="115" w:type="dxa"/>
        <w:right w:w="115" w:type="dxa"/>
      </w:tblCellMar>
    </w:tblPr>
  </w:style>
  <w:style w:type="table" w:customStyle="1" w:styleId="a4">
    <w:basedOn w:val="TableNormal9"/>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INAI"/>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INAI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left w:w="115" w:type="dxa"/>
        <w:right w:w="115" w:type="dxa"/>
      </w:tblCellMar>
    </w:tblPr>
  </w:style>
  <w:style w:type="table" w:customStyle="1" w:styleId="ab">
    <w:basedOn w:val="TableNormal8"/>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08" w:type="dxa"/>
        <w:right w:w="108" w:type="dxa"/>
      </w:tblCellMar>
    </w:tblPr>
  </w:style>
  <w:style w:type="table" w:customStyle="1" w:styleId="ad">
    <w:basedOn w:val="TableNormal7"/>
    <w:tblPr>
      <w:tblStyleRowBandSize w:val="1"/>
      <w:tblStyleColBandSize w:val="1"/>
      <w:tblCellMar>
        <w:left w:w="115" w:type="dxa"/>
        <w:right w:w="115" w:type="dxa"/>
      </w:tblCellMar>
    </w:tblPr>
  </w:style>
  <w:style w:type="table" w:customStyle="1" w:styleId="ae">
    <w:basedOn w:val="TableNormal7"/>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bC8oSeTb9cFSWs8FJvlwhz58A==">CgMxLjAyCWguM3JkY3JqbjIJaC40ZDM0b2c4MghoLmdqZGd4czIJaC4zZHk2dmttMgloLjMwajB6bGwyCWguMnM4ZXlvMTIIaC50eWpjd3QyCWguM3pueXNoNzIJaC4yZXQ5MnAwMgloLjF0M2g1c2YyCWguMjZpbjFyZzIJaC4zNW5rdW4yMgloLjFmb2I5dGUyCWguMTdkcDh2dTIOaC5vdDNxcTZ2eGEwOGY4AHIhMW5idjBtdm13ZlVKVjlxeTgzb0tWYnFyYmQ1WGJ6N0Q4</go:docsCustomData>
</go:gDocsCustomXmlDataStorage>
</file>

<file path=customXml/itemProps1.xml><?xml version="1.0" encoding="utf-8"?>
<ds:datastoreItem xmlns:ds="http://schemas.openxmlformats.org/officeDocument/2006/customXml" ds:itemID="{5B2A5278-73ED-49B7-BCBE-32850C0F08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5527</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2025-03-07T21:19:00Z</cp:lastPrinted>
  <dcterms:created xsi:type="dcterms:W3CDTF">2025-03-31T19:56:00Z</dcterms:created>
  <dcterms:modified xsi:type="dcterms:W3CDTF">2025-03-31T19:56:00Z</dcterms:modified>
</cp:coreProperties>
</file>