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151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veinticuatro de septiembre de dos mil veinticinco. </w:t>
      </w:r>
    </w:p>
    <w:p w14:paraId="3414E04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FECD8F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Visto</w:t>
      </w:r>
      <w:r w:rsidRPr="00E7469C">
        <w:rPr>
          <w:rFonts w:ascii="Palatino Linotype" w:eastAsia="Palatino Linotype" w:hAnsi="Palatino Linotype" w:cs="Palatino Linotype"/>
          <w:sz w:val="22"/>
          <w:szCs w:val="22"/>
        </w:rPr>
        <w:t xml:space="preserve"> el expediente relativo al recurso de revisión </w:t>
      </w:r>
      <w:r w:rsidRPr="00E7469C">
        <w:rPr>
          <w:rFonts w:ascii="Palatino Linotype" w:eastAsia="Palatino Linotype" w:hAnsi="Palatino Linotype" w:cs="Palatino Linotype"/>
          <w:b/>
          <w:sz w:val="22"/>
          <w:szCs w:val="22"/>
        </w:rPr>
        <w:t>04684/INFOEM/IP/RR/2025</w:t>
      </w:r>
      <w:r w:rsidRPr="00E7469C">
        <w:rPr>
          <w:rFonts w:ascii="Palatino Linotype" w:eastAsia="Palatino Linotype" w:hAnsi="Palatino Linotype" w:cs="Palatino Linotype"/>
          <w:sz w:val="22"/>
          <w:szCs w:val="22"/>
        </w:rPr>
        <w:t xml:space="preserve">, interpuesto por </w:t>
      </w:r>
      <w:r w:rsidRPr="00E7469C">
        <w:rPr>
          <w:rFonts w:ascii="Palatino Linotype" w:eastAsia="Palatino Linotype" w:hAnsi="Palatino Linotype" w:cs="Palatino Linotype"/>
          <w:b/>
          <w:sz w:val="22"/>
          <w:szCs w:val="22"/>
        </w:rPr>
        <w:t xml:space="preserve">un particular que no proporcionó nombre o seudónimo, </w:t>
      </w:r>
      <w:r w:rsidRPr="00E7469C">
        <w:rPr>
          <w:rFonts w:ascii="Palatino Linotype" w:eastAsia="Palatino Linotype" w:hAnsi="Palatino Linotype" w:cs="Palatino Linotype"/>
          <w:sz w:val="22"/>
          <w:szCs w:val="22"/>
        </w:rPr>
        <w:t>en lo sucesivo se le denominará la parte</w:t>
      </w:r>
      <w:r w:rsidRPr="00E7469C">
        <w:rPr>
          <w:rFonts w:ascii="Palatino Linotype" w:eastAsia="Palatino Linotype" w:hAnsi="Palatino Linotype" w:cs="Palatino Linotype"/>
          <w:b/>
          <w:sz w:val="22"/>
          <w:szCs w:val="22"/>
        </w:rPr>
        <w:t xml:space="preserve"> Recurrente</w:t>
      </w:r>
      <w:r w:rsidRPr="00E7469C">
        <w:rPr>
          <w:rFonts w:ascii="Palatino Linotype" w:eastAsia="Palatino Linotype" w:hAnsi="Palatino Linotype" w:cs="Palatino Linotype"/>
          <w:sz w:val="22"/>
          <w:szCs w:val="22"/>
        </w:rPr>
        <w:t>, en contra de la respuesta a su solicitud de información con número de folio</w:t>
      </w:r>
      <w:r w:rsidRPr="00E7469C">
        <w:rPr>
          <w:rFonts w:ascii="Palatino Linotype" w:eastAsia="Palatino Linotype" w:hAnsi="Palatino Linotype" w:cs="Palatino Linotype"/>
          <w:b/>
          <w:sz w:val="22"/>
          <w:szCs w:val="22"/>
        </w:rPr>
        <w:t xml:space="preserve"> 00224/ATLACOM/IP/2025</w:t>
      </w:r>
      <w:r w:rsidRPr="00E7469C">
        <w:rPr>
          <w:rFonts w:ascii="Palatino Linotype" w:eastAsia="Palatino Linotype" w:hAnsi="Palatino Linotype" w:cs="Palatino Linotype"/>
          <w:sz w:val="22"/>
          <w:szCs w:val="22"/>
        </w:rPr>
        <w:t xml:space="preserve">, por parte del </w:t>
      </w:r>
      <w:r w:rsidRPr="00E7469C">
        <w:rPr>
          <w:rFonts w:ascii="Palatino Linotype" w:eastAsia="Palatino Linotype" w:hAnsi="Palatino Linotype" w:cs="Palatino Linotype"/>
          <w:b/>
          <w:sz w:val="22"/>
          <w:szCs w:val="22"/>
        </w:rPr>
        <w:t xml:space="preserve">Ayuntamiento de Atlacomulco </w:t>
      </w:r>
      <w:r w:rsidRPr="00E7469C">
        <w:rPr>
          <w:rFonts w:ascii="Palatino Linotype" w:eastAsia="Palatino Linotype" w:hAnsi="Palatino Linotype" w:cs="Palatino Linotype"/>
          <w:sz w:val="22"/>
          <w:szCs w:val="22"/>
        </w:rPr>
        <w:t xml:space="preserve">en lo sucesivo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sz w:val="22"/>
          <w:szCs w:val="22"/>
        </w:rPr>
        <w:t>se procede a dictar la presente resolución, con base en los siguientes:</w:t>
      </w:r>
    </w:p>
    <w:p w14:paraId="5C4D298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73F85DA" w14:textId="77777777" w:rsidR="002377F0" w:rsidRPr="00E7469C" w:rsidRDefault="008C7182">
      <w:pPr>
        <w:numPr>
          <w:ilvl w:val="0"/>
          <w:numId w:val="4"/>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A N T E C E D E N T E S:</w:t>
      </w:r>
    </w:p>
    <w:p w14:paraId="7AFEB330" w14:textId="77777777" w:rsidR="002377F0" w:rsidRPr="00E7469C" w:rsidRDefault="002377F0">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82D4515" w14:textId="77777777" w:rsidR="002377F0" w:rsidRPr="00E7469C" w:rsidRDefault="008C7182">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Solicitud de acceso a la información. </w:t>
      </w:r>
      <w:r w:rsidRPr="00E7469C">
        <w:rPr>
          <w:rFonts w:ascii="Palatino Linotype" w:eastAsia="Palatino Linotype" w:hAnsi="Palatino Linotype" w:cs="Palatino Linotype"/>
          <w:sz w:val="22"/>
          <w:szCs w:val="22"/>
        </w:rPr>
        <w:t xml:space="preserve">Con fecha </w:t>
      </w:r>
      <w:r w:rsidRPr="00E7469C">
        <w:rPr>
          <w:rFonts w:ascii="Palatino Linotype" w:eastAsia="Palatino Linotype" w:hAnsi="Palatino Linotype" w:cs="Palatino Linotype"/>
          <w:b/>
          <w:sz w:val="22"/>
          <w:szCs w:val="22"/>
        </w:rPr>
        <w:t>siete de marzo de dos mil veinticinco</w:t>
      </w:r>
      <w:r w:rsidRPr="00E7469C">
        <w:rPr>
          <w:rFonts w:ascii="Palatino Linotype" w:eastAsia="Palatino Linotype" w:hAnsi="Palatino Linotype" w:cs="Palatino Linotype"/>
          <w:sz w:val="22"/>
          <w:szCs w:val="22"/>
        </w:rPr>
        <w:t xml:space="preserv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formuló solicitud de acceso a información pública al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 través del Sistema de Acceso a la Información Mexiquense, en adelante </w:t>
      </w:r>
      <w:r w:rsidRPr="00E7469C">
        <w:rPr>
          <w:rFonts w:ascii="Palatino Linotype" w:eastAsia="Palatino Linotype" w:hAnsi="Palatino Linotype" w:cs="Palatino Linotype"/>
          <w:b/>
          <w:sz w:val="22"/>
          <w:szCs w:val="22"/>
        </w:rPr>
        <w:t>SAIMEX</w:t>
      </w:r>
      <w:r w:rsidRPr="00E7469C">
        <w:rPr>
          <w:rFonts w:ascii="Palatino Linotype" w:eastAsia="Palatino Linotype" w:hAnsi="Palatino Linotype" w:cs="Palatino Linotype"/>
          <w:sz w:val="22"/>
          <w:szCs w:val="22"/>
        </w:rPr>
        <w:t>, requiriéndole lo siguiente:</w:t>
      </w:r>
    </w:p>
    <w:p w14:paraId="1BBFE7DC"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C2EA35D"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“1.- SOLICITO ME ENVIEN EL PADRON DE PROVEDORES QUE TIENE EL MUNICIPIO 2.- SOLICITO ME INFORMEN DE LOS ESTABLECIMIENTOS, NEGOCIOS O EMPRESAS QUIEN NO CUENTA CON SU LICENCIA DE FUNCIONAMIENTO ASI MISMO EL MOTIVO Y DE LAS QUE SI TIENEN SOLICITO ME ENVIEN DICHAS LICENCIAS 3.- SOLICITO LA NOMINA GENERAL DEL LA ULTIMA QUINCENA DEL AÑO 2024 ASI MISMO SOLICITO LA NOMINA DE LA SEGUNDA QUINCENA DE FEBRERO DEL AÑO 2025 4.- SOLICITO SABER EL PORQUE SU PORTAL DE MEJORA REGULATORIA DE TRANSPARENCIA </w:t>
      </w:r>
      <w:r w:rsidRPr="00E7469C">
        <w:rPr>
          <w:rFonts w:ascii="Palatino Linotype" w:eastAsia="Palatino Linotype" w:hAnsi="Palatino Linotype" w:cs="Palatino Linotype"/>
          <w:i/>
          <w:sz w:val="22"/>
          <w:szCs w:val="22"/>
        </w:rPr>
        <w:lastRenderedPageBreak/>
        <w:t xml:space="preserve">(IPOMEX) NO SE ENCUENTRA ACTUALIZADO Y EL MOTIVO 5.- SOLICITO ME ENVIE TODAS LA CEDULAS DE TRAMITES Y SERVCIOS CON LOS QUE CUENTA EN MUNICIPIO ASI MISMO TODAS LA CEDULAS DE DATOS PERSONALES CON SUS ANEXO DE ACUERDO A LOS ESTABLECIDO EN LA LEY DE PROTECCION DE DATOS PERSONALES 6.- SOLICITO TODOS LOS PROGRAMAS QUE EL MUNCIPIO ESTADANDO ASI COMO SU PLAN DE DESARROLLO MUNICIPAL 7.- SOLICITO TODOS LOS CONTRATOS DEL LA ADMINSITRACION DEL 2025 8.- SOLCITO ME ENVIO EL INVENTARIO DE TODO EL PARQUE VEHICULAR DEL MUNICIPIO 9.- SOLCITO LA NOMINA GENERAL DE LA SEGUNDA QUINCENA DE SEGURIDAD PUBLICA 10.- SOLICITO EL INVENTARIO DE TODO EL PARQUE VEHICULAR DE SEGURIDAD PUBLICA Y SES RESGUARDOS, ASI MISMO ME INFORMEN QUE PATRULLAS AUN ESTAN EN SERVICIO Y LAS QUE NO SOLICITO SU DICTAMEN 11.- SOLICITO SABER CUANTAS DENUNCIAS S HAN INTERPUESTO O CUANTOS CASOS DE MALTRATO A LA MUJER SE AN DADO EN EL MUNICIPIO 12.- SOLICITO SABER LA NOMINA DE TODO EL PERSONAL DE CONTRALORIA 13.- SOLICITO SABER LA NOMIA DE TODO EL PERSONAL DE ADMINISTRACION 14.- SOLICITO DEL CONTRALORIA SABER CUANTOS PROCEDIMIENTOS HAN INICIADO EN TODO EL SENTIDO Y LA RESOLUCIONES QUE HAN GENERADO EN LOS AÑOS 2023, 2024 Y LO QUE LLEVAMOS EN EL 2025 15.- SOLICITO SABER TODAS LAS OBRAS QUE SE REALIZARON EN EL 2024 Y 2023 Y EL MONTO QUE SE GASTO Y LOS CONTRATOS DE OBRAS 16.- SOLICITO TODAS LA LICITACIONES QUE SE DIERON EN EL 2022, 2023, 2024 Y 2025 17.- SOLICITO TODOS LOS CONTRATOS DE ARRENDAMIENTO QUE SE DIERON EN EL 2022, 2023, 2024 Y 2025 18.- SOLICITO TODAS LA LICENCIAS DE FUNCIONAMIENTO QUE SE DIERON EN VERCION PUBLICA DEL 2022, 2023, 2024 Y 2025 19.- SOLICITO TODAS LAS LICENCIAS DE CONSTRUCION QUE SE DIERON EN VERCION PUBLICA DEL AÑO 2022, 2023, 2024 Y 2025 20.- SOLICITOSABER SI EL MUNICIPIO LLEGO A TENER ALGUNA OBSERVACION POR EL OSFEM Y SI FUERA EL CASO EL MOTIVO 21.- SOLICITO TODO EL INVENTARIO DEL ARMAMENTO DEL SEGURIDAD </w:t>
      </w:r>
      <w:r w:rsidRPr="00E7469C">
        <w:rPr>
          <w:rFonts w:ascii="Palatino Linotype" w:eastAsia="Palatino Linotype" w:hAnsi="Palatino Linotype" w:cs="Palatino Linotype"/>
          <w:i/>
          <w:sz w:val="22"/>
          <w:szCs w:val="22"/>
        </w:rPr>
        <w:lastRenderedPageBreak/>
        <w:t>PUBLICA 22.- SOLICITO TODOS LOS CONVENIOS EN VERSION PUBLICA QUE HAN GENERADO EN EL 2022, 2023, 2024 Y 2025 23.- SOLICITO LA NOMINA DE LA SEGUNDA QUINCENA DE FEBRERO DE TODOS LOS MANDOS MEDIOS Y SUPERIORES Y SINDICOS, REGIDORES Y PRESIDENTA O PRESIDENTE TODA LA NFORMACION LA REQUIERO EN PDF NO QUIERO PAGINAS WEB, YA QUE EL IMCUMPLIMIENTO DE DICHA SOLICITUD PUEDE SER ACREDER A UNA MEDIDA DE APREMIO”</w:t>
      </w:r>
    </w:p>
    <w:p w14:paraId="143DE25B" w14:textId="77777777" w:rsidR="002377F0" w:rsidRPr="00E7469C" w:rsidRDefault="002377F0">
      <w:pPr>
        <w:spacing w:line="360" w:lineRule="auto"/>
        <w:ind w:left="709" w:right="900"/>
        <w:jc w:val="both"/>
        <w:rPr>
          <w:rFonts w:ascii="Palatino Linotype" w:eastAsia="Palatino Linotype" w:hAnsi="Palatino Linotype" w:cs="Palatino Linotype"/>
          <w:b/>
          <w:i/>
          <w:sz w:val="22"/>
          <w:szCs w:val="22"/>
        </w:rPr>
      </w:pPr>
    </w:p>
    <w:p w14:paraId="2521800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Modalidad elegida para la entrega de la información: </w:t>
      </w:r>
      <w:r w:rsidRPr="00E7469C">
        <w:rPr>
          <w:rFonts w:ascii="Palatino Linotype" w:eastAsia="Palatino Linotype" w:hAnsi="Palatino Linotype" w:cs="Palatino Linotype"/>
          <w:sz w:val="22"/>
          <w:szCs w:val="22"/>
        </w:rPr>
        <w:t xml:space="preserve">a través del Sistema de Acceso a la Información Mexiquense. </w:t>
      </w:r>
    </w:p>
    <w:p w14:paraId="113A0EAD" w14:textId="77777777" w:rsidR="002377F0" w:rsidRPr="00E7469C" w:rsidRDefault="008C7182">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2. Prórroga. </w:t>
      </w:r>
      <w:r w:rsidRPr="00E7469C">
        <w:rPr>
          <w:rFonts w:ascii="Palatino Linotype" w:eastAsia="Palatino Linotype" w:hAnsi="Palatino Linotype" w:cs="Palatino Linotype"/>
          <w:sz w:val="22"/>
          <w:szCs w:val="22"/>
        </w:rPr>
        <w:t xml:space="preserve">Con fecha </w:t>
      </w:r>
      <w:r w:rsidRPr="00E7469C">
        <w:rPr>
          <w:rFonts w:ascii="Palatino Linotype" w:eastAsia="Palatino Linotype" w:hAnsi="Palatino Linotype" w:cs="Palatino Linotype"/>
          <w:b/>
          <w:sz w:val="22"/>
          <w:szCs w:val="22"/>
        </w:rPr>
        <w:t xml:space="preserve">treinta y uno de marzo de dos mil veinticinco, en el recurso de revisión 04684/INFOEM/IP/RR/2025, </w:t>
      </w:r>
      <w:r w:rsidRPr="00E7469C">
        <w:rPr>
          <w:rFonts w:ascii="Palatino Linotype" w:eastAsia="Palatino Linotype" w:hAnsi="Palatino Linotype" w:cs="Palatino Linotype"/>
          <w:sz w:val="22"/>
          <w:szCs w:val="22"/>
        </w:rPr>
        <w:t xml:space="preserve">el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solicitó prórroga</w:t>
      </w:r>
      <w:r w:rsidRPr="00E7469C">
        <w:rPr>
          <w:sz w:val="22"/>
          <w:szCs w:val="22"/>
        </w:rPr>
        <w:t xml:space="preserve"> </w:t>
      </w:r>
      <w:r w:rsidRPr="00E7469C">
        <w:rPr>
          <w:rFonts w:ascii="Palatino Linotype" w:eastAsia="Palatino Linotype" w:hAnsi="Palatino Linotype" w:cs="Palatino Linotype"/>
          <w:sz w:val="22"/>
          <w:szCs w:val="22"/>
        </w:rPr>
        <w:t>a través del Sistema de Acceso a la Información Mexiquense, en lo subsecuente el SAIMEX, para dar atención a solicitud de acceso a información pública, bajo los siguientes términos:</w:t>
      </w:r>
    </w:p>
    <w:p w14:paraId="7B51ACCE" w14:textId="77777777" w:rsidR="002377F0" w:rsidRPr="00E7469C" w:rsidRDefault="008C7182">
      <w:pPr>
        <w:pBdr>
          <w:top w:val="nil"/>
          <w:left w:val="nil"/>
          <w:bottom w:val="nil"/>
          <w:right w:val="nil"/>
          <w:between w:val="nil"/>
        </w:pBdr>
        <w:tabs>
          <w:tab w:val="left" w:pos="142"/>
          <w:tab w:val="left" w:pos="284"/>
        </w:tabs>
        <w:spacing w:line="276" w:lineRule="auto"/>
        <w:ind w:left="567" w:right="616"/>
        <w:jc w:val="both"/>
        <w:rPr>
          <w:rFonts w:ascii="Palatino Linotype" w:eastAsia="Palatino Linotype" w:hAnsi="Palatino Linotype" w:cs="Palatino Linotype"/>
          <w:i/>
          <w:sz w:val="22"/>
          <w:szCs w:val="22"/>
        </w:rPr>
      </w:pPr>
      <w:proofErr w:type="gramStart"/>
      <w:r w:rsidRPr="00E7469C">
        <w:rPr>
          <w:rFonts w:ascii="Palatino Linotype" w:eastAsia="Palatino Linotype" w:hAnsi="Palatino Linotype" w:cs="Palatino Linotype"/>
          <w:sz w:val="22"/>
          <w:szCs w:val="22"/>
        </w:rPr>
        <w:t>“….</w:t>
      </w:r>
      <w:proofErr w:type="gramEnd"/>
      <w:r w:rsidRPr="00E7469C">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75F5041" w14:textId="77777777" w:rsidR="002377F0" w:rsidRPr="00E7469C" w:rsidRDefault="008C7182">
      <w:pPr>
        <w:pBdr>
          <w:top w:val="nil"/>
          <w:left w:val="nil"/>
          <w:bottom w:val="nil"/>
          <w:right w:val="nil"/>
          <w:between w:val="nil"/>
        </w:pBdr>
        <w:tabs>
          <w:tab w:val="left" w:pos="142"/>
          <w:tab w:val="left" w:pos="284"/>
        </w:tabs>
        <w:spacing w:line="276" w:lineRule="auto"/>
        <w:ind w:left="567"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Se aprueba prórroga en la Décima Segunda Sesión Extraordinaria del Comité de Transparencia</w:t>
      </w:r>
    </w:p>
    <w:p w14:paraId="6E967300" w14:textId="77777777" w:rsidR="002377F0" w:rsidRPr="00E7469C" w:rsidRDefault="008C7182">
      <w:pPr>
        <w:pBdr>
          <w:top w:val="nil"/>
          <w:left w:val="nil"/>
          <w:bottom w:val="nil"/>
          <w:right w:val="nil"/>
          <w:between w:val="nil"/>
        </w:pBdr>
        <w:tabs>
          <w:tab w:val="left" w:pos="142"/>
          <w:tab w:val="left" w:pos="284"/>
        </w:tabs>
        <w:spacing w:line="276" w:lineRule="auto"/>
        <w:ind w:left="567"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C. Claudia Monroy Amparo</w:t>
      </w:r>
    </w:p>
    <w:p w14:paraId="1CC6B958" w14:textId="77777777" w:rsidR="002377F0" w:rsidRPr="00E7469C" w:rsidRDefault="008C7182">
      <w:pPr>
        <w:pBdr>
          <w:top w:val="nil"/>
          <w:left w:val="nil"/>
          <w:bottom w:val="nil"/>
          <w:right w:val="nil"/>
          <w:between w:val="nil"/>
        </w:pBdr>
        <w:tabs>
          <w:tab w:val="left" w:pos="142"/>
          <w:tab w:val="left" w:pos="284"/>
        </w:tabs>
        <w:spacing w:line="276" w:lineRule="auto"/>
        <w:ind w:left="567" w:right="616"/>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Responsable de la Unidad de Transparencia</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i/>
          <w:sz w:val="22"/>
          <w:szCs w:val="22"/>
        </w:rPr>
        <w:t>(sic)</w:t>
      </w:r>
    </w:p>
    <w:p w14:paraId="0EC11FA4"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E792AC"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Como refiere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w:t>
      </w:r>
      <w:r w:rsidRPr="00E7469C">
        <w:rPr>
          <w:rFonts w:ascii="Palatino Linotype" w:eastAsia="Palatino Linotype" w:hAnsi="Palatino Linotype" w:cs="Palatino Linotype"/>
          <w:sz w:val="22"/>
          <w:szCs w:val="22"/>
        </w:rPr>
        <w:lastRenderedPageBreak/>
        <w:t>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4BF29DE3"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9FD94B" w14:textId="77777777" w:rsidR="002377F0" w:rsidRPr="00E7469C" w:rsidRDefault="008C7182">
      <w:pPr>
        <w:numPr>
          <w:ilvl w:val="0"/>
          <w:numId w:val="37"/>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Respuesta. </w:t>
      </w:r>
      <w:r w:rsidRPr="00E7469C">
        <w:rPr>
          <w:rFonts w:ascii="Palatino Linotype" w:eastAsia="Palatino Linotype" w:hAnsi="Palatino Linotype" w:cs="Palatino Linotype"/>
          <w:sz w:val="22"/>
          <w:szCs w:val="22"/>
        </w:rPr>
        <w:t xml:space="preserve">Con fecha </w:t>
      </w:r>
      <w:r w:rsidRPr="00E7469C">
        <w:rPr>
          <w:rFonts w:ascii="Palatino Linotype" w:eastAsia="Palatino Linotype" w:hAnsi="Palatino Linotype" w:cs="Palatino Linotype"/>
          <w:b/>
          <w:sz w:val="22"/>
          <w:szCs w:val="22"/>
        </w:rPr>
        <w:t>nueve de abril de dos mil veinticinco</w:t>
      </w:r>
      <w:r w:rsidRPr="00E7469C">
        <w:rPr>
          <w:rFonts w:ascii="Palatino Linotype" w:eastAsia="Palatino Linotype" w:hAnsi="Palatino Linotype" w:cs="Palatino Linotype"/>
          <w:sz w:val="22"/>
          <w:szCs w:val="22"/>
        </w:rPr>
        <w:t xml:space="preserv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505FE531" w14:textId="77777777" w:rsidR="002377F0" w:rsidRPr="00E7469C" w:rsidRDefault="002377F0">
      <w:pPr>
        <w:tabs>
          <w:tab w:val="left" w:pos="7371"/>
        </w:tabs>
        <w:spacing w:line="276" w:lineRule="auto"/>
        <w:ind w:left="851" w:right="616"/>
        <w:jc w:val="both"/>
        <w:rPr>
          <w:rFonts w:ascii="Palatino Linotype" w:eastAsia="Palatino Linotype" w:hAnsi="Palatino Linotype" w:cs="Palatino Linotype"/>
          <w:i/>
          <w:sz w:val="22"/>
          <w:szCs w:val="22"/>
        </w:rPr>
      </w:pPr>
      <w:bookmarkStart w:id="0" w:name="_heading=h.3znysh7" w:colFirst="0" w:colLast="0"/>
      <w:bookmarkEnd w:id="0"/>
    </w:p>
    <w:p w14:paraId="09E86591" w14:textId="77777777" w:rsidR="002377F0" w:rsidRPr="00E7469C" w:rsidRDefault="008C7182">
      <w:pPr>
        <w:tabs>
          <w:tab w:val="left" w:pos="7371"/>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8D1A35" w14:textId="77777777" w:rsidR="002377F0" w:rsidRPr="00E7469C" w:rsidRDefault="008C7182">
      <w:pPr>
        <w:tabs>
          <w:tab w:val="left" w:pos="7371"/>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Se atiende solicitud de información.</w:t>
      </w:r>
    </w:p>
    <w:p w14:paraId="47333560" w14:textId="77777777" w:rsidR="002377F0" w:rsidRPr="00E7469C" w:rsidRDefault="008C7182">
      <w:pPr>
        <w:tabs>
          <w:tab w:val="left" w:pos="7371"/>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ATENTAMENTE</w:t>
      </w:r>
    </w:p>
    <w:p w14:paraId="129380B7" w14:textId="77777777" w:rsidR="002377F0" w:rsidRPr="00E7469C" w:rsidRDefault="008C7182">
      <w:pPr>
        <w:tabs>
          <w:tab w:val="left" w:pos="7371"/>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C. Claudia Monroy Amparo” (Sic)</w:t>
      </w:r>
    </w:p>
    <w:p w14:paraId="3FBDA1FB"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8FBE82F"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Del mismo modo,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adjuntó a su respuesta los siguientes archivos electrónicos: </w:t>
      </w:r>
    </w:p>
    <w:p w14:paraId="23073049"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5D438DC" w14:textId="77777777" w:rsidR="002377F0" w:rsidRPr="00E7469C" w:rsidRDefault="008C7182">
      <w:pPr>
        <w:numPr>
          <w:ilvl w:val="0"/>
          <w:numId w:val="3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RES_SOL_0224_UIPPE_2025.pdf</w:t>
      </w:r>
      <w:r w:rsidRPr="00E7469C">
        <w:rPr>
          <w:rFonts w:ascii="Palatino Linotype" w:eastAsia="Palatino Linotype" w:hAnsi="Palatino Linotype" w:cs="Palatino Linotype"/>
          <w:sz w:val="22"/>
          <w:szCs w:val="22"/>
        </w:rPr>
        <w:t xml:space="preserve">: Oficio número PM/UIPPE/088/03/2025 de fecha trece de marzo de dos mil veinticinco, signado por el Titular de la Unidad de Información, Planeación, Programación y Evaluación, mediante el cual informó que respecto a los Programas de del Plan de Desarrollo Municipal, dicha unidad administrativa se encuentra en proceso de inscripción el Plan de Desarrollo Municipal 2025-2027 ante el Registro Estatal de Planes y Programas, de conformidad con la Ley de Planeación del Estado de México y Municipios, mismo que habrá de regir el crecimiento económico del Municipio y en cuanto este </w:t>
      </w:r>
      <w:r w:rsidRPr="00E7469C">
        <w:rPr>
          <w:rFonts w:ascii="Palatino Linotype" w:eastAsia="Palatino Linotype" w:hAnsi="Palatino Linotype" w:cs="Palatino Linotype"/>
          <w:sz w:val="22"/>
          <w:szCs w:val="22"/>
        </w:rPr>
        <w:lastRenderedPageBreak/>
        <w:t xml:space="preserve">registrado y aprobado será publicado en la página web oficial del Ayuntamiento de Atlacomulco. </w:t>
      </w:r>
    </w:p>
    <w:p w14:paraId="19962FAF" w14:textId="77777777" w:rsidR="002377F0" w:rsidRPr="00E7469C" w:rsidRDefault="002377F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1B0054C" w14:textId="77777777" w:rsidR="002377F0" w:rsidRPr="00E7469C" w:rsidRDefault="008C7182">
      <w:pPr>
        <w:numPr>
          <w:ilvl w:val="0"/>
          <w:numId w:val="3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DOP_0224_RESPUESTA_006.pdf</w:t>
      </w:r>
      <w:r w:rsidRPr="00E7469C">
        <w:rPr>
          <w:rFonts w:ascii="Palatino Linotype" w:eastAsia="Palatino Linotype" w:hAnsi="Palatino Linotype" w:cs="Palatino Linotype"/>
          <w:sz w:val="22"/>
          <w:szCs w:val="22"/>
        </w:rPr>
        <w:t xml:space="preserve">: Documento que contiene la Relación de Licitaciones 2024, del que se advierte número progresivo, número de obra, nombre de la obra o acción y localidad. </w:t>
      </w:r>
    </w:p>
    <w:p w14:paraId="48C7FB57"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2A6599E3" wp14:editId="16CD66B8">
            <wp:extent cx="4541413" cy="941375"/>
            <wp:effectExtent l="0" t="0" r="0" b="0"/>
            <wp:docPr id="214492369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4541413" cy="941375"/>
                    </a:xfrm>
                    <a:prstGeom prst="rect">
                      <a:avLst/>
                    </a:prstGeom>
                    <a:ln/>
                  </pic:spPr>
                </pic:pic>
              </a:graphicData>
            </a:graphic>
          </wp:inline>
        </w:drawing>
      </w:r>
    </w:p>
    <w:p w14:paraId="3B02246E"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DOP_0224_RESPUESTA_001.pdf</w:t>
      </w:r>
      <w:r w:rsidRPr="00E7469C">
        <w:rPr>
          <w:rFonts w:ascii="Palatino Linotype" w:eastAsia="Palatino Linotype" w:hAnsi="Palatino Linotype" w:cs="Palatino Linotype"/>
          <w:sz w:val="22"/>
          <w:szCs w:val="22"/>
        </w:rPr>
        <w:t xml:space="preserve">: Oficio número DOP/130/03/2025 de fecha veinticinco de marzo de dos mil veinticinco, signado por el </w:t>
      </w:r>
      <w:proofErr w:type="gramStart"/>
      <w:r w:rsidRPr="00E7469C">
        <w:rPr>
          <w:rFonts w:ascii="Palatino Linotype" w:eastAsia="Palatino Linotype" w:hAnsi="Palatino Linotype" w:cs="Palatino Linotype"/>
          <w:sz w:val="22"/>
          <w:szCs w:val="22"/>
        </w:rPr>
        <w:t>Director</w:t>
      </w:r>
      <w:proofErr w:type="gramEnd"/>
      <w:r w:rsidRPr="00E7469C">
        <w:rPr>
          <w:rFonts w:ascii="Palatino Linotype" w:eastAsia="Palatino Linotype" w:hAnsi="Palatino Linotype" w:cs="Palatino Linotype"/>
          <w:sz w:val="22"/>
          <w:szCs w:val="22"/>
        </w:rPr>
        <w:t xml:space="preserve"> de Obras Públicas, en el que informó lo siguiente: </w:t>
      </w:r>
    </w:p>
    <w:p w14:paraId="5C3C520C"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7.- Solicito todos los contratos de la administración 2025</w:t>
      </w:r>
      <w:r w:rsidRPr="00E7469C">
        <w:rPr>
          <w:rFonts w:ascii="Palatino Linotype" w:eastAsia="Palatino Linotype" w:hAnsi="Palatino Linotype" w:cs="Palatino Linotype"/>
          <w:i/>
          <w:sz w:val="22"/>
          <w:szCs w:val="22"/>
        </w:rPr>
        <w:t>.</w:t>
      </w:r>
    </w:p>
    <w:p w14:paraId="11247825"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"Le comento que por el tipo de trámite administrativo que se lleva con respecto a la adjudicación de una obra, los contratos están expuestos a adiciones y modificaciones hasta la culminación de los trabajos, ya que puede haber modificación al plazo, monto y ajustes de costos, todo ello plasmado en el contrato dentro de sus cláusulas Octava, Novena y Décima, así como los posibles convenios modificatorios.</w:t>
      </w:r>
    </w:p>
    <w:p w14:paraId="3F21D87E"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La información solicitada se encuentra en integración y en cuanto se cuente con ella se hará entrega de </w:t>
      </w:r>
      <w:proofErr w:type="gramStart"/>
      <w:r w:rsidRPr="00E7469C">
        <w:rPr>
          <w:rFonts w:ascii="Palatino Linotype" w:eastAsia="Palatino Linotype" w:hAnsi="Palatino Linotype" w:cs="Palatino Linotype"/>
          <w:i/>
          <w:sz w:val="22"/>
          <w:szCs w:val="22"/>
        </w:rPr>
        <w:t>la misma</w:t>
      </w:r>
      <w:proofErr w:type="gramEnd"/>
      <w:r w:rsidRPr="00E7469C">
        <w:rPr>
          <w:rFonts w:ascii="Palatino Linotype" w:eastAsia="Palatino Linotype" w:hAnsi="Palatino Linotype" w:cs="Palatino Linotype"/>
          <w:i/>
          <w:sz w:val="22"/>
          <w:szCs w:val="22"/>
        </w:rPr>
        <w:t>.</w:t>
      </w:r>
    </w:p>
    <w:p w14:paraId="107B2455"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5F2D7A17"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15.- Solicito saber todas las obras que se realizaron en el 2024 y 2023 y el monto que se gastó y los contratos de obras.</w:t>
      </w:r>
    </w:p>
    <w:p w14:paraId="6EB19A72"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"Adjunto lista de obras 2023,2024 con montos contratados y ejercidos"</w:t>
      </w:r>
    </w:p>
    <w:p w14:paraId="2E7EFC4E"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16.- Solicito todas las licitaciones que se dieron en el 2022, 2023,2024 y 2025.</w:t>
      </w:r>
    </w:p>
    <w:p w14:paraId="58A1FD99" w14:textId="77777777" w:rsidR="002377F0" w:rsidRPr="00E7469C" w:rsidRDefault="008C7182">
      <w:pPr>
        <w:spacing w:line="276"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"Adjunto relación de licitaciones 2022, 2023,2024 y 2025”.</w:t>
      </w:r>
    </w:p>
    <w:p w14:paraId="598AB870"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DOP_0224_RESPUESTA_004.pdf</w:t>
      </w:r>
      <w:r w:rsidRPr="00E7469C">
        <w:rPr>
          <w:rFonts w:ascii="Palatino Linotype" w:eastAsia="Palatino Linotype" w:hAnsi="Palatino Linotype" w:cs="Palatino Linotype"/>
          <w:sz w:val="22"/>
          <w:szCs w:val="22"/>
        </w:rPr>
        <w:t xml:space="preserve">: Documento que contiene la Relación de Licitaciones 2022, del que se advierte número progresivo, número de obra, nombre de la obra o acción y localidad. </w:t>
      </w:r>
    </w:p>
    <w:p w14:paraId="39D28312"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60EA5EBC" wp14:editId="1A412D7D">
            <wp:extent cx="4526935" cy="1047769"/>
            <wp:effectExtent l="0" t="0" r="0" b="0"/>
            <wp:docPr id="21449236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4526935" cy="1047769"/>
                    </a:xfrm>
                    <a:prstGeom prst="rect">
                      <a:avLst/>
                    </a:prstGeom>
                    <a:ln/>
                  </pic:spPr>
                </pic:pic>
              </a:graphicData>
            </a:graphic>
          </wp:inline>
        </w:drawing>
      </w:r>
    </w:p>
    <w:p w14:paraId="5BFB0FF8"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49A09368"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DOP_0224_RESPUESTA_007.pdf</w:t>
      </w:r>
      <w:r w:rsidRPr="00E7469C">
        <w:rPr>
          <w:rFonts w:ascii="Palatino Linotype" w:eastAsia="Palatino Linotype" w:hAnsi="Palatino Linotype" w:cs="Palatino Linotype"/>
          <w:sz w:val="22"/>
          <w:szCs w:val="22"/>
        </w:rPr>
        <w:t xml:space="preserve">: Documento que contiene la Relación de Licitaciones 2025, del que se advierte número progresivo, número de obra, nombre de la obra o acción y localidad. </w:t>
      </w:r>
    </w:p>
    <w:p w14:paraId="3043CF5A"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517ACA0F" wp14:editId="6EA67D62">
            <wp:extent cx="4529527" cy="818091"/>
            <wp:effectExtent l="0" t="0" r="0" b="0"/>
            <wp:docPr id="21449236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529527" cy="818091"/>
                    </a:xfrm>
                    <a:prstGeom prst="rect">
                      <a:avLst/>
                    </a:prstGeom>
                    <a:ln/>
                  </pic:spPr>
                </pic:pic>
              </a:graphicData>
            </a:graphic>
          </wp:inline>
        </w:drawing>
      </w:r>
    </w:p>
    <w:p w14:paraId="34768FFB"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437E5352"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 xml:space="preserve">DOP_0224_RESPUESTA_002.pdf: </w:t>
      </w:r>
      <w:r w:rsidRPr="00E7469C">
        <w:rPr>
          <w:rFonts w:ascii="Palatino Linotype" w:eastAsia="Palatino Linotype" w:hAnsi="Palatino Linotype" w:cs="Palatino Linotype"/>
          <w:sz w:val="22"/>
          <w:szCs w:val="22"/>
        </w:rPr>
        <w:t xml:space="preserve">Documento que contiene la Relación de Obras 2023, del que se advierte número progresivo, número de obra, nombre de la obra o acción y localidad. </w:t>
      </w:r>
    </w:p>
    <w:p w14:paraId="604F4109"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42513F0" wp14:editId="1D7A9111">
            <wp:extent cx="4328481" cy="899705"/>
            <wp:effectExtent l="0" t="0" r="0" b="0"/>
            <wp:docPr id="21449236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4328481" cy="899705"/>
                    </a:xfrm>
                    <a:prstGeom prst="rect">
                      <a:avLst/>
                    </a:prstGeom>
                    <a:ln/>
                  </pic:spPr>
                </pic:pic>
              </a:graphicData>
            </a:graphic>
          </wp:inline>
        </w:drawing>
      </w:r>
    </w:p>
    <w:p w14:paraId="5B7EE4B6"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2E191048"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DOP_0224_RESPUESTA_003.pdf</w:t>
      </w:r>
      <w:r w:rsidRPr="00E7469C">
        <w:rPr>
          <w:rFonts w:ascii="Palatino Linotype" w:eastAsia="Palatino Linotype" w:hAnsi="Palatino Linotype" w:cs="Palatino Linotype"/>
          <w:sz w:val="22"/>
          <w:szCs w:val="22"/>
        </w:rPr>
        <w:t xml:space="preserve">: Documento que contiene la Relación de Obras 2024, del que se advierte número progresivo, número de obra, nombre de la obra o acción y localidad. </w:t>
      </w:r>
    </w:p>
    <w:p w14:paraId="12925ECB"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21BF978" wp14:editId="063E1E3B">
            <wp:extent cx="4153044" cy="786967"/>
            <wp:effectExtent l="0" t="0" r="0" b="0"/>
            <wp:docPr id="21449236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153044" cy="786967"/>
                    </a:xfrm>
                    <a:prstGeom prst="rect">
                      <a:avLst/>
                    </a:prstGeom>
                    <a:ln/>
                  </pic:spPr>
                </pic:pic>
              </a:graphicData>
            </a:graphic>
          </wp:inline>
        </w:drawing>
      </w:r>
    </w:p>
    <w:p w14:paraId="144B53E9"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28DED408"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DOP_0224_RESPUESTA_005.pdf</w:t>
      </w:r>
      <w:r w:rsidRPr="00E7469C">
        <w:rPr>
          <w:rFonts w:ascii="Palatino Linotype" w:eastAsia="Palatino Linotype" w:hAnsi="Palatino Linotype" w:cs="Palatino Linotype"/>
          <w:sz w:val="22"/>
          <w:szCs w:val="22"/>
        </w:rPr>
        <w:t xml:space="preserve">: Documento que contiene la Relación de Licitaciones 2023, del que se advierte número progresivo, número de obra, nombre de la obra o acción y localidad. </w:t>
      </w:r>
    </w:p>
    <w:p w14:paraId="07790E34"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181A624E" wp14:editId="4739FC87">
            <wp:extent cx="4276205" cy="842551"/>
            <wp:effectExtent l="0" t="0" r="0" b="0"/>
            <wp:docPr id="21449236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
                    <a:srcRect/>
                    <a:stretch>
                      <a:fillRect/>
                    </a:stretch>
                  </pic:blipFill>
                  <pic:spPr>
                    <a:xfrm>
                      <a:off x="0" y="0"/>
                      <a:ext cx="4276205" cy="842551"/>
                    </a:xfrm>
                    <a:prstGeom prst="rect">
                      <a:avLst/>
                    </a:prstGeom>
                    <a:ln/>
                  </pic:spPr>
                </pic:pic>
              </a:graphicData>
            </a:graphic>
          </wp:inline>
        </w:drawing>
      </w:r>
    </w:p>
    <w:p w14:paraId="4A228575"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2966A58F"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0224_RESP_CGMMR_2025.pdf</w:t>
      </w:r>
      <w:r w:rsidRPr="00E7469C">
        <w:rPr>
          <w:rFonts w:ascii="Palatino Linotype" w:eastAsia="Palatino Linotype" w:hAnsi="Palatino Linotype" w:cs="Palatino Linotype"/>
          <w:sz w:val="22"/>
          <w:szCs w:val="22"/>
        </w:rPr>
        <w:t>: Oficio número CGMMR/069/03/2025 de fecha veintiséis de marzo de dos mil veinticinco, signado por el Coordinador General Municipal de Mejora Regulatoria, mediante el cual informó que la información referente a las Cédulas en formato PDF de los Trámites y Servicios con los que cuenta el Municipio puede ser consultada y descargada en las siguientes ligas electrónicas (las cuales se encuentran en formato cerrado):</w:t>
      </w:r>
    </w:p>
    <w:p w14:paraId="61EA206F" w14:textId="77777777" w:rsidR="002377F0" w:rsidRPr="00E7469C" w:rsidRDefault="008C7182">
      <w:pPr>
        <w:numPr>
          <w:ilvl w:val="0"/>
          <w:numId w:val="4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Trámites:</w:t>
      </w:r>
      <w:r w:rsidRPr="00E7469C">
        <w:rPr>
          <w:rFonts w:ascii="Palatino Linotype" w:eastAsia="Palatino Linotype" w:hAnsi="Palatino Linotype" w:cs="Palatino Linotype"/>
          <w:sz w:val="22"/>
          <w:szCs w:val="22"/>
        </w:rPr>
        <w:t xml:space="preserve"> </w:t>
      </w:r>
      <w:hyperlink r:id="rId14" w:anchor="/info-fraccion/31/103/12">
        <w:r w:rsidRPr="00E7469C">
          <w:rPr>
            <w:rFonts w:ascii="Palatino Linotype" w:eastAsia="Palatino Linotype" w:hAnsi="Palatino Linotype" w:cs="Palatino Linotype"/>
            <w:sz w:val="22"/>
            <w:szCs w:val="22"/>
            <w:u w:val="single"/>
          </w:rPr>
          <w:t>https://ipomex.org.mx/ipomex/#/info-fraccion/31/103/12</w:t>
        </w:r>
      </w:hyperlink>
    </w:p>
    <w:p w14:paraId="6DEB3915" w14:textId="77777777" w:rsidR="002377F0" w:rsidRPr="00E7469C" w:rsidRDefault="008C7182">
      <w:pPr>
        <w:numPr>
          <w:ilvl w:val="0"/>
          <w:numId w:val="4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Servicios</w:t>
      </w:r>
      <w:r w:rsidRPr="00E7469C">
        <w:rPr>
          <w:rFonts w:ascii="Palatino Linotype" w:eastAsia="Palatino Linotype" w:hAnsi="Palatino Linotype" w:cs="Palatino Linotype"/>
          <w:sz w:val="22"/>
          <w:szCs w:val="22"/>
        </w:rPr>
        <w:t xml:space="preserve">: </w:t>
      </w:r>
      <w:hyperlink r:id="rId15" w:anchor="/info-fraccion/30/103/12">
        <w:r w:rsidRPr="00E7469C">
          <w:rPr>
            <w:rFonts w:ascii="Palatino Linotype" w:eastAsia="Palatino Linotype" w:hAnsi="Palatino Linotype" w:cs="Palatino Linotype"/>
            <w:sz w:val="22"/>
            <w:szCs w:val="22"/>
            <w:u w:val="single"/>
          </w:rPr>
          <w:t>https://ipomex.org.mx/ipomex/#/info-fraccion/30/103/12</w:t>
        </w:r>
      </w:hyperlink>
      <w:r w:rsidRPr="00E7469C">
        <w:rPr>
          <w:rFonts w:ascii="Palatino Linotype" w:eastAsia="Palatino Linotype" w:hAnsi="Palatino Linotype" w:cs="Palatino Linotype"/>
          <w:sz w:val="22"/>
          <w:szCs w:val="22"/>
        </w:rPr>
        <w:t xml:space="preserve"> </w:t>
      </w:r>
    </w:p>
    <w:p w14:paraId="73F9D702"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52BA55A5"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RESPUESTA TRANSPARENCIA 0224-12.pdf</w:t>
      </w:r>
      <w:r w:rsidRPr="00E7469C">
        <w:rPr>
          <w:rFonts w:ascii="Palatino Linotype" w:eastAsia="Palatino Linotype" w:hAnsi="Palatino Linotype" w:cs="Palatino Linotype"/>
          <w:sz w:val="22"/>
          <w:szCs w:val="22"/>
        </w:rPr>
        <w:t xml:space="preserve">: Oficio número DE/169/03/2025 de fecha veintiocho de marzo de dos mil veinticinco, signado por el </w:t>
      </w:r>
      <w:proofErr w:type="gramStart"/>
      <w:r w:rsidRPr="00E7469C">
        <w:rPr>
          <w:rFonts w:ascii="Palatino Linotype" w:eastAsia="Palatino Linotype" w:hAnsi="Palatino Linotype" w:cs="Palatino Linotype"/>
          <w:sz w:val="22"/>
          <w:szCs w:val="22"/>
        </w:rPr>
        <w:t>Director</w:t>
      </w:r>
      <w:proofErr w:type="gramEnd"/>
      <w:r w:rsidRPr="00E7469C">
        <w:rPr>
          <w:rFonts w:ascii="Palatino Linotype" w:eastAsia="Palatino Linotype" w:hAnsi="Palatino Linotype" w:cs="Palatino Linotype"/>
          <w:sz w:val="22"/>
          <w:szCs w:val="22"/>
        </w:rPr>
        <w:t xml:space="preserve"> de Ecología, mediante el cual informó: </w:t>
      </w:r>
    </w:p>
    <w:p w14:paraId="517486C3"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“Hecha la precisión anterior, me permito informarle que en lo que respecta al punto número </w:t>
      </w:r>
      <w:r w:rsidRPr="00E7469C">
        <w:rPr>
          <w:rFonts w:ascii="Palatino Linotype" w:eastAsia="Palatino Linotype" w:hAnsi="Palatino Linotype" w:cs="Palatino Linotype"/>
          <w:b/>
          <w:i/>
          <w:sz w:val="22"/>
          <w:szCs w:val="22"/>
        </w:rPr>
        <w:t>6. SOLICITO TODOS LOS PROGRAMAS QUE EL MUNCIPIO ESTADANDO ASI COMO SU PLAN DE DESARROLLO MUNICIPAL (Sic)</w:t>
      </w:r>
      <w:r w:rsidRPr="00E7469C">
        <w:rPr>
          <w:rFonts w:ascii="Palatino Linotype" w:eastAsia="Palatino Linotype" w:hAnsi="Palatino Linotype" w:cs="Palatino Linotype"/>
          <w:i/>
          <w:sz w:val="22"/>
          <w:szCs w:val="22"/>
        </w:rPr>
        <w:t xml:space="preserve">, </w:t>
      </w:r>
      <w:proofErr w:type="gramStart"/>
      <w:r w:rsidRPr="00E7469C">
        <w:rPr>
          <w:rFonts w:ascii="Palatino Linotype" w:eastAsia="Palatino Linotype" w:hAnsi="Palatino Linotype" w:cs="Palatino Linotype"/>
          <w:i/>
          <w:sz w:val="22"/>
          <w:szCs w:val="22"/>
        </w:rPr>
        <w:t>de acuerdo a</w:t>
      </w:r>
      <w:proofErr w:type="gramEnd"/>
      <w:r w:rsidRPr="00E7469C">
        <w:rPr>
          <w:rFonts w:ascii="Palatino Linotype" w:eastAsia="Palatino Linotype" w:hAnsi="Palatino Linotype" w:cs="Palatino Linotype"/>
          <w:i/>
          <w:sz w:val="22"/>
          <w:szCs w:val="22"/>
        </w:rPr>
        <w:t xml:space="preserve"> las facultades en materia de medio ambiente que el Bando Municipal 2025 estipula en el artículo 209, y demás ordenamientos legales federales, estatales y municipales, </w:t>
      </w:r>
      <w:r w:rsidRPr="00E7469C">
        <w:rPr>
          <w:rFonts w:ascii="Palatino Linotype" w:eastAsia="Palatino Linotype" w:hAnsi="Palatino Linotype" w:cs="Palatino Linotype"/>
          <w:i/>
          <w:sz w:val="22"/>
          <w:szCs w:val="22"/>
          <w:u w:val="single"/>
        </w:rPr>
        <w:t>la Dirección a mi cargo no gestiona ni entrega programas sociales</w:t>
      </w:r>
      <w:r w:rsidRPr="00E7469C">
        <w:rPr>
          <w:rFonts w:ascii="Palatino Linotype" w:eastAsia="Palatino Linotype" w:hAnsi="Palatino Linotype" w:cs="Palatino Linotype"/>
          <w:i/>
          <w:sz w:val="22"/>
          <w:szCs w:val="22"/>
        </w:rPr>
        <w:t>.</w:t>
      </w:r>
    </w:p>
    <w:p w14:paraId="7E62CF49" w14:textId="77777777" w:rsidR="002377F0" w:rsidRPr="00E7469C" w:rsidRDefault="002377F0">
      <w:pPr>
        <w:spacing w:line="276" w:lineRule="auto"/>
        <w:ind w:left="851" w:right="567"/>
        <w:jc w:val="both"/>
        <w:rPr>
          <w:rFonts w:ascii="Palatino Linotype" w:eastAsia="Palatino Linotype" w:hAnsi="Palatino Linotype" w:cs="Palatino Linotype"/>
          <w:i/>
          <w:sz w:val="22"/>
          <w:szCs w:val="22"/>
        </w:rPr>
      </w:pPr>
    </w:p>
    <w:p w14:paraId="2FB72BAA"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Por lo que hace al punto </w:t>
      </w:r>
      <w:r w:rsidRPr="00E7469C">
        <w:rPr>
          <w:rFonts w:ascii="Palatino Linotype" w:eastAsia="Palatino Linotype" w:hAnsi="Palatino Linotype" w:cs="Palatino Linotype"/>
          <w:b/>
          <w:i/>
          <w:sz w:val="22"/>
          <w:szCs w:val="22"/>
        </w:rPr>
        <w:t>22.- SOLICITO TODOS LOS CONVENIOS EN VERSION PUBLICA QUE HAN GENERADO EN EL 2022, 2023, 2024 Y 2025 (Sic)</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i/>
          <w:sz w:val="22"/>
          <w:szCs w:val="22"/>
          <w:u w:val="single"/>
        </w:rPr>
        <w:t xml:space="preserve">adjunto </w:t>
      </w:r>
      <w:r w:rsidRPr="00E7469C">
        <w:rPr>
          <w:rFonts w:ascii="Palatino Linotype" w:eastAsia="Palatino Linotype" w:hAnsi="Palatino Linotype" w:cs="Palatino Linotype"/>
          <w:i/>
          <w:sz w:val="22"/>
          <w:szCs w:val="22"/>
        </w:rPr>
        <w:t xml:space="preserve">a la presente como ANEXO 1, la </w:t>
      </w:r>
      <w:r w:rsidRPr="00E7469C">
        <w:rPr>
          <w:rFonts w:ascii="Palatino Linotype" w:eastAsia="Palatino Linotype" w:hAnsi="Palatino Linotype" w:cs="Palatino Linotype"/>
          <w:i/>
          <w:sz w:val="22"/>
          <w:szCs w:val="22"/>
          <w:u w:val="single"/>
        </w:rPr>
        <w:t>copia simple de los convenios que obran en el archivo de la Dirección a mi cargo;</w:t>
      </w:r>
      <w:r w:rsidRPr="00E7469C">
        <w:rPr>
          <w:rFonts w:ascii="Palatino Linotype" w:eastAsia="Palatino Linotype" w:hAnsi="Palatino Linotype" w:cs="Palatino Linotype"/>
          <w:i/>
          <w:sz w:val="22"/>
          <w:szCs w:val="22"/>
        </w:rPr>
        <w:t xml:space="preserve"> así mismo, MANIFESTO BAJO PROTESTA DE DECIR VERDAD que los nombres y firmas de quienes los suscriben, son a fueron en su momento servidores públicos, por lo que no se publican datos personales.</w:t>
      </w:r>
    </w:p>
    <w:p w14:paraId="2112F43F" w14:textId="77777777" w:rsidR="002377F0" w:rsidRPr="00E7469C" w:rsidRDefault="002377F0">
      <w:pPr>
        <w:spacing w:line="276" w:lineRule="auto"/>
        <w:ind w:left="851" w:right="567"/>
        <w:jc w:val="both"/>
        <w:rPr>
          <w:rFonts w:ascii="Palatino Linotype" w:eastAsia="Palatino Linotype" w:hAnsi="Palatino Linotype" w:cs="Palatino Linotype"/>
          <w:i/>
          <w:sz w:val="22"/>
          <w:szCs w:val="22"/>
        </w:rPr>
      </w:pPr>
    </w:p>
    <w:p w14:paraId="6F30E668"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Cabe mencionar </w:t>
      </w:r>
      <w:proofErr w:type="gramStart"/>
      <w:r w:rsidRPr="00E7469C">
        <w:rPr>
          <w:rFonts w:ascii="Palatino Linotype" w:eastAsia="Palatino Linotype" w:hAnsi="Palatino Linotype" w:cs="Palatino Linotype"/>
          <w:i/>
          <w:sz w:val="22"/>
          <w:szCs w:val="22"/>
        </w:rPr>
        <w:t>que</w:t>
      </w:r>
      <w:proofErr w:type="gramEnd"/>
      <w:r w:rsidRPr="00E7469C">
        <w:rPr>
          <w:rFonts w:ascii="Palatino Linotype" w:eastAsia="Palatino Linotype" w:hAnsi="Palatino Linotype" w:cs="Palatino Linotype"/>
          <w:i/>
          <w:sz w:val="22"/>
          <w:szCs w:val="22"/>
        </w:rPr>
        <w:t xml:space="preserve"> durante la actual administración, se ha celebrado convenio alguno a la fecha. “</w:t>
      </w:r>
    </w:p>
    <w:p w14:paraId="42041599" w14:textId="77777777" w:rsidR="002377F0" w:rsidRPr="00E7469C" w:rsidRDefault="002377F0">
      <w:pPr>
        <w:spacing w:line="276" w:lineRule="auto"/>
        <w:ind w:left="851" w:right="567"/>
        <w:jc w:val="both"/>
        <w:rPr>
          <w:rFonts w:ascii="Palatino Linotype" w:eastAsia="Palatino Linotype" w:hAnsi="Palatino Linotype" w:cs="Palatino Linotype"/>
          <w:sz w:val="22"/>
          <w:szCs w:val="22"/>
        </w:rPr>
      </w:pPr>
    </w:p>
    <w:p w14:paraId="31BD6520" w14:textId="77777777" w:rsidR="002377F0" w:rsidRPr="00E7469C" w:rsidRDefault="008C7182">
      <w:pPr>
        <w:numPr>
          <w:ilvl w:val="0"/>
          <w:numId w:val="32"/>
        </w:numPr>
        <w:pBdr>
          <w:top w:val="nil"/>
          <w:left w:val="nil"/>
          <w:bottom w:val="nil"/>
          <w:right w:val="nil"/>
          <w:between w:val="nil"/>
        </w:pBdr>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Anexo 1. </w:t>
      </w:r>
    </w:p>
    <w:p w14:paraId="49DD4E99" w14:textId="77777777" w:rsidR="002377F0" w:rsidRPr="00E7469C" w:rsidRDefault="008C7182">
      <w:pPr>
        <w:numPr>
          <w:ilvl w:val="0"/>
          <w:numId w:val="32"/>
        </w:numPr>
        <w:pBdr>
          <w:top w:val="nil"/>
          <w:left w:val="nil"/>
          <w:bottom w:val="nil"/>
          <w:right w:val="nil"/>
          <w:between w:val="nil"/>
        </w:pBdr>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Listado de Convenios </w:t>
      </w:r>
    </w:p>
    <w:p w14:paraId="4A1D127B" w14:textId="77777777" w:rsidR="002377F0" w:rsidRPr="00E7469C" w:rsidRDefault="008C7182">
      <w:pPr>
        <w:numPr>
          <w:ilvl w:val="0"/>
          <w:numId w:val="32"/>
        </w:numPr>
        <w:pBdr>
          <w:top w:val="nil"/>
          <w:left w:val="nil"/>
          <w:bottom w:val="nil"/>
          <w:right w:val="nil"/>
          <w:between w:val="nil"/>
        </w:pBdr>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Convenio de Coordinación para la operación del Sistema Estatal de Atención a la Denuncia Ciudadana en Materia Ambiental ECOTEL, que celebra la Secretaría de Medio Ambiente y Desarrollo Sostenible del Gobierno del Estado de México con el Ayuntamiento de Atlacomulco, celebrado el nueve de noviembre de dos mil veintitrés. </w:t>
      </w:r>
    </w:p>
    <w:p w14:paraId="585ADCC9" w14:textId="77777777" w:rsidR="002377F0" w:rsidRPr="00E7469C" w:rsidRDefault="008C7182">
      <w:pPr>
        <w:numPr>
          <w:ilvl w:val="0"/>
          <w:numId w:val="32"/>
        </w:numPr>
        <w:pBdr>
          <w:top w:val="nil"/>
          <w:left w:val="nil"/>
          <w:bottom w:val="nil"/>
          <w:right w:val="nil"/>
          <w:between w:val="nil"/>
        </w:pBdr>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Convenio Específico de Participación para la Ejecución del “Programa de Sanidad y Certificación Agropecuaria” en el Estado de México, mediante el Establecimiento de Estrategias y Acciones de Manejo, Acopio y Disposición de Envases Vacíos de Agroquímicos y Afines, que celebran por una parte la Secretaría del Campo del Estado de México, por otra </w:t>
      </w:r>
      <w:proofErr w:type="gramStart"/>
      <w:r w:rsidRPr="00E7469C">
        <w:rPr>
          <w:rFonts w:ascii="Palatino Linotype" w:eastAsia="Palatino Linotype" w:hAnsi="Palatino Linotype" w:cs="Palatino Linotype"/>
          <w:sz w:val="22"/>
          <w:szCs w:val="22"/>
        </w:rPr>
        <w:t>parte</w:t>
      </w:r>
      <w:proofErr w:type="gramEnd"/>
      <w:r w:rsidRPr="00E7469C">
        <w:rPr>
          <w:rFonts w:ascii="Palatino Linotype" w:eastAsia="Palatino Linotype" w:hAnsi="Palatino Linotype" w:cs="Palatino Linotype"/>
          <w:sz w:val="22"/>
          <w:szCs w:val="22"/>
        </w:rPr>
        <w:t xml:space="preserve"> el Ayuntamiento de Atlacomulco, y por la otra parte, la Asociación Civil </w:t>
      </w:r>
      <w:proofErr w:type="spellStart"/>
      <w:r w:rsidRPr="00E7469C">
        <w:rPr>
          <w:rFonts w:ascii="Palatino Linotype" w:eastAsia="Palatino Linotype" w:hAnsi="Palatino Linotype" w:cs="Palatino Linotype"/>
          <w:sz w:val="22"/>
          <w:szCs w:val="22"/>
        </w:rPr>
        <w:t>Amocali</w:t>
      </w:r>
      <w:proofErr w:type="spellEnd"/>
      <w:r w:rsidRPr="00E7469C">
        <w:rPr>
          <w:rFonts w:ascii="Palatino Linotype" w:eastAsia="Palatino Linotype" w:hAnsi="Palatino Linotype" w:cs="Palatino Linotype"/>
          <w:sz w:val="22"/>
          <w:szCs w:val="22"/>
        </w:rPr>
        <w:t xml:space="preserve">, celebrado el primero de abril de dos mil veintidós. </w:t>
      </w:r>
    </w:p>
    <w:p w14:paraId="30D4FEA3" w14:textId="77777777" w:rsidR="002377F0" w:rsidRPr="00E7469C" w:rsidRDefault="008C7182">
      <w:pPr>
        <w:numPr>
          <w:ilvl w:val="0"/>
          <w:numId w:val="32"/>
        </w:numPr>
        <w:pBdr>
          <w:top w:val="nil"/>
          <w:left w:val="nil"/>
          <w:bottom w:val="nil"/>
          <w:right w:val="nil"/>
          <w:between w:val="nil"/>
        </w:pBdr>
        <w:spacing w:line="360" w:lineRule="auto"/>
        <w:ind w:left="993" w:right="49"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Convenio de Colaboración que celebra el Organismo Público Descentralizado, denominado Protectora de Bosques del Estado de México, con </w:t>
      </w:r>
      <w:r w:rsidRPr="00E7469C">
        <w:rPr>
          <w:rFonts w:ascii="Palatino Linotype" w:eastAsia="Palatino Linotype" w:hAnsi="Palatino Linotype" w:cs="Palatino Linotype"/>
          <w:sz w:val="22"/>
          <w:szCs w:val="22"/>
        </w:rPr>
        <w:lastRenderedPageBreak/>
        <w:t>el Ayuntamiento de Atlacomulco, celebrado el veintiocho de abril de dos mil veintidós.</w:t>
      </w:r>
    </w:p>
    <w:p w14:paraId="7639711A" w14:textId="77777777" w:rsidR="002377F0" w:rsidRPr="00E7469C" w:rsidRDefault="008C7182">
      <w:pPr>
        <w:numPr>
          <w:ilvl w:val="0"/>
          <w:numId w:val="32"/>
        </w:numPr>
        <w:pBdr>
          <w:top w:val="nil"/>
          <w:left w:val="nil"/>
          <w:bottom w:val="nil"/>
          <w:right w:val="nil"/>
          <w:between w:val="nil"/>
        </w:pBdr>
        <w:spacing w:line="360" w:lineRule="auto"/>
        <w:ind w:left="993" w:right="49"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Convenio Específico de Coordinación que celebran la Dirección General de Prevención y Control de la Contaminación Atmosférica de la </w:t>
      </w:r>
      <w:proofErr w:type="gramStart"/>
      <w:r w:rsidRPr="00E7469C">
        <w:rPr>
          <w:rFonts w:ascii="Palatino Linotype" w:eastAsia="Palatino Linotype" w:hAnsi="Palatino Linotype" w:cs="Palatino Linotype"/>
          <w:sz w:val="22"/>
          <w:szCs w:val="22"/>
        </w:rPr>
        <w:t>Secretaria</w:t>
      </w:r>
      <w:proofErr w:type="gramEnd"/>
      <w:r w:rsidRPr="00E7469C">
        <w:rPr>
          <w:rFonts w:ascii="Palatino Linotype" w:eastAsia="Palatino Linotype" w:hAnsi="Palatino Linotype" w:cs="Palatino Linotype"/>
          <w:sz w:val="22"/>
          <w:szCs w:val="22"/>
        </w:rPr>
        <w:t xml:space="preserve"> del Medio Ambiente y el Ayuntamiento de Atlacomulco, celebrado el cinco de julio de dos mil veintidós.</w:t>
      </w:r>
    </w:p>
    <w:p w14:paraId="14B4F400" w14:textId="77777777" w:rsidR="002377F0" w:rsidRPr="00E7469C" w:rsidRDefault="008C7182">
      <w:pPr>
        <w:numPr>
          <w:ilvl w:val="0"/>
          <w:numId w:val="32"/>
        </w:numPr>
        <w:pBdr>
          <w:top w:val="nil"/>
          <w:left w:val="nil"/>
          <w:bottom w:val="nil"/>
          <w:right w:val="nil"/>
          <w:between w:val="nil"/>
        </w:pBdr>
        <w:spacing w:line="360" w:lineRule="auto"/>
        <w:ind w:left="993" w:right="49"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Convenio de Colaboración que celebran el Organismo Público Descentralizado, denominado Protectora de Bosques del Estado de México y el Ayuntamiento de Atlacomulco, celebrado el primero de marzo de dos mil veintitrés. </w:t>
      </w:r>
    </w:p>
    <w:p w14:paraId="7D0159B8"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CONS 0224 CMA 2025 .</w:t>
      </w:r>
      <w:proofErr w:type="spellStart"/>
      <w:r w:rsidRPr="00E7469C">
        <w:rPr>
          <w:rFonts w:ascii="Palatino Linotype" w:eastAsia="Palatino Linotype" w:hAnsi="Palatino Linotype" w:cs="Palatino Linotype"/>
          <w:b/>
          <w:i/>
          <w:sz w:val="22"/>
          <w:szCs w:val="22"/>
        </w:rPr>
        <w:t>pdf</w:t>
      </w:r>
      <w:proofErr w:type="spellEnd"/>
      <w:r w:rsidRPr="00E7469C">
        <w:rPr>
          <w:rFonts w:ascii="Palatino Linotype" w:eastAsia="Palatino Linotype" w:hAnsi="Palatino Linotype" w:cs="Palatino Linotype"/>
          <w:sz w:val="22"/>
          <w:szCs w:val="22"/>
        </w:rPr>
        <w:t xml:space="preserve">: Oficio número CMA/0494/03/2025 de fecha veintiocho de marzo de dos mil veinticinco, signado por el Comisario Municipal de Atlacomulco, en el que solicitó a la Unidad de Transparencia la reserva de la información, el cual se aprobó en la 12ª Sesión del comité de transparencia mediante el acuerdo ACT/ATLACOMULCO/EXT/CT/12º/ACU- SEXTO/2025 de fecha veintisiete de marzo de dos mil veinticinco. Adjuntando los siguientes documentos: </w:t>
      </w:r>
    </w:p>
    <w:p w14:paraId="37DBF11D" w14:textId="77777777" w:rsidR="002377F0" w:rsidRPr="00E7469C" w:rsidRDefault="002377F0">
      <w:pPr>
        <w:pBdr>
          <w:top w:val="nil"/>
          <w:left w:val="nil"/>
          <w:bottom w:val="nil"/>
          <w:right w:val="nil"/>
          <w:between w:val="nil"/>
        </w:pBdr>
        <w:ind w:left="720" w:right="49"/>
        <w:jc w:val="both"/>
        <w:rPr>
          <w:rFonts w:ascii="Palatino Linotype" w:eastAsia="Palatino Linotype" w:hAnsi="Palatino Linotype" w:cs="Palatino Linotype"/>
          <w:sz w:val="22"/>
          <w:szCs w:val="22"/>
        </w:rPr>
      </w:pPr>
    </w:p>
    <w:p w14:paraId="0BBDB663" w14:textId="77777777" w:rsidR="002377F0" w:rsidRPr="00E7469C" w:rsidRDefault="008C7182">
      <w:pPr>
        <w:numPr>
          <w:ilvl w:val="0"/>
          <w:numId w:val="33"/>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Cuadro de Clasificación en el que se reservó “El Inventario del Armamento de Seguridad Pública” por un periodo de cinco años. </w:t>
      </w:r>
    </w:p>
    <w:p w14:paraId="080AA712"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RSOL_0224_DDU_2025.pdf</w:t>
      </w:r>
      <w:r w:rsidRPr="00E7469C">
        <w:rPr>
          <w:rFonts w:ascii="Palatino Linotype" w:eastAsia="Palatino Linotype" w:hAnsi="Palatino Linotype" w:cs="Palatino Linotype"/>
          <w:sz w:val="22"/>
          <w:szCs w:val="22"/>
        </w:rPr>
        <w:t xml:space="preserve">: Oficio número DDU/0155/03/2025 de fecha veintiocho de marzo de dos mil veinticinco, signado por el </w:t>
      </w:r>
      <w:proofErr w:type="gramStart"/>
      <w:r w:rsidRPr="00E7469C">
        <w:rPr>
          <w:rFonts w:ascii="Palatino Linotype" w:eastAsia="Palatino Linotype" w:hAnsi="Palatino Linotype" w:cs="Palatino Linotype"/>
          <w:sz w:val="22"/>
          <w:szCs w:val="22"/>
        </w:rPr>
        <w:t>Director</w:t>
      </w:r>
      <w:proofErr w:type="gramEnd"/>
      <w:r w:rsidRPr="00E7469C">
        <w:rPr>
          <w:rFonts w:ascii="Palatino Linotype" w:eastAsia="Palatino Linotype" w:hAnsi="Palatino Linotype" w:cs="Palatino Linotype"/>
          <w:sz w:val="22"/>
          <w:szCs w:val="22"/>
        </w:rPr>
        <w:t xml:space="preserve"> de Desarrollo Urbano, mediante el cual informó que </w:t>
      </w:r>
      <w:proofErr w:type="gramStart"/>
      <w:r w:rsidRPr="00E7469C">
        <w:rPr>
          <w:rFonts w:ascii="Palatino Linotype" w:eastAsia="Palatino Linotype" w:hAnsi="Palatino Linotype" w:cs="Palatino Linotype"/>
          <w:sz w:val="22"/>
          <w:szCs w:val="22"/>
        </w:rPr>
        <w:t>en relación a</w:t>
      </w:r>
      <w:proofErr w:type="gramEnd"/>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i/>
          <w:sz w:val="22"/>
          <w:szCs w:val="22"/>
        </w:rPr>
        <w:t>19.- SOLICITO TODAS LAS LICENCIAS DE CONSTRUCION QUE SE DIERON EN VERCION PUBLICA DEL AÑO 2022, 2023, 2024 Y 2025”</w:t>
      </w:r>
      <w:r w:rsidRPr="00E7469C">
        <w:rPr>
          <w:rFonts w:ascii="Palatino Linotype" w:eastAsia="Palatino Linotype" w:hAnsi="Palatino Linotype" w:cs="Palatino Linotype"/>
          <w:sz w:val="22"/>
          <w:szCs w:val="22"/>
        </w:rPr>
        <w:t xml:space="preserve">, hace entrega de la siguiente liga electrónica; así como, el procedimiento a seguir, para obtener la información: </w:t>
      </w:r>
    </w:p>
    <w:p w14:paraId="1BB80C5F"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1699AC76" wp14:editId="2079EBC2">
            <wp:extent cx="3371315" cy="439974"/>
            <wp:effectExtent l="0" t="0" r="0" b="0"/>
            <wp:docPr id="2144923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371315" cy="439974"/>
                    </a:xfrm>
                    <a:prstGeom prst="rect">
                      <a:avLst/>
                    </a:prstGeom>
                    <a:ln/>
                  </pic:spPr>
                </pic:pic>
              </a:graphicData>
            </a:graphic>
          </wp:inline>
        </w:drawing>
      </w:r>
    </w:p>
    <w:p w14:paraId="7EBF6024" w14:textId="77777777" w:rsidR="002377F0" w:rsidRPr="00E7469C" w:rsidRDefault="008C718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Aunado a ello, informó la entrega de las licencias de construcción en versión pública aprobadas por el Comité de Transparencia, mediante Acuerdo ACT/ATLACOMULCO/EXT/CT/12°/ACU-QUINTO/2025 de la Décima Segunda Sesión Extraordinaria, de fecha veintisiete de marzo de dos mil veinticinco y que fueron emitidas en 2024 y 2025 a la fecha de la solicitud de información. </w:t>
      </w:r>
    </w:p>
    <w:p w14:paraId="0ED837CC"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ANEXO_RSOL_0224_DDU_2025.pdf</w:t>
      </w:r>
      <w:r w:rsidRPr="00E7469C">
        <w:rPr>
          <w:rFonts w:ascii="Palatino Linotype" w:eastAsia="Palatino Linotype" w:hAnsi="Palatino Linotype" w:cs="Palatino Linotype"/>
          <w:sz w:val="22"/>
          <w:szCs w:val="22"/>
        </w:rPr>
        <w:t xml:space="preserve">: Documento que contiene 271 fojas, las cuales contiene Constancias de Terminación de Obra, Licencia Municipal de Construcción de Barda, Permiso de Ruptura en Banqueta y Excavación, Permiso de Ruptura en Guarnición y Excavación, Licencia Municipal de Construcción en Modificación de Fachada, Licencia Municipal de Construcción de Prorroga, Permiso de Ruptura en Banqueta y Excavación, Licencia Municipal de Demolición, Licencia Municipal de Construcción, Licencia Municipal de Suspensión de Obra y Permiso de Ruptura de Concreto en Carretera y Excavación. </w:t>
      </w:r>
    </w:p>
    <w:p w14:paraId="17E1442F"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224_RESP_SOL_DBS_2025.pdf</w:t>
      </w:r>
      <w:r w:rsidRPr="00E7469C">
        <w:rPr>
          <w:rFonts w:ascii="Palatino Linotype" w:eastAsia="Palatino Linotype" w:hAnsi="Palatino Linotype" w:cs="Palatino Linotype"/>
          <w:sz w:val="22"/>
          <w:szCs w:val="22"/>
        </w:rPr>
        <w:t xml:space="preserve">: Oficio número PM/DBS/2508/03/2025 de fecha veintiocho de marzo de dos mil veinticinco, signado por la </w:t>
      </w:r>
      <w:proofErr w:type="gramStart"/>
      <w:r w:rsidRPr="00E7469C">
        <w:rPr>
          <w:rFonts w:ascii="Palatino Linotype" w:eastAsia="Palatino Linotype" w:hAnsi="Palatino Linotype" w:cs="Palatino Linotype"/>
          <w:sz w:val="22"/>
          <w:szCs w:val="22"/>
        </w:rPr>
        <w:t>Directora</w:t>
      </w:r>
      <w:proofErr w:type="gramEnd"/>
      <w:r w:rsidRPr="00E7469C">
        <w:rPr>
          <w:rFonts w:ascii="Palatino Linotype" w:eastAsia="Palatino Linotype" w:hAnsi="Palatino Linotype" w:cs="Palatino Linotype"/>
          <w:sz w:val="22"/>
          <w:szCs w:val="22"/>
        </w:rPr>
        <w:t xml:space="preserve"> de Bienestar Social, en el que señaló que respecto al punto 6, en el cual se solicitan todos los programas que se están dando en el municipio, informó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a la fecha, en la Dirección de Bienestar Social no existen programas vigentes. Con referencia al punto 22, en el cual se solicitan todos los convenios en versión pública que se han generado </w:t>
      </w:r>
      <w:proofErr w:type="spellStart"/>
      <w:r w:rsidRPr="00E7469C">
        <w:rPr>
          <w:rFonts w:ascii="Palatino Linotype" w:eastAsia="Palatino Linotype" w:hAnsi="Palatino Linotype" w:cs="Palatino Linotype"/>
          <w:sz w:val="22"/>
          <w:szCs w:val="22"/>
        </w:rPr>
        <w:t>ene</w:t>
      </w:r>
      <w:proofErr w:type="spellEnd"/>
      <w:r w:rsidRPr="00E7469C">
        <w:rPr>
          <w:rFonts w:ascii="Palatino Linotype" w:eastAsia="Palatino Linotype" w:hAnsi="Palatino Linotype" w:cs="Palatino Linotype"/>
          <w:sz w:val="22"/>
          <w:szCs w:val="22"/>
        </w:rPr>
        <w:t xml:space="preserve"> el 2022, 2023, 2024 y 2025, comento que por parte de la Dirección de Bienestar Social y por tratarse de información pública de oficio, puede consultar la información en la plataforma IPOMEX; por lo que respecta a los años 2022, 2023 y 2024, con el siguiente enlace </w:t>
      </w:r>
      <w:hyperlink r:id="rId17">
        <w:r w:rsidRPr="00E7469C">
          <w:rPr>
            <w:rFonts w:ascii="Palatino Linotype" w:eastAsia="Palatino Linotype" w:hAnsi="Palatino Linotype" w:cs="Palatino Linotype"/>
            <w:sz w:val="22"/>
            <w:szCs w:val="22"/>
            <w:u w:val="single"/>
          </w:rPr>
          <w:t>https://ipomex3.ipomex.org.mx/ipo3/lgt/portal/3.web</w:t>
        </w:r>
      </w:hyperlink>
      <w:r w:rsidRPr="00E7469C">
        <w:rPr>
          <w:rFonts w:ascii="Palatino Linotype" w:eastAsia="Palatino Linotype" w:hAnsi="Palatino Linotype" w:cs="Palatino Linotype"/>
          <w:sz w:val="22"/>
          <w:szCs w:val="22"/>
        </w:rPr>
        <w:t xml:space="preserve">, señalando los pasos a seguir para la consulta. </w:t>
      </w:r>
    </w:p>
    <w:p w14:paraId="380185F5" w14:textId="77777777" w:rsidR="002377F0" w:rsidRPr="00E7469C" w:rsidRDefault="008C718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Por último, con lo referente al año 2025, hace entrega del Convenio de Colaboración en versión pública que hasta el día de la emisión del oficio se ha celebrado en la Dirección de Bienestar Social, versión pública que fue aprobada en el Acuerdo ACT/ATLACOMULCO/EXT/CT/12a/ACU-QUINTO/2025 de la Décima Segunda Sesión Extraordinaria del Comité de Transparencia. </w:t>
      </w:r>
    </w:p>
    <w:p w14:paraId="2D7CDB67" w14:textId="77777777" w:rsidR="002377F0" w:rsidRPr="00E7469C" w:rsidRDefault="008C718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Adjuntó el Convenio de Colaboración que en materia de Salud Visual (Modalidad Jornadas Itinerantes), celebra el propietario de los establecimientos en donde se comercializan lentes y aparatos de uso oftálmico “ÓPTICAS ORTIZ” Y EL Ayuntamiento de Atlacomulco, fecha once de febrero de dos mil veinticinco, en versión pública. </w:t>
      </w:r>
    </w:p>
    <w:p w14:paraId="29F9B844"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224_RSOL_TM_2025_NOMINA_31122024_28022025.pdf:</w:t>
      </w:r>
      <w:r w:rsidRPr="00E7469C">
        <w:rPr>
          <w:rFonts w:ascii="Palatino Linotype" w:eastAsia="Palatino Linotype" w:hAnsi="Palatino Linotype" w:cs="Palatino Linotype"/>
          <w:sz w:val="22"/>
          <w:szCs w:val="22"/>
        </w:rPr>
        <w:t xml:space="preserve"> Contiene los siguientes documentos: </w:t>
      </w:r>
    </w:p>
    <w:p w14:paraId="6C1EC4DE" w14:textId="77777777" w:rsidR="002377F0" w:rsidRPr="00E7469C" w:rsidRDefault="008C7182">
      <w:pPr>
        <w:numPr>
          <w:ilvl w:val="0"/>
          <w:numId w:val="42"/>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Oficio número TMA/STE/460/04/2025 de fecha cuatro de abril de dos mil veinticinco, signado por el Tesorero Municipal, en el que informó lo siguiente: </w:t>
      </w:r>
    </w:p>
    <w:p w14:paraId="73737361" w14:textId="77777777" w:rsidR="002377F0" w:rsidRPr="00E7469C" w:rsidRDefault="002377F0">
      <w:pPr>
        <w:spacing w:line="276" w:lineRule="auto"/>
        <w:ind w:left="1134" w:right="567"/>
        <w:jc w:val="both"/>
        <w:rPr>
          <w:rFonts w:ascii="Palatino Linotype" w:eastAsia="Palatino Linotype" w:hAnsi="Palatino Linotype" w:cs="Palatino Linotype"/>
          <w:i/>
          <w:sz w:val="22"/>
          <w:szCs w:val="22"/>
        </w:rPr>
      </w:pPr>
    </w:p>
    <w:p w14:paraId="2F1E3E76" w14:textId="77777777" w:rsidR="002377F0" w:rsidRPr="00E7469C" w:rsidRDefault="008C7182">
      <w:pPr>
        <w:spacing w:line="276" w:lineRule="auto"/>
        <w:ind w:left="1134"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“3.- SOLICITO LA NOMINA GENERAL DEL LA ULTIMA QUINCENA DEL AÑO 2024…” </w:t>
      </w:r>
      <w:r w:rsidRPr="00E7469C">
        <w:rPr>
          <w:rFonts w:ascii="Palatino Linotype" w:eastAsia="Palatino Linotype" w:hAnsi="Palatino Linotype" w:cs="Palatino Linotype"/>
          <w:sz w:val="22"/>
          <w:szCs w:val="22"/>
        </w:rPr>
        <w:t xml:space="preserve">Respuesta: Se adjunta en formato PDF, versión pública del Listado de nómina de los servidores públicos del Municipio de Atlacomulco correspondientes a la segunda quincena de diciembre de 2024. </w:t>
      </w:r>
    </w:p>
    <w:p w14:paraId="364EEFD6" w14:textId="77777777" w:rsidR="002377F0" w:rsidRPr="00E7469C" w:rsidRDefault="008C7182">
      <w:pPr>
        <w:spacing w:line="276" w:lineRule="auto"/>
        <w:ind w:left="1134"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ASI MISMO SOLICITO LA NOMINA DE LA SEGUNDA QUINCENA DE FEBRERO DEL AÑO 2025…9.- SOLCITO LA NOMINA GENERAL DE LA SEGUNDA QUINCENA DE SEGURIDAD PUBLICA… 12.- SOLICITO SABER LA NOMINA DE TODO EL PERSONAL DE CONTRALORIA 13.- SOLICITO SABER LA NOMIA DE TODO EL PERSONAL DE ADMINISTRACION … 23.- SOLICITO LA NOMINA DE LA SEGUNDA QUINCENA DE FEBRERO DE TODOS LOS MANDOS MEDIOS Y SUPERIORES Y SINDICOS, REGIDORES Y PRESIDENTA O PRESIDENTE…”</w:t>
      </w:r>
      <w:r w:rsidRPr="00E7469C">
        <w:rPr>
          <w:rFonts w:ascii="Palatino Linotype" w:eastAsia="Palatino Linotype" w:hAnsi="Palatino Linotype" w:cs="Palatino Linotype"/>
          <w:sz w:val="22"/>
          <w:szCs w:val="22"/>
        </w:rPr>
        <w:t xml:space="preserve"> … Se remite respuesta adjuntando en formato PDF tal </w:t>
      </w:r>
      <w:r w:rsidRPr="00E7469C">
        <w:rPr>
          <w:rFonts w:ascii="Palatino Linotype" w:eastAsia="Palatino Linotype" w:hAnsi="Palatino Linotype" w:cs="Palatino Linotype"/>
          <w:sz w:val="22"/>
          <w:szCs w:val="22"/>
        </w:rPr>
        <w:lastRenderedPageBreak/>
        <w:t xml:space="preserve">y como ora en los archivos de esta unidad administrativa, versión publica del Listado de nómina de los servidores públicos que laboran en las áreas que comprende el Municipio de Atlacomulco correspondiente a la segunda de febrero de 2025, documento donde están incluidas las áreas solicitadas por el ciudadano. </w:t>
      </w:r>
    </w:p>
    <w:p w14:paraId="0D53BCB6" w14:textId="77777777" w:rsidR="002377F0" w:rsidRPr="00E7469C" w:rsidRDefault="008C7182">
      <w:pPr>
        <w:spacing w:line="276" w:lineRule="auto"/>
        <w:ind w:left="113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“20.- SOLICITOSABER SI EL MUNICIPIO LLEGO A TENER ALGUNA OBSERVACION POR EL OSFEM Y SI FUERA EL CASO EL MOTIVO”</w:t>
      </w:r>
    </w:p>
    <w:p w14:paraId="607B4F08" w14:textId="77777777" w:rsidR="002377F0" w:rsidRPr="00E7469C" w:rsidRDefault="002377F0">
      <w:pPr>
        <w:spacing w:line="276" w:lineRule="auto"/>
        <w:ind w:left="1134" w:right="567"/>
        <w:jc w:val="both"/>
        <w:rPr>
          <w:rFonts w:ascii="Palatino Linotype" w:eastAsia="Palatino Linotype" w:hAnsi="Palatino Linotype" w:cs="Palatino Linotype"/>
          <w:i/>
          <w:sz w:val="22"/>
          <w:szCs w:val="22"/>
        </w:rPr>
      </w:pPr>
    </w:p>
    <w:p w14:paraId="7593D998" w14:textId="77777777" w:rsidR="002377F0" w:rsidRPr="00E7469C" w:rsidRDefault="008C7182">
      <w:pPr>
        <w:numPr>
          <w:ilvl w:val="0"/>
          <w:numId w:val="4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Respuesta: Se informa que de acuerdo con la información que obra en los archivos de esta Tesorería Municipal, no se encontraron datos sobre observaciones por parte del Órgano Superior de Fiscalización del Estado de México. </w:t>
      </w:r>
    </w:p>
    <w:p w14:paraId="440F8771" w14:textId="77777777" w:rsidR="002377F0" w:rsidRPr="00E7469C" w:rsidRDefault="008C7182">
      <w:pPr>
        <w:numPr>
          <w:ilvl w:val="0"/>
          <w:numId w:val="4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Listado de servidores públicos del periodo 16 al 31 de diciembre de 2024, con nombre, dependencia, cargo y remuneración neta quincenal, consiste en 17 fojas, en versión pública.</w:t>
      </w:r>
    </w:p>
    <w:p w14:paraId="22CBD132" w14:textId="77777777" w:rsidR="002377F0" w:rsidRPr="00E7469C" w:rsidRDefault="008C7182">
      <w:pPr>
        <w:numPr>
          <w:ilvl w:val="0"/>
          <w:numId w:val="4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Listado de servidores públicos del 16 al 28 de febrero de 2025, con nombre, dependencia, cargo y remuneración neta quincenal, consiste en 17 fojas, en versión pública. </w:t>
      </w:r>
    </w:p>
    <w:p w14:paraId="00252829"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roofErr w:type="spellStart"/>
      <w:r w:rsidRPr="00E7469C">
        <w:rPr>
          <w:rFonts w:ascii="Palatino Linotype" w:eastAsia="Palatino Linotype" w:hAnsi="Palatino Linotype" w:cs="Palatino Linotype"/>
          <w:b/>
          <w:i/>
          <w:sz w:val="22"/>
          <w:szCs w:val="22"/>
        </w:rPr>
        <w:t>resp</w:t>
      </w:r>
      <w:proofErr w:type="spellEnd"/>
      <w:r w:rsidRPr="00E7469C">
        <w:rPr>
          <w:rFonts w:ascii="Palatino Linotype" w:eastAsia="Palatino Linotype" w:hAnsi="Palatino Linotype" w:cs="Palatino Linotype"/>
          <w:b/>
          <w:i/>
          <w:sz w:val="22"/>
          <w:szCs w:val="22"/>
        </w:rPr>
        <w:t>. sol. 224.pdf:</w:t>
      </w:r>
      <w:r w:rsidRPr="00E7469C">
        <w:rPr>
          <w:rFonts w:ascii="Palatino Linotype" w:eastAsia="Palatino Linotype" w:hAnsi="Palatino Linotype" w:cs="Palatino Linotype"/>
          <w:sz w:val="22"/>
          <w:szCs w:val="22"/>
        </w:rPr>
        <w:t xml:space="preserve"> Oficio número ATL/OICM/0224/04/2025 de fecha siete de abril de dos mil veinticinco, signado por la Contralora Municipal, en el que informó que después de haber realizado una búsqueda exhaustiva dentro de los archivos que obran en este Órgano Interno de Control, se encontró lo siguiente:</w:t>
      </w:r>
    </w:p>
    <w:p w14:paraId="2C825AD4" w14:textId="77777777" w:rsidR="002377F0" w:rsidRPr="00E7469C" w:rsidRDefault="008C7182">
      <w:pPr>
        <w:spacing w:line="360"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056307F" wp14:editId="058F2266">
            <wp:extent cx="4274806" cy="707615"/>
            <wp:effectExtent l="0" t="0" r="0" b="0"/>
            <wp:docPr id="214492370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4274806" cy="707615"/>
                    </a:xfrm>
                    <a:prstGeom prst="rect">
                      <a:avLst/>
                    </a:prstGeom>
                    <a:ln/>
                  </pic:spPr>
                </pic:pic>
              </a:graphicData>
            </a:graphic>
          </wp:inline>
        </w:drawing>
      </w:r>
    </w:p>
    <w:p w14:paraId="1FE337C2"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ADECCF0"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lastRenderedPageBreak/>
        <w:t>224_SOL_RESP_ADMON_2025.pdf:</w:t>
      </w:r>
      <w:r w:rsidRPr="00E7469C">
        <w:rPr>
          <w:rFonts w:ascii="Palatino Linotype" w:eastAsia="Palatino Linotype" w:hAnsi="Palatino Linotype" w:cs="Palatino Linotype"/>
          <w:sz w:val="22"/>
          <w:szCs w:val="22"/>
        </w:rPr>
        <w:t xml:space="preserve"> Oficio número MA/DA/</w:t>
      </w:r>
      <w:proofErr w:type="gramStart"/>
      <w:r w:rsidRPr="00E7469C">
        <w:rPr>
          <w:rFonts w:ascii="Palatino Linotype" w:eastAsia="Palatino Linotype" w:hAnsi="Palatino Linotype" w:cs="Palatino Linotype"/>
          <w:sz w:val="22"/>
          <w:szCs w:val="22"/>
        </w:rPr>
        <w:t>ADQ./</w:t>
      </w:r>
      <w:proofErr w:type="gramEnd"/>
      <w:r w:rsidRPr="00E7469C">
        <w:rPr>
          <w:rFonts w:ascii="Palatino Linotype" w:eastAsia="Palatino Linotype" w:hAnsi="Palatino Linotype" w:cs="Palatino Linotype"/>
          <w:sz w:val="22"/>
          <w:szCs w:val="22"/>
        </w:rPr>
        <w:t xml:space="preserve">0194/04/2025 de fecha ocho de abril de dos mil veinticinco, signado por la </w:t>
      </w:r>
      <w:proofErr w:type="gramStart"/>
      <w:r w:rsidRPr="00E7469C">
        <w:rPr>
          <w:rFonts w:ascii="Palatino Linotype" w:eastAsia="Palatino Linotype" w:hAnsi="Palatino Linotype" w:cs="Palatino Linotype"/>
          <w:sz w:val="22"/>
          <w:szCs w:val="22"/>
        </w:rPr>
        <w:t>Directora</w:t>
      </w:r>
      <w:proofErr w:type="gramEnd"/>
      <w:r w:rsidRPr="00E7469C">
        <w:rPr>
          <w:rFonts w:ascii="Palatino Linotype" w:eastAsia="Palatino Linotype" w:hAnsi="Palatino Linotype" w:cs="Palatino Linotype"/>
          <w:sz w:val="22"/>
          <w:szCs w:val="22"/>
        </w:rPr>
        <w:t xml:space="preserve"> de Administración, mediante el cual informó </w:t>
      </w:r>
    </w:p>
    <w:p w14:paraId="00690DA0" w14:textId="77777777" w:rsidR="002377F0" w:rsidRPr="00E7469C" w:rsidRDefault="008C7182">
      <w:pPr>
        <w:spacing w:line="360"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“-Del numeral 1, donde solicitan el padrón de proveedores que tiene el municipio, se adjunta a la presente el padrón solicitado.</w:t>
      </w:r>
    </w:p>
    <w:p w14:paraId="593C5F1B" w14:textId="77777777" w:rsidR="002377F0" w:rsidRPr="00E7469C" w:rsidRDefault="008C7182">
      <w:pPr>
        <w:spacing w:line="360"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-Respecto del numeral 7, se anexan los contratos de la administración del 2025 que obran en el Departamento de Recursos Material y Adquisiciones hasta la fecha solicitada.</w:t>
      </w:r>
    </w:p>
    <w:p w14:paraId="7C19808C" w14:textId="77777777" w:rsidR="002377F0" w:rsidRPr="00E7469C" w:rsidRDefault="008C7182">
      <w:pPr>
        <w:spacing w:line="360"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-Del numeral 16, las licitaciones que se dieron en el año 2022, 2023, 2024 y 2025 son las siguientes:</w:t>
      </w:r>
    </w:p>
    <w:p w14:paraId="79657F1B" w14:textId="77777777" w:rsidR="002377F0" w:rsidRPr="00E7469C" w:rsidRDefault="008C7182">
      <w:pPr>
        <w:spacing w:line="360"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noProof/>
          <w:sz w:val="22"/>
          <w:szCs w:val="22"/>
          <w:lang w:val="es-MX"/>
        </w:rPr>
        <w:drawing>
          <wp:inline distT="0" distB="0" distL="0" distR="0" wp14:anchorId="5F27679D" wp14:editId="05BEE1F8">
            <wp:extent cx="4681512" cy="2430150"/>
            <wp:effectExtent l="0" t="0" r="0" b="0"/>
            <wp:docPr id="21449236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681512" cy="2430150"/>
                    </a:xfrm>
                    <a:prstGeom prst="rect">
                      <a:avLst/>
                    </a:prstGeom>
                    <a:ln/>
                  </pic:spPr>
                </pic:pic>
              </a:graphicData>
            </a:graphic>
          </wp:inline>
        </w:drawing>
      </w:r>
    </w:p>
    <w:p w14:paraId="45CA1F93" w14:textId="77777777" w:rsidR="002377F0" w:rsidRPr="00E7469C" w:rsidRDefault="008C7182">
      <w:pPr>
        <w:spacing w:line="360"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noProof/>
          <w:sz w:val="22"/>
          <w:szCs w:val="22"/>
          <w:lang w:val="es-MX"/>
        </w:rPr>
        <w:drawing>
          <wp:inline distT="0" distB="0" distL="0" distR="0" wp14:anchorId="06EF91F5" wp14:editId="2FBF1396">
            <wp:extent cx="4763165" cy="543001"/>
            <wp:effectExtent l="0" t="0" r="0" b="0"/>
            <wp:docPr id="21449237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63165" cy="543001"/>
                    </a:xfrm>
                    <a:prstGeom prst="rect">
                      <a:avLst/>
                    </a:prstGeom>
                    <a:ln/>
                  </pic:spPr>
                </pic:pic>
              </a:graphicData>
            </a:graphic>
          </wp:inline>
        </w:drawing>
      </w:r>
    </w:p>
    <w:p w14:paraId="762A327A" w14:textId="77777777" w:rsidR="002377F0" w:rsidRPr="00E7469C" w:rsidRDefault="008C7182">
      <w:pPr>
        <w:spacing w:line="360"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-Respecto del numeral 22 esta Dirección a mi cargo anexa los convenios del 2022, 2023, 2024 y 2025 en versión pública, aprobado mediante ACUERDO: ACT/ATLACOMULCO/EXT/COMT/13/ACU-CUARTO/2025, de la 13ª Sesión Extraordinaria del Comité de Transparencia el día 3 de abril de 2025.”</w:t>
      </w:r>
    </w:p>
    <w:p w14:paraId="4BDF579F"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Anexo archivo denominado Padrón de Proveedores, consistente en dos fojas. </w:t>
      </w:r>
    </w:p>
    <w:p w14:paraId="52315EC7"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Contrato de Prestación de Servicios No. MA/CAYS/AD/RP/023/2025, de fecha veintidós de enero de dos mil veinticinco. </w:t>
      </w:r>
    </w:p>
    <w:p w14:paraId="4B0DE756"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Anexo del Contrato No. MA/CAYS/AD/RP/023/2025</w:t>
      </w:r>
    </w:p>
    <w:p w14:paraId="6F70AF6C"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Adjudicación No. MA/CAYS/AD/RP/008/2025, de fecha dieciséis de febrero de dos mil veinticinco. </w:t>
      </w:r>
    </w:p>
    <w:p w14:paraId="5106B2A0"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Anexo del Contrato No. MA/CAYS/AD/RP/008/2025</w:t>
      </w:r>
    </w:p>
    <w:p w14:paraId="08FF8FA7"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Prestación de Servicios No. MA/CAYS/AD/RP/021/2025, de fecha veintiocho de enero de dos mil veinticinco. </w:t>
      </w:r>
    </w:p>
    <w:p w14:paraId="4F369FE1"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Anexo del Contrato No. MA/CAYS/AD/RP/021/2025</w:t>
      </w:r>
    </w:p>
    <w:p w14:paraId="7DA06D00"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Adjudicación No. MA/CAYS/AD/RP/012/2025, de fecha dieciséis de enero de dos mil veinticinco. </w:t>
      </w:r>
    </w:p>
    <w:p w14:paraId="0E829948"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Adjudicación No. MA/CAYS/AD/RP/013/2025, de fecha diez de enero de dos mil veinticinco. </w:t>
      </w:r>
    </w:p>
    <w:p w14:paraId="433F116F"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Anexo del Contrato No. MA/CAYS/AD/RP/013/2025</w:t>
      </w:r>
    </w:p>
    <w:p w14:paraId="658CA497"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Adjudicación No. MA/CAYS/AD/RP/014/2025, de fecha catorce de enero de dos mil veinticinco. </w:t>
      </w:r>
    </w:p>
    <w:p w14:paraId="5F9329D1"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Anexo del Contrato No. MA/CAYS/AD/RP/014/2025. </w:t>
      </w:r>
    </w:p>
    <w:p w14:paraId="2BB82586"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Prestación de Servicios Financieros que celebra el Ayuntamiento de Atlacomulco con FINAGAM S.C. DE A.P., en fecha treinta y uno de enero de dos mil veintidós. </w:t>
      </w:r>
    </w:p>
    <w:p w14:paraId="52843D0D"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Convenio de Coordinación para Efectuar Retenciones en Nómina, derivadas de contratos individuales, voluntarios y optativos de seguros que celebra el Ayuntamiento de Atlacomulco con Seguros Arcos, en fecha doce de enero de dos mil veintidós. </w:t>
      </w:r>
    </w:p>
    <w:p w14:paraId="3626FE7B"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Convenio de Colaboración de Pago de Prima de Seguro Individual Voluntario con Cargo a Nómina que celebra METLIFE MÉXICO, S.A. DE C.V., con el Ayuntamiento de Atlacomulco, en fecha primero de enero de dos mil veintidós. </w:t>
      </w:r>
    </w:p>
    <w:p w14:paraId="10FD7799" w14:textId="77777777" w:rsidR="002377F0" w:rsidRPr="00E7469C" w:rsidRDefault="008C7182">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Contrato de Prestación de Servicios Financieros que celebra FINAGAM S.C. DE A.P. DE R.L. DE C.V., con el Ayuntamiento de Atlacomulco, en fecha treinta y uno de enero de dos mil veinticinco. </w:t>
      </w:r>
    </w:p>
    <w:p w14:paraId="66E1E3EC"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Contestación Transparencia.pdf:</w:t>
      </w:r>
      <w:r w:rsidRPr="00E7469C">
        <w:rPr>
          <w:rFonts w:ascii="Palatino Linotype" w:eastAsia="Palatino Linotype" w:hAnsi="Palatino Linotype" w:cs="Palatino Linotype"/>
          <w:sz w:val="22"/>
          <w:szCs w:val="22"/>
        </w:rPr>
        <w:t xml:space="preserve"> Oficio número SM/209/03/2025 de fecha veintiséis de enero de dos mil veinticinco, signado por la Sindicatura Municipal de Atlacomulco, en el que solicitó una prórroga para exhibir la información solicitada, debido que se necesita recabar los documentos necesarios para dar cabal cumplimiento a la solicitud relativa a “</w:t>
      </w:r>
      <w:r w:rsidRPr="00E7469C">
        <w:rPr>
          <w:rFonts w:ascii="Palatino Linotype" w:eastAsia="Palatino Linotype" w:hAnsi="Palatino Linotype" w:cs="Palatino Linotype"/>
          <w:i/>
          <w:sz w:val="22"/>
          <w:szCs w:val="22"/>
        </w:rPr>
        <w:t>TODOS LOS CONVENIOS REALIZADOS DESDE EL 1 DE ENERO Á LA FECHA.”</w:t>
      </w:r>
    </w:p>
    <w:p w14:paraId="02F1CF8C"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Convenio.pdf</w:t>
      </w:r>
      <w:r w:rsidRPr="00E7469C">
        <w:rPr>
          <w:rFonts w:ascii="Palatino Linotype" w:eastAsia="Palatino Linotype" w:hAnsi="Palatino Linotype" w:cs="Palatino Linotype"/>
          <w:sz w:val="22"/>
          <w:szCs w:val="22"/>
        </w:rPr>
        <w:t xml:space="preserve">: Convenio de Coordinación que celebran la Secretaría de la Mujer del Gobierno del Estado de México y el Ayuntamiento de Atlacomulco, de fecha veintiocho de febrero de dos mil veintidós. </w:t>
      </w:r>
    </w:p>
    <w:p w14:paraId="11B3D62D"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224_RESP_SOL_SA_2024.pdf</w:t>
      </w:r>
      <w:r w:rsidRPr="00E7469C">
        <w:rPr>
          <w:rFonts w:ascii="Palatino Linotype" w:eastAsia="Palatino Linotype" w:hAnsi="Palatino Linotype" w:cs="Palatino Linotype"/>
          <w:sz w:val="22"/>
          <w:szCs w:val="22"/>
        </w:rPr>
        <w:t xml:space="preserve">: Oficio número PM/SA/01649/04/2025 de fecha nueve de abril de dos mil veinticinco, signado por el </w:t>
      </w:r>
      <w:proofErr w:type="gramStart"/>
      <w:r w:rsidRPr="00E7469C">
        <w:rPr>
          <w:rFonts w:ascii="Palatino Linotype" w:eastAsia="Palatino Linotype" w:hAnsi="Palatino Linotype" w:cs="Palatino Linotype"/>
          <w:sz w:val="22"/>
          <w:szCs w:val="22"/>
        </w:rPr>
        <w:t>Secretario</w:t>
      </w:r>
      <w:proofErr w:type="gramEnd"/>
      <w:r w:rsidRPr="00E7469C">
        <w:rPr>
          <w:rFonts w:ascii="Palatino Linotype" w:eastAsia="Palatino Linotype" w:hAnsi="Palatino Linotype" w:cs="Palatino Linotype"/>
          <w:sz w:val="22"/>
          <w:szCs w:val="22"/>
        </w:rPr>
        <w:t xml:space="preserve"> del Ayuntamiento, en el que informó que en atención al requerimiento </w:t>
      </w:r>
      <w:r w:rsidRPr="00E7469C">
        <w:rPr>
          <w:rFonts w:ascii="Palatino Linotype" w:eastAsia="Palatino Linotype" w:hAnsi="Palatino Linotype" w:cs="Palatino Linotype"/>
          <w:i/>
          <w:sz w:val="22"/>
          <w:szCs w:val="22"/>
        </w:rPr>
        <w:t>“22. Todos los convenios en versión publica que han generado en 2022, 2023, 2024, 2025”</w:t>
      </w:r>
      <w:r w:rsidRPr="00E7469C">
        <w:rPr>
          <w:rFonts w:ascii="Palatino Linotype" w:eastAsia="Palatino Linotype" w:hAnsi="Palatino Linotype" w:cs="Palatino Linotype"/>
          <w:sz w:val="22"/>
          <w:szCs w:val="22"/>
        </w:rPr>
        <w:t xml:space="preserve">, una vez realizada una búsqueda exhaustiva en los archivos de la Secretaría del Ayuntamiento, no obra información al respecto. </w:t>
      </w:r>
    </w:p>
    <w:p w14:paraId="3B2C2530"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0224.pdf</w:t>
      </w:r>
      <w:r w:rsidRPr="00E7469C">
        <w:rPr>
          <w:rFonts w:ascii="Palatino Linotype" w:eastAsia="Palatino Linotype" w:hAnsi="Palatino Linotype" w:cs="Palatino Linotype"/>
          <w:sz w:val="22"/>
          <w:szCs w:val="22"/>
        </w:rPr>
        <w:t>: Oficio número PM/DM/144/04/2025 de fecha nueve de abril de dos mil veinticinco, signado por la Directora de las Mujeres, mediante el cual informó que por lo que respecta al punto número "</w:t>
      </w:r>
      <w:r w:rsidRPr="00E7469C">
        <w:rPr>
          <w:rFonts w:ascii="Palatino Linotype" w:eastAsia="Palatino Linotype" w:hAnsi="Palatino Linotype" w:cs="Palatino Linotype"/>
          <w:i/>
          <w:sz w:val="22"/>
          <w:szCs w:val="22"/>
        </w:rPr>
        <w:t>6.- solicito todos los programas que el municipio está dando"</w:t>
      </w:r>
      <w:r w:rsidRPr="00E7469C">
        <w:rPr>
          <w:rFonts w:ascii="Palatino Linotype" w:eastAsia="Palatino Linotype" w:hAnsi="Palatino Linotype" w:cs="Palatino Linotype"/>
          <w:sz w:val="22"/>
          <w:szCs w:val="22"/>
        </w:rPr>
        <w:t xml:space="preserve"> no cuenta con un programa establecido, ahora bien, con respecto al punto número"</w:t>
      </w:r>
      <w:r w:rsidRPr="00E7469C">
        <w:rPr>
          <w:rFonts w:ascii="Palatino Linotype" w:eastAsia="Palatino Linotype" w:hAnsi="Palatino Linotype" w:cs="Palatino Linotype"/>
          <w:i/>
          <w:sz w:val="22"/>
          <w:szCs w:val="22"/>
        </w:rPr>
        <w:t xml:space="preserve">22.- solicito todos los convenios en versión pública que han generado en el </w:t>
      </w:r>
      <w:r w:rsidRPr="00E7469C">
        <w:rPr>
          <w:rFonts w:ascii="Palatino Linotype" w:eastAsia="Palatino Linotype" w:hAnsi="Palatino Linotype" w:cs="Palatino Linotype"/>
          <w:i/>
          <w:sz w:val="22"/>
          <w:szCs w:val="22"/>
        </w:rPr>
        <w:lastRenderedPageBreak/>
        <w:t xml:space="preserve">2022, 2023, 2024 y 2025”, </w:t>
      </w:r>
      <w:r w:rsidRPr="00E7469C">
        <w:rPr>
          <w:rFonts w:ascii="Palatino Linotype" w:eastAsia="Palatino Linotype" w:hAnsi="Palatino Linotype" w:cs="Palatino Linotype"/>
          <w:sz w:val="22"/>
          <w:szCs w:val="22"/>
        </w:rPr>
        <w:t>adjunta de manera física el convenio que obra en sus archivos.</w:t>
      </w:r>
    </w:p>
    <w:p w14:paraId="279B6CB1"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w:t>
      </w:r>
      <w:r w:rsidRPr="00E7469C">
        <w:rPr>
          <w:rFonts w:ascii="Palatino Linotype" w:eastAsia="Palatino Linotype" w:hAnsi="Palatino Linotype" w:cs="Palatino Linotype"/>
          <w:b/>
          <w:i/>
          <w:sz w:val="22"/>
          <w:szCs w:val="22"/>
        </w:rPr>
        <w:t>10) ANEXO atiende punto 2 y 18M.pdf</w:t>
      </w:r>
      <w:r w:rsidRPr="00E7469C">
        <w:rPr>
          <w:rFonts w:ascii="Palatino Linotype" w:eastAsia="Palatino Linotype" w:hAnsi="Palatino Linotype" w:cs="Palatino Linotype"/>
          <w:sz w:val="22"/>
          <w:szCs w:val="22"/>
        </w:rPr>
        <w:t xml:space="preserve">: Documento que contiene 561 Licencias de Funcionamiento Comercial emitidas en los meses de enero y febrero de dos mil veinticinco, en versión pública. </w:t>
      </w:r>
    </w:p>
    <w:p w14:paraId="10A59C5E"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(9) Anexo1_0224_DDE_Convenios.pdf</w:t>
      </w:r>
      <w:r w:rsidRPr="00E7469C">
        <w:rPr>
          <w:rFonts w:ascii="Palatino Linotype" w:eastAsia="Palatino Linotype" w:hAnsi="Palatino Linotype" w:cs="Palatino Linotype"/>
          <w:sz w:val="22"/>
          <w:szCs w:val="22"/>
        </w:rPr>
        <w:t xml:space="preserve">: contiene 23 convenios celebrados por el ayuntamiento de Atlacomulco en los años dos mil veintitrés y dos mil veinticuatro. </w:t>
      </w:r>
    </w:p>
    <w:p w14:paraId="3C6C825D" w14:textId="77777777" w:rsidR="002377F0" w:rsidRPr="00E7469C" w:rsidRDefault="008C7182">
      <w:pPr>
        <w:numPr>
          <w:ilvl w:val="0"/>
          <w:numId w:val="4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Anexo links.pdf</w:t>
      </w:r>
      <w:r w:rsidRPr="00E7469C">
        <w:rPr>
          <w:rFonts w:ascii="Palatino Linotype" w:eastAsia="Palatino Linotype" w:hAnsi="Palatino Linotype" w:cs="Palatino Linotype"/>
          <w:sz w:val="22"/>
          <w:szCs w:val="22"/>
        </w:rPr>
        <w:t xml:space="preserve">: Documento que contiene las siguientes ligas electrónicas, así como los pasos a seguir para el acceso a la información publicada en la fracción de </w:t>
      </w:r>
      <w:r w:rsidRPr="00E7469C">
        <w:rPr>
          <w:rFonts w:ascii="Palatino Linotype" w:eastAsia="Palatino Linotype" w:hAnsi="Palatino Linotype" w:cs="Palatino Linotype"/>
          <w:i/>
          <w:sz w:val="22"/>
          <w:szCs w:val="22"/>
        </w:rPr>
        <w:t>“Concesiones, Contratos, Convenios, Permisos, Licencias o Autorizaciones otorgados”</w:t>
      </w:r>
      <w:r w:rsidRPr="00E7469C">
        <w:rPr>
          <w:rFonts w:ascii="Palatino Linotype" w:eastAsia="Palatino Linotype" w:hAnsi="Palatino Linotype" w:cs="Palatino Linotype"/>
          <w:sz w:val="22"/>
          <w:szCs w:val="22"/>
        </w:rPr>
        <w:t xml:space="preserve">: </w:t>
      </w:r>
    </w:p>
    <w:p w14:paraId="29D1F6D0"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505F2214" wp14:editId="6CAB4922">
            <wp:extent cx="3558316" cy="786361"/>
            <wp:effectExtent l="0" t="0" r="0" b="0"/>
            <wp:docPr id="21449237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558316" cy="786361"/>
                    </a:xfrm>
                    <a:prstGeom prst="rect">
                      <a:avLst/>
                    </a:prstGeom>
                    <a:ln/>
                  </pic:spPr>
                </pic:pic>
              </a:graphicData>
            </a:graphic>
          </wp:inline>
        </w:drawing>
      </w:r>
    </w:p>
    <w:p w14:paraId="76F658E9" w14:textId="77777777" w:rsidR="002377F0" w:rsidRPr="00E7469C" w:rsidRDefault="008C718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(7) 0224_SOL_RESP_DDE_2025.pdf</w:t>
      </w:r>
      <w:r w:rsidRPr="00E7469C">
        <w:rPr>
          <w:rFonts w:ascii="Palatino Linotype" w:eastAsia="Palatino Linotype" w:hAnsi="Palatino Linotype" w:cs="Palatino Linotype"/>
          <w:sz w:val="22"/>
          <w:szCs w:val="22"/>
        </w:rPr>
        <w:t xml:space="preserve">: Oficio número DDE/209/04/2025 de fecha nueve de abril de dos mil veinticinco, signado por la </w:t>
      </w:r>
      <w:proofErr w:type="gramStart"/>
      <w:r w:rsidRPr="00E7469C">
        <w:rPr>
          <w:rFonts w:ascii="Palatino Linotype" w:eastAsia="Palatino Linotype" w:hAnsi="Palatino Linotype" w:cs="Palatino Linotype"/>
          <w:sz w:val="22"/>
          <w:szCs w:val="22"/>
        </w:rPr>
        <w:t>Directora</w:t>
      </w:r>
      <w:proofErr w:type="gramEnd"/>
      <w:r w:rsidRPr="00E7469C">
        <w:rPr>
          <w:rFonts w:ascii="Palatino Linotype" w:eastAsia="Palatino Linotype" w:hAnsi="Palatino Linotype" w:cs="Palatino Linotype"/>
          <w:sz w:val="22"/>
          <w:szCs w:val="22"/>
        </w:rPr>
        <w:t xml:space="preserve"> de Desarrollo Económico, en el que informó: </w:t>
      </w:r>
    </w:p>
    <w:p w14:paraId="63BDCA32" w14:textId="77777777" w:rsidR="002377F0" w:rsidRPr="00E7469C" w:rsidRDefault="008C7182">
      <w:pPr>
        <w:spacing w:line="360" w:lineRule="auto"/>
        <w:ind w:left="851" w:right="567"/>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02217E76" wp14:editId="59FD37ED">
            <wp:extent cx="4867074" cy="4663917"/>
            <wp:effectExtent l="0" t="0" r="0" b="0"/>
            <wp:docPr id="21449237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2"/>
                    <a:srcRect/>
                    <a:stretch>
                      <a:fillRect/>
                    </a:stretch>
                  </pic:blipFill>
                  <pic:spPr>
                    <a:xfrm>
                      <a:off x="0" y="0"/>
                      <a:ext cx="4867074" cy="4663917"/>
                    </a:xfrm>
                    <a:prstGeom prst="rect">
                      <a:avLst/>
                    </a:prstGeom>
                    <a:ln/>
                  </pic:spPr>
                </pic:pic>
              </a:graphicData>
            </a:graphic>
          </wp:inline>
        </w:drawing>
      </w:r>
    </w:p>
    <w:p w14:paraId="0302BB35"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w:t>
      </w:r>
    </w:p>
    <w:p w14:paraId="1AD487F8" w14:textId="77777777" w:rsidR="002377F0" w:rsidRPr="00E7469C" w:rsidRDefault="008C7182">
      <w:pPr>
        <w:spacing w:line="360" w:lineRule="auto"/>
        <w:ind w:left="851" w:right="567"/>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62576EBE" wp14:editId="4F40523A">
            <wp:extent cx="4698196" cy="1561113"/>
            <wp:effectExtent l="0" t="0" r="0" b="0"/>
            <wp:docPr id="214492370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4698196" cy="1561113"/>
                    </a:xfrm>
                    <a:prstGeom prst="rect">
                      <a:avLst/>
                    </a:prstGeom>
                    <a:ln/>
                  </pic:spPr>
                </pic:pic>
              </a:graphicData>
            </a:graphic>
          </wp:inline>
        </w:drawing>
      </w:r>
    </w:p>
    <w:p w14:paraId="6670F2E9" w14:textId="77777777" w:rsidR="002377F0" w:rsidRPr="00E7469C" w:rsidRDefault="008C718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0224_RESPT_UT_2025.pdf:</w:t>
      </w:r>
      <w:r w:rsidRPr="00E7469C">
        <w:rPr>
          <w:rFonts w:ascii="Palatino Linotype" w:eastAsia="Palatino Linotype" w:hAnsi="Palatino Linotype" w:cs="Palatino Linotype"/>
          <w:sz w:val="22"/>
          <w:szCs w:val="22"/>
        </w:rPr>
        <w:t xml:space="preserve"> Oficio de fecha nueve de abril de dos mil veinticinco signado por la Titular de la Unidad de Transparencia, mediante el cual informó: </w:t>
      </w:r>
    </w:p>
    <w:p w14:paraId="1623BFDF" w14:textId="77777777" w:rsidR="002377F0" w:rsidRPr="00E7469C" w:rsidRDefault="002377F0">
      <w:pPr>
        <w:spacing w:line="276" w:lineRule="auto"/>
        <w:ind w:left="851" w:right="49"/>
        <w:jc w:val="both"/>
        <w:rPr>
          <w:rFonts w:ascii="Palatino Linotype" w:eastAsia="Palatino Linotype" w:hAnsi="Palatino Linotype" w:cs="Palatino Linotype"/>
          <w:i/>
          <w:sz w:val="22"/>
          <w:szCs w:val="22"/>
        </w:rPr>
      </w:pPr>
    </w:p>
    <w:p w14:paraId="74847EB6" w14:textId="77777777" w:rsidR="002377F0" w:rsidRPr="00E7469C" w:rsidRDefault="008C7182">
      <w:pPr>
        <w:spacing w:line="276"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“Ahora bien, por lo que respecta al punto 5 de su solicitud de información, se anexa el presente el Listado de Base de Datos Personales del Ayuntamiento de Atlacomulco.</w:t>
      </w:r>
    </w:p>
    <w:p w14:paraId="19FE0EDF" w14:textId="77777777" w:rsidR="002377F0" w:rsidRPr="00E7469C" w:rsidRDefault="008C7182">
      <w:pPr>
        <w:spacing w:line="276"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Y por lo que respecta al punto 11 de su solicitud este Ayuntamiento Atlacomulco declara Incompetencia parcial para conocer y dar atención en su totalidad a dicha solicitud de acceso a la información, de conformidad con el artículo 167 de la Ley de Transparencia del Estado …Ahora bien, no se omite señalar que la información solicitada puede obrar en la Fiscalía General De Justicia del Estado de México, mismo que se constituye como Sujeto Obligado distinto a este Ayuntamiento de Atlacomulco, lo anterior de conformidad con lo establecido en el Padrón de Sujetos Obligados en Materia de Transparencia y Acceso a la Información Pública del Estado de México y Municipios aprobado por el Pleno del Instituto de Transparencia, Acceso a la Información Pública y Protección de Datos Personales del Estado de México y Municipios; por lo que tendrá que ingresar una nueva solicitud de información dirigida a dicho Sujeto Obligado.</w:t>
      </w:r>
    </w:p>
    <w:p w14:paraId="428D3324" w14:textId="77777777" w:rsidR="002377F0" w:rsidRPr="00E7469C" w:rsidRDefault="008C7182">
      <w:pPr>
        <w:spacing w:line="276"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DEFB369" w14:textId="77777777" w:rsidR="002377F0" w:rsidRPr="00E7469C" w:rsidRDefault="008C7182">
      <w:pPr>
        <w:spacing w:line="276" w:lineRule="auto"/>
        <w:ind w:left="851" w:right="4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Asimismo, se remite la información de las áreas en su versión pública, por lo que se anexa las actas de la Décima Segunda Sesión. Extraordinaria en la cual se confirmó como la clasificación de la información como reservada total y confidencial parcial, en la Décima Tercera Sesión Extraordinaria se confirma la clasificación como confidencial parcial, en la Décima Cuarta Sesión Extraordinaria del Comité de Transparencia mediante el cual se confirmó la clasificación de la información como confidencial parcial.”</w:t>
      </w:r>
    </w:p>
    <w:p w14:paraId="2FC299FD" w14:textId="77777777" w:rsidR="002377F0" w:rsidRPr="00E7469C" w:rsidRDefault="002377F0">
      <w:pPr>
        <w:spacing w:line="276" w:lineRule="auto"/>
        <w:ind w:left="851" w:right="49"/>
        <w:jc w:val="both"/>
        <w:rPr>
          <w:rFonts w:ascii="Palatino Linotype" w:eastAsia="Palatino Linotype" w:hAnsi="Palatino Linotype" w:cs="Palatino Linotype"/>
          <w:i/>
          <w:sz w:val="22"/>
          <w:szCs w:val="22"/>
        </w:rPr>
      </w:pPr>
    </w:p>
    <w:p w14:paraId="579A4664" w14:textId="77777777" w:rsidR="002377F0" w:rsidRPr="00E7469C" w:rsidRDefault="008C718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012_ACT_EXT_2025.pdf</w:t>
      </w:r>
      <w:r w:rsidRPr="00E7469C">
        <w:rPr>
          <w:rFonts w:ascii="Palatino Linotype" w:eastAsia="Palatino Linotype" w:hAnsi="Palatino Linotype" w:cs="Palatino Linotype"/>
          <w:sz w:val="22"/>
          <w:szCs w:val="22"/>
        </w:rPr>
        <w:t xml:space="preserve">: Acta de la Décima Segunda Sesión Extraordinaria del Comité de Transparencia del Ayuntamiento de Atlacomulco, de fecha veintisiete de marzo de dos mil veinticinco, en el que se aprobó la versión pública de la siguiente documentación: </w:t>
      </w:r>
    </w:p>
    <w:p w14:paraId="548B4F1B" w14:textId="77777777" w:rsidR="002377F0" w:rsidRPr="00E7469C" w:rsidRDefault="008C7182">
      <w:pPr>
        <w:spacing w:line="360" w:lineRule="auto"/>
        <w:ind w:left="426"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719F67CA" wp14:editId="0B5D9FBB">
            <wp:extent cx="5220970" cy="1698625"/>
            <wp:effectExtent l="0" t="0" r="0" b="0"/>
            <wp:docPr id="214492370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srcRect/>
                    <a:stretch>
                      <a:fillRect/>
                    </a:stretch>
                  </pic:blipFill>
                  <pic:spPr>
                    <a:xfrm>
                      <a:off x="0" y="0"/>
                      <a:ext cx="5220970" cy="1698625"/>
                    </a:xfrm>
                    <a:prstGeom prst="rect">
                      <a:avLst/>
                    </a:prstGeom>
                    <a:ln/>
                  </pic:spPr>
                </pic:pic>
              </a:graphicData>
            </a:graphic>
          </wp:inline>
        </w:drawing>
      </w:r>
      <w:r w:rsidRPr="00E7469C">
        <w:rPr>
          <w:rFonts w:ascii="Palatino Linotype" w:eastAsia="Palatino Linotype" w:hAnsi="Palatino Linotype" w:cs="Palatino Linotype"/>
          <w:noProof/>
          <w:sz w:val="22"/>
          <w:szCs w:val="22"/>
          <w:lang w:val="es-MX"/>
        </w:rPr>
        <w:drawing>
          <wp:inline distT="0" distB="0" distL="0" distR="0" wp14:anchorId="21C5796A" wp14:editId="2FCF9EFE">
            <wp:extent cx="5220970" cy="2712720"/>
            <wp:effectExtent l="0" t="0" r="0" b="0"/>
            <wp:docPr id="214492370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5"/>
                    <a:srcRect/>
                    <a:stretch>
                      <a:fillRect/>
                    </a:stretch>
                  </pic:blipFill>
                  <pic:spPr>
                    <a:xfrm>
                      <a:off x="0" y="0"/>
                      <a:ext cx="5220970" cy="2712720"/>
                    </a:xfrm>
                    <a:prstGeom prst="rect">
                      <a:avLst/>
                    </a:prstGeom>
                    <a:ln/>
                  </pic:spPr>
                </pic:pic>
              </a:graphicData>
            </a:graphic>
          </wp:inline>
        </w:drawing>
      </w:r>
    </w:p>
    <w:p w14:paraId="7F66A468" w14:textId="77777777" w:rsidR="002377F0" w:rsidRPr="00E7469C" w:rsidRDefault="008C7182">
      <w:pPr>
        <w:spacing w:line="360" w:lineRule="auto"/>
        <w:ind w:left="426"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B1334B0" wp14:editId="3AD9298A">
            <wp:extent cx="5220970" cy="708025"/>
            <wp:effectExtent l="0" t="0" r="0" b="0"/>
            <wp:docPr id="214492370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5220970" cy="708025"/>
                    </a:xfrm>
                    <a:prstGeom prst="rect">
                      <a:avLst/>
                    </a:prstGeom>
                    <a:ln/>
                  </pic:spPr>
                </pic:pic>
              </a:graphicData>
            </a:graphic>
          </wp:inline>
        </w:drawing>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noProof/>
          <w:sz w:val="22"/>
          <w:szCs w:val="22"/>
          <w:lang w:val="es-MX"/>
        </w:rPr>
        <w:drawing>
          <wp:inline distT="0" distB="0" distL="0" distR="0" wp14:anchorId="381B78A9" wp14:editId="10F0C9F5">
            <wp:extent cx="5220970" cy="887730"/>
            <wp:effectExtent l="0" t="0" r="0" b="0"/>
            <wp:docPr id="214492370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7"/>
                    <a:srcRect/>
                    <a:stretch>
                      <a:fillRect/>
                    </a:stretch>
                  </pic:blipFill>
                  <pic:spPr>
                    <a:xfrm>
                      <a:off x="0" y="0"/>
                      <a:ext cx="5220970" cy="887730"/>
                    </a:xfrm>
                    <a:prstGeom prst="rect">
                      <a:avLst/>
                    </a:prstGeom>
                    <a:ln/>
                  </pic:spPr>
                </pic:pic>
              </a:graphicData>
            </a:graphic>
          </wp:inline>
        </w:drawing>
      </w:r>
    </w:p>
    <w:p w14:paraId="1FBE35AD" w14:textId="77777777" w:rsidR="002377F0" w:rsidRPr="00E7469C" w:rsidRDefault="008C718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013_ACT_EX_CT_2025.pdf</w:t>
      </w:r>
      <w:r w:rsidRPr="00E7469C">
        <w:rPr>
          <w:rFonts w:ascii="Palatino Linotype" w:eastAsia="Palatino Linotype" w:hAnsi="Palatino Linotype" w:cs="Palatino Linotype"/>
          <w:sz w:val="22"/>
          <w:szCs w:val="22"/>
        </w:rPr>
        <w:t xml:space="preserve">: Acta de la Décima Tercera Sesión Extraordinaria del Comité de Transparencia del Ayuntamiento de Atlacomulco, de fecha tres de abril </w:t>
      </w:r>
      <w:r w:rsidRPr="00E7469C">
        <w:rPr>
          <w:rFonts w:ascii="Palatino Linotype" w:eastAsia="Palatino Linotype" w:hAnsi="Palatino Linotype" w:cs="Palatino Linotype"/>
          <w:sz w:val="22"/>
          <w:szCs w:val="22"/>
        </w:rPr>
        <w:lastRenderedPageBreak/>
        <w:t xml:space="preserve">de dos mil veinticinco, en el que se aprobó la versión pública de la siguiente documentación: </w:t>
      </w:r>
    </w:p>
    <w:p w14:paraId="5F1DE61E"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0807853" wp14:editId="5B94C418">
            <wp:extent cx="5220970" cy="2205990"/>
            <wp:effectExtent l="0" t="0" r="0" b="0"/>
            <wp:docPr id="214492370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8"/>
                    <a:srcRect/>
                    <a:stretch>
                      <a:fillRect/>
                    </a:stretch>
                  </pic:blipFill>
                  <pic:spPr>
                    <a:xfrm>
                      <a:off x="0" y="0"/>
                      <a:ext cx="5220970" cy="2205990"/>
                    </a:xfrm>
                    <a:prstGeom prst="rect">
                      <a:avLst/>
                    </a:prstGeom>
                    <a:ln/>
                  </pic:spPr>
                </pic:pic>
              </a:graphicData>
            </a:graphic>
          </wp:inline>
        </w:drawing>
      </w:r>
    </w:p>
    <w:p w14:paraId="1911F68D"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7533B28B" wp14:editId="5B558464">
            <wp:extent cx="5220970" cy="286385"/>
            <wp:effectExtent l="0" t="0" r="0" b="0"/>
            <wp:docPr id="214492371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9"/>
                    <a:srcRect/>
                    <a:stretch>
                      <a:fillRect/>
                    </a:stretch>
                  </pic:blipFill>
                  <pic:spPr>
                    <a:xfrm>
                      <a:off x="0" y="0"/>
                      <a:ext cx="5220970" cy="286385"/>
                    </a:xfrm>
                    <a:prstGeom prst="rect">
                      <a:avLst/>
                    </a:prstGeom>
                    <a:ln/>
                  </pic:spPr>
                </pic:pic>
              </a:graphicData>
            </a:graphic>
          </wp:inline>
        </w:drawing>
      </w:r>
      <w:r w:rsidRPr="00E7469C">
        <w:rPr>
          <w:rFonts w:ascii="Palatino Linotype" w:eastAsia="Palatino Linotype" w:hAnsi="Palatino Linotype" w:cs="Palatino Linotype"/>
          <w:noProof/>
          <w:sz w:val="22"/>
          <w:szCs w:val="22"/>
          <w:lang w:val="es-MX"/>
        </w:rPr>
        <w:drawing>
          <wp:inline distT="0" distB="0" distL="0" distR="0" wp14:anchorId="7AC4E0F1" wp14:editId="6DF67DFA">
            <wp:extent cx="5220970" cy="2181860"/>
            <wp:effectExtent l="0" t="0" r="0" b="0"/>
            <wp:docPr id="21449237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a:srcRect/>
                    <a:stretch>
                      <a:fillRect/>
                    </a:stretch>
                  </pic:blipFill>
                  <pic:spPr>
                    <a:xfrm>
                      <a:off x="0" y="0"/>
                      <a:ext cx="5220970" cy="2181860"/>
                    </a:xfrm>
                    <a:prstGeom prst="rect">
                      <a:avLst/>
                    </a:prstGeom>
                    <a:ln/>
                  </pic:spPr>
                </pic:pic>
              </a:graphicData>
            </a:graphic>
          </wp:inline>
        </w:drawing>
      </w:r>
    </w:p>
    <w:p w14:paraId="612C370B" w14:textId="77777777" w:rsidR="002377F0" w:rsidRPr="00E7469C" w:rsidRDefault="008C718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14_ACT_EXT_2025.pdf</w:t>
      </w:r>
      <w:r w:rsidRPr="00E7469C">
        <w:rPr>
          <w:rFonts w:ascii="Palatino Linotype" w:eastAsia="Palatino Linotype" w:hAnsi="Palatino Linotype" w:cs="Palatino Linotype"/>
          <w:sz w:val="22"/>
          <w:szCs w:val="22"/>
        </w:rPr>
        <w:t>: Acta de la Décima Cuarta Sesión Extraordinaria del Comité de Transparencia del Ayuntamiento de Atlacomulco, de fecha ocho de abril de dos mil veinticinco, en el que se aprobó la versión pública de la siguiente documentación:</w:t>
      </w:r>
    </w:p>
    <w:p w14:paraId="78488732"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244BC68D" wp14:editId="0A0CC3E7">
            <wp:extent cx="5220970" cy="2649855"/>
            <wp:effectExtent l="0" t="0" r="0" b="0"/>
            <wp:docPr id="21449236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1"/>
                    <a:srcRect/>
                    <a:stretch>
                      <a:fillRect/>
                    </a:stretch>
                  </pic:blipFill>
                  <pic:spPr>
                    <a:xfrm>
                      <a:off x="0" y="0"/>
                      <a:ext cx="5220970" cy="2649855"/>
                    </a:xfrm>
                    <a:prstGeom prst="rect">
                      <a:avLst/>
                    </a:prstGeom>
                    <a:ln/>
                  </pic:spPr>
                </pic:pic>
              </a:graphicData>
            </a:graphic>
          </wp:inline>
        </w:drawing>
      </w:r>
    </w:p>
    <w:p w14:paraId="11778014"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26C41CA2" wp14:editId="4C8B30AB">
            <wp:extent cx="5220970" cy="2045970"/>
            <wp:effectExtent l="0" t="0" r="0" b="0"/>
            <wp:docPr id="214492368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2"/>
                    <a:srcRect/>
                    <a:stretch>
                      <a:fillRect/>
                    </a:stretch>
                  </pic:blipFill>
                  <pic:spPr>
                    <a:xfrm>
                      <a:off x="0" y="0"/>
                      <a:ext cx="5220970" cy="2045970"/>
                    </a:xfrm>
                    <a:prstGeom prst="rect">
                      <a:avLst/>
                    </a:prstGeom>
                    <a:ln/>
                  </pic:spPr>
                </pic:pic>
              </a:graphicData>
            </a:graphic>
          </wp:inline>
        </w:drawing>
      </w:r>
    </w:p>
    <w:p w14:paraId="30793CEF" w14:textId="77777777" w:rsidR="002377F0" w:rsidRPr="00E7469C" w:rsidRDefault="008C718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 xml:space="preserve">Punto 5 de Cedulas de Datos </w:t>
      </w:r>
      <w:proofErr w:type="gramStart"/>
      <w:r w:rsidRPr="00E7469C">
        <w:rPr>
          <w:rFonts w:ascii="Palatino Linotype" w:eastAsia="Palatino Linotype" w:hAnsi="Palatino Linotype" w:cs="Palatino Linotype"/>
          <w:b/>
          <w:i/>
          <w:sz w:val="22"/>
          <w:szCs w:val="22"/>
        </w:rPr>
        <w:t>Personales..</w:t>
      </w:r>
      <w:proofErr w:type="spellStart"/>
      <w:proofErr w:type="gramEnd"/>
      <w:r w:rsidRPr="00E7469C">
        <w:rPr>
          <w:rFonts w:ascii="Palatino Linotype" w:eastAsia="Palatino Linotype" w:hAnsi="Palatino Linotype" w:cs="Palatino Linotype"/>
          <w:b/>
          <w:i/>
          <w:sz w:val="22"/>
          <w:szCs w:val="22"/>
        </w:rPr>
        <w:t>pdf</w:t>
      </w:r>
      <w:proofErr w:type="spellEnd"/>
      <w:r w:rsidRPr="00E7469C">
        <w:rPr>
          <w:rFonts w:ascii="Palatino Linotype" w:eastAsia="Palatino Linotype" w:hAnsi="Palatino Linotype" w:cs="Palatino Linotype"/>
          <w:sz w:val="22"/>
          <w:szCs w:val="22"/>
        </w:rPr>
        <w:t xml:space="preserve">: Listado de Base de Datos Personales del Ayuntamiento de Atlacomulco. </w:t>
      </w:r>
    </w:p>
    <w:p w14:paraId="3623631C"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069DEB30" w14:textId="77777777" w:rsidR="002377F0" w:rsidRPr="00E7469C" w:rsidRDefault="008C7182">
      <w:pPr>
        <w:numPr>
          <w:ilvl w:val="0"/>
          <w:numId w:val="37"/>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Interposición del recurso de revisión. </w:t>
      </w:r>
      <w:r w:rsidRPr="00E7469C">
        <w:rPr>
          <w:rFonts w:ascii="Palatino Linotype" w:eastAsia="Palatino Linotype" w:hAnsi="Palatino Linotype" w:cs="Palatino Linotype"/>
          <w:sz w:val="22"/>
          <w:szCs w:val="22"/>
        </w:rPr>
        <w:t xml:space="preserve">Inconforme con la respuesta del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la parte</w:t>
      </w:r>
      <w:r w:rsidRPr="00E7469C">
        <w:rPr>
          <w:rFonts w:ascii="Palatino Linotype" w:eastAsia="Palatino Linotype" w:hAnsi="Palatino Linotype" w:cs="Palatino Linotype"/>
          <w:b/>
          <w:sz w:val="22"/>
          <w:szCs w:val="22"/>
        </w:rPr>
        <w:t xml:space="preserve"> Recurrente</w:t>
      </w:r>
      <w:r w:rsidRPr="00E7469C">
        <w:rPr>
          <w:rFonts w:ascii="Palatino Linotype" w:eastAsia="Palatino Linotype" w:hAnsi="Palatino Linotype" w:cs="Palatino Linotype"/>
          <w:sz w:val="22"/>
          <w:szCs w:val="22"/>
        </w:rPr>
        <w:t xml:space="preserve"> interpuso recurso de revisión a través del SAIMEX en fecha </w:t>
      </w:r>
      <w:r w:rsidRPr="00E7469C">
        <w:rPr>
          <w:rFonts w:ascii="Palatino Linotype" w:eastAsia="Palatino Linotype" w:hAnsi="Palatino Linotype" w:cs="Palatino Linotype"/>
          <w:b/>
          <w:sz w:val="22"/>
          <w:szCs w:val="22"/>
        </w:rPr>
        <w:t>veinticuatro de abril de dos mil veinticinco</w:t>
      </w:r>
      <w:r w:rsidRPr="00E7469C">
        <w:rPr>
          <w:rFonts w:ascii="Palatino Linotype" w:eastAsia="Palatino Linotype" w:hAnsi="Palatino Linotype" w:cs="Palatino Linotype"/>
          <w:sz w:val="22"/>
          <w:szCs w:val="22"/>
        </w:rPr>
        <w:t>, a través del cual expresó lo siguiente:</w:t>
      </w:r>
    </w:p>
    <w:p w14:paraId="735444E2" w14:textId="77777777" w:rsidR="002377F0" w:rsidRPr="00E7469C" w:rsidRDefault="002377F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2E39801" w14:textId="77777777" w:rsidR="002377F0" w:rsidRPr="00E7469C" w:rsidRDefault="008C7182">
      <w:pPr>
        <w:spacing w:line="360" w:lineRule="auto"/>
        <w:ind w:left="851" w:right="616"/>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Acto impugnado. </w:t>
      </w:r>
    </w:p>
    <w:p w14:paraId="704B0240" w14:textId="77777777" w:rsidR="002377F0" w:rsidRPr="00E7469C" w:rsidRDefault="008C7182">
      <w:pPr>
        <w:spacing w:line="360"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 xml:space="preserve">“ME NIEGAN LA INFORMACION Y NO LA ATIENDEN COMO LO SOLICITE” </w:t>
      </w:r>
    </w:p>
    <w:p w14:paraId="08A251AF" w14:textId="77777777" w:rsidR="002377F0" w:rsidRPr="00E7469C" w:rsidRDefault="002377F0">
      <w:pPr>
        <w:spacing w:line="276" w:lineRule="auto"/>
        <w:ind w:left="851" w:right="616"/>
        <w:rPr>
          <w:rFonts w:ascii="Palatino Linotype" w:eastAsia="Palatino Linotype" w:hAnsi="Palatino Linotype" w:cs="Palatino Linotype"/>
          <w:sz w:val="22"/>
          <w:szCs w:val="22"/>
        </w:rPr>
      </w:pPr>
    </w:p>
    <w:p w14:paraId="56245780" w14:textId="77777777" w:rsidR="002377F0" w:rsidRPr="00E7469C" w:rsidRDefault="008C7182">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Motivos de inconformidad. </w:t>
      </w:r>
    </w:p>
    <w:p w14:paraId="4B3DBACB" w14:textId="77777777" w:rsidR="002377F0" w:rsidRPr="00E7469C" w:rsidRDefault="008C7182">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sz w:val="22"/>
          <w:szCs w:val="22"/>
        </w:rPr>
        <w:t>“</w:t>
      </w:r>
      <w:r w:rsidRPr="00E7469C">
        <w:rPr>
          <w:rFonts w:ascii="Palatino Linotype" w:eastAsia="Palatino Linotype" w:hAnsi="Palatino Linotype" w:cs="Palatino Linotype"/>
          <w:i/>
          <w:sz w:val="22"/>
          <w:szCs w:val="22"/>
        </w:rPr>
        <w:t>ME NIEGAN LA INFORMACION Y NO LA ATIENDEN COMO LO SOLICITE”</w:t>
      </w:r>
    </w:p>
    <w:p w14:paraId="1A33C9CD" w14:textId="77777777" w:rsidR="002377F0" w:rsidRPr="00E7469C" w:rsidRDefault="002377F0">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4FD17EF6" w14:textId="77777777" w:rsidR="002377F0" w:rsidRPr="00E7469C" w:rsidRDefault="008C7182">
      <w:pPr>
        <w:numPr>
          <w:ilvl w:val="0"/>
          <w:numId w:val="3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Turno. </w:t>
      </w:r>
      <w:r w:rsidRPr="00E7469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E7469C">
        <w:rPr>
          <w:rFonts w:ascii="Palatino Linotype" w:eastAsia="Palatino Linotype" w:hAnsi="Palatino Linotype" w:cs="Palatino Linotype"/>
          <w:b/>
          <w:sz w:val="22"/>
          <w:szCs w:val="22"/>
        </w:rPr>
        <w:t>04684/INFOEM/IP/RR/2025</w:t>
      </w:r>
      <w:r w:rsidRPr="00E7469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E7469C">
        <w:rPr>
          <w:rFonts w:ascii="Palatino Linotype" w:eastAsia="Palatino Linotype" w:hAnsi="Palatino Linotype" w:cs="Palatino Linotype"/>
          <w:b/>
          <w:sz w:val="22"/>
          <w:szCs w:val="22"/>
        </w:rPr>
        <w:t>Guadalupe Ramírez Peña</w:t>
      </w:r>
      <w:r w:rsidRPr="00E7469C">
        <w:rPr>
          <w:rFonts w:ascii="Palatino Linotype" w:eastAsia="Palatino Linotype" w:hAnsi="Palatino Linotype" w:cs="Palatino Linotype"/>
          <w:sz w:val="22"/>
          <w:szCs w:val="22"/>
        </w:rPr>
        <w:t>, para su análisis, estudio, elaboración del proyecto y presentación ante el Pleno de este Instituto.</w:t>
      </w:r>
    </w:p>
    <w:p w14:paraId="330073C4" w14:textId="77777777" w:rsidR="002377F0" w:rsidRPr="00E7469C" w:rsidRDefault="002377F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365FC39" w14:textId="77777777" w:rsidR="002377F0" w:rsidRPr="00E7469C" w:rsidRDefault="008C7182">
      <w:pPr>
        <w:numPr>
          <w:ilvl w:val="0"/>
          <w:numId w:val="3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E7469C">
        <w:rPr>
          <w:rFonts w:ascii="Palatino Linotype" w:eastAsia="Palatino Linotype" w:hAnsi="Palatino Linotype" w:cs="Palatino Linotype"/>
          <w:b/>
          <w:sz w:val="22"/>
          <w:szCs w:val="22"/>
        </w:rPr>
        <w:t xml:space="preserve">Admisión del recurso de revisión: </w:t>
      </w:r>
      <w:r w:rsidRPr="00E7469C">
        <w:rPr>
          <w:rFonts w:ascii="Palatino Linotype" w:eastAsia="Palatino Linotype" w:hAnsi="Palatino Linotype" w:cs="Palatino Linotype"/>
          <w:sz w:val="22"/>
          <w:szCs w:val="22"/>
        </w:rPr>
        <w:t xml:space="preserve">En fecha </w:t>
      </w:r>
      <w:r w:rsidRPr="00E7469C">
        <w:rPr>
          <w:rFonts w:ascii="Palatino Linotype" w:eastAsia="Palatino Linotype" w:hAnsi="Palatino Linotype" w:cs="Palatino Linotype"/>
          <w:b/>
          <w:sz w:val="22"/>
          <w:szCs w:val="22"/>
        </w:rPr>
        <w:t>veintinueve de abril de dos mil veinticinco</w:t>
      </w:r>
      <w:r w:rsidRPr="00E7469C">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presentara su informe justificado.</w:t>
      </w:r>
    </w:p>
    <w:p w14:paraId="6A89DE43" w14:textId="77777777" w:rsidR="002377F0" w:rsidRPr="00E7469C" w:rsidRDefault="002377F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6209C16" w14:textId="77777777" w:rsidR="002377F0" w:rsidRPr="00E7469C" w:rsidRDefault="008C7182">
      <w:pPr>
        <w:numPr>
          <w:ilvl w:val="0"/>
          <w:numId w:val="37"/>
        </w:numPr>
        <w:pBdr>
          <w:top w:val="nil"/>
          <w:left w:val="nil"/>
          <w:bottom w:val="nil"/>
          <w:right w:val="nil"/>
          <w:between w:val="nil"/>
        </w:pBdr>
        <w:tabs>
          <w:tab w:val="left" w:pos="284"/>
        </w:tabs>
        <w:spacing w:line="360" w:lineRule="auto"/>
        <w:ind w:left="0" w:right="49" w:hanging="1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Manifestaciones</w:t>
      </w:r>
      <w:r w:rsidRPr="00E7469C">
        <w:rPr>
          <w:rFonts w:ascii="Palatino Linotype" w:eastAsia="Palatino Linotype" w:hAnsi="Palatino Linotype" w:cs="Palatino Linotype"/>
          <w:sz w:val="22"/>
          <w:szCs w:val="22"/>
        </w:rPr>
        <w:t xml:space="preserve">: De las constancias que obran en el expediente electrónico del </w:t>
      </w:r>
      <w:r w:rsidRPr="00E7469C">
        <w:rPr>
          <w:rFonts w:ascii="Palatino Linotype" w:eastAsia="Palatino Linotype" w:hAnsi="Palatino Linotype" w:cs="Palatino Linotype"/>
          <w:b/>
          <w:sz w:val="22"/>
          <w:szCs w:val="22"/>
        </w:rPr>
        <w:t>SAIMEX</w:t>
      </w:r>
      <w:r w:rsidRPr="00E7469C">
        <w:rPr>
          <w:rFonts w:ascii="Palatino Linotype" w:eastAsia="Palatino Linotype" w:hAnsi="Palatino Linotype" w:cs="Palatino Linotype"/>
          <w:sz w:val="22"/>
          <w:szCs w:val="22"/>
        </w:rPr>
        <w:t xml:space="preserve"> se desprende que en fecha </w:t>
      </w:r>
      <w:r w:rsidRPr="00E7469C">
        <w:rPr>
          <w:rFonts w:ascii="Palatino Linotype" w:eastAsia="Palatino Linotype" w:hAnsi="Palatino Linotype" w:cs="Palatino Linotype"/>
          <w:b/>
          <w:sz w:val="22"/>
          <w:szCs w:val="22"/>
        </w:rPr>
        <w:t>doce de mayo de dos mil veinticinco</w:t>
      </w:r>
      <w:r w:rsidRPr="00E7469C">
        <w:rPr>
          <w:rFonts w:ascii="Palatino Linotype" w:eastAsia="Palatino Linotype" w:hAnsi="Palatino Linotype" w:cs="Palatino Linotype"/>
          <w:sz w:val="22"/>
          <w:szCs w:val="22"/>
        </w:rPr>
        <w:t xml:space="preserv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rindió su informe justificado, a través de los siguientes archivos electrónicos, mismos que fueron hechos del conocimiento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en fecha </w:t>
      </w:r>
      <w:r w:rsidRPr="00E7469C">
        <w:rPr>
          <w:rFonts w:ascii="Palatino Linotype" w:eastAsia="Palatino Linotype" w:hAnsi="Palatino Linotype" w:cs="Palatino Linotype"/>
          <w:b/>
          <w:sz w:val="22"/>
          <w:szCs w:val="22"/>
        </w:rPr>
        <w:t>diez de septiembre de dos mil veinticinco</w:t>
      </w:r>
      <w:r w:rsidRPr="00E7469C">
        <w:rPr>
          <w:rFonts w:ascii="Palatino Linotype" w:eastAsia="Palatino Linotype" w:hAnsi="Palatino Linotype" w:cs="Palatino Linotype"/>
          <w:sz w:val="22"/>
          <w:szCs w:val="22"/>
        </w:rPr>
        <w:t xml:space="preserve">, cuyo contenido es el siguiente: </w:t>
      </w:r>
    </w:p>
    <w:p w14:paraId="6C10D979" w14:textId="77777777" w:rsidR="002377F0" w:rsidRPr="00E7469C" w:rsidRDefault="008C7182">
      <w:pPr>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lastRenderedPageBreak/>
        <w:t>RR 04684 UIPEE PLAN DE DESARROLLO MUNICIPAL ATLACOMULCO 2025-2027.pdf</w:t>
      </w:r>
      <w:r w:rsidRPr="00E7469C">
        <w:rPr>
          <w:rFonts w:ascii="Palatino Linotype" w:eastAsia="Palatino Linotype" w:hAnsi="Palatino Linotype" w:cs="Palatino Linotype"/>
          <w:sz w:val="22"/>
          <w:szCs w:val="22"/>
        </w:rPr>
        <w:t xml:space="preserve">: Contiene el Plan de Desarrollo Municipal de Atlacomulco 2025-2025, consistente en 325 fojas. </w:t>
      </w:r>
    </w:p>
    <w:p w14:paraId="5D73DCDC" w14:textId="77777777" w:rsidR="002377F0" w:rsidRPr="00E7469C" w:rsidRDefault="008C7182">
      <w:pPr>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RR_04684_UT_2025_Anexo 2.pdf</w:t>
      </w:r>
      <w:r w:rsidRPr="00E7469C">
        <w:rPr>
          <w:rFonts w:ascii="Palatino Linotype" w:eastAsia="Palatino Linotype" w:hAnsi="Palatino Linotype" w:cs="Palatino Linotype"/>
          <w:sz w:val="22"/>
          <w:szCs w:val="22"/>
        </w:rPr>
        <w:t xml:space="preserve">: Contiene los siguientes documentos: </w:t>
      </w:r>
    </w:p>
    <w:p w14:paraId="40ECBEF6" w14:textId="77777777" w:rsidR="002377F0" w:rsidRPr="00E7469C" w:rsidRDefault="008C7182">
      <w:pPr>
        <w:numPr>
          <w:ilvl w:val="0"/>
          <w:numId w:val="1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Oficio número PM/UT/RR/0150-10/2025 de fecha treinta de abril de dos mil veinticinco, signado por el Titular de la Unidad de Transparencia, mediante el cual solicitó a la Sindicatura Municipal rendir el informe justificado correspondiente. </w:t>
      </w:r>
    </w:p>
    <w:p w14:paraId="5566B171" w14:textId="77777777" w:rsidR="002377F0" w:rsidRPr="00E7469C" w:rsidRDefault="008C7182">
      <w:pPr>
        <w:numPr>
          <w:ilvl w:val="0"/>
          <w:numId w:val="1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Oficio número SM/313/05/2025 de fecha doce de mayo de dos mil veinticinco, signado por la Sindica Municipal, en el que manifiesta que debido a la carga de trabajo no fue posible dar cumplimiento a solicitar al comité de transparencia la aprobación de versión pública y reserva de información de los convenios que obran en sindicatura municipal y con ello, impidiendo realizar la entrega correspondiente que obra, razón por la cual no se puedo cumplir en tiempo y forma con la entrega de la solicitud 0224/ATLACOM/IP/2025.</w:t>
      </w:r>
    </w:p>
    <w:p w14:paraId="5FB2203A" w14:textId="77777777" w:rsidR="002377F0" w:rsidRPr="00E7469C" w:rsidRDefault="008C7182">
      <w:pPr>
        <w:pBdr>
          <w:top w:val="nil"/>
          <w:left w:val="nil"/>
          <w:bottom w:val="nil"/>
          <w:right w:val="nil"/>
          <w:between w:val="nil"/>
        </w:pBdr>
        <w:tabs>
          <w:tab w:val="left" w:pos="284"/>
        </w:tabs>
        <w:spacing w:line="360" w:lineRule="auto"/>
        <w:ind w:left="144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fecha nueve de abril se entregó a la Unidad de Transparencia el oficio número: SM/239/04/2025, solicitando la clasificación de la información como reservada, en virtud de que en los convenios se encuentran nombres de servidores públicos de la Comisaria y Tránsito Municipal que se desempeñan como elementos operativos en materia de seguridad pública en el Ayuntamiento de Atlacomulco, México; al ser de conocimiento público pueden constituir una amenaza contra los elementos de seguridad pública y contra el ejercicio debido de sus funciones; así mismo se solicitó en fecha nueve de abril del presente año la autorización para la emisión de documentos en versión pública, por tratarse de clasificación como </w:t>
      </w:r>
      <w:r w:rsidRPr="00E7469C">
        <w:rPr>
          <w:rFonts w:ascii="Palatino Linotype" w:eastAsia="Palatino Linotype" w:hAnsi="Palatino Linotype" w:cs="Palatino Linotype"/>
          <w:sz w:val="22"/>
          <w:szCs w:val="22"/>
        </w:rPr>
        <w:lastRenderedPageBreak/>
        <w:t>confidencial, mediante oficio número SM/241/03/2025, mismas que fueron aprobados en la cuarta sesión del comité de transparencia de fecha veintidós de abril del año dos mil veinticinco, mediante acuerdo ACT/ATLACOMULCO/ORD/CT/4°/ACU-OCTAVO/2025.</w:t>
      </w:r>
    </w:p>
    <w:p w14:paraId="4F8B4BA7" w14:textId="77777777" w:rsidR="002377F0" w:rsidRPr="00E7469C" w:rsidRDefault="008C7182">
      <w:pPr>
        <w:pBdr>
          <w:top w:val="nil"/>
          <w:left w:val="nil"/>
          <w:bottom w:val="nil"/>
          <w:right w:val="nil"/>
          <w:between w:val="nil"/>
        </w:pBdr>
        <w:tabs>
          <w:tab w:val="left" w:pos="284"/>
        </w:tabs>
        <w:spacing w:line="360" w:lineRule="auto"/>
        <w:ind w:left="144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virtud de lo anterior remito al presente los convenios celebrados en el año 2022, 2024 y 2025, que obran en esta sindicatura municipal en su versión pública garantizando así el Derecho de Acceso a la Información Pública del hoy recurrente, por lo que respecta al año dos mil veintitrés no se realizaron convenios en este año. </w:t>
      </w:r>
    </w:p>
    <w:p w14:paraId="2DE225CD" w14:textId="77777777" w:rsidR="002377F0" w:rsidRPr="00E7469C" w:rsidRDefault="008C7182">
      <w:pPr>
        <w:pBdr>
          <w:top w:val="nil"/>
          <w:left w:val="nil"/>
          <w:bottom w:val="nil"/>
          <w:right w:val="nil"/>
          <w:between w:val="nil"/>
        </w:pBdr>
        <w:tabs>
          <w:tab w:val="left" w:pos="284"/>
        </w:tabs>
        <w:spacing w:line="360" w:lineRule="auto"/>
        <w:ind w:left="144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Manifiesta bajo protesta de decir verdad no se realizaron contratos de arrendamiento en el año 2022, 2023, 2024 y 2025.</w:t>
      </w:r>
    </w:p>
    <w:p w14:paraId="57D10509" w14:textId="77777777" w:rsidR="002377F0" w:rsidRPr="00E7469C" w:rsidRDefault="008C7182">
      <w:pPr>
        <w:numPr>
          <w:ilvl w:val="0"/>
          <w:numId w:val="1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Oficio número SM/248/04/2025 de fecha nueve de abril de dos mil veinticinco, signado por la Sindica Municipal, mediante el cual informó que debido a la carga de trabajo no fue posible dar cumplimiento a solicitar al comité de transparencia la aprobación de versión pública y reserva de información de los convenios que obran en sindicatura municipal y con ello, impidiendo realizar la entrega correspondiente que obra, razón por la cual no se puedo cumplir en tiempo y forma con la entrega de la solicitud 0224/ATLACOM/IP/2025. </w:t>
      </w:r>
    </w:p>
    <w:p w14:paraId="08BB02C3" w14:textId="77777777" w:rsidR="002377F0" w:rsidRPr="00E7469C" w:rsidRDefault="008C7182">
      <w:pPr>
        <w:numPr>
          <w:ilvl w:val="0"/>
          <w:numId w:val="12"/>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11 </w:t>
      </w:r>
      <w:proofErr w:type="gramStart"/>
      <w:r w:rsidRPr="00E7469C">
        <w:rPr>
          <w:rFonts w:ascii="Palatino Linotype" w:eastAsia="Palatino Linotype" w:hAnsi="Palatino Linotype" w:cs="Palatino Linotype"/>
          <w:sz w:val="22"/>
          <w:szCs w:val="22"/>
        </w:rPr>
        <w:t>Convenios</w:t>
      </w:r>
      <w:proofErr w:type="gramEnd"/>
      <w:r w:rsidRPr="00E7469C">
        <w:rPr>
          <w:rFonts w:ascii="Palatino Linotype" w:eastAsia="Palatino Linotype" w:hAnsi="Palatino Linotype" w:cs="Palatino Linotype"/>
          <w:sz w:val="22"/>
          <w:szCs w:val="22"/>
        </w:rPr>
        <w:t xml:space="preserve"> celebrados con particulares para dar solución a conflictos que se originaron por los daños ocasionados a los Bienes Municipales, celebrados en los meses de febrero, abril, junio, agosto, septiembre, octubre y noviembre de dos mil veintidós; así como, enero de dos mil veinticuatro y enero de dos mil veinticinco, en versión pública. </w:t>
      </w:r>
    </w:p>
    <w:p w14:paraId="0965BA2D" w14:textId="77777777" w:rsidR="002377F0" w:rsidRPr="00E7469C" w:rsidRDefault="008C7182">
      <w:pPr>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RR_04684_UT_2025_Anexo1.pdf</w:t>
      </w:r>
      <w:r w:rsidRPr="00E7469C">
        <w:rPr>
          <w:rFonts w:ascii="Palatino Linotype" w:eastAsia="Palatino Linotype" w:hAnsi="Palatino Linotype" w:cs="Palatino Linotype"/>
          <w:sz w:val="22"/>
          <w:szCs w:val="22"/>
        </w:rPr>
        <w:t xml:space="preserve">: </w:t>
      </w:r>
    </w:p>
    <w:p w14:paraId="1EA400D4" w14:textId="77777777" w:rsidR="002377F0" w:rsidRPr="00E7469C" w:rsidRDefault="008C7182">
      <w:pPr>
        <w:numPr>
          <w:ilvl w:val="0"/>
          <w:numId w:val="23"/>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Oficio número PM/UT/RR/0150-5/2025 de fecha treinta de abril de dos mil veinticinco, signado por el Titular de la Unidad de Transparencia, en el que solicitó a la Titular de la Unidad de Información, Planeación, Programación y Evaluación rendir su informe justificado. </w:t>
      </w:r>
    </w:p>
    <w:p w14:paraId="14C08C80" w14:textId="77777777" w:rsidR="002377F0" w:rsidRPr="00E7469C" w:rsidRDefault="008C7182">
      <w:pPr>
        <w:numPr>
          <w:ilvl w:val="0"/>
          <w:numId w:val="23"/>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Oficio número PM/UIPPE/135/05/2025 de fecha siete de mayo de dos mil veinticinco, signado por la Titular de la Unidad de Información, Planeación, Programación y Evaluación, en el que modificó la respuesta entregada inicialmente, toda vez que ya quedo inscrito el Plan de Desarrollo Municipal de Atlacomulco 2025-2027 en el Registro Estatal de Planes y Programas, con el número: REPP-SPM-PDM 2025-2027/024/020/2025, con fecha 28 de abril de 2025, asimismo informó la entrega del archivo que contiene el multicitado plan para su consulta.</w:t>
      </w:r>
    </w:p>
    <w:p w14:paraId="39DAC8EA" w14:textId="77777777" w:rsidR="002377F0" w:rsidRPr="00E7469C" w:rsidRDefault="008C7182">
      <w:pPr>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roofErr w:type="gramStart"/>
      <w:r w:rsidRPr="00E7469C">
        <w:rPr>
          <w:rFonts w:ascii="Palatino Linotype" w:eastAsia="Palatino Linotype" w:hAnsi="Palatino Linotype" w:cs="Palatino Linotype"/>
          <w:b/>
          <w:i/>
          <w:sz w:val="22"/>
          <w:szCs w:val="22"/>
        </w:rPr>
        <w:t>4a.SESION</w:t>
      </w:r>
      <w:proofErr w:type="gramEnd"/>
      <w:r w:rsidRPr="00E7469C">
        <w:rPr>
          <w:rFonts w:ascii="Palatino Linotype" w:eastAsia="Palatino Linotype" w:hAnsi="Palatino Linotype" w:cs="Palatino Linotype"/>
          <w:b/>
          <w:i/>
          <w:sz w:val="22"/>
          <w:szCs w:val="22"/>
        </w:rPr>
        <w:t xml:space="preserve"> ORDINARIA.pdf</w:t>
      </w:r>
      <w:r w:rsidRPr="00E7469C">
        <w:rPr>
          <w:rFonts w:ascii="Palatino Linotype" w:eastAsia="Palatino Linotype" w:hAnsi="Palatino Linotype" w:cs="Palatino Linotype"/>
          <w:sz w:val="22"/>
          <w:szCs w:val="22"/>
        </w:rPr>
        <w:t xml:space="preserve">: Acta de la Cuarta Sesión Ordinaria del Comité de Transparencia del Ayuntamiento de Atlacomulco, de fecha veintidós de abril de dos mil veintidós, en el que se aprobó: </w:t>
      </w:r>
    </w:p>
    <w:p w14:paraId="195A9E9D" w14:textId="77777777" w:rsidR="002377F0" w:rsidRPr="00E7469C" w:rsidRDefault="008C7182">
      <w:pPr>
        <w:pBdr>
          <w:top w:val="nil"/>
          <w:left w:val="nil"/>
          <w:bottom w:val="nil"/>
          <w:right w:val="nil"/>
          <w:between w:val="nil"/>
        </w:pBdr>
        <w:tabs>
          <w:tab w:val="left" w:pos="284"/>
          <w:tab w:val="left" w:pos="8364"/>
        </w:tabs>
        <w:spacing w:line="360" w:lineRule="auto"/>
        <w:ind w:left="851" w:right="425"/>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12D6E458" wp14:editId="5902BDBD">
            <wp:extent cx="4155964" cy="2521278"/>
            <wp:effectExtent l="0" t="0" r="0" b="0"/>
            <wp:docPr id="214492368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3"/>
                    <a:srcRect/>
                    <a:stretch>
                      <a:fillRect/>
                    </a:stretch>
                  </pic:blipFill>
                  <pic:spPr>
                    <a:xfrm>
                      <a:off x="0" y="0"/>
                      <a:ext cx="4155964" cy="2521278"/>
                    </a:xfrm>
                    <a:prstGeom prst="rect">
                      <a:avLst/>
                    </a:prstGeom>
                    <a:ln/>
                  </pic:spPr>
                </pic:pic>
              </a:graphicData>
            </a:graphic>
          </wp:inline>
        </w:drawing>
      </w:r>
    </w:p>
    <w:p w14:paraId="4483AC33" w14:textId="77777777" w:rsidR="002377F0" w:rsidRPr="00E7469C" w:rsidRDefault="008C7182">
      <w:pPr>
        <w:pBdr>
          <w:top w:val="nil"/>
          <w:left w:val="nil"/>
          <w:bottom w:val="nil"/>
          <w:right w:val="nil"/>
          <w:between w:val="nil"/>
        </w:pBdr>
        <w:tabs>
          <w:tab w:val="left" w:pos="284"/>
        </w:tabs>
        <w:spacing w:line="360" w:lineRule="auto"/>
        <w:ind w:left="851" w:right="567"/>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5935D739" wp14:editId="018E7E34">
            <wp:extent cx="3830028" cy="2494968"/>
            <wp:effectExtent l="0" t="0" r="0" b="0"/>
            <wp:docPr id="214492368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4"/>
                    <a:srcRect/>
                    <a:stretch>
                      <a:fillRect/>
                    </a:stretch>
                  </pic:blipFill>
                  <pic:spPr>
                    <a:xfrm>
                      <a:off x="0" y="0"/>
                      <a:ext cx="3830028" cy="2494968"/>
                    </a:xfrm>
                    <a:prstGeom prst="rect">
                      <a:avLst/>
                    </a:prstGeom>
                    <a:ln/>
                  </pic:spPr>
                </pic:pic>
              </a:graphicData>
            </a:graphic>
          </wp:inline>
        </w:drawing>
      </w:r>
    </w:p>
    <w:p w14:paraId="0A71FF17" w14:textId="77777777" w:rsidR="002377F0" w:rsidRPr="00E7469C" w:rsidRDefault="008C7182">
      <w:pPr>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04684_RR_IFJ_2025.pdf</w:t>
      </w:r>
      <w:r w:rsidRPr="00E7469C">
        <w:rPr>
          <w:rFonts w:ascii="Palatino Linotype" w:eastAsia="Palatino Linotype" w:hAnsi="Palatino Linotype" w:cs="Palatino Linotype"/>
          <w:sz w:val="22"/>
          <w:szCs w:val="22"/>
        </w:rPr>
        <w:t xml:space="preserve">: Oficio número PM/UT/RR/175/2025 signada por la Titular de la Unidad de Transparencia, en el que ratificó la respuesta emitida por la Dirección de Administración, Dirección de Desarrollo Económico, Tesorería Municipal, Coordinación General Municipal de Mejora Regulatoria, Secretaría del Ayuntamiento, Dirección de Obras Públicas, Comisaría Municipal, Dirección de Bienestar Social, Dirección de Ecología y Dirección de la Mujer. </w:t>
      </w:r>
    </w:p>
    <w:p w14:paraId="5253D1AC" w14:textId="77777777" w:rsidR="002377F0" w:rsidRPr="00E7469C" w:rsidRDefault="008C7182">
      <w:pPr>
        <w:pBdr>
          <w:top w:val="nil"/>
          <w:left w:val="nil"/>
          <w:bottom w:val="nil"/>
          <w:right w:val="nil"/>
          <w:between w:val="nil"/>
        </w:pBdr>
        <w:tabs>
          <w:tab w:val="left" w:pos="284"/>
        </w:tabs>
        <w:spacing w:line="360" w:lineRule="auto"/>
        <w:ind w:left="72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Mientras que la Unidad de Información, Planeación, Programación y Evaluación y la Sindicatura Municipal modifican sus respectivas respuestas iniciales, complementando las mismas. </w:t>
      </w:r>
    </w:p>
    <w:p w14:paraId="749F95CA" w14:textId="77777777" w:rsidR="002377F0" w:rsidRPr="00E7469C" w:rsidRDefault="008C7182">
      <w:pPr>
        <w:numPr>
          <w:ilvl w:val="0"/>
          <w:numId w:val="36"/>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RR_4684_2025.pdf</w:t>
      </w:r>
      <w:r w:rsidRPr="00E7469C">
        <w:rPr>
          <w:rFonts w:ascii="Palatino Linotype" w:eastAsia="Palatino Linotype" w:hAnsi="Palatino Linotype" w:cs="Palatino Linotype"/>
          <w:sz w:val="22"/>
          <w:szCs w:val="22"/>
        </w:rPr>
        <w:t xml:space="preserve">: Contiene los oficios signados por el Titular de la Unidad de Transparencia a los servidores públicos habilitados solicitando rindan su informe justificado; así como los oficios de los servidores públicos habilitados en los que ratifican y/o complemente sus respuestas respectivamente. </w:t>
      </w:r>
    </w:p>
    <w:p w14:paraId="29424C36" w14:textId="77777777" w:rsidR="002377F0" w:rsidRPr="00E7469C" w:rsidRDefault="002377F0">
      <w:pPr>
        <w:pBdr>
          <w:top w:val="nil"/>
          <w:left w:val="nil"/>
          <w:bottom w:val="nil"/>
          <w:right w:val="nil"/>
          <w:between w:val="nil"/>
        </w:pBdr>
        <w:tabs>
          <w:tab w:val="left" w:pos="284"/>
        </w:tabs>
        <w:spacing w:line="360" w:lineRule="auto"/>
        <w:ind w:left="720" w:right="49"/>
        <w:jc w:val="both"/>
        <w:rPr>
          <w:rFonts w:ascii="Palatino Linotype" w:eastAsia="Palatino Linotype" w:hAnsi="Palatino Linotype" w:cs="Palatino Linotype"/>
          <w:sz w:val="22"/>
          <w:szCs w:val="22"/>
        </w:rPr>
      </w:pPr>
    </w:p>
    <w:p w14:paraId="6F7287C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las constancias que obran en el expediente electrónico del SAIMEX se desprende que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fue omisa en presentar sus alegatos o manifestación alguna.</w:t>
      </w:r>
    </w:p>
    <w:p w14:paraId="17CF1D02" w14:textId="77777777" w:rsidR="002377F0" w:rsidRPr="00E7469C" w:rsidRDefault="002377F0">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p>
    <w:p w14:paraId="7F988F31" w14:textId="77777777" w:rsidR="002377F0" w:rsidRPr="00E7469C" w:rsidRDefault="008C7182">
      <w:pPr>
        <w:numPr>
          <w:ilvl w:val="0"/>
          <w:numId w:val="3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lastRenderedPageBreak/>
        <w:t>Ampliación de Plazo</w:t>
      </w:r>
      <w:r w:rsidRPr="00E7469C">
        <w:rPr>
          <w:rFonts w:ascii="Palatino Linotype" w:eastAsia="Palatino Linotype" w:hAnsi="Palatino Linotype" w:cs="Palatino Linotype"/>
          <w:sz w:val="22"/>
          <w:szCs w:val="22"/>
        </w:rPr>
        <w:t xml:space="preserve">. El </w:t>
      </w:r>
      <w:r w:rsidRPr="00E7469C">
        <w:rPr>
          <w:rFonts w:ascii="Palatino Linotype" w:eastAsia="Palatino Linotype" w:hAnsi="Palatino Linotype" w:cs="Palatino Linotype"/>
          <w:b/>
          <w:sz w:val="22"/>
          <w:szCs w:val="22"/>
        </w:rPr>
        <w:t>diez de septiembre de dos mil veinticinco</w:t>
      </w:r>
      <w:r w:rsidRPr="00E7469C">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ABA5738" w14:textId="77777777" w:rsidR="002377F0" w:rsidRPr="00E7469C" w:rsidRDefault="002377F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B0C21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D13599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A605F9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E4072CF"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9813D3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15AAB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43ED01"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Por ello, excepcionalmente, si un asunto es resuelto con posterioridad a los plazos señalados por la norma debe analizarse la razonabilidad del tiempo necesario para su resolución, atentos a los siguientes criterios:</w:t>
      </w:r>
    </w:p>
    <w:p w14:paraId="48E7F8C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63F0991" w14:textId="77777777" w:rsidR="002377F0" w:rsidRPr="00E7469C" w:rsidRDefault="008C7182">
      <w:pPr>
        <w:numPr>
          <w:ilvl w:val="0"/>
          <w:numId w:val="34"/>
        </w:numPr>
        <w:pBdr>
          <w:top w:val="nil"/>
          <w:left w:val="nil"/>
          <w:bottom w:val="nil"/>
          <w:right w:val="nil"/>
          <w:between w:val="nil"/>
        </w:pBdr>
        <w:spacing w:line="360" w:lineRule="auto"/>
        <w:ind w:left="851" w:right="84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Complejidad del Asunto:</w:t>
      </w:r>
      <w:r w:rsidRPr="00E7469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B5EAE6F" w14:textId="77777777" w:rsidR="002377F0" w:rsidRPr="00E7469C" w:rsidRDefault="008C7182">
      <w:pPr>
        <w:numPr>
          <w:ilvl w:val="0"/>
          <w:numId w:val="34"/>
        </w:numPr>
        <w:spacing w:line="360" w:lineRule="auto"/>
        <w:ind w:left="851" w:right="84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Actividad Procesal del interesado.</w:t>
      </w:r>
      <w:r w:rsidRPr="00E7469C">
        <w:rPr>
          <w:rFonts w:ascii="Palatino Linotype" w:eastAsia="Palatino Linotype" w:hAnsi="Palatino Linotype" w:cs="Palatino Linotype"/>
          <w:sz w:val="22"/>
          <w:szCs w:val="22"/>
        </w:rPr>
        <w:t xml:space="preserve"> Acciones u omisiones del interesado.</w:t>
      </w:r>
    </w:p>
    <w:p w14:paraId="3A5698FD" w14:textId="77777777" w:rsidR="002377F0" w:rsidRPr="00E7469C" w:rsidRDefault="008C7182">
      <w:pPr>
        <w:numPr>
          <w:ilvl w:val="0"/>
          <w:numId w:val="34"/>
        </w:numPr>
        <w:spacing w:line="360" w:lineRule="auto"/>
        <w:ind w:left="851" w:right="84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Conducta de la Autoridad:</w:t>
      </w:r>
      <w:r w:rsidRPr="00E7469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737F263" w14:textId="77777777" w:rsidR="002377F0" w:rsidRPr="00E7469C" w:rsidRDefault="008C7182">
      <w:pPr>
        <w:numPr>
          <w:ilvl w:val="0"/>
          <w:numId w:val="34"/>
        </w:numPr>
        <w:spacing w:line="360" w:lineRule="auto"/>
        <w:ind w:left="851" w:right="84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La afectación generada en la situación jurídica de la persona involucrada en el proceso:</w:t>
      </w:r>
      <w:r w:rsidRPr="00E7469C">
        <w:rPr>
          <w:rFonts w:ascii="Palatino Linotype" w:eastAsia="Palatino Linotype" w:hAnsi="Palatino Linotype" w:cs="Palatino Linotype"/>
          <w:sz w:val="22"/>
          <w:szCs w:val="22"/>
        </w:rPr>
        <w:t xml:space="preserve"> Violación a sus derechos humanos.</w:t>
      </w:r>
    </w:p>
    <w:p w14:paraId="285A769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184424B"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EFFD0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6C9ED5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7469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7469C">
        <w:rPr>
          <w:rFonts w:ascii="Palatino Linotype" w:eastAsia="Palatino Linotype" w:hAnsi="Palatino Linotype" w:cs="Palatino Linotype"/>
          <w:sz w:val="22"/>
          <w:szCs w:val="22"/>
        </w:rPr>
        <w:t>, visible en la Gaceta del Seminario Judicial de la Federación con el registro digital 205635.</w:t>
      </w:r>
    </w:p>
    <w:p w14:paraId="4BA25A7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E74CAB1"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90A4C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50DE37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0DB69FF" w14:textId="77777777" w:rsidR="002377F0" w:rsidRPr="00E7469C" w:rsidRDefault="002377F0">
      <w:pPr>
        <w:spacing w:line="360" w:lineRule="auto"/>
        <w:ind w:left="851" w:right="843"/>
        <w:jc w:val="both"/>
        <w:rPr>
          <w:rFonts w:ascii="Palatino Linotype" w:eastAsia="Palatino Linotype" w:hAnsi="Palatino Linotype" w:cs="Palatino Linotype"/>
          <w:i/>
          <w:sz w:val="22"/>
          <w:szCs w:val="22"/>
        </w:rPr>
      </w:pPr>
    </w:p>
    <w:p w14:paraId="2C7E56D2" w14:textId="77777777" w:rsidR="002377F0" w:rsidRPr="00E7469C" w:rsidRDefault="008C7182">
      <w:pPr>
        <w:spacing w:line="276" w:lineRule="auto"/>
        <w:ind w:left="851" w:right="84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“PLAZO RAZONABLE PARA RESOLVER. DIMENSIÓN Y EFECTOS DE ESTE CONCEPTO CUANDO SE ADUCE EXCESIVA CARGA DE TRABAJO.”</w:t>
      </w:r>
      <w:r w:rsidRPr="00E7469C">
        <w:rPr>
          <w:rFonts w:ascii="Palatino Linotype" w:eastAsia="Palatino Linotype" w:hAnsi="Palatino Linotype" w:cs="Palatino Linotype"/>
          <w:sz w:val="22"/>
          <w:szCs w:val="22"/>
        </w:rPr>
        <w:t xml:space="preserve"> consultable en el Seminario Judicial de la Federación y su gaceta, con el registro digital 2002351.</w:t>
      </w:r>
    </w:p>
    <w:p w14:paraId="05D58172" w14:textId="77777777" w:rsidR="002377F0" w:rsidRPr="00E7469C" w:rsidRDefault="008C7182">
      <w:pPr>
        <w:spacing w:line="276" w:lineRule="auto"/>
        <w:ind w:left="851" w:right="84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E7469C">
        <w:rPr>
          <w:rFonts w:ascii="Palatino Linotype" w:eastAsia="Palatino Linotype" w:hAnsi="Palatino Linotype" w:cs="Palatino Linotype"/>
          <w:sz w:val="22"/>
          <w:szCs w:val="22"/>
        </w:rPr>
        <w:t>, visible en el Seminario Judicial de la Federación y su gaceta, con el registro digital 2002350.</w:t>
      </w:r>
    </w:p>
    <w:p w14:paraId="6AD3AD01" w14:textId="77777777" w:rsidR="002377F0" w:rsidRPr="00E7469C" w:rsidRDefault="002377F0">
      <w:pPr>
        <w:spacing w:line="360" w:lineRule="auto"/>
        <w:ind w:left="851" w:right="843"/>
        <w:jc w:val="both"/>
        <w:rPr>
          <w:rFonts w:ascii="Palatino Linotype" w:eastAsia="Palatino Linotype" w:hAnsi="Palatino Linotype" w:cs="Palatino Linotype"/>
          <w:sz w:val="22"/>
          <w:szCs w:val="22"/>
        </w:rPr>
      </w:pPr>
    </w:p>
    <w:p w14:paraId="55A10137" w14:textId="77777777" w:rsidR="002377F0" w:rsidRPr="00E7469C" w:rsidRDefault="008C718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ello, este organismo garante comprometido con la tutela de los derechos humanos </w:t>
      </w:r>
      <w:proofErr w:type="gramStart"/>
      <w:r w:rsidRPr="00E7469C">
        <w:rPr>
          <w:rFonts w:ascii="Palatino Linotype" w:eastAsia="Palatino Linotype" w:hAnsi="Palatino Linotype" w:cs="Palatino Linotype"/>
          <w:sz w:val="22"/>
          <w:szCs w:val="22"/>
        </w:rPr>
        <w:t>confiados,</w:t>
      </w:r>
      <w:proofErr w:type="gramEnd"/>
      <w:r w:rsidRPr="00E7469C">
        <w:rPr>
          <w:rFonts w:ascii="Palatino Linotype" w:eastAsia="Palatino Linotype" w:hAnsi="Palatino Linotype" w:cs="Palatino Linotype"/>
          <w:sz w:val="22"/>
          <w:szCs w:val="22"/>
        </w:rPr>
        <w:t xml:space="preserve"> señala que este exceso del plazo legal para resolver el presente </w:t>
      </w:r>
      <w:proofErr w:type="gramStart"/>
      <w:r w:rsidRPr="00E7469C">
        <w:rPr>
          <w:rFonts w:ascii="Palatino Linotype" w:eastAsia="Palatino Linotype" w:hAnsi="Palatino Linotype" w:cs="Palatino Linotype"/>
          <w:sz w:val="22"/>
          <w:szCs w:val="22"/>
        </w:rPr>
        <w:t>asunto,</w:t>
      </w:r>
      <w:proofErr w:type="gramEnd"/>
      <w:r w:rsidRPr="00E7469C">
        <w:rPr>
          <w:rFonts w:ascii="Palatino Linotype" w:eastAsia="Palatino Linotype" w:hAnsi="Palatino Linotype" w:cs="Palatino Linotype"/>
          <w:sz w:val="22"/>
          <w:szCs w:val="22"/>
        </w:rPr>
        <w:t xml:space="preserve"> resulta de carácter excepcional.</w:t>
      </w:r>
    </w:p>
    <w:p w14:paraId="1CB86C94" w14:textId="77777777" w:rsidR="002377F0" w:rsidRPr="00E7469C" w:rsidRDefault="002377F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A2A3C2F" w14:textId="77777777" w:rsidR="002377F0" w:rsidRPr="00E7469C" w:rsidRDefault="008C7182">
      <w:pPr>
        <w:numPr>
          <w:ilvl w:val="0"/>
          <w:numId w:val="3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lastRenderedPageBreak/>
        <w:t xml:space="preserve">Cierre de instrucción. </w:t>
      </w:r>
      <w:r w:rsidRPr="00E7469C">
        <w:rPr>
          <w:rFonts w:ascii="Palatino Linotype" w:eastAsia="Palatino Linotype" w:hAnsi="Palatino Linotype" w:cs="Palatino Linotype"/>
          <w:sz w:val="22"/>
          <w:szCs w:val="22"/>
        </w:rPr>
        <w:t xml:space="preserve">El </w:t>
      </w:r>
      <w:r w:rsidRPr="00E7469C">
        <w:rPr>
          <w:rFonts w:ascii="Palatino Linotype" w:eastAsia="Palatino Linotype" w:hAnsi="Palatino Linotype" w:cs="Palatino Linotype"/>
          <w:b/>
          <w:sz w:val="22"/>
          <w:szCs w:val="22"/>
        </w:rPr>
        <w:t>dieciocho de septiembre de dos mil veinticinco</w:t>
      </w:r>
      <w:r w:rsidRPr="00E7469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153CFC8" w14:textId="77777777" w:rsidR="002377F0" w:rsidRPr="00E7469C" w:rsidRDefault="002377F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7571D66" w14:textId="77777777" w:rsidR="002377F0" w:rsidRPr="00E7469C" w:rsidRDefault="008C7182">
      <w:pPr>
        <w:spacing w:line="360" w:lineRule="auto"/>
        <w:jc w:val="both"/>
        <w:rPr>
          <w:rFonts w:ascii="Palatino Linotype" w:eastAsia="Palatino Linotype" w:hAnsi="Palatino Linotype" w:cs="Palatino Linotype"/>
          <w:sz w:val="22"/>
          <w:szCs w:val="22"/>
        </w:rPr>
      </w:pPr>
      <w:proofErr w:type="gramStart"/>
      <w:r w:rsidRPr="00E7469C">
        <w:rPr>
          <w:rFonts w:ascii="Palatino Linotype" w:eastAsia="Palatino Linotype" w:hAnsi="Palatino Linotype" w:cs="Palatino Linotype"/>
          <w:sz w:val="22"/>
          <w:szCs w:val="22"/>
        </w:rPr>
        <w:t>En razón de</w:t>
      </w:r>
      <w:proofErr w:type="gramEnd"/>
      <w:r w:rsidRPr="00E7469C">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240FA1B5" w14:textId="77777777" w:rsidR="002377F0" w:rsidRPr="00E7469C" w:rsidRDefault="008C7182">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E7469C">
        <w:rPr>
          <w:rFonts w:ascii="Palatino Linotype" w:eastAsia="Palatino Linotype" w:hAnsi="Palatino Linotype" w:cs="Palatino Linotype"/>
          <w:b/>
          <w:sz w:val="22"/>
          <w:szCs w:val="22"/>
        </w:rPr>
        <w:t>C O N S I D E R A N D O:</w:t>
      </w:r>
    </w:p>
    <w:p w14:paraId="06BB5375" w14:textId="77777777" w:rsidR="002377F0" w:rsidRPr="00E7469C" w:rsidRDefault="002377F0">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7D538B"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Primero. Competencia. </w:t>
      </w:r>
      <w:r w:rsidRPr="00E7469C">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FAE37E" w14:textId="77777777" w:rsidR="002377F0" w:rsidRPr="00E7469C" w:rsidRDefault="002377F0">
      <w:pPr>
        <w:spacing w:line="360" w:lineRule="auto"/>
        <w:jc w:val="both"/>
        <w:rPr>
          <w:rFonts w:ascii="Palatino Linotype" w:eastAsia="Palatino Linotype" w:hAnsi="Palatino Linotype" w:cs="Palatino Linotype"/>
          <w:b/>
          <w:sz w:val="22"/>
          <w:szCs w:val="22"/>
        </w:rPr>
      </w:pPr>
    </w:p>
    <w:p w14:paraId="40F65D7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Segundo. Oportunidad y Procedibilidad del Recurso de Revisión</w:t>
      </w:r>
      <w:r w:rsidRPr="00E7469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66CB8CF"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3FAAC79"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proporcionó su respuesta a la solicitud de información el </w:t>
      </w:r>
      <w:r w:rsidRPr="00E7469C">
        <w:rPr>
          <w:rFonts w:ascii="Palatino Linotype" w:eastAsia="Palatino Linotype" w:hAnsi="Palatino Linotype" w:cs="Palatino Linotype"/>
          <w:b/>
          <w:sz w:val="22"/>
          <w:szCs w:val="22"/>
        </w:rPr>
        <w:t>nueve de abril de dos mil veinticinco</w:t>
      </w:r>
      <w:r w:rsidRPr="00E7469C">
        <w:rPr>
          <w:rFonts w:ascii="Palatino Linotype" w:eastAsia="Palatino Linotype" w:hAnsi="Palatino Linotype" w:cs="Palatino Linotype"/>
          <w:sz w:val="22"/>
          <w:szCs w:val="22"/>
        </w:rPr>
        <w:t xml:space="preserve">, y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presentó su recurso de revisión el </w:t>
      </w:r>
      <w:r w:rsidRPr="00E7469C">
        <w:rPr>
          <w:rFonts w:ascii="Palatino Linotype" w:eastAsia="Palatino Linotype" w:hAnsi="Palatino Linotype" w:cs="Palatino Linotype"/>
          <w:b/>
          <w:sz w:val="22"/>
          <w:szCs w:val="22"/>
        </w:rPr>
        <w:t>veinticuatro de abril de dos mil veinticinco</w:t>
      </w:r>
      <w:r w:rsidRPr="00E7469C">
        <w:rPr>
          <w:rFonts w:ascii="Palatino Linotype" w:eastAsia="Palatino Linotype" w:hAnsi="Palatino Linotype" w:cs="Palatino Linotype"/>
          <w:sz w:val="22"/>
          <w:szCs w:val="22"/>
        </w:rPr>
        <w:t>;</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sz w:val="22"/>
          <w:szCs w:val="22"/>
        </w:rPr>
        <w:t xml:space="preserve">esto es el sexto día hábil en que tuvo conocimiento de la respuesta. </w:t>
      </w:r>
    </w:p>
    <w:p w14:paraId="52B77E8A"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47E532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D48723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F5224D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4D5BE77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9CB3271"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Artículo 179. </w:t>
      </w:r>
      <w:r w:rsidRPr="00E7469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35B0911"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677C03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La negativa a la información solicitada;</w:t>
      </w:r>
    </w:p>
    <w:p w14:paraId="2B160587"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 </w:t>
      </w:r>
    </w:p>
    <w:p w14:paraId="06DED613" w14:textId="77777777" w:rsidR="002377F0" w:rsidRPr="00E7469C" w:rsidRDefault="002377F0">
      <w:pPr>
        <w:spacing w:line="360" w:lineRule="auto"/>
        <w:ind w:left="567" w:right="616"/>
        <w:jc w:val="both"/>
        <w:rPr>
          <w:rFonts w:ascii="Palatino Linotype" w:eastAsia="Palatino Linotype" w:hAnsi="Palatino Linotype" w:cs="Palatino Linotype"/>
          <w:i/>
          <w:sz w:val="22"/>
          <w:szCs w:val="22"/>
        </w:rPr>
      </w:pPr>
    </w:p>
    <w:p w14:paraId="2DC75C1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Tercero. Materia de Revisión</w:t>
      </w:r>
      <w:r w:rsidRPr="00E7469C">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w:t>
      </w:r>
      <w:r w:rsidRPr="00E7469C">
        <w:rPr>
          <w:rFonts w:ascii="Palatino Linotype" w:eastAsia="Palatino Linotype" w:hAnsi="Palatino Linotype" w:cs="Palatino Linotype"/>
          <w:sz w:val="22"/>
          <w:szCs w:val="22"/>
        </w:rPr>
        <w:lastRenderedPageBreak/>
        <w:t xml:space="preserve">actualiza la fracción I del artículo 179 de la Ley de Transparencia y Acceso a la Información Pública del Estado de México y Municipios.  </w:t>
      </w:r>
    </w:p>
    <w:p w14:paraId="54239E6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5802E3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Cuarto. Estudio de fondo del asunto. </w:t>
      </w:r>
      <w:r w:rsidRPr="00E7469C">
        <w:rPr>
          <w:rFonts w:ascii="Palatino Linotype" w:eastAsia="Palatino Linotype" w:hAnsi="Palatino Linotype" w:cs="Palatino Linotype"/>
          <w:sz w:val="22"/>
          <w:szCs w:val="22"/>
        </w:rPr>
        <w:t>Es conveniente analizar si la respuesta del Sujeto Obligado</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17A6759"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FDB99F8" w14:textId="77777777" w:rsidR="002377F0" w:rsidRPr="00E7469C" w:rsidRDefault="008C7182">
      <w:pPr>
        <w:tabs>
          <w:tab w:val="left" w:pos="851"/>
        </w:tabs>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4</w:t>
      </w:r>
      <w:r w:rsidRPr="00E7469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AEBABB" w14:textId="77777777" w:rsidR="002377F0" w:rsidRPr="00E7469C" w:rsidRDefault="008C7182">
      <w:pPr>
        <w:tabs>
          <w:tab w:val="left" w:pos="851"/>
        </w:tabs>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7469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3E402B" w14:textId="77777777" w:rsidR="002377F0" w:rsidRPr="00E7469C" w:rsidRDefault="008C7182">
      <w:pPr>
        <w:tabs>
          <w:tab w:val="left" w:pos="851"/>
        </w:tabs>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7469C">
        <w:rPr>
          <w:rFonts w:ascii="Palatino Linotype" w:eastAsia="Palatino Linotype" w:hAnsi="Palatino Linotype" w:cs="Palatino Linotype"/>
          <w:i/>
          <w:sz w:val="22"/>
          <w:szCs w:val="22"/>
        </w:rPr>
        <w:t>.”(</w:t>
      </w:r>
      <w:proofErr w:type="gramEnd"/>
      <w:r w:rsidRPr="00E7469C">
        <w:rPr>
          <w:rFonts w:ascii="Palatino Linotype" w:eastAsia="Palatino Linotype" w:hAnsi="Palatino Linotype" w:cs="Palatino Linotype"/>
          <w:i/>
          <w:sz w:val="22"/>
          <w:szCs w:val="22"/>
        </w:rPr>
        <w:t>Sic)</w:t>
      </w:r>
    </w:p>
    <w:p w14:paraId="0730A03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F7F3BB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Esto es, que los Sujetos Obligados tiene el deber de atender las solicitudes de acceso a la información pública que se les hagan de su conocimiento y proporcionar la información pública que obren en su poder conforme el estado que se encuentra y no hacer un procesamiento de </w:t>
      </w:r>
      <w:proofErr w:type="gramStart"/>
      <w:r w:rsidRPr="00E7469C">
        <w:rPr>
          <w:rFonts w:ascii="Palatino Linotype" w:eastAsia="Palatino Linotype" w:hAnsi="Palatino Linotype" w:cs="Palatino Linotype"/>
          <w:sz w:val="22"/>
          <w:szCs w:val="22"/>
        </w:rPr>
        <w:t>la misma</w:t>
      </w:r>
      <w:proofErr w:type="gramEnd"/>
      <w:r w:rsidRPr="00E7469C">
        <w:rPr>
          <w:rFonts w:ascii="Palatino Linotype" w:eastAsia="Palatino Linotype" w:hAnsi="Palatino Linotype" w:cs="Palatino Linotype"/>
          <w:sz w:val="22"/>
          <w:szCs w:val="22"/>
        </w:rPr>
        <w:t>, ni presentarla conforme al interés del solicitante; como así lo establece el artículo 12 de la Ley de Transparencia y Acceso a la Información Pública del Estado de México y Municipios, que a la letra dice:</w:t>
      </w:r>
    </w:p>
    <w:p w14:paraId="7F22BE3C" w14:textId="77777777" w:rsidR="002377F0" w:rsidRPr="00E7469C" w:rsidRDefault="002377F0">
      <w:pPr>
        <w:spacing w:line="276" w:lineRule="auto"/>
        <w:ind w:left="567" w:right="616"/>
        <w:jc w:val="both"/>
        <w:rPr>
          <w:rFonts w:ascii="Palatino Linotype" w:eastAsia="Palatino Linotype" w:hAnsi="Palatino Linotype" w:cs="Palatino Linotype"/>
          <w:sz w:val="22"/>
          <w:szCs w:val="22"/>
        </w:rPr>
      </w:pPr>
    </w:p>
    <w:p w14:paraId="72E8ED3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12.-</w:t>
      </w:r>
      <w:r w:rsidRPr="00E7469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E16D0F"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1F21D20F"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 xml:space="preserve">La obligación de proporcionar información no comprende el procesamiento de </w:t>
      </w:r>
      <w:proofErr w:type="gramStart"/>
      <w:r w:rsidRPr="00E7469C">
        <w:rPr>
          <w:rFonts w:ascii="Palatino Linotype" w:eastAsia="Palatino Linotype" w:hAnsi="Palatino Linotype" w:cs="Palatino Linotype"/>
          <w:b/>
          <w:i/>
          <w:sz w:val="22"/>
          <w:szCs w:val="22"/>
        </w:rPr>
        <w:t>la misma</w:t>
      </w:r>
      <w:proofErr w:type="gramEnd"/>
      <w:r w:rsidRPr="00E7469C">
        <w:rPr>
          <w:rFonts w:ascii="Palatino Linotype" w:eastAsia="Palatino Linotype" w:hAnsi="Palatino Linotype" w:cs="Palatino Linotype"/>
          <w:b/>
          <w:i/>
          <w:sz w:val="22"/>
          <w:szCs w:val="22"/>
        </w:rPr>
        <w:t>, ni el presentarla conforme al interés del solicitante; no estarán obligados a generarla, resumirla, efectuar cálculos o practicar investigaciones</w:t>
      </w:r>
      <w:r w:rsidRPr="00E7469C">
        <w:rPr>
          <w:rFonts w:ascii="Palatino Linotype" w:eastAsia="Palatino Linotype" w:hAnsi="Palatino Linotype" w:cs="Palatino Linotype"/>
          <w:i/>
          <w:sz w:val="22"/>
          <w:szCs w:val="22"/>
        </w:rPr>
        <w:t xml:space="preserve">.” </w:t>
      </w:r>
    </w:p>
    <w:p w14:paraId="6F845BCB"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43C26C7D"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4C8C710"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75896782"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lastRenderedPageBreak/>
        <w:t>Sirve de apoyo a lo anterior, el criterio orientador 03-17, expuesto por el entonces Instituto Nacional de Transparencia, Acceso a la Información y Protección de Datos Personales, que dice:</w:t>
      </w:r>
      <w:r w:rsidRPr="00E7469C">
        <w:rPr>
          <w:rFonts w:ascii="Palatino Linotype" w:eastAsia="Palatino Linotype" w:hAnsi="Palatino Linotype" w:cs="Palatino Linotype"/>
          <w:b/>
          <w:sz w:val="22"/>
          <w:szCs w:val="22"/>
        </w:rPr>
        <w:t xml:space="preserve"> </w:t>
      </w:r>
    </w:p>
    <w:p w14:paraId="3354D6FF"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No existe obligación de elaborar documentos ad hoc para atender las solicitudes de acceso a la información.</w:t>
      </w:r>
      <w:r w:rsidRPr="00E7469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8C8B659" w14:textId="77777777" w:rsidR="002377F0" w:rsidRPr="00E7469C" w:rsidRDefault="002377F0">
      <w:pPr>
        <w:spacing w:line="276" w:lineRule="auto"/>
        <w:ind w:left="567" w:right="616"/>
        <w:jc w:val="both"/>
        <w:rPr>
          <w:rFonts w:ascii="Palatino Linotype" w:eastAsia="Palatino Linotype" w:hAnsi="Palatino Linotype" w:cs="Palatino Linotype"/>
          <w:i/>
          <w:sz w:val="22"/>
          <w:szCs w:val="22"/>
        </w:rPr>
      </w:pPr>
    </w:p>
    <w:p w14:paraId="270859A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638BE0"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3F9B2B1"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D49117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7308C13"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Artículo 3. </w:t>
      </w:r>
      <w:r w:rsidRPr="00E7469C">
        <w:rPr>
          <w:rFonts w:ascii="Palatino Linotype" w:eastAsia="Palatino Linotype" w:hAnsi="Palatino Linotype" w:cs="Palatino Linotype"/>
          <w:i/>
          <w:sz w:val="22"/>
          <w:szCs w:val="22"/>
        </w:rPr>
        <w:t>Para los efectos de la presente Ley se entenderá por:</w:t>
      </w:r>
    </w:p>
    <w:p w14:paraId="2C7AA06D"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7769422C"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XI. Documento:</w:t>
      </w:r>
      <w:r w:rsidRPr="00E7469C">
        <w:rPr>
          <w:rFonts w:ascii="Palatino Linotype" w:eastAsia="Palatino Linotype" w:hAnsi="Palatino Linotype" w:cs="Palatino Linotype"/>
          <w:i/>
          <w:sz w:val="22"/>
          <w:szCs w:val="22"/>
        </w:rPr>
        <w:t xml:space="preserve"> Los expedientes, reportes, estudios, actas</w:t>
      </w:r>
      <w:r w:rsidRPr="00E7469C">
        <w:rPr>
          <w:rFonts w:ascii="Palatino Linotype" w:eastAsia="Palatino Linotype" w:hAnsi="Palatino Linotype" w:cs="Palatino Linotype"/>
          <w:b/>
          <w:i/>
          <w:sz w:val="22"/>
          <w:szCs w:val="22"/>
        </w:rPr>
        <w:t>,</w:t>
      </w:r>
      <w:r w:rsidRPr="00E7469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C1C8441" w14:textId="77777777" w:rsidR="002377F0" w:rsidRPr="00E7469C" w:rsidRDefault="002377F0">
      <w:pPr>
        <w:spacing w:line="360" w:lineRule="auto"/>
        <w:ind w:left="851" w:right="899"/>
        <w:jc w:val="both"/>
        <w:rPr>
          <w:rFonts w:ascii="Palatino Linotype" w:eastAsia="Palatino Linotype" w:hAnsi="Palatino Linotype" w:cs="Palatino Linotype"/>
          <w:sz w:val="22"/>
          <w:szCs w:val="22"/>
        </w:rPr>
      </w:pPr>
    </w:p>
    <w:p w14:paraId="0D0A653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DAB4C4" w14:textId="77777777" w:rsidR="002377F0" w:rsidRPr="00E7469C" w:rsidRDefault="002377F0">
      <w:pPr>
        <w:spacing w:line="360" w:lineRule="auto"/>
        <w:ind w:left="851" w:right="899"/>
        <w:jc w:val="both"/>
        <w:rPr>
          <w:rFonts w:ascii="Palatino Linotype" w:eastAsia="Palatino Linotype" w:hAnsi="Palatino Linotype" w:cs="Palatino Linotype"/>
          <w:sz w:val="22"/>
          <w:szCs w:val="22"/>
        </w:rPr>
      </w:pPr>
    </w:p>
    <w:p w14:paraId="7B55BAB6"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sz w:val="22"/>
          <w:szCs w:val="22"/>
        </w:rPr>
        <w:t>“</w:t>
      </w:r>
      <w:r w:rsidRPr="00E7469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7469C">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sidRPr="00E7469C">
        <w:rPr>
          <w:rFonts w:ascii="Palatino Linotype" w:eastAsia="Palatino Linotype" w:hAnsi="Palatino Linotype" w:cs="Palatino Linotype"/>
          <w:i/>
          <w:sz w:val="22"/>
          <w:szCs w:val="22"/>
        </w:rPr>
        <w:t>pública,</w:t>
      </w:r>
      <w:proofErr w:type="gramEnd"/>
      <w:r w:rsidRPr="00E7469C">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E8CD75"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En </w:t>
      </w:r>
      <w:proofErr w:type="gramStart"/>
      <w:r w:rsidRPr="00E7469C">
        <w:rPr>
          <w:rFonts w:ascii="Palatino Linotype" w:eastAsia="Palatino Linotype" w:hAnsi="Palatino Linotype" w:cs="Palatino Linotype"/>
          <w:i/>
          <w:sz w:val="22"/>
          <w:szCs w:val="22"/>
        </w:rPr>
        <w:t>consecuencia</w:t>
      </w:r>
      <w:proofErr w:type="gramEnd"/>
      <w:r w:rsidRPr="00E7469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81EC65D"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7469C">
        <w:rPr>
          <w:rFonts w:ascii="Palatino Linotype" w:eastAsia="Palatino Linotype" w:hAnsi="Palatino Linotype" w:cs="Palatino Linotype"/>
          <w:i/>
          <w:sz w:val="22"/>
          <w:szCs w:val="22"/>
        </w:rPr>
        <w:t>que</w:t>
      </w:r>
      <w:proofErr w:type="gramEnd"/>
      <w:r w:rsidRPr="00E7469C">
        <w:rPr>
          <w:rFonts w:ascii="Palatino Linotype" w:eastAsia="Palatino Linotype" w:hAnsi="Palatino Linotype" w:cs="Palatino Linotype"/>
          <w:i/>
          <w:sz w:val="22"/>
          <w:szCs w:val="22"/>
        </w:rPr>
        <w:t xml:space="preserve"> en ejercicio de las atribuciones conferidas, sea generada por los Sujetos Obligados;</w:t>
      </w:r>
    </w:p>
    <w:p w14:paraId="2FACB4DA"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E7469C">
        <w:rPr>
          <w:rFonts w:ascii="Palatino Linotype" w:eastAsia="Palatino Linotype" w:hAnsi="Palatino Linotype" w:cs="Palatino Linotype"/>
          <w:b/>
          <w:i/>
          <w:sz w:val="22"/>
          <w:szCs w:val="22"/>
        </w:rPr>
        <w:t>que</w:t>
      </w:r>
      <w:proofErr w:type="gramEnd"/>
      <w:r w:rsidRPr="00E7469C">
        <w:rPr>
          <w:rFonts w:ascii="Palatino Linotype" w:eastAsia="Palatino Linotype" w:hAnsi="Palatino Linotype" w:cs="Palatino Linotype"/>
          <w:b/>
          <w:i/>
          <w:sz w:val="22"/>
          <w:szCs w:val="22"/>
        </w:rPr>
        <w:t xml:space="preserve"> en ejercicio de las atribuciones conferidas, sea administrada por los Sujetos Obligados, y</w:t>
      </w:r>
    </w:p>
    <w:p w14:paraId="0FA2EB96"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7469C">
        <w:rPr>
          <w:rFonts w:ascii="Palatino Linotype" w:eastAsia="Palatino Linotype" w:hAnsi="Palatino Linotype" w:cs="Palatino Linotype"/>
          <w:b/>
          <w:i/>
          <w:sz w:val="22"/>
          <w:szCs w:val="22"/>
        </w:rPr>
        <w:t>que</w:t>
      </w:r>
      <w:proofErr w:type="gramEnd"/>
      <w:r w:rsidRPr="00E7469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8348B8B"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2DA3A3A"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8F877B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F16A87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3499B0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9CDEF95"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requirió al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w:t>
      </w:r>
    </w:p>
    <w:p w14:paraId="5C6CE0E6"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Padrón de proveedores que tiene el municipio </w:t>
      </w:r>
    </w:p>
    <w:p w14:paraId="57FCB31E"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proofErr w:type="gramStart"/>
      <w:r w:rsidRPr="00E7469C">
        <w:rPr>
          <w:rFonts w:ascii="Palatino Linotype" w:eastAsia="Palatino Linotype" w:hAnsi="Palatino Linotype" w:cs="Palatino Linotype"/>
          <w:b/>
          <w:i/>
          <w:sz w:val="22"/>
          <w:szCs w:val="22"/>
        </w:rPr>
        <w:t>El motivo del porqué no cuentan</w:t>
      </w:r>
      <w:proofErr w:type="gramEnd"/>
      <w:r w:rsidRPr="00E7469C">
        <w:rPr>
          <w:rFonts w:ascii="Palatino Linotype" w:eastAsia="Palatino Linotype" w:hAnsi="Palatino Linotype" w:cs="Palatino Linotype"/>
          <w:b/>
          <w:i/>
          <w:sz w:val="22"/>
          <w:szCs w:val="22"/>
        </w:rPr>
        <w:t xml:space="preserve"> los establecimientos, negocios o empresas con su Licencia de Funcionamiento</w:t>
      </w:r>
    </w:p>
    <w:p w14:paraId="14705E64"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Licencias de Funcionamiento de los establecimientos, negocios o empresas que si tienen.</w:t>
      </w:r>
    </w:p>
    <w:p w14:paraId="35E1E9A9"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Licencias de Funcionamiento que se dieron en 2022, 2023, 2024 y 2025, en versión pública. </w:t>
      </w:r>
    </w:p>
    <w:p w14:paraId="36CDCF3D"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Nómina general de la última quincena del año 2024 y de la segunda quincena de febrero del año 2025 (incluyendo seguridad pública). </w:t>
      </w:r>
    </w:p>
    <w:p w14:paraId="10941EA5"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Nómina de todo el personal de contraloría, administración. </w:t>
      </w:r>
    </w:p>
    <w:p w14:paraId="1D685E5C"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Porque su portal de mejora regulatoria de transparencia (IPOMEX) no se encuentra actualizado y el motivo </w:t>
      </w:r>
    </w:p>
    <w:p w14:paraId="47F8AEA9"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Todas la cedulas de trámites y servicios con los que cuenta en municipio </w:t>
      </w:r>
    </w:p>
    <w:p w14:paraId="2A516EED"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Todas la cedulas de datos personales con </w:t>
      </w:r>
      <w:proofErr w:type="gramStart"/>
      <w:r w:rsidRPr="00E7469C">
        <w:rPr>
          <w:rFonts w:ascii="Palatino Linotype" w:eastAsia="Palatino Linotype" w:hAnsi="Palatino Linotype" w:cs="Palatino Linotype"/>
          <w:b/>
          <w:i/>
          <w:sz w:val="22"/>
          <w:szCs w:val="22"/>
        </w:rPr>
        <w:t>sus anexo</w:t>
      </w:r>
      <w:proofErr w:type="gramEnd"/>
      <w:r w:rsidRPr="00E7469C">
        <w:rPr>
          <w:rFonts w:ascii="Palatino Linotype" w:eastAsia="Palatino Linotype" w:hAnsi="Palatino Linotype" w:cs="Palatino Linotype"/>
          <w:b/>
          <w:i/>
          <w:sz w:val="22"/>
          <w:szCs w:val="22"/>
        </w:rPr>
        <w:t xml:space="preserve"> </w:t>
      </w:r>
      <w:proofErr w:type="gramStart"/>
      <w:r w:rsidRPr="00E7469C">
        <w:rPr>
          <w:rFonts w:ascii="Palatino Linotype" w:eastAsia="Palatino Linotype" w:hAnsi="Palatino Linotype" w:cs="Palatino Linotype"/>
          <w:b/>
          <w:i/>
          <w:sz w:val="22"/>
          <w:szCs w:val="22"/>
        </w:rPr>
        <w:t>de acuerdo a</w:t>
      </w:r>
      <w:proofErr w:type="gramEnd"/>
      <w:r w:rsidRPr="00E7469C">
        <w:rPr>
          <w:rFonts w:ascii="Palatino Linotype" w:eastAsia="Palatino Linotype" w:hAnsi="Palatino Linotype" w:cs="Palatino Linotype"/>
          <w:b/>
          <w:i/>
          <w:sz w:val="22"/>
          <w:szCs w:val="22"/>
        </w:rPr>
        <w:t xml:space="preserve"> lo establecido en la Ley de protección de datos personales </w:t>
      </w:r>
    </w:p>
    <w:p w14:paraId="1119324C"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Los programas del municipio, así como, su plan de desarrollo municipal </w:t>
      </w:r>
    </w:p>
    <w:p w14:paraId="0EAB49EE"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Los contratos de la administración del 2025 </w:t>
      </w:r>
    </w:p>
    <w:p w14:paraId="5C3FEB67"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Inventario de todo el parque vehicular del municipio, </w:t>
      </w:r>
    </w:p>
    <w:p w14:paraId="1B36B440"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Inventario de todo el parque vehicular de seguridad pública y sus resguardos, así mismo me informen que patrullas aún están en servicio y las que no solicito su dictamen </w:t>
      </w:r>
    </w:p>
    <w:p w14:paraId="1CADA8F5"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Inventario del armamento del Seguridad Publica </w:t>
      </w:r>
    </w:p>
    <w:p w14:paraId="4D379133"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Cuantas denuncias se han interpuesto o cuantos casos de maltrato a la mujer se han dado en el municipio </w:t>
      </w:r>
    </w:p>
    <w:p w14:paraId="67CA3554"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De contraloría, cuantos procedimientos han iniciado en todo el sentido y </w:t>
      </w:r>
      <w:proofErr w:type="gramStart"/>
      <w:r w:rsidRPr="00E7469C">
        <w:rPr>
          <w:rFonts w:ascii="Palatino Linotype" w:eastAsia="Palatino Linotype" w:hAnsi="Palatino Linotype" w:cs="Palatino Linotype"/>
          <w:b/>
          <w:i/>
          <w:sz w:val="22"/>
          <w:szCs w:val="22"/>
        </w:rPr>
        <w:t>la resoluciones</w:t>
      </w:r>
      <w:proofErr w:type="gramEnd"/>
      <w:r w:rsidRPr="00E7469C">
        <w:rPr>
          <w:rFonts w:ascii="Palatino Linotype" w:eastAsia="Palatino Linotype" w:hAnsi="Palatino Linotype" w:cs="Palatino Linotype"/>
          <w:b/>
          <w:i/>
          <w:sz w:val="22"/>
          <w:szCs w:val="22"/>
        </w:rPr>
        <w:t xml:space="preserve"> que han generado en los años 2023, 2024 y lo que lleva el 2025 </w:t>
      </w:r>
    </w:p>
    <w:p w14:paraId="536CD59E"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Todas las obras que se realizaron en el 2023 y 2024, el monto que se gastó y los contratos de obras </w:t>
      </w:r>
    </w:p>
    <w:p w14:paraId="114C0324"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proofErr w:type="gramStart"/>
      <w:r w:rsidRPr="00E7469C">
        <w:rPr>
          <w:rFonts w:ascii="Palatino Linotype" w:eastAsia="Palatino Linotype" w:hAnsi="Palatino Linotype" w:cs="Palatino Linotype"/>
          <w:b/>
          <w:i/>
          <w:sz w:val="22"/>
          <w:szCs w:val="22"/>
        </w:rPr>
        <w:t>Todas la licitaciones</w:t>
      </w:r>
      <w:proofErr w:type="gramEnd"/>
      <w:r w:rsidRPr="00E7469C">
        <w:rPr>
          <w:rFonts w:ascii="Palatino Linotype" w:eastAsia="Palatino Linotype" w:hAnsi="Palatino Linotype" w:cs="Palatino Linotype"/>
          <w:b/>
          <w:i/>
          <w:sz w:val="22"/>
          <w:szCs w:val="22"/>
        </w:rPr>
        <w:t xml:space="preserve"> que se dieron en el 2022, 2023, 2024 y 2025 </w:t>
      </w:r>
    </w:p>
    <w:p w14:paraId="2C212F68"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Todos los contratos de arrendamiento que se dieron en el 2022, 2023, 2024 y 2025 </w:t>
      </w:r>
    </w:p>
    <w:p w14:paraId="10246C85"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lastRenderedPageBreak/>
        <w:t xml:space="preserve">Convenios generados en 2022, 2023, 2024 y 2025, en versión pública. </w:t>
      </w:r>
    </w:p>
    <w:p w14:paraId="6063E595"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Licencias de Construcción del 2022, 2023, 2024 y 2025, en versión pública. </w:t>
      </w:r>
    </w:p>
    <w:p w14:paraId="736B78F7" w14:textId="77777777" w:rsidR="002377F0" w:rsidRPr="00E7469C" w:rsidRDefault="008C7182">
      <w:pPr>
        <w:numPr>
          <w:ilvl w:val="0"/>
          <w:numId w:val="38"/>
        </w:numPr>
        <w:pBdr>
          <w:top w:val="nil"/>
          <w:left w:val="nil"/>
          <w:bottom w:val="nil"/>
          <w:right w:val="nil"/>
          <w:between w:val="nil"/>
        </w:pBdr>
        <w:spacing w:line="276" w:lineRule="auto"/>
        <w:ind w:left="8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 xml:space="preserve">Saber si el municipio llego a tener alguna observación por el </w:t>
      </w:r>
      <w:proofErr w:type="spellStart"/>
      <w:r w:rsidRPr="00E7469C">
        <w:rPr>
          <w:rFonts w:ascii="Palatino Linotype" w:eastAsia="Palatino Linotype" w:hAnsi="Palatino Linotype" w:cs="Palatino Linotype"/>
          <w:b/>
          <w:i/>
          <w:sz w:val="22"/>
          <w:szCs w:val="22"/>
        </w:rPr>
        <w:t>Osfem</w:t>
      </w:r>
      <w:proofErr w:type="spellEnd"/>
      <w:r w:rsidRPr="00E7469C">
        <w:rPr>
          <w:rFonts w:ascii="Palatino Linotype" w:eastAsia="Palatino Linotype" w:hAnsi="Palatino Linotype" w:cs="Palatino Linotype"/>
          <w:b/>
          <w:i/>
          <w:sz w:val="22"/>
          <w:szCs w:val="22"/>
        </w:rPr>
        <w:t xml:space="preserve"> y si fuera el caso el motivo</w:t>
      </w:r>
      <w:r w:rsidRPr="00E7469C">
        <w:rPr>
          <w:rFonts w:ascii="Palatino Linotype" w:eastAsia="Palatino Linotype" w:hAnsi="Palatino Linotype" w:cs="Palatino Linotype"/>
          <w:b/>
          <w:sz w:val="22"/>
          <w:szCs w:val="22"/>
        </w:rPr>
        <w:t>.</w:t>
      </w:r>
    </w:p>
    <w:p w14:paraId="7D0C94E3" w14:textId="77777777" w:rsidR="002377F0" w:rsidRPr="00E7469C" w:rsidRDefault="002377F0">
      <w:pPr>
        <w:pBdr>
          <w:top w:val="nil"/>
          <w:left w:val="nil"/>
          <w:bottom w:val="nil"/>
          <w:right w:val="nil"/>
          <w:between w:val="nil"/>
        </w:pBdr>
        <w:spacing w:line="276" w:lineRule="auto"/>
        <w:ind w:left="851"/>
        <w:jc w:val="both"/>
        <w:rPr>
          <w:rFonts w:ascii="Palatino Linotype" w:eastAsia="Palatino Linotype" w:hAnsi="Palatino Linotype" w:cs="Palatino Linotype"/>
          <w:sz w:val="22"/>
          <w:szCs w:val="22"/>
        </w:rPr>
      </w:pPr>
    </w:p>
    <w:p w14:paraId="66B8BDBA"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tal sentido, el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 xml:space="preserve">a través de las unidades administrativas competentes informó: </w:t>
      </w:r>
    </w:p>
    <w:p w14:paraId="58536CC0"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137FD5F9" w14:textId="77777777" w:rsidR="002377F0" w:rsidRPr="00E7469C" w:rsidRDefault="008C7182">
      <w:pPr>
        <w:numPr>
          <w:ilvl w:val="0"/>
          <w:numId w:val="3"/>
        </w:num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U</w:t>
      </w:r>
      <w:r w:rsidRPr="00E7469C">
        <w:rPr>
          <w:rFonts w:ascii="Palatino Linotype" w:eastAsia="Palatino Linotype" w:hAnsi="Palatino Linotype" w:cs="Palatino Linotype"/>
          <w:b/>
          <w:sz w:val="22"/>
          <w:szCs w:val="22"/>
        </w:rPr>
        <w:t>nidad de Información, Planeación, Programación y Evaluación</w:t>
      </w:r>
      <w:r w:rsidRPr="00E7469C">
        <w:rPr>
          <w:rFonts w:ascii="Palatino Linotype" w:eastAsia="Palatino Linotype" w:hAnsi="Palatino Linotype" w:cs="Palatino Linotype"/>
          <w:sz w:val="22"/>
          <w:szCs w:val="22"/>
        </w:rPr>
        <w:t xml:space="preserve">: </w:t>
      </w:r>
    </w:p>
    <w:p w14:paraId="2A406B3A"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Informó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respecto a los Programas del Plan de Desarrollo Municipal, dicha unidad administrativa se encuentra en proceso de inscripción del Plan de Desarrollo Municipal 2025-2027 ante el Registro Estatal de Planes y Programas, de conformidad con la Ley de Planeación del Estado de México y Municipios, mismo que habrá de regir el crecimiento económico del Municipio y en cuanto este registrado y aprobado será publicado en la página web oficial del Ayuntamiento de Atlacomulco.</w:t>
      </w:r>
    </w:p>
    <w:p w14:paraId="045E6BA3"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553FE58" w14:textId="77777777" w:rsidR="002377F0" w:rsidRPr="00E7469C" w:rsidRDefault="008C7182">
      <w:pPr>
        <w:numPr>
          <w:ilvl w:val="0"/>
          <w:numId w:val="3"/>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Director de Obras Públicas: </w:t>
      </w:r>
    </w:p>
    <w:p w14:paraId="72513D4C"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Informó que referente al punto 7, por el tipo de trámite administrativo que se lleva con respecto a la adjudicación de una obra, los contratos están expuestos a adiciones y modificaciones hasta la culminación de los trabajos, ya que puede haber modificación al plazo, monto y ajustes de costos, todo ello plasmado en el contrato dentro de sus cláusulas Octava, Novena y Décima, así como los posibles convenios modificatorios; por lo que la información solicitada se encuentra en integración y en cuanto se cuente con ella se hará entrega de la misma. </w:t>
      </w:r>
    </w:p>
    <w:p w14:paraId="31A989D1"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5018DE7B"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Respecto al punto 15, informó la entrega de lista de obras 2023 y 2024 con montos contratados y ejercidos; mientras que para el punto 16, hizo del conocimiento una relación de licitaciones 2022, 2023, 2024 y 2025. </w:t>
      </w:r>
    </w:p>
    <w:p w14:paraId="651C006E"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7E495D70" w14:textId="77777777" w:rsidR="002377F0" w:rsidRPr="00E7469C" w:rsidRDefault="008C7182">
      <w:pPr>
        <w:numPr>
          <w:ilvl w:val="0"/>
          <w:numId w:val="3"/>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El</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rPr>
        <w:t xml:space="preserve">Coordinador General Municipal de Mejora Regulatoria: </w:t>
      </w:r>
    </w:p>
    <w:p w14:paraId="5F929DF4"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Informó que la información referente a las Cédulas en formato PDF de los Trámites y Servicios con los que cuenta el Municipio puede ser consultada y descargada en las siguientes ligas electrónicas:</w:t>
      </w:r>
    </w:p>
    <w:p w14:paraId="16C274AE" w14:textId="77777777" w:rsidR="002377F0" w:rsidRPr="00E7469C" w:rsidRDefault="008C7182">
      <w:pPr>
        <w:pBdr>
          <w:top w:val="nil"/>
          <w:left w:val="nil"/>
          <w:bottom w:val="nil"/>
          <w:right w:val="nil"/>
          <w:between w:val="nil"/>
        </w:pBdr>
        <w:spacing w:line="360" w:lineRule="auto"/>
        <w:ind w:left="720"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Trámites: </w:t>
      </w:r>
      <w:hyperlink r:id="rId35" w:anchor="/info-fraccion/31/103/12">
        <w:r w:rsidRPr="00E7469C">
          <w:rPr>
            <w:rFonts w:ascii="Palatino Linotype" w:eastAsia="Palatino Linotype" w:hAnsi="Palatino Linotype" w:cs="Palatino Linotype"/>
            <w:sz w:val="22"/>
            <w:szCs w:val="22"/>
            <w:u w:val="single"/>
          </w:rPr>
          <w:t>https://ipomex.org.mx/ipomex/#/info-fraccion/31/103/12</w:t>
        </w:r>
      </w:hyperlink>
      <w:r w:rsidRPr="00E7469C">
        <w:rPr>
          <w:rFonts w:ascii="Palatino Linotype" w:eastAsia="Palatino Linotype" w:hAnsi="Palatino Linotype" w:cs="Palatino Linotype"/>
          <w:sz w:val="22"/>
          <w:szCs w:val="22"/>
        </w:rPr>
        <w:t xml:space="preserve"> </w:t>
      </w:r>
    </w:p>
    <w:p w14:paraId="3D030549" w14:textId="77777777" w:rsidR="002377F0" w:rsidRPr="00E7469C" w:rsidRDefault="008C7182">
      <w:pPr>
        <w:pBdr>
          <w:top w:val="nil"/>
          <w:left w:val="nil"/>
          <w:bottom w:val="nil"/>
          <w:right w:val="nil"/>
          <w:between w:val="nil"/>
        </w:pBdr>
        <w:spacing w:line="360" w:lineRule="auto"/>
        <w:ind w:left="720"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Servicios: </w:t>
      </w:r>
      <w:hyperlink r:id="rId36" w:anchor="/info-fraccion/30/103/12">
        <w:r w:rsidRPr="00E7469C">
          <w:rPr>
            <w:rFonts w:ascii="Palatino Linotype" w:eastAsia="Palatino Linotype" w:hAnsi="Palatino Linotype" w:cs="Palatino Linotype"/>
            <w:sz w:val="22"/>
            <w:szCs w:val="22"/>
            <w:u w:val="single"/>
          </w:rPr>
          <w:t>https://ipomex.org.mx/ipomex/#/info-fraccion/30/103/12</w:t>
        </w:r>
      </w:hyperlink>
    </w:p>
    <w:p w14:paraId="37EEA5B3" w14:textId="77777777" w:rsidR="002377F0" w:rsidRPr="00E7469C" w:rsidRDefault="002377F0">
      <w:pPr>
        <w:pBdr>
          <w:top w:val="nil"/>
          <w:left w:val="nil"/>
          <w:bottom w:val="nil"/>
          <w:right w:val="nil"/>
          <w:between w:val="nil"/>
        </w:pBdr>
        <w:spacing w:line="360" w:lineRule="auto"/>
        <w:ind w:left="720" w:right="34"/>
        <w:jc w:val="both"/>
        <w:rPr>
          <w:rFonts w:ascii="Palatino Linotype" w:eastAsia="Palatino Linotype" w:hAnsi="Palatino Linotype" w:cs="Palatino Linotype"/>
          <w:sz w:val="22"/>
          <w:szCs w:val="22"/>
        </w:rPr>
      </w:pPr>
    </w:p>
    <w:p w14:paraId="5957983F" w14:textId="77777777" w:rsidR="002377F0" w:rsidRPr="00E7469C" w:rsidRDefault="008C7182">
      <w:pPr>
        <w:numPr>
          <w:ilvl w:val="0"/>
          <w:numId w:val="3"/>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Director de Ecología: </w:t>
      </w:r>
    </w:p>
    <w:p w14:paraId="10788906"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Informó que en lo que respecta al punto número 6 de la solicitud, </w:t>
      </w: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las facultades en materia de medio ambiente que el Bando Municipal 2025 estipula en el artículo 209, y demás ordenamientos legales federales, estatales y municipales, la Dirección a mi cargo no gestiona ni entrega programas sociales. Por lo que hace al punto 22, informó la entrega de los convenios que obran en su archivo; así mismo, manifestó bajo protesta de decir verdad que los nombres y firmas de quienes los suscriben, son o fueron en su momento servidores públicos, por lo que no se publican datos personales. Cabe mencionar que, durante la actual administración, no se ha celebrado convenio alguno a la fecha. Anexando a su respuesta el listado de Convenios. </w:t>
      </w:r>
    </w:p>
    <w:p w14:paraId="7B2D6060"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16D741BB" w14:textId="77777777" w:rsidR="002377F0" w:rsidRPr="00E7469C" w:rsidRDefault="008C7182">
      <w:pPr>
        <w:numPr>
          <w:ilvl w:val="0"/>
          <w:numId w:val="3"/>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Comisario Municipal de Atlacomulco: </w:t>
      </w:r>
    </w:p>
    <w:p w14:paraId="5B016A57"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Informó la reserva de la información referente al “Inventario del Armamento de Seguridad Pública”, el cual se aprobó en la 12ª Sesión del comité de transparencia mediante el acuerdo ACT/ATLACOMULCO/EXT/CT/12º/ACU- SEXTO/2025 de fecha veintisiete de marzo de </w:t>
      </w:r>
      <w:r w:rsidRPr="00E7469C">
        <w:rPr>
          <w:rFonts w:ascii="Palatino Linotype" w:eastAsia="Palatino Linotype" w:hAnsi="Palatino Linotype" w:cs="Palatino Linotype"/>
          <w:sz w:val="22"/>
          <w:szCs w:val="22"/>
        </w:rPr>
        <w:lastRenderedPageBreak/>
        <w:t>dos mil veinticinco. Adjuntando el Cuadro de Clasificación en el que se reservó por un periodo de cinco años.</w:t>
      </w:r>
    </w:p>
    <w:p w14:paraId="6059696A"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612DF13B" w14:textId="77777777" w:rsidR="002377F0" w:rsidRPr="00E7469C" w:rsidRDefault="008C7182">
      <w:pPr>
        <w:numPr>
          <w:ilvl w:val="0"/>
          <w:numId w:val="3"/>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Director de Desarrollo Urbano: </w:t>
      </w:r>
    </w:p>
    <w:p w14:paraId="3A8C4996"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Informó que </w:t>
      </w:r>
      <w:proofErr w:type="gramStart"/>
      <w:r w:rsidRPr="00E7469C">
        <w:rPr>
          <w:rFonts w:ascii="Palatino Linotype" w:eastAsia="Palatino Linotype" w:hAnsi="Palatino Linotype" w:cs="Palatino Linotype"/>
          <w:sz w:val="22"/>
          <w:szCs w:val="22"/>
        </w:rPr>
        <w:t>en relación al</w:t>
      </w:r>
      <w:proofErr w:type="gramEnd"/>
      <w:r w:rsidRPr="00E7469C">
        <w:rPr>
          <w:rFonts w:ascii="Palatino Linotype" w:eastAsia="Palatino Linotype" w:hAnsi="Palatino Linotype" w:cs="Palatino Linotype"/>
          <w:sz w:val="22"/>
          <w:szCs w:val="22"/>
        </w:rPr>
        <w:t xml:space="preserve"> punto 19, hace entrega de la siguiente liga electrónica; así como, el procedimiento a seguir, para obtener la información: </w:t>
      </w:r>
      <w:r w:rsidRPr="00E7469C">
        <w:rPr>
          <w:rFonts w:ascii="Palatino Linotype" w:eastAsia="Palatino Linotype" w:hAnsi="Palatino Linotype" w:cs="Palatino Linotype"/>
          <w:strike/>
          <w:noProof/>
          <w:sz w:val="22"/>
          <w:szCs w:val="22"/>
          <w:lang w:val="es-MX"/>
        </w:rPr>
        <w:drawing>
          <wp:inline distT="0" distB="0" distL="0" distR="0" wp14:anchorId="528C31DC" wp14:editId="67619BC3">
            <wp:extent cx="3371315" cy="439974"/>
            <wp:effectExtent l="0" t="0" r="0" b="0"/>
            <wp:docPr id="21449236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371315" cy="439974"/>
                    </a:xfrm>
                    <a:prstGeom prst="rect">
                      <a:avLst/>
                    </a:prstGeom>
                    <a:ln/>
                  </pic:spPr>
                </pic:pic>
              </a:graphicData>
            </a:graphic>
          </wp:inline>
        </w:drawing>
      </w:r>
    </w:p>
    <w:p w14:paraId="32EFE193"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7AD9553"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Aunado a ello, informó la entrega de las licencias de construcción en versión pública aprobadas por el Comité de Transparencia, mediante Acuerdo ACT/ATLACOMULCO/EXT/CT/12°/ACU-QUINTO/2025 de la Décima Segunda Sesión Extraordinaria, de fecha veintisiete de marzo de dos mil veinticinco y que fueron emitidas en 2024 y 2025 a la fecha de la solicitud de información.</w:t>
      </w:r>
    </w:p>
    <w:p w14:paraId="19467196"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E805891"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Directora de Bienestar Social: </w:t>
      </w:r>
    </w:p>
    <w:p w14:paraId="5CD27AAE"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Señaló que respecto al punto 6, a la fecha en la Dirección de Bienestar Social no existen programas vigentes. Con referencia al punto 22, comento que por parte de la Dirección de Bienestar Social y por tratarse de información pública de oficio, puede consultar la información en la plataforma IPOMEX; por lo que respecta a los años 2022, 2023 y 2024, en el siguiente enlace </w:t>
      </w:r>
      <w:hyperlink r:id="rId37">
        <w:r w:rsidRPr="00E7469C">
          <w:rPr>
            <w:rFonts w:ascii="Palatino Linotype" w:eastAsia="Palatino Linotype" w:hAnsi="Palatino Linotype" w:cs="Palatino Linotype"/>
            <w:sz w:val="22"/>
            <w:szCs w:val="22"/>
            <w:u w:val="single"/>
          </w:rPr>
          <w:t>https://ipomex3.ipomex.org.mx/ipo3/lgt/portal/3.web</w:t>
        </w:r>
      </w:hyperlink>
      <w:r w:rsidRPr="00E7469C">
        <w:rPr>
          <w:rFonts w:ascii="Palatino Linotype" w:eastAsia="Palatino Linotype" w:hAnsi="Palatino Linotype" w:cs="Palatino Linotype"/>
          <w:sz w:val="22"/>
          <w:szCs w:val="22"/>
        </w:rPr>
        <w:t xml:space="preserve">, señalando los pasos a seguir para la consulta. </w:t>
      </w:r>
    </w:p>
    <w:p w14:paraId="11B95468"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0DE7E28A"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último, con lo referente al año 2025, hace entrega del Convenio de Colaboración en versión pública que hasta el día de la emisión del oficio se ha celebrado en la Dirección de Bienestar Social, versión pública que fue aprobada en el Acuerdo </w:t>
      </w:r>
      <w:r w:rsidRPr="00E7469C">
        <w:rPr>
          <w:rFonts w:ascii="Palatino Linotype" w:eastAsia="Palatino Linotype" w:hAnsi="Palatino Linotype" w:cs="Palatino Linotype"/>
          <w:sz w:val="22"/>
          <w:szCs w:val="22"/>
        </w:rPr>
        <w:lastRenderedPageBreak/>
        <w:t xml:space="preserve">ACT/ATLACOMULCO/EXT/CT/12a/ACU-QUINTO/2025 de la Décima Segunda Sesión Extraordinaria del Comité de Transparencia. </w:t>
      </w:r>
    </w:p>
    <w:p w14:paraId="13EA89EC"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27B9E8A5"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Tesorero Municipal: </w:t>
      </w:r>
    </w:p>
    <w:p w14:paraId="221EC77A"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Informó que respecto del punto 3, adjunta en formato PDF, versión pública del Listado de nómina de los servidores públicos del Municipio de Atlacomulco correspondientes a la segunda quincena de diciembre de 2024.  Referente a los puntos 9, 12, 13 y 23 informó la entrega en versión publica del Listado de nómina de los servidores públicos que laboran en las áreas que comprende el Municipio de Atlacomulco correspondiente a la segunda quincena de febrero de 2025, documento donde están incluidas las áreas solicitadas por el ciudadano. </w:t>
      </w:r>
    </w:p>
    <w:p w14:paraId="11D75C61"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0DFFAC8A"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Respecto al punto 20, señaló que de acuerdo con la información que obra en sus archivos, no se encontraron datos sobre observaciones por parte del Órgano Superior de Fiscalización del Estado de México. </w:t>
      </w:r>
    </w:p>
    <w:p w14:paraId="248ADF8F"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7EAF37FA"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Contralora Municipal: </w:t>
      </w:r>
    </w:p>
    <w:p w14:paraId="23037984"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Informó que después de haber realizado una búsqueda exhaustiva dentro de los archivos que obran en este Órgano Interno de Control, se encontró lo siguiente:</w:t>
      </w:r>
    </w:p>
    <w:p w14:paraId="575994FE" w14:textId="77777777" w:rsidR="002377F0" w:rsidRPr="00E7469C" w:rsidRDefault="008C7182">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26A18127" wp14:editId="1CE46B92">
            <wp:extent cx="4274806" cy="707615"/>
            <wp:effectExtent l="0" t="0" r="0" b="0"/>
            <wp:docPr id="2144923685" name="image18.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Imagen que contiene Diagrama&#10;&#10;El contenido generado por IA puede ser incorrecto."/>
                    <pic:cNvPicPr preferRelativeResize="0"/>
                  </pic:nvPicPr>
                  <pic:blipFill>
                    <a:blip r:embed="rId18"/>
                    <a:srcRect/>
                    <a:stretch>
                      <a:fillRect/>
                    </a:stretch>
                  </pic:blipFill>
                  <pic:spPr>
                    <a:xfrm>
                      <a:off x="0" y="0"/>
                      <a:ext cx="4274806" cy="707615"/>
                    </a:xfrm>
                    <a:prstGeom prst="rect">
                      <a:avLst/>
                    </a:prstGeom>
                    <a:ln/>
                  </pic:spPr>
                </pic:pic>
              </a:graphicData>
            </a:graphic>
          </wp:inline>
        </w:drawing>
      </w:r>
    </w:p>
    <w:p w14:paraId="22B5BE86"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15AE3E3"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La</w:t>
      </w:r>
      <w:r w:rsidRPr="00E7469C">
        <w:rPr>
          <w:rFonts w:ascii="Palatino Linotype" w:eastAsia="Palatino Linotype" w:hAnsi="Palatino Linotype" w:cs="Palatino Linotype"/>
          <w:sz w:val="22"/>
          <w:szCs w:val="22"/>
        </w:rPr>
        <w:t xml:space="preserve"> </w:t>
      </w:r>
      <w:proofErr w:type="gramStart"/>
      <w:r w:rsidRPr="00E7469C">
        <w:rPr>
          <w:rFonts w:ascii="Palatino Linotype" w:eastAsia="Palatino Linotype" w:hAnsi="Palatino Linotype" w:cs="Palatino Linotype"/>
          <w:b/>
          <w:sz w:val="22"/>
          <w:szCs w:val="22"/>
        </w:rPr>
        <w:t>Directora</w:t>
      </w:r>
      <w:proofErr w:type="gramEnd"/>
      <w:r w:rsidRPr="00E7469C">
        <w:rPr>
          <w:rFonts w:ascii="Palatino Linotype" w:eastAsia="Palatino Linotype" w:hAnsi="Palatino Linotype" w:cs="Palatino Linotype"/>
          <w:b/>
          <w:sz w:val="22"/>
          <w:szCs w:val="22"/>
        </w:rPr>
        <w:t xml:space="preserve"> de Administración</w:t>
      </w:r>
      <w:r w:rsidRPr="00E7469C">
        <w:rPr>
          <w:rFonts w:ascii="Palatino Linotype" w:eastAsia="Palatino Linotype" w:hAnsi="Palatino Linotype" w:cs="Palatino Linotype"/>
          <w:sz w:val="22"/>
          <w:szCs w:val="22"/>
        </w:rPr>
        <w:t xml:space="preserve">, informó: </w:t>
      </w:r>
    </w:p>
    <w:p w14:paraId="06E540B4"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Del numeral 1, se adjunta el padrón solicitado.</w:t>
      </w:r>
    </w:p>
    <w:p w14:paraId="23EFE693"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Respecto del numeral 7, se anexan los contratos de la administración del 2025 que obran en el Departamento de Recursos Material y Adquisiciones hasta la fecha solicitada.</w:t>
      </w:r>
    </w:p>
    <w:p w14:paraId="456D5D2F"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-Del numeral 16, las licitaciones que se dieron en el año 2022, 2023, 2024 y 2025 son las siguientes:</w:t>
      </w:r>
    </w:p>
    <w:p w14:paraId="0F9CAE5E" w14:textId="77777777" w:rsidR="002377F0" w:rsidRPr="00E7469C" w:rsidRDefault="008C7182">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i/>
          <w:noProof/>
          <w:sz w:val="22"/>
          <w:szCs w:val="22"/>
          <w:lang w:val="es-MX"/>
        </w:rPr>
        <w:drawing>
          <wp:inline distT="0" distB="0" distL="0" distR="0" wp14:anchorId="01FF6E93" wp14:editId="3F41A929">
            <wp:extent cx="4681512" cy="2430150"/>
            <wp:effectExtent l="0" t="0" r="0" b="0"/>
            <wp:docPr id="2144923686" name="image8.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exto&#10;&#10;El contenido generado por IA puede ser incorrecto."/>
                    <pic:cNvPicPr preferRelativeResize="0"/>
                  </pic:nvPicPr>
                  <pic:blipFill>
                    <a:blip r:embed="rId19"/>
                    <a:srcRect/>
                    <a:stretch>
                      <a:fillRect/>
                    </a:stretch>
                  </pic:blipFill>
                  <pic:spPr>
                    <a:xfrm>
                      <a:off x="0" y="0"/>
                      <a:ext cx="4681512" cy="2430150"/>
                    </a:xfrm>
                    <a:prstGeom prst="rect">
                      <a:avLst/>
                    </a:prstGeom>
                    <a:ln/>
                  </pic:spPr>
                </pic:pic>
              </a:graphicData>
            </a:graphic>
          </wp:inline>
        </w:drawing>
      </w:r>
    </w:p>
    <w:p w14:paraId="08D9FAE8" w14:textId="77777777" w:rsidR="002377F0" w:rsidRPr="00E7469C" w:rsidRDefault="008C7182">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i/>
          <w:noProof/>
          <w:sz w:val="22"/>
          <w:szCs w:val="22"/>
          <w:lang w:val="es-MX"/>
        </w:rPr>
        <w:drawing>
          <wp:inline distT="0" distB="0" distL="0" distR="0" wp14:anchorId="550366BB" wp14:editId="7E8906CC">
            <wp:extent cx="4763165" cy="543001"/>
            <wp:effectExtent l="0" t="0" r="0" b="0"/>
            <wp:docPr id="21449236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63165" cy="543001"/>
                    </a:xfrm>
                    <a:prstGeom prst="rect">
                      <a:avLst/>
                    </a:prstGeom>
                    <a:ln/>
                  </pic:spPr>
                </pic:pic>
              </a:graphicData>
            </a:graphic>
          </wp:inline>
        </w:drawing>
      </w:r>
    </w:p>
    <w:p w14:paraId="2D7B56F2"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Respecto del numeral 22, anexa los convenios del 2022, 2023, 2024 y 2025 en versión pública, aprobado mediante ACUERDO: ACT/ATLACOMULCO/EXT/COMT/13/ACU-CUARTO/2025, de la 13ª Sesión Extraordinaria del Comité de Transparencia el día 3 de abril de 2025.</w:t>
      </w:r>
    </w:p>
    <w:p w14:paraId="6FC35262"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33C7CF4"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Sindicatura Municipal</w:t>
      </w:r>
    </w:p>
    <w:p w14:paraId="32926027"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Solicitó una prórroga para exhibir la información solicitada, debido que se necesita recabar los documentos necesarios para dar cabal cumplimiento a la solicitud relativa a “</w:t>
      </w:r>
      <w:r w:rsidRPr="00E7469C">
        <w:rPr>
          <w:rFonts w:ascii="Palatino Linotype" w:eastAsia="Palatino Linotype" w:hAnsi="Palatino Linotype" w:cs="Palatino Linotype"/>
          <w:i/>
          <w:sz w:val="22"/>
          <w:szCs w:val="22"/>
        </w:rPr>
        <w:t>TODOS LOS CONVENIOS REALIZADOS DESDE EL 1 DE ENERO Á LA FECHA</w:t>
      </w:r>
      <w:r w:rsidRPr="00E7469C">
        <w:rPr>
          <w:rFonts w:ascii="Palatino Linotype" w:eastAsia="Palatino Linotype" w:hAnsi="Palatino Linotype" w:cs="Palatino Linotype"/>
          <w:sz w:val="22"/>
          <w:szCs w:val="22"/>
        </w:rPr>
        <w:t>.”</w:t>
      </w:r>
    </w:p>
    <w:p w14:paraId="347F84E5"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1B1A1F08"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Secretario del Ayuntamiento</w:t>
      </w:r>
      <w:r w:rsidRPr="00E7469C">
        <w:rPr>
          <w:rFonts w:ascii="Palatino Linotype" w:eastAsia="Palatino Linotype" w:hAnsi="Palatino Linotype" w:cs="Palatino Linotype"/>
          <w:sz w:val="22"/>
          <w:szCs w:val="22"/>
        </w:rPr>
        <w:t xml:space="preserve">: </w:t>
      </w:r>
    </w:p>
    <w:p w14:paraId="54254794"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Informó que en atención al requerimiento 22, una vez realizada una búsqueda exhaustiva en los archivos de la Secretaría del Ayuntamiento, no obra información al respecto.</w:t>
      </w:r>
    </w:p>
    <w:p w14:paraId="3537D228"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98616C2"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Directora de las Mujeres: </w:t>
      </w:r>
    </w:p>
    <w:p w14:paraId="6823DC3A"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Informó que por lo que respecta al punto número 6, no cuenta con un programa establecido, ahora bien, con respecto al punto número 22, adjunta de manera física el convenio que obra en sus archivos, adjuntando el Convenio de Coordinación que celebran la Secretaría de la Mujer del Gobierno del Estado de México y el Ayuntamiento de Atlacomulco, de fecha veintiocho de febrero de dos mil veintidós.</w:t>
      </w:r>
    </w:p>
    <w:p w14:paraId="42C48F69"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09BE9008"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Directora de Desarrollo Económico</w:t>
      </w:r>
      <w:r w:rsidRPr="00E7469C">
        <w:rPr>
          <w:rFonts w:ascii="Palatino Linotype" w:eastAsia="Palatino Linotype" w:hAnsi="Palatino Linotype" w:cs="Palatino Linotype"/>
          <w:sz w:val="22"/>
          <w:szCs w:val="22"/>
        </w:rPr>
        <w:t xml:space="preserve"> informó:</w:t>
      </w:r>
    </w:p>
    <w:p w14:paraId="6EA8310F" w14:textId="77777777" w:rsidR="002377F0" w:rsidRPr="00E7469C" w:rsidRDefault="008C7182">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69D6AB68" wp14:editId="6B7A92D0">
            <wp:extent cx="4648682" cy="4105701"/>
            <wp:effectExtent l="0" t="0" r="0" b="0"/>
            <wp:docPr id="2144923688" name="image74.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4.png" descr="Texto, Carta&#10;&#10;El contenido generado por IA puede ser incorrecto."/>
                    <pic:cNvPicPr preferRelativeResize="0"/>
                  </pic:nvPicPr>
                  <pic:blipFill>
                    <a:blip r:embed="rId22"/>
                    <a:srcRect/>
                    <a:stretch>
                      <a:fillRect/>
                    </a:stretch>
                  </pic:blipFill>
                  <pic:spPr>
                    <a:xfrm>
                      <a:off x="0" y="0"/>
                      <a:ext cx="4648682" cy="4105701"/>
                    </a:xfrm>
                    <a:prstGeom prst="rect">
                      <a:avLst/>
                    </a:prstGeom>
                    <a:ln/>
                  </pic:spPr>
                </pic:pic>
              </a:graphicData>
            </a:graphic>
          </wp:inline>
        </w:drawing>
      </w:r>
    </w:p>
    <w:p w14:paraId="456F0875" w14:textId="77777777" w:rsidR="002377F0" w:rsidRPr="00E7469C" w:rsidRDefault="008C7182">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585F3431" wp14:editId="576214BD">
            <wp:extent cx="4698196" cy="1561113"/>
            <wp:effectExtent l="0" t="0" r="0" b="0"/>
            <wp:docPr id="2144923689" name="image6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3.png" descr="Texto&#10;&#10;El contenido generado por IA puede ser incorrecto."/>
                    <pic:cNvPicPr preferRelativeResize="0"/>
                  </pic:nvPicPr>
                  <pic:blipFill>
                    <a:blip r:embed="rId23"/>
                    <a:srcRect/>
                    <a:stretch>
                      <a:fillRect/>
                    </a:stretch>
                  </pic:blipFill>
                  <pic:spPr>
                    <a:xfrm>
                      <a:off x="0" y="0"/>
                      <a:ext cx="4698196" cy="1561113"/>
                    </a:xfrm>
                    <a:prstGeom prst="rect">
                      <a:avLst/>
                    </a:prstGeom>
                    <a:ln/>
                  </pic:spPr>
                </pic:pic>
              </a:graphicData>
            </a:graphic>
          </wp:inline>
        </w:drawing>
      </w:r>
    </w:p>
    <w:p w14:paraId="4FA43BA8" w14:textId="77777777" w:rsidR="002377F0" w:rsidRPr="00E7469C" w:rsidRDefault="008C7182">
      <w:pPr>
        <w:numPr>
          <w:ilvl w:val="0"/>
          <w:numId w:val="5"/>
        </w:num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Unidad de Transparencia</w:t>
      </w:r>
      <w:r w:rsidRPr="00E7469C">
        <w:rPr>
          <w:rFonts w:ascii="Palatino Linotype" w:eastAsia="Palatino Linotype" w:hAnsi="Palatino Linotype" w:cs="Palatino Linotype"/>
          <w:sz w:val="22"/>
          <w:szCs w:val="22"/>
        </w:rPr>
        <w:t xml:space="preserve"> informó: </w:t>
      </w:r>
    </w:p>
    <w:p w14:paraId="6A917CFC"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Por lo que respecta al punto 5, se anexa el presente el Listado de Base de Datos Personales del Ayuntamiento de Atlacomulco.</w:t>
      </w:r>
    </w:p>
    <w:p w14:paraId="6A74D165"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1E920794" w14:textId="77777777" w:rsidR="002377F0" w:rsidRPr="00E7469C" w:rsidRDefault="008C7182">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Referente al punto 11, declara Incompetencia parcial para conocer y dar atención en su totalidad a dicha solicitud de acceso a la información, de conformidad con el artículo 167 de la Ley de Transparencia del Estado …Ahora bien, no se omite señalar que la información solicitada puede obrar en la Fiscalía General De Justicia del Estado de México, mismo que se constituye como Sujeto Obligado distinto a este Ayuntamiento de Atlacomulco, lo anterior de conformidad con lo establecido en el Padrón de Sujetos Obligados en Materia de Transparencia y Acceso a la Información Pública del Estado de México y Municipios aprobado por el Pleno del Instituto de Transparencia, Acceso a la Información Pública y Protección de Datos Personales del Estado de México y Municipios; por lo que tendrá que ingresar una nueva solicitud de información dirigida a dicho Sujeto Obligado.</w:t>
      </w:r>
    </w:p>
    <w:p w14:paraId="63398437" w14:textId="77777777" w:rsidR="002377F0" w:rsidRPr="00E7469C" w:rsidRDefault="002377F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0922ED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Conocida la respuesta por el particular y al no estar conforme con los términos de </w:t>
      </w:r>
      <w:proofErr w:type="gramStart"/>
      <w:r w:rsidRPr="00E7469C">
        <w:rPr>
          <w:rFonts w:ascii="Palatino Linotype" w:eastAsia="Palatino Linotype" w:hAnsi="Palatino Linotype" w:cs="Palatino Linotype"/>
          <w:sz w:val="22"/>
          <w:szCs w:val="22"/>
        </w:rPr>
        <w:t>la misma</w:t>
      </w:r>
      <w:proofErr w:type="gramEnd"/>
      <w:r w:rsidRPr="00E7469C">
        <w:rPr>
          <w:rFonts w:ascii="Palatino Linotype" w:eastAsia="Palatino Linotype" w:hAnsi="Palatino Linotype" w:cs="Palatino Linotype"/>
          <w:sz w:val="22"/>
          <w:szCs w:val="22"/>
        </w:rPr>
        <w:t xml:space="preserve">, presentó el recurso de revisión que nos ocupa, mediante el cual se inconformo medularmente la negativa a la información solicitada, pues a su decir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negó la información y no se atendió como lo solicito.</w:t>
      </w:r>
    </w:p>
    <w:p w14:paraId="731AAC90"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15B09B2"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Es así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el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no realizó manifestaciones, alegatos o pruebas que a su derecho convinieran y por su parte el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 xml:space="preserve">rindió su informe justificado en los siguientes términos: </w:t>
      </w:r>
    </w:p>
    <w:p w14:paraId="7C8FD564"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34FA5477" w14:textId="77777777" w:rsidR="002377F0" w:rsidRPr="00E7469C" w:rsidRDefault="008C7182">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La </w:t>
      </w:r>
      <w:r w:rsidRPr="00E7469C">
        <w:rPr>
          <w:rFonts w:ascii="Palatino Linotype" w:eastAsia="Palatino Linotype" w:hAnsi="Palatino Linotype" w:cs="Palatino Linotype"/>
          <w:b/>
          <w:sz w:val="22"/>
          <w:szCs w:val="22"/>
        </w:rPr>
        <w:t>Unidad de Información, Planeación, Programación y Evaluación</w:t>
      </w:r>
      <w:r w:rsidRPr="00E7469C">
        <w:rPr>
          <w:rFonts w:ascii="Palatino Linotype" w:eastAsia="Palatino Linotype" w:hAnsi="Palatino Linotype" w:cs="Palatino Linotype"/>
          <w:sz w:val="22"/>
          <w:szCs w:val="22"/>
        </w:rPr>
        <w:t>, modificó la respuesta entregada inicialmente, toda vez que ya quedo inscrito el Plan de Desarrollo Municipal de Atlacomulco 2025-2027 en el Registro Estatal de Planes y Programas, con el número REPP-SPM-PDM 2025-2027/024/020/2025, asimismo adjuntó el Plan de Desarrollo Municipal de Atlacomulco 2025-2025, consistente en 325 fojas.</w:t>
      </w:r>
    </w:p>
    <w:p w14:paraId="02872BE1" w14:textId="77777777" w:rsidR="002377F0" w:rsidRPr="00E7469C" w:rsidRDefault="008C7182">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La </w:t>
      </w:r>
      <w:r w:rsidRPr="00E7469C">
        <w:rPr>
          <w:rFonts w:ascii="Palatino Linotype" w:eastAsia="Palatino Linotype" w:hAnsi="Palatino Linotype" w:cs="Palatino Linotype"/>
          <w:b/>
          <w:sz w:val="22"/>
          <w:szCs w:val="22"/>
        </w:rPr>
        <w:t>Sindica Municipal</w:t>
      </w:r>
      <w:r w:rsidRPr="00E7469C">
        <w:rPr>
          <w:rFonts w:ascii="Palatino Linotype" w:eastAsia="Palatino Linotype" w:hAnsi="Palatino Linotype" w:cs="Palatino Linotype"/>
          <w:sz w:val="22"/>
          <w:szCs w:val="22"/>
        </w:rPr>
        <w:t xml:space="preserve"> manifiesta la entrega de los convenios celebrados en el año 2022, 2024 y 2025, que obran en esta sindicatura municipal en su versión pública garantizando así el Derecho de Acceso a la Información Pública del hoy recurrente, por lo que respecta al año dos mil veintitrés no se realizaron convenios en este año. Aunado a ello manifiesta bajo protesta de decir verdad que no se realizaron contratos de arrendamiento en el año 2022, 2023, 2024 y 2025.</w:t>
      </w:r>
    </w:p>
    <w:p w14:paraId="16AB17A1" w14:textId="77777777" w:rsidR="002377F0" w:rsidRPr="00E7469C" w:rsidRDefault="008C718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Adjuntó 11 Convenios celebrados con particulares para dar solución a conflictos que se originaron por los daños ocasionados a los Bienes Municipales, celebrados en los meses de febrero, abril, junio, agosto, septiembre, octubre y noviembre de dos mil veintidós; así como, enero de dos mil veinticuatro y enero de dos mil veinticinco, en versión pública. </w:t>
      </w:r>
    </w:p>
    <w:p w14:paraId="3CB63A81" w14:textId="77777777" w:rsidR="002377F0" w:rsidRPr="00E7469C" w:rsidRDefault="002377F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5EF4E7D" w14:textId="77777777" w:rsidR="002377F0" w:rsidRPr="00E7469C" w:rsidRDefault="008C7182">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La </w:t>
      </w:r>
      <w:r w:rsidRPr="00E7469C">
        <w:rPr>
          <w:rFonts w:ascii="Palatino Linotype" w:eastAsia="Palatino Linotype" w:hAnsi="Palatino Linotype" w:cs="Palatino Linotype"/>
          <w:b/>
          <w:sz w:val="22"/>
          <w:szCs w:val="22"/>
        </w:rPr>
        <w:t>Titular de la Unidad de Transparencia</w:t>
      </w:r>
      <w:r w:rsidRPr="00E7469C">
        <w:rPr>
          <w:rFonts w:ascii="Palatino Linotype" w:eastAsia="Palatino Linotype" w:hAnsi="Palatino Linotype" w:cs="Palatino Linotype"/>
          <w:sz w:val="22"/>
          <w:szCs w:val="22"/>
        </w:rPr>
        <w:t xml:space="preserve">, en el que ratificó la respuesta emitida por la Dirección de Administración, Dirección de Desarrollo Económico, Tesorería Municipal, Coordinación General Municipal de Mejora Regulatoria, Secretaría del </w:t>
      </w:r>
      <w:r w:rsidRPr="00E7469C">
        <w:rPr>
          <w:rFonts w:ascii="Palatino Linotype" w:eastAsia="Palatino Linotype" w:hAnsi="Palatino Linotype" w:cs="Palatino Linotype"/>
          <w:sz w:val="22"/>
          <w:szCs w:val="22"/>
        </w:rPr>
        <w:lastRenderedPageBreak/>
        <w:t xml:space="preserve">Ayuntamiento, Dirección de Obras Públicas, Comisaría Municipal, Dirección de Bienestar Social, Dirección de Ecología y Dirección de la Mujer. </w:t>
      </w:r>
    </w:p>
    <w:p w14:paraId="38A2F34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E5B5A15"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este orden de ideas, se procede a realizar un cuadro comparativo de la información solicitada con la información entregada en respuesta, para determinar si colman el derecho de acceso a la información pública del hoy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conforme a lo siguiente:</w:t>
      </w:r>
    </w:p>
    <w:p w14:paraId="719BC46C"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tbl>
      <w:tblPr>
        <w:tblStyle w:val="a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18"/>
        <w:gridCol w:w="3260"/>
        <w:gridCol w:w="1985"/>
        <w:gridCol w:w="1984"/>
      </w:tblGrid>
      <w:tr w:rsidR="0062028D" w:rsidRPr="00E7469C" w14:paraId="44FFEB9D" w14:textId="77777777">
        <w:trPr>
          <w:trHeight w:val="479"/>
        </w:trPr>
        <w:tc>
          <w:tcPr>
            <w:tcW w:w="562" w:type="dxa"/>
            <w:tcBorders>
              <w:top w:val="single" w:sz="4" w:space="0" w:color="000000"/>
              <w:left w:val="single" w:sz="4" w:space="0" w:color="000000"/>
              <w:bottom w:val="single" w:sz="4" w:space="0" w:color="000000"/>
              <w:right w:val="single" w:sz="4" w:space="0" w:color="000000"/>
            </w:tcBorders>
            <w:shd w:val="clear" w:color="auto" w:fill="DEEBF6"/>
          </w:tcPr>
          <w:p w14:paraId="7FCB598B"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N/C</w:t>
            </w:r>
          </w:p>
        </w:tc>
        <w:tc>
          <w:tcPr>
            <w:tcW w:w="1418" w:type="dxa"/>
            <w:tcBorders>
              <w:top w:val="single" w:sz="4" w:space="0" w:color="000000"/>
              <w:left w:val="single" w:sz="4" w:space="0" w:color="000000"/>
              <w:bottom w:val="single" w:sz="4" w:space="0" w:color="000000"/>
              <w:right w:val="single" w:sz="4" w:space="0" w:color="000000"/>
            </w:tcBorders>
            <w:shd w:val="clear" w:color="auto" w:fill="DEEBF6"/>
          </w:tcPr>
          <w:p w14:paraId="3737228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Solicitud</w:t>
            </w:r>
          </w:p>
        </w:tc>
        <w:tc>
          <w:tcPr>
            <w:tcW w:w="3260" w:type="dxa"/>
            <w:tcBorders>
              <w:top w:val="single" w:sz="4" w:space="0" w:color="000000"/>
              <w:left w:val="single" w:sz="4" w:space="0" w:color="000000"/>
              <w:bottom w:val="single" w:sz="4" w:space="0" w:color="000000"/>
              <w:right w:val="single" w:sz="4" w:space="0" w:color="000000"/>
            </w:tcBorders>
            <w:shd w:val="clear" w:color="auto" w:fill="DEEBF6"/>
          </w:tcPr>
          <w:p w14:paraId="5933963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Respuesta</w:t>
            </w:r>
          </w:p>
        </w:tc>
        <w:tc>
          <w:tcPr>
            <w:tcW w:w="1985" w:type="dxa"/>
            <w:tcBorders>
              <w:top w:val="single" w:sz="4" w:space="0" w:color="000000"/>
              <w:left w:val="single" w:sz="4" w:space="0" w:color="000000"/>
              <w:bottom w:val="single" w:sz="4" w:space="0" w:color="000000"/>
              <w:right w:val="single" w:sz="4" w:space="0" w:color="000000"/>
            </w:tcBorders>
            <w:shd w:val="clear" w:color="auto" w:fill="DEEBF6"/>
          </w:tcPr>
          <w:p w14:paraId="2B159BC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Informe Justificado</w:t>
            </w:r>
          </w:p>
        </w:tc>
        <w:tc>
          <w:tcPr>
            <w:tcW w:w="1984" w:type="dxa"/>
            <w:tcBorders>
              <w:top w:val="single" w:sz="4" w:space="0" w:color="000000"/>
              <w:left w:val="single" w:sz="4" w:space="0" w:color="000000"/>
              <w:bottom w:val="single" w:sz="4" w:space="0" w:color="000000"/>
              <w:right w:val="single" w:sz="4" w:space="0" w:color="000000"/>
            </w:tcBorders>
            <w:shd w:val="clear" w:color="auto" w:fill="DEEBF6"/>
          </w:tcPr>
          <w:p w14:paraId="77063A8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Colmó / No colmó</w:t>
            </w:r>
          </w:p>
        </w:tc>
      </w:tr>
      <w:tr w:rsidR="0062028D" w:rsidRPr="00E7469C" w14:paraId="0F7F9E38" w14:textId="77777777">
        <w:tc>
          <w:tcPr>
            <w:tcW w:w="562" w:type="dxa"/>
            <w:tcBorders>
              <w:top w:val="single" w:sz="4" w:space="0" w:color="000000"/>
              <w:left w:val="single" w:sz="4" w:space="0" w:color="000000"/>
              <w:bottom w:val="single" w:sz="4" w:space="0" w:color="000000"/>
              <w:right w:val="single" w:sz="4" w:space="0" w:color="000000"/>
            </w:tcBorders>
          </w:tcPr>
          <w:p w14:paraId="28FEC41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14:paraId="50B4BEC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Padrón de proveedores que tiene el municipio</w:t>
            </w:r>
          </w:p>
        </w:tc>
        <w:tc>
          <w:tcPr>
            <w:tcW w:w="3260" w:type="dxa"/>
            <w:tcBorders>
              <w:top w:val="single" w:sz="4" w:space="0" w:color="000000"/>
              <w:left w:val="single" w:sz="4" w:space="0" w:color="000000"/>
              <w:bottom w:val="single" w:sz="4" w:space="0" w:color="000000"/>
              <w:right w:val="single" w:sz="4" w:space="0" w:color="000000"/>
            </w:tcBorders>
          </w:tcPr>
          <w:p w14:paraId="4108BDA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sz w:val="20"/>
                <w:szCs w:val="20"/>
              </w:rPr>
              <w:t>Directora</w:t>
            </w:r>
            <w:proofErr w:type="gramEnd"/>
            <w:r w:rsidRPr="00E7469C">
              <w:rPr>
                <w:rFonts w:ascii="Palatino Linotype" w:eastAsia="Palatino Linotype" w:hAnsi="Palatino Linotype" w:cs="Palatino Linotype"/>
                <w:sz w:val="20"/>
                <w:szCs w:val="20"/>
              </w:rPr>
              <w:t xml:space="preserve"> de Administración informó la entrega del padrón solicitado. Anexando el archivo denominado Padrón de Proveedores, consistente en dos fojas.</w:t>
            </w:r>
          </w:p>
          <w:p w14:paraId="075F865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68C287CD" wp14:editId="09E0A7F5">
                  <wp:extent cx="1542021" cy="2121016"/>
                  <wp:effectExtent l="0" t="0" r="0" b="0"/>
                  <wp:docPr id="21449236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542021" cy="2121016"/>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76B1313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Ratificó su respuesta </w:t>
            </w:r>
          </w:p>
        </w:tc>
        <w:tc>
          <w:tcPr>
            <w:tcW w:w="1984" w:type="dxa"/>
            <w:tcBorders>
              <w:top w:val="single" w:sz="4" w:space="0" w:color="000000"/>
              <w:left w:val="single" w:sz="4" w:space="0" w:color="000000"/>
              <w:bottom w:val="single" w:sz="4" w:space="0" w:color="000000"/>
              <w:right w:val="single" w:sz="4" w:space="0" w:color="000000"/>
            </w:tcBorders>
          </w:tcPr>
          <w:p w14:paraId="06BABA25"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Parcialmente</w:t>
            </w:r>
          </w:p>
          <w:p w14:paraId="4483CDE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El listado remitido no contiene los elementos mínimos que deben integrar el padrón de proveedores</w:t>
            </w:r>
          </w:p>
        </w:tc>
      </w:tr>
      <w:tr w:rsidR="0062028D" w:rsidRPr="00E7469C" w14:paraId="0569682E" w14:textId="77777777">
        <w:tc>
          <w:tcPr>
            <w:tcW w:w="562" w:type="dxa"/>
            <w:tcBorders>
              <w:top w:val="single" w:sz="4" w:space="0" w:color="000000"/>
              <w:left w:val="single" w:sz="4" w:space="0" w:color="000000"/>
              <w:bottom w:val="single" w:sz="4" w:space="0" w:color="000000"/>
              <w:right w:val="single" w:sz="4" w:space="0" w:color="000000"/>
            </w:tcBorders>
          </w:tcPr>
          <w:p w14:paraId="2DE588C3"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14:paraId="59BC601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roofErr w:type="gramStart"/>
            <w:r w:rsidRPr="00E7469C">
              <w:rPr>
                <w:rFonts w:ascii="Palatino Linotype" w:eastAsia="Palatino Linotype" w:hAnsi="Palatino Linotype" w:cs="Palatino Linotype"/>
                <w:sz w:val="20"/>
                <w:szCs w:val="20"/>
              </w:rPr>
              <w:t>El motivo del porqué no cuentan</w:t>
            </w:r>
            <w:proofErr w:type="gramEnd"/>
            <w:r w:rsidRPr="00E7469C">
              <w:rPr>
                <w:rFonts w:ascii="Palatino Linotype" w:eastAsia="Palatino Linotype" w:hAnsi="Palatino Linotype" w:cs="Palatino Linotype"/>
                <w:sz w:val="20"/>
                <w:szCs w:val="20"/>
              </w:rPr>
              <w:t xml:space="preserve"> los establecimientos, negocios o empresas con su Licencia de </w:t>
            </w:r>
            <w:r w:rsidRPr="00E7469C">
              <w:rPr>
                <w:rFonts w:ascii="Palatino Linotype" w:eastAsia="Palatino Linotype" w:hAnsi="Palatino Linotype" w:cs="Palatino Linotype"/>
                <w:sz w:val="20"/>
                <w:szCs w:val="20"/>
              </w:rPr>
              <w:lastRenderedPageBreak/>
              <w:t>Funcionamiento</w:t>
            </w:r>
          </w:p>
        </w:tc>
        <w:tc>
          <w:tcPr>
            <w:tcW w:w="3260" w:type="dxa"/>
            <w:tcBorders>
              <w:top w:val="single" w:sz="4" w:space="0" w:color="000000"/>
              <w:left w:val="single" w:sz="4" w:space="0" w:color="000000"/>
              <w:bottom w:val="single" w:sz="4" w:space="0" w:color="000000"/>
              <w:right w:val="single" w:sz="4" w:space="0" w:color="000000"/>
            </w:tcBorders>
          </w:tcPr>
          <w:p w14:paraId="2ABEC4C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 xml:space="preserve">La Directora de Desarrollo Económico informó que se realizó una búsqueda exhaustiva en los archivos físicos y digitales que obran en el Departamento de Licencias, Permisos, Autorizaciones e Inspecciones y la Coordinación del Sistema de Apertura Rápida de Empresas, determinando que no es posible </w:t>
            </w:r>
            <w:r w:rsidRPr="00E7469C">
              <w:rPr>
                <w:rFonts w:ascii="Palatino Linotype" w:eastAsia="Palatino Linotype" w:hAnsi="Palatino Linotype" w:cs="Palatino Linotype"/>
                <w:sz w:val="20"/>
                <w:szCs w:val="20"/>
              </w:rPr>
              <w:lastRenderedPageBreak/>
              <w:t xml:space="preserve">informar respecto a los establecimientos, negocios o empresas que no cuentan con licencia de funcionamiento, en razón de que, no se localizan archivos o bases de datos que detallen el total de unidades económicas en el municipio que permita determinar dicha condición, en consecuencia, el motivo no puede ser determinable, pues redunda en manifestaciones subjetivas que no forman parte de una solicitud, por lo que no se otorga una respuesta. </w:t>
            </w:r>
          </w:p>
        </w:tc>
        <w:tc>
          <w:tcPr>
            <w:tcW w:w="1985" w:type="dxa"/>
            <w:tcBorders>
              <w:top w:val="single" w:sz="4" w:space="0" w:color="000000"/>
              <w:left w:val="single" w:sz="4" w:space="0" w:color="000000"/>
              <w:bottom w:val="single" w:sz="4" w:space="0" w:color="000000"/>
              <w:right w:val="single" w:sz="4" w:space="0" w:color="000000"/>
            </w:tcBorders>
          </w:tcPr>
          <w:p w14:paraId="73907E4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094A5905"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Colmó</w:t>
            </w:r>
          </w:p>
          <w:p w14:paraId="0445D0D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Derecho de petición </w:t>
            </w:r>
          </w:p>
        </w:tc>
      </w:tr>
      <w:tr w:rsidR="0062028D" w:rsidRPr="00E7469C" w14:paraId="40A58DC4" w14:textId="77777777">
        <w:tc>
          <w:tcPr>
            <w:tcW w:w="562" w:type="dxa"/>
            <w:tcBorders>
              <w:top w:val="single" w:sz="4" w:space="0" w:color="000000"/>
              <w:left w:val="single" w:sz="4" w:space="0" w:color="000000"/>
              <w:bottom w:val="single" w:sz="4" w:space="0" w:color="000000"/>
              <w:right w:val="single" w:sz="4" w:space="0" w:color="000000"/>
            </w:tcBorders>
          </w:tcPr>
          <w:p w14:paraId="37CE564C"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bookmarkStart w:id="3" w:name="_heading=h.qvx27g17cqin" w:colFirst="0" w:colLast="0"/>
            <w:bookmarkEnd w:id="3"/>
            <w:r w:rsidRPr="00E7469C">
              <w:rPr>
                <w:rFonts w:ascii="Palatino Linotype" w:eastAsia="Palatino Linotype" w:hAnsi="Palatino Linotype" w:cs="Palatino Linotype"/>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14:paraId="01D1742F"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bookmarkStart w:id="4" w:name="_heading=h.hj6uaofzwu76" w:colFirst="0" w:colLast="0"/>
            <w:bookmarkEnd w:id="4"/>
            <w:r w:rsidRPr="00E7469C">
              <w:rPr>
                <w:rFonts w:ascii="Palatino Linotype" w:eastAsia="Palatino Linotype" w:hAnsi="Palatino Linotype" w:cs="Palatino Linotype"/>
                <w:sz w:val="20"/>
                <w:szCs w:val="20"/>
              </w:rPr>
              <w:t xml:space="preserve">Licencias de Funcionamiento de los establecimientos, negocios o empresas </w:t>
            </w:r>
          </w:p>
        </w:tc>
        <w:tc>
          <w:tcPr>
            <w:tcW w:w="3260" w:type="dxa"/>
            <w:vMerge w:val="restart"/>
            <w:tcBorders>
              <w:top w:val="single" w:sz="4" w:space="0" w:color="000000"/>
              <w:left w:val="single" w:sz="4" w:space="0" w:color="000000"/>
              <w:right w:val="single" w:sz="4" w:space="0" w:color="000000"/>
            </w:tcBorders>
          </w:tcPr>
          <w:p w14:paraId="5B62E8F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Directora de Desarrollo Económico informó que respecto a los establecimientos que cuentan con licencias de funcionamiento, se proporcionan las documentales en versión digital y formato PDF en su correcta versión pública, toda vez que la clasificación de la información como confidencial, fue solicitada al Comité de Transparencia y aprobada en la 14° Sesión Extraordinaria del Comité de Transparencia, de fecha ocho de abril de 2025, mediante acuerdo ACT/ATLACOMULCO/EXT/CT/14ª/ACU-CUARTO/2025, no omite señalar que las firmas visibles corresponden a servidores públicos. </w:t>
            </w:r>
          </w:p>
          <w:p w14:paraId="7C9141C5"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6B95302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Asimismo, informó que las licencias de funcionamiento de los años 2022, 2023 y 2024, se encuentran publicadas en la Plataforma de IPOMEX 3.0 y 4.0, ya que corresponde a información </w:t>
            </w:r>
            <w:r w:rsidRPr="00E7469C">
              <w:rPr>
                <w:rFonts w:ascii="Palatino Linotype" w:eastAsia="Palatino Linotype" w:hAnsi="Palatino Linotype" w:cs="Palatino Linotype"/>
                <w:sz w:val="20"/>
                <w:szCs w:val="20"/>
              </w:rPr>
              <w:lastRenderedPageBreak/>
              <w:t xml:space="preserve">pública de oficio, la cual, puede consultar a través de los siguientes links, señalando los pasos para la consulta: </w:t>
            </w:r>
            <w:r w:rsidRPr="00E7469C">
              <w:rPr>
                <w:rFonts w:ascii="Palatino Linotype" w:eastAsia="Palatino Linotype" w:hAnsi="Palatino Linotype" w:cs="Palatino Linotype"/>
                <w:noProof/>
                <w:sz w:val="20"/>
                <w:szCs w:val="20"/>
                <w:lang w:val="es-MX"/>
              </w:rPr>
              <w:drawing>
                <wp:inline distT="0" distB="0" distL="0" distR="0" wp14:anchorId="0A980560" wp14:editId="0512DD2A">
                  <wp:extent cx="1943795" cy="429564"/>
                  <wp:effectExtent l="0" t="0" r="0" b="0"/>
                  <wp:docPr id="2144923627" name="image21.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Texto&#10;&#10;El contenido generado por IA puede ser incorrecto."/>
                          <pic:cNvPicPr preferRelativeResize="0"/>
                        </pic:nvPicPr>
                        <pic:blipFill>
                          <a:blip r:embed="rId21"/>
                          <a:srcRect/>
                          <a:stretch>
                            <a:fillRect/>
                          </a:stretch>
                        </pic:blipFill>
                        <pic:spPr>
                          <a:xfrm>
                            <a:off x="0" y="0"/>
                            <a:ext cx="1943795" cy="429564"/>
                          </a:xfrm>
                          <a:prstGeom prst="rect">
                            <a:avLst/>
                          </a:prstGeom>
                          <a:ln/>
                        </pic:spPr>
                      </pic:pic>
                    </a:graphicData>
                  </a:graphic>
                </wp:inline>
              </w:drawing>
            </w:r>
          </w:p>
          <w:p w14:paraId="55663A3D"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4DD514CB"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Por lo que hace a las Licencias del año 2025, informa la entrega de las licencias de funcionamiento otorgadas en su correcta versión pública, aprobada en la Décima Cuarta Sesión Extraordinaria del Comité de Transparencia de fecha ocho de abril de dos mil veinticinco, mediante acuerdo ACT/ATLACOMULCO/EXT/CT/14ª/ACU-CUARTO/2025. </w:t>
            </w:r>
            <w:proofErr w:type="gramStart"/>
            <w:r w:rsidRPr="00E7469C">
              <w:rPr>
                <w:rFonts w:ascii="Palatino Linotype" w:eastAsia="Palatino Linotype" w:hAnsi="Palatino Linotype" w:cs="Palatino Linotype"/>
                <w:sz w:val="20"/>
                <w:szCs w:val="20"/>
              </w:rPr>
              <w:t>Asimismo</w:t>
            </w:r>
            <w:proofErr w:type="gramEnd"/>
            <w:r w:rsidRPr="00E7469C">
              <w:rPr>
                <w:rFonts w:ascii="Palatino Linotype" w:eastAsia="Palatino Linotype" w:hAnsi="Palatino Linotype" w:cs="Palatino Linotype"/>
                <w:sz w:val="20"/>
                <w:szCs w:val="20"/>
              </w:rPr>
              <w:t xml:space="preserve"> indicó que las firmas visibles corresponden a servidores públicos. </w:t>
            </w:r>
          </w:p>
          <w:p w14:paraId="028B9966"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408895E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bookmarkStart w:id="5" w:name="_heading=h.285uvr3d9dig" w:colFirst="0" w:colLast="0"/>
            <w:bookmarkEnd w:id="5"/>
            <w:r w:rsidRPr="00E7469C">
              <w:rPr>
                <w:rFonts w:ascii="Palatino Linotype" w:eastAsia="Palatino Linotype" w:hAnsi="Palatino Linotype" w:cs="Palatino Linotype"/>
                <w:sz w:val="20"/>
                <w:szCs w:val="20"/>
              </w:rPr>
              <w:t>Adjuntando 561 Licencias de Funcionamiento Comercial emitidas en los meses de enero y febrero de dos mil veinticinco, en versión pública.</w:t>
            </w:r>
          </w:p>
        </w:tc>
        <w:tc>
          <w:tcPr>
            <w:tcW w:w="1985" w:type="dxa"/>
            <w:vMerge w:val="restart"/>
            <w:tcBorders>
              <w:top w:val="single" w:sz="4" w:space="0" w:color="000000"/>
              <w:left w:val="single" w:sz="4" w:space="0" w:color="000000"/>
              <w:right w:val="single" w:sz="4" w:space="0" w:color="000000"/>
            </w:tcBorders>
          </w:tcPr>
          <w:p w14:paraId="52EA989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p w14:paraId="0CEC4D52"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4" w:type="dxa"/>
            <w:vMerge w:val="restart"/>
            <w:tcBorders>
              <w:top w:val="single" w:sz="4" w:space="0" w:color="000000"/>
              <w:left w:val="single" w:sz="4" w:space="0" w:color="000000"/>
              <w:right w:val="single" w:sz="4" w:space="0" w:color="000000"/>
            </w:tcBorders>
          </w:tcPr>
          <w:p w14:paraId="605EF750"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Parcialmente</w:t>
            </w:r>
          </w:p>
          <w:p w14:paraId="36429E91" w14:textId="77777777" w:rsidR="002377F0" w:rsidRPr="00E7469C" w:rsidRDefault="002377F0">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p>
          <w:p w14:paraId="34C9E6B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De la consulta a las ligas electrónicas se advierte que remite a la información publicada en </w:t>
            </w:r>
            <w:proofErr w:type="spellStart"/>
            <w:r w:rsidRPr="00E7469C">
              <w:rPr>
                <w:rFonts w:ascii="Palatino Linotype" w:eastAsia="Palatino Linotype" w:hAnsi="Palatino Linotype" w:cs="Palatino Linotype"/>
                <w:sz w:val="20"/>
                <w:szCs w:val="20"/>
              </w:rPr>
              <w:t>Ipomex</w:t>
            </w:r>
            <w:proofErr w:type="spellEnd"/>
            <w:r w:rsidRPr="00E7469C">
              <w:rPr>
                <w:rFonts w:ascii="Palatino Linotype" w:eastAsia="Palatino Linotype" w:hAnsi="Palatino Linotype" w:cs="Palatino Linotype"/>
                <w:sz w:val="20"/>
                <w:szCs w:val="20"/>
              </w:rPr>
              <w:t xml:space="preserve"> sin embargo implica que el particular realice la consulta en cada uno de los registros publicados, aunado a </w:t>
            </w:r>
            <w:proofErr w:type="gramStart"/>
            <w:r w:rsidRPr="00E7469C">
              <w:rPr>
                <w:rFonts w:ascii="Palatino Linotype" w:eastAsia="Palatino Linotype" w:hAnsi="Palatino Linotype" w:cs="Palatino Linotype"/>
                <w:sz w:val="20"/>
                <w:szCs w:val="20"/>
              </w:rPr>
              <w:t>que</w:t>
            </w:r>
            <w:proofErr w:type="gramEnd"/>
            <w:r w:rsidRPr="00E7469C">
              <w:rPr>
                <w:rFonts w:ascii="Palatino Linotype" w:eastAsia="Palatino Linotype" w:hAnsi="Palatino Linotype" w:cs="Palatino Linotype"/>
                <w:sz w:val="20"/>
                <w:szCs w:val="20"/>
              </w:rPr>
              <w:t xml:space="preserve"> de las licencias localizadas, se advierte que se encuentran en incorrecta versión pública </w:t>
            </w:r>
          </w:p>
        </w:tc>
      </w:tr>
      <w:tr w:rsidR="0062028D" w:rsidRPr="00E7469C" w14:paraId="6EEC8C6C" w14:textId="77777777">
        <w:tc>
          <w:tcPr>
            <w:tcW w:w="562" w:type="dxa"/>
            <w:tcBorders>
              <w:top w:val="single" w:sz="4" w:space="0" w:color="000000"/>
              <w:left w:val="single" w:sz="4" w:space="0" w:color="000000"/>
              <w:bottom w:val="single" w:sz="4" w:space="0" w:color="000000"/>
              <w:right w:val="single" w:sz="4" w:space="0" w:color="000000"/>
            </w:tcBorders>
          </w:tcPr>
          <w:p w14:paraId="2A3C7F6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4</w:t>
            </w:r>
          </w:p>
        </w:tc>
        <w:tc>
          <w:tcPr>
            <w:tcW w:w="1418" w:type="dxa"/>
            <w:tcBorders>
              <w:top w:val="single" w:sz="4" w:space="0" w:color="000000"/>
              <w:left w:val="single" w:sz="4" w:space="0" w:color="000000"/>
              <w:bottom w:val="single" w:sz="4" w:space="0" w:color="000000"/>
              <w:right w:val="single" w:sz="4" w:space="0" w:color="000000"/>
            </w:tcBorders>
          </w:tcPr>
          <w:p w14:paraId="6DEF8AA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bookmarkStart w:id="6" w:name="_heading=h.62daqdv1yxqy" w:colFirst="0" w:colLast="0"/>
            <w:bookmarkEnd w:id="6"/>
            <w:r w:rsidRPr="00E7469C">
              <w:rPr>
                <w:rFonts w:ascii="Palatino Linotype" w:eastAsia="Palatino Linotype" w:hAnsi="Palatino Linotype" w:cs="Palatino Linotype"/>
                <w:sz w:val="20"/>
                <w:szCs w:val="20"/>
              </w:rPr>
              <w:t>Licencias de Funcionamiento que se dieron en 2022, 2023, 2024 y 2025, en versión pública</w:t>
            </w:r>
          </w:p>
        </w:tc>
        <w:tc>
          <w:tcPr>
            <w:tcW w:w="3260" w:type="dxa"/>
            <w:vMerge/>
            <w:tcBorders>
              <w:top w:val="single" w:sz="4" w:space="0" w:color="000000"/>
              <w:left w:val="single" w:sz="4" w:space="0" w:color="000000"/>
              <w:right w:val="single" w:sz="4" w:space="0" w:color="000000"/>
            </w:tcBorders>
          </w:tcPr>
          <w:p w14:paraId="19A6D70D"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5" w:type="dxa"/>
            <w:vMerge/>
            <w:tcBorders>
              <w:top w:val="single" w:sz="4" w:space="0" w:color="000000"/>
              <w:left w:val="single" w:sz="4" w:space="0" w:color="000000"/>
              <w:right w:val="single" w:sz="4" w:space="0" w:color="000000"/>
            </w:tcBorders>
          </w:tcPr>
          <w:p w14:paraId="3094D1FC"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4" w:type="dxa"/>
            <w:vMerge/>
            <w:tcBorders>
              <w:top w:val="single" w:sz="4" w:space="0" w:color="000000"/>
              <w:left w:val="single" w:sz="4" w:space="0" w:color="000000"/>
              <w:right w:val="single" w:sz="4" w:space="0" w:color="000000"/>
            </w:tcBorders>
          </w:tcPr>
          <w:p w14:paraId="5848763B"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62028D" w:rsidRPr="00E7469C" w14:paraId="54F0D769" w14:textId="77777777">
        <w:tc>
          <w:tcPr>
            <w:tcW w:w="562" w:type="dxa"/>
            <w:tcBorders>
              <w:top w:val="single" w:sz="4" w:space="0" w:color="000000"/>
              <w:left w:val="single" w:sz="4" w:space="0" w:color="000000"/>
              <w:bottom w:val="single" w:sz="4" w:space="0" w:color="000000"/>
              <w:right w:val="single" w:sz="4" w:space="0" w:color="000000"/>
            </w:tcBorders>
          </w:tcPr>
          <w:p w14:paraId="03D40705"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781E00F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Nómina general de la última quincena del año 2024 y de la segunda quincena de febrero del año 2025 (incluyendo seguridad pública, mandos medios y superiores y </w:t>
            </w:r>
            <w:r w:rsidRPr="00E7469C">
              <w:rPr>
                <w:rFonts w:ascii="Palatino Linotype" w:eastAsia="Palatino Linotype" w:hAnsi="Palatino Linotype" w:cs="Palatino Linotype"/>
                <w:sz w:val="20"/>
                <w:szCs w:val="20"/>
              </w:rPr>
              <w:lastRenderedPageBreak/>
              <w:t>síndicos, regidores y presidenta o presidente)</w:t>
            </w:r>
          </w:p>
        </w:tc>
        <w:tc>
          <w:tcPr>
            <w:tcW w:w="3260" w:type="dxa"/>
            <w:vMerge w:val="restart"/>
            <w:tcBorders>
              <w:top w:val="single" w:sz="4" w:space="0" w:color="000000"/>
              <w:left w:val="single" w:sz="4" w:space="0" w:color="000000"/>
              <w:right w:val="single" w:sz="4" w:space="0" w:color="000000"/>
            </w:tcBorders>
          </w:tcPr>
          <w:p w14:paraId="3218D04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 xml:space="preserve">El Tesorero Municipal informó la entrega del Listado de nómina de los servidores públicos del Municipio de Atlacomulco correspondientes a la segunda quincena de diciembre de 2024. </w:t>
            </w:r>
          </w:p>
          <w:p w14:paraId="7CFA78F9"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2FFFD21B"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3FBB4AF5" wp14:editId="0F376369">
                  <wp:extent cx="2148470" cy="789684"/>
                  <wp:effectExtent l="0" t="0" r="0" b="0"/>
                  <wp:docPr id="21449236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2148470" cy="789684"/>
                          </a:xfrm>
                          <a:prstGeom prst="rect">
                            <a:avLst/>
                          </a:prstGeom>
                          <a:ln/>
                        </pic:spPr>
                      </pic:pic>
                    </a:graphicData>
                  </a:graphic>
                </wp:inline>
              </w:drawing>
            </w:r>
          </w:p>
          <w:p w14:paraId="042C3426"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2ED93D3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Aunado a ello informó la entrega en versión publica del Listado de </w:t>
            </w:r>
            <w:r w:rsidRPr="00E7469C">
              <w:rPr>
                <w:rFonts w:ascii="Palatino Linotype" w:eastAsia="Palatino Linotype" w:hAnsi="Palatino Linotype" w:cs="Palatino Linotype"/>
                <w:sz w:val="20"/>
                <w:szCs w:val="20"/>
              </w:rPr>
              <w:lastRenderedPageBreak/>
              <w:t>nómina de los servidores públicos que laboran en las áreas que comprende el Municipio de Atlacomulco correspondiente a la segunda de febrero de 2025, documento donde están incluidas las áreas solicitadas por el ciudadano.</w:t>
            </w:r>
          </w:p>
          <w:p w14:paraId="5F0E55A6"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5AED74C8" wp14:editId="62A5FAFD">
                  <wp:extent cx="1989209" cy="620799"/>
                  <wp:effectExtent l="0" t="0" r="0" b="0"/>
                  <wp:docPr id="2144923629" name="image11.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10;&#10;El contenido generado por IA puede ser incorrecto."/>
                          <pic:cNvPicPr preferRelativeResize="0"/>
                        </pic:nvPicPr>
                        <pic:blipFill>
                          <a:blip r:embed="rId40"/>
                          <a:srcRect/>
                          <a:stretch>
                            <a:fillRect/>
                          </a:stretch>
                        </pic:blipFill>
                        <pic:spPr>
                          <a:xfrm>
                            <a:off x="0" y="0"/>
                            <a:ext cx="1989209" cy="620799"/>
                          </a:xfrm>
                          <a:prstGeom prst="rect">
                            <a:avLst/>
                          </a:prstGeom>
                          <a:ln/>
                        </pic:spPr>
                      </pic:pic>
                    </a:graphicData>
                  </a:graphic>
                </wp:inline>
              </w:drawing>
            </w:r>
          </w:p>
          <w:p w14:paraId="43F8A60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14:paraId="3505795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tc>
        <w:tc>
          <w:tcPr>
            <w:tcW w:w="1984" w:type="dxa"/>
            <w:vMerge w:val="restart"/>
            <w:tcBorders>
              <w:top w:val="single" w:sz="4" w:space="0" w:color="000000"/>
              <w:left w:val="single" w:sz="4" w:space="0" w:color="000000"/>
              <w:right w:val="single" w:sz="4" w:space="0" w:color="000000"/>
            </w:tcBorders>
          </w:tcPr>
          <w:p w14:paraId="2E0DA81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Parcialmente</w:t>
            </w:r>
          </w:p>
          <w:p w14:paraId="5CF598B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Si bien remite el listado de todos los servidores públicos del Ayuntamiento, (incluidos mandos medios superiores, presidencia, sindicatura, regidurías, personal de seguridad pública, contraloría y administración) en el que se advierte la remuneración </w:t>
            </w:r>
            <w:r w:rsidRPr="00E7469C">
              <w:rPr>
                <w:rFonts w:ascii="Palatino Linotype" w:eastAsia="Palatino Linotype" w:hAnsi="Palatino Linotype" w:cs="Palatino Linotype"/>
                <w:sz w:val="20"/>
                <w:szCs w:val="20"/>
              </w:rPr>
              <w:lastRenderedPageBreak/>
              <w:t>neta quincenal, lo cierto es que testó información que es publica, como lo es el cargo, aunado a que no se advierten percepciones brutas y deducciones.</w:t>
            </w:r>
          </w:p>
        </w:tc>
      </w:tr>
      <w:tr w:rsidR="0062028D" w:rsidRPr="00E7469C" w14:paraId="7DEC75E6" w14:textId="77777777">
        <w:tc>
          <w:tcPr>
            <w:tcW w:w="562" w:type="dxa"/>
            <w:tcBorders>
              <w:top w:val="single" w:sz="4" w:space="0" w:color="000000"/>
              <w:left w:val="single" w:sz="4" w:space="0" w:color="000000"/>
              <w:bottom w:val="single" w:sz="4" w:space="0" w:color="000000"/>
              <w:right w:val="single" w:sz="4" w:space="0" w:color="000000"/>
            </w:tcBorders>
          </w:tcPr>
          <w:p w14:paraId="3684A7B1"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6</w:t>
            </w:r>
          </w:p>
        </w:tc>
        <w:tc>
          <w:tcPr>
            <w:tcW w:w="1418" w:type="dxa"/>
            <w:tcBorders>
              <w:top w:val="single" w:sz="4" w:space="0" w:color="000000"/>
              <w:left w:val="single" w:sz="4" w:space="0" w:color="000000"/>
              <w:bottom w:val="single" w:sz="4" w:space="0" w:color="000000"/>
              <w:right w:val="single" w:sz="4" w:space="0" w:color="000000"/>
            </w:tcBorders>
          </w:tcPr>
          <w:p w14:paraId="1A22154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Nómina de todo el personal de contraloría, administración</w:t>
            </w:r>
          </w:p>
        </w:tc>
        <w:tc>
          <w:tcPr>
            <w:tcW w:w="3260" w:type="dxa"/>
            <w:vMerge/>
            <w:tcBorders>
              <w:top w:val="single" w:sz="4" w:space="0" w:color="000000"/>
              <w:left w:val="single" w:sz="4" w:space="0" w:color="000000"/>
              <w:right w:val="single" w:sz="4" w:space="0" w:color="000000"/>
            </w:tcBorders>
          </w:tcPr>
          <w:p w14:paraId="2896444B"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27C6B76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Ratificó su respuesta</w:t>
            </w:r>
          </w:p>
        </w:tc>
        <w:tc>
          <w:tcPr>
            <w:tcW w:w="1984" w:type="dxa"/>
            <w:vMerge/>
            <w:tcBorders>
              <w:top w:val="single" w:sz="4" w:space="0" w:color="000000"/>
              <w:left w:val="single" w:sz="4" w:space="0" w:color="000000"/>
              <w:right w:val="single" w:sz="4" w:space="0" w:color="000000"/>
            </w:tcBorders>
          </w:tcPr>
          <w:p w14:paraId="0D75DEAE"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62028D" w:rsidRPr="00E7469C" w14:paraId="0B6E97AA" w14:textId="77777777">
        <w:tc>
          <w:tcPr>
            <w:tcW w:w="562" w:type="dxa"/>
            <w:tcBorders>
              <w:top w:val="single" w:sz="4" w:space="0" w:color="000000"/>
              <w:left w:val="single" w:sz="4" w:space="0" w:color="000000"/>
              <w:bottom w:val="single" w:sz="4" w:space="0" w:color="000000"/>
              <w:right w:val="single" w:sz="4" w:space="0" w:color="000000"/>
            </w:tcBorders>
          </w:tcPr>
          <w:p w14:paraId="7373FDB3"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7</w:t>
            </w:r>
          </w:p>
        </w:tc>
        <w:tc>
          <w:tcPr>
            <w:tcW w:w="1418" w:type="dxa"/>
            <w:tcBorders>
              <w:top w:val="single" w:sz="4" w:space="0" w:color="000000"/>
              <w:left w:val="single" w:sz="4" w:space="0" w:color="000000"/>
              <w:bottom w:val="single" w:sz="4" w:space="0" w:color="000000"/>
              <w:right w:val="single" w:sz="4" w:space="0" w:color="000000"/>
            </w:tcBorders>
          </w:tcPr>
          <w:p w14:paraId="43D8B3B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Porque su portal de mejora regulatoria de transparencia (IPOMEX) no se encuentra actualizado y el motivo</w:t>
            </w:r>
          </w:p>
        </w:tc>
        <w:tc>
          <w:tcPr>
            <w:tcW w:w="3260" w:type="dxa"/>
            <w:tcBorders>
              <w:top w:val="single" w:sz="4" w:space="0" w:color="000000"/>
              <w:left w:val="single" w:sz="4" w:space="0" w:color="000000"/>
              <w:bottom w:val="single" w:sz="4" w:space="0" w:color="000000"/>
              <w:right w:val="single" w:sz="4" w:space="0" w:color="000000"/>
            </w:tcBorders>
          </w:tcPr>
          <w:p w14:paraId="6B7243E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No realizó algún pronunciamiento </w:t>
            </w:r>
          </w:p>
        </w:tc>
        <w:tc>
          <w:tcPr>
            <w:tcW w:w="1985" w:type="dxa"/>
            <w:tcBorders>
              <w:top w:val="single" w:sz="4" w:space="0" w:color="000000"/>
              <w:left w:val="single" w:sz="4" w:space="0" w:color="000000"/>
              <w:bottom w:val="single" w:sz="4" w:space="0" w:color="000000"/>
              <w:right w:val="single" w:sz="4" w:space="0" w:color="000000"/>
            </w:tcBorders>
          </w:tcPr>
          <w:p w14:paraId="19A49E8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No realizó algún pronunciamiento</w:t>
            </w:r>
          </w:p>
        </w:tc>
        <w:tc>
          <w:tcPr>
            <w:tcW w:w="1984" w:type="dxa"/>
            <w:tcBorders>
              <w:top w:val="single" w:sz="4" w:space="0" w:color="000000"/>
              <w:left w:val="single" w:sz="4" w:space="0" w:color="000000"/>
              <w:bottom w:val="single" w:sz="4" w:space="0" w:color="000000"/>
              <w:right w:val="single" w:sz="4" w:space="0" w:color="000000"/>
            </w:tcBorders>
          </w:tcPr>
          <w:p w14:paraId="5B62B38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 xml:space="preserve">Derecho de petición </w:t>
            </w:r>
          </w:p>
          <w:p w14:paraId="748E200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tc>
      </w:tr>
      <w:tr w:rsidR="0062028D" w:rsidRPr="00E7469C" w14:paraId="213086BB" w14:textId="77777777">
        <w:trPr>
          <w:trHeight w:val="2656"/>
        </w:trPr>
        <w:tc>
          <w:tcPr>
            <w:tcW w:w="562" w:type="dxa"/>
            <w:tcBorders>
              <w:top w:val="single" w:sz="4" w:space="0" w:color="000000"/>
              <w:left w:val="single" w:sz="4" w:space="0" w:color="000000"/>
              <w:bottom w:val="single" w:sz="4" w:space="0" w:color="000000"/>
              <w:right w:val="single" w:sz="4" w:space="0" w:color="000000"/>
            </w:tcBorders>
          </w:tcPr>
          <w:p w14:paraId="2CBD0B6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8</w:t>
            </w:r>
          </w:p>
        </w:tc>
        <w:tc>
          <w:tcPr>
            <w:tcW w:w="1418" w:type="dxa"/>
            <w:tcBorders>
              <w:top w:val="single" w:sz="4" w:space="0" w:color="000000"/>
              <w:left w:val="single" w:sz="4" w:space="0" w:color="000000"/>
              <w:bottom w:val="single" w:sz="4" w:space="0" w:color="000000"/>
              <w:right w:val="single" w:sz="4" w:space="0" w:color="000000"/>
            </w:tcBorders>
          </w:tcPr>
          <w:p w14:paraId="6B6A720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Todas la cedulas de trámites y servicios con los que cuenta en municipio</w:t>
            </w:r>
          </w:p>
        </w:tc>
        <w:tc>
          <w:tcPr>
            <w:tcW w:w="3260" w:type="dxa"/>
            <w:tcBorders>
              <w:top w:val="single" w:sz="4" w:space="0" w:color="000000"/>
              <w:left w:val="single" w:sz="4" w:space="0" w:color="000000"/>
              <w:bottom w:val="single" w:sz="4" w:space="0" w:color="000000"/>
              <w:right w:val="single" w:sz="4" w:space="0" w:color="000000"/>
            </w:tcBorders>
          </w:tcPr>
          <w:p w14:paraId="6DA5AF6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El Coordinador General Municipal de Mejora Regulatoria informó que, la información referente a las Cédulas en formato PDF de los Trámites y Servicios con los que cuenta el Municipio puede ser consultada y descargada en las siguientes ligas electrónicas:</w:t>
            </w:r>
          </w:p>
          <w:p w14:paraId="08466D5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149AB00D" wp14:editId="0D60AB08">
                  <wp:extent cx="2113280" cy="248920"/>
                  <wp:effectExtent l="0" t="0" r="0" b="0"/>
                  <wp:docPr id="21449236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113280" cy="248920"/>
                          </a:xfrm>
                          <a:prstGeom prst="rect">
                            <a:avLst/>
                          </a:prstGeom>
                          <a:ln/>
                        </pic:spPr>
                      </pic:pic>
                    </a:graphicData>
                  </a:graphic>
                </wp:inline>
              </w:drawing>
            </w:r>
            <w:r w:rsidRPr="00E7469C">
              <w:rPr>
                <w:rFonts w:ascii="Palatino Linotype" w:eastAsia="Palatino Linotype" w:hAnsi="Palatino Linotype" w:cs="Palatino Linotype"/>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0DE612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Ratificó su respuesta </w:t>
            </w:r>
          </w:p>
        </w:tc>
        <w:tc>
          <w:tcPr>
            <w:tcW w:w="1984" w:type="dxa"/>
            <w:tcBorders>
              <w:top w:val="single" w:sz="4" w:space="0" w:color="000000"/>
              <w:left w:val="single" w:sz="4" w:space="0" w:color="000000"/>
              <w:bottom w:val="single" w:sz="4" w:space="0" w:color="000000"/>
              <w:right w:val="single" w:sz="4" w:space="0" w:color="000000"/>
            </w:tcBorders>
          </w:tcPr>
          <w:p w14:paraId="3E40E86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No Colmó</w:t>
            </w:r>
          </w:p>
          <w:p w14:paraId="5B1FD6AF" w14:textId="77777777" w:rsidR="002377F0" w:rsidRPr="00E7469C" w:rsidRDefault="002377F0">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p>
          <w:p w14:paraId="6F7BE4AB"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Las ligas se remitieron en formato cerrado </w:t>
            </w:r>
          </w:p>
          <w:p w14:paraId="7F005FF0"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4C6D8913"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r>
      <w:tr w:rsidR="0062028D" w:rsidRPr="00E7469C" w14:paraId="6F435B9B" w14:textId="77777777">
        <w:tc>
          <w:tcPr>
            <w:tcW w:w="562" w:type="dxa"/>
            <w:tcBorders>
              <w:top w:val="single" w:sz="4" w:space="0" w:color="000000"/>
              <w:left w:val="single" w:sz="4" w:space="0" w:color="000000"/>
              <w:bottom w:val="single" w:sz="4" w:space="0" w:color="000000"/>
              <w:right w:val="single" w:sz="4" w:space="0" w:color="000000"/>
            </w:tcBorders>
          </w:tcPr>
          <w:p w14:paraId="5DAD6BD4"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9</w:t>
            </w:r>
          </w:p>
        </w:tc>
        <w:tc>
          <w:tcPr>
            <w:tcW w:w="1418" w:type="dxa"/>
            <w:tcBorders>
              <w:top w:val="single" w:sz="4" w:space="0" w:color="000000"/>
              <w:left w:val="single" w:sz="4" w:space="0" w:color="000000"/>
              <w:bottom w:val="single" w:sz="4" w:space="0" w:color="000000"/>
              <w:right w:val="single" w:sz="4" w:space="0" w:color="000000"/>
            </w:tcBorders>
          </w:tcPr>
          <w:p w14:paraId="610E912F"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Todas la cedulas de datos personales con </w:t>
            </w:r>
            <w:proofErr w:type="gramStart"/>
            <w:r w:rsidRPr="00E7469C">
              <w:rPr>
                <w:rFonts w:ascii="Palatino Linotype" w:eastAsia="Palatino Linotype" w:hAnsi="Palatino Linotype" w:cs="Palatino Linotype"/>
                <w:sz w:val="20"/>
                <w:szCs w:val="20"/>
              </w:rPr>
              <w:t>sus anexo</w:t>
            </w:r>
            <w:proofErr w:type="gramEnd"/>
            <w:r w:rsidRPr="00E7469C">
              <w:rPr>
                <w:rFonts w:ascii="Palatino Linotype" w:eastAsia="Palatino Linotype" w:hAnsi="Palatino Linotype" w:cs="Palatino Linotype"/>
                <w:sz w:val="20"/>
                <w:szCs w:val="20"/>
              </w:rPr>
              <w:t xml:space="preserve"> </w:t>
            </w:r>
            <w:proofErr w:type="gramStart"/>
            <w:r w:rsidRPr="00E7469C">
              <w:rPr>
                <w:rFonts w:ascii="Palatino Linotype" w:eastAsia="Palatino Linotype" w:hAnsi="Palatino Linotype" w:cs="Palatino Linotype"/>
                <w:sz w:val="20"/>
                <w:szCs w:val="20"/>
              </w:rPr>
              <w:t>de acuerdo a</w:t>
            </w:r>
            <w:proofErr w:type="gramEnd"/>
            <w:r w:rsidRPr="00E7469C">
              <w:rPr>
                <w:rFonts w:ascii="Palatino Linotype" w:eastAsia="Palatino Linotype" w:hAnsi="Palatino Linotype" w:cs="Palatino Linotype"/>
                <w:sz w:val="20"/>
                <w:szCs w:val="20"/>
              </w:rPr>
              <w:t xml:space="preserve"> lo establecido en la Ley de protección de datos personales</w:t>
            </w:r>
          </w:p>
        </w:tc>
        <w:tc>
          <w:tcPr>
            <w:tcW w:w="3260" w:type="dxa"/>
            <w:tcBorders>
              <w:top w:val="single" w:sz="4" w:space="0" w:color="000000"/>
              <w:left w:val="single" w:sz="4" w:space="0" w:color="000000"/>
              <w:bottom w:val="single" w:sz="4" w:space="0" w:color="000000"/>
              <w:right w:val="single" w:sz="4" w:space="0" w:color="000000"/>
            </w:tcBorders>
          </w:tcPr>
          <w:p w14:paraId="06E4AAD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La Unidad de Transparencia informó la entrega del Listado de Base de Datos Personales del Ayuntamiento de Atlacomulco</w:t>
            </w:r>
          </w:p>
          <w:p w14:paraId="0D7BC49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508E103F" wp14:editId="75121F85">
                  <wp:extent cx="2159635" cy="1665605"/>
                  <wp:effectExtent l="0" t="0" r="0" b="0"/>
                  <wp:docPr id="2144923631" name="image1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9.png" descr="Tabla&#10;&#10;El contenido generado por IA puede ser incorrecto."/>
                          <pic:cNvPicPr preferRelativeResize="0"/>
                        </pic:nvPicPr>
                        <pic:blipFill>
                          <a:blip r:embed="rId42"/>
                          <a:srcRect/>
                          <a:stretch>
                            <a:fillRect/>
                          </a:stretch>
                        </pic:blipFill>
                        <pic:spPr>
                          <a:xfrm>
                            <a:off x="0" y="0"/>
                            <a:ext cx="2159635" cy="1665605"/>
                          </a:xfrm>
                          <a:prstGeom prst="rect">
                            <a:avLst/>
                          </a:prstGeom>
                          <a:ln/>
                        </pic:spPr>
                      </pic:pic>
                    </a:graphicData>
                  </a:graphic>
                </wp:inline>
              </w:drawing>
            </w:r>
          </w:p>
          <w:p w14:paraId="60329D31"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10C538B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791CBA9C"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Parcialmente</w:t>
            </w:r>
          </w:p>
          <w:p w14:paraId="5E2FEA7B"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Si bien, el Sujeto Obligado remitió información relacionada con lo solicitado, al referir las cédulas con las que cuenta, también lo es que, la parte Recurrente solicitó las cédulas como tal, no una relación.</w:t>
            </w:r>
          </w:p>
        </w:tc>
      </w:tr>
      <w:tr w:rsidR="0062028D" w:rsidRPr="00E7469C" w14:paraId="399A8154" w14:textId="77777777">
        <w:tc>
          <w:tcPr>
            <w:tcW w:w="562" w:type="dxa"/>
            <w:tcBorders>
              <w:top w:val="single" w:sz="4" w:space="0" w:color="000000"/>
              <w:left w:val="single" w:sz="4" w:space="0" w:color="000000"/>
              <w:bottom w:val="single" w:sz="4" w:space="0" w:color="000000"/>
              <w:right w:val="single" w:sz="4" w:space="0" w:color="000000"/>
            </w:tcBorders>
          </w:tcPr>
          <w:p w14:paraId="061E2ADE"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10</w:t>
            </w:r>
          </w:p>
        </w:tc>
        <w:tc>
          <w:tcPr>
            <w:tcW w:w="1418" w:type="dxa"/>
            <w:tcBorders>
              <w:top w:val="single" w:sz="4" w:space="0" w:color="000000"/>
              <w:left w:val="single" w:sz="4" w:space="0" w:color="000000"/>
              <w:bottom w:val="single" w:sz="4" w:space="0" w:color="000000"/>
              <w:right w:val="single" w:sz="4" w:space="0" w:color="000000"/>
            </w:tcBorders>
          </w:tcPr>
          <w:p w14:paraId="4E5F4D4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Los programas del municipio, así como, su plan de desarrollo municipal</w:t>
            </w:r>
          </w:p>
        </w:tc>
        <w:tc>
          <w:tcPr>
            <w:tcW w:w="3260" w:type="dxa"/>
            <w:tcBorders>
              <w:top w:val="single" w:sz="4" w:space="0" w:color="000000"/>
              <w:left w:val="single" w:sz="4" w:space="0" w:color="000000"/>
              <w:bottom w:val="single" w:sz="4" w:space="0" w:color="000000"/>
              <w:right w:val="single" w:sz="4" w:space="0" w:color="000000"/>
            </w:tcBorders>
          </w:tcPr>
          <w:p w14:paraId="39258E3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b/>
                <w:sz w:val="20"/>
                <w:szCs w:val="20"/>
              </w:rPr>
              <w:t>Director</w:t>
            </w:r>
            <w:proofErr w:type="gramEnd"/>
            <w:r w:rsidRPr="00E7469C">
              <w:rPr>
                <w:rFonts w:ascii="Palatino Linotype" w:eastAsia="Palatino Linotype" w:hAnsi="Palatino Linotype" w:cs="Palatino Linotype"/>
                <w:b/>
                <w:sz w:val="20"/>
                <w:szCs w:val="20"/>
              </w:rPr>
              <w:t xml:space="preserve"> de Ecología</w:t>
            </w:r>
            <w:r w:rsidRPr="00E7469C">
              <w:rPr>
                <w:rFonts w:ascii="Palatino Linotype" w:eastAsia="Palatino Linotype" w:hAnsi="Palatino Linotype" w:cs="Palatino Linotype"/>
                <w:sz w:val="20"/>
                <w:szCs w:val="20"/>
              </w:rPr>
              <w:t xml:space="preserve"> informó que </w:t>
            </w:r>
            <w:proofErr w:type="gramStart"/>
            <w:r w:rsidRPr="00E7469C">
              <w:rPr>
                <w:rFonts w:ascii="Palatino Linotype" w:eastAsia="Palatino Linotype" w:hAnsi="Palatino Linotype" w:cs="Palatino Linotype"/>
                <w:sz w:val="20"/>
                <w:szCs w:val="20"/>
              </w:rPr>
              <w:t>de acuerdo a</w:t>
            </w:r>
            <w:proofErr w:type="gramEnd"/>
            <w:r w:rsidRPr="00E7469C">
              <w:rPr>
                <w:rFonts w:ascii="Palatino Linotype" w:eastAsia="Palatino Linotype" w:hAnsi="Palatino Linotype" w:cs="Palatino Linotype"/>
                <w:sz w:val="20"/>
                <w:szCs w:val="20"/>
              </w:rPr>
              <w:t xml:space="preserve"> las facultades en materia de medio ambiente que el Bando Municipal 2025 estipula en el artículo 209, no gestiona ni entrega programas sociales.</w:t>
            </w:r>
          </w:p>
          <w:p w14:paraId="70CCB402"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7822922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b/>
                <w:sz w:val="20"/>
                <w:szCs w:val="20"/>
              </w:rPr>
              <w:t>Directora</w:t>
            </w:r>
            <w:proofErr w:type="gramEnd"/>
            <w:r w:rsidRPr="00E7469C">
              <w:rPr>
                <w:rFonts w:ascii="Palatino Linotype" w:eastAsia="Palatino Linotype" w:hAnsi="Palatino Linotype" w:cs="Palatino Linotype"/>
                <w:b/>
                <w:sz w:val="20"/>
                <w:szCs w:val="20"/>
              </w:rPr>
              <w:t xml:space="preserve"> de Bienestar Social</w:t>
            </w:r>
            <w:r w:rsidRPr="00E7469C">
              <w:rPr>
                <w:rFonts w:ascii="Palatino Linotype" w:eastAsia="Palatino Linotype" w:hAnsi="Palatino Linotype" w:cs="Palatino Linotype"/>
                <w:sz w:val="20"/>
                <w:szCs w:val="20"/>
              </w:rPr>
              <w:t xml:space="preserve"> informó </w:t>
            </w:r>
            <w:proofErr w:type="gramStart"/>
            <w:r w:rsidRPr="00E7469C">
              <w:rPr>
                <w:rFonts w:ascii="Palatino Linotype" w:eastAsia="Palatino Linotype" w:hAnsi="Palatino Linotype" w:cs="Palatino Linotype"/>
                <w:sz w:val="20"/>
                <w:szCs w:val="20"/>
              </w:rPr>
              <w:t>que</w:t>
            </w:r>
            <w:proofErr w:type="gramEnd"/>
            <w:r w:rsidRPr="00E7469C">
              <w:rPr>
                <w:rFonts w:ascii="Palatino Linotype" w:eastAsia="Palatino Linotype" w:hAnsi="Palatino Linotype" w:cs="Palatino Linotype"/>
                <w:sz w:val="20"/>
                <w:szCs w:val="20"/>
              </w:rPr>
              <w:t xml:space="preserve"> a la fecha, no existen programas vigentes. </w:t>
            </w:r>
          </w:p>
          <w:p w14:paraId="614D0149"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62372CC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b/>
                <w:sz w:val="20"/>
                <w:szCs w:val="20"/>
              </w:rPr>
              <w:t>Directora</w:t>
            </w:r>
            <w:proofErr w:type="gramEnd"/>
            <w:r w:rsidRPr="00E7469C">
              <w:rPr>
                <w:rFonts w:ascii="Palatino Linotype" w:eastAsia="Palatino Linotype" w:hAnsi="Palatino Linotype" w:cs="Palatino Linotype"/>
                <w:b/>
                <w:sz w:val="20"/>
                <w:szCs w:val="20"/>
              </w:rPr>
              <w:t xml:space="preserve"> de las Mujeres</w:t>
            </w:r>
            <w:r w:rsidRPr="00E7469C">
              <w:rPr>
                <w:rFonts w:ascii="Palatino Linotype" w:eastAsia="Palatino Linotype" w:hAnsi="Palatino Linotype" w:cs="Palatino Linotype"/>
                <w:sz w:val="20"/>
                <w:szCs w:val="20"/>
              </w:rPr>
              <w:t xml:space="preserve"> informó que no cuenta con un programa establecido. </w:t>
            </w:r>
          </w:p>
          <w:p w14:paraId="79BCBCC7"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58A3283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b/>
                <w:sz w:val="20"/>
                <w:szCs w:val="20"/>
              </w:rPr>
              <w:t>Directora</w:t>
            </w:r>
            <w:proofErr w:type="gramEnd"/>
            <w:r w:rsidRPr="00E7469C">
              <w:rPr>
                <w:rFonts w:ascii="Palatino Linotype" w:eastAsia="Palatino Linotype" w:hAnsi="Palatino Linotype" w:cs="Palatino Linotype"/>
                <w:b/>
                <w:sz w:val="20"/>
                <w:szCs w:val="20"/>
              </w:rPr>
              <w:t xml:space="preserve"> de Desarrollo Económico</w:t>
            </w:r>
            <w:r w:rsidRPr="00E7469C">
              <w:rPr>
                <w:rFonts w:ascii="Palatino Linotype" w:eastAsia="Palatino Linotype" w:hAnsi="Palatino Linotype" w:cs="Palatino Linotype"/>
                <w:sz w:val="20"/>
                <w:szCs w:val="20"/>
              </w:rPr>
              <w:t xml:space="preserve"> informó que </w:t>
            </w:r>
            <w:r w:rsidRPr="00E7469C">
              <w:rPr>
                <w:rFonts w:ascii="Palatino Linotype" w:eastAsia="Palatino Linotype" w:hAnsi="Palatino Linotype" w:cs="Palatino Linotype"/>
                <w:sz w:val="20"/>
                <w:szCs w:val="20"/>
              </w:rPr>
              <w:lastRenderedPageBreak/>
              <w:t xml:space="preserve">considerando que un programa es un conjunto de acciones y recursos que se implementan para alcanzar los objetivos de una política pública, financiados con recursos del presupuesto público y mecanismos de evaluación periódica; señalando que </w:t>
            </w:r>
            <w:r w:rsidRPr="00E7469C">
              <w:rPr>
                <w:rFonts w:ascii="Palatino Linotype" w:eastAsia="Palatino Linotype" w:hAnsi="Palatino Linotype" w:cs="Palatino Linotype"/>
                <w:b/>
                <w:sz w:val="20"/>
                <w:szCs w:val="20"/>
              </w:rPr>
              <w:t>no maneja ningún programa</w:t>
            </w:r>
            <w:r w:rsidRPr="00E7469C">
              <w:rPr>
                <w:rFonts w:ascii="Palatino Linotype" w:eastAsia="Palatino Linotype" w:hAnsi="Palatino Linotype" w:cs="Palatino Linotype"/>
                <w:sz w:val="20"/>
                <w:szCs w:val="20"/>
              </w:rPr>
              <w:t xml:space="preserve">; por otra </w:t>
            </w:r>
            <w:proofErr w:type="gramStart"/>
            <w:r w:rsidRPr="00E7469C">
              <w:rPr>
                <w:rFonts w:ascii="Palatino Linotype" w:eastAsia="Palatino Linotype" w:hAnsi="Palatino Linotype" w:cs="Palatino Linotype"/>
                <w:sz w:val="20"/>
                <w:szCs w:val="20"/>
              </w:rPr>
              <w:t>parte</w:t>
            </w:r>
            <w:proofErr w:type="gramEnd"/>
            <w:r w:rsidRPr="00E7469C">
              <w:rPr>
                <w:rFonts w:ascii="Palatino Linotype" w:eastAsia="Palatino Linotype" w:hAnsi="Palatino Linotype" w:cs="Palatino Linotype"/>
                <w:sz w:val="20"/>
                <w:szCs w:val="20"/>
              </w:rPr>
              <w:t xml:space="preserve"> refiere que el Plan de Desarrollo Municipal no es de su competencia. </w:t>
            </w:r>
          </w:p>
          <w:p w14:paraId="064B6F13"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16F0E74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r w:rsidRPr="00E7469C">
              <w:rPr>
                <w:rFonts w:ascii="Palatino Linotype" w:eastAsia="Palatino Linotype" w:hAnsi="Palatino Linotype" w:cs="Palatino Linotype"/>
                <w:b/>
                <w:sz w:val="20"/>
                <w:szCs w:val="20"/>
              </w:rPr>
              <w:t>Unidad de Información, Planeación, Programación y Evaluación</w:t>
            </w:r>
            <w:r w:rsidRPr="00E7469C">
              <w:rPr>
                <w:rFonts w:ascii="Palatino Linotype" w:eastAsia="Palatino Linotype" w:hAnsi="Palatino Linotype" w:cs="Palatino Linotype"/>
                <w:sz w:val="20"/>
                <w:szCs w:val="20"/>
              </w:rPr>
              <w:t xml:space="preserve"> informó </w:t>
            </w:r>
            <w:proofErr w:type="gramStart"/>
            <w:r w:rsidRPr="00E7469C">
              <w:rPr>
                <w:rFonts w:ascii="Palatino Linotype" w:eastAsia="Palatino Linotype" w:hAnsi="Palatino Linotype" w:cs="Palatino Linotype"/>
                <w:sz w:val="20"/>
                <w:szCs w:val="20"/>
              </w:rPr>
              <w:t>que</w:t>
            </w:r>
            <w:proofErr w:type="gramEnd"/>
            <w:r w:rsidRPr="00E7469C">
              <w:rPr>
                <w:rFonts w:ascii="Palatino Linotype" w:eastAsia="Palatino Linotype" w:hAnsi="Palatino Linotype" w:cs="Palatino Linotype"/>
                <w:sz w:val="20"/>
                <w:szCs w:val="20"/>
              </w:rPr>
              <w:t xml:space="preserve"> respecto a los Programas del Plan de Desarrollo Municipal, dicha unidad administrativa se encuentra en proceso de inscripción del Plan de Desarrollo Municipal 2025-2027 ante el Registro Estatal de Planes y Programas y en cuanto este registrado y aprobado será publicado en la página web oficial del Ayuntamiento de Atlacomulco.</w:t>
            </w:r>
          </w:p>
        </w:tc>
        <w:tc>
          <w:tcPr>
            <w:tcW w:w="1985" w:type="dxa"/>
            <w:tcBorders>
              <w:top w:val="single" w:sz="4" w:space="0" w:color="000000"/>
              <w:left w:val="single" w:sz="4" w:space="0" w:color="000000"/>
              <w:bottom w:val="single" w:sz="4" w:space="0" w:color="000000"/>
              <w:right w:val="single" w:sz="4" w:space="0" w:color="000000"/>
            </w:tcBorders>
          </w:tcPr>
          <w:p w14:paraId="32E4305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 xml:space="preserve">La Unidad de Información, Planeación, Programación y Evaluación modificó la respuesta entregada inicialmente, toda vez que ya quedo inscrito el Plan de Desarrollo Municipal de Atlacomulco 2025-2027 en el Registro Estatal de Planes y Programas, con el </w:t>
            </w:r>
            <w:r w:rsidRPr="00E7469C">
              <w:rPr>
                <w:rFonts w:ascii="Palatino Linotype" w:eastAsia="Palatino Linotype" w:hAnsi="Palatino Linotype" w:cs="Palatino Linotype"/>
                <w:sz w:val="20"/>
                <w:szCs w:val="20"/>
              </w:rPr>
              <w:lastRenderedPageBreak/>
              <w:t>número: REPP-SPM-PDM 2025-2027/024/020/2025, con fecha 28 de abril de 2025, adjuntando el Plan de Desarrollo Municipal de Atlacomulco 2025-2025, consistente en 325 fojas.</w:t>
            </w:r>
          </w:p>
          <w:p w14:paraId="771EFB8D"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7AA545C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53501AF7" wp14:editId="43275411">
                  <wp:extent cx="1130368" cy="1073235"/>
                  <wp:effectExtent l="0" t="0" r="0" b="0"/>
                  <wp:docPr id="21449236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1130368" cy="1073235"/>
                          </a:xfrm>
                          <a:prstGeom prst="rect">
                            <a:avLst/>
                          </a:prstGeom>
                          <a:ln/>
                        </pic:spPr>
                      </pic:pic>
                    </a:graphicData>
                  </a:graphic>
                </wp:inline>
              </w:drawing>
            </w:r>
          </w:p>
          <w:p w14:paraId="317309B6"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25484EEE"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208C2B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lastRenderedPageBreak/>
              <w:t>Parcialmente</w:t>
            </w:r>
          </w:p>
          <w:p w14:paraId="0522166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Referente a los programas se advierte que existen más áreas que pueden contar con información. </w:t>
            </w:r>
          </w:p>
          <w:p w14:paraId="07C180C7"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2575F73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En Informe Justificado hizo entrega del Plan de Desarrollo Municipal </w:t>
            </w:r>
          </w:p>
        </w:tc>
      </w:tr>
      <w:tr w:rsidR="0062028D" w:rsidRPr="00E7469C" w14:paraId="6E95B6DE" w14:textId="77777777">
        <w:tc>
          <w:tcPr>
            <w:tcW w:w="562" w:type="dxa"/>
            <w:tcBorders>
              <w:top w:val="single" w:sz="4" w:space="0" w:color="000000"/>
              <w:left w:val="single" w:sz="4" w:space="0" w:color="000000"/>
              <w:bottom w:val="single" w:sz="4" w:space="0" w:color="000000"/>
              <w:right w:val="single" w:sz="4" w:space="0" w:color="000000"/>
            </w:tcBorders>
          </w:tcPr>
          <w:p w14:paraId="776046C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11</w:t>
            </w:r>
          </w:p>
        </w:tc>
        <w:tc>
          <w:tcPr>
            <w:tcW w:w="1418" w:type="dxa"/>
            <w:tcBorders>
              <w:top w:val="single" w:sz="4" w:space="0" w:color="000000"/>
              <w:left w:val="single" w:sz="4" w:space="0" w:color="000000"/>
              <w:bottom w:val="single" w:sz="4" w:space="0" w:color="000000"/>
              <w:right w:val="single" w:sz="4" w:space="0" w:color="000000"/>
            </w:tcBorders>
          </w:tcPr>
          <w:p w14:paraId="4387791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Los contratos de la administración del 2025</w:t>
            </w:r>
          </w:p>
        </w:tc>
        <w:tc>
          <w:tcPr>
            <w:tcW w:w="3260" w:type="dxa"/>
            <w:vMerge w:val="restart"/>
            <w:tcBorders>
              <w:top w:val="single" w:sz="4" w:space="0" w:color="000000"/>
              <w:left w:val="single" w:sz="4" w:space="0" w:color="000000"/>
              <w:right w:val="single" w:sz="4" w:space="0" w:color="000000"/>
            </w:tcBorders>
          </w:tcPr>
          <w:p w14:paraId="3F3E121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r w:rsidRPr="00E7469C">
              <w:rPr>
                <w:rFonts w:ascii="Palatino Linotype" w:eastAsia="Palatino Linotype" w:hAnsi="Palatino Linotype" w:cs="Palatino Linotype"/>
                <w:b/>
                <w:sz w:val="20"/>
                <w:szCs w:val="20"/>
              </w:rPr>
              <w:t>Dirección de Administración</w:t>
            </w:r>
            <w:r w:rsidRPr="00E7469C">
              <w:rPr>
                <w:rFonts w:ascii="Palatino Linotype" w:eastAsia="Palatino Linotype" w:hAnsi="Palatino Linotype" w:cs="Palatino Linotype"/>
                <w:sz w:val="20"/>
                <w:szCs w:val="20"/>
              </w:rPr>
              <w:t xml:space="preserve"> informó la entrega de los contratos de la administración del 2025 que obran en el Departamento de Recursos Material y Adquisiciones hasta la fecha solicitada.</w:t>
            </w:r>
          </w:p>
          <w:p w14:paraId="4B490446"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Adjuntando los siguientes contratos: </w:t>
            </w:r>
          </w:p>
          <w:p w14:paraId="4B35DE4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Prestación de Servicios No. MA/CAYS/AD/RP/023/2025, de fecha veintidós de enero de dos mil veinticinco. </w:t>
            </w:r>
          </w:p>
          <w:p w14:paraId="6C9E06E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w:t>
            </w:r>
            <w:r w:rsidRPr="00E7469C">
              <w:rPr>
                <w:rFonts w:ascii="Palatino Linotype" w:eastAsia="Palatino Linotype" w:hAnsi="Palatino Linotype" w:cs="Palatino Linotype"/>
                <w:sz w:val="20"/>
                <w:szCs w:val="20"/>
              </w:rPr>
              <w:tab/>
              <w:t>Anexo del Contrato No. MA/CAYS/AD/RP/023/2025</w:t>
            </w:r>
          </w:p>
          <w:p w14:paraId="057B274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Adjudicación No. MA/CAYS/AD/RP/008/2025, de fecha dieciséis de febrero de dos mil veinticinco. </w:t>
            </w:r>
          </w:p>
          <w:p w14:paraId="609EAF86"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Anexo del Contrato No. MA/CAYS/AD/RP/008/2025</w:t>
            </w:r>
          </w:p>
          <w:p w14:paraId="42C094A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Prestación de Servicios No. MA/CAYS/AD/RP/021/2025, de fecha veintiocho de enero de dos mil veinticinco. </w:t>
            </w:r>
          </w:p>
          <w:p w14:paraId="71129C0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Anexo del Contrato No. MA/CAYS/AD/RP/021/2025</w:t>
            </w:r>
          </w:p>
          <w:p w14:paraId="71F7E96A"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Adjudicación No. MA/CAYS/AD/RP/012/2025, de fecha dieciséis de enero de dos mil veinticinco. </w:t>
            </w:r>
          </w:p>
          <w:p w14:paraId="4EC28EE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Adjudicación No. MA/CAYS/AD/RP/013/2025, de fecha diez de enero de dos mil veinticinco. </w:t>
            </w:r>
          </w:p>
          <w:p w14:paraId="18F1167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Anexo del Contrato No. MA/CAYS/AD/RP/013/2025</w:t>
            </w:r>
          </w:p>
          <w:p w14:paraId="73F70E2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Adjudicación No. MA/CAYS/AD/RP/014/2025, de fecha catorce de enero de dos mil veinticinco. </w:t>
            </w:r>
          </w:p>
          <w:p w14:paraId="67E68F8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Anexo del Contrato No. MA/CAYS/AD/RP/014/2025. </w:t>
            </w:r>
          </w:p>
          <w:p w14:paraId="131C67F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Contrato de Prestación de Servicios Financieros que celebra el Ayuntamiento de Atlacomulco con FINAGAM S.C. DE A.P., en fecha treinta y uno de enero de dos mil veintidós. </w:t>
            </w:r>
          </w:p>
          <w:p w14:paraId="43CE0EC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Convenio de Coordinación para Efectuar Retenciones en Nómina, derivadas de contratos individuales, voluntarios y optativos de seguros </w:t>
            </w:r>
            <w:r w:rsidRPr="00E7469C">
              <w:rPr>
                <w:rFonts w:ascii="Palatino Linotype" w:eastAsia="Palatino Linotype" w:hAnsi="Palatino Linotype" w:cs="Palatino Linotype"/>
                <w:sz w:val="20"/>
                <w:szCs w:val="20"/>
              </w:rPr>
              <w:lastRenderedPageBreak/>
              <w:t xml:space="preserve">que celebra el Ayuntamiento de Atlacomulco con Seguros Arcos, en fecha doce de enero de dos mil veintidós. </w:t>
            </w:r>
          </w:p>
          <w:p w14:paraId="5318E4A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Convenio de Colaboración de Pago de Prima de Seguro Individual Voluntario con Cargo a Nómina que celebra METLIFE MÉXICO, S.A. DE C.V., con el Ayuntamiento de Atlacomulco, en fecha primero de enero de dos mil veintidós. </w:t>
            </w:r>
          </w:p>
          <w:p w14:paraId="7D08624F"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Contrato de Prestación de Servicios Financieros que celebra FINAGAM S.C. DE A.P. DE R.L. DE C.V., con el Ayuntamiento de Atlacomulco, en fecha treinta y uno de enero de dos mil veinticinco.</w:t>
            </w:r>
          </w:p>
          <w:p w14:paraId="45B05EC5"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1A307EF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b/>
                <w:sz w:val="20"/>
                <w:szCs w:val="20"/>
              </w:rPr>
              <w:t>Director</w:t>
            </w:r>
            <w:proofErr w:type="gramEnd"/>
            <w:r w:rsidRPr="00E7469C">
              <w:rPr>
                <w:rFonts w:ascii="Palatino Linotype" w:eastAsia="Palatino Linotype" w:hAnsi="Palatino Linotype" w:cs="Palatino Linotype"/>
                <w:b/>
                <w:sz w:val="20"/>
                <w:szCs w:val="20"/>
              </w:rPr>
              <w:t xml:space="preserve"> de Obras Públicas</w:t>
            </w:r>
            <w:r w:rsidRPr="00E7469C">
              <w:rPr>
                <w:rFonts w:ascii="Palatino Linotype" w:eastAsia="Palatino Linotype" w:hAnsi="Palatino Linotype" w:cs="Palatino Linotype"/>
                <w:sz w:val="20"/>
                <w:szCs w:val="20"/>
              </w:rPr>
              <w:t xml:space="preserve"> informó que por el tipo de trámite administrativo que se lleva con respecto a la adjudicación de una obra, los contratos están expuestos a adiciones y modificaciones hasta la culminación de los trabajos, ya que puede haber modificación al plazo, monto y ajustes de costos, todo ello plasmado en el contrato dentro de sus cláusulas Octava, Novena y Décima, así como los posibles convenios modificatorios. La información solicitada se encuentra en integración y en cuanto se cuente con ella se hará entrega de </w:t>
            </w:r>
            <w:proofErr w:type="gramStart"/>
            <w:r w:rsidRPr="00E7469C">
              <w:rPr>
                <w:rFonts w:ascii="Palatino Linotype" w:eastAsia="Palatino Linotype" w:hAnsi="Palatino Linotype" w:cs="Palatino Linotype"/>
                <w:sz w:val="20"/>
                <w:szCs w:val="20"/>
              </w:rPr>
              <w:t>la misma</w:t>
            </w:r>
            <w:proofErr w:type="gramEnd"/>
            <w:r w:rsidRPr="00E7469C">
              <w:rPr>
                <w:rFonts w:ascii="Palatino Linotype" w:eastAsia="Palatino Linotype" w:hAnsi="Palatino Linotype" w:cs="Palatino Linotype"/>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14:paraId="5183839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3D5B80EF"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 xml:space="preserve">Parcialmente </w:t>
            </w:r>
          </w:p>
          <w:p w14:paraId="7A6E253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Falta la entrega de los contratos de la Dirección de Obras Públicas</w:t>
            </w:r>
          </w:p>
        </w:tc>
      </w:tr>
      <w:tr w:rsidR="0062028D" w:rsidRPr="00E7469C" w14:paraId="1744C6E2" w14:textId="77777777">
        <w:tc>
          <w:tcPr>
            <w:tcW w:w="562" w:type="dxa"/>
            <w:tcBorders>
              <w:top w:val="single" w:sz="4" w:space="0" w:color="000000"/>
              <w:left w:val="single" w:sz="4" w:space="0" w:color="000000"/>
              <w:bottom w:val="single" w:sz="4" w:space="0" w:color="000000"/>
              <w:right w:val="single" w:sz="4" w:space="0" w:color="000000"/>
            </w:tcBorders>
          </w:tcPr>
          <w:p w14:paraId="00955C69"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12</w:t>
            </w:r>
          </w:p>
        </w:tc>
        <w:tc>
          <w:tcPr>
            <w:tcW w:w="1418" w:type="dxa"/>
            <w:tcBorders>
              <w:top w:val="single" w:sz="4" w:space="0" w:color="000000"/>
              <w:left w:val="single" w:sz="4" w:space="0" w:color="000000"/>
              <w:bottom w:val="single" w:sz="4" w:space="0" w:color="000000"/>
              <w:right w:val="single" w:sz="4" w:space="0" w:color="000000"/>
            </w:tcBorders>
          </w:tcPr>
          <w:p w14:paraId="7D06E21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Todos los contratos de arrendamiento que se dieron en el 2022, 2023, 2024 y 2025</w:t>
            </w:r>
          </w:p>
        </w:tc>
        <w:tc>
          <w:tcPr>
            <w:tcW w:w="3260" w:type="dxa"/>
            <w:vMerge/>
            <w:tcBorders>
              <w:top w:val="single" w:sz="4" w:space="0" w:color="000000"/>
              <w:left w:val="single" w:sz="4" w:space="0" w:color="000000"/>
              <w:right w:val="single" w:sz="4" w:space="0" w:color="000000"/>
            </w:tcBorders>
          </w:tcPr>
          <w:p w14:paraId="0C1B6951"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12A3FDDA"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La Sindica Municipal manifestó bajo protesta de decir verdad no se realizaron contratos de arrendamiento en los años 2022, 2023, 2024 y 2025</w:t>
            </w:r>
          </w:p>
        </w:tc>
        <w:tc>
          <w:tcPr>
            <w:tcW w:w="1984" w:type="dxa"/>
            <w:tcBorders>
              <w:top w:val="single" w:sz="4" w:space="0" w:color="000000"/>
              <w:left w:val="single" w:sz="4" w:space="0" w:color="000000"/>
              <w:bottom w:val="single" w:sz="4" w:space="0" w:color="000000"/>
              <w:right w:val="single" w:sz="4" w:space="0" w:color="000000"/>
            </w:tcBorders>
          </w:tcPr>
          <w:p w14:paraId="384E5B3A"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Colmó</w:t>
            </w:r>
          </w:p>
          <w:p w14:paraId="310EA167" w14:textId="77777777" w:rsidR="002377F0" w:rsidRPr="00E7469C" w:rsidRDefault="002377F0">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p>
          <w:p w14:paraId="1952C463"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p>
        </w:tc>
      </w:tr>
      <w:tr w:rsidR="0062028D" w:rsidRPr="00E7469C" w14:paraId="5139FAA5" w14:textId="77777777">
        <w:tc>
          <w:tcPr>
            <w:tcW w:w="562" w:type="dxa"/>
            <w:tcBorders>
              <w:top w:val="single" w:sz="4" w:space="0" w:color="000000"/>
              <w:left w:val="single" w:sz="4" w:space="0" w:color="000000"/>
              <w:bottom w:val="single" w:sz="4" w:space="0" w:color="000000"/>
              <w:right w:val="single" w:sz="4" w:space="0" w:color="000000"/>
            </w:tcBorders>
          </w:tcPr>
          <w:p w14:paraId="448E996D"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13</w:t>
            </w:r>
          </w:p>
        </w:tc>
        <w:tc>
          <w:tcPr>
            <w:tcW w:w="1418" w:type="dxa"/>
            <w:tcBorders>
              <w:top w:val="single" w:sz="4" w:space="0" w:color="000000"/>
              <w:left w:val="single" w:sz="4" w:space="0" w:color="000000"/>
              <w:bottom w:val="single" w:sz="4" w:space="0" w:color="000000"/>
              <w:right w:val="single" w:sz="4" w:space="0" w:color="000000"/>
            </w:tcBorders>
          </w:tcPr>
          <w:p w14:paraId="2DA0D5D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Inventario de todo el parque vehicular del municipio</w:t>
            </w:r>
          </w:p>
        </w:tc>
        <w:tc>
          <w:tcPr>
            <w:tcW w:w="3260" w:type="dxa"/>
            <w:vMerge w:val="restart"/>
            <w:tcBorders>
              <w:top w:val="single" w:sz="4" w:space="0" w:color="000000"/>
              <w:left w:val="single" w:sz="4" w:space="0" w:color="000000"/>
              <w:right w:val="single" w:sz="4" w:space="0" w:color="000000"/>
            </w:tcBorders>
          </w:tcPr>
          <w:p w14:paraId="0E37B05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No realizó algún pronunciamiento</w:t>
            </w:r>
          </w:p>
          <w:p w14:paraId="09756F73"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5" w:type="dxa"/>
            <w:vMerge w:val="restart"/>
            <w:tcBorders>
              <w:top w:val="single" w:sz="4" w:space="0" w:color="000000"/>
              <w:left w:val="single" w:sz="4" w:space="0" w:color="000000"/>
              <w:right w:val="single" w:sz="4" w:space="0" w:color="000000"/>
            </w:tcBorders>
          </w:tcPr>
          <w:p w14:paraId="794140D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No realizó algún pronunciamiento</w:t>
            </w:r>
          </w:p>
          <w:p w14:paraId="5760EBBE"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4" w:type="dxa"/>
            <w:vMerge w:val="restart"/>
            <w:tcBorders>
              <w:top w:val="single" w:sz="4" w:space="0" w:color="000000"/>
              <w:left w:val="single" w:sz="4" w:space="0" w:color="000000"/>
              <w:right w:val="single" w:sz="4" w:space="0" w:color="000000"/>
            </w:tcBorders>
          </w:tcPr>
          <w:p w14:paraId="3C40B310"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No colmó</w:t>
            </w:r>
          </w:p>
          <w:p w14:paraId="19223AE4" w14:textId="77777777" w:rsidR="002377F0" w:rsidRPr="00E7469C" w:rsidRDefault="002377F0">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p>
        </w:tc>
      </w:tr>
      <w:tr w:rsidR="0062028D" w:rsidRPr="00E7469C" w14:paraId="0770752E" w14:textId="77777777">
        <w:tc>
          <w:tcPr>
            <w:tcW w:w="562" w:type="dxa"/>
            <w:tcBorders>
              <w:top w:val="single" w:sz="4" w:space="0" w:color="000000"/>
              <w:left w:val="single" w:sz="4" w:space="0" w:color="000000"/>
              <w:bottom w:val="single" w:sz="4" w:space="0" w:color="000000"/>
              <w:right w:val="single" w:sz="4" w:space="0" w:color="000000"/>
            </w:tcBorders>
          </w:tcPr>
          <w:p w14:paraId="38516029"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14</w:t>
            </w:r>
          </w:p>
        </w:tc>
        <w:tc>
          <w:tcPr>
            <w:tcW w:w="1418" w:type="dxa"/>
            <w:tcBorders>
              <w:top w:val="single" w:sz="4" w:space="0" w:color="000000"/>
              <w:left w:val="single" w:sz="4" w:space="0" w:color="000000"/>
              <w:bottom w:val="single" w:sz="4" w:space="0" w:color="000000"/>
              <w:right w:val="single" w:sz="4" w:space="0" w:color="000000"/>
            </w:tcBorders>
          </w:tcPr>
          <w:p w14:paraId="24E2E50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Inventario de todo el parque vehicular de seguridad pública y sus resguardos, así mismo me informen que patrullas aún están en servicio y las que no solicito su dictamen</w:t>
            </w:r>
          </w:p>
        </w:tc>
        <w:tc>
          <w:tcPr>
            <w:tcW w:w="3260" w:type="dxa"/>
            <w:vMerge/>
            <w:tcBorders>
              <w:top w:val="single" w:sz="4" w:space="0" w:color="000000"/>
              <w:left w:val="single" w:sz="4" w:space="0" w:color="000000"/>
              <w:right w:val="single" w:sz="4" w:space="0" w:color="000000"/>
            </w:tcBorders>
          </w:tcPr>
          <w:p w14:paraId="2F79191B"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5" w:type="dxa"/>
            <w:vMerge/>
            <w:tcBorders>
              <w:top w:val="single" w:sz="4" w:space="0" w:color="000000"/>
              <w:left w:val="single" w:sz="4" w:space="0" w:color="000000"/>
              <w:right w:val="single" w:sz="4" w:space="0" w:color="000000"/>
            </w:tcBorders>
          </w:tcPr>
          <w:p w14:paraId="53C4F94C"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4" w:type="dxa"/>
            <w:vMerge/>
            <w:tcBorders>
              <w:top w:val="single" w:sz="4" w:space="0" w:color="000000"/>
              <w:left w:val="single" w:sz="4" w:space="0" w:color="000000"/>
              <w:right w:val="single" w:sz="4" w:space="0" w:color="000000"/>
            </w:tcBorders>
          </w:tcPr>
          <w:p w14:paraId="469CC64E" w14:textId="77777777" w:rsidR="002377F0" w:rsidRPr="00E7469C" w:rsidRDefault="002377F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62028D" w:rsidRPr="00E7469C" w14:paraId="2D298D65" w14:textId="77777777">
        <w:tc>
          <w:tcPr>
            <w:tcW w:w="562" w:type="dxa"/>
            <w:tcBorders>
              <w:top w:val="single" w:sz="4" w:space="0" w:color="000000"/>
              <w:left w:val="single" w:sz="4" w:space="0" w:color="000000"/>
              <w:bottom w:val="single" w:sz="4" w:space="0" w:color="000000"/>
              <w:right w:val="single" w:sz="4" w:space="0" w:color="000000"/>
            </w:tcBorders>
          </w:tcPr>
          <w:p w14:paraId="004C2D3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15</w:t>
            </w:r>
          </w:p>
        </w:tc>
        <w:tc>
          <w:tcPr>
            <w:tcW w:w="1418" w:type="dxa"/>
            <w:tcBorders>
              <w:top w:val="single" w:sz="4" w:space="0" w:color="000000"/>
              <w:left w:val="single" w:sz="4" w:space="0" w:color="000000"/>
              <w:bottom w:val="single" w:sz="4" w:space="0" w:color="000000"/>
              <w:right w:val="single" w:sz="4" w:space="0" w:color="000000"/>
            </w:tcBorders>
          </w:tcPr>
          <w:p w14:paraId="056E959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Inventario del armamento del Seguridad Publica</w:t>
            </w:r>
          </w:p>
        </w:tc>
        <w:tc>
          <w:tcPr>
            <w:tcW w:w="3260" w:type="dxa"/>
            <w:tcBorders>
              <w:top w:val="single" w:sz="4" w:space="0" w:color="000000"/>
              <w:left w:val="single" w:sz="4" w:space="0" w:color="000000"/>
              <w:bottom w:val="single" w:sz="4" w:space="0" w:color="000000"/>
              <w:right w:val="single" w:sz="4" w:space="0" w:color="000000"/>
            </w:tcBorders>
          </w:tcPr>
          <w:p w14:paraId="7E6D345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El Comisario Municipal de Atlacomulco informó la reserva de la información, el cual se aprobó en la 12ª Sesión del comité de transparencia mediante el acuerdo ACT/ATLACOMULCO/EXT/CT/12º/ACU- SEXTO/2025 de fecha veintisiete de marzo de dos mil veinticinco. Adjuntando el Cuadro de Clasificación en el que se reservó “</w:t>
            </w:r>
            <w:r w:rsidRPr="00E7469C">
              <w:rPr>
                <w:rFonts w:ascii="Palatino Linotype" w:eastAsia="Palatino Linotype" w:hAnsi="Palatino Linotype" w:cs="Palatino Linotype"/>
                <w:i/>
                <w:sz w:val="20"/>
                <w:szCs w:val="20"/>
              </w:rPr>
              <w:t>El Inventario del Armamento de Seguridad Pública”</w:t>
            </w:r>
            <w:r w:rsidRPr="00E7469C">
              <w:rPr>
                <w:rFonts w:ascii="Palatino Linotype" w:eastAsia="Palatino Linotype" w:hAnsi="Palatino Linotype" w:cs="Palatino Linotype"/>
                <w:sz w:val="20"/>
                <w:szCs w:val="20"/>
              </w:rPr>
              <w:t xml:space="preserve"> por un periodo de cinco años.</w:t>
            </w:r>
          </w:p>
        </w:tc>
        <w:tc>
          <w:tcPr>
            <w:tcW w:w="1985" w:type="dxa"/>
            <w:tcBorders>
              <w:top w:val="single" w:sz="4" w:space="0" w:color="000000"/>
              <w:left w:val="single" w:sz="4" w:space="0" w:color="000000"/>
              <w:bottom w:val="single" w:sz="4" w:space="0" w:color="000000"/>
              <w:right w:val="single" w:sz="4" w:space="0" w:color="000000"/>
            </w:tcBorders>
          </w:tcPr>
          <w:p w14:paraId="3E7EEE0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267F2BA3"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 xml:space="preserve">No colmó </w:t>
            </w:r>
          </w:p>
          <w:p w14:paraId="77B9C78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Acuerdo de clasificación no se encuentra debidamente fundado y motivado  </w:t>
            </w:r>
          </w:p>
        </w:tc>
      </w:tr>
      <w:tr w:rsidR="0062028D" w:rsidRPr="00E7469C" w14:paraId="5ED7482E" w14:textId="77777777">
        <w:tc>
          <w:tcPr>
            <w:tcW w:w="562" w:type="dxa"/>
            <w:tcBorders>
              <w:top w:val="single" w:sz="4" w:space="0" w:color="000000"/>
              <w:left w:val="single" w:sz="4" w:space="0" w:color="000000"/>
              <w:bottom w:val="single" w:sz="4" w:space="0" w:color="000000"/>
              <w:right w:val="single" w:sz="4" w:space="0" w:color="000000"/>
            </w:tcBorders>
          </w:tcPr>
          <w:p w14:paraId="2E222A71"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16</w:t>
            </w:r>
          </w:p>
        </w:tc>
        <w:tc>
          <w:tcPr>
            <w:tcW w:w="1418" w:type="dxa"/>
            <w:tcBorders>
              <w:top w:val="single" w:sz="4" w:space="0" w:color="000000"/>
              <w:left w:val="single" w:sz="4" w:space="0" w:color="000000"/>
              <w:bottom w:val="single" w:sz="4" w:space="0" w:color="000000"/>
              <w:right w:val="single" w:sz="4" w:space="0" w:color="000000"/>
            </w:tcBorders>
          </w:tcPr>
          <w:p w14:paraId="6FC3073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Cuantas denuncias se han interpuesto o cuantos casos de maltrato a la mujer se han dado en el municipio</w:t>
            </w:r>
          </w:p>
        </w:tc>
        <w:tc>
          <w:tcPr>
            <w:tcW w:w="3260" w:type="dxa"/>
            <w:tcBorders>
              <w:top w:val="single" w:sz="4" w:space="0" w:color="000000"/>
              <w:left w:val="single" w:sz="4" w:space="0" w:color="000000"/>
              <w:bottom w:val="single" w:sz="4" w:space="0" w:color="000000"/>
              <w:right w:val="single" w:sz="4" w:space="0" w:color="000000"/>
            </w:tcBorders>
          </w:tcPr>
          <w:p w14:paraId="27F8C4D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Unidad de Transparencia informó una incompetencia parcial, de conformidad con el artículo 167 de la Ley de Transparencia Local, señalando que la información solicitada puede obrar en la </w:t>
            </w:r>
            <w:proofErr w:type="gramStart"/>
            <w:r w:rsidRPr="00E7469C">
              <w:rPr>
                <w:rFonts w:ascii="Palatino Linotype" w:eastAsia="Palatino Linotype" w:hAnsi="Palatino Linotype" w:cs="Palatino Linotype"/>
                <w:sz w:val="20"/>
                <w:szCs w:val="20"/>
              </w:rPr>
              <w:t>Fiscalía General</w:t>
            </w:r>
            <w:proofErr w:type="gramEnd"/>
            <w:r w:rsidRPr="00E7469C">
              <w:rPr>
                <w:rFonts w:ascii="Palatino Linotype" w:eastAsia="Palatino Linotype" w:hAnsi="Palatino Linotype" w:cs="Palatino Linotype"/>
                <w:sz w:val="20"/>
                <w:szCs w:val="20"/>
              </w:rPr>
              <w:t xml:space="preserve"> De Justicia del Estado de México; por lo que tendrá que ingresar una nueva solicitud de información dirigida a dicho Sujeto Obligado.</w:t>
            </w:r>
          </w:p>
          <w:p w14:paraId="0DA42953"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6DD217F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2FEF1FA6"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No colmó</w:t>
            </w:r>
          </w:p>
          <w:p w14:paraId="039DFBF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No se turnó al área competente </w:t>
            </w:r>
          </w:p>
        </w:tc>
      </w:tr>
      <w:tr w:rsidR="0062028D" w:rsidRPr="00E7469C" w14:paraId="105EF433" w14:textId="77777777">
        <w:tc>
          <w:tcPr>
            <w:tcW w:w="562" w:type="dxa"/>
            <w:tcBorders>
              <w:top w:val="single" w:sz="4" w:space="0" w:color="000000"/>
              <w:left w:val="single" w:sz="4" w:space="0" w:color="000000"/>
              <w:bottom w:val="single" w:sz="4" w:space="0" w:color="000000"/>
              <w:right w:val="single" w:sz="4" w:space="0" w:color="000000"/>
            </w:tcBorders>
          </w:tcPr>
          <w:p w14:paraId="03F901AE"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17</w:t>
            </w:r>
          </w:p>
        </w:tc>
        <w:tc>
          <w:tcPr>
            <w:tcW w:w="1418" w:type="dxa"/>
            <w:tcBorders>
              <w:top w:val="single" w:sz="4" w:space="0" w:color="000000"/>
              <w:left w:val="single" w:sz="4" w:space="0" w:color="000000"/>
              <w:bottom w:val="single" w:sz="4" w:space="0" w:color="000000"/>
              <w:right w:val="single" w:sz="4" w:space="0" w:color="000000"/>
            </w:tcBorders>
          </w:tcPr>
          <w:p w14:paraId="02C2121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De contraloría, </w:t>
            </w:r>
            <w:r w:rsidRPr="00E7469C">
              <w:rPr>
                <w:rFonts w:ascii="Palatino Linotype" w:eastAsia="Palatino Linotype" w:hAnsi="Palatino Linotype" w:cs="Palatino Linotype"/>
                <w:sz w:val="20"/>
                <w:szCs w:val="20"/>
              </w:rPr>
              <w:lastRenderedPageBreak/>
              <w:t xml:space="preserve">cuantos procedimientos han iniciado en todo el sentido y </w:t>
            </w:r>
            <w:proofErr w:type="gramStart"/>
            <w:r w:rsidRPr="00E7469C">
              <w:rPr>
                <w:rFonts w:ascii="Palatino Linotype" w:eastAsia="Palatino Linotype" w:hAnsi="Palatino Linotype" w:cs="Palatino Linotype"/>
                <w:sz w:val="20"/>
                <w:szCs w:val="20"/>
              </w:rPr>
              <w:t>la resoluciones</w:t>
            </w:r>
            <w:proofErr w:type="gramEnd"/>
            <w:r w:rsidRPr="00E7469C">
              <w:rPr>
                <w:rFonts w:ascii="Palatino Linotype" w:eastAsia="Palatino Linotype" w:hAnsi="Palatino Linotype" w:cs="Palatino Linotype"/>
                <w:sz w:val="20"/>
                <w:szCs w:val="20"/>
              </w:rPr>
              <w:t xml:space="preserve"> que han generado en los años 2023, 2024 y lo que lleva del 2025</w:t>
            </w:r>
          </w:p>
        </w:tc>
        <w:tc>
          <w:tcPr>
            <w:tcW w:w="3260" w:type="dxa"/>
            <w:tcBorders>
              <w:top w:val="single" w:sz="4" w:space="0" w:color="000000"/>
              <w:left w:val="single" w:sz="4" w:space="0" w:color="000000"/>
              <w:bottom w:val="single" w:sz="4" w:space="0" w:color="000000"/>
              <w:right w:val="single" w:sz="4" w:space="0" w:color="000000"/>
            </w:tcBorders>
          </w:tcPr>
          <w:p w14:paraId="6A3C670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 xml:space="preserve">La Contralora Municipal informó que después de haber realizado </w:t>
            </w:r>
            <w:r w:rsidRPr="00E7469C">
              <w:rPr>
                <w:rFonts w:ascii="Palatino Linotype" w:eastAsia="Palatino Linotype" w:hAnsi="Palatino Linotype" w:cs="Palatino Linotype"/>
                <w:sz w:val="20"/>
                <w:szCs w:val="20"/>
              </w:rPr>
              <w:lastRenderedPageBreak/>
              <w:t>una búsqueda exhaustiva dentro de los archivos que obran en este Órgano Interno de Control, se encontró lo siguiente:</w:t>
            </w:r>
          </w:p>
          <w:p w14:paraId="2A484DC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56D0DDF3" wp14:editId="25DFA1F3">
                  <wp:extent cx="1903150" cy="478528"/>
                  <wp:effectExtent l="0" t="0" r="0" b="0"/>
                  <wp:docPr id="2144923633" name="image18.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Imagen que contiene Diagrama&#10;&#10;El contenido generado por IA puede ser incorrecto."/>
                          <pic:cNvPicPr preferRelativeResize="0"/>
                        </pic:nvPicPr>
                        <pic:blipFill>
                          <a:blip r:embed="rId18"/>
                          <a:srcRect/>
                          <a:stretch>
                            <a:fillRect/>
                          </a:stretch>
                        </pic:blipFill>
                        <pic:spPr>
                          <a:xfrm>
                            <a:off x="0" y="0"/>
                            <a:ext cx="1903150" cy="478528"/>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32DBE56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38FC05F8"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Parcialmente</w:t>
            </w:r>
          </w:p>
          <w:p w14:paraId="377DD05D" w14:textId="77777777" w:rsidR="002377F0" w:rsidRPr="00E7469C" w:rsidRDefault="002377F0">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p>
          <w:p w14:paraId="70AF4E62" w14:textId="77777777" w:rsidR="002377F0" w:rsidRPr="00E7469C" w:rsidRDefault="008C7182">
            <w:pPr>
              <w:pBdr>
                <w:top w:val="nil"/>
                <w:left w:val="nil"/>
                <w:bottom w:val="nil"/>
                <w:right w:val="nil"/>
                <w:between w:val="nil"/>
              </w:pBdr>
              <w:tabs>
                <w:tab w:val="left" w:pos="709"/>
              </w:tabs>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sz w:val="20"/>
                <w:szCs w:val="20"/>
              </w:rPr>
              <w:lastRenderedPageBreak/>
              <w:t xml:space="preserve">Refiere el número de </w:t>
            </w:r>
            <w:proofErr w:type="gramStart"/>
            <w:r w:rsidRPr="00E7469C">
              <w:rPr>
                <w:rFonts w:ascii="Palatino Linotype" w:eastAsia="Palatino Linotype" w:hAnsi="Palatino Linotype" w:cs="Palatino Linotype"/>
                <w:i/>
                <w:sz w:val="20"/>
                <w:szCs w:val="20"/>
              </w:rPr>
              <w:t>procedimientos</w:t>
            </w:r>
            <w:proofErr w:type="gramEnd"/>
            <w:r w:rsidRPr="00E7469C">
              <w:rPr>
                <w:rFonts w:ascii="Palatino Linotype" w:eastAsia="Palatino Linotype" w:hAnsi="Palatino Linotype" w:cs="Palatino Linotype"/>
                <w:i/>
                <w:sz w:val="20"/>
                <w:szCs w:val="20"/>
              </w:rPr>
              <w:t xml:space="preserve"> pero no hace entrega de las resoluciones </w:t>
            </w:r>
          </w:p>
        </w:tc>
      </w:tr>
      <w:tr w:rsidR="0062028D" w:rsidRPr="00E7469C" w14:paraId="232F5B91" w14:textId="77777777">
        <w:tc>
          <w:tcPr>
            <w:tcW w:w="562" w:type="dxa"/>
            <w:tcBorders>
              <w:top w:val="single" w:sz="4" w:space="0" w:color="000000"/>
              <w:left w:val="single" w:sz="4" w:space="0" w:color="000000"/>
              <w:bottom w:val="single" w:sz="4" w:space="0" w:color="000000"/>
              <w:right w:val="single" w:sz="4" w:space="0" w:color="000000"/>
            </w:tcBorders>
          </w:tcPr>
          <w:p w14:paraId="25CAFFE7"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bookmarkStart w:id="7" w:name="_heading=h.z2098jh5bcr7" w:colFirst="0" w:colLast="0"/>
            <w:bookmarkEnd w:id="7"/>
            <w:r w:rsidRPr="00E7469C">
              <w:rPr>
                <w:rFonts w:ascii="Palatino Linotype" w:eastAsia="Palatino Linotype" w:hAnsi="Palatino Linotype" w:cs="Palatino Linotype"/>
                <w:sz w:val="20"/>
                <w:szCs w:val="20"/>
              </w:rPr>
              <w:lastRenderedPageBreak/>
              <w:t>18</w:t>
            </w:r>
          </w:p>
        </w:tc>
        <w:tc>
          <w:tcPr>
            <w:tcW w:w="1418" w:type="dxa"/>
            <w:tcBorders>
              <w:top w:val="single" w:sz="4" w:space="0" w:color="000000"/>
              <w:left w:val="single" w:sz="4" w:space="0" w:color="000000"/>
              <w:bottom w:val="single" w:sz="4" w:space="0" w:color="000000"/>
              <w:right w:val="single" w:sz="4" w:space="0" w:color="000000"/>
            </w:tcBorders>
          </w:tcPr>
          <w:p w14:paraId="77C7FD4F"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Todas las obras que se realizaron en el 2023 y 2024, el monto que se gastó y los contratos de obras</w:t>
            </w:r>
          </w:p>
        </w:tc>
        <w:tc>
          <w:tcPr>
            <w:tcW w:w="3260" w:type="dxa"/>
            <w:tcBorders>
              <w:top w:val="single" w:sz="4" w:space="0" w:color="000000"/>
              <w:left w:val="single" w:sz="4" w:space="0" w:color="000000"/>
              <w:bottom w:val="single" w:sz="4" w:space="0" w:color="000000"/>
              <w:right w:val="single" w:sz="4" w:space="0" w:color="000000"/>
            </w:tcBorders>
          </w:tcPr>
          <w:p w14:paraId="4E4DA8F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sz w:val="20"/>
                <w:szCs w:val="20"/>
              </w:rPr>
              <w:t>Director</w:t>
            </w:r>
            <w:proofErr w:type="gramEnd"/>
            <w:r w:rsidRPr="00E7469C">
              <w:rPr>
                <w:rFonts w:ascii="Palatino Linotype" w:eastAsia="Palatino Linotype" w:hAnsi="Palatino Linotype" w:cs="Palatino Linotype"/>
                <w:sz w:val="20"/>
                <w:szCs w:val="20"/>
              </w:rPr>
              <w:t xml:space="preserve"> de Obras Públicas informó la entrega de la lista de obras 2023 y 2024 con montos contratados y ejercidos. Adjuntando lo siguiente:</w:t>
            </w:r>
          </w:p>
          <w:p w14:paraId="14583A3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0F54A59F" wp14:editId="3D627D09">
                  <wp:extent cx="1954328" cy="406221"/>
                  <wp:effectExtent l="0" t="0" r="0" b="0"/>
                  <wp:docPr id="2144923634" name="image36.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6.png" descr="Tabla&#10;&#10;El contenido generado por IA puede ser incorrecto."/>
                          <pic:cNvPicPr preferRelativeResize="0"/>
                        </pic:nvPicPr>
                        <pic:blipFill>
                          <a:blip r:embed="rId11"/>
                          <a:srcRect/>
                          <a:stretch>
                            <a:fillRect/>
                          </a:stretch>
                        </pic:blipFill>
                        <pic:spPr>
                          <a:xfrm>
                            <a:off x="0" y="0"/>
                            <a:ext cx="1954328" cy="406221"/>
                          </a:xfrm>
                          <a:prstGeom prst="rect">
                            <a:avLst/>
                          </a:prstGeom>
                          <a:ln/>
                        </pic:spPr>
                      </pic:pic>
                    </a:graphicData>
                  </a:graphic>
                </wp:inline>
              </w:drawing>
            </w:r>
          </w:p>
          <w:p w14:paraId="17BF1193"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1811FEF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0663858F" wp14:editId="330776C6">
                  <wp:extent cx="2005545" cy="380034"/>
                  <wp:effectExtent l="0" t="0" r="0" b="0"/>
                  <wp:docPr id="2144923635" name="image10.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Tabla&#10;&#10;El contenido generado por IA puede ser incorrecto."/>
                          <pic:cNvPicPr preferRelativeResize="0"/>
                        </pic:nvPicPr>
                        <pic:blipFill>
                          <a:blip r:embed="rId12"/>
                          <a:srcRect/>
                          <a:stretch>
                            <a:fillRect/>
                          </a:stretch>
                        </pic:blipFill>
                        <pic:spPr>
                          <a:xfrm>
                            <a:off x="0" y="0"/>
                            <a:ext cx="2005545" cy="380034"/>
                          </a:xfrm>
                          <a:prstGeom prst="rect">
                            <a:avLst/>
                          </a:prstGeom>
                          <a:ln/>
                        </pic:spPr>
                      </pic:pic>
                    </a:graphicData>
                  </a:graphic>
                </wp:inline>
              </w:drawing>
            </w:r>
          </w:p>
          <w:p w14:paraId="056ECC95"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6AB1FD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6DF20972"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b/>
                <w:sz w:val="20"/>
                <w:szCs w:val="20"/>
              </w:rPr>
              <w:t>Parcialmente</w:t>
            </w:r>
          </w:p>
          <w:p w14:paraId="7961420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Faltó la entrega de los contratos de obras </w:t>
            </w:r>
          </w:p>
        </w:tc>
      </w:tr>
      <w:tr w:rsidR="0062028D" w:rsidRPr="00E7469C" w14:paraId="38E7BB6F" w14:textId="77777777">
        <w:tc>
          <w:tcPr>
            <w:tcW w:w="562" w:type="dxa"/>
            <w:tcBorders>
              <w:top w:val="single" w:sz="4" w:space="0" w:color="000000"/>
              <w:left w:val="single" w:sz="4" w:space="0" w:color="000000"/>
              <w:bottom w:val="single" w:sz="4" w:space="0" w:color="000000"/>
              <w:right w:val="single" w:sz="4" w:space="0" w:color="000000"/>
            </w:tcBorders>
          </w:tcPr>
          <w:p w14:paraId="6AD88CBC"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19</w:t>
            </w:r>
          </w:p>
        </w:tc>
        <w:tc>
          <w:tcPr>
            <w:tcW w:w="1418" w:type="dxa"/>
            <w:tcBorders>
              <w:top w:val="single" w:sz="4" w:space="0" w:color="000000"/>
              <w:left w:val="single" w:sz="4" w:space="0" w:color="000000"/>
              <w:bottom w:val="single" w:sz="4" w:space="0" w:color="000000"/>
              <w:right w:val="single" w:sz="4" w:space="0" w:color="000000"/>
            </w:tcBorders>
          </w:tcPr>
          <w:p w14:paraId="109BF7F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roofErr w:type="gramStart"/>
            <w:r w:rsidRPr="00E7469C">
              <w:rPr>
                <w:rFonts w:ascii="Palatino Linotype" w:eastAsia="Palatino Linotype" w:hAnsi="Palatino Linotype" w:cs="Palatino Linotype"/>
                <w:sz w:val="20"/>
                <w:szCs w:val="20"/>
              </w:rPr>
              <w:t>Todas la licitaciones</w:t>
            </w:r>
            <w:proofErr w:type="gramEnd"/>
            <w:r w:rsidRPr="00E7469C">
              <w:rPr>
                <w:rFonts w:ascii="Palatino Linotype" w:eastAsia="Palatino Linotype" w:hAnsi="Palatino Linotype" w:cs="Palatino Linotype"/>
                <w:sz w:val="20"/>
                <w:szCs w:val="20"/>
              </w:rPr>
              <w:t xml:space="preserve"> que se dieron en el 2022, 2023, 2024 y 2025</w:t>
            </w:r>
          </w:p>
        </w:tc>
        <w:tc>
          <w:tcPr>
            <w:tcW w:w="3260" w:type="dxa"/>
            <w:tcBorders>
              <w:top w:val="single" w:sz="4" w:space="0" w:color="000000"/>
              <w:left w:val="single" w:sz="4" w:space="0" w:color="000000"/>
              <w:bottom w:val="single" w:sz="4" w:space="0" w:color="000000"/>
              <w:right w:val="single" w:sz="4" w:space="0" w:color="000000"/>
            </w:tcBorders>
          </w:tcPr>
          <w:p w14:paraId="4A83A4E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sz w:val="20"/>
                <w:szCs w:val="20"/>
              </w:rPr>
              <w:t>Director</w:t>
            </w:r>
            <w:proofErr w:type="gramEnd"/>
            <w:r w:rsidRPr="00E7469C">
              <w:rPr>
                <w:rFonts w:ascii="Palatino Linotype" w:eastAsia="Palatino Linotype" w:hAnsi="Palatino Linotype" w:cs="Palatino Linotype"/>
                <w:sz w:val="20"/>
                <w:szCs w:val="20"/>
              </w:rPr>
              <w:t xml:space="preserve"> de Obras Públicas informó la entrega de la relación de licitaciones 2022, 2023, 2024 y 2025. Adjuntando lo siguiente: </w:t>
            </w:r>
          </w:p>
          <w:p w14:paraId="375A0F4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406449C5" wp14:editId="626EDB1D">
                  <wp:extent cx="1630479" cy="377377"/>
                  <wp:effectExtent l="0" t="0" r="0" b="0"/>
                  <wp:docPr id="21449236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1630479" cy="377377"/>
                          </a:xfrm>
                          <a:prstGeom prst="rect">
                            <a:avLst/>
                          </a:prstGeom>
                          <a:ln/>
                        </pic:spPr>
                      </pic:pic>
                    </a:graphicData>
                  </a:graphic>
                </wp:inline>
              </w:drawing>
            </w:r>
          </w:p>
          <w:p w14:paraId="1508FD1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51D8CB7D" wp14:editId="05036017">
                  <wp:extent cx="1783511" cy="370888"/>
                  <wp:effectExtent l="0" t="0" r="0" b="0"/>
                  <wp:docPr id="21449236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rot="10800000">
                            <a:off x="0" y="0"/>
                            <a:ext cx="1783511" cy="370888"/>
                          </a:xfrm>
                          <a:prstGeom prst="rect">
                            <a:avLst/>
                          </a:prstGeom>
                          <a:ln/>
                        </pic:spPr>
                      </pic:pic>
                    </a:graphicData>
                  </a:graphic>
                </wp:inline>
              </w:drawing>
            </w:r>
          </w:p>
          <w:p w14:paraId="14E1730F"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6D8A187C" wp14:editId="65DA4DD9">
                  <wp:extent cx="1700189" cy="352426"/>
                  <wp:effectExtent l="0" t="0" r="0" b="0"/>
                  <wp:docPr id="2144923616" name="image34.png" descr="Una captura de pantalla de una red social&#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4.png" descr="Una captura de pantalla de una red social&#10;&#10;El contenido generado por IA puede ser incorrecto."/>
                          <pic:cNvPicPr preferRelativeResize="0"/>
                        </pic:nvPicPr>
                        <pic:blipFill>
                          <a:blip r:embed="rId8"/>
                          <a:srcRect/>
                          <a:stretch>
                            <a:fillRect/>
                          </a:stretch>
                        </pic:blipFill>
                        <pic:spPr>
                          <a:xfrm>
                            <a:off x="0" y="0"/>
                            <a:ext cx="1700189" cy="352426"/>
                          </a:xfrm>
                          <a:prstGeom prst="rect">
                            <a:avLst/>
                          </a:prstGeom>
                          <a:ln/>
                        </pic:spPr>
                      </pic:pic>
                    </a:graphicData>
                  </a:graphic>
                </wp:inline>
              </w:drawing>
            </w:r>
          </w:p>
          <w:p w14:paraId="2807BFEC"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4C5A806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02E960F7" wp14:editId="4E39A31F">
                  <wp:extent cx="1713050" cy="309399"/>
                  <wp:effectExtent l="0" t="0" r="0" b="0"/>
                  <wp:docPr id="2144923617" name="image13.png" descr="Captura de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png" descr="Captura de pantalla de un celular&#10;&#10;El contenido generado por IA puede ser incorrecto."/>
                          <pic:cNvPicPr preferRelativeResize="0"/>
                        </pic:nvPicPr>
                        <pic:blipFill>
                          <a:blip r:embed="rId10"/>
                          <a:srcRect/>
                          <a:stretch>
                            <a:fillRect/>
                          </a:stretch>
                        </pic:blipFill>
                        <pic:spPr>
                          <a:xfrm>
                            <a:off x="0" y="0"/>
                            <a:ext cx="1713050" cy="309399"/>
                          </a:xfrm>
                          <a:prstGeom prst="rect">
                            <a:avLst/>
                          </a:prstGeom>
                          <a:ln/>
                        </pic:spPr>
                      </pic:pic>
                    </a:graphicData>
                  </a:graphic>
                </wp:inline>
              </w:drawing>
            </w:r>
          </w:p>
          <w:p w14:paraId="46FD9835"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09C5157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La Dirección de Administración informó que las licitaciones que se dieron en el año 2022, 2023, 2024 y 2025 son las siguientes:</w:t>
            </w:r>
          </w:p>
          <w:p w14:paraId="68D4C1B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i/>
                <w:noProof/>
                <w:sz w:val="20"/>
                <w:szCs w:val="20"/>
                <w:lang w:val="es-MX"/>
              </w:rPr>
              <w:lastRenderedPageBreak/>
              <w:drawing>
                <wp:inline distT="0" distB="0" distL="0" distR="0" wp14:anchorId="1433A95E" wp14:editId="1CF5421C">
                  <wp:extent cx="2036551" cy="1057164"/>
                  <wp:effectExtent l="0" t="0" r="0" b="0"/>
                  <wp:docPr id="2144923619" name="image8.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exto&#10;&#10;El contenido generado por IA puede ser incorrecto."/>
                          <pic:cNvPicPr preferRelativeResize="0"/>
                        </pic:nvPicPr>
                        <pic:blipFill>
                          <a:blip r:embed="rId19"/>
                          <a:srcRect/>
                          <a:stretch>
                            <a:fillRect/>
                          </a:stretch>
                        </pic:blipFill>
                        <pic:spPr>
                          <a:xfrm>
                            <a:off x="0" y="0"/>
                            <a:ext cx="2036551" cy="1057164"/>
                          </a:xfrm>
                          <a:prstGeom prst="rect">
                            <a:avLst/>
                          </a:prstGeom>
                          <a:ln/>
                        </pic:spPr>
                      </pic:pic>
                    </a:graphicData>
                  </a:graphic>
                </wp:inline>
              </w:drawing>
            </w:r>
          </w:p>
          <w:p w14:paraId="451809E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i/>
                <w:noProof/>
                <w:sz w:val="20"/>
                <w:szCs w:val="20"/>
                <w:lang w:val="es-MX"/>
              </w:rPr>
              <w:drawing>
                <wp:inline distT="0" distB="0" distL="0" distR="0" wp14:anchorId="07F5E02D" wp14:editId="7EA5D411">
                  <wp:extent cx="2122377" cy="241951"/>
                  <wp:effectExtent l="0" t="0" r="0" b="0"/>
                  <wp:docPr id="21449236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122377" cy="241951"/>
                          </a:xfrm>
                          <a:prstGeom prst="rect">
                            <a:avLst/>
                          </a:prstGeom>
                          <a:ln/>
                        </pic:spPr>
                      </pic:pic>
                    </a:graphicData>
                  </a:graphic>
                </wp:inline>
              </w:drawing>
            </w:r>
          </w:p>
          <w:p w14:paraId="4641CCBF"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65589AB2"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13337A4E"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Colmó</w:t>
            </w:r>
          </w:p>
        </w:tc>
      </w:tr>
      <w:tr w:rsidR="0062028D" w:rsidRPr="00E7469C" w14:paraId="720AF0B3" w14:textId="77777777">
        <w:tc>
          <w:tcPr>
            <w:tcW w:w="562" w:type="dxa"/>
            <w:tcBorders>
              <w:top w:val="single" w:sz="4" w:space="0" w:color="000000"/>
              <w:left w:val="single" w:sz="4" w:space="0" w:color="000000"/>
              <w:bottom w:val="single" w:sz="4" w:space="0" w:color="000000"/>
              <w:right w:val="single" w:sz="4" w:space="0" w:color="000000"/>
            </w:tcBorders>
          </w:tcPr>
          <w:p w14:paraId="2D0E5489"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20</w:t>
            </w:r>
          </w:p>
        </w:tc>
        <w:tc>
          <w:tcPr>
            <w:tcW w:w="1418" w:type="dxa"/>
            <w:tcBorders>
              <w:top w:val="single" w:sz="4" w:space="0" w:color="000000"/>
              <w:left w:val="single" w:sz="4" w:space="0" w:color="000000"/>
              <w:bottom w:val="single" w:sz="4" w:space="0" w:color="000000"/>
              <w:right w:val="single" w:sz="4" w:space="0" w:color="000000"/>
            </w:tcBorders>
          </w:tcPr>
          <w:p w14:paraId="19CDE2F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Convenios generados en 2022, 2023, 2024 y 2025, en versión pública</w:t>
            </w:r>
          </w:p>
        </w:tc>
        <w:tc>
          <w:tcPr>
            <w:tcW w:w="3260" w:type="dxa"/>
            <w:tcBorders>
              <w:top w:val="single" w:sz="4" w:space="0" w:color="000000"/>
              <w:left w:val="single" w:sz="4" w:space="0" w:color="000000"/>
              <w:bottom w:val="single" w:sz="4" w:space="0" w:color="000000"/>
              <w:right w:val="single" w:sz="4" w:space="0" w:color="000000"/>
            </w:tcBorders>
          </w:tcPr>
          <w:p w14:paraId="0A89C7E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b/>
                <w:sz w:val="20"/>
                <w:szCs w:val="20"/>
              </w:rPr>
              <w:t>Director</w:t>
            </w:r>
            <w:proofErr w:type="gramEnd"/>
            <w:r w:rsidRPr="00E7469C">
              <w:rPr>
                <w:rFonts w:ascii="Palatino Linotype" w:eastAsia="Palatino Linotype" w:hAnsi="Palatino Linotype" w:cs="Palatino Linotype"/>
                <w:b/>
                <w:sz w:val="20"/>
                <w:szCs w:val="20"/>
              </w:rPr>
              <w:t xml:space="preserve"> de Ecología</w:t>
            </w:r>
            <w:r w:rsidRPr="00E7469C">
              <w:rPr>
                <w:rFonts w:ascii="Palatino Linotype" w:eastAsia="Palatino Linotype" w:hAnsi="Palatino Linotype" w:cs="Palatino Linotype"/>
                <w:sz w:val="20"/>
                <w:szCs w:val="20"/>
              </w:rPr>
              <w:t xml:space="preserve"> informó la entrega en copia simple de los convenios que obran en su archivo, así mismo, manifestó bajo protesta de decir verdad que los nombres y firmas de quienes los suscriben, son o fueron en su momento servidores públicos, por lo que no se publican datos personales. </w:t>
            </w:r>
          </w:p>
          <w:p w14:paraId="62C5862F"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roofErr w:type="gramStart"/>
            <w:r w:rsidRPr="00E7469C">
              <w:rPr>
                <w:rFonts w:ascii="Palatino Linotype" w:eastAsia="Palatino Linotype" w:hAnsi="Palatino Linotype" w:cs="Palatino Linotype"/>
                <w:sz w:val="20"/>
                <w:szCs w:val="20"/>
              </w:rPr>
              <w:t>Asimismo</w:t>
            </w:r>
            <w:proofErr w:type="gramEnd"/>
            <w:r w:rsidRPr="00E7469C">
              <w:rPr>
                <w:rFonts w:ascii="Palatino Linotype" w:eastAsia="Palatino Linotype" w:hAnsi="Palatino Linotype" w:cs="Palatino Linotype"/>
                <w:sz w:val="20"/>
                <w:szCs w:val="20"/>
              </w:rPr>
              <w:t xml:space="preserve"> informó </w:t>
            </w:r>
            <w:proofErr w:type="gramStart"/>
            <w:r w:rsidRPr="00E7469C">
              <w:rPr>
                <w:rFonts w:ascii="Palatino Linotype" w:eastAsia="Palatino Linotype" w:hAnsi="Palatino Linotype" w:cs="Palatino Linotype"/>
                <w:sz w:val="20"/>
                <w:szCs w:val="20"/>
              </w:rPr>
              <w:t>que</w:t>
            </w:r>
            <w:proofErr w:type="gramEnd"/>
            <w:r w:rsidRPr="00E7469C">
              <w:rPr>
                <w:rFonts w:ascii="Palatino Linotype" w:eastAsia="Palatino Linotype" w:hAnsi="Palatino Linotype" w:cs="Palatino Linotype"/>
                <w:sz w:val="20"/>
                <w:szCs w:val="20"/>
              </w:rPr>
              <w:t xml:space="preserve"> durante la actual administración, no se ha celebrado convenio alguno a la fecha.</w:t>
            </w:r>
          </w:p>
          <w:p w14:paraId="4EB9A08D"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Adjuntando los siguientes Convenios:</w:t>
            </w:r>
          </w:p>
          <w:p w14:paraId="42511524"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3BA4F0B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Convenio de Coordinación para la operación del Sistema Estatal de Atención a la Denuncia Ciudadana en Materia Ambiental ECOTEL, que celebra la Secretaría de Medio Ambiente y Desarrollo Sostenible del Gobierno del Estado de México con el Ayuntamiento de Atlacomulco, celebrado el nueve de noviembre de dos mil veintitrés. </w:t>
            </w:r>
          </w:p>
          <w:p w14:paraId="41B2EF1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Convenio Específico de Participación para la Ejecución del “Programa de Sanidad y Certificación Agropecuaria” en el Estado de México, mediante el </w:t>
            </w:r>
            <w:r w:rsidRPr="00E7469C">
              <w:rPr>
                <w:rFonts w:ascii="Palatino Linotype" w:eastAsia="Palatino Linotype" w:hAnsi="Palatino Linotype" w:cs="Palatino Linotype"/>
                <w:sz w:val="20"/>
                <w:szCs w:val="20"/>
              </w:rPr>
              <w:lastRenderedPageBreak/>
              <w:t xml:space="preserve">Establecimiento de Estrategias y Acciones de Manejo, Acopio y Disposición de Envases Vacíos de Agroquímicos y Afines, que celebran por una parte la Secretaría del Campo del Estado de México, por otra </w:t>
            </w:r>
            <w:proofErr w:type="gramStart"/>
            <w:r w:rsidRPr="00E7469C">
              <w:rPr>
                <w:rFonts w:ascii="Palatino Linotype" w:eastAsia="Palatino Linotype" w:hAnsi="Palatino Linotype" w:cs="Palatino Linotype"/>
                <w:sz w:val="20"/>
                <w:szCs w:val="20"/>
              </w:rPr>
              <w:t>parte</w:t>
            </w:r>
            <w:proofErr w:type="gramEnd"/>
            <w:r w:rsidRPr="00E7469C">
              <w:rPr>
                <w:rFonts w:ascii="Palatino Linotype" w:eastAsia="Palatino Linotype" w:hAnsi="Palatino Linotype" w:cs="Palatino Linotype"/>
                <w:sz w:val="20"/>
                <w:szCs w:val="20"/>
              </w:rPr>
              <w:t xml:space="preserve"> el Ayuntamiento de Atlacomulco, y por la otra parte, la Asociación Civil </w:t>
            </w:r>
            <w:proofErr w:type="spellStart"/>
            <w:r w:rsidRPr="00E7469C">
              <w:rPr>
                <w:rFonts w:ascii="Palatino Linotype" w:eastAsia="Palatino Linotype" w:hAnsi="Palatino Linotype" w:cs="Palatino Linotype"/>
                <w:sz w:val="20"/>
                <w:szCs w:val="20"/>
              </w:rPr>
              <w:t>Amocali</w:t>
            </w:r>
            <w:proofErr w:type="spellEnd"/>
            <w:r w:rsidRPr="00E7469C">
              <w:rPr>
                <w:rFonts w:ascii="Palatino Linotype" w:eastAsia="Palatino Linotype" w:hAnsi="Palatino Linotype" w:cs="Palatino Linotype"/>
                <w:sz w:val="20"/>
                <w:szCs w:val="20"/>
              </w:rPr>
              <w:t xml:space="preserve">, celebrado el primero de abril de dos mil veintidós. </w:t>
            </w:r>
          </w:p>
          <w:p w14:paraId="088A82E6"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Convenio de Colaboración que celebra el Organismo Público Descentralizado, denominado Protectora de Bosques del Estado de México, con el Ayuntamiento de Atlacomulco, celebrado el veintiocho de abril de dos mil veintidós.</w:t>
            </w:r>
          </w:p>
          <w:p w14:paraId="44CC609C"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 xml:space="preserve">Convenio Específico de Coordinación que celebran la Dirección General de Prevención y Control de la Contaminación Atmosférica de la </w:t>
            </w:r>
            <w:proofErr w:type="gramStart"/>
            <w:r w:rsidRPr="00E7469C">
              <w:rPr>
                <w:rFonts w:ascii="Palatino Linotype" w:eastAsia="Palatino Linotype" w:hAnsi="Palatino Linotype" w:cs="Palatino Linotype"/>
                <w:sz w:val="20"/>
                <w:szCs w:val="20"/>
              </w:rPr>
              <w:t>Secretaria</w:t>
            </w:r>
            <w:proofErr w:type="gramEnd"/>
            <w:r w:rsidRPr="00E7469C">
              <w:rPr>
                <w:rFonts w:ascii="Palatino Linotype" w:eastAsia="Palatino Linotype" w:hAnsi="Palatino Linotype" w:cs="Palatino Linotype"/>
                <w:sz w:val="20"/>
                <w:szCs w:val="20"/>
              </w:rPr>
              <w:t xml:space="preserve"> del Medio Ambiente y el Ayuntamiento de Atlacomulco, celebrado el cinco de julio de dos mil veintidós.</w:t>
            </w:r>
          </w:p>
          <w:p w14:paraId="6FA31D35"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w:t>
            </w:r>
            <w:r w:rsidRPr="00E7469C">
              <w:rPr>
                <w:rFonts w:ascii="Palatino Linotype" w:eastAsia="Palatino Linotype" w:hAnsi="Palatino Linotype" w:cs="Palatino Linotype"/>
                <w:sz w:val="20"/>
                <w:szCs w:val="20"/>
              </w:rPr>
              <w:tab/>
              <w:t>Convenio de Colaboración que celebran el Organismo Público Descentralizado, denominado Protectora de Bosques del Estado de México y el Ayuntamiento de Atlacomulco, celebrado el primero de marzo de dos mil veintitrés.</w:t>
            </w:r>
          </w:p>
          <w:p w14:paraId="5FA4609B"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401AF8F1" w14:textId="77777777" w:rsidR="002377F0" w:rsidRPr="00E7469C" w:rsidRDefault="008C7182">
            <w:pPr>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b/>
                <w:sz w:val="20"/>
                <w:szCs w:val="20"/>
              </w:rPr>
              <w:t>Directora</w:t>
            </w:r>
            <w:proofErr w:type="gramEnd"/>
            <w:r w:rsidRPr="00E7469C">
              <w:rPr>
                <w:rFonts w:ascii="Palatino Linotype" w:eastAsia="Palatino Linotype" w:hAnsi="Palatino Linotype" w:cs="Palatino Linotype"/>
                <w:b/>
                <w:sz w:val="20"/>
                <w:szCs w:val="20"/>
              </w:rPr>
              <w:t xml:space="preserve"> de Bienestar Social</w:t>
            </w:r>
            <w:r w:rsidRPr="00E7469C">
              <w:rPr>
                <w:rFonts w:ascii="Palatino Linotype" w:eastAsia="Palatino Linotype" w:hAnsi="Palatino Linotype" w:cs="Palatino Linotype"/>
                <w:sz w:val="20"/>
                <w:szCs w:val="20"/>
              </w:rPr>
              <w:t xml:space="preserve"> informó </w:t>
            </w:r>
            <w:proofErr w:type="gramStart"/>
            <w:r w:rsidRPr="00E7469C">
              <w:rPr>
                <w:rFonts w:ascii="Palatino Linotype" w:eastAsia="Palatino Linotype" w:hAnsi="Palatino Linotype" w:cs="Palatino Linotype"/>
                <w:sz w:val="20"/>
                <w:szCs w:val="20"/>
              </w:rPr>
              <w:t>que</w:t>
            </w:r>
            <w:proofErr w:type="gramEnd"/>
            <w:r w:rsidRPr="00E7469C">
              <w:rPr>
                <w:rFonts w:ascii="Palatino Linotype" w:eastAsia="Palatino Linotype" w:hAnsi="Palatino Linotype" w:cs="Palatino Linotype"/>
                <w:sz w:val="20"/>
                <w:szCs w:val="20"/>
              </w:rPr>
              <w:t xml:space="preserve"> por tratarse de información pública de oficio, puede consultar la información en la plataforma IPOMEX; por lo que </w:t>
            </w:r>
            <w:r w:rsidRPr="00E7469C">
              <w:rPr>
                <w:rFonts w:ascii="Palatino Linotype" w:eastAsia="Palatino Linotype" w:hAnsi="Palatino Linotype" w:cs="Palatino Linotype"/>
                <w:sz w:val="20"/>
                <w:szCs w:val="20"/>
              </w:rPr>
              <w:lastRenderedPageBreak/>
              <w:t xml:space="preserve">respecta a los años 2022, 2023 y 2024, con el siguiente enlace </w:t>
            </w:r>
            <w:hyperlink r:id="rId45">
              <w:r w:rsidRPr="00E7469C">
                <w:rPr>
                  <w:rFonts w:ascii="Palatino Linotype" w:eastAsia="Palatino Linotype" w:hAnsi="Palatino Linotype" w:cs="Palatino Linotype"/>
                  <w:sz w:val="20"/>
                  <w:szCs w:val="20"/>
                  <w:u w:val="single"/>
                </w:rPr>
                <w:t>https://ipomex3.ipomex.org.mx/ipo3/lgt/portal/3.web</w:t>
              </w:r>
            </w:hyperlink>
            <w:r w:rsidRPr="00E7469C">
              <w:rPr>
                <w:rFonts w:ascii="Palatino Linotype" w:eastAsia="Palatino Linotype" w:hAnsi="Palatino Linotype" w:cs="Palatino Linotype"/>
                <w:sz w:val="20"/>
                <w:szCs w:val="20"/>
              </w:rPr>
              <w:t>, señalando los pasos a seguir para la consulta.</w:t>
            </w:r>
          </w:p>
          <w:p w14:paraId="65CD1F33"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Por último, con lo referente al año 2025, hace entrega del Convenio de Colaboración en versión pública que hasta el día de la emisión del oficio se ha celebrado en la Dirección de Bienestar Social, versión pública que fue aprobada en el Acuerdo ACT/ATLACOMULCO/EXT/CT/12a/ACU-QUINTO/2025 de la Décima Segunda Sesión Extraordinaria del Comité de Transparencia. Adjuntando el </w:t>
            </w:r>
            <w:r w:rsidRPr="00E7469C">
              <w:rPr>
                <w:rFonts w:ascii="Palatino Linotype" w:eastAsia="Palatino Linotype" w:hAnsi="Palatino Linotype" w:cs="Palatino Linotype"/>
                <w:i/>
                <w:sz w:val="20"/>
                <w:szCs w:val="20"/>
              </w:rPr>
              <w:t>Convenio de Colaboración que en materia de Salud Visual (Modalidad Jornadas Itinerantes), celebra el propietario de los establecimientos en donde se comercializan lentes y aparatos de uso oftálmico “ÓPTICAS ORTIZ” Y EL Ayuntamiento de Atlacomulco</w:t>
            </w:r>
            <w:r w:rsidRPr="00E7469C">
              <w:rPr>
                <w:rFonts w:ascii="Palatino Linotype" w:eastAsia="Palatino Linotype" w:hAnsi="Palatino Linotype" w:cs="Palatino Linotype"/>
                <w:sz w:val="20"/>
                <w:szCs w:val="20"/>
              </w:rPr>
              <w:t>, fecha once de febrero de dos mil veinticinco, en versión pública.</w:t>
            </w:r>
          </w:p>
          <w:p w14:paraId="0932C5B7"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7BD7BD5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r w:rsidRPr="00E7469C">
              <w:rPr>
                <w:rFonts w:ascii="Palatino Linotype" w:eastAsia="Palatino Linotype" w:hAnsi="Palatino Linotype" w:cs="Palatino Linotype"/>
                <w:b/>
                <w:sz w:val="20"/>
                <w:szCs w:val="20"/>
              </w:rPr>
              <w:t>Dirección de Administración</w:t>
            </w:r>
            <w:r w:rsidRPr="00E7469C">
              <w:rPr>
                <w:rFonts w:ascii="Palatino Linotype" w:eastAsia="Palatino Linotype" w:hAnsi="Palatino Linotype" w:cs="Palatino Linotype"/>
                <w:sz w:val="20"/>
                <w:szCs w:val="20"/>
              </w:rPr>
              <w:t xml:space="preserve"> informó la entrega de los convenios del 2022, 2023, 2024 y 2025 en versión pública, aprobado mediante ACUERDO: ACT/ATLACOMULCO/EXT/COMT/13/ACU-CUARTO/2025, de la 13ª Sesión Extraordinaria del Comité de Transparencia el día 3 de abril de 2025.</w:t>
            </w:r>
          </w:p>
          <w:p w14:paraId="1E86C357"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33009E46"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r w:rsidRPr="00E7469C">
              <w:rPr>
                <w:rFonts w:ascii="Palatino Linotype" w:eastAsia="Palatino Linotype" w:hAnsi="Palatino Linotype" w:cs="Palatino Linotype"/>
                <w:b/>
                <w:sz w:val="20"/>
                <w:szCs w:val="20"/>
              </w:rPr>
              <w:t>Sindica Municipal</w:t>
            </w:r>
            <w:r w:rsidRPr="00E7469C">
              <w:rPr>
                <w:rFonts w:ascii="Palatino Linotype" w:eastAsia="Palatino Linotype" w:hAnsi="Palatino Linotype" w:cs="Palatino Linotype"/>
                <w:sz w:val="20"/>
                <w:szCs w:val="20"/>
              </w:rPr>
              <w:t xml:space="preserve"> informó una prórroga para exhibir la </w:t>
            </w:r>
            <w:r w:rsidRPr="00E7469C">
              <w:rPr>
                <w:rFonts w:ascii="Palatino Linotype" w:eastAsia="Palatino Linotype" w:hAnsi="Palatino Linotype" w:cs="Palatino Linotype"/>
                <w:sz w:val="20"/>
                <w:szCs w:val="20"/>
              </w:rPr>
              <w:lastRenderedPageBreak/>
              <w:t xml:space="preserve">información solicitada, debido que se necesita recabar los documentos necesarios para dar cabal cumplimiento a la solicitud relativa a </w:t>
            </w:r>
            <w:r w:rsidRPr="00E7469C">
              <w:rPr>
                <w:rFonts w:ascii="Palatino Linotype" w:eastAsia="Palatino Linotype" w:hAnsi="Palatino Linotype" w:cs="Palatino Linotype"/>
                <w:i/>
                <w:sz w:val="20"/>
                <w:szCs w:val="20"/>
              </w:rPr>
              <w:t>“TODOS LOS CONVENIOS REALIZADOS DESDE EL 1 DE ENERO Á LA FECHA.”</w:t>
            </w:r>
            <w:r w:rsidRPr="00E7469C">
              <w:rPr>
                <w:rFonts w:ascii="Palatino Linotype" w:eastAsia="Palatino Linotype" w:hAnsi="Palatino Linotype" w:cs="Palatino Linotype"/>
                <w:sz w:val="20"/>
                <w:szCs w:val="20"/>
              </w:rPr>
              <w:t xml:space="preserve"> </w:t>
            </w:r>
          </w:p>
          <w:p w14:paraId="39C4A9B7"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48AF937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b/>
                <w:sz w:val="20"/>
                <w:szCs w:val="20"/>
              </w:rPr>
              <w:t>Secretario</w:t>
            </w:r>
            <w:proofErr w:type="gramEnd"/>
            <w:r w:rsidRPr="00E7469C">
              <w:rPr>
                <w:rFonts w:ascii="Palatino Linotype" w:eastAsia="Palatino Linotype" w:hAnsi="Palatino Linotype" w:cs="Palatino Linotype"/>
                <w:b/>
                <w:sz w:val="20"/>
                <w:szCs w:val="20"/>
              </w:rPr>
              <w:t xml:space="preserve"> del Ayuntamiento</w:t>
            </w:r>
            <w:r w:rsidRPr="00E7469C">
              <w:rPr>
                <w:rFonts w:ascii="Palatino Linotype" w:eastAsia="Palatino Linotype" w:hAnsi="Palatino Linotype" w:cs="Palatino Linotype"/>
                <w:sz w:val="20"/>
                <w:szCs w:val="20"/>
              </w:rPr>
              <w:t xml:space="preserve"> informó </w:t>
            </w:r>
            <w:proofErr w:type="gramStart"/>
            <w:r w:rsidRPr="00E7469C">
              <w:rPr>
                <w:rFonts w:ascii="Palatino Linotype" w:eastAsia="Palatino Linotype" w:hAnsi="Palatino Linotype" w:cs="Palatino Linotype"/>
                <w:sz w:val="20"/>
                <w:szCs w:val="20"/>
              </w:rPr>
              <w:t>que</w:t>
            </w:r>
            <w:proofErr w:type="gramEnd"/>
            <w:r w:rsidRPr="00E7469C">
              <w:rPr>
                <w:rFonts w:ascii="Palatino Linotype" w:eastAsia="Palatino Linotype" w:hAnsi="Palatino Linotype" w:cs="Palatino Linotype"/>
                <w:sz w:val="20"/>
                <w:szCs w:val="20"/>
              </w:rPr>
              <w:t xml:space="preserve"> una vez realizada una búsqueda exhaustiva en los archivos de la Secretaría del Ayuntamiento, no obra información al respecto.</w:t>
            </w:r>
          </w:p>
          <w:p w14:paraId="12BA2397"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09F4110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b/>
                <w:sz w:val="20"/>
                <w:szCs w:val="20"/>
              </w:rPr>
              <w:t>Directora</w:t>
            </w:r>
            <w:proofErr w:type="gramEnd"/>
            <w:r w:rsidRPr="00E7469C">
              <w:rPr>
                <w:rFonts w:ascii="Palatino Linotype" w:eastAsia="Palatino Linotype" w:hAnsi="Palatino Linotype" w:cs="Palatino Linotype"/>
                <w:b/>
                <w:sz w:val="20"/>
                <w:szCs w:val="20"/>
              </w:rPr>
              <w:t xml:space="preserve"> de las Mujeres</w:t>
            </w:r>
            <w:r w:rsidRPr="00E7469C">
              <w:rPr>
                <w:rFonts w:ascii="Palatino Linotype" w:eastAsia="Palatino Linotype" w:hAnsi="Palatino Linotype" w:cs="Palatino Linotype"/>
                <w:sz w:val="20"/>
                <w:szCs w:val="20"/>
              </w:rPr>
              <w:t xml:space="preserve"> informó la entrega del convenio que obra en sus archivos, adjuntando el Convenio de Coordinación que celebran la Secretaría de la Mujer del Gobierno del Estado de México y el Ayuntamiento de Atlacomulco, de fecha veintiocho de febrero de dos mil veintidós.</w:t>
            </w:r>
          </w:p>
          <w:p w14:paraId="733E03B8"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2D21A34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La </w:t>
            </w:r>
            <w:proofErr w:type="gramStart"/>
            <w:r w:rsidRPr="00E7469C">
              <w:rPr>
                <w:rFonts w:ascii="Palatino Linotype" w:eastAsia="Palatino Linotype" w:hAnsi="Palatino Linotype" w:cs="Palatino Linotype"/>
                <w:b/>
                <w:sz w:val="20"/>
                <w:szCs w:val="20"/>
              </w:rPr>
              <w:t>Directora</w:t>
            </w:r>
            <w:proofErr w:type="gramEnd"/>
            <w:r w:rsidRPr="00E7469C">
              <w:rPr>
                <w:rFonts w:ascii="Palatino Linotype" w:eastAsia="Palatino Linotype" w:hAnsi="Palatino Linotype" w:cs="Palatino Linotype"/>
                <w:b/>
                <w:sz w:val="20"/>
                <w:szCs w:val="20"/>
              </w:rPr>
              <w:t xml:space="preserve"> de Desarrollo Económico</w:t>
            </w:r>
            <w:r w:rsidRPr="00E7469C">
              <w:rPr>
                <w:rFonts w:ascii="Palatino Linotype" w:eastAsia="Palatino Linotype" w:hAnsi="Palatino Linotype" w:cs="Palatino Linotype"/>
                <w:sz w:val="20"/>
                <w:szCs w:val="20"/>
              </w:rPr>
              <w:t xml:space="preserve"> informó la entrega de los archivos localizados en la búsqueda realizada relativa a los años 2022, 2023 y 2024; así como, los generados en el año 2025 en su correcta versión pública, aprobada en la Décima Cuarta Sesión Extraordinaria del Comité de Transparencia de fecha ocho de abril de dos mil veinticinco, mediante Acuerdo ACT/ATLACOMULCO/EXT/CT/14ª/ACU-CUARTO/2025. Adjuntando 23 convenios </w:t>
            </w:r>
            <w:r w:rsidRPr="00E7469C">
              <w:rPr>
                <w:rFonts w:ascii="Palatino Linotype" w:eastAsia="Palatino Linotype" w:hAnsi="Palatino Linotype" w:cs="Palatino Linotype"/>
                <w:sz w:val="20"/>
                <w:szCs w:val="20"/>
              </w:rPr>
              <w:lastRenderedPageBreak/>
              <w:t>celebrados por el ayuntamiento de Atlacomulco en los años dos mil veintitrés y dos mil veinticuatro.</w:t>
            </w:r>
          </w:p>
        </w:tc>
        <w:tc>
          <w:tcPr>
            <w:tcW w:w="1985" w:type="dxa"/>
            <w:tcBorders>
              <w:top w:val="single" w:sz="4" w:space="0" w:color="000000"/>
              <w:left w:val="single" w:sz="4" w:space="0" w:color="000000"/>
              <w:bottom w:val="single" w:sz="4" w:space="0" w:color="000000"/>
              <w:right w:val="single" w:sz="4" w:space="0" w:color="000000"/>
            </w:tcBorders>
          </w:tcPr>
          <w:p w14:paraId="7E82ABB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La Sindica Municipal informó la entrega de los convenios celebrados en el año 2022, 2024 y 2025, que obran en la sindicatura municipal en su versión pública, toda vez que en los convenios se encuentran nombres de servidores públicos de la Comisaria y Tránsito Municipal que se desempeñan como elementos operativos en materia de seguridad pública en el Ayuntamiento de Atlacomulco; versión pública aprobada en la cuarta sesión del comité de transparencia de fecha veintidós de abril del año dos mil veinticinco, mediante acuerdo ACT/ATLACOMU</w:t>
            </w:r>
            <w:r w:rsidRPr="00E7469C">
              <w:rPr>
                <w:rFonts w:ascii="Palatino Linotype" w:eastAsia="Palatino Linotype" w:hAnsi="Palatino Linotype" w:cs="Palatino Linotype"/>
                <w:sz w:val="20"/>
                <w:szCs w:val="20"/>
              </w:rPr>
              <w:lastRenderedPageBreak/>
              <w:t>LCO/ORD/CT/4°/ACU-OCTAVO/2025.</w:t>
            </w:r>
          </w:p>
          <w:p w14:paraId="76039201"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0205257B"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Adjuntando 11 Convenios celebrados con particulares para dar solución a conflictos que se originaron por los daños ocasionados a los Bienes Municipales, celebrados en los meses de febrero, abril, junio, agosto, septiembre, octubre y noviembre de dos mil veintidós; así como, enero de dos mil veinticuatro y enero de dos mil veinticinco, en versión pública.</w:t>
            </w:r>
          </w:p>
          <w:p w14:paraId="1A7B8F91"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113F63C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Por lo que respecta al año 2023 no se realizaron convenios. </w:t>
            </w:r>
          </w:p>
          <w:p w14:paraId="47E39951"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017D91F8"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49558CE4"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b/>
                <w:sz w:val="20"/>
                <w:szCs w:val="20"/>
              </w:rPr>
              <w:lastRenderedPageBreak/>
              <w:t>Colmó</w:t>
            </w:r>
          </w:p>
        </w:tc>
      </w:tr>
      <w:tr w:rsidR="0062028D" w:rsidRPr="00E7469C" w14:paraId="09C2585E" w14:textId="77777777">
        <w:tc>
          <w:tcPr>
            <w:tcW w:w="562" w:type="dxa"/>
            <w:tcBorders>
              <w:top w:val="single" w:sz="4" w:space="0" w:color="000000"/>
              <w:left w:val="single" w:sz="4" w:space="0" w:color="000000"/>
              <w:bottom w:val="single" w:sz="4" w:space="0" w:color="000000"/>
              <w:right w:val="single" w:sz="4" w:space="0" w:color="000000"/>
            </w:tcBorders>
          </w:tcPr>
          <w:p w14:paraId="28C10195"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21</w:t>
            </w:r>
          </w:p>
        </w:tc>
        <w:tc>
          <w:tcPr>
            <w:tcW w:w="1418" w:type="dxa"/>
            <w:tcBorders>
              <w:top w:val="single" w:sz="4" w:space="0" w:color="000000"/>
              <w:left w:val="single" w:sz="4" w:space="0" w:color="000000"/>
              <w:bottom w:val="single" w:sz="4" w:space="0" w:color="000000"/>
              <w:right w:val="single" w:sz="4" w:space="0" w:color="000000"/>
            </w:tcBorders>
          </w:tcPr>
          <w:p w14:paraId="0F668307"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bookmarkStart w:id="8" w:name="_heading=h.9p48fseornss" w:colFirst="0" w:colLast="0"/>
            <w:bookmarkEnd w:id="8"/>
            <w:r w:rsidRPr="00E7469C">
              <w:rPr>
                <w:rFonts w:ascii="Palatino Linotype" w:eastAsia="Palatino Linotype" w:hAnsi="Palatino Linotype" w:cs="Palatino Linotype"/>
                <w:sz w:val="20"/>
                <w:szCs w:val="20"/>
              </w:rPr>
              <w:t>Licencias de Construcción del 2022, 2023, 2024 y 2025, en versión pública</w:t>
            </w:r>
          </w:p>
        </w:tc>
        <w:tc>
          <w:tcPr>
            <w:tcW w:w="3260" w:type="dxa"/>
            <w:tcBorders>
              <w:top w:val="single" w:sz="4" w:space="0" w:color="000000"/>
              <w:left w:val="single" w:sz="4" w:space="0" w:color="000000"/>
              <w:bottom w:val="single" w:sz="4" w:space="0" w:color="000000"/>
              <w:right w:val="single" w:sz="4" w:space="0" w:color="000000"/>
            </w:tcBorders>
          </w:tcPr>
          <w:p w14:paraId="6ABD6B79"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bookmarkStart w:id="9" w:name="_heading=h.krbs69h1tuqc" w:colFirst="0" w:colLast="0"/>
            <w:bookmarkEnd w:id="9"/>
            <w:r w:rsidRPr="00E7469C">
              <w:rPr>
                <w:rFonts w:ascii="Palatino Linotype" w:eastAsia="Palatino Linotype" w:hAnsi="Palatino Linotype" w:cs="Palatino Linotype"/>
                <w:sz w:val="20"/>
                <w:szCs w:val="20"/>
              </w:rPr>
              <w:t xml:space="preserve">El </w:t>
            </w:r>
            <w:proofErr w:type="gramStart"/>
            <w:r w:rsidRPr="00E7469C">
              <w:rPr>
                <w:rFonts w:ascii="Palatino Linotype" w:eastAsia="Palatino Linotype" w:hAnsi="Palatino Linotype" w:cs="Palatino Linotype"/>
                <w:sz w:val="20"/>
                <w:szCs w:val="20"/>
              </w:rPr>
              <w:t>Director</w:t>
            </w:r>
            <w:proofErr w:type="gramEnd"/>
            <w:r w:rsidRPr="00E7469C">
              <w:rPr>
                <w:rFonts w:ascii="Palatino Linotype" w:eastAsia="Palatino Linotype" w:hAnsi="Palatino Linotype" w:cs="Palatino Linotype"/>
                <w:sz w:val="20"/>
                <w:szCs w:val="20"/>
              </w:rPr>
              <w:t xml:space="preserve"> de Desarrollo Urbano informó la entrega de la siguiente liga electrónica; así como, el procedimiento a seguir, para obtener la información de los años 2018 al 2023:</w:t>
            </w:r>
          </w:p>
          <w:p w14:paraId="7FD0E92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noProof/>
                <w:sz w:val="20"/>
                <w:szCs w:val="20"/>
                <w:lang w:val="es-MX"/>
              </w:rPr>
              <w:drawing>
                <wp:inline distT="0" distB="0" distL="0" distR="0" wp14:anchorId="3AC59972" wp14:editId="499C7B43">
                  <wp:extent cx="2121744" cy="276898"/>
                  <wp:effectExtent l="0" t="0" r="0" b="0"/>
                  <wp:docPr id="2144923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121744" cy="276898"/>
                          </a:xfrm>
                          <a:prstGeom prst="rect">
                            <a:avLst/>
                          </a:prstGeom>
                          <a:ln/>
                        </pic:spPr>
                      </pic:pic>
                    </a:graphicData>
                  </a:graphic>
                </wp:inline>
              </w:drawing>
            </w:r>
          </w:p>
          <w:p w14:paraId="0C8E7CF4"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Aunado a ello, informó la entrega de las licencias de construcción en versión pública aprobadas por el Comité de Transparencia, mediante Acuerdo ACT/ATLACOMULCO/EXT/CT/12°/ACU-QUINTO/2025 de la Décima Segunda Sesión Extraordinaria, de fecha veintisiete de marzo de dos mil veinticinco y que fueron emitidas en 2024 y 2025 a la fecha de la solicitud de información.</w:t>
            </w:r>
          </w:p>
          <w:p w14:paraId="515C5E34"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5F96C84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Adjuntando un documento que contiene 271 fojas, las cuales contiene Constancias de Terminación de Obra, Licencia Municipal de Construcción de Barda, Permiso de Ruptura en Banqueta y Excavación, Permiso de Ruptura en Guarnición y Excavación, Licencia Municipal de Construcción en Modificación de Fachada, Licencia Municipal de Construcción de Prorroga, Permiso de Ruptura en Banqueta y Excavación, Licencia Municipal de Demolición, Licencia Municipal de Construcción, Licencia Municipal de Suspensión de Obra y Permiso </w:t>
            </w:r>
            <w:r w:rsidRPr="00E7469C">
              <w:rPr>
                <w:rFonts w:ascii="Palatino Linotype" w:eastAsia="Palatino Linotype" w:hAnsi="Palatino Linotype" w:cs="Palatino Linotype"/>
                <w:sz w:val="20"/>
                <w:szCs w:val="20"/>
              </w:rPr>
              <w:lastRenderedPageBreak/>
              <w:t>de Ruptura de Concreto en Carretera y Excavación.</w:t>
            </w:r>
          </w:p>
        </w:tc>
        <w:tc>
          <w:tcPr>
            <w:tcW w:w="1985" w:type="dxa"/>
            <w:tcBorders>
              <w:top w:val="single" w:sz="4" w:space="0" w:color="000000"/>
              <w:left w:val="single" w:sz="4" w:space="0" w:color="000000"/>
              <w:bottom w:val="single" w:sz="4" w:space="0" w:color="000000"/>
              <w:right w:val="single" w:sz="4" w:space="0" w:color="000000"/>
            </w:tcBorders>
          </w:tcPr>
          <w:p w14:paraId="368D5DE0"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lastRenderedPageBreak/>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6857224E"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b/>
                <w:sz w:val="20"/>
                <w:szCs w:val="20"/>
              </w:rPr>
              <w:t>Parcialmente</w:t>
            </w:r>
          </w:p>
          <w:p w14:paraId="71CBF28F" w14:textId="77777777" w:rsidR="002377F0" w:rsidRPr="00E7469C" w:rsidRDefault="002377F0">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38254B3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Remitió la liga para la consulta de los años 2022 y 2023 en datos cerrados, y las licencias remitidas del primero de enero de dos mil veinticuatro al siete de marzo de dos mil veinticinco, se encuentran en incorrecta versión pública. </w:t>
            </w:r>
          </w:p>
        </w:tc>
      </w:tr>
      <w:tr w:rsidR="0062028D" w:rsidRPr="00E7469C" w14:paraId="0D92666C" w14:textId="77777777">
        <w:tc>
          <w:tcPr>
            <w:tcW w:w="562" w:type="dxa"/>
            <w:tcBorders>
              <w:top w:val="single" w:sz="4" w:space="0" w:color="000000"/>
              <w:left w:val="single" w:sz="4" w:space="0" w:color="000000"/>
              <w:bottom w:val="single" w:sz="4" w:space="0" w:color="000000"/>
              <w:right w:val="single" w:sz="4" w:space="0" w:color="000000"/>
            </w:tcBorders>
          </w:tcPr>
          <w:p w14:paraId="7FC4BF26"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22</w:t>
            </w:r>
          </w:p>
        </w:tc>
        <w:tc>
          <w:tcPr>
            <w:tcW w:w="1418" w:type="dxa"/>
            <w:tcBorders>
              <w:top w:val="single" w:sz="4" w:space="0" w:color="000000"/>
              <w:left w:val="single" w:sz="4" w:space="0" w:color="000000"/>
              <w:bottom w:val="single" w:sz="4" w:space="0" w:color="000000"/>
              <w:right w:val="single" w:sz="4" w:space="0" w:color="000000"/>
            </w:tcBorders>
          </w:tcPr>
          <w:p w14:paraId="39E60D11"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 xml:space="preserve">Saber si el municipio llego a tener alguna observación por el </w:t>
            </w:r>
            <w:proofErr w:type="spellStart"/>
            <w:r w:rsidRPr="00E7469C">
              <w:rPr>
                <w:rFonts w:ascii="Palatino Linotype" w:eastAsia="Palatino Linotype" w:hAnsi="Palatino Linotype" w:cs="Palatino Linotype"/>
                <w:sz w:val="20"/>
                <w:szCs w:val="20"/>
              </w:rPr>
              <w:t>Osfem</w:t>
            </w:r>
            <w:proofErr w:type="spellEnd"/>
            <w:r w:rsidRPr="00E7469C">
              <w:rPr>
                <w:rFonts w:ascii="Palatino Linotype" w:eastAsia="Palatino Linotype" w:hAnsi="Palatino Linotype" w:cs="Palatino Linotype"/>
                <w:sz w:val="20"/>
                <w:szCs w:val="20"/>
              </w:rPr>
              <w:t xml:space="preserve"> y si fuera el caso el motivo</w:t>
            </w:r>
          </w:p>
        </w:tc>
        <w:tc>
          <w:tcPr>
            <w:tcW w:w="3260" w:type="dxa"/>
            <w:tcBorders>
              <w:top w:val="single" w:sz="4" w:space="0" w:color="000000"/>
              <w:left w:val="single" w:sz="4" w:space="0" w:color="000000"/>
              <w:bottom w:val="single" w:sz="4" w:space="0" w:color="000000"/>
              <w:right w:val="single" w:sz="4" w:space="0" w:color="000000"/>
            </w:tcBorders>
          </w:tcPr>
          <w:p w14:paraId="49900D2E"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El Tesorero Municipal informó que de acuerdo con la información que obra en los archivos de esta Tesorería Municipal, no se encontraron datos sobre observaciones por parte del Órgano Superior de Fiscalización del Estado de México.</w:t>
            </w:r>
          </w:p>
        </w:tc>
        <w:tc>
          <w:tcPr>
            <w:tcW w:w="1985" w:type="dxa"/>
            <w:tcBorders>
              <w:top w:val="single" w:sz="4" w:space="0" w:color="000000"/>
              <w:left w:val="single" w:sz="4" w:space="0" w:color="000000"/>
              <w:bottom w:val="single" w:sz="4" w:space="0" w:color="000000"/>
              <w:right w:val="single" w:sz="4" w:space="0" w:color="000000"/>
            </w:tcBorders>
          </w:tcPr>
          <w:p w14:paraId="36568CE8" w14:textId="77777777" w:rsidR="002377F0" w:rsidRPr="00E7469C" w:rsidRDefault="008C7182">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E7469C">
              <w:rPr>
                <w:rFonts w:ascii="Palatino Linotype" w:eastAsia="Palatino Linotype" w:hAnsi="Palatino Linotype" w:cs="Palatino Linotype"/>
                <w:sz w:val="20"/>
                <w:szCs w:val="20"/>
              </w:rPr>
              <w:t>Ratificó su respuesta</w:t>
            </w:r>
          </w:p>
        </w:tc>
        <w:tc>
          <w:tcPr>
            <w:tcW w:w="1984" w:type="dxa"/>
            <w:tcBorders>
              <w:top w:val="single" w:sz="4" w:space="0" w:color="000000"/>
              <w:left w:val="single" w:sz="4" w:space="0" w:color="000000"/>
              <w:bottom w:val="single" w:sz="4" w:space="0" w:color="000000"/>
              <w:right w:val="single" w:sz="4" w:space="0" w:color="000000"/>
            </w:tcBorders>
          </w:tcPr>
          <w:p w14:paraId="3168690A" w14:textId="77777777" w:rsidR="002377F0" w:rsidRPr="00E7469C" w:rsidRDefault="008C7182">
            <w:pPr>
              <w:pBdr>
                <w:top w:val="nil"/>
                <w:left w:val="nil"/>
                <w:bottom w:val="nil"/>
                <w:right w:val="nil"/>
                <w:between w:val="nil"/>
              </w:pBdr>
              <w:tabs>
                <w:tab w:val="left" w:pos="709"/>
              </w:tabs>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Colmó</w:t>
            </w:r>
          </w:p>
        </w:tc>
      </w:tr>
    </w:tbl>
    <w:p w14:paraId="44700324"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183567F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Determinado lo anterior, se procede al análisis pormenorizado de los puntos que no fueron colmados para efecto de determinar si es pertinente su entrega:</w:t>
      </w:r>
    </w:p>
    <w:p w14:paraId="53E2AAE0"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9C23109" w14:textId="77777777" w:rsidR="002377F0" w:rsidRPr="00E7469C" w:rsidRDefault="008C7182">
      <w:pPr>
        <w:numPr>
          <w:ilvl w:val="0"/>
          <w:numId w:val="3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Padrón de proveedores que tiene el municipio. </w:t>
      </w:r>
    </w:p>
    <w:p w14:paraId="69E0020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Se procede al análisis de la respuesta proporcionada por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 efecto de determinar si es suficiente para tener por colmado el derecho de acceso a la información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o en su defecto ordenar la entrega del o los documentos que lo satisfagan, por ello, es de recordar que la respuesta es otorgada por la Dirección de Administración, quien cuenta con las siguientes atribuciones:</w:t>
      </w:r>
    </w:p>
    <w:p w14:paraId="51BBC07B"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AD41004"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MANUAL DE ORGANIZACIÓN DE LA DIRECCIÓN DE ADMINISTRACIÓN </w:t>
      </w:r>
    </w:p>
    <w:p w14:paraId="2477416C"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1.1. DEPARTAMENTO DE RECURSOS MATERIALES Y ADQUISICIONES. </w:t>
      </w:r>
    </w:p>
    <w:p w14:paraId="0E158928"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i/>
          <w:sz w:val="22"/>
          <w:szCs w:val="22"/>
        </w:rPr>
        <w:t>(…)</w:t>
      </w:r>
    </w:p>
    <w:p w14:paraId="6B3B6A7E"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14. Verificar que la integración del Catálogo de Proveedores se realice anualmente de forma correcta; …” (Sic)</w:t>
      </w:r>
    </w:p>
    <w:p w14:paraId="61714EF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2F063C7" w14:textId="77777777" w:rsidR="002377F0" w:rsidRPr="00E7469C" w:rsidRDefault="008C7182">
      <w:pPr>
        <w:spacing w:line="360" w:lineRule="auto"/>
        <w:jc w:val="both"/>
        <w:rPr>
          <w:rFonts w:ascii="Palatino Linotype" w:eastAsia="Palatino Linotype" w:hAnsi="Palatino Linotype" w:cs="Palatino Linotype"/>
          <w:sz w:val="22"/>
          <w:szCs w:val="22"/>
        </w:rPr>
      </w:pP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lo anterior la Dirección de Administración a través del Departamento de Recursos Materiales y Adquisiciones, supervisa que la integración del catálogo de proveedores se realice anualmente de forma correcta. </w:t>
      </w:r>
    </w:p>
    <w:p w14:paraId="6B30ACA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55C3099" w14:textId="77777777" w:rsidR="002377F0" w:rsidRPr="00E7469C" w:rsidRDefault="008C718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tenemos que el</w:t>
      </w:r>
      <w:r w:rsidRPr="00E7469C">
        <w:rPr>
          <w:rFonts w:ascii="Palatino Linotype" w:eastAsia="Palatino Linotype" w:hAnsi="Palatino Linotype" w:cs="Palatino Linotype"/>
          <w:b/>
          <w:sz w:val="22"/>
          <w:szCs w:val="22"/>
        </w:rPr>
        <w:t xml:space="preserve"> Sujeto Obligado</w:t>
      </w:r>
      <w:r w:rsidRPr="00E7469C">
        <w:rPr>
          <w:rFonts w:ascii="Palatino Linotype" w:eastAsia="Palatino Linotype" w:hAnsi="Palatino Linotype" w:cs="Palatino Linotype"/>
          <w:sz w:val="22"/>
          <w:szCs w:val="22"/>
        </w:rPr>
        <w:t>,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la Persona Servidora Pública Habilitada es el competente para apoyar, gestionar y entregar la información: </w:t>
      </w:r>
    </w:p>
    <w:p w14:paraId="7CC144C1" w14:textId="77777777" w:rsidR="002377F0" w:rsidRPr="00E7469C" w:rsidRDefault="002377F0">
      <w:pPr>
        <w:pBdr>
          <w:top w:val="nil"/>
          <w:left w:val="nil"/>
          <w:bottom w:val="nil"/>
          <w:right w:val="nil"/>
          <w:between w:val="nil"/>
        </w:pBdr>
        <w:spacing w:line="276" w:lineRule="auto"/>
        <w:ind w:left="862" w:right="862"/>
        <w:jc w:val="both"/>
        <w:rPr>
          <w:rFonts w:ascii="Palatino Linotype" w:eastAsia="Palatino Linotype" w:hAnsi="Palatino Linotype" w:cs="Palatino Linotype"/>
          <w:i/>
          <w:sz w:val="22"/>
          <w:szCs w:val="22"/>
        </w:rPr>
      </w:pPr>
    </w:p>
    <w:p w14:paraId="1D77A4E3" w14:textId="77777777" w:rsidR="002377F0" w:rsidRPr="00E7469C" w:rsidRDefault="008C7182">
      <w:pPr>
        <w:pBdr>
          <w:top w:val="nil"/>
          <w:left w:val="nil"/>
          <w:bottom w:val="nil"/>
          <w:right w:val="nil"/>
          <w:between w:val="nil"/>
        </w:pBdr>
        <w:spacing w:line="276" w:lineRule="auto"/>
        <w:ind w:left="862"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1FD6D36" w14:textId="77777777" w:rsidR="002377F0" w:rsidRPr="00E7469C" w:rsidRDefault="002377F0">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p>
    <w:p w14:paraId="425374CD" w14:textId="77777777" w:rsidR="002377F0" w:rsidRPr="00E7469C" w:rsidRDefault="008C718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6B4C18E" w14:textId="77777777" w:rsidR="002377F0" w:rsidRPr="00E7469C" w:rsidRDefault="002377F0">
      <w:pPr>
        <w:pBdr>
          <w:top w:val="nil"/>
          <w:left w:val="nil"/>
          <w:bottom w:val="nil"/>
          <w:right w:val="nil"/>
          <w:between w:val="nil"/>
        </w:pBdr>
        <w:spacing w:line="276" w:lineRule="auto"/>
        <w:ind w:left="862" w:right="862"/>
        <w:jc w:val="both"/>
        <w:rPr>
          <w:rFonts w:ascii="Palatino Linotype" w:eastAsia="Palatino Linotype" w:hAnsi="Palatino Linotype" w:cs="Palatino Linotype"/>
          <w:i/>
          <w:sz w:val="22"/>
          <w:szCs w:val="22"/>
        </w:rPr>
      </w:pPr>
    </w:p>
    <w:p w14:paraId="2F721956" w14:textId="77777777" w:rsidR="002377F0" w:rsidRPr="00E7469C" w:rsidRDefault="008C7182">
      <w:pPr>
        <w:pBdr>
          <w:top w:val="nil"/>
          <w:left w:val="nil"/>
          <w:bottom w:val="nil"/>
          <w:right w:val="nil"/>
          <w:between w:val="nil"/>
        </w:pBdr>
        <w:spacing w:line="276" w:lineRule="auto"/>
        <w:ind w:left="862"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“Artículo 162. Las unidades de transparencia deberán garantizar que las solicitudes </w:t>
      </w:r>
      <w:r w:rsidRPr="00E7469C">
        <w:rPr>
          <w:rFonts w:ascii="Palatino Linotype" w:eastAsia="Palatino Linotype" w:hAnsi="Palatino Linotype" w:cs="Palatino Linotype"/>
          <w:b/>
          <w:i/>
          <w:sz w:val="22"/>
          <w:szCs w:val="22"/>
        </w:rPr>
        <w:t xml:space="preserve">se turnen a todas las Áreas competentes </w:t>
      </w:r>
      <w:r w:rsidRPr="00E7469C">
        <w:rPr>
          <w:rFonts w:ascii="Palatino Linotype" w:eastAsia="Palatino Linotype" w:hAnsi="Palatino Linotype" w:cs="Palatino Linotype"/>
          <w:i/>
          <w:sz w:val="22"/>
          <w:szCs w:val="22"/>
        </w:rPr>
        <w:t xml:space="preserve">que cuenten con la información o deban tenerla </w:t>
      </w:r>
      <w:proofErr w:type="gramStart"/>
      <w:r w:rsidRPr="00E7469C">
        <w:rPr>
          <w:rFonts w:ascii="Palatino Linotype" w:eastAsia="Palatino Linotype" w:hAnsi="Palatino Linotype" w:cs="Palatino Linotype"/>
          <w:i/>
          <w:sz w:val="22"/>
          <w:szCs w:val="22"/>
        </w:rPr>
        <w:t>de acuerdo a</w:t>
      </w:r>
      <w:proofErr w:type="gramEnd"/>
      <w:r w:rsidRPr="00E7469C">
        <w:rPr>
          <w:rFonts w:ascii="Palatino Linotype" w:eastAsia="Palatino Linotype" w:hAnsi="Palatino Linotype" w:cs="Palatino Linotype"/>
          <w:i/>
          <w:sz w:val="22"/>
          <w:szCs w:val="22"/>
        </w:rPr>
        <w:t xml:space="preserve"> sus facultades, competencias y funciones, con el objeto de que realicen una búsqueda exhaustiva y razonable de la información solicitada.”</w:t>
      </w:r>
    </w:p>
    <w:p w14:paraId="4742CD49"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8CA499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Sin embargo, a pesar de que se pronunció el servidor público habilitado, hace entrega de lo siguiente:</w:t>
      </w:r>
    </w:p>
    <w:p w14:paraId="3375875C" w14:textId="77777777" w:rsidR="002377F0" w:rsidRPr="00E7469C" w:rsidRDefault="008C7182">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133192CF" wp14:editId="6FD9BE07">
            <wp:extent cx="4395126" cy="3715270"/>
            <wp:effectExtent l="0" t="0" r="0" b="0"/>
            <wp:docPr id="21449236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4395126" cy="3715270"/>
                    </a:xfrm>
                    <a:prstGeom prst="rect">
                      <a:avLst/>
                    </a:prstGeom>
                    <a:ln/>
                  </pic:spPr>
                </pic:pic>
              </a:graphicData>
            </a:graphic>
          </wp:inline>
        </w:drawing>
      </w:r>
      <w:r w:rsidRPr="00E7469C">
        <w:rPr>
          <w:rFonts w:ascii="Palatino Linotype" w:eastAsia="Palatino Linotype" w:hAnsi="Palatino Linotype" w:cs="Palatino Linotype"/>
          <w:noProof/>
          <w:sz w:val="22"/>
          <w:szCs w:val="22"/>
          <w:lang w:val="es-MX"/>
        </w:rPr>
        <w:drawing>
          <wp:inline distT="0" distB="0" distL="0" distR="0" wp14:anchorId="0F5C008A" wp14:editId="578D7A7C">
            <wp:extent cx="4278747" cy="3344108"/>
            <wp:effectExtent l="0" t="0" r="0" b="0"/>
            <wp:docPr id="21449236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4278747" cy="3344108"/>
                    </a:xfrm>
                    <a:prstGeom prst="rect">
                      <a:avLst/>
                    </a:prstGeom>
                    <a:ln/>
                  </pic:spPr>
                </pic:pic>
              </a:graphicData>
            </a:graphic>
          </wp:inline>
        </w:drawing>
      </w:r>
    </w:p>
    <w:p w14:paraId="3ED6B10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A efecto de determinar si dicha información colma con lo </w:t>
      </w:r>
      <w:proofErr w:type="gramStart"/>
      <w:r w:rsidRPr="00E7469C">
        <w:rPr>
          <w:rFonts w:ascii="Palatino Linotype" w:eastAsia="Palatino Linotype" w:hAnsi="Palatino Linotype" w:cs="Palatino Linotype"/>
          <w:sz w:val="22"/>
          <w:szCs w:val="22"/>
        </w:rPr>
        <w:t>solicitado,</w:t>
      </w:r>
      <w:proofErr w:type="gramEnd"/>
      <w:r w:rsidRPr="00E7469C">
        <w:rPr>
          <w:rFonts w:ascii="Palatino Linotype" w:eastAsia="Palatino Linotype" w:hAnsi="Palatino Linotype" w:cs="Palatino Linotype"/>
          <w:sz w:val="22"/>
          <w:szCs w:val="22"/>
        </w:rPr>
        <w:t xml:space="preserve"> resulta indispensable citar la siguiente normatividad:</w:t>
      </w:r>
    </w:p>
    <w:p w14:paraId="4D526D3A" w14:textId="77777777" w:rsidR="002377F0" w:rsidRPr="00E7469C" w:rsidRDefault="002377F0">
      <w:pPr>
        <w:shd w:val="clear" w:color="auto" w:fill="FFFFFF"/>
        <w:spacing w:line="276" w:lineRule="auto"/>
        <w:ind w:left="993" w:right="1041"/>
        <w:jc w:val="both"/>
        <w:rPr>
          <w:rFonts w:ascii="Palatino Linotype" w:eastAsia="Palatino Linotype" w:hAnsi="Palatino Linotype" w:cs="Palatino Linotype"/>
          <w:b/>
          <w:i/>
          <w:sz w:val="22"/>
          <w:szCs w:val="22"/>
        </w:rPr>
      </w:pPr>
    </w:p>
    <w:p w14:paraId="6E35246E"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“LEY DE TRANSPARENCIA Y ACCESO A LA INFORMACIÓN PÚBLICA DEL ESTADO DE MÉXICO Y MUNICIPIOS. </w:t>
      </w:r>
    </w:p>
    <w:p w14:paraId="07C3926A"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Artículo 92. </w:t>
      </w:r>
      <w:r w:rsidRPr="00E7469C">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D4A91F"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1D690872"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XXXVI. Padrón de proveedores y contratistas</w:t>
      </w:r>
      <w:proofErr w:type="gramStart"/>
      <w:r w:rsidRPr="00E7469C">
        <w:rPr>
          <w:rFonts w:ascii="Palatino Linotype" w:eastAsia="Palatino Linotype" w:hAnsi="Palatino Linotype" w:cs="Palatino Linotype"/>
          <w:i/>
          <w:sz w:val="22"/>
          <w:szCs w:val="22"/>
        </w:rPr>
        <w:t>;”(</w:t>
      </w:r>
      <w:proofErr w:type="gramEnd"/>
      <w:r w:rsidRPr="00E7469C">
        <w:rPr>
          <w:rFonts w:ascii="Palatino Linotype" w:eastAsia="Palatino Linotype" w:hAnsi="Palatino Linotype" w:cs="Palatino Linotype"/>
          <w:i/>
          <w:sz w:val="22"/>
          <w:szCs w:val="22"/>
        </w:rPr>
        <w:t>Sic)</w:t>
      </w:r>
    </w:p>
    <w:p w14:paraId="6175AC64" w14:textId="77777777" w:rsidR="002377F0" w:rsidRPr="00E7469C" w:rsidRDefault="002377F0">
      <w:pPr>
        <w:shd w:val="clear" w:color="auto" w:fill="FFFFFF"/>
        <w:spacing w:line="276" w:lineRule="auto"/>
        <w:ind w:right="1041"/>
        <w:jc w:val="both"/>
        <w:rPr>
          <w:rFonts w:ascii="Palatino Linotype" w:eastAsia="Palatino Linotype" w:hAnsi="Palatino Linotype" w:cs="Palatino Linotype"/>
          <w:i/>
          <w:sz w:val="22"/>
          <w:szCs w:val="22"/>
        </w:rPr>
      </w:pPr>
    </w:p>
    <w:p w14:paraId="7A63744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Respecto a los elementos que debe contener dicho padrón se establece lo siguiente:</w:t>
      </w:r>
    </w:p>
    <w:p w14:paraId="546FF273" w14:textId="77777777" w:rsidR="002377F0" w:rsidRPr="00E7469C" w:rsidRDefault="002377F0">
      <w:pPr>
        <w:shd w:val="clear" w:color="auto" w:fill="FFFFFF"/>
        <w:spacing w:line="276" w:lineRule="auto"/>
        <w:ind w:right="1041"/>
        <w:jc w:val="both"/>
        <w:rPr>
          <w:rFonts w:ascii="Palatino Linotype" w:eastAsia="Palatino Linotype" w:hAnsi="Palatino Linotype" w:cs="Palatino Linotype"/>
          <w:i/>
          <w:sz w:val="22"/>
          <w:szCs w:val="22"/>
        </w:rPr>
      </w:pPr>
    </w:p>
    <w:p w14:paraId="65B503F6"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6C65DA91" w14:textId="77777777" w:rsidR="002377F0" w:rsidRPr="00E7469C" w:rsidRDefault="002377F0">
      <w:pPr>
        <w:shd w:val="clear" w:color="auto" w:fill="FFFFFF"/>
        <w:spacing w:line="276" w:lineRule="auto"/>
        <w:ind w:left="851" w:right="567"/>
        <w:jc w:val="both"/>
        <w:rPr>
          <w:rFonts w:ascii="Palatino Linotype" w:eastAsia="Palatino Linotype" w:hAnsi="Palatino Linotype" w:cs="Palatino Linotype"/>
          <w:i/>
          <w:sz w:val="22"/>
          <w:szCs w:val="22"/>
        </w:rPr>
      </w:pPr>
    </w:p>
    <w:p w14:paraId="1A7EE397"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XXXII. Padrón de proveedores y contratistas</w:t>
      </w:r>
    </w:p>
    <w:p w14:paraId="10EDD586"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cumplimiento a la presente fracción, los sujetos obligados deberán publicar un padrón con información relativa a las personas físicas161 y morales con las que celebren contratos de adquisiciones, arrendamientos, servicios, obras públicas y/o servicios relacionados con las mismas, que deberá actualizarse por lo menos cada tres meses.</w:t>
      </w:r>
    </w:p>
    <w:p w14:paraId="0F253BF7" w14:textId="77777777" w:rsidR="002377F0" w:rsidRPr="00E7469C" w:rsidRDefault="002377F0">
      <w:pPr>
        <w:shd w:val="clear" w:color="auto" w:fill="FFFFFF"/>
        <w:spacing w:line="276" w:lineRule="auto"/>
        <w:ind w:left="851" w:right="567"/>
        <w:jc w:val="both"/>
        <w:rPr>
          <w:rFonts w:ascii="Palatino Linotype" w:eastAsia="Palatino Linotype" w:hAnsi="Palatino Linotype" w:cs="Palatino Linotype"/>
          <w:i/>
          <w:sz w:val="22"/>
          <w:szCs w:val="22"/>
        </w:rPr>
      </w:pPr>
    </w:p>
    <w:p w14:paraId="227A34BF"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En el caso de los sujetos obligados regidos por la Ley de Adquisiciones, Arrendamientos y Servicios del Sector Público, el padrón deberá guardar correspondencia con el Registro Único de Proveedores y Contratistas; el de</w:t>
      </w:r>
    </w:p>
    <w:p w14:paraId="454637D6"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los partidos políticos con el Registro Único de Proveedores y Contratistas del Instituto Nacional Electoral y el resto de los sujetos obligados incluirá el hipervínculo al registro electrónico que en su caso corresponda.</w:t>
      </w:r>
    </w:p>
    <w:p w14:paraId="31D8EC47" w14:textId="77777777" w:rsidR="002377F0" w:rsidRPr="00E7469C" w:rsidRDefault="002377F0">
      <w:pPr>
        <w:shd w:val="clear" w:color="auto" w:fill="FFFFFF"/>
        <w:spacing w:line="276" w:lineRule="auto"/>
        <w:ind w:left="851" w:right="567"/>
        <w:jc w:val="both"/>
        <w:rPr>
          <w:rFonts w:ascii="Palatino Linotype" w:eastAsia="Palatino Linotype" w:hAnsi="Palatino Linotype" w:cs="Palatino Linotype"/>
          <w:i/>
          <w:sz w:val="22"/>
          <w:szCs w:val="22"/>
        </w:rPr>
      </w:pPr>
    </w:p>
    <w:p w14:paraId="69ED29F8" w14:textId="77777777" w:rsidR="002377F0" w:rsidRPr="00E7469C" w:rsidRDefault="008C7182">
      <w:pPr>
        <w:shd w:val="clear" w:color="auto" w:fill="FFFFFF"/>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4A70088D" w14:textId="77777777" w:rsidR="002377F0" w:rsidRPr="00E7469C" w:rsidRDefault="008C7182">
      <w:pPr>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69A0C468" wp14:editId="579BB00F">
            <wp:extent cx="4193387" cy="4549248"/>
            <wp:effectExtent l="0" t="0" r="0" b="0"/>
            <wp:docPr id="21449236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4193387" cy="4549248"/>
                    </a:xfrm>
                    <a:prstGeom prst="rect">
                      <a:avLst/>
                    </a:prstGeom>
                    <a:ln/>
                  </pic:spPr>
                </pic:pic>
              </a:graphicData>
            </a:graphic>
          </wp:inline>
        </w:drawing>
      </w:r>
    </w:p>
    <w:p w14:paraId="4704F3EC"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10" w:name="_heading=h.tufn4p6pay5d" w:colFirst="0" w:colLast="0"/>
      <w:bookmarkEnd w:id="10"/>
      <w:r w:rsidRPr="00E7469C">
        <w:rPr>
          <w:rFonts w:ascii="Palatino Linotype" w:eastAsia="Palatino Linotype" w:hAnsi="Palatino Linotype" w:cs="Palatino Linotype"/>
          <w:sz w:val="22"/>
          <w:szCs w:val="22"/>
        </w:rPr>
        <w:lastRenderedPageBreak/>
        <w:t xml:space="preserve">De acuerdo a lo anterior, el padrón de proveedores no sólo debe contener el nombre o razón social, sino que también deberá incluir datos que lo componen como el domicilio fiscal de la empresa, actividad económica de la empresa, el domicilio en el extranjero, nombre del representante legal, datos de contacto, entre otros, por lo que la información proporcionada en respuesta no contiene los elementos mínimos que deben integrar el padrón de proveedores, motivo por el que este Organismo considera oportuno ordenar la entrega del padrón de proveedores vigente al siete de marzo de dos mil veinticinco. </w:t>
      </w:r>
    </w:p>
    <w:p w14:paraId="240E716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920B5D6" w14:textId="77777777" w:rsidR="002377F0" w:rsidRPr="00E7469C" w:rsidRDefault="008C7182">
      <w:pPr>
        <w:numPr>
          <w:ilvl w:val="0"/>
          <w:numId w:val="7"/>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Licencias de Funcionamiento de los establecimientos, negocios o empresas </w:t>
      </w:r>
    </w:p>
    <w:p w14:paraId="56ECA889" w14:textId="77777777" w:rsidR="002377F0" w:rsidRPr="00E7469C" w:rsidRDefault="008C7182">
      <w:pPr>
        <w:numPr>
          <w:ilvl w:val="0"/>
          <w:numId w:val="7"/>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Licencias de Funcionamiento que se dieron en 2022, 2023, 2024 y 2025, en versión pública</w:t>
      </w:r>
    </w:p>
    <w:p w14:paraId="500A68C9"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respuesta la </w:t>
      </w:r>
      <w:proofErr w:type="gramStart"/>
      <w:r w:rsidRPr="00E7469C">
        <w:rPr>
          <w:rFonts w:ascii="Palatino Linotype" w:eastAsia="Palatino Linotype" w:hAnsi="Palatino Linotype" w:cs="Palatino Linotype"/>
          <w:sz w:val="22"/>
          <w:szCs w:val="22"/>
        </w:rPr>
        <w:t>Directora</w:t>
      </w:r>
      <w:proofErr w:type="gramEnd"/>
      <w:r w:rsidRPr="00E7469C">
        <w:rPr>
          <w:rFonts w:ascii="Palatino Linotype" w:eastAsia="Palatino Linotype" w:hAnsi="Palatino Linotype" w:cs="Palatino Linotype"/>
          <w:sz w:val="22"/>
          <w:szCs w:val="22"/>
        </w:rPr>
        <w:t xml:space="preserve"> de Desarrollo Económico informó que respecto a los establecimientos que cuentan con licencias de funcionamiento, se proporcionan las documentales en versión digital y formato PDF en versión pública, aprobada en la Décima Cuarta Sesión Extraordinaria del Comité de Transparencia, de fecha ocho de abril de dos mil veinticinco, mediante acuerdo número ACT/ATLACOMULCO/EXT/CT/14ª/ACU-CUARTO/2025. </w:t>
      </w:r>
    </w:p>
    <w:p w14:paraId="3A62B8C4"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7857178F"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Asimismo, informó que las licencias de funcionamiento de los años 2022, 2023 y 2024 se encuentran publicadas en la Plataforma de IPOMEX 3.0 y 4.0, ya que corresponde a información pública de oficio, la cual, puede consultar a través de los siguientes links, señalando los pasos para la consulta:  </w:t>
      </w:r>
    </w:p>
    <w:p w14:paraId="402FB96B" w14:textId="77777777" w:rsidR="002377F0" w:rsidRPr="00E7469C" w:rsidRDefault="008C7182">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ABE06F8" wp14:editId="371E1191">
            <wp:extent cx="5214905" cy="1152454"/>
            <wp:effectExtent l="0" t="0" r="0" b="0"/>
            <wp:docPr id="2144923648" name="image21.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Texto&#10;&#10;El contenido generado por IA puede ser incorrecto."/>
                    <pic:cNvPicPr preferRelativeResize="0"/>
                  </pic:nvPicPr>
                  <pic:blipFill>
                    <a:blip r:embed="rId21"/>
                    <a:srcRect/>
                    <a:stretch>
                      <a:fillRect/>
                    </a:stretch>
                  </pic:blipFill>
                  <pic:spPr>
                    <a:xfrm>
                      <a:off x="0" y="0"/>
                      <a:ext cx="5214905" cy="1152454"/>
                    </a:xfrm>
                    <a:prstGeom prst="rect">
                      <a:avLst/>
                    </a:prstGeom>
                    <a:ln/>
                  </pic:spPr>
                </pic:pic>
              </a:graphicData>
            </a:graphic>
          </wp:inline>
        </w:drawing>
      </w:r>
    </w:p>
    <w:p w14:paraId="01E90A14"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Por lo que hace a las Licencias de Funcionamiento del año 2025, informa su entrega en versión pública, aprobada en la Décima Cuarta Sesión Extraordinaria del Comité de Transparencia de fecha ocho de abril de dos mil veinticinco, mediante acuerdo ACT/ATLACOMULCO/EXT/CT/14ª/ACU-CUARTO/2025, indicando que las firmas visibles corresponden a servidores públicos. Adjuntando 561 Licencias de Funcionamiento Comercial emitidas en los meses de enero y febrero de dos mil veinticinco, en versión pública.</w:t>
      </w:r>
    </w:p>
    <w:p w14:paraId="64344A53"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51440A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Una vez precisado lo anterior, conviene señalar que de conformidad con el artículo 31 de la Ley Orgánica Municipal del Estado de México, los ayuntamientos cuentan con atribuciones para otorgar licencia de funcionamiento, previa presentación del Dictamen de Giro, a las unidades económicas que tengan como actividad complementaria o principal la venta de bebidas alcohólicas; además, dicha licencia tendrá una vigencia de cinco años y deberá ser refrendada de manera anual, con independencia de que puedan ser sujetos de visitas de verificación para constatar el cumplimiento de las disposiciones jurídicas aplicables.</w:t>
      </w:r>
    </w:p>
    <w:p w14:paraId="3501F44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7043F6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6901FBF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C2BCB2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Aunado a lo anterior, sobre la naturaleza de las licencias</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sz w:val="22"/>
          <w:szCs w:val="22"/>
        </w:rPr>
        <w:t xml:space="preserve">se debe indicar que no sólo se trata de información pública, sino además que corresponde a las obligaciones de transparencia, </w:t>
      </w: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lo señalado en el artículo 92, fracción XXXII, de la Ley de </w:t>
      </w:r>
      <w:r w:rsidRPr="00E7469C">
        <w:rPr>
          <w:rFonts w:ascii="Palatino Linotype" w:eastAsia="Palatino Linotype" w:hAnsi="Palatino Linotype" w:cs="Palatino Linotype"/>
          <w:sz w:val="22"/>
          <w:szCs w:val="22"/>
        </w:rPr>
        <w:lastRenderedPageBreak/>
        <w:t>Transparencia y Acceso a la Información Pública del Estado de México y Municipios, que se transcribe a continuación:</w:t>
      </w:r>
    </w:p>
    <w:p w14:paraId="071D9F9E"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92.</w:t>
      </w:r>
      <w:r w:rsidRPr="00E746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811AF6"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w:t>
      </w:r>
    </w:p>
    <w:p w14:paraId="71F4096F"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XXXII. </w:t>
      </w:r>
      <w:r w:rsidRPr="00E7469C">
        <w:rPr>
          <w:rFonts w:ascii="Palatino Linotype" w:eastAsia="Palatino Linotype" w:hAnsi="Palatino Linotype" w:cs="Palatino Linotype"/>
          <w:i/>
          <w:sz w:val="22"/>
          <w:szCs w:val="22"/>
        </w:rPr>
        <w:t>Las concesiones, contratos, convenios, permisos</w:t>
      </w: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b/>
          <w:i/>
          <w:sz w:val="22"/>
          <w:szCs w:val="22"/>
          <w:u w:val="single"/>
        </w:rPr>
        <w:t>licencias o autorizaciones otorgados</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i/>
          <w:sz w:val="22"/>
          <w:szCs w:val="22"/>
          <w:u w:val="single"/>
        </w:rPr>
        <w:t>especificando los titulares de aquéllos, debiendo publicarse su objeto, nombre o razón social del titular,</w:t>
      </w:r>
      <w:r w:rsidRPr="00E7469C">
        <w:rPr>
          <w:rFonts w:ascii="Palatino Linotype" w:eastAsia="Palatino Linotype" w:hAnsi="Palatino Linotype" w:cs="Palatino Linotype"/>
          <w:i/>
          <w:sz w:val="22"/>
          <w:szCs w:val="22"/>
        </w:rPr>
        <w:t xml:space="preserve"> vigencia, tipo, términos, condiciones, monto y modificaciones, así como si el procedimiento involucra el aprovechamiento de bienes, servicios y/o recursos públicos;</w:t>
      </w: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i/>
          <w:sz w:val="22"/>
          <w:szCs w:val="22"/>
        </w:rPr>
        <w:t>…”</w:t>
      </w:r>
    </w:p>
    <w:p w14:paraId="3A1ADEC3"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33E0A6FF" w14:textId="77777777" w:rsidR="002377F0" w:rsidRPr="00E7469C" w:rsidRDefault="008C7182">
      <w:pPr>
        <w:spacing w:line="360" w:lineRule="auto"/>
        <w:ind w:firstLine="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Expuesto lo anterior, se concluye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cuenta con atribuciones para generar poseer y/o administrar la información solicitada, a través de la Dirección de Desarrollo Económico. </w:t>
      </w:r>
    </w:p>
    <w:p w14:paraId="4C735B67" w14:textId="77777777" w:rsidR="002377F0" w:rsidRPr="00E7469C" w:rsidRDefault="002377F0">
      <w:pPr>
        <w:spacing w:line="360" w:lineRule="auto"/>
        <w:ind w:firstLine="1"/>
        <w:jc w:val="both"/>
        <w:rPr>
          <w:rFonts w:ascii="Palatino Linotype" w:eastAsia="Palatino Linotype" w:hAnsi="Palatino Linotype" w:cs="Palatino Linotype"/>
          <w:sz w:val="22"/>
          <w:szCs w:val="22"/>
        </w:rPr>
      </w:pPr>
    </w:p>
    <w:p w14:paraId="0086654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mérito de lo expuesto, y de la revisión a las constancias que integran el expediente electrónico, se advierte que la Unidad Administrativa que dio atención a la solicitud fue la Dirección General de Desarrollo Económico, misma que de conformidad con el artículo 83 del Bando Municipal de Atlacomulco vigente, es la encargada de impulsar y difundir la simplificación de trámites y reducción de plazos para el otorgamiento de permisos, licencias y autorizaciones del orden municipal.</w:t>
      </w:r>
    </w:p>
    <w:p w14:paraId="3EE8D72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5928BAD"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ende, se determina que la Unidad de Transparencia cumplió con lo expresado en el artículo 162 de la Ley de Transparencia y Acceso a la Información Pública del Estado de México y Municipios. </w:t>
      </w:r>
    </w:p>
    <w:p w14:paraId="620513A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Ahora bien, hasta este punto conviene recordar que, si bien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asumió que cuenta con la información, lo cierto es que, para los años 2022, 2023 y 2024 hizo entrega de las ligas electrónicas que redirige al Portal de Información Pública de Oficio Mexiquense; así como el procedimiento a seguir para su consulta, mencionando que en estas se podía obtener la información solicitada, siendo que de su acceso se obtiene lo siguiente:</w:t>
      </w:r>
    </w:p>
    <w:p w14:paraId="77CF18FF" w14:textId="77777777" w:rsidR="002377F0" w:rsidRPr="00E7469C" w:rsidRDefault="008C7182">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IPOMEX 3.0 </w:t>
      </w:r>
    </w:p>
    <w:p w14:paraId="5EFEE519" w14:textId="77777777" w:rsidR="002377F0" w:rsidRPr="00E7469C" w:rsidRDefault="008C7182">
      <w:pPr>
        <w:spacing w:line="360" w:lineRule="auto"/>
        <w:ind w:firstLine="1"/>
        <w:jc w:val="both"/>
        <w:rPr>
          <w:rFonts w:ascii="Palatino Linotype" w:eastAsia="Palatino Linotype" w:hAnsi="Palatino Linotype" w:cs="Palatino Linotype"/>
          <w:sz w:val="22"/>
          <w:szCs w:val="22"/>
        </w:rPr>
      </w:pPr>
      <w:hyperlink r:id="rId49">
        <w:r w:rsidRPr="00E7469C">
          <w:rPr>
            <w:rFonts w:ascii="Palatino Linotype" w:eastAsia="Palatino Linotype" w:hAnsi="Palatino Linotype" w:cs="Palatino Linotype"/>
            <w:sz w:val="22"/>
            <w:szCs w:val="22"/>
            <w:u w:val="single"/>
          </w:rPr>
          <w:t>https://ipomex3.ipomex.org.mx/ipo3/lgt/indice/ATLACOMULCO/art_92_xxxii.web?token</w:t>
        </w:r>
      </w:hyperlink>
      <w:r w:rsidRPr="00E7469C">
        <w:rPr>
          <w:rFonts w:ascii="Palatino Linotype" w:eastAsia="Palatino Linotype" w:hAnsi="Palatino Linotype" w:cs="Palatino Linotype"/>
          <w:sz w:val="22"/>
          <w:szCs w:val="22"/>
        </w:rPr>
        <w:t xml:space="preserve"> </w:t>
      </w:r>
    </w:p>
    <w:p w14:paraId="73A7D0A9" w14:textId="77777777" w:rsidR="002377F0" w:rsidRPr="00E7469C" w:rsidRDefault="008C7182">
      <w:pPr>
        <w:spacing w:line="360" w:lineRule="auto"/>
        <w:ind w:firstLine="1"/>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1794A75E" wp14:editId="3CE583C3">
            <wp:extent cx="3939506" cy="3291325"/>
            <wp:effectExtent l="0" t="0" r="0" b="0"/>
            <wp:docPr id="214492364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3939506" cy="3291325"/>
                    </a:xfrm>
                    <a:prstGeom prst="rect">
                      <a:avLst/>
                    </a:prstGeom>
                    <a:ln/>
                  </pic:spPr>
                </pic:pic>
              </a:graphicData>
            </a:graphic>
          </wp:inline>
        </w:drawing>
      </w:r>
    </w:p>
    <w:p w14:paraId="07FCE8C5" w14:textId="77777777" w:rsidR="002377F0" w:rsidRPr="00E7469C" w:rsidRDefault="002377F0">
      <w:pPr>
        <w:spacing w:line="360" w:lineRule="auto"/>
        <w:ind w:firstLine="1"/>
        <w:jc w:val="center"/>
        <w:rPr>
          <w:rFonts w:ascii="Palatino Linotype" w:eastAsia="Palatino Linotype" w:hAnsi="Palatino Linotype" w:cs="Palatino Linotype"/>
          <w:sz w:val="22"/>
          <w:szCs w:val="22"/>
        </w:rPr>
      </w:pPr>
    </w:p>
    <w:p w14:paraId="0C7A8D55" w14:textId="77777777" w:rsidR="002377F0" w:rsidRPr="00E7469C" w:rsidRDefault="008C7182">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IPOMEX 4.0 </w:t>
      </w:r>
    </w:p>
    <w:p w14:paraId="548CBF75" w14:textId="77777777" w:rsidR="002377F0" w:rsidRPr="00E7469C" w:rsidRDefault="008C7182">
      <w:pPr>
        <w:spacing w:line="360" w:lineRule="auto"/>
        <w:ind w:firstLine="1"/>
        <w:jc w:val="both"/>
        <w:rPr>
          <w:rFonts w:ascii="Palatino Linotype" w:eastAsia="Palatino Linotype" w:hAnsi="Palatino Linotype" w:cs="Palatino Linotype"/>
          <w:sz w:val="22"/>
          <w:szCs w:val="22"/>
        </w:rPr>
      </w:pPr>
      <w:hyperlink r:id="rId51" w:anchor="/info-fraccion/45/103/1">
        <w:r w:rsidRPr="00E7469C">
          <w:rPr>
            <w:rFonts w:ascii="Palatino Linotype" w:eastAsia="Palatino Linotype" w:hAnsi="Palatino Linotype" w:cs="Palatino Linotype"/>
            <w:sz w:val="22"/>
            <w:szCs w:val="22"/>
            <w:u w:val="single"/>
          </w:rPr>
          <w:t>https://ipomex.org.mx/ipomex/#/info-fraccion/45/103/1</w:t>
        </w:r>
      </w:hyperlink>
      <w:r w:rsidRPr="00E7469C">
        <w:rPr>
          <w:rFonts w:ascii="Palatino Linotype" w:eastAsia="Palatino Linotype" w:hAnsi="Palatino Linotype" w:cs="Palatino Linotype"/>
          <w:sz w:val="22"/>
          <w:szCs w:val="22"/>
        </w:rPr>
        <w:t xml:space="preserve"> </w:t>
      </w:r>
    </w:p>
    <w:p w14:paraId="3699D395" w14:textId="77777777" w:rsidR="002377F0" w:rsidRPr="00E7469C" w:rsidRDefault="008C7182">
      <w:pPr>
        <w:spacing w:line="360" w:lineRule="auto"/>
        <w:ind w:firstLine="1"/>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4BFC95AC" wp14:editId="3406CC6A">
            <wp:extent cx="5034824" cy="3517331"/>
            <wp:effectExtent l="0" t="0" r="0" b="0"/>
            <wp:docPr id="2144923650" name="image44.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4.png" descr="Interfaz de usuario gráfica, Texto, Aplicación&#10;&#10;El contenido generado por IA puede ser incorrecto."/>
                    <pic:cNvPicPr preferRelativeResize="0"/>
                  </pic:nvPicPr>
                  <pic:blipFill>
                    <a:blip r:embed="rId52"/>
                    <a:srcRect/>
                    <a:stretch>
                      <a:fillRect/>
                    </a:stretch>
                  </pic:blipFill>
                  <pic:spPr>
                    <a:xfrm>
                      <a:off x="0" y="0"/>
                      <a:ext cx="5034824" cy="3517331"/>
                    </a:xfrm>
                    <a:prstGeom prst="rect">
                      <a:avLst/>
                    </a:prstGeom>
                    <a:ln/>
                  </pic:spPr>
                </pic:pic>
              </a:graphicData>
            </a:graphic>
          </wp:inline>
        </w:drawing>
      </w:r>
    </w:p>
    <w:p w14:paraId="4656BA12"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ello, se logra observar que el vínculo proporcionado por el Ayuntamiento únicamente redirige a la fracción XXXII “</w:t>
      </w:r>
      <w:r w:rsidRPr="00E7469C">
        <w:rPr>
          <w:rFonts w:ascii="Palatino Linotype" w:eastAsia="Palatino Linotype" w:hAnsi="Palatino Linotype" w:cs="Palatino Linotype"/>
          <w:i/>
          <w:sz w:val="22"/>
          <w:szCs w:val="22"/>
        </w:rPr>
        <w:t>Las concesiones, contratos, convenios, permisos, licencias o autorizaciones otorgados”</w:t>
      </w:r>
      <w:r w:rsidRPr="00E7469C">
        <w:rPr>
          <w:rFonts w:ascii="Palatino Linotype" w:eastAsia="Palatino Linotype" w:hAnsi="Palatino Linotype" w:cs="Palatino Linotype"/>
          <w:sz w:val="22"/>
          <w:szCs w:val="22"/>
        </w:rPr>
        <w:t xml:space="preserve">, contando con un total de mil setecientos cincuenta y siete registros para el ejercicio fiscal 2023, mil ochocientos treinta y ocho para el 2022 y quinientos noventa siete solo para el primer trimestre del 2024; por lo que se tendría que hacer una búsqueda de la información en todos los registros a fin de identificar exclusivamente las licencias de funcionamiento solicitadas. </w:t>
      </w:r>
    </w:p>
    <w:p w14:paraId="082D0E33"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43865CD8"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Aunado a ello, tal y como se muestra en las imágenes insertadas con anterioridad, si bien es cierto que para el ejercicio fiscal 2022, se encuentran registros de Licencias de Funcionamiento, al consultar una a través del </w:t>
      </w:r>
      <w:proofErr w:type="gramStart"/>
      <w:r w:rsidRPr="00E7469C">
        <w:rPr>
          <w:rFonts w:ascii="Palatino Linotype" w:eastAsia="Palatino Linotype" w:hAnsi="Palatino Linotype" w:cs="Palatino Linotype"/>
          <w:sz w:val="22"/>
          <w:szCs w:val="22"/>
        </w:rPr>
        <w:t>link</w:t>
      </w:r>
      <w:proofErr w:type="gramEnd"/>
      <w:r w:rsidRPr="00E7469C">
        <w:rPr>
          <w:rFonts w:ascii="Palatino Linotype" w:eastAsia="Palatino Linotype" w:hAnsi="Palatino Linotype" w:cs="Palatino Linotype"/>
          <w:sz w:val="22"/>
          <w:szCs w:val="22"/>
        </w:rPr>
        <w:t xml:space="preserve"> publicado, este no permite el acceso al señalar que la página “No existe”, por lo que no puede tenerse como atendido. </w:t>
      </w:r>
    </w:p>
    <w:p w14:paraId="14A4ABA7"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03DCCBB0" wp14:editId="487ED5DC">
            <wp:extent cx="3641491" cy="3548966"/>
            <wp:effectExtent l="0" t="0" r="0" b="0"/>
            <wp:docPr id="2144923651" name="image3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2.png" descr="Texto&#10;&#10;El contenido generado por IA puede ser incorrecto."/>
                    <pic:cNvPicPr preferRelativeResize="0"/>
                  </pic:nvPicPr>
                  <pic:blipFill>
                    <a:blip r:embed="rId53"/>
                    <a:srcRect/>
                    <a:stretch>
                      <a:fillRect/>
                    </a:stretch>
                  </pic:blipFill>
                  <pic:spPr>
                    <a:xfrm>
                      <a:off x="0" y="0"/>
                      <a:ext cx="3641491" cy="3548966"/>
                    </a:xfrm>
                    <a:prstGeom prst="rect">
                      <a:avLst/>
                    </a:prstGeom>
                    <a:ln/>
                  </pic:spPr>
                </pic:pic>
              </a:graphicData>
            </a:graphic>
          </wp:inline>
        </w:drawing>
      </w:r>
    </w:p>
    <w:p w14:paraId="0C59EFB3"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4DF383B" wp14:editId="427D0B12">
            <wp:extent cx="3884577" cy="2738961"/>
            <wp:effectExtent l="0" t="0" r="0" b="0"/>
            <wp:docPr id="2144923652" name="image30.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0.png" descr="Interfaz de usuario gráfica, Aplicación&#10;&#10;El contenido generado por IA puede ser incorrecto."/>
                    <pic:cNvPicPr preferRelativeResize="0"/>
                  </pic:nvPicPr>
                  <pic:blipFill>
                    <a:blip r:embed="rId54"/>
                    <a:srcRect/>
                    <a:stretch>
                      <a:fillRect/>
                    </a:stretch>
                  </pic:blipFill>
                  <pic:spPr>
                    <a:xfrm>
                      <a:off x="0" y="0"/>
                      <a:ext cx="3884577" cy="2738961"/>
                    </a:xfrm>
                    <a:prstGeom prst="rect">
                      <a:avLst/>
                    </a:prstGeom>
                    <a:ln/>
                  </pic:spPr>
                </pic:pic>
              </a:graphicData>
            </a:graphic>
          </wp:inline>
        </w:drawing>
      </w:r>
    </w:p>
    <w:p w14:paraId="714D6B2F"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4215DD04"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De modo que, es importante traer a colación el artículo 161</w:t>
      </w:r>
      <w:r w:rsidRPr="00E7469C">
        <w:rPr>
          <w:rFonts w:ascii="Palatino Linotype" w:eastAsia="Palatino Linotype" w:hAnsi="Palatino Linotype" w:cs="Palatino Linotype"/>
          <w:sz w:val="22"/>
          <w:szCs w:val="22"/>
          <w:vertAlign w:val="superscript"/>
        </w:rPr>
        <w:footnoteReference w:id="1"/>
      </w:r>
      <w:r w:rsidRPr="00E7469C">
        <w:rPr>
          <w:rFonts w:ascii="Palatino Linotype" w:eastAsia="Palatino Linotype" w:hAnsi="Palatino Linotype" w:cs="Palatino Linotype"/>
          <w:sz w:val="22"/>
          <w:szCs w:val="22"/>
        </w:rPr>
        <w:t xml:space="preserve"> de la Ley de Transparencia y Acceso a la Información Pública del Estado de México y Municipios</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sz w:val="22"/>
          <w:szCs w:val="22"/>
        </w:rPr>
        <w:t>que</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sz w:val="22"/>
          <w:szCs w:val="22"/>
        </w:rPr>
        <w:t xml:space="preserve">establece las características que debe tener la información desde el momento de su generación, publicación y entrega; de igual manera se contempla el procedimiento a seguir por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para informar a los solicitantes sobre información que se encuentre disponible en libros, compendios, formatos electrónicos, entre otros, haciéndole saber al solicitante como podrá consultar, reproducir o adquirir la información, </w:t>
      </w:r>
      <w:r w:rsidRPr="00E7469C">
        <w:rPr>
          <w:rFonts w:ascii="Palatino Linotype" w:eastAsia="Palatino Linotype" w:hAnsi="Palatino Linotype" w:cs="Palatino Linotype"/>
          <w:b/>
          <w:sz w:val="22"/>
          <w:szCs w:val="22"/>
          <w:u w:val="single"/>
        </w:rPr>
        <w:t>en un plazo no mayor a cinco días hábiles</w:t>
      </w:r>
      <w:r w:rsidRPr="00E7469C">
        <w:rPr>
          <w:rFonts w:ascii="Palatino Linotype" w:eastAsia="Palatino Linotype" w:hAnsi="Palatino Linotype" w:cs="Palatino Linotype"/>
          <w:sz w:val="22"/>
          <w:szCs w:val="22"/>
        </w:rPr>
        <w:t>, comprendiendo:</w:t>
      </w:r>
    </w:p>
    <w:p w14:paraId="5BCCAE81" w14:textId="77777777" w:rsidR="002377F0" w:rsidRPr="00E7469C" w:rsidRDefault="008C7182">
      <w:pPr>
        <w:spacing w:line="276"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 La fuente</w:t>
      </w:r>
    </w:p>
    <w:p w14:paraId="564F72B6" w14:textId="77777777" w:rsidR="002377F0" w:rsidRPr="00E7469C" w:rsidRDefault="008C7182">
      <w:pPr>
        <w:spacing w:line="276"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b) El lugar y</w:t>
      </w:r>
    </w:p>
    <w:p w14:paraId="40F0A6E1" w14:textId="77777777" w:rsidR="002377F0" w:rsidRPr="00E7469C" w:rsidRDefault="008C7182">
      <w:pPr>
        <w:spacing w:line="276"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c) La forma</w:t>
      </w:r>
    </w:p>
    <w:p w14:paraId="6B3EDBC1" w14:textId="77777777" w:rsidR="002377F0" w:rsidRPr="00E7469C" w:rsidRDefault="002377F0">
      <w:pPr>
        <w:spacing w:line="276" w:lineRule="auto"/>
        <w:ind w:left="284" w:right="49"/>
        <w:jc w:val="both"/>
        <w:rPr>
          <w:rFonts w:ascii="Palatino Linotype" w:eastAsia="Palatino Linotype" w:hAnsi="Palatino Linotype" w:cs="Palatino Linotype"/>
          <w:sz w:val="22"/>
          <w:szCs w:val="22"/>
        </w:rPr>
      </w:pPr>
    </w:p>
    <w:p w14:paraId="65816908"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Asimismo, se establece que la fuente de la información deberá ser:</w:t>
      </w:r>
    </w:p>
    <w:p w14:paraId="30A743BB" w14:textId="77777777" w:rsidR="002377F0" w:rsidRPr="00E7469C" w:rsidRDefault="008C7182">
      <w:pPr>
        <w:spacing w:line="276"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 Precisa</w:t>
      </w:r>
    </w:p>
    <w:p w14:paraId="1BDE1F06" w14:textId="77777777" w:rsidR="002377F0" w:rsidRPr="00E7469C" w:rsidRDefault="008C7182">
      <w:pPr>
        <w:spacing w:line="276"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b) Concreta</w:t>
      </w:r>
    </w:p>
    <w:p w14:paraId="3358E499" w14:textId="77777777" w:rsidR="002377F0" w:rsidRPr="00E7469C" w:rsidRDefault="008C7182">
      <w:pPr>
        <w:spacing w:line="360" w:lineRule="auto"/>
        <w:ind w:left="284" w:right="560"/>
        <w:jc w:val="both"/>
        <w:rPr>
          <w:rFonts w:ascii="Palatino Linotype" w:eastAsia="Palatino Linotype" w:hAnsi="Palatino Linotype" w:cs="Palatino Linotype"/>
          <w:b/>
          <w:sz w:val="22"/>
          <w:szCs w:val="22"/>
          <w:u w:val="single"/>
        </w:rPr>
      </w:pPr>
      <w:r w:rsidRPr="00E7469C">
        <w:rPr>
          <w:rFonts w:ascii="Palatino Linotype" w:eastAsia="Palatino Linotype" w:hAnsi="Palatino Linotype" w:cs="Palatino Linotype"/>
          <w:b/>
          <w:sz w:val="22"/>
          <w:szCs w:val="22"/>
          <w:u w:val="single"/>
        </w:rPr>
        <w:t>c) Y no debe implicar que el solicitante realice una búsqueda en toda la información que se encuentre disponible.</w:t>
      </w:r>
    </w:p>
    <w:p w14:paraId="74469CFE" w14:textId="77777777" w:rsidR="002377F0" w:rsidRPr="00E7469C" w:rsidRDefault="002377F0">
      <w:pPr>
        <w:spacing w:line="360" w:lineRule="auto"/>
        <w:ind w:left="284" w:right="51"/>
        <w:jc w:val="both"/>
        <w:rPr>
          <w:rFonts w:ascii="Palatino Linotype" w:eastAsia="Palatino Linotype" w:hAnsi="Palatino Linotype" w:cs="Palatino Linotype"/>
          <w:sz w:val="22"/>
          <w:szCs w:val="22"/>
        </w:rPr>
      </w:pPr>
    </w:p>
    <w:p w14:paraId="5401AD31"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Imperativos legales que detallan el procedimiento que debe seguir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para que pueda tomarse como válida su orientación sobre la forma en que puede consultar la información requerida.</w:t>
      </w:r>
    </w:p>
    <w:p w14:paraId="5F5E0073"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344418D7"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Dicho esto, se tiene que, respecto a las licencias de funcionamiento otorgadas por el Ayuntamiento de Atlacomulco, las ligas electrónicas que proporcionó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sz w:val="22"/>
          <w:szCs w:val="22"/>
        </w:rPr>
        <w:lastRenderedPageBreak/>
        <w:t xml:space="preserve">no redirige directamente a la información que requiere obtener el solicitante, por el contrario implica que este tenga que realizar una búsqueda en el apartado de </w:t>
      </w:r>
      <w:r w:rsidRPr="00E7469C">
        <w:rPr>
          <w:rFonts w:ascii="Palatino Linotype" w:eastAsia="Palatino Linotype" w:hAnsi="Palatino Linotype" w:cs="Palatino Linotype"/>
          <w:i/>
          <w:sz w:val="22"/>
          <w:szCs w:val="22"/>
        </w:rPr>
        <w:t>“Las concesiones, contratos, convenios, permisos, licencias o autorizaciones otorgados”</w:t>
      </w:r>
      <w:r w:rsidRPr="00E7469C">
        <w:rPr>
          <w:rFonts w:ascii="Palatino Linotype" w:eastAsia="Palatino Linotype" w:hAnsi="Palatino Linotype" w:cs="Palatino Linotype"/>
          <w:sz w:val="22"/>
          <w:szCs w:val="22"/>
        </w:rPr>
        <w:t xml:space="preserve"> contenido en la Plataforma de Información Pública de Oficio Mexiquense, por lo que, se determina que el Ayuntamiento de Atlacomulco, no observó lo que dispone el artículo 161 de la Ley en la materia. </w:t>
      </w:r>
    </w:p>
    <w:p w14:paraId="3379BA83"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F4F53A"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Establecido lo anterior, no pasa desapercibido para este Organismo Garante que de las Licencias localizadas para los años 2023, 2024 y las remitidas de los meses de enero y febrero de 2025, se advierte que estas se encuentran en incorrecta versión pública, ya que se testa información que es de dominio público.</w:t>
      </w:r>
    </w:p>
    <w:p w14:paraId="53709067"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60B38F"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Atento a lo anterior, resulta pertinente analizar la procedencia de clasificación de los datos como confidenciales dentro de la información remitida: </w:t>
      </w:r>
    </w:p>
    <w:p w14:paraId="38D53D4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79BCB51" w14:textId="77777777" w:rsidR="002377F0" w:rsidRPr="00E7469C" w:rsidRDefault="008C7182">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Nombre del titular de la Licencia de funcionamiento (persona física y/o moral):</w:t>
      </w:r>
    </w:p>
    <w:p w14:paraId="5ED3C10F" w14:textId="77777777" w:rsidR="002377F0" w:rsidRPr="00E7469C" w:rsidRDefault="008C7182">
      <w:pPr>
        <w:spacing w:line="360" w:lineRule="auto"/>
        <w:ind w:right="-93"/>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7469C">
        <w:rPr>
          <w:rFonts w:ascii="Palatino Linotype" w:eastAsia="Palatino Linotype" w:hAnsi="Palatino Linotype" w:cs="Palatino Linotype"/>
          <w:i/>
          <w:sz w:val="22"/>
          <w:szCs w:val="22"/>
        </w:rPr>
        <w:t>per se</w:t>
      </w:r>
      <w:r w:rsidRPr="00E7469C">
        <w:rPr>
          <w:rFonts w:ascii="Palatino Linotype" w:eastAsia="Palatino Linotype" w:hAnsi="Palatino Linotype" w:cs="Palatino Linotype"/>
          <w:sz w:val="22"/>
          <w:szCs w:val="22"/>
        </w:rPr>
        <w:t xml:space="preserve"> es un elemento que hace a una persona física identificada o identificable, por lo que, </w:t>
      </w:r>
      <w:r w:rsidRPr="00E7469C">
        <w:rPr>
          <w:rFonts w:ascii="Palatino Linotype" w:eastAsia="Palatino Linotype" w:hAnsi="Palatino Linotype" w:cs="Palatino Linotype"/>
          <w:b/>
          <w:sz w:val="22"/>
          <w:szCs w:val="22"/>
        </w:rPr>
        <w:t>se considera un dato personal.</w:t>
      </w:r>
    </w:p>
    <w:p w14:paraId="7CA24618" w14:textId="77777777" w:rsidR="002377F0" w:rsidRPr="00E7469C" w:rsidRDefault="002377F0">
      <w:pPr>
        <w:spacing w:line="360" w:lineRule="auto"/>
        <w:ind w:right="-93"/>
        <w:jc w:val="both"/>
        <w:rPr>
          <w:rFonts w:ascii="Palatino Linotype" w:eastAsia="Palatino Linotype" w:hAnsi="Palatino Linotype" w:cs="Palatino Linotype"/>
          <w:b/>
          <w:sz w:val="22"/>
          <w:szCs w:val="22"/>
        </w:rPr>
      </w:pPr>
    </w:p>
    <w:p w14:paraId="78680B4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Sobre el tema, se tiene presente que este Instituto emitió el Criterio Relevante 01/18, de la Segunda Época de este Instituto, que establece que el nombre del titular de una licencia </w:t>
      </w:r>
      <w:r w:rsidRPr="00E7469C">
        <w:rPr>
          <w:rFonts w:ascii="Palatino Linotype" w:eastAsia="Palatino Linotype" w:hAnsi="Palatino Linotype" w:cs="Palatino Linotype"/>
          <w:sz w:val="22"/>
          <w:szCs w:val="22"/>
        </w:rPr>
        <w:lastRenderedPageBreak/>
        <w:t>(persona física), como en el caso que nos ocupa, es información confidencial, cuando no involucra aprovechamiento de recursos públicos.</w:t>
      </w:r>
    </w:p>
    <w:p w14:paraId="4A8515FB" w14:textId="77777777" w:rsidR="002377F0" w:rsidRPr="00E7469C" w:rsidRDefault="002377F0">
      <w:pPr>
        <w:spacing w:line="276" w:lineRule="auto"/>
        <w:ind w:left="851" w:right="567"/>
        <w:jc w:val="both"/>
        <w:rPr>
          <w:rFonts w:ascii="Palatino Linotype" w:eastAsia="Palatino Linotype" w:hAnsi="Palatino Linotype" w:cs="Palatino Linotype"/>
          <w:i/>
          <w:sz w:val="22"/>
          <w:szCs w:val="22"/>
        </w:rPr>
      </w:pPr>
    </w:p>
    <w:p w14:paraId="6EA915C6"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Nombre del titular de una licencia que no involucre el aprovechamiento de bienes, servicios y/o recursos públicos, constituye un dato personal susceptible de clasificar como confidencial.</w:t>
      </w:r>
      <w:r w:rsidRPr="00E7469C">
        <w:rPr>
          <w:rFonts w:ascii="Palatino Linotype" w:eastAsia="Palatino Linotype" w:hAnsi="Palatino Linotype" w:cs="Palatino Linotype"/>
          <w:i/>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67B533BB"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2D8E6EDE"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el Criterio en cita, se argumenta que si bien el nombre de los titulares de las licencias es un dato de carácter público, en términos del artículo 92, fracción XXXII de la Ley de </w:t>
      </w:r>
      <w:r w:rsidRPr="00E7469C">
        <w:rPr>
          <w:rFonts w:ascii="Palatino Linotype" w:eastAsia="Palatino Linotype" w:hAnsi="Palatino Linotype" w:cs="Palatino Linotype"/>
          <w:sz w:val="22"/>
          <w:szCs w:val="22"/>
        </w:rPr>
        <w:lastRenderedPageBreak/>
        <w:t>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4C3FFDA2"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4DF21887"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No obstante, se considera que el </w:t>
      </w:r>
      <w:r w:rsidRPr="00E7469C">
        <w:rPr>
          <w:rFonts w:ascii="Palatino Linotype" w:eastAsia="Palatino Linotype" w:hAnsi="Palatino Linotype" w:cs="Palatino Linotype"/>
          <w:sz w:val="22"/>
          <w:szCs w:val="22"/>
          <w:u w:val="single"/>
        </w:rPr>
        <w:t>nombre localizado en una licencia de funcionamiento</w:t>
      </w:r>
      <w:r w:rsidRPr="00E7469C">
        <w:rPr>
          <w:rFonts w:ascii="Palatino Linotype" w:eastAsia="Palatino Linotype" w:hAnsi="Palatino Linotype" w:cs="Palatino Linotype"/>
          <w:sz w:val="22"/>
          <w:szCs w:val="22"/>
        </w:rPr>
        <w:t>, guarda cierto interés público, dado que cualquier actividad comercial, industrial o económica, es regulada por el Municipio de Atlacomulco, dentro de su circunscripción territorial, pues ayuda a transparentar la gestión pública.</w:t>
      </w:r>
    </w:p>
    <w:p w14:paraId="5BA3C35D"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348ABC33"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Al respecto, cabe puntualizar que las licencias, tal como se estableció en párrafos anteriores, se refiere a los documentos que contienen la autorización por parte del Ayuntamiento, a través de la Dirección de Desarrollo Económico, </w:t>
      </w:r>
      <w:r w:rsidRPr="00E7469C">
        <w:rPr>
          <w:rFonts w:ascii="Palatino Linotype" w:eastAsia="Palatino Linotype" w:hAnsi="Palatino Linotype" w:cs="Palatino Linotype"/>
          <w:b/>
          <w:sz w:val="22"/>
          <w:szCs w:val="22"/>
          <w:u w:val="single"/>
        </w:rPr>
        <w:t>para que un particular o persona jurídica colectiva</w:t>
      </w:r>
      <w:r w:rsidRPr="00E7469C">
        <w:rPr>
          <w:rFonts w:ascii="Palatino Linotype" w:eastAsia="Palatino Linotype" w:hAnsi="Palatino Linotype" w:cs="Palatino Linotype"/>
          <w:sz w:val="22"/>
          <w:szCs w:val="22"/>
        </w:rPr>
        <w:t xml:space="preserve"> pueda realizar una actividad económica, comercial o industrial, regulada por las Leyes respectivas.</w:t>
      </w:r>
    </w:p>
    <w:p w14:paraId="4962BC34"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6BDB0243"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sentido, de acuerdo con el artículo 92, fracción XXXII de la Ley en cita, el legislador contempló como información de interés público y que debe estar disponible para consulta, aquellas licencias otorgadas, especificando </w:t>
      </w:r>
      <w:r w:rsidRPr="00E7469C">
        <w:rPr>
          <w:rFonts w:ascii="Palatino Linotype" w:eastAsia="Palatino Linotype" w:hAnsi="Palatino Linotype" w:cs="Palatino Linotype"/>
          <w:b/>
          <w:sz w:val="22"/>
          <w:szCs w:val="22"/>
        </w:rPr>
        <w:t xml:space="preserve">el </w:t>
      </w:r>
      <w:r w:rsidRPr="00E7469C">
        <w:rPr>
          <w:rFonts w:ascii="Palatino Linotype" w:eastAsia="Palatino Linotype" w:hAnsi="Palatino Linotype" w:cs="Palatino Linotype"/>
          <w:b/>
          <w:sz w:val="22"/>
          <w:szCs w:val="22"/>
          <w:u w:val="single"/>
        </w:rPr>
        <w:t>nombre de su titular</w:t>
      </w:r>
      <w:r w:rsidRPr="00E7469C">
        <w:rPr>
          <w:rFonts w:ascii="Palatino Linotype" w:eastAsia="Palatino Linotype" w:hAnsi="Palatino Linotype" w:cs="Palatino Linotype"/>
          <w:sz w:val="22"/>
          <w:szCs w:val="22"/>
        </w:rPr>
        <w:t xml:space="preserve"> y las características principales. Lo anterior, en concordancia a lo establecido en la Ley General de Transparencia y Acceso a la Información Pública. </w:t>
      </w:r>
    </w:p>
    <w:p w14:paraId="4BF2A958"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3757691D"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Ello, con la finalidad de asegurar su mayor difusión, que permita a los ciudadanos evaluar de manera permanente los indicadores más importantes de la gestión pública, como lo son, la autorización de licencias de funcionamiento, pues es facultad exclusiva de los Municipios, </w:t>
      </w:r>
      <w:r w:rsidRPr="00E7469C">
        <w:rPr>
          <w:rFonts w:ascii="Palatino Linotype" w:eastAsia="Palatino Linotype" w:hAnsi="Palatino Linotype" w:cs="Palatino Linotype"/>
          <w:sz w:val="22"/>
          <w:szCs w:val="22"/>
        </w:rPr>
        <w:lastRenderedPageBreak/>
        <w:t>ver las cuestiones relacionadas con el tema en cuestión. Además, se incluyó el deber para los sujetos obligados de proporcionar, en la medida de lo posible, esta información con valor agregado, a efecto de facilitar su uso, comprensión y permitir evaluar su calidad, confiabilidad, oportunidad y veracidad.</w:t>
      </w:r>
    </w:p>
    <w:p w14:paraId="2F6856B3"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50D2F0B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cuanto al </w:t>
      </w:r>
      <w:r w:rsidRPr="00E7469C">
        <w:rPr>
          <w:rFonts w:ascii="Palatino Linotype" w:eastAsia="Palatino Linotype" w:hAnsi="Palatino Linotype" w:cs="Palatino Linotype"/>
          <w:b/>
          <w:sz w:val="22"/>
          <w:szCs w:val="22"/>
          <w:u w:val="single"/>
        </w:rPr>
        <w:t>domicilio particular del titular de la licencia de funcionamiento y el domicilio del local o establecimiento comercial</w:t>
      </w:r>
      <w:r w:rsidRPr="00E7469C">
        <w:rPr>
          <w:rFonts w:ascii="Palatino Linotype" w:eastAsia="Palatino Linotype" w:hAnsi="Palatino Linotype" w:cs="Palatino Linotype"/>
          <w:sz w:val="22"/>
          <w:szCs w:val="22"/>
        </w:rPr>
        <w:t>, es dable precisar que el código civil, lo define de la siguiente manera:</w:t>
      </w:r>
    </w:p>
    <w:p w14:paraId="47694E3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DEB1EA7" w14:textId="77777777" w:rsidR="002377F0" w:rsidRPr="00E7469C" w:rsidRDefault="008C7182">
      <w:pPr>
        <w:ind w:left="851" w:right="618"/>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“Concepto de domicilio de las personas físicas Artículo 2.17.- El domicilio de una persona física es el lugar donde reside con el propósito de establecerse en él; a falta de éste, el lugar en que tiene el principal asiento de sus negocios; y a falta de uno y otro, el lugar en que se halle.”</w:t>
      </w:r>
      <w:r w:rsidRPr="00E7469C">
        <w:rPr>
          <w:rFonts w:ascii="Palatino Linotype" w:eastAsia="Palatino Linotype" w:hAnsi="Palatino Linotype" w:cs="Palatino Linotype"/>
          <w:sz w:val="22"/>
          <w:szCs w:val="22"/>
        </w:rPr>
        <w:t xml:space="preserve"> </w:t>
      </w:r>
    </w:p>
    <w:p w14:paraId="3003B1C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8C6FEB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Entonces se identifica que el domicilio no solamente permite identificar a una persona, sino que la hace localizable de manera física. </w:t>
      </w:r>
    </w:p>
    <w:p w14:paraId="2526CF3B"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CE8E3F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Ahora bien, en el caso que nos ocupa, el domicilio particular del titular de la licencia de funcionamiento, este dato se clasifica, en términos al criterio 01/18, del Instituto de Transparencia y Acceso a la Información Pública del Estado de México, ya señalado.</w:t>
      </w:r>
    </w:p>
    <w:p w14:paraId="6D7EA39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E57CE4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No así en cuanto al </w:t>
      </w:r>
      <w:r w:rsidRPr="00E7469C">
        <w:rPr>
          <w:rFonts w:ascii="Palatino Linotype" w:eastAsia="Palatino Linotype" w:hAnsi="Palatino Linotype" w:cs="Palatino Linotype"/>
          <w:b/>
          <w:sz w:val="22"/>
          <w:szCs w:val="22"/>
          <w:u w:val="single"/>
        </w:rPr>
        <w:t>domicilio del local o establecimiento comercial</w:t>
      </w:r>
      <w:r w:rsidRPr="00E7469C">
        <w:rPr>
          <w:rFonts w:ascii="Palatino Linotype" w:eastAsia="Palatino Linotype" w:hAnsi="Palatino Linotype" w:cs="Palatino Linotype"/>
          <w:sz w:val="22"/>
          <w:szCs w:val="22"/>
        </w:rPr>
        <w:t>, ya que se identifica que el domicilio sobre el cual versa la licencia de funcionamiento e</w:t>
      </w:r>
      <w:r w:rsidRPr="00E7469C">
        <w:rPr>
          <w:rFonts w:ascii="Palatino Linotype" w:eastAsia="Palatino Linotype" w:hAnsi="Palatino Linotype" w:cs="Palatino Linotype"/>
          <w:b/>
          <w:sz w:val="22"/>
          <w:szCs w:val="22"/>
        </w:rPr>
        <w:t>s información de naturaleza pública</w:t>
      </w:r>
      <w:r w:rsidRPr="00E7469C">
        <w:rPr>
          <w:rFonts w:ascii="Palatino Linotype" w:eastAsia="Palatino Linotype" w:hAnsi="Palatino Linotype" w:cs="Palatino Linotype"/>
          <w:sz w:val="22"/>
          <w:szCs w:val="22"/>
        </w:rPr>
        <w:t>.</w:t>
      </w:r>
    </w:p>
    <w:p w14:paraId="7991203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F8E583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por lo que se refiere a la información localizada en las ligas electrónicas remitidas, se advierte que tras la búsqueda de la alguna de las Licencias de Funcionamiento, </w:t>
      </w:r>
      <w:r w:rsidRPr="00E7469C">
        <w:rPr>
          <w:rFonts w:ascii="Palatino Linotype" w:eastAsia="Palatino Linotype" w:hAnsi="Palatino Linotype" w:cs="Palatino Linotype"/>
          <w:sz w:val="22"/>
          <w:szCs w:val="22"/>
        </w:rPr>
        <w:lastRenderedPageBreak/>
        <w:t xml:space="preserve">las mismas se encuentran en aparente versión pública, puesto que el domicilio del establecimiento comercial se encuentra testado, lo mismo acontece con las licencias de funcionamiento remitidas para el años dos mil veinticinco, sustentando la versión pública en el Acta de la Décima Cuarta Sesión Extraordinaria del Comité de Transparencia del Ayuntamiento de Atlacomulco, en el que se fundamenta que el domicilio se refiere a los siguientes datos: </w:t>
      </w:r>
    </w:p>
    <w:p w14:paraId="22DC101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521E90FF" wp14:editId="79AD7035">
            <wp:extent cx="5581015" cy="835025"/>
            <wp:effectExtent l="0" t="0" r="0" b="0"/>
            <wp:docPr id="2144923653" name="image27.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7.png" descr="Texto, Carta&#10;&#10;El contenido generado por IA puede ser incorrecto."/>
                    <pic:cNvPicPr preferRelativeResize="0"/>
                  </pic:nvPicPr>
                  <pic:blipFill>
                    <a:blip r:embed="rId55"/>
                    <a:srcRect/>
                    <a:stretch>
                      <a:fillRect/>
                    </a:stretch>
                  </pic:blipFill>
                  <pic:spPr>
                    <a:xfrm>
                      <a:off x="0" y="0"/>
                      <a:ext cx="5581015" cy="835025"/>
                    </a:xfrm>
                    <a:prstGeom prst="rect">
                      <a:avLst/>
                    </a:prstGeom>
                    <a:ln/>
                  </pic:spPr>
                </pic:pic>
              </a:graphicData>
            </a:graphic>
          </wp:inline>
        </w:drawing>
      </w:r>
    </w:p>
    <w:p w14:paraId="6F6182A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No obstante, como ya se advirtió el domicilio no refiere al del particular sino al del establecimiento, tal y como se muestra a continuación: </w:t>
      </w:r>
    </w:p>
    <w:p w14:paraId="0ADEA4D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DB69ED6" wp14:editId="31F83BB4">
            <wp:extent cx="5581015" cy="2722245"/>
            <wp:effectExtent l="0" t="0" r="0" b="0"/>
            <wp:docPr id="2144923654" name="image47.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7.png" descr="Gráfico, Gráfico de barras&#10;&#10;El contenido generado por IA puede ser incorrecto."/>
                    <pic:cNvPicPr preferRelativeResize="0"/>
                  </pic:nvPicPr>
                  <pic:blipFill>
                    <a:blip r:embed="rId56"/>
                    <a:srcRect/>
                    <a:stretch>
                      <a:fillRect/>
                    </a:stretch>
                  </pic:blipFill>
                  <pic:spPr>
                    <a:xfrm>
                      <a:off x="0" y="0"/>
                      <a:ext cx="5581015" cy="2722245"/>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58240" behindDoc="0" locked="0" layoutInCell="1" hidden="0" allowOverlap="1" wp14:anchorId="1B173891" wp14:editId="64E1D3C9">
                <wp:simplePos x="0" y="0"/>
                <wp:positionH relativeFrom="column">
                  <wp:posOffset>862966</wp:posOffset>
                </wp:positionH>
                <wp:positionV relativeFrom="paragraph">
                  <wp:posOffset>-32382</wp:posOffset>
                </wp:positionV>
                <wp:extent cx="4105275" cy="285750"/>
                <wp:effectExtent l="0" t="0" r="0" b="0"/>
                <wp:wrapNone/>
                <wp:docPr id="2144923609" name="Rectángulo 2144923609"/>
                <wp:cNvGraphicFramePr/>
                <a:graphic xmlns:a="http://schemas.openxmlformats.org/drawingml/2006/main">
                  <a:graphicData uri="http://schemas.microsoft.com/office/word/2010/wordprocessingShape">
                    <wps:wsp>
                      <wps:cNvSpPr/>
                      <wps:spPr>
                        <a:xfrm>
                          <a:off x="3321938" y="3665700"/>
                          <a:ext cx="4048125" cy="228600"/>
                        </a:xfrm>
                        <a:prstGeom prst="rect">
                          <a:avLst/>
                        </a:prstGeom>
                        <a:noFill/>
                        <a:ln w="28575" cap="flat" cmpd="sng">
                          <a:solidFill>
                            <a:srgbClr val="EE0000"/>
                          </a:solidFill>
                          <a:prstDash val="solid"/>
                          <a:miter lim="800000"/>
                          <a:headEnd type="none" w="sm" len="sm"/>
                          <a:tailEnd type="none" w="sm" len="sm"/>
                        </a:ln>
                      </wps:spPr>
                      <wps:txbx>
                        <w:txbxContent>
                          <w:p w14:paraId="79260C53"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1B173891" id="Rectángulo 2144923609" o:spid="_x0000_s1026" style="position:absolute;left:0;text-align:left;margin-left:67.95pt;margin-top:-2.55pt;width:323.2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" filled="f" strokecolor="#e00" strokeweight="2.25pt">
                <v:stroke startarrowwidth="narrow" startarrowlength="short" endarrowwidth="narrow" endarrowlength="short"/>
                <v:textbox inset="2.53958mm,2.53958mm,2.53958mm,2.53958mm">
                  <w:txbxContent>
                    <w:p w14:paraId="79260C53" w14:textId="77777777" w:rsidR="002377F0" w:rsidRDefault="002377F0">
                      <w:pPr>
                        <w:textDirection w:val="btLr"/>
                      </w:pPr>
                    </w:p>
                  </w:txbxContent>
                </v:textbox>
              </v:rect>
            </w:pict>
          </mc:Fallback>
        </mc:AlternateContent>
      </w:r>
      <w:r w:rsidRPr="00E7469C">
        <w:rPr>
          <w:noProof/>
          <w:lang w:val="es-MX"/>
        </w:rPr>
        <mc:AlternateContent>
          <mc:Choice Requires="wps">
            <w:drawing>
              <wp:anchor distT="0" distB="0" distL="114300" distR="114300" simplePos="0" relativeHeight="251659264" behindDoc="0" locked="0" layoutInCell="1" hidden="0" allowOverlap="1" wp14:anchorId="4686C04D" wp14:editId="3A8C3499">
                <wp:simplePos x="0" y="0"/>
                <wp:positionH relativeFrom="column">
                  <wp:posOffset>186689</wp:posOffset>
                </wp:positionH>
                <wp:positionV relativeFrom="paragraph">
                  <wp:posOffset>1301116</wp:posOffset>
                </wp:positionV>
                <wp:extent cx="4438650" cy="342900"/>
                <wp:effectExtent l="0" t="0" r="0" b="0"/>
                <wp:wrapNone/>
                <wp:docPr id="2144923601" name="Rectángulo 2144923601"/>
                <wp:cNvGraphicFramePr/>
                <a:graphic xmlns:a="http://schemas.openxmlformats.org/drawingml/2006/main">
                  <a:graphicData uri="http://schemas.microsoft.com/office/word/2010/wordprocessingShape">
                    <wps:wsp>
                      <wps:cNvSpPr/>
                      <wps:spPr>
                        <a:xfrm>
                          <a:off x="3155250" y="3637125"/>
                          <a:ext cx="4381500" cy="285750"/>
                        </a:xfrm>
                        <a:prstGeom prst="rect">
                          <a:avLst/>
                        </a:prstGeom>
                        <a:noFill/>
                        <a:ln w="28575" cap="flat" cmpd="sng">
                          <a:solidFill>
                            <a:srgbClr val="EE0000"/>
                          </a:solidFill>
                          <a:prstDash val="solid"/>
                          <a:miter lim="800000"/>
                          <a:headEnd type="none" w="sm" len="sm"/>
                          <a:tailEnd type="none" w="sm" len="sm"/>
                        </a:ln>
                      </wps:spPr>
                      <wps:txbx>
                        <w:txbxContent>
                          <w:p w14:paraId="63CA8FC5"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4686C04D" id="Rectángulo 2144923601" o:spid="_x0000_s1027" style="position:absolute;left:0;text-align:left;margin-left:14.7pt;margin-top:102.45pt;width:349.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" filled="f" strokecolor="#e00" strokeweight="2.25pt">
                <v:stroke startarrowwidth="narrow" startarrowlength="short" endarrowwidth="narrow" endarrowlength="short"/>
                <v:textbox inset="2.53958mm,2.53958mm,2.53958mm,2.53958mm">
                  <w:txbxContent>
                    <w:p w14:paraId="63CA8FC5" w14:textId="77777777" w:rsidR="002377F0" w:rsidRDefault="002377F0">
                      <w:pPr>
                        <w:textDirection w:val="btLr"/>
                      </w:pPr>
                    </w:p>
                  </w:txbxContent>
                </v:textbox>
              </v:rect>
            </w:pict>
          </mc:Fallback>
        </mc:AlternateContent>
      </w:r>
      <w:r w:rsidRPr="00E7469C">
        <w:rPr>
          <w:noProof/>
          <w:lang w:val="es-MX"/>
        </w:rPr>
        <mc:AlternateContent>
          <mc:Choice Requires="wps">
            <w:drawing>
              <wp:anchor distT="0" distB="0" distL="114300" distR="114300" simplePos="0" relativeHeight="251660288" behindDoc="0" locked="0" layoutInCell="1" hidden="0" allowOverlap="1" wp14:anchorId="2FCA9744" wp14:editId="0A19E2B3">
                <wp:simplePos x="0" y="0"/>
                <wp:positionH relativeFrom="column">
                  <wp:posOffset>-28572</wp:posOffset>
                </wp:positionH>
                <wp:positionV relativeFrom="paragraph">
                  <wp:posOffset>2190750</wp:posOffset>
                </wp:positionV>
                <wp:extent cx="5514975" cy="352425"/>
                <wp:effectExtent l="0" t="0" r="0" b="0"/>
                <wp:wrapNone/>
                <wp:docPr id="2144923610" name="Rectángulo 2144923610"/>
                <wp:cNvGraphicFramePr/>
                <a:graphic xmlns:a="http://schemas.openxmlformats.org/drawingml/2006/main">
                  <a:graphicData uri="http://schemas.microsoft.com/office/word/2010/wordprocessingShape">
                    <wps:wsp>
                      <wps:cNvSpPr/>
                      <wps:spPr>
                        <a:xfrm>
                          <a:off x="2617088" y="3632363"/>
                          <a:ext cx="5457825" cy="295275"/>
                        </a:xfrm>
                        <a:prstGeom prst="rect">
                          <a:avLst/>
                        </a:prstGeom>
                        <a:noFill/>
                        <a:ln w="28575" cap="flat" cmpd="sng">
                          <a:solidFill>
                            <a:srgbClr val="EE0000"/>
                          </a:solidFill>
                          <a:prstDash val="solid"/>
                          <a:miter lim="800000"/>
                          <a:headEnd type="none" w="sm" len="sm"/>
                          <a:tailEnd type="none" w="sm" len="sm"/>
                        </a:ln>
                      </wps:spPr>
                      <wps:txbx>
                        <w:txbxContent>
                          <w:p w14:paraId="5C013CE4"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2FCA9744" id="Rectángulo 2144923610" o:spid="_x0000_s1028" style="position:absolute;left:0;text-align:left;margin-left:-2.25pt;margin-top:172.5pt;width:434.2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" filled="f" strokecolor="#e00" strokeweight="2.25pt">
                <v:stroke startarrowwidth="narrow" startarrowlength="short" endarrowwidth="narrow" endarrowlength="short"/>
                <v:textbox inset="2.53958mm,2.53958mm,2.53958mm,2.53958mm">
                  <w:txbxContent>
                    <w:p w14:paraId="5C013CE4" w14:textId="77777777" w:rsidR="002377F0" w:rsidRDefault="002377F0">
                      <w:pPr>
                        <w:textDirection w:val="btLr"/>
                      </w:pPr>
                    </w:p>
                  </w:txbxContent>
                </v:textbox>
              </v:rect>
            </w:pict>
          </mc:Fallback>
        </mc:AlternateContent>
      </w:r>
    </w:p>
    <w:p w14:paraId="1A66103E" w14:textId="77777777" w:rsidR="002377F0" w:rsidRPr="00E7469C" w:rsidRDefault="008C7182">
      <w:pPr>
        <w:spacing w:line="360" w:lineRule="auto"/>
        <w:jc w:val="both"/>
        <w:rPr>
          <w:rFonts w:ascii="Palatino Linotype" w:eastAsia="Palatino Linotype" w:hAnsi="Palatino Linotype" w:cs="Palatino Linotype"/>
          <w:sz w:val="22"/>
          <w:szCs w:val="22"/>
          <w:u w:val="single"/>
        </w:rPr>
      </w:pPr>
      <w:r w:rsidRPr="00E7469C">
        <w:rPr>
          <w:rFonts w:ascii="Palatino Linotype" w:eastAsia="Palatino Linotype" w:hAnsi="Palatino Linotype" w:cs="Palatino Linotype"/>
          <w:sz w:val="22"/>
          <w:szCs w:val="22"/>
        </w:rPr>
        <w:t xml:space="preserve">Por ello se insiste que, al tratarse del domicilio del local o establecimiento comercial, es información de naturaleza pública; por lo anterior, se tiene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sz w:val="22"/>
          <w:szCs w:val="22"/>
          <w:u w:val="single"/>
        </w:rPr>
        <w:t xml:space="preserve">clasificó datos que son considerados como públicos, esto es el la Dirección de los establecimientos a los que se les otorgó la Licencia de Funcionamiento. </w:t>
      </w:r>
    </w:p>
    <w:p w14:paraId="5889C8FA"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F01056" w14:textId="77777777" w:rsidR="002377F0" w:rsidRPr="00E7469C" w:rsidRDefault="008C718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11" w:name="_heading=h.1mje5y2axvcs" w:colFirst="0" w:colLast="0"/>
      <w:bookmarkEnd w:id="11"/>
      <w:r w:rsidRPr="00E7469C">
        <w:rPr>
          <w:rFonts w:ascii="Palatino Linotype" w:eastAsia="Palatino Linotype" w:hAnsi="Palatino Linotype" w:cs="Palatino Linotype"/>
          <w:sz w:val="22"/>
          <w:szCs w:val="22"/>
        </w:rPr>
        <w:lastRenderedPageBreak/>
        <w:t xml:space="preserve">Es por todo lo anterior que este Organismo Garante determina que resulta procedente ordenar la entrega vía Sistema de Acceso a la Información Mexiquense, en versión pública, de las licencias de funcionamiento otorgadas por el Ayuntamiento de Atlacomulco del primero de enero de dos mil veintidós al treinta y uno de diciembre de dos mil veinticuatro; así como las remitidas en respuesta correspondientes del primero de enero al siete de marzo de dos mil veinticinco, en correcta versión pública. </w:t>
      </w:r>
    </w:p>
    <w:p w14:paraId="6CAF9432" w14:textId="77777777" w:rsidR="002377F0" w:rsidRPr="00E7469C" w:rsidRDefault="002377F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6D54404" w14:textId="77777777" w:rsidR="002377F0" w:rsidRPr="00E7469C" w:rsidRDefault="008C7182">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Nómina general de la última quincena del 2024 y de la segunda quincena de febrero del año 2025 (incluyendo seguridad pública, mandos medios y superiores y síndicos, regidores y presidenta o presidente)</w:t>
      </w:r>
    </w:p>
    <w:p w14:paraId="5E9F1F0C" w14:textId="77777777" w:rsidR="002377F0" w:rsidRPr="00E7469C" w:rsidRDefault="008C7182">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Nómina de todo el personal de contraloría y administración</w:t>
      </w:r>
    </w:p>
    <w:p w14:paraId="19770825"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068045CB"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respuesta el Tesorero Municipal informó la entrega del Listado de nómina de los servidores públicos del Municipio de Atlacomulco correspondientes a la segunda quincena de diciembre de 2024, testando nombres y cargo de servidores públicos adscritos a la comisaria Municipal. </w:t>
      </w:r>
    </w:p>
    <w:p w14:paraId="020221C4"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1E1A9C16" wp14:editId="7DE2AE29">
            <wp:extent cx="5864851" cy="2155663"/>
            <wp:effectExtent l="0" t="0" r="0" b="0"/>
            <wp:docPr id="214492365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5864851" cy="2155663"/>
                    </a:xfrm>
                    <a:prstGeom prst="rect">
                      <a:avLst/>
                    </a:prstGeom>
                    <a:ln/>
                  </pic:spPr>
                </pic:pic>
              </a:graphicData>
            </a:graphic>
          </wp:inline>
        </w:drawing>
      </w:r>
    </w:p>
    <w:p w14:paraId="26D60557"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Aunado a ello informó la entrega en versión publica del Listado de nómina de los servidores públicos que laboran en las áreas que comprende el Municipio de Atlacomulco </w:t>
      </w:r>
      <w:r w:rsidRPr="00E7469C">
        <w:rPr>
          <w:rFonts w:ascii="Palatino Linotype" w:eastAsia="Palatino Linotype" w:hAnsi="Palatino Linotype" w:cs="Palatino Linotype"/>
          <w:sz w:val="22"/>
          <w:szCs w:val="22"/>
        </w:rPr>
        <w:lastRenderedPageBreak/>
        <w:t>correspondiente a la segunda de febrero de 2025, documento donde están incluido, mandos medios y superiores, síndicos, regidores, presidencia, contraloría y administración.</w:t>
      </w:r>
    </w:p>
    <w:p w14:paraId="7B97A9BB"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7C40679B" wp14:editId="4DD3AA4E">
            <wp:extent cx="5627455" cy="1756234"/>
            <wp:effectExtent l="0" t="0" r="0" b="0"/>
            <wp:docPr id="21449236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5627455" cy="1756234"/>
                    </a:xfrm>
                    <a:prstGeom prst="rect">
                      <a:avLst/>
                    </a:prstGeom>
                    <a:ln/>
                  </pic:spPr>
                </pic:pic>
              </a:graphicData>
            </a:graphic>
          </wp:inline>
        </w:drawing>
      </w:r>
    </w:p>
    <w:p w14:paraId="04575496" w14:textId="77777777" w:rsidR="002377F0" w:rsidRPr="00E7469C" w:rsidRDefault="008C7182">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w:t>
      </w:r>
    </w:p>
    <w:p w14:paraId="2554B677"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Expuesto lo anterior, conviene recordar que el área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que atendió la solicitud de información fue el Tesorero Municipal, siendo el competente para generar, conocer y administrar la información solicitada en términos de lo señalado por el Manual de Organización de la Dirección de Administración de Chalco, que refiere: </w:t>
      </w:r>
    </w:p>
    <w:p w14:paraId="3DE8C102" w14:textId="77777777" w:rsidR="002377F0" w:rsidRPr="00E7469C" w:rsidRDefault="002377F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5413209" w14:textId="77777777" w:rsidR="002377F0" w:rsidRPr="00E7469C" w:rsidRDefault="008C718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76. La Tesorería Municipal</w:t>
      </w:r>
      <w:r w:rsidRPr="00E7469C">
        <w:rPr>
          <w:rFonts w:ascii="Palatino Linotype" w:eastAsia="Palatino Linotype" w:hAnsi="Palatino Linotype" w:cs="Palatino Linotype"/>
          <w:i/>
          <w:sz w:val="22"/>
          <w:szCs w:val="22"/>
        </w:rPr>
        <w:t xml:space="preserve">, es el órgano encargado de la recaudación de los ingresos municipales y </w:t>
      </w:r>
      <w:r w:rsidRPr="00E7469C">
        <w:rPr>
          <w:rFonts w:ascii="Palatino Linotype" w:eastAsia="Palatino Linotype" w:hAnsi="Palatino Linotype" w:cs="Palatino Linotype"/>
          <w:b/>
          <w:i/>
          <w:sz w:val="22"/>
          <w:szCs w:val="22"/>
        </w:rPr>
        <w:t>responsable de realizar las erogaciones que haga el ayuntamiento.</w:t>
      </w:r>
      <w:r w:rsidRPr="00E7469C">
        <w:rPr>
          <w:rFonts w:ascii="Palatino Linotype" w:eastAsia="Palatino Linotype" w:hAnsi="Palatino Linotype" w:cs="Palatino Linotype"/>
          <w:i/>
          <w:sz w:val="22"/>
          <w:szCs w:val="22"/>
        </w:rPr>
        <w:t xml:space="preserve"> Las atribuciones de la Tesorería se encuentras establecidas en el artículo 95 de la Ley Orgánica Municipal;</w:t>
      </w:r>
    </w:p>
    <w:p w14:paraId="5129419C" w14:textId="77777777" w:rsidR="002377F0" w:rsidRPr="00E7469C" w:rsidRDefault="008C718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w:t>
      </w:r>
    </w:p>
    <w:p w14:paraId="36C6DC4F"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FE85FD"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Expuesto lo anterior queda claro que la Tesorería Municipal, es la unidad administrativa competente que cuenta con atribuciones para generar, poseer y administrar la información solicitada en ejercicio de sus funciones, por lo que la Unidad de Transparencia turnó la solicitud de información al servidor público habilitado competente, acreditando con ello la correcta búsqueda exhaustiva y razonable de la información, en términos del procedimiento establecido en el artículo 162 de la Ley de la materia. </w:t>
      </w:r>
    </w:p>
    <w:p w14:paraId="1066F2BC"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7AD622"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En este sentido, como se señaló en líneas anteriores, si bien la unidad administrativa competente proporcionó dos listados de servidores públicos que contienen periodo, nombre, dependencia, cargo y monto neto percibido por estos en la segunda quincena de diciembre de dos mil veinticuatro y la segunda quincena de febrero de dos mil veinticinco, dicha información no colma del Derecho de acceso de la parte </w:t>
      </w:r>
      <w:r w:rsidRPr="00E7469C">
        <w:rPr>
          <w:rFonts w:ascii="Palatino Linotype" w:eastAsia="Palatino Linotype" w:hAnsi="Palatino Linotype" w:cs="Palatino Linotype"/>
          <w:b/>
          <w:sz w:val="22"/>
          <w:szCs w:val="22"/>
        </w:rPr>
        <w:t xml:space="preserve">Recurrente, </w:t>
      </w:r>
      <w:r w:rsidRPr="00E7469C">
        <w:rPr>
          <w:rFonts w:ascii="Palatino Linotype" w:eastAsia="Palatino Linotype" w:hAnsi="Palatino Linotype" w:cs="Palatino Linotype"/>
          <w:sz w:val="22"/>
          <w:szCs w:val="22"/>
        </w:rPr>
        <w:t xml:space="preserve">ya que no se precisa el monto bruto de las percepciones, así como las deducciones correspondientes a cada servidor público, aunado a que clasificó información que es de naturaleza pública como lo es el cargo que ostentan ciertos servidores públicos. </w:t>
      </w:r>
    </w:p>
    <w:p w14:paraId="7B75CD42"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7150674B"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Atento a lo anterior,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hizo entrega del Acta de la Décima Tercera de la Sesión Extraordinaria del Comité de Transparencia en el que se aprobó la clasificación de la información, en los siguientes términos:</w:t>
      </w:r>
    </w:p>
    <w:p w14:paraId="34978E13"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3532430C"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C395C0F" wp14:editId="4F8D909A">
            <wp:extent cx="5581015" cy="2233930"/>
            <wp:effectExtent l="0" t="0" r="0" b="0"/>
            <wp:docPr id="21449236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7"/>
                    <a:srcRect/>
                    <a:stretch>
                      <a:fillRect/>
                    </a:stretch>
                  </pic:blipFill>
                  <pic:spPr>
                    <a:xfrm>
                      <a:off x="0" y="0"/>
                      <a:ext cx="5581015" cy="2233930"/>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1312" behindDoc="0" locked="0" layoutInCell="1" hidden="0" allowOverlap="1" wp14:anchorId="04F14608" wp14:editId="37184B77">
                <wp:simplePos x="0" y="0"/>
                <wp:positionH relativeFrom="column">
                  <wp:posOffset>72393</wp:posOffset>
                </wp:positionH>
                <wp:positionV relativeFrom="paragraph">
                  <wp:posOffset>1686560</wp:posOffset>
                </wp:positionV>
                <wp:extent cx="5400675" cy="590550"/>
                <wp:effectExtent l="0" t="0" r="0" b="0"/>
                <wp:wrapNone/>
                <wp:docPr id="2144923607" name="Rectángulo 2144923607"/>
                <wp:cNvGraphicFramePr/>
                <a:graphic xmlns:a="http://schemas.openxmlformats.org/drawingml/2006/main">
                  <a:graphicData uri="http://schemas.microsoft.com/office/word/2010/wordprocessingShape">
                    <wps:wsp>
                      <wps:cNvSpPr/>
                      <wps:spPr>
                        <a:xfrm>
                          <a:off x="2664713" y="3503775"/>
                          <a:ext cx="5362575" cy="552450"/>
                        </a:xfrm>
                        <a:prstGeom prst="rect">
                          <a:avLst/>
                        </a:prstGeom>
                        <a:noFill/>
                        <a:ln w="19050" cap="flat" cmpd="sng">
                          <a:solidFill>
                            <a:srgbClr val="FF0000"/>
                          </a:solidFill>
                          <a:prstDash val="solid"/>
                          <a:miter lim="800000"/>
                          <a:headEnd type="none" w="sm" len="sm"/>
                          <a:tailEnd type="none" w="sm" len="sm"/>
                        </a:ln>
                      </wps:spPr>
                      <wps:txbx>
                        <w:txbxContent>
                          <w:p w14:paraId="5F92C7BE"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04F14608" id="Rectángulo 2144923607" o:spid="_x0000_s1029" style="position:absolute;left:0;text-align:left;margin-left:5.7pt;margin-top:132.8pt;width:425.2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" filled="f" strokecolor="red" strokeweight="1.5pt">
                <v:stroke startarrowwidth="narrow" startarrowlength="short" endarrowwidth="narrow" endarrowlength="short"/>
                <v:textbox inset="2.53958mm,2.53958mm,2.53958mm,2.53958mm">
                  <w:txbxContent>
                    <w:p w14:paraId="5F92C7BE" w14:textId="77777777" w:rsidR="002377F0" w:rsidRDefault="002377F0">
                      <w:pPr>
                        <w:textDirection w:val="btLr"/>
                      </w:pPr>
                    </w:p>
                  </w:txbxContent>
                </v:textbox>
              </v:rect>
            </w:pict>
          </mc:Fallback>
        </mc:AlternateContent>
      </w:r>
    </w:p>
    <w:p w14:paraId="6442FC86"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78DE805C"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ello resulta pertinente puntualizar que, el </w:t>
      </w:r>
      <w:r w:rsidRPr="00E7469C">
        <w:rPr>
          <w:rFonts w:ascii="Palatino Linotype" w:eastAsia="Palatino Linotype" w:hAnsi="Palatino Linotype" w:cs="Palatino Linotype"/>
          <w:b/>
          <w:sz w:val="22"/>
          <w:szCs w:val="22"/>
        </w:rPr>
        <w:t>nombre de los elementos que realizan funciones operativas, debe ser protegido</w:t>
      </w:r>
      <w:r w:rsidRPr="00E7469C">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w:t>
      </w:r>
      <w:r w:rsidRPr="00E7469C">
        <w:rPr>
          <w:rFonts w:ascii="Palatino Linotype" w:eastAsia="Palatino Linotype" w:hAnsi="Palatino Linotype" w:cs="Palatino Linotype"/>
          <w:sz w:val="22"/>
          <w:szCs w:val="22"/>
        </w:rPr>
        <w:lastRenderedPageBreak/>
        <w:t>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0AEF47E8"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18A633C6"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Bajo este orden de ideas, se tiene que la clasificación del nombre de policías realizada por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es correcta, sin embargo, respecto al </w:t>
      </w:r>
      <w:r w:rsidRPr="00E7469C">
        <w:rPr>
          <w:rFonts w:ascii="Palatino Linotype" w:eastAsia="Palatino Linotype" w:hAnsi="Palatino Linotype" w:cs="Palatino Linotype"/>
          <w:i/>
          <w:sz w:val="22"/>
          <w:szCs w:val="22"/>
        </w:rPr>
        <w:t>cargo</w:t>
      </w:r>
      <w:r w:rsidRPr="00E7469C">
        <w:rPr>
          <w:rFonts w:ascii="Palatino Linotype" w:eastAsia="Palatino Linotype" w:hAnsi="Palatino Linotype" w:cs="Palatino Linotype"/>
          <w:sz w:val="22"/>
          <w:szCs w:val="22"/>
        </w:rPr>
        <w:t xml:space="preserve"> que ostentan los servidores públicos, por regla general, es información de naturaleza pública, toda vez que se encuentra relacionada con una obligación de transparencia común, de conformidad con lo que establecen la fracción VII, del artículo 92 de la Ley de Transparencia y Acceso a la Información Pública del Estado de México y Municipios, relativa al “</w:t>
      </w:r>
      <w:r w:rsidRPr="00E7469C">
        <w:rPr>
          <w:rFonts w:ascii="Palatino Linotype" w:eastAsia="Palatino Linotype" w:hAnsi="Palatino Linotype" w:cs="Palatino Linotype"/>
          <w:i/>
          <w:sz w:val="22"/>
          <w:szCs w:val="22"/>
        </w:rPr>
        <w:t>directorio de todos los servidores públicos</w:t>
      </w:r>
      <w:r w:rsidRPr="00E7469C">
        <w:rPr>
          <w:rFonts w:ascii="Palatino Linotype" w:eastAsia="Palatino Linotype" w:hAnsi="Palatino Linotype" w:cs="Palatino Linotype"/>
          <w:sz w:val="22"/>
          <w:szCs w:val="22"/>
        </w:rPr>
        <w:t>”, como se sigue:</w:t>
      </w:r>
    </w:p>
    <w:p w14:paraId="3B1CF804" w14:textId="77777777" w:rsidR="002377F0" w:rsidRPr="00E7469C" w:rsidRDefault="002377F0">
      <w:pPr>
        <w:tabs>
          <w:tab w:val="left" w:pos="993"/>
        </w:tabs>
        <w:ind w:left="567" w:right="560"/>
        <w:jc w:val="both"/>
        <w:rPr>
          <w:rFonts w:ascii="Palatino Linotype" w:eastAsia="Palatino Linotype" w:hAnsi="Palatino Linotype" w:cs="Palatino Linotype"/>
          <w:i/>
          <w:sz w:val="22"/>
          <w:szCs w:val="22"/>
        </w:rPr>
      </w:pPr>
    </w:p>
    <w:p w14:paraId="6163770F" w14:textId="77777777" w:rsidR="002377F0" w:rsidRPr="00E7469C" w:rsidRDefault="008C7182">
      <w:pPr>
        <w:tabs>
          <w:tab w:val="left" w:pos="993"/>
        </w:tabs>
        <w:ind w:left="851" w:right="560"/>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92.</w:t>
      </w:r>
      <w:r w:rsidRPr="00E746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E7469C">
        <w:rPr>
          <w:rFonts w:ascii="Palatino Linotype" w:eastAsia="Palatino Linotype" w:hAnsi="Palatino Linotype" w:cs="Palatino Linotype"/>
          <w:i/>
          <w:sz w:val="22"/>
          <w:szCs w:val="22"/>
        </w:rPr>
        <w:br/>
        <w:t>…</w:t>
      </w:r>
    </w:p>
    <w:p w14:paraId="3FDB70D6" w14:textId="77777777" w:rsidR="002377F0" w:rsidRPr="00E7469C" w:rsidRDefault="008C7182">
      <w:pPr>
        <w:tabs>
          <w:tab w:val="left" w:pos="993"/>
        </w:tabs>
        <w:ind w:left="851" w:right="560"/>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60849B48" w14:textId="77777777" w:rsidR="002377F0" w:rsidRPr="00E7469C" w:rsidRDefault="008C7182">
      <w:pPr>
        <w:tabs>
          <w:tab w:val="left" w:pos="993"/>
        </w:tabs>
        <w:ind w:left="851" w:right="560"/>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El directorio deberá incluir, al menos</w:t>
      </w:r>
      <w:r w:rsidRPr="00E7469C">
        <w:rPr>
          <w:rFonts w:ascii="Palatino Linotype" w:eastAsia="Palatino Linotype" w:hAnsi="Palatino Linotype" w:cs="Palatino Linotype"/>
          <w:i/>
          <w:sz w:val="22"/>
          <w:szCs w:val="22"/>
        </w:rPr>
        <w:t xml:space="preserve"> el nombre,</w:t>
      </w:r>
      <w:r w:rsidRPr="00E7469C">
        <w:rPr>
          <w:rFonts w:ascii="Palatino Linotype" w:eastAsia="Palatino Linotype" w:hAnsi="Palatino Linotype" w:cs="Palatino Linotype"/>
          <w:b/>
          <w:i/>
          <w:sz w:val="22"/>
          <w:szCs w:val="22"/>
          <w:u w:val="single"/>
        </w:rPr>
        <w:t xml:space="preserve"> cargo</w:t>
      </w:r>
      <w:r w:rsidRPr="00E7469C">
        <w:rPr>
          <w:rFonts w:ascii="Palatino Linotype" w:eastAsia="Palatino Linotype" w:hAnsi="Palatino Linotype" w:cs="Palatino Linotype"/>
          <w:i/>
          <w:sz w:val="22"/>
          <w:szCs w:val="22"/>
        </w:rPr>
        <w:t xml:space="preserve"> o nombramiento oficial asignado, </w:t>
      </w:r>
      <w:r w:rsidRPr="00E7469C">
        <w:rPr>
          <w:rFonts w:ascii="Palatino Linotype" w:eastAsia="Palatino Linotype" w:hAnsi="Palatino Linotype" w:cs="Palatino Linotype"/>
          <w:b/>
          <w:i/>
          <w:sz w:val="22"/>
          <w:szCs w:val="22"/>
          <w:u w:val="single"/>
        </w:rPr>
        <w:t>nivel del puesto en la estructura orgánica</w:t>
      </w:r>
      <w:r w:rsidRPr="00E7469C">
        <w:rPr>
          <w:rFonts w:ascii="Palatino Linotype" w:eastAsia="Palatino Linotype" w:hAnsi="Palatino Linotype" w:cs="Palatino Linotype"/>
          <w:i/>
          <w:sz w:val="22"/>
          <w:szCs w:val="22"/>
        </w:rPr>
        <w:t xml:space="preserve">, fecha de alta en el cargo, número telefónico, domicilio para recibir correspondencia y dirección de correo electrónico oficiales, datos que deberán señalarse de forma independiente por dependencia y entidad pública de cada sujeto </w:t>
      </w:r>
      <w:proofErr w:type="gramStart"/>
      <w:r w:rsidRPr="00E7469C">
        <w:rPr>
          <w:rFonts w:ascii="Palatino Linotype" w:eastAsia="Palatino Linotype" w:hAnsi="Palatino Linotype" w:cs="Palatino Linotype"/>
          <w:i/>
          <w:sz w:val="22"/>
          <w:szCs w:val="22"/>
        </w:rPr>
        <w:t>obligado;…</w:t>
      </w:r>
      <w:proofErr w:type="gramEnd"/>
      <w:r w:rsidRPr="00E7469C">
        <w:rPr>
          <w:rFonts w:ascii="Palatino Linotype" w:eastAsia="Palatino Linotype" w:hAnsi="Palatino Linotype" w:cs="Palatino Linotype"/>
          <w:i/>
          <w:sz w:val="22"/>
          <w:szCs w:val="22"/>
        </w:rPr>
        <w:t>”</w:t>
      </w:r>
    </w:p>
    <w:p w14:paraId="5A45F551" w14:textId="77777777" w:rsidR="002377F0" w:rsidRPr="00E7469C" w:rsidRDefault="002377F0">
      <w:pPr>
        <w:tabs>
          <w:tab w:val="left" w:pos="993"/>
        </w:tabs>
        <w:ind w:left="567" w:right="560"/>
        <w:jc w:val="both"/>
        <w:rPr>
          <w:rFonts w:ascii="Palatino Linotype" w:eastAsia="Palatino Linotype" w:hAnsi="Palatino Linotype" w:cs="Palatino Linotype"/>
          <w:i/>
          <w:sz w:val="22"/>
          <w:szCs w:val="22"/>
        </w:rPr>
      </w:pPr>
    </w:p>
    <w:p w14:paraId="48E10E4D"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lo que de lo anteriormente citado, se desprende que cuando se trate de cargos de servidores públicos, por regla general, estos deberán dejarse visibles pues se insiste, el </w:t>
      </w:r>
      <w:r w:rsidRPr="00E7469C">
        <w:rPr>
          <w:rFonts w:ascii="Palatino Linotype" w:eastAsia="Palatino Linotype" w:hAnsi="Palatino Linotype" w:cs="Palatino Linotype"/>
          <w:sz w:val="22"/>
          <w:szCs w:val="22"/>
        </w:rPr>
        <w:lastRenderedPageBreak/>
        <w:t xml:space="preserve">interés de la ciudadanía consiste en conocer los nombres y cargos de las autoridades que emiten los diferentes actos de autoridad que permean en la dinámica social diaria, destacando que únicamente en los casos en los que procede la clasificación de los nombres de servidores públicos es cuando se trata de elementos operativos de seguridad pública, tal y como se realizó en el presente asunto, ya que advierte que los nombres testados corresponden al personal operativo de la Comisaria Municipal; por ende únicamente procede la clasificación del nombre de dicho personal, no obstante el cargo es de naturaleza pública. </w:t>
      </w:r>
    </w:p>
    <w:p w14:paraId="7CEE6CB2"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1CCE8DD" w14:textId="77777777" w:rsidR="002377F0" w:rsidRPr="00E7469C" w:rsidRDefault="008C7182">
      <w:pPr>
        <w:tabs>
          <w:tab w:val="left" w:pos="4962"/>
        </w:tabs>
        <w:spacing w:line="360" w:lineRule="auto"/>
        <w:ind w:right="-28"/>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Precisado lo anterior, respecto de la nómina solicitada, nos lleva a precisar que en nuestra legislación del Estado de México no existe como tal una definición de </w:t>
      </w:r>
      <w:r w:rsidRPr="00E7469C">
        <w:rPr>
          <w:rFonts w:ascii="Palatino Linotype" w:eastAsia="Palatino Linotype" w:hAnsi="Palatino Linotype" w:cs="Palatino Linotype"/>
          <w:b/>
          <w:i/>
          <w:sz w:val="22"/>
          <w:szCs w:val="22"/>
        </w:rPr>
        <w:t>“nómina”</w:t>
      </w:r>
      <w:r w:rsidRPr="00E7469C">
        <w:rPr>
          <w:rFonts w:ascii="Palatino Linotype" w:eastAsia="Palatino Linotype" w:hAnsi="Palatino Linotype" w:cs="Palatino Linotype"/>
          <w:sz w:val="22"/>
          <w:szCs w:val="22"/>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D0E5E66" w14:textId="77777777" w:rsidR="002377F0" w:rsidRPr="00E7469C" w:rsidRDefault="002377F0">
      <w:pPr>
        <w:tabs>
          <w:tab w:val="left" w:pos="4962"/>
        </w:tabs>
        <w:spacing w:line="360" w:lineRule="auto"/>
        <w:ind w:right="-28"/>
        <w:jc w:val="both"/>
        <w:rPr>
          <w:rFonts w:ascii="Palatino Linotype" w:eastAsia="Palatino Linotype" w:hAnsi="Palatino Linotype" w:cs="Palatino Linotype"/>
          <w:sz w:val="22"/>
          <w:szCs w:val="22"/>
        </w:rPr>
      </w:pPr>
    </w:p>
    <w:p w14:paraId="7B48290C"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NÓMINA </w:t>
      </w:r>
      <w:r w:rsidRPr="00E7469C">
        <w:rPr>
          <w:rFonts w:ascii="Palatino Linotype" w:eastAsia="Palatino Linotype" w:hAnsi="Palatino Linotype" w:cs="Palatino Linotype"/>
          <w:i/>
          <w:sz w:val="22"/>
          <w:szCs w:val="22"/>
          <w:u w:val="single"/>
        </w:rPr>
        <w:t>Listado general</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i/>
          <w:sz w:val="22"/>
          <w:szCs w:val="22"/>
          <w:u w:val="single"/>
        </w:rPr>
        <w:t>de los trabajadores de una institución</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i/>
          <w:sz w:val="22"/>
          <w:szCs w:val="22"/>
          <w:u w:val="single"/>
        </w:rPr>
        <w:t>en</w:t>
      </w:r>
      <w:r w:rsidRPr="00E7469C">
        <w:rPr>
          <w:rFonts w:ascii="Palatino Linotype" w:eastAsia="Palatino Linotype" w:hAnsi="Palatino Linotype" w:cs="Palatino Linotype"/>
          <w:b/>
          <w:i/>
          <w:sz w:val="22"/>
          <w:szCs w:val="22"/>
          <w:u w:val="single"/>
        </w:rPr>
        <w:t xml:space="preserve"> </w:t>
      </w:r>
      <w:r w:rsidRPr="00E7469C">
        <w:rPr>
          <w:rFonts w:ascii="Palatino Linotype" w:eastAsia="Palatino Linotype" w:hAnsi="Palatino Linotype" w:cs="Palatino Linotype"/>
          <w:i/>
          <w:sz w:val="22"/>
          <w:szCs w:val="22"/>
          <w:u w:val="single"/>
        </w:rPr>
        <w:t>el cual se asientan las percepciones brutas, deducciones y</w:t>
      </w:r>
      <w:r w:rsidRPr="00E7469C">
        <w:rPr>
          <w:rFonts w:ascii="Palatino Linotype" w:eastAsia="Palatino Linotype" w:hAnsi="Palatino Linotype" w:cs="Palatino Linotype"/>
          <w:b/>
          <w:i/>
          <w:sz w:val="22"/>
          <w:szCs w:val="22"/>
          <w:u w:val="single"/>
        </w:rPr>
        <w:t xml:space="preserve"> </w:t>
      </w:r>
      <w:r w:rsidRPr="00E7469C">
        <w:rPr>
          <w:rFonts w:ascii="Palatino Linotype" w:eastAsia="Palatino Linotype" w:hAnsi="Palatino Linotype" w:cs="Palatino Linotype"/>
          <w:i/>
          <w:sz w:val="22"/>
          <w:szCs w:val="22"/>
          <w:u w:val="single"/>
        </w:rPr>
        <w:t>alcance neto de las mismas</w:t>
      </w:r>
      <w:r w:rsidRPr="00E7469C">
        <w:rPr>
          <w:rFonts w:ascii="Palatino Linotype" w:eastAsia="Palatino Linotype" w:hAnsi="Palatino Linotype" w:cs="Palatino Linotype"/>
          <w:i/>
          <w:sz w:val="22"/>
          <w:szCs w:val="22"/>
        </w:rPr>
        <w:t>; la nómina es utilizada para</w:t>
      </w: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i/>
          <w:sz w:val="22"/>
          <w:szCs w:val="22"/>
        </w:rPr>
        <w:t>efectuar los pagos periódicos (semanales, quincenales o</w:t>
      </w: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i/>
          <w:sz w:val="22"/>
          <w:szCs w:val="22"/>
        </w:rPr>
        <w:t>mensuales) a los trabajadores por concepto de sueldos y</w:t>
      </w: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i/>
          <w:sz w:val="22"/>
          <w:szCs w:val="22"/>
        </w:rPr>
        <w:t>salarios</w:t>
      </w:r>
      <w:proofErr w:type="gramStart"/>
      <w:r w:rsidRPr="00E7469C">
        <w:rPr>
          <w:rFonts w:ascii="Palatino Linotype" w:eastAsia="Palatino Linotype" w:hAnsi="Palatino Linotype" w:cs="Palatino Linotype"/>
          <w:i/>
          <w:sz w:val="22"/>
          <w:szCs w:val="22"/>
        </w:rPr>
        <w:t>.”(</w:t>
      </w:r>
      <w:proofErr w:type="gramEnd"/>
      <w:r w:rsidRPr="00E7469C">
        <w:rPr>
          <w:rFonts w:ascii="Palatino Linotype" w:eastAsia="Palatino Linotype" w:hAnsi="Palatino Linotype" w:cs="Palatino Linotype"/>
          <w:i/>
          <w:sz w:val="22"/>
          <w:szCs w:val="22"/>
        </w:rPr>
        <w:t>Sic)</w:t>
      </w:r>
    </w:p>
    <w:p w14:paraId="1A5BA1D4"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485C0E3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En base a lo anterior, conviene a traer lo establecido por el artículo 804, fracción II, de la Ley Federal de Trabajo, el cual a la letra establece: </w:t>
      </w:r>
    </w:p>
    <w:p w14:paraId="0E9A49C5" w14:textId="77777777" w:rsidR="002377F0" w:rsidRPr="00E7469C" w:rsidRDefault="002377F0">
      <w:pPr>
        <w:ind w:left="851" w:right="851"/>
        <w:jc w:val="both"/>
        <w:rPr>
          <w:rFonts w:ascii="Palatino Linotype" w:eastAsia="Palatino Linotype" w:hAnsi="Palatino Linotype" w:cs="Palatino Linotype"/>
          <w:i/>
          <w:sz w:val="22"/>
          <w:szCs w:val="22"/>
        </w:rPr>
      </w:pPr>
    </w:p>
    <w:p w14:paraId="500CD2B9"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804.-</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El patrón tiene obligación de conservar y exhibir en juicio los documentos que a continuación se precisan</w:t>
      </w:r>
      <w:r w:rsidRPr="00E7469C">
        <w:rPr>
          <w:rFonts w:ascii="Palatino Linotype" w:eastAsia="Palatino Linotype" w:hAnsi="Palatino Linotype" w:cs="Palatino Linotype"/>
          <w:i/>
          <w:sz w:val="22"/>
          <w:szCs w:val="22"/>
        </w:rPr>
        <w:t>:</w:t>
      </w:r>
    </w:p>
    <w:p w14:paraId="16FCD9FA"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II.</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Listas de raya o nómina de personal</w:t>
      </w:r>
      <w:r w:rsidRPr="00E7469C">
        <w:rPr>
          <w:rFonts w:ascii="Palatino Linotype" w:eastAsia="Palatino Linotype" w:hAnsi="Palatino Linotype" w:cs="Palatino Linotype"/>
          <w:i/>
          <w:sz w:val="22"/>
          <w:szCs w:val="22"/>
        </w:rPr>
        <w:t xml:space="preserve">, cuando se lleven en el centro de trabajo; o recibos de pagos de salarios; </w:t>
      </w:r>
    </w:p>
    <w:p w14:paraId="7D430C55"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103D01C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E7469C">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E7469C">
        <w:rPr>
          <w:rFonts w:ascii="Palatino Linotype" w:eastAsia="Palatino Linotype" w:hAnsi="Palatino Linotype" w:cs="Palatino Linotype"/>
          <w:i/>
          <w:sz w:val="22"/>
          <w:szCs w:val="22"/>
        </w:rPr>
        <w:t>; y los mencionados en la fracción V, conforme lo señalen las Leyes que los rijan.” (Sic)</w:t>
      </w:r>
    </w:p>
    <w:p w14:paraId="0F7A148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9721B5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 precedente, se concluye que la nómina, </w:t>
      </w:r>
      <w:r w:rsidRPr="00E7469C">
        <w:rPr>
          <w:rFonts w:ascii="Palatino Linotype" w:eastAsia="Palatino Linotype" w:hAnsi="Palatino Linotype" w:cs="Palatino Linotype"/>
          <w:sz w:val="22"/>
          <w:szCs w:val="22"/>
          <w:u w:val="single"/>
        </w:rPr>
        <w:t>es el registro utilizado para efectuar los pagos a los trabajadores por concepto de sueldos y salarios</w:t>
      </w:r>
      <w:r w:rsidRPr="00E7469C">
        <w:rPr>
          <w:rFonts w:ascii="Palatino Linotype" w:eastAsia="Palatino Linotype" w:hAnsi="Palatino Linotype" w:cs="Palatino Linotype"/>
          <w:sz w:val="22"/>
          <w:szCs w:val="22"/>
        </w:rPr>
        <w:t xml:space="preserve">, el cual se compone por el conjunto de trabajadores en el que </w:t>
      </w:r>
      <w:r w:rsidRPr="00E7469C">
        <w:rPr>
          <w:rFonts w:ascii="Palatino Linotype" w:eastAsia="Palatino Linotype" w:hAnsi="Palatino Linotype" w:cs="Palatino Linotype"/>
          <w:b/>
          <w:sz w:val="22"/>
          <w:szCs w:val="22"/>
        </w:rPr>
        <w:t>se asientan las percepciones brutas, deducciones y la cantidad neta a pagar</w:t>
      </w:r>
      <w:r w:rsidRPr="00E7469C">
        <w:rPr>
          <w:rFonts w:ascii="Palatino Linotype" w:eastAsia="Palatino Linotype" w:hAnsi="Palatino Linotype" w:cs="Palatino Linotype"/>
          <w:sz w:val="22"/>
          <w:szCs w:val="22"/>
        </w:rPr>
        <w:t>.</w:t>
      </w:r>
    </w:p>
    <w:p w14:paraId="0990B1F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F079817" w14:textId="77777777" w:rsidR="002377F0" w:rsidRPr="00E7469C" w:rsidRDefault="008C7182">
      <w:pPr>
        <w:tabs>
          <w:tab w:val="right" w:pos="8505"/>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Una vez precisado lo que antecede, la Ley de Fiscalización Superior del Estado de México, señala en su artículo 8, fracción XI, que el Órgano Superior de Fiscalización del Estado de México, tiene como una de sus atribuciones el de emitir los Lineamientos Integración del Informe Trimestral de los Sujetos de Fiscalización Municipales para el Ejercicio, como así se advierte a continuación:</w:t>
      </w:r>
    </w:p>
    <w:p w14:paraId="3162518B" w14:textId="77777777" w:rsidR="002377F0" w:rsidRPr="00E7469C" w:rsidRDefault="002377F0">
      <w:pPr>
        <w:ind w:left="851" w:right="616"/>
        <w:jc w:val="both"/>
        <w:rPr>
          <w:rFonts w:ascii="Palatino Linotype" w:eastAsia="Palatino Linotype" w:hAnsi="Palatino Linotype" w:cs="Palatino Linotype"/>
          <w:b/>
          <w:i/>
          <w:sz w:val="22"/>
          <w:szCs w:val="22"/>
        </w:rPr>
      </w:pPr>
    </w:p>
    <w:p w14:paraId="23DF1B43"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“Artículo 8. </w:t>
      </w:r>
      <w:r w:rsidRPr="00E7469C">
        <w:rPr>
          <w:rFonts w:ascii="Palatino Linotype" w:eastAsia="Palatino Linotype" w:hAnsi="Palatino Linotype" w:cs="Palatino Linotype"/>
          <w:i/>
          <w:sz w:val="22"/>
          <w:szCs w:val="22"/>
        </w:rPr>
        <w:t>El Órgano Superior tendrá las siguientes atribuciones:</w:t>
      </w:r>
    </w:p>
    <w:p w14:paraId="4125A40B"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5C131781"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XI. Establecer los lineamientos</w:t>
      </w:r>
      <w:r w:rsidRPr="00E7469C">
        <w:rPr>
          <w:rFonts w:ascii="Palatino Linotype" w:eastAsia="Palatino Linotype" w:hAnsi="Palatino Linotype" w:cs="Palatino Linotype"/>
          <w:i/>
          <w:sz w:val="22"/>
          <w:szCs w:val="22"/>
        </w:rPr>
        <w:t xml:space="preserve">, criterios, procedimientos, métodos y sistemas </w:t>
      </w:r>
      <w:r w:rsidRPr="00E7469C">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sz w:val="22"/>
          <w:szCs w:val="22"/>
        </w:rPr>
        <w:t>” (</w:t>
      </w:r>
      <w:r w:rsidRPr="00E7469C">
        <w:rPr>
          <w:rFonts w:ascii="Palatino Linotype" w:eastAsia="Palatino Linotype" w:hAnsi="Palatino Linotype" w:cs="Palatino Linotype"/>
          <w:i/>
          <w:sz w:val="22"/>
          <w:szCs w:val="22"/>
        </w:rPr>
        <w:t>Sic)</w:t>
      </w:r>
    </w:p>
    <w:p w14:paraId="6379A41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C98628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Dentro de los cuales ubicamos en su módulo cuatro la información relacionada a la nómina, como se advierte en las siguientes imágenes sustraídas de dichos lineamientos:</w:t>
      </w:r>
    </w:p>
    <w:p w14:paraId="0D0928B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36BD37E" w14:textId="77777777" w:rsidR="002377F0" w:rsidRPr="00E7469C" w:rsidRDefault="008C718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3A13F4AA" wp14:editId="2A9DEED5">
            <wp:extent cx="4151865" cy="2951122"/>
            <wp:effectExtent l="0" t="0" r="0" b="0"/>
            <wp:docPr id="21449236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4151865" cy="2951122"/>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2336" behindDoc="0" locked="0" layoutInCell="1" hidden="0" allowOverlap="1" wp14:anchorId="07E02964" wp14:editId="3DA083CC">
                <wp:simplePos x="0" y="0"/>
                <wp:positionH relativeFrom="column">
                  <wp:posOffset>755650</wp:posOffset>
                </wp:positionH>
                <wp:positionV relativeFrom="paragraph">
                  <wp:posOffset>1758950</wp:posOffset>
                </wp:positionV>
                <wp:extent cx="4124325" cy="419100"/>
                <wp:effectExtent l="0" t="0" r="0" b="0"/>
                <wp:wrapNone/>
                <wp:docPr id="2144923612" name="Rectángulo 2144923612"/>
                <wp:cNvGraphicFramePr/>
                <a:graphic xmlns:a="http://schemas.openxmlformats.org/drawingml/2006/main">
                  <a:graphicData uri="http://schemas.microsoft.com/office/word/2010/wordprocessingShape">
                    <wps:wsp>
                      <wps:cNvSpPr/>
                      <wps:spPr>
                        <a:xfrm>
                          <a:off x="3321938" y="3608550"/>
                          <a:ext cx="4048125" cy="342900"/>
                        </a:xfrm>
                        <a:prstGeom prst="rect">
                          <a:avLst/>
                        </a:prstGeom>
                        <a:noFill/>
                        <a:ln w="19050" cap="flat" cmpd="sng">
                          <a:solidFill>
                            <a:srgbClr val="FF0000"/>
                          </a:solidFill>
                          <a:prstDash val="solid"/>
                          <a:round/>
                          <a:headEnd type="none" w="sm" len="sm"/>
                          <a:tailEnd type="none" w="sm" len="sm"/>
                        </a:ln>
                      </wps:spPr>
                      <wps:txbx>
                        <w:txbxContent>
                          <w:p w14:paraId="7B1E7D9C"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07E02964" id="Rectángulo 2144923612" o:spid="_x0000_s1030" style="position:absolute;left:0;text-align:left;margin-left:59.5pt;margin-top:138.5pt;width:324.7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" filled="f" strokecolor="red" strokeweight="1.5pt">
                <v:stroke startarrowwidth="narrow" startarrowlength="short" endarrowwidth="narrow" endarrowlength="short" joinstyle="round"/>
                <v:textbox inset="2.53958mm,2.53958mm,2.53958mm,2.53958mm">
                  <w:txbxContent>
                    <w:p w14:paraId="7B1E7D9C" w14:textId="77777777" w:rsidR="002377F0" w:rsidRDefault="002377F0">
                      <w:pPr>
                        <w:textDirection w:val="btLr"/>
                      </w:pPr>
                    </w:p>
                  </w:txbxContent>
                </v:textbox>
              </v:rect>
            </w:pict>
          </mc:Fallback>
        </mc:AlternateContent>
      </w:r>
    </w:p>
    <w:p w14:paraId="4A9D4889"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F49FB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Dentro de los cuales ubicamos, la información referente a la conciliación de nómina que de manera enunciativa más no limitativa puede colmar las peticiones de la parte </w:t>
      </w:r>
      <w:r w:rsidRPr="00E7469C">
        <w:rPr>
          <w:rFonts w:ascii="Palatino Linotype" w:eastAsia="Palatino Linotype" w:hAnsi="Palatino Linotype" w:cs="Palatino Linotype"/>
          <w:b/>
          <w:sz w:val="22"/>
          <w:szCs w:val="22"/>
        </w:rPr>
        <w:t>Recurrent</w:t>
      </w:r>
      <w:r w:rsidRPr="00E7469C">
        <w:rPr>
          <w:rFonts w:ascii="Palatino Linotype" w:eastAsia="Palatino Linotype" w:hAnsi="Palatino Linotype" w:cs="Palatino Linotype"/>
          <w:sz w:val="22"/>
          <w:szCs w:val="22"/>
        </w:rPr>
        <w:t>e, toda vez que es información que se genera de forma quincenal, que es como lo solicita el particular y cuya finalidad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 y que debe presentarse a través de los siguientes formatos:</w:t>
      </w:r>
    </w:p>
    <w:p w14:paraId="599FF131"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51ECF1DD" wp14:editId="0A079370">
            <wp:extent cx="4733925" cy="5443069"/>
            <wp:effectExtent l="0" t="0" r="0" b="0"/>
            <wp:docPr id="21449236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b="443"/>
                    <a:stretch>
                      <a:fillRect/>
                    </a:stretch>
                  </pic:blipFill>
                  <pic:spPr>
                    <a:xfrm>
                      <a:off x="0" y="0"/>
                      <a:ext cx="4733925" cy="5443069"/>
                    </a:xfrm>
                    <a:prstGeom prst="rect">
                      <a:avLst/>
                    </a:prstGeom>
                    <a:ln/>
                  </pic:spPr>
                </pic:pic>
              </a:graphicData>
            </a:graphic>
          </wp:inline>
        </w:drawing>
      </w:r>
    </w:p>
    <w:p w14:paraId="67F4CA1A"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Para el llenado de dicho formato se deben observar las siguientes consideraciones:</w:t>
      </w:r>
    </w:p>
    <w:p w14:paraId="34FA3777"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5FAFF598" wp14:editId="7C6DB41D">
            <wp:extent cx="4644000" cy="1276864"/>
            <wp:effectExtent l="0" t="0" r="0" b="0"/>
            <wp:docPr id="21449236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4644000" cy="1276864"/>
                    </a:xfrm>
                    <a:prstGeom prst="rect">
                      <a:avLst/>
                    </a:prstGeom>
                    <a:ln/>
                  </pic:spPr>
                </pic:pic>
              </a:graphicData>
            </a:graphic>
          </wp:inline>
        </w:drawing>
      </w:r>
      <w:r w:rsidRPr="00E7469C">
        <w:rPr>
          <w:rFonts w:ascii="Palatino Linotype" w:eastAsia="Palatino Linotype" w:hAnsi="Palatino Linotype" w:cs="Palatino Linotype"/>
          <w:noProof/>
          <w:sz w:val="22"/>
          <w:szCs w:val="22"/>
          <w:lang w:val="es-MX"/>
        </w:rPr>
        <w:drawing>
          <wp:inline distT="0" distB="0" distL="0" distR="0" wp14:anchorId="17A3ABF5" wp14:editId="7D088D5F">
            <wp:extent cx="4642622" cy="4857650"/>
            <wp:effectExtent l="0" t="0" r="0" b="0"/>
            <wp:docPr id="21449236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1"/>
                    <a:srcRect t="1" b="423"/>
                    <a:stretch>
                      <a:fillRect/>
                    </a:stretch>
                  </pic:blipFill>
                  <pic:spPr>
                    <a:xfrm>
                      <a:off x="0" y="0"/>
                      <a:ext cx="4642622" cy="4857650"/>
                    </a:xfrm>
                    <a:prstGeom prst="rect">
                      <a:avLst/>
                    </a:prstGeom>
                    <a:ln/>
                  </pic:spPr>
                </pic:pic>
              </a:graphicData>
            </a:graphic>
          </wp:inline>
        </w:drawing>
      </w:r>
    </w:p>
    <w:p w14:paraId="7E2E98E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w:t>
      </w:r>
      <w:r w:rsidRPr="00E7469C">
        <w:rPr>
          <w:rFonts w:ascii="Palatino Linotype" w:eastAsia="Palatino Linotype" w:hAnsi="Palatino Linotype" w:cs="Palatino Linotype"/>
          <w:sz w:val="22"/>
          <w:szCs w:val="22"/>
        </w:rPr>
        <w:lastRenderedPageBreak/>
        <w:t xml:space="preserve">R.F.C, CURP, Número de seguridad social (ISSEMYM), </w:t>
      </w:r>
      <w:r w:rsidRPr="00E7469C">
        <w:rPr>
          <w:rFonts w:ascii="Palatino Linotype" w:eastAsia="Palatino Linotype" w:hAnsi="Palatino Linotype" w:cs="Palatino Linotype"/>
          <w:b/>
          <w:sz w:val="22"/>
          <w:szCs w:val="22"/>
        </w:rPr>
        <w:t>Nombre completo: Apellido Paterno, Apellido Materno, Nombre</w:t>
      </w:r>
      <w:r w:rsidRPr="00E7469C">
        <w:rPr>
          <w:rFonts w:ascii="Palatino Linotype" w:eastAsia="Palatino Linotype" w:hAnsi="Palatino Linotype" w:cs="Palatino Linotype"/>
          <w:sz w:val="22"/>
          <w:szCs w:val="22"/>
        </w:rPr>
        <w:t xml:space="preserve"> (s), Fecha de alta, Fecha de baja, </w:t>
      </w:r>
      <w:r w:rsidRPr="00E7469C">
        <w:rPr>
          <w:rFonts w:ascii="Palatino Linotype" w:eastAsia="Palatino Linotype" w:hAnsi="Palatino Linotype" w:cs="Palatino Linotype"/>
          <w:b/>
          <w:sz w:val="22"/>
          <w:szCs w:val="22"/>
        </w:rPr>
        <w:t>Puesto funcional, Nivel y/o rango</w:t>
      </w:r>
      <w:r w:rsidRPr="00E7469C">
        <w:rPr>
          <w:rFonts w:ascii="Palatino Linotype" w:eastAsia="Palatino Linotype" w:hAnsi="Palatino Linotype" w:cs="Palatino Linotype"/>
          <w:sz w:val="22"/>
          <w:szCs w:val="22"/>
        </w:rPr>
        <w:t xml:space="preserve">, No. de horas laboradas, </w:t>
      </w:r>
      <w:r w:rsidRPr="00E7469C">
        <w:rPr>
          <w:rFonts w:ascii="Palatino Linotype" w:eastAsia="Palatino Linotype" w:hAnsi="Palatino Linotype" w:cs="Palatino Linotype"/>
          <w:b/>
          <w:sz w:val="22"/>
          <w:szCs w:val="22"/>
        </w:rPr>
        <w:t>Adscripción,</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rPr>
        <w:t>Categoría:</w:t>
      </w:r>
      <w:r w:rsidRPr="00E7469C">
        <w:rPr>
          <w:rFonts w:ascii="Palatino Linotype" w:eastAsia="Palatino Linotype" w:hAnsi="Palatino Linotype" w:cs="Palatino Linotype"/>
          <w:sz w:val="22"/>
          <w:szCs w:val="22"/>
        </w:rPr>
        <w:t xml:space="preserve"> Confianza, Sindicalizado o Eventual; </w:t>
      </w:r>
      <w:r w:rsidRPr="00E7469C">
        <w:rPr>
          <w:rFonts w:ascii="Palatino Linotype" w:eastAsia="Palatino Linotype" w:hAnsi="Palatino Linotype" w:cs="Palatino Linotype"/>
          <w:b/>
          <w:sz w:val="22"/>
          <w:szCs w:val="22"/>
          <w:u w:val="single"/>
        </w:rPr>
        <w:t>Percepciones ordinarias</w:t>
      </w:r>
      <w:r w:rsidRPr="00E7469C">
        <w:rPr>
          <w:rFonts w:ascii="Palatino Linotype" w:eastAsia="Palatino Linotype" w:hAnsi="Palatino Linotype" w:cs="Palatino Linotype"/>
          <w:b/>
          <w:sz w:val="22"/>
          <w:szCs w:val="22"/>
        </w:rPr>
        <w:t xml:space="preserve"> (</w:t>
      </w:r>
      <w:proofErr w:type="gramStart"/>
      <w:r w:rsidRPr="00E7469C">
        <w:rPr>
          <w:rFonts w:ascii="Palatino Linotype" w:eastAsia="Palatino Linotype" w:hAnsi="Palatino Linotype" w:cs="Palatino Linotype"/>
          <w:b/>
          <w:sz w:val="22"/>
          <w:szCs w:val="22"/>
        </w:rPr>
        <w:t>de acuerdo al</w:t>
      </w:r>
      <w:proofErr w:type="gramEnd"/>
      <w:r w:rsidRPr="00E7469C">
        <w:rPr>
          <w:rFonts w:ascii="Palatino Linotype" w:eastAsia="Palatino Linotype" w:hAnsi="Palatino Linotype" w:cs="Palatino Linotype"/>
          <w:b/>
          <w:sz w:val="22"/>
          <w:szCs w:val="22"/>
        </w:rPr>
        <w:t xml:space="preserve"> tabulador), </w:t>
      </w:r>
      <w:r w:rsidRPr="00E7469C">
        <w:rPr>
          <w:rFonts w:ascii="Palatino Linotype" w:eastAsia="Palatino Linotype" w:hAnsi="Palatino Linotype" w:cs="Palatino Linotype"/>
          <w:sz w:val="22"/>
          <w:szCs w:val="22"/>
        </w:rPr>
        <w:t>Percepciones extraordinarias</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b/>
          <w:sz w:val="22"/>
          <w:szCs w:val="22"/>
          <w:u w:val="single"/>
        </w:rPr>
        <w:t>Total de percepciones brutas;</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b/>
          <w:sz w:val="22"/>
          <w:szCs w:val="22"/>
          <w:u w:val="single"/>
        </w:rPr>
        <w:t>Deducciones</w:t>
      </w:r>
      <w:r w:rsidRPr="00E7469C">
        <w:rPr>
          <w:rFonts w:ascii="Palatino Linotype" w:eastAsia="Palatino Linotype" w:hAnsi="Palatino Linotype" w:cs="Palatino Linotype"/>
          <w:b/>
          <w:sz w:val="22"/>
          <w:szCs w:val="22"/>
        </w:rPr>
        <w:t xml:space="preserve">; Total de deducciones, </w:t>
      </w:r>
      <w:r w:rsidRPr="00E7469C">
        <w:rPr>
          <w:rFonts w:ascii="Palatino Linotype" w:eastAsia="Palatino Linotype" w:hAnsi="Palatino Linotype" w:cs="Palatino Linotype"/>
          <w:b/>
          <w:sz w:val="22"/>
          <w:szCs w:val="22"/>
          <w:u w:val="single"/>
        </w:rPr>
        <w:t>Total neto</w:t>
      </w:r>
      <w:r w:rsidRPr="00E7469C">
        <w:rPr>
          <w:rFonts w:ascii="Palatino Linotype" w:eastAsia="Palatino Linotype" w:hAnsi="Palatino Linotype" w:cs="Palatino Linotype"/>
          <w:b/>
          <w:sz w:val="22"/>
          <w:szCs w:val="22"/>
        </w:rPr>
        <w:t>,</w:t>
      </w:r>
      <w:r w:rsidRPr="00E7469C">
        <w:rPr>
          <w:rFonts w:ascii="Palatino Linotype" w:eastAsia="Palatino Linotype" w:hAnsi="Palatino Linotype" w:cs="Palatino Linotype"/>
          <w:sz w:val="22"/>
          <w:szCs w:val="22"/>
        </w:rPr>
        <w:t xml:space="preserve"> Días pagados</w:t>
      </w:r>
      <w:r w:rsidRPr="00E7469C">
        <w:rPr>
          <w:rFonts w:ascii="Palatino Linotype" w:eastAsia="Palatino Linotype" w:hAnsi="Palatino Linotype" w:cs="Palatino Linotype"/>
          <w:b/>
          <w:sz w:val="22"/>
          <w:szCs w:val="22"/>
        </w:rPr>
        <w:t>,</w:t>
      </w:r>
      <w:r w:rsidRPr="00E7469C">
        <w:rPr>
          <w:rFonts w:ascii="Palatino Linotype" w:eastAsia="Palatino Linotype" w:hAnsi="Palatino Linotype" w:cs="Palatino Linotype"/>
          <w:sz w:val="22"/>
          <w:szCs w:val="22"/>
        </w:rPr>
        <w:t xml:space="preserve"> Nombre de la fuente de financiamiento, Póliza, y Medio de pago.</w:t>
      </w:r>
    </w:p>
    <w:p w14:paraId="5CAD03D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478A61E"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12" w:name="_heading=h.v97vmmacaa80" w:colFirst="0" w:colLast="0"/>
      <w:bookmarkEnd w:id="12"/>
      <w:r w:rsidRPr="00E7469C">
        <w:rPr>
          <w:rFonts w:ascii="Palatino Linotype" w:eastAsia="Palatino Linotype" w:hAnsi="Palatino Linotype" w:cs="Palatino Linotype"/>
          <w:sz w:val="22"/>
          <w:szCs w:val="22"/>
        </w:rPr>
        <w:t xml:space="preserve">Por consiguiente, se estima que el documento a través del cual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puede colmar la pretensión de la persona solicitante es la conciliación de nómina de las quincenas requeridas, por lo que resulta procedente ordenar al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la entrega de la Conciliación de Nómina del Ayuntamiento de Atlacomulco de la segunda quincena de diciembre de dos mil veinticuatro y segunda quincena de febrero de dos mil veinticinco.</w:t>
      </w:r>
    </w:p>
    <w:p w14:paraId="5389BF6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68027C8" w14:textId="77777777" w:rsidR="002377F0" w:rsidRPr="00E7469C" w:rsidRDefault="008C71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Cedulas de trámites y servicios con los que cuenta en municipio</w:t>
      </w:r>
    </w:p>
    <w:p w14:paraId="5D83164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respuesta el Coordinador General Municipal de Mejora Regulatoria informó que, la información referente a las Cédulas en formato PDF de los Trámites y Servicios con los que cuenta el Municipio puede ser consultada y descargada en las siguientes ligas electrónicas:</w:t>
      </w:r>
    </w:p>
    <w:p w14:paraId="08FB3801" w14:textId="77777777" w:rsidR="002377F0" w:rsidRPr="00E7469C" w:rsidRDefault="008C7182">
      <w:pPr>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C247EA1" wp14:editId="2F1ACFEA">
            <wp:extent cx="4534533" cy="466790"/>
            <wp:effectExtent l="0" t="0" r="0" b="0"/>
            <wp:docPr id="21449236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a:stretch>
                      <a:fillRect/>
                    </a:stretch>
                  </pic:blipFill>
                  <pic:spPr>
                    <a:xfrm>
                      <a:off x="0" y="0"/>
                      <a:ext cx="4534533" cy="466790"/>
                    </a:xfrm>
                    <a:prstGeom prst="rect">
                      <a:avLst/>
                    </a:prstGeom>
                    <a:ln/>
                  </pic:spPr>
                </pic:pic>
              </a:graphicData>
            </a:graphic>
          </wp:inline>
        </w:drawing>
      </w:r>
    </w:p>
    <w:p w14:paraId="28A04266" w14:textId="77777777" w:rsidR="002377F0" w:rsidRPr="00E7469C" w:rsidRDefault="002377F0">
      <w:pPr>
        <w:spacing w:line="360" w:lineRule="auto"/>
        <w:jc w:val="center"/>
        <w:rPr>
          <w:rFonts w:ascii="Palatino Linotype" w:eastAsia="Palatino Linotype" w:hAnsi="Palatino Linotype" w:cs="Palatino Linotype"/>
          <w:sz w:val="22"/>
          <w:szCs w:val="22"/>
        </w:rPr>
      </w:pPr>
    </w:p>
    <w:p w14:paraId="27201A3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primera instancia, es de señalar que el Coordinador General Municipal de Mejora Regulatoria, fue el responsable de otorgar respuesta, mismo que cuenta con las siguientes atribuciones:</w:t>
      </w:r>
    </w:p>
    <w:p w14:paraId="1599D386" w14:textId="77777777" w:rsidR="002377F0" w:rsidRPr="00E7469C" w:rsidRDefault="002377F0">
      <w:pPr>
        <w:spacing w:line="276" w:lineRule="auto"/>
        <w:ind w:left="851" w:right="902"/>
        <w:jc w:val="both"/>
        <w:rPr>
          <w:rFonts w:ascii="Palatino Linotype" w:eastAsia="Palatino Linotype" w:hAnsi="Palatino Linotype" w:cs="Palatino Linotype"/>
          <w:i/>
          <w:sz w:val="22"/>
          <w:szCs w:val="22"/>
        </w:rPr>
      </w:pPr>
    </w:p>
    <w:p w14:paraId="4954699C"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REGLAMENTO INTERIOR DE LA COORDINACIÓN GENERAL MUNICIPAL DE MEJORA REGULATORIA.</w:t>
      </w:r>
    </w:p>
    <w:p w14:paraId="46646CC6"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lastRenderedPageBreak/>
        <w:t xml:space="preserve">Artículo </w:t>
      </w:r>
      <w:proofErr w:type="gramStart"/>
      <w:r w:rsidRPr="00E7469C">
        <w:rPr>
          <w:rFonts w:ascii="Palatino Linotype" w:eastAsia="Palatino Linotype" w:hAnsi="Palatino Linotype" w:cs="Palatino Linotype"/>
          <w:b/>
          <w:i/>
          <w:sz w:val="22"/>
          <w:szCs w:val="22"/>
        </w:rPr>
        <w:t>27.</w:t>
      </w:r>
      <w:r w:rsidRPr="00E7469C">
        <w:rPr>
          <w:rFonts w:ascii="Palatino Linotype" w:eastAsia="Palatino Linotype" w:hAnsi="Palatino Linotype" w:cs="Palatino Linotype"/>
          <w:i/>
          <w:sz w:val="22"/>
          <w:szCs w:val="22"/>
        </w:rPr>
        <w:t>La</w:t>
      </w:r>
      <w:proofErr w:type="gramEnd"/>
      <w:r w:rsidRPr="00E7469C">
        <w:rPr>
          <w:rFonts w:ascii="Palatino Linotype" w:eastAsia="Palatino Linotype" w:hAnsi="Palatino Linotype" w:cs="Palatino Linotype"/>
          <w:i/>
          <w:sz w:val="22"/>
          <w:szCs w:val="22"/>
        </w:rPr>
        <w:t xml:space="preserve"> coordinación y comunicación entre el municipio y la Autoridad Estatal de Mejora Regulatoria, se llevará a cabo a través de la o el Coordinador General Municipal de Mejora Regulatoria y Enlace de Mejora Regulatoria Municipal, para el cumplimiento de las disposiciones jurídicas de la materia.</w:t>
      </w:r>
    </w:p>
    <w:p w14:paraId="15ADBF60"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el ámbito de su competencia, la o el Coordinador General Municipal de Mejora Regulatoria y Enlace Municipal tiene las funciones siguientes:</w:t>
      </w:r>
    </w:p>
    <w:p w14:paraId="45937860"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457DE50C"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VIII. Administrar el Registro Municipal de Trámites y Servicios y el de Regulaciones; conforme a lo establecido en la Ley;</w:t>
      </w:r>
    </w:p>
    <w:p w14:paraId="09C8E5F7"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IX. Mantener actualizado el Catálogo de Trámites y Servicios, así como los requisitos, plazos y cargas tributarias que correspondan;</w:t>
      </w:r>
    </w:p>
    <w:p w14:paraId="7B2AD7B8"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 Mantener actualizado el Catálogo Nacional y Municipal de Regulaciones;</w:t>
      </w:r>
    </w:p>
    <w:p w14:paraId="35A2A761"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BFBFFB1" w14:textId="77777777" w:rsidR="002377F0" w:rsidRPr="00E7469C" w:rsidRDefault="002377F0">
      <w:pPr>
        <w:spacing w:line="360" w:lineRule="auto"/>
        <w:jc w:val="both"/>
        <w:rPr>
          <w:rFonts w:ascii="Palatino Linotype" w:eastAsia="Palatino Linotype" w:hAnsi="Palatino Linotype" w:cs="Palatino Linotype"/>
          <w:i/>
          <w:sz w:val="22"/>
          <w:szCs w:val="22"/>
        </w:rPr>
      </w:pPr>
    </w:p>
    <w:p w14:paraId="4D8CFFC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Siendo la Coordinación General Municipal de Mejora Regulatoria, la responsable de administrar y mantener actualizado el Registro Municipal de Trámites y Servicios municipales. </w:t>
      </w:r>
    </w:p>
    <w:p w14:paraId="353CF39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E58FB0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este tenor, toda vez que hubo un pronunciamiento por parte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se estima oportuno efectuar el análisis de la información proporcionada, a efecto de determinar si es suficiente para tener por colmado el derecho de acceso a la información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w:t>
      </w:r>
    </w:p>
    <w:p w14:paraId="36A4522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8F17F8F"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en el presente caso, es de recordar que el</w:t>
      </w:r>
      <w:r w:rsidRPr="00E7469C">
        <w:rPr>
          <w:rFonts w:ascii="Palatino Linotype" w:eastAsia="Palatino Linotype" w:hAnsi="Palatino Linotype" w:cs="Palatino Linotype"/>
          <w:b/>
          <w:sz w:val="22"/>
          <w:szCs w:val="22"/>
        </w:rPr>
        <w:t xml:space="preserve"> Sujeto Obligado </w:t>
      </w:r>
      <w:r w:rsidRPr="00E7469C">
        <w:rPr>
          <w:rFonts w:ascii="Palatino Linotype" w:eastAsia="Palatino Linotype" w:hAnsi="Palatino Linotype" w:cs="Palatino Linotype"/>
          <w:sz w:val="22"/>
          <w:szCs w:val="22"/>
        </w:rPr>
        <w:t xml:space="preserve">señala que la información está disponible en las siguientes ligas electrónicas: </w:t>
      </w:r>
    </w:p>
    <w:p w14:paraId="43B76A6A" w14:textId="77777777" w:rsidR="002377F0" w:rsidRPr="00E7469C" w:rsidRDefault="008C7182">
      <w:pPr>
        <w:spacing w:line="360" w:lineRule="auto"/>
        <w:ind w:right="51"/>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32A70D4A" wp14:editId="4DB59C16">
            <wp:extent cx="4534533" cy="533474"/>
            <wp:effectExtent l="0" t="0" r="0" b="0"/>
            <wp:docPr id="21449236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4534533" cy="533474"/>
                    </a:xfrm>
                    <a:prstGeom prst="rect">
                      <a:avLst/>
                    </a:prstGeom>
                    <a:ln/>
                  </pic:spPr>
                </pic:pic>
              </a:graphicData>
            </a:graphic>
          </wp:inline>
        </w:drawing>
      </w:r>
    </w:p>
    <w:p w14:paraId="6E7A39B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Ligas que como puede advertirse se encuentra en formato cerrado, es decir, que no se puede copiar y pegar para tener acceso; sobre el tema, Trujillo, Humberto (2019), en el “Diccionario </w:t>
      </w:r>
      <w:r w:rsidRPr="00E7469C">
        <w:rPr>
          <w:rFonts w:ascii="Palatino Linotype" w:eastAsia="Palatino Linotype" w:hAnsi="Palatino Linotype" w:cs="Palatino Linotype"/>
          <w:sz w:val="22"/>
          <w:szCs w:val="22"/>
        </w:rPr>
        <w:lastRenderedPageBreak/>
        <w:t xml:space="preserve">de Transparencia y Acceso a la Información Pública”, precisa que cuando un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204760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030908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42258EC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5E2DB7B"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B0AD53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 </w:t>
      </w:r>
    </w:p>
    <w:p w14:paraId="49A1E55C" w14:textId="77777777" w:rsidR="002377F0" w:rsidRPr="00E7469C" w:rsidRDefault="008C7182">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Dato abierto:</w:t>
      </w:r>
      <w:r w:rsidRPr="00E7469C">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2E8E079" w14:textId="77777777" w:rsidR="002377F0" w:rsidRPr="00E7469C" w:rsidRDefault="002377F0">
      <w:pPr>
        <w:spacing w:line="360" w:lineRule="auto"/>
        <w:ind w:firstLine="60"/>
        <w:jc w:val="both"/>
        <w:rPr>
          <w:rFonts w:ascii="Palatino Linotype" w:eastAsia="Palatino Linotype" w:hAnsi="Palatino Linotype" w:cs="Palatino Linotype"/>
          <w:sz w:val="22"/>
          <w:szCs w:val="22"/>
        </w:rPr>
      </w:pPr>
    </w:p>
    <w:p w14:paraId="1AF86AEF" w14:textId="77777777" w:rsidR="002377F0" w:rsidRPr="00E7469C" w:rsidRDefault="008C7182">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Formato accesible: </w:t>
      </w:r>
      <w:r w:rsidRPr="00E7469C">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72B18A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B5DC9F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3819AF8B"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C7044C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0A0B8BF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8055E5D"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13" w:name="_heading=h.otgvrpgt2nrt" w:colFirst="0" w:colLast="0"/>
      <w:bookmarkEnd w:id="13"/>
      <w:r w:rsidRPr="00E7469C">
        <w:rPr>
          <w:rFonts w:ascii="Palatino Linotype" w:eastAsia="Palatino Linotype" w:hAnsi="Palatino Linotype" w:cs="Palatino Linotype"/>
          <w:sz w:val="22"/>
          <w:szCs w:val="22"/>
        </w:rPr>
        <w:t xml:space="preserve">Como se logra observar,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 por lo que, este Organismo Garante considera oportuno ordenar al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la entrega, de las cédulas de  los Trámites y Servicios que prestan las dependencias que integran a la Administración Pública Municipal, vigentes al siete de marzo de dos mil veinticinco. </w:t>
      </w:r>
    </w:p>
    <w:p w14:paraId="01021B9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8E9F308" w14:textId="77777777" w:rsidR="002377F0" w:rsidRPr="00E7469C" w:rsidRDefault="008C718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Cédulas de datos personales con sus anexos </w:t>
      </w:r>
      <w:proofErr w:type="gramStart"/>
      <w:r w:rsidRPr="00E7469C">
        <w:rPr>
          <w:rFonts w:ascii="Palatino Linotype" w:eastAsia="Palatino Linotype" w:hAnsi="Palatino Linotype" w:cs="Palatino Linotype"/>
          <w:b/>
          <w:sz w:val="22"/>
          <w:szCs w:val="22"/>
        </w:rPr>
        <w:t>de acuerdo a</w:t>
      </w:r>
      <w:proofErr w:type="gramEnd"/>
      <w:r w:rsidRPr="00E7469C">
        <w:rPr>
          <w:rFonts w:ascii="Palatino Linotype" w:eastAsia="Palatino Linotype" w:hAnsi="Palatino Linotype" w:cs="Palatino Linotype"/>
          <w:b/>
          <w:sz w:val="22"/>
          <w:szCs w:val="22"/>
        </w:rPr>
        <w:t xml:space="preserve"> lo establecido en la Ley de protección de datos personales</w:t>
      </w:r>
    </w:p>
    <w:p w14:paraId="521D5F0F" w14:textId="77777777" w:rsidR="002377F0" w:rsidRPr="00E7469C" w:rsidRDefault="002377F0">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4BD4AFFE" w14:textId="77777777" w:rsidR="002377F0" w:rsidRPr="00E7469C" w:rsidRDefault="008C718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entendido, se procede a contextualizar la información solicitada, relacionada con las Cédulas de Bases de Datos Personales, por lo que, es pertinente señalar lo siguiente:</w:t>
      </w:r>
    </w:p>
    <w:p w14:paraId="3970928B" w14:textId="77777777" w:rsidR="002377F0" w:rsidRPr="00E7469C" w:rsidRDefault="002377F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B2AE39" w14:textId="77777777" w:rsidR="002377F0" w:rsidRPr="00E7469C" w:rsidRDefault="008C7182">
      <w:pPr>
        <w:ind w:left="851" w:right="567"/>
        <w:jc w:val="center"/>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t>LEY DE PROTECCIÓN DE DATOS PERSONALES EN POSESIÓN DE SUJETOS OBLIGADOS DEL ESTADO DE MÉXICO Y MUNICIPIOS.</w:t>
      </w:r>
    </w:p>
    <w:p w14:paraId="17D27E60"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w:t>
      </w:r>
      <w:r w:rsidRPr="00E7469C">
        <w:rPr>
          <w:rFonts w:ascii="Palatino Linotype" w:eastAsia="Palatino Linotype" w:hAnsi="Palatino Linotype" w:cs="Palatino Linotype"/>
          <w:i/>
          <w:sz w:val="22"/>
          <w:szCs w:val="22"/>
        </w:rPr>
        <w:t xml:space="preserve"> Para los efectos de esta Ley se entenderá por:  </w:t>
      </w:r>
    </w:p>
    <w:p w14:paraId="0146EF29"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 Administrador: a la servidora o el servidor público o persona física facultada y nombrada por el </w:t>
      </w:r>
      <w:proofErr w:type="gramStart"/>
      <w:r w:rsidRPr="00E7469C">
        <w:rPr>
          <w:rFonts w:ascii="Palatino Linotype" w:eastAsia="Palatino Linotype" w:hAnsi="Palatino Linotype" w:cs="Palatino Linotype"/>
          <w:i/>
          <w:sz w:val="22"/>
          <w:szCs w:val="22"/>
        </w:rPr>
        <w:t>Responsable</w:t>
      </w:r>
      <w:proofErr w:type="gramEnd"/>
      <w:r w:rsidRPr="00E7469C">
        <w:rPr>
          <w:rFonts w:ascii="Palatino Linotype" w:eastAsia="Palatino Linotype" w:hAnsi="Palatino Linotype" w:cs="Palatino Linotype"/>
          <w:i/>
          <w:sz w:val="22"/>
          <w:szCs w:val="22"/>
        </w:rPr>
        <w:t xml:space="preserve"> para llevar a cabo tratamiento de datos personales y que tiene bajo su responsabilidad los sistemas y bases de datos personales.</w:t>
      </w:r>
    </w:p>
    <w:p w14:paraId="1951B9E9"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V. Aviso de Privacidad: al documento físico, electrónico o en cualquier formato generado por el responsable que es puesto a disposición del Titular con el objeto de informarle los propósitos del tratamiento al que serán sometidos sus datos personales.  </w:t>
      </w:r>
    </w:p>
    <w:p w14:paraId="6F55D418" w14:textId="77777777" w:rsidR="002377F0" w:rsidRPr="00E7469C" w:rsidRDefault="008C7182">
      <w:pPr>
        <w:ind w:left="851" w:right="567"/>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t>VI. Base de Datos: al conjunto de archivos, registros, ficheros, condicionados a criterios determinados con independencia de la forma o modalidad de su creación, tipo de soporte, procesamiento, almacenamiento, organización y acceso.</w:t>
      </w:r>
    </w:p>
    <w:p w14:paraId="4AB687C1"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XXX. Medidas de seguridad: a las acciones, actividades, controles o mecanismos administrativos, técnicos y físicos que permitan proteger los datos personales.</w:t>
      </w:r>
    </w:p>
    <w:p w14:paraId="5782D00D"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XLIII. Sistema de datos personales: a los datos personales contenidos en los archivos de un sujeto obligado que puede comprender el tratamiento de una o diversas bases de datos para el cumplimiento de una o diversas finalidades.</w:t>
      </w:r>
    </w:p>
    <w:p w14:paraId="507473DD"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1E8DC9C4" w14:textId="77777777" w:rsidR="002377F0" w:rsidRPr="00E7469C" w:rsidRDefault="008C7182">
      <w:pPr>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i/>
          <w:sz w:val="22"/>
          <w:szCs w:val="22"/>
        </w:rPr>
        <w:t xml:space="preserve">Artículo 35. Corresponde a cada sujeto obligado determinar, a través de su titular, órgano competente o Comité de Transparencia, la creación, modificación o supresión de sistemas y bases de datos personales, conforme a su respectivo ámbito de competencia. </w:t>
      </w:r>
    </w:p>
    <w:p w14:paraId="40822DEF" w14:textId="77777777" w:rsidR="002377F0" w:rsidRPr="00E7469C" w:rsidRDefault="002377F0">
      <w:pPr>
        <w:ind w:left="851" w:right="567"/>
        <w:jc w:val="both"/>
        <w:rPr>
          <w:rFonts w:ascii="Palatino Linotype" w:eastAsia="Palatino Linotype" w:hAnsi="Palatino Linotype" w:cs="Palatino Linotype"/>
          <w:b/>
          <w:i/>
          <w:sz w:val="22"/>
          <w:szCs w:val="22"/>
        </w:rPr>
      </w:pPr>
    </w:p>
    <w:p w14:paraId="5D28F979"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“Artículo 36. La integración, tratamiento y tutela de los sistemas de datos personales se regirán por las disposiciones siguientes: </w:t>
      </w:r>
    </w:p>
    <w:p w14:paraId="07F77406" w14:textId="77777777" w:rsidR="002377F0" w:rsidRPr="00E7469C" w:rsidRDefault="002377F0">
      <w:pPr>
        <w:ind w:left="851" w:right="567"/>
        <w:jc w:val="both"/>
        <w:rPr>
          <w:rFonts w:ascii="Palatino Linotype" w:eastAsia="Palatino Linotype" w:hAnsi="Palatino Linotype" w:cs="Palatino Linotype"/>
          <w:i/>
          <w:sz w:val="22"/>
          <w:szCs w:val="22"/>
        </w:rPr>
      </w:pPr>
    </w:p>
    <w:p w14:paraId="3B2AAE39"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Cada sujeto obligado deberá informar al Instituto sobre la creación, modificación o supresión de sus sistemas de datos personales.</w:t>
      </w:r>
    </w:p>
    <w:p w14:paraId="6F6A8257" w14:textId="77777777" w:rsidR="002377F0" w:rsidRPr="00E7469C" w:rsidRDefault="002377F0">
      <w:pPr>
        <w:ind w:left="851" w:right="567"/>
        <w:jc w:val="both"/>
        <w:rPr>
          <w:rFonts w:ascii="Palatino Linotype" w:eastAsia="Palatino Linotype" w:hAnsi="Palatino Linotype" w:cs="Palatino Linotype"/>
          <w:i/>
          <w:sz w:val="22"/>
          <w:szCs w:val="22"/>
        </w:rPr>
      </w:pPr>
    </w:p>
    <w:p w14:paraId="6417484D"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En caso de creación o modificación de sistemas de datos personales, se incluirá en el registro, los datos previstos la presente Ley.</w:t>
      </w:r>
    </w:p>
    <w:p w14:paraId="6C3DA62F" w14:textId="77777777" w:rsidR="002377F0" w:rsidRPr="00E7469C" w:rsidRDefault="002377F0">
      <w:pPr>
        <w:ind w:left="851" w:right="567"/>
        <w:jc w:val="both"/>
        <w:rPr>
          <w:rFonts w:ascii="Palatino Linotype" w:eastAsia="Palatino Linotype" w:hAnsi="Palatino Linotype" w:cs="Palatino Linotype"/>
          <w:i/>
          <w:sz w:val="22"/>
          <w:szCs w:val="22"/>
        </w:rPr>
      </w:pPr>
    </w:p>
    <w:p w14:paraId="141D4EB7"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En las disposiciones que se dicten para la supresión de los sistemas de datos personales, se establecerá el destino de los datos contenidos en los mismos o, en su caso, las previsiones que se adopten para su destrucción.</w:t>
      </w:r>
    </w:p>
    <w:p w14:paraId="43617CDA" w14:textId="77777777" w:rsidR="002377F0" w:rsidRPr="00E7469C" w:rsidRDefault="002377F0">
      <w:pPr>
        <w:ind w:left="851" w:right="567"/>
        <w:jc w:val="both"/>
        <w:rPr>
          <w:rFonts w:ascii="Palatino Linotype" w:eastAsia="Palatino Linotype" w:hAnsi="Palatino Linotype" w:cs="Palatino Linotype"/>
          <w:i/>
          <w:sz w:val="22"/>
          <w:szCs w:val="22"/>
        </w:rPr>
      </w:pPr>
    </w:p>
    <w:p w14:paraId="0DFF7DC8"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 xml:space="preserve">IV. De la destrucción de los datos personales podrán ser excluidos aquellos que, con finalidades estadísticas o históricas, sean previamente sometidos al procedimiento de disociación. </w:t>
      </w:r>
    </w:p>
    <w:p w14:paraId="1D89192E" w14:textId="77777777" w:rsidR="002377F0" w:rsidRPr="00E7469C" w:rsidRDefault="002377F0">
      <w:pPr>
        <w:ind w:left="851" w:right="567"/>
        <w:jc w:val="both"/>
        <w:rPr>
          <w:rFonts w:ascii="Palatino Linotype" w:eastAsia="Palatino Linotype" w:hAnsi="Palatino Linotype" w:cs="Palatino Linotype"/>
          <w:i/>
          <w:sz w:val="22"/>
          <w:szCs w:val="22"/>
        </w:rPr>
      </w:pPr>
    </w:p>
    <w:p w14:paraId="2F97C40B" w14:textId="77777777" w:rsidR="002377F0" w:rsidRPr="00E7469C" w:rsidRDefault="008C7182">
      <w:pPr>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i/>
          <w:sz w:val="22"/>
          <w:szCs w:val="22"/>
        </w:rPr>
        <w:t>El registro de Sistemas de Datos Personales deberá realizarse a más tardar dentro de los seis meses siguientes al inicio del tratamiento por parte del responsable.</w:t>
      </w:r>
    </w:p>
    <w:p w14:paraId="6C4894AA" w14:textId="77777777" w:rsidR="002377F0" w:rsidRPr="00E7469C" w:rsidRDefault="002377F0">
      <w:pPr>
        <w:ind w:left="851" w:right="567"/>
        <w:jc w:val="both"/>
        <w:rPr>
          <w:rFonts w:ascii="Palatino Linotype" w:eastAsia="Palatino Linotype" w:hAnsi="Palatino Linotype" w:cs="Palatino Linotype"/>
          <w:b/>
          <w:i/>
          <w:sz w:val="22"/>
          <w:szCs w:val="22"/>
        </w:rPr>
      </w:pPr>
    </w:p>
    <w:p w14:paraId="377C2037"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37.</w:t>
      </w:r>
      <w:r w:rsidRPr="00E7469C">
        <w:rPr>
          <w:rFonts w:ascii="Palatino Linotype" w:eastAsia="Palatino Linotype" w:hAnsi="Palatino Linotype" w:cs="Palatino Linotype"/>
          <w:i/>
          <w:sz w:val="22"/>
          <w:szCs w:val="22"/>
        </w:rPr>
        <w:t xml:space="preserve"> Los sujetos obligados registrarán ante el Instituto los sistemas de datos personales que posean. El registro deberá indicar por lo menos los datos siguientes:  </w:t>
      </w:r>
    </w:p>
    <w:p w14:paraId="2FECAB88"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 El sujeto obligado que tiene a su cargo el sistema de datos personales.  </w:t>
      </w:r>
    </w:p>
    <w:p w14:paraId="257D5A2C"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II. La denominación del sistema de datos personales, la base de datos y el tipo de datos personales objeto de tratamiento.  </w:t>
      </w:r>
    </w:p>
    <w:p w14:paraId="54F914B0"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III. El nombre y cargo del administrador, así como el área o unidad administrativa a la que se encuentra adscrito.  </w:t>
      </w:r>
    </w:p>
    <w:p w14:paraId="729B8172"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IV. El nombre y cargo del encargado.  </w:t>
      </w:r>
    </w:p>
    <w:p w14:paraId="52C1E6A1"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V. La normatividad aplicable que dé fundamento al tratamiento en términos de los principios de finalidad y licitud.  </w:t>
      </w:r>
    </w:p>
    <w:p w14:paraId="73B97DD6"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VI. La finalidad del tratamiento.  </w:t>
      </w:r>
    </w:p>
    <w:p w14:paraId="2E1D624B"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VII. El origen, la forma de recolección y actualización de datos.  </w:t>
      </w:r>
    </w:p>
    <w:p w14:paraId="3850B249"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VIII. Datos transferidos, lugar de destino e identidad de los destinatarios, en el caso de que se registren transferencias.</w:t>
      </w:r>
    </w:p>
    <w:p w14:paraId="0AD46899"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IX. El modo de interrelacionar la información registrada, o en su caso, la trazabilidad de los datos en el sistema de datos personales.  </w:t>
      </w:r>
    </w:p>
    <w:p w14:paraId="11BD7367"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X. El domicilio de la Unidad de Transparencia, así como de las áreas o unidades administrativas ante las que podrán ejercitarse de manera directa los derechos ARCO.  </w:t>
      </w:r>
    </w:p>
    <w:p w14:paraId="2C00E447"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XI. El tiempo de conservación de los datos.  </w:t>
      </w:r>
    </w:p>
    <w:p w14:paraId="39423190"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XII. El nivel de seguridad.  </w:t>
      </w:r>
    </w:p>
    <w:p w14:paraId="3B743CE0"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XIII. En caso de que se hubiera presentado una violación de la seguridad de los datos personales se indicará la fecha de ocurrencia, la de detección y la de atención. </w:t>
      </w:r>
    </w:p>
    <w:p w14:paraId="755035DD"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Dicha información deberá permanecer en el registro un año calendario posterior a la fecha de su atención.  </w:t>
      </w:r>
    </w:p>
    <w:p w14:paraId="212F4CFB" w14:textId="77777777" w:rsidR="002377F0" w:rsidRPr="00E7469C" w:rsidRDefault="002377F0">
      <w:pPr>
        <w:ind w:left="567" w:right="843"/>
        <w:jc w:val="both"/>
        <w:rPr>
          <w:rFonts w:ascii="Palatino Linotype" w:eastAsia="Palatino Linotype" w:hAnsi="Palatino Linotype" w:cs="Palatino Linotype"/>
          <w:sz w:val="22"/>
          <w:szCs w:val="22"/>
        </w:rPr>
      </w:pPr>
    </w:p>
    <w:p w14:paraId="2EA9100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Bajo esta línea de pensamiento, se tiene que efectivamente las bases de datos generadas para almacenar los datos personales, deberá registrarse ante este Instituto y dicho registro deberá contener una serie de elementos, de entre los cuales destaca la denominación de la </w:t>
      </w:r>
      <w:r w:rsidRPr="00E7469C">
        <w:rPr>
          <w:rFonts w:ascii="Palatino Linotype" w:eastAsia="Palatino Linotype" w:hAnsi="Palatino Linotype" w:cs="Palatino Linotype"/>
          <w:sz w:val="22"/>
          <w:szCs w:val="22"/>
        </w:rPr>
        <w:lastRenderedPageBreak/>
        <w:t>base de datos, tipo de datos personales objeto del tratamiento, finalidad del tratamiento, tiempo de conservación de los datos, nivel de seguridad, etc.</w:t>
      </w:r>
    </w:p>
    <w:p w14:paraId="26D8A40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0195EF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Los Sujetos Obligados, se tienen que guiar bajo las bases, principios y procedimientos para tutelar y garantizar el derecho que tiene toda persona a la protección de sus datos personales, mediante bases de datos, documentos de seguridad y avisos de privacidad a efecto de tratar los datos personales.</w:t>
      </w:r>
    </w:p>
    <w:p w14:paraId="485CC29B" w14:textId="77777777" w:rsidR="002377F0" w:rsidRPr="00E7469C" w:rsidRDefault="002377F0">
      <w:pPr>
        <w:spacing w:line="360" w:lineRule="auto"/>
        <w:ind w:right="902"/>
        <w:jc w:val="both"/>
        <w:rPr>
          <w:rFonts w:ascii="Palatino Linotype" w:eastAsia="Palatino Linotype" w:hAnsi="Palatino Linotype" w:cs="Palatino Linotype"/>
          <w:sz w:val="22"/>
          <w:szCs w:val="22"/>
        </w:rPr>
      </w:pPr>
    </w:p>
    <w:p w14:paraId="29A299D7"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38.</w:t>
      </w:r>
      <w:r w:rsidRPr="00E7469C">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DF4854D"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Artículo 40. Confidencialidad a la propiedad o característica consistente en que la información no se pondrá a disposición, ni se revelará a individuos, entidades o procesos no autorizados, por consiguiente, el responsable, el administrador, el encargado o en su caso las usuarias y los usuarios autorizados son los únicos que pueden llevar a cabo el tratamiento de los datos personales, mediante los procedimientos que para tal efecto se establezcan.  </w:t>
      </w:r>
    </w:p>
    <w:p w14:paraId="08AABDA8"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El responsable, el encargado, las usuarias o los usuarios o cualquier persona que tenga acceso a los datos personales están obligados a guardar el secreto y sigilo correspondiente, conservando la confidencialidad aún después de cumplida su finalidad de tratamiento.  </w:t>
      </w:r>
    </w:p>
    <w:p w14:paraId="193A91FA"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El administrador, el encargado o en su caso las usuarias y los usuarios autorizados son los únicos que pueden llevar a cabo el tratamiento de los datos personales, mediante los procedimientos que para tal efecto se establezcan.  </w:t>
      </w:r>
    </w:p>
    <w:p w14:paraId="76FEE348"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El responsable establecerá controles o mecanismos que tengan por objeto que las personas que intervengan en cualquier fase del tratamiento de los datos </w:t>
      </w:r>
      <w:proofErr w:type="gramStart"/>
      <w:r w:rsidRPr="00E7469C">
        <w:rPr>
          <w:rFonts w:ascii="Palatino Linotype" w:eastAsia="Palatino Linotype" w:hAnsi="Palatino Linotype" w:cs="Palatino Linotype"/>
          <w:i/>
          <w:sz w:val="22"/>
          <w:szCs w:val="22"/>
        </w:rPr>
        <w:t>personales,</w:t>
      </w:r>
      <w:proofErr w:type="gramEnd"/>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i/>
          <w:sz w:val="22"/>
          <w:szCs w:val="22"/>
        </w:rPr>
        <w:lastRenderedPageBreak/>
        <w:t xml:space="preserve">guarden confidencialidad respecto de éstos, obligación que subsistirá aún después de finalizar sus relaciones con el sujeto obligado en los mismos términos que operen las prescripciones en materia de responsabilidades, salvo disposición legal en contrario.  </w:t>
      </w:r>
    </w:p>
    <w:p w14:paraId="2B623B97"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caso de contravención al deber de confidencialidad se estará a lo dispuesto por los ordenamientos administrativos correspondientes, independientemente de las acciones penales o civiles que en su caso procedan.</w:t>
      </w:r>
    </w:p>
    <w:p w14:paraId="7294E233" w14:textId="77777777" w:rsidR="002377F0" w:rsidRPr="00E7469C" w:rsidRDefault="002377F0">
      <w:pPr>
        <w:spacing w:line="276" w:lineRule="auto"/>
        <w:ind w:left="851" w:right="567"/>
        <w:jc w:val="both"/>
        <w:rPr>
          <w:rFonts w:ascii="Palatino Linotype" w:eastAsia="Palatino Linotype" w:hAnsi="Palatino Linotype" w:cs="Palatino Linotype"/>
          <w:i/>
          <w:sz w:val="22"/>
          <w:szCs w:val="22"/>
        </w:rPr>
      </w:pPr>
    </w:p>
    <w:p w14:paraId="54B6B044"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43.</w:t>
      </w:r>
      <w:r w:rsidRPr="00E7469C">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  </w:t>
      </w:r>
    </w:p>
    <w:p w14:paraId="7F9516B6"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1595478B"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1AE66A0D"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El responsable o el </w:t>
      </w:r>
      <w:proofErr w:type="gramStart"/>
      <w:r w:rsidRPr="00E7469C">
        <w:rPr>
          <w:rFonts w:ascii="Palatino Linotype" w:eastAsia="Palatino Linotype" w:hAnsi="Palatino Linotype" w:cs="Palatino Linotype"/>
          <w:i/>
          <w:sz w:val="22"/>
          <w:szCs w:val="22"/>
        </w:rPr>
        <w:t>encargado,</w:t>
      </w:r>
      <w:proofErr w:type="gramEnd"/>
      <w:r w:rsidRPr="00E7469C">
        <w:rPr>
          <w:rFonts w:ascii="Palatino Linotype" w:eastAsia="Palatino Linotype" w:hAnsi="Palatino Linotype" w:cs="Palatino Linotype"/>
          <w:i/>
          <w:sz w:val="22"/>
          <w:szCs w:val="22"/>
        </w:rPr>
        <w:t xml:space="preserve"> designarán a una o un administrador, quien tendrá bajo su responsabilidad directa la base y sistema de datos personales.</w:t>
      </w:r>
    </w:p>
    <w:p w14:paraId="147F444D" w14:textId="77777777" w:rsidR="002377F0" w:rsidRPr="00E7469C" w:rsidRDefault="002377F0">
      <w:pPr>
        <w:ind w:left="851" w:right="899"/>
        <w:jc w:val="both"/>
        <w:rPr>
          <w:rFonts w:ascii="Palatino Linotype" w:eastAsia="Palatino Linotype" w:hAnsi="Palatino Linotype" w:cs="Palatino Linotype"/>
          <w:i/>
          <w:sz w:val="22"/>
          <w:szCs w:val="22"/>
        </w:rPr>
      </w:pPr>
    </w:p>
    <w:p w14:paraId="716BEDB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El responsable de los datos personales,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por lo que no se pondrá a disposición, ni se </w:t>
      </w:r>
      <w:r w:rsidRPr="00E7469C">
        <w:rPr>
          <w:rFonts w:ascii="Palatino Linotype" w:eastAsia="Palatino Linotype" w:hAnsi="Palatino Linotype" w:cs="Palatino Linotype"/>
          <w:sz w:val="22"/>
          <w:szCs w:val="22"/>
        </w:rPr>
        <w:lastRenderedPageBreak/>
        <w:t xml:space="preserve">revelará a individuos, entidades o procesos no autorizados, por consiguiente, el responsable, el administrador, el encargado o en su caso las usuarias y los usuarios autorizados son los únicos que pueden llevar a cabo el tratamiento de los datos personales, mediante los procedimientos, por lo que se adoptarán las medidas adicionales que estime necesarias para brindar mayor garantía en la protección y resguardo de los sistemas y bases de datos personales. Dicho esto, las cédulas de bases de datos es información que debe obrar en los archivos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w:t>
      </w:r>
    </w:p>
    <w:p w14:paraId="548AE0EA"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EE358A2"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sentido, del análisis realizado a los documentos enviados en respuesta por el Sujeto Obligado, se advierte que este envió solamente el Listado de Base de Datos Personales del Ayuntamiento de Atlacomulco, como se advierte a continuación, a modo de ejemplo:</w:t>
      </w:r>
    </w:p>
    <w:p w14:paraId="22CC20B6"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B31C76A" wp14:editId="4FBC1C07">
            <wp:extent cx="4605065" cy="3784461"/>
            <wp:effectExtent l="0" t="0" r="0" b="0"/>
            <wp:docPr id="21449236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a:stretch>
                      <a:fillRect/>
                    </a:stretch>
                  </pic:blipFill>
                  <pic:spPr>
                    <a:xfrm>
                      <a:off x="0" y="0"/>
                      <a:ext cx="4605065" cy="3784461"/>
                    </a:xfrm>
                    <a:prstGeom prst="rect">
                      <a:avLst/>
                    </a:prstGeom>
                    <a:ln/>
                  </pic:spPr>
                </pic:pic>
              </a:graphicData>
            </a:graphic>
          </wp:inline>
        </w:drawing>
      </w:r>
    </w:p>
    <w:p w14:paraId="0C0FA24A"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7E8C0F4E" wp14:editId="5E343093">
            <wp:extent cx="4607437" cy="6868229"/>
            <wp:effectExtent l="0" t="0" r="0" b="0"/>
            <wp:docPr id="214492364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4607437" cy="6868229"/>
                    </a:xfrm>
                    <a:prstGeom prst="rect">
                      <a:avLst/>
                    </a:prstGeom>
                    <a:ln/>
                  </pic:spPr>
                </pic:pic>
              </a:graphicData>
            </a:graphic>
          </wp:inline>
        </w:drawing>
      </w:r>
    </w:p>
    <w:p w14:paraId="4ED19EE3"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13386061" wp14:editId="74D62F12">
            <wp:extent cx="4912443" cy="5327729"/>
            <wp:effectExtent l="0" t="0" r="0" b="0"/>
            <wp:docPr id="21449236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5"/>
                    <a:srcRect/>
                    <a:stretch>
                      <a:fillRect/>
                    </a:stretch>
                  </pic:blipFill>
                  <pic:spPr>
                    <a:xfrm>
                      <a:off x="0" y="0"/>
                      <a:ext cx="4912443" cy="5327729"/>
                    </a:xfrm>
                    <a:prstGeom prst="rect">
                      <a:avLst/>
                    </a:prstGeom>
                    <a:ln/>
                  </pic:spPr>
                </pic:pic>
              </a:graphicData>
            </a:graphic>
          </wp:inline>
        </w:drawing>
      </w:r>
    </w:p>
    <w:p w14:paraId="5AC95888"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w:t>
      </w:r>
    </w:p>
    <w:p w14:paraId="79565316"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 anterior, se puede colegir que, si bien,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remitió información relacionada con lo solicitado, al referir las cédulas con las que cuenta, también lo es que,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u w:val="single"/>
        </w:rPr>
        <w:t>solicitó las cédulas como tal, no una relación.</w:t>
      </w:r>
    </w:p>
    <w:p w14:paraId="7FBE7297"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483F17F2"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sentido, se procede a citar un ejemplo de las cédulas de bases de datos personales:</w:t>
      </w:r>
    </w:p>
    <w:p w14:paraId="378679F4"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57D8AA77" wp14:editId="2E108AD9">
            <wp:extent cx="3915261" cy="3334164"/>
            <wp:effectExtent l="0" t="0" r="0" b="0"/>
            <wp:docPr id="21449236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6"/>
                    <a:srcRect/>
                    <a:stretch>
                      <a:fillRect/>
                    </a:stretch>
                  </pic:blipFill>
                  <pic:spPr>
                    <a:xfrm>
                      <a:off x="0" y="0"/>
                      <a:ext cx="3915261" cy="3334164"/>
                    </a:xfrm>
                    <a:prstGeom prst="rect">
                      <a:avLst/>
                    </a:prstGeom>
                    <a:ln/>
                  </pic:spPr>
                </pic:pic>
              </a:graphicData>
            </a:graphic>
          </wp:inline>
        </w:drawing>
      </w:r>
    </w:p>
    <w:p w14:paraId="3D0153B7"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BAB64B9" wp14:editId="0943E866">
            <wp:extent cx="3962400" cy="3705225"/>
            <wp:effectExtent l="0" t="0" r="0" b="0"/>
            <wp:docPr id="21449236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7"/>
                    <a:srcRect/>
                    <a:stretch>
                      <a:fillRect/>
                    </a:stretch>
                  </pic:blipFill>
                  <pic:spPr>
                    <a:xfrm>
                      <a:off x="0" y="0"/>
                      <a:ext cx="3962400" cy="3705225"/>
                    </a:xfrm>
                    <a:prstGeom prst="rect">
                      <a:avLst/>
                    </a:prstGeom>
                    <a:ln/>
                  </pic:spPr>
                </pic:pic>
              </a:graphicData>
            </a:graphic>
          </wp:inline>
        </w:drawing>
      </w:r>
    </w:p>
    <w:p w14:paraId="76F577A8" w14:textId="77777777" w:rsidR="002377F0" w:rsidRPr="00E7469C" w:rsidRDefault="008C7182">
      <w:pPr>
        <w:spacing w:line="360" w:lineRule="auto"/>
        <w:ind w:right="4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0D3746B5" wp14:editId="1CA04355">
            <wp:extent cx="4020119" cy="1419426"/>
            <wp:effectExtent l="0" t="0" r="0" b="0"/>
            <wp:docPr id="21449236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8"/>
                    <a:srcRect/>
                    <a:stretch>
                      <a:fillRect/>
                    </a:stretch>
                  </pic:blipFill>
                  <pic:spPr>
                    <a:xfrm>
                      <a:off x="0" y="0"/>
                      <a:ext cx="4020119" cy="1419426"/>
                    </a:xfrm>
                    <a:prstGeom prst="rect">
                      <a:avLst/>
                    </a:prstGeom>
                    <a:ln/>
                  </pic:spPr>
                </pic:pic>
              </a:graphicData>
            </a:graphic>
          </wp:inline>
        </w:drawing>
      </w:r>
    </w:p>
    <w:p w14:paraId="41FC629D"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0A60012C"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bookmarkStart w:id="14" w:name="_heading=h.6ppfzuv51t5z" w:colFirst="0" w:colLast="0"/>
      <w:bookmarkEnd w:id="14"/>
      <w:r w:rsidRPr="00E7469C">
        <w:rPr>
          <w:rFonts w:ascii="Palatino Linotype" w:eastAsia="Palatino Linotype" w:hAnsi="Palatino Linotype" w:cs="Palatino Linotype"/>
          <w:sz w:val="22"/>
          <w:szCs w:val="22"/>
        </w:rPr>
        <w:t>Por lo anterior, debido a que, la información entregada en respuesta no corresponde con lo solicitado, resulta procedente ordenar la entrega de las cédulas de bases de datos del dos mil veinticinco en versión pública clasificando las medidas de seguridad, en términos del artículo 43 de la Ley de Protección de Datos Personales de la Entidad que refiere:</w:t>
      </w:r>
    </w:p>
    <w:p w14:paraId="2019AA30"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13A2A591" w14:textId="77777777" w:rsidR="002377F0" w:rsidRPr="00E7469C" w:rsidRDefault="008C7182">
      <w:pPr>
        <w:ind w:left="567" w:right="701"/>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43.</w:t>
      </w:r>
      <w:r w:rsidRPr="00E7469C">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61B67301" w14:textId="77777777" w:rsidR="002377F0" w:rsidRPr="00E7469C" w:rsidRDefault="008C7182">
      <w:pPr>
        <w:ind w:left="567" w:right="701"/>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Por la naturaleza de la información,</w:t>
      </w:r>
      <w:r w:rsidRPr="00E7469C">
        <w:rPr>
          <w:rFonts w:ascii="Palatino Linotype" w:eastAsia="Palatino Linotype" w:hAnsi="Palatino Linotype" w:cs="Palatino Linotype"/>
          <w:b/>
          <w:i/>
          <w:sz w:val="22"/>
          <w:szCs w:val="22"/>
          <w:u w:val="single"/>
        </w:rPr>
        <w:t xml:space="preserve"> las medidas de seguridad que se adopten serán consideradas confidenciales y únicamente se comunicará al Instituto, para su registro, el nivel de seguridad aplicable</w:t>
      </w:r>
      <w:r w:rsidRPr="00E7469C">
        <w:rPr>
          <w:rFonts w:ascii="Palatino Linotype" w:eastAsia="Palatino Linotype" w:hAnsi="Palatino Linotype" w:cs="Palatino Linotype"/>
          <w:i/>
          <w:sz w:val="22"/>
          <w:szCs w:val="22"/>
        </w:rPr>
        <w:t xml:space="preserve">. 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En el supuesto de actualización de estos datos, la modificación respectiva se notificará al Instituto en sus oficinas o en el portal que para tal efecto se cree, dentro de los treinta días hábiles siguientes a la fecha en que se efectuó. El responsable o el </w:t>
      </w:r>
      <w:proofErr w:type="gramStart"/>
      <w:r w:rsidRPr="00E7469C">
        <w:rPr>
          <w:rFonts w:ascii="Palatino Linotype" w:eastAsia="Palatino Linotype" w:hAnsi="Palatino Linotype" w:cs="Palatino Linotype"/>
          <w:i/>
          <w:sz w:val="22"/>
          <w:szCs w:val="22"/>
        </w:rPr>
        <w:t>encargado,</w:t>
      </w:r>
      <w:proofErr w:type="gramEnd"/>
      <w:r w:rsidRPr="00E7469C">
        <w:rPr>
          <w:rFonts w:ascii="Palatino Linotype" w:eastAsia="Palatino Linotype" w:hAnsi="Palatino Linotype" w:cs="Palatino Linotype"/>
          <w:i/>
          <w:sz w:val="22"/>
          <w:szCs w:val="22"/>
        </w:rPr>
        <w:t xml:space="preserve"> designarán a una o un administrador, quien tendrá bajo su responsabilidad directa la base y sistema de datos personales.</w:t>
      </w:r>
    </w:p>
    <w:p w14:paraId="2F66EA92"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1A41AA86" w14:textId="77777777" w:rsidR="002377F0" w:rsidRPr="00E7469C" w:rsidRDefault="008C7182">
      <w:pPr>
        <w:numPr>
          <w:ilvl w:val="0"/>
          <w:numId w:val="1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Los programas del municipio, así como, su plan de desarrollo municipal</w:t>
      </w:r>
    </w:p>
    <w:p w14:paraId="64379518"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35F9F52"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Referente a este punto, resulta procedente traer a contexto los artículos 73, 82, 89, 108, 125 y 213, del Bando Municipal de Atlacomulco, que precisan lo siguiente: </w:t>
      </w:r>
    </w:p>
    <w:p w14:paraId="466FF251"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FAFEBFC"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Artículo 73. </w:t>
      </w:r>
      <w:r w:rsidRPr="00E7469C">
        <w:rPr>
          <w:rFonts w:ascii="Palatino Linotype" w:eastAsia="Palatino Linotype" w:hAnsi="Palatino Linotype" w:cs="Palatino Linotype"/>
          <w:i/>
          <w:sz w:val="22"/>
          <w:szCs w:val="22"/>
        </w:rPr>
        <w:t>Para el logro de sus fines,</w:t>
      </w:r>
      <w:r w:rsidRPr="00E7469C">
        <w:rPr>
          <w:rFonts w:ascii="Palatino Linotype" w:eastAsia="Palatino Linotype" w:hAnsi="Palatino Linotype" w:cs="Palatino Linotype"/>
          <w:b/>
          <w:i/>
          <w:sz w:val="22"/>
          <w:szCs w:val="22"/>
        </w:rPr>
        <w:t xml:space="preserve"> los Órganos de la Administración Pública Municipal, </w:t>
      </w:r>
      <w:r w:rsidRPr="00E7469C">
        <w:rPr>
          <w:rFonts w:ascii="Palatino Linotype" w:eastAsia="Palatino Linotype" w:hAnsi="Palatino Linotype" w:cs="Palatino Linotype"/>
          <w:i/>
          <w:sz w:val="22"/>
          <w:szCs w:val="22"/>
        </w:rPr>
        <w:t>deberán conducir sus actividades de manera planeada, programada y con base en la legislación correspondiente, en las políticas públicas, la jerarquización y las restricciones que establezca el Ayuntamiento,</w:t>
      </w:r>
      <w:r w:rsidRPr="00E7469C">
        <w:rPr>
          <w:rFonts w:ascii="Palatino Linotype" w:eastAsia="Palatino Linotype" w:hAnsi="Palatino Linotype" w:cs="Palatino Linotype"/>
          <w:b/>
          <w:i/>
          <w:sz w:val="22"/>
          <w:szCs w:val="22"/>
        </w:rPr>
        <w:t xml:space="preserve"> el Plan de Desarrollo Municipal y los programas que de éste se deriven, previa aprobación en sesión de cabildo.</w:t>
      </w:r>
    </w:p>
    <w:p w14:paraId="2AFD053B"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47BE6460"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82.-</w:t>
      </w:r>
      <w:r w:rsidRPr="00E7469C">
        <w:rPr>
          <w:rFonts w:ascii="Palatino Linotype" w:eastAsia="Palatino Linotype" w:hAnsi="Palatino Linotype" w:cs="Palatino Linotype"/>
          <w:i/>
          <w:sz w:val="22"/>
          <w:szCs w:val="22"/>
        </w:rPr>
        <w:t xml:space="preserve"> La </w:t>
      </w:r>
      <w:r w:rsidRPr="00E7469C">
        <w:rPr>
          <w:rFonts w:ascii="Palatino Linotype" w:eastAsia="Palatino Linotype" w:hAnsi="Palatino Linotype" w:cs="Palatino Linotype"/>
          <w:b/>
          <w:i/>
          <w:sz w:val="22"/>
          <w:szCs w:val="22"/>
        </w:rPr>
        <w:t>Dirección de Bienestar Social, es la dependencia encargada</w:t>
      </w:r>
      <w:r w:rsidRPr="00E7469C">
        <w:rPr>
          <w:rFonts w:ascii="Palatino Linotype" w:eastAsia="Palatino Linotype" w:hAnsi="Palatino Linotype" w:cs="Palatino Linotype"/>
          <w:i/>
          <w:sz w:val="22"/>
          <w:szCs w:val="22"/>
        </w:rPr>
        <w:t xml:space="preserve"> de diagnosticar, formular, dirigir, implementar y evaluar la política social del Gobierno Municipal; cuantificar, determinar y proponer, en coordinación con las instancias competentes, los recursos públicos necesarios </w:t>
      </w:r>
      <w:r w:rsidRPr="00E7469C">
        <w:rPr>
          <w:rFonts w:ascii="Palatino Linotype" w:eastAsia="Palatino Linotype" w:hAnsi="Palatino Linotype" w:cs="Palatino Linotype"/>
          <w:b/>
          <w:i/>
          <w:sz w:val="22"/>
          <w:szCs w:val="22"/>
        </w:rPr>
        <w:t xml:space="preserve">para generar los programas y acciones que atiendan las necesidades básicas de la población vulnerable del municipio; </w:t>
      </w:r>
      <w:r w:rsidRPr="00E7469C">
        <w:rPr>
          <w:rFonts w:ascii="Palatino Linotype" w:eastAsia="Palatino Linotype" w:hAnsi="Palatino Linotype" w:cs="Palatino Linotype"/>
          <w:i/>
          <w:sz w:val="22"/>
          <w:szCs w:val="22"/>
        </w:rPr>
        <w:t xml:space="preserve">así como la de ejecutar los programas, proyectos y acciones municipales en materia de desarrollo social, de manera coordinada con las instancias correspondientes. Las atribuciones de la Dirección, se encuentras establecidas en el artículo 96 </w:t>
      </w:r>
      <w:proofErr w:type="spellStart"/>
      <w:r w:rsidRPr="00E7469C">
        <w:rPr>
          <w:rFonts w:ascii="Palatino Linotype" w:eastAsia="Palatino Linotype" w:hAnsi="Palatino Linotype" w:cs="Palatino Linotype"/>
          <w:i/>
          <w:sz w:val="22"/>
          <w:szCs w:val="22"/>
        </w:rPr>
        <w:t>Duodesies</w:t>
      </w:r>
      <w:proofErr w:type="spellEnd"/>
      <w:r w:rsidRPr="00E7469C">
        <w:rPr>
          <w:rFonts w:ascii="Palatino Linotype" w:eastAsia="Palatino Linotype" w:hAnsi="Palatino Linotype" w:cs="Palatino Linotype"/>
          <w:i/>
          <w:sz w:val="22"/>
          <w:szCs w:val="22"/>
        </w:rPr>
        <w:t xml:space="preserve"> de la Ley Orgánica Municipal.</w:t>
      </w:r>
    </w:p>
    <w:p w14:paraId="6E1D9CB3"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w:t>
      </w:r>
    </w:p>
    <w:p w14:paraId="01117977"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89.-</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La Dirección de las Mujeres, es la dependencia encargada de proponer</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coordinar y ejecutar</w:t>
      </w:r>
      <w:r w:rsidRPr="00E7469C">
        <w:rPr>
          <w:rFonts w:ascii="Palatino Linotype" w:eastAsia="Palatino Linotype" w:hAnsi="Palatino Linotype" w:cs="Palatino Linotype"/>
          <w:i/>
          <w:sz w:val="22"/>
          <w:szCs w:val="22"/>
        </w:rPr>
        <w:t xml:space="preserve"> las políticas públicas</w:t>
      </w:r>
      <w:r w:rsidRPr="00E7469C">
        <w:rPr>
          <w:rFonts w:ascii="Palatino Linotype" w:eastAsia="Palatino Linotype" w:hAnsi="Palatino Linotype" w:cs="Palatino Linotype"/>
          <w:b/>
          <w:i/>
          <w:sz w:val="22"/>
          <w:szCs w:val="22"/>
        </w:rPr>
        <w:t>, programas</w:t>
      </w:r>
      <w:r w:rsidRPr="00E7469C">
        <w:rPr>
          <w:rFonts w:ascii="Palatino Linotype" w:eastAsia="Palatino Linotype" w:hAnsi="Palatino Linotype" w:cs="Palatino Linotype"/>
          <w:i/>
          <w:sz w:val="22"/>
          <w:szCs w:val="22"/>
        </w:rPr>
        <w:t xml:space="preserve"> y acciones </w:t>
      </w:r>
      <w:r w:rsidRPr="00E7469C">
        <w:rPr>
          <w:rFonts w:ascii="Palatino Linotype" w:eastAsia="Palatino Linotype" w:hAnsi="Palatino Linotype" w:cs="Palatino Linotype"/>
          <w:b/>
          <w:i/>
          <w:sz w:val="22"/>
          <w:szCs w:val="22"/>
        </w:rPr>
        <w:t>que aseguren la igualdad y la no discriminación hacia las mujeres en sus distintas etapas de la vida,</w:t>
      </w:r>
      <w:r w:rsidRPr="00E7469C">
        <w:rPr>
          <w:rFonts w:ascii="Palatino Linotype" w:eastAsia="Palatino Linotype" w:hAnsi="Palatino Linotype" w:cs="Palatino Linotype"/>
          <w:i/>
          <w:sz w:val="22"/>
          <w:szCs w:val="22"/>
        </w:rPr>
        <w:t xml:space="preserve"> desde una perspectiva transversal e interseccional y con enfoque de derechos humanos; promover la cultura de la atención, prevención, sanción y erradicación de los tipos y modalidades de la violencia, la igualdad, así como la no discriminación contra las mujeres, en sus distintas etapas de la vida. Las atribuciones de la Dirección, se encuentras establecidas en el artículo 96 </w:t>
      </w:r>
      <w:proofErr w:type="spellStart"/>
      <w:r w:rsidRPr="00E7469C">
        <w:rPr>
          <w:rFonts w:ascii="Palatino Linotype" w:eastAsia="Palatino Linotype" w:hAnsi="Palatino Linotype" w:cs="Palatino Linotype"/>
          <w:i/>
          <w:sz w:val="22"/>
          <w:szCs w:val="22"/>
        </w:rPr>
        <w:t>Quaterdecies</w:t>
      </w:r>
      <w:proofErr w:type="spellEnd"/>
      <w:r w:rsidRPr="00E7469C">
        <w:rPr>
          <w:rFonts w:ascii="Palatino Linotype" w:eastAsia="Palatino Linotype" w:hAnsi="Palatino Linotype" w:cs="Palatino Linotype"/>
          <w:i/>
          <w:sz w:val="22"/>
          <w:szCs w:val="22"/>
        </w:rPr>
        <w:t xml:space="preserve"> de la Ley Orgánica Municipal.</w:t>
      </w:r>
    </w:p>
    <w:p w14:paraId="166D7637"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w:t>
      </w:r>
    </w:p>
    <w:p w14:paraId="005CE75D"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lastRenderedPageBreak/>
        <w:t>Artículo 108. Son facultades del Ayuntamiento en materia de bienestar social las siguientes:</w:t>
      </w:r>
    </w:p>
    <w:p w14:paraId="07248F6D"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 Gestionar o crear programas sociales, que favorezcan el desarrollo personal, familiar, cultural y social de los habitantes del municipio</w:t>
      </w:r>
      <w:r w:rsidRPr="00E7469C">
        <w:rPr>
          <w:rFonts w:ascii="Palatino Linotype" w:eastAsia="Palatino Linotype" w:hAnsi="Palatino Linotype" w:cs="Palatino Linotype"/>
          <w:i/>
          <w:sz w:val="22"/>
          <w:szCs w:val="22"/>
        </w:rPr>
        <w:t>;</w:t>
      </w:r>
    </w:p>
    <w:p w14:paraId="209F0003"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0ED02E2A"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Verificar que la operatividad y funcionamiento de los programas sociales sean cumplidos en forma correcta;</w:t>
      </w:r>
    </w:p>
    <w:p w14:paraId="6387C13F"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IV</w:t>
      </w:r>
      <w:r w:rsidRPr="00E7469C">
        <w:rPr>
          <w:rFonts w:ascii="Palatino Linotype" w:eastAsia="Palatino Linotype" w:hAnsi="Palatino Linotype" w:cs="Palatino Linotype"/>
          <w:b/>
          <w:i/>
          <w:sz w:val="22"/>
          <w:szCs w:val="22"/>
        </w:rPr>
        <w:t>. Crear programas sociales destinados al desarrollo integral de la población</w:t>
      </w:r>
      <w:r w:rsidRPr="00E7469C">
        <w:rPr>
          <w:rFonts w:ascii="Palatino Linotype" w:eastAsia="Palatino Linotype" w:hAnsi="Palatino Linotype" w:cs="Palatino Linotype"/>
          <w:i/>
          <w:sz w:val="22"/>
          <w:szCs w:val="22"/>
        </w:rPr>
        <w:t>;</w:t>
      </w:r>
    </w:p>
    <w:p w14:paraId="6A0D6C5E"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2003543A"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 Desarrollar programas de orientación y apoyo que contribuyan a evitar la mendicidad y, promover en su caso, la vinculación de estas personas con las instituciones públicas y privadas dedicadas a su atención;</w:t>
      </w:r>
    </w:p>
    <w:p w14:paraId="3AC2F522"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6442FECD"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Artículo 125. El Defensor Municipal de Derechos Humanos tiene atribuciones para </w:t>
      </w:r>
      <w:r w:rsidRPr="00E7469C">
        <w:rPr>
          <w:rFonts w:ascii="Palatino Linotype" w:eastAsia="Palatino Linotype" w:hAnsi="Palatino Linotype" w:cs="Palatino Linotype"/>
          <w:i/>
          <w:sz w:val="22"/>
          <w:szCs w:val="22"/>
        </w:rPr>
        <w:t xml:space="preserve">recibir quejas, conciliar previa anuencia de la Comisión de Derechos Humanos del Estado de México y dar seguimiento a las recomendaciones; en caso de violación a derechos humanos, </w:t>
      </w:r>
      <w:r w:rsidRPr="00E7469C">
        <w:rPr>
          <w:rFonts w:ascii="Palatino Linotype" w:eastAsia="Palatino Linotype" w:hAnsi="Palatino Linotype" w:cs="Palatino Linotype"/>
          <w:b/>
          <w:i/>
          <w:sz w:val="22"/>
          <w:szCs w:val="22"/>
        </w:rPr>
        <w:t>implementará programas y proyectos de atención a víctimas del delito y grupos vulnerables</w:t>
      </w:r>
      <w:r w:rsidRPr="00E7469C">
        <w:rPr>
          <w:rFonts w:ascii="Palatino Linotype" w:eastAsia="Palatino Linotype" w:hAnsi="Palatino Linotype" w:cs="Palatino Linotype"/>
          <w:i/>
          <w:sz w:val="22"/>
          <w:szCs w:val="22"/>
        </w:rPr>
        <w:t>, así como la supervisión en el ámbito de su competencia y las demás atribuciones que le confiere el artículo 147 inciso K de la Ley Orgánica.</w:t>
      </w:r>
    </w:p>
    <w:p w14:paraId="7935FC6D"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213. La Dirección de Protección Civil y Bomberos</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es responsable de elaborar, instrumentar, dirigir y operar la ejecución de los programas en la materia,</w:t>
      </w:r>
      <w:r w:rsidRPr="00E7469C">
        <w:rPr>
          <w:rFonts w:ascii="Palatino Linotype" w:eastAsia="Palatino Linotype" w:hAnsi="Palatino Linotype" w:cs="Palatino Linotype"/>
          <w:i/>
          <w:sz w:val="22"/>
          <w:szCs w:val="22"/>
        </w:rPr>
        <w:t xml:space="preserve"> coordinando sus acciones con las dependencias, instituciones y organismos del sector público, social y privado, con los grupos de voluntarios y la población en general…”</w:t>
      </w:r>
    </w:p>
    <w:p w14:paraId="2721C867"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(Énfasis Añadido)</w:t>
      </w:r>
    </w:p>
    <w:p w14:paraId="5611D2FC"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D7F6E6"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sentido, de las actuaciones que constan en el expediente electrónico, se advierte que existen diversas áreas administrativas para conocer respecto a los programas que brinda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como lo son la Dirección de Bienestar Social, Dirección de las Mujeres, Defensoría Municipal de Derechos Humanos y la Dirección de Protección Civil y Bomberos. </w:t>
      </w:r>
    </w:p>
    <w:p w14:paraId="6C2797DD"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F9EFF9"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lo que respecta en materia de acceso a la información pública, se tiene que, de acuerdo con lo que establece el artículo 92 de la Ley de Transparencia y Acceso a la Información Pública del Estado de México y Municipios, los sujetos obligados deberán poner a disposiciones de los particulares, de manera actualizada y permanente lo siguiente: </w:t>
      </w:r>
    </w:p>
    <w:p w14:paraId="2077F282"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9F30E8"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92.</w:t>
      </w:r>
      <w:r w:rsidRPr="00E746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23F94A"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11F70E3"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XLII. Los programas que ofrecen, incluyendo información sobre la población, objetivo y destino, tiempos de respuesta, requisitos y formatos para acceder a los mismos;</w:t>
      </w:r>
    </w:p>
    <w:p w14:paraId="1E3A889D"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4697A1D6" w14:textId="77777777" w:rsidR="002377F0" w:rsidRPr="00E7469C" w:rsidRDefault="002377F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2286E6D"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en su artículo XXXVIII que, los sujetos obligados deberán observar lo siguiente: </w:t>
      </w:r>
    </w:p>
    <w:p w14:paraId="242123B7"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2663EE56"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XXXVIII. Los programas que ofrecen, incluyendo información sobre la población, objetivo y destino, así como los trámites, tiempos de respuesta, requisitos y formatos para acceder a los mismos.</w:t>
      </w:r>
    </w:p>
    <w:p w14:paraId="62BB1E53" w14:textId="77777777" w:rsidR="002377F0" w:rsidRPr="00E7469C" w:rsidRDefault="002377F0">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3F874220" w14:textId="77777777" w:rsidR="002377F0" w:rsidRPr="00E7469C" w:rsidRDefault="008C718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 En esta fracción todos los sujetos obligados publicarán la información de todos los programas distintos a los programas que están publicitados en el artículo 70, </w:t>
      </w:r>
      <w:r w:rsidRPr="00E7469C">
        <w:rPr>
          <w:rFonts w:ascii="Palatino Linotype" w:eastAsia="Palatino Linotype" w:hAnsi="Palatino Linotype" w:cs="Palatino Linotype"/>
          <w:i/>
          <w:sz w:val="22"/>
          <w:szCs w:val="22"/>
        </w:rPr>
        <w:lastRenderedPageBreak/>
        <w:t xml:space="preserve">fracción XV de la Ley General (programas de subsidios, estímulos y apoyos, programas de transferencia, de servicios, de infraestructura social). Se entiende por programa al instrumento normativo de planeación cuya finalidad consiste en desagregar y detallar los planteamientos y orientaciones generales de un plan nacional, estatal o regional y municipal mediante la identificación de objetivos y metas. También puede ser entendido como el conjunto homogéneo y organizado de actividades a realizar para alcanzar una o varias metas, con recursos previamente determinados, en su caso, y a cargo del área responsable. De ser el caso, los sujetos obligados publicarán la información correspondiente al presupuesto que le fue asignado a cada programa, el origen de los recursos y el tipo de participación que tenga, en su caso, el Gobierno Federal o local, la cual puede ser de dos tipos de conformidad con el Catálogo de Programas Federales: • Directo: El Gobierno Federal ejecuta las acciones por sí mismo o entrega los recursos directamente a los beneficiarios. • Indirecto: El Gobierno Federal entrega los recursos a otro órgano (gobierno estatal, gobierno municipal, asociación civil) y éste es quien realiza las acciones o entrega los recursos a los beneficiarios. Los ámbitos de intervención que se publicarán por cada uno de los programas que se reporten son los establecidos en la Clasificación de Programas Presupuestarios, como: prestación de servicios públicos, provisión de bienes públicos, entre otros. Las demandas que atiende cada programa se refieren a la problemática específica. De cada programa se incluirá el proceso básico a seguir para acceder al mismo, el cual podrá representarse en un diagrama (hipervínculo al documento), fases o pasos a seguir. El sujeto obligado considerará la claridad de la información y optará por la herramienta que permita un mejor entendimiento del proceso a seguir por parte de los participantes o beneficiarios. Se presentará la convocatoria correspondiente a cada programa cuando así corresponda. En su caso, el sujeto obligado indicará que el programa opera todo el año; en ese sentido, se registrará su vigencia. Periodo de actualización: trimestral Conservar en el sitio de Internet: información del ejercicio en curso y la correspondiente a los dos ejercicios. </w:t>
      </w:r>
    </w:p>
    <w:p w14:paraId="430095A6" w14:textId="77777777" w:rsidR="002377F0" w:rsidRPr="00E7469C" w:rsidRDefault="002377F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0879DAD9"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 anterior, se colige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cuenta con facultades, atribuciones y competencia, para generar, administrar y poseer la información solicitada, además de que, </w:t>
      </w:r>
      <w:r w:rsidRPr="00E7469C">
        <w:rPr>
          <w:rFonts w:ascii="Palatino Linotype" w:eastAsia="Palatino Linotype" w:hAnsi="Palatino Linotype" w:cs="Palatino Linotype"/>
          <w:sz w:val="22"/>
          <w:szCs w:val="22"/>
        </w:rPr>
        <w:lastRenderedPageBreak/>
        <w:t xml:space="preserve">la información requerida son obligaciones de transparencia, previstas por la Ley en la materia. </w:t>
      </w:r>
    </w:p>
    <w:p w14:paraId="45CD6CA1"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CD465C"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en atención a los agravios hechos valer por la parte </w:t>
      </w:r>
      <w:r w:rsidRPr="00E7469C">
        <w:rPr>
          <w:rFonts w:ascii="Palatino Linotype" w:eastAsia="Palatino Linotype" w:hAnsi="Palatino Linotype" w:cs="Palatino Linotype"/>
          <w:b/>
          <w:sz w:val="22"/>
          <w:szCs w:val="22"/>
        </w:rPr>
        <w:t xml:space="preserve">Recurrente </w:t>
      </w:r>
      <w:r w:rsidRPr="00E7469C">
        <w:rPr>
          <w:rFonts w:ascii="Palatino Linotype" w:eastAsia="Palatino Linotype" w:hAnsi="Palatino Linotype" w:cs="Palatino Linotype"/>
          <w:sz w:val="22"/>
          <w:szCs w:val="22"/>
        </w:rPr>
        <w:t xml:space="preserve">relacionados a la falta de respuesta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se tiene que, en respuesta emitió un pronunciamiento de algunas de las áreas competentes como son la Dirección de Bienestar Social, Dirección de las Mujeres y Dirección de Desarrollo Económico, mismas que informaron que a la fecha de la solicitud de información no cuentan con programas establecidos, por lo que nos encontramos ante un hecho negativo, destacando entonces que el Pleno de este Organismo Garante, ha sostenido que ante la presencia de un hecho negativo, </w:t>
      </w:r>
      <w:r w:rsidRPr="00E7469C">
        <w:rPr>
          <w:rFonts w:ascii="Palatino Linotype" w:eastAsia="Palatino Linotype" w:hAnsi="Palatino Linotype" w:cs="Palatino Linotype"/>
          <w:b/>
          <w:sz w:val="22"/>
          <w:szCs w:val="22"/>
        </w:rPr>
        <w:t>resultaría innecesaria una declaratoria de inexistencia</w:t>
      </w:r>
      <w:r w:rsidRPr="00E7469C">
        <w:rPr>
          <w:rFonts w:ascii="Palatino Linotype" w:eastAsia="Palatino Linotype" w:hAnsi="Palatino Linotype" w:cs="Palatino Linotype"/>
          <w:sz w:val="22"/>
          <w:szCs w:val="22"/>
        </w:rPr>
        <w:t>, como es en el presente caso, en donde el</w:t>
      </w:r>
      <w:r w:rsidRPr="00E7469C">
        <w:rPr>
          <w:rFonts w:ascii="Palatino Linotype" w:eastAsia="Palatino Linotype" w:hAnsi="Palatino Linotype" w:cs="Palatino Linotype"/>
          <w:b/>
          <w:sz w:val="22"/>
          <w:szCs w:val="22"/>
        </w:rPr>
        <w:t xml:space="preserve"> Sujeto Obligado </w:t>
      </w:r>
      <w:r w:rsidRPr="00E7469C">
        <w:rPr>
          <w:rFonts w:ascii="Palatino Linotype" w:eastAsia="Palatino Linotype" w:hAnsi="Palatino Linotype" w:cs="Palatino Linotype"/>
          <w:sz w:val="22"/>
          <w:szCs w:val="22"/>
        </w:rPr>
        <w:t>declaró la inexistencia de la información solicitada, sin embargo, en términos de los artículos 19, 169 y 170 de la Ley de Transparencia y Acceso a la Información Pública del Estado de México y Municipios, y ante una hecho negativo resulta aplicable la siguiente tesis:</w:t>
      </w:r>
    </w:p>
    <w:p w14:paraId="02112A84" w14:textId="77777777" w:rsidR="002377F0" w:rsidRPr="00E7469C" w:rsidRDefault="002377F0">
      <w:pPr>
        <w:spacing w:line="276" w:lineRule="auto"/>
        <w:ind w:left="862" w:right="561"/>
        <w:jc w:val="both"/>
        <w:rPr>
          <w:rFonts w:ascii="Palatino Linotype" w:eastAsia="Palatino Linotype" w:hAnsi="Palatino Linotype" w:cs="Palatino Linotype"/>
          <w:b/>
          <w:i/>
          <w:sz w:val="22"/>
          <w:szCs w:val="22"/>
        </w:rPr>
      </w:pPr>
    </w:p>
    <w:p w14:paraId="6798BD6D" w14:textId="77777777" w:rsidR="002377F0" w:rsidRPr="00E7469C" w:rsidRDefault="008C7182">
      <w:pPr>
        <w:spacing w:line="276" w:lineRule="auto"/>
        <w:ind w:left="862" w:right="56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“HECHOS NEGATIVOS, NO SON SUSCEPTIBLES DE DEMOSTRACIÓN.</w:t>
      </w:r>
    </w:p>
    <w:p w14:paraId="69A7F6A2" w14:textId="77777777" w:rsidR="002377F0" w:rsidRPr="00E7469C" w:rsidRDefault="008C7182">
      <w:pPr>
        <w:spacing w:line="276" w:lineRule="auto"/>
        <w:ind w:left="862" w:right="56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Tratándose de un hecho negativo, el Juez no tiene </w:t>
      </w:r>
      <w:proofErr w:type="spellStart"/>
      <w:r w:rsidRPr="00E7469C">
        <w:rPr>
          <w:rFonts w:ascii="Palatino Linotype" w:eastAsia="Palatino Linotype" w:hAnsi="Palatino Linotype" w:cs="Palatino Linotype"/>
          <w:i/>
          <w:sz w:val="22"/>
          <w:szCs w:val="22"/>
        </w:rPr>
        <w:t>por que</w:t>
      </w:r>
      <w:proofErr w:type="spellEnd"/>
      <w:r w:rsidRPr="00E7469C">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6BAD953E" w14:textId="77777777" w:rsidR="002377F0" w:rsidRPr="00E7469C" w:rsidRDefault="008C7182">
      <w:pPr>
        <w:spacing w:line="276" w:lineRule="auto"/>
        <w:ind w:left="862" w:right="561"/>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Amparo en revisión 2022/61. José García </w:t>
      </w:r>
      <w:proofErr w:type="gramStart"/>
      <w:r w:rsidRPr="00E7469C">
        <w:rPr>
          <w:rFonts w:ascii="Palatino Linotype" w:eastAsia="Palatino Linotype" w:hAnsi="Palatino Linotype" w:cs="Palatino Linotype"/>
          <w:i/>
          <w:sz w:val="22"/>
          <w:szCs w:val="22"/>
        </w:rPr>
        <w:t>Florín</w:t>
      </w:r>
      <w:proofErr w:type="gramEnd"/>
      <w:r w:rsidRPr="00E7469C">
        <w:rPr>
          <w:rFonts w:ascii="Palatino Linotype" w:eastAsia="Palatino Linotype" w:hAnsi="Palatino Linotype" w:cs="Palatino Linotype"/>
          <w:i/>
          <w:sz w:val="22"/>
          <w:szCs w:val="22"/>
        </w:rPr>
        <w:t xml:space="preserve"> (Menor). 9 de octubre de 1961. Cinco votos. Ponente: José Rivera Pérez Campos.”</w:t>
      </w:r>
    </w:p>
    <w:p w14:paraId="7D43570B" w14:textId="77777777" w:rsidR="002377F0" w:rsidRPr="00E7469C" w:rsidRDefault="002377F0">
      <w:pPr>
        <w:spacing w:line="360" w:lineRule="auto"/>
        <w:ind w:left="862" w:right="561"/>
        <w:jc w:val="both"/>
        <w:rPr>
          <w:rFonts w:ascii="Palatino Linotype" w:eastAsia="Palatino Linotype" w:hAnsi="Palatino Linotype" w:cs="Palatino Linotype"/>
          <w:sz w:val="22"/>
          <w:szCs w:val="22"/>
        </w:rPr>
      </w:pPr>
    </w:p>
    <w:p w14:paraId="1B6F340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Además, y de conformidad con lo establecido en el artículo 12 de la Ley de Transparencia y Acceso a la Información Pública del Estado de México y Municipios, anteriormente invocado el</w:t>
      </w:r>
      <w:r w:rsidRPr="00E7469C">
        <w:rPr>
          <w:rFonts w:ascii="Palatino Linotype" w:eastAsia="Palatino Linotype" w:hAnsi="Palatino Linotype" w:cs="Palatino Linotype"/>
          <w:b/>
          <w:sz w:val="22"/>
          <w:szCs w:val="22"/>
        </w:rPr>
        <w:t xml:space="preserve"> Sujeto Obligado</w:t>
      </w:r>
      <w:r w:rsidRPr="00E7469C">
        <w:rPr>
          <w:rFonts w:ascii="Palatino Linotype" w:eastAsia="Palatino Linotype" w:hAnsi="Palatino Linotype" w:cs="Palatino Linotype"/>
          <w:sz w:val="22"/>
          <w:szCs w:val="22"/>
        </w:rPr>
        <w:t xml:space="preserve"> sólo proporcionará la información que obra en sus archivos, lo que a</w:t>
      </w:r>
      <w:r w:rsidRPr="00E7469C">
        <w:rPr>
          <w:rFonts w:ascii="Palatino Linotype" w:eastAsia="Palatino Linotype" w:hAnsi="Palatino Linotype" w:cs="Palatino Linotype"/>
          <w:i/>
          <w:sz w:val="22"/>
          <w:szCs w:val="22"/>
        </w:rPr>
        <w:t xml:space="preserve"> contrario sensu</w:t>
      </w:r>
      <w:r w:rsidRPr="00E7469C">
        <w:rPr>
          <w:rFonts w:ascii="Palatino Linotype" w:eastAsia="Palatino Linotype" w:hAnsi="Palatino Linotype" w:cs="Palatino Linotype"/>
          <w:sz w:val="22"/>
          <w:szCs w:val="22"/>
        </w:rPr>
        <w:t xml:space="preserve"> significa que no se está obligado a proporcionar lo que no obre en </w:t>
      </w:r>
      <w:r w:rsidRPr="00E7469C">
        <w:rPr>
          <w:rFonts w:ascii="Palatino Linotype" w:eastAsia="Palatino Linotype" w:hAnsi="Palatino Linotype" w:cs="Palatino Linotype"/>
          <w:sz w:val="22"/>
          <w:szCs w:val="22"/>
        </w:rPr>
        <w:lastRenderedPageBreak/>
        <w:t>sus archivos; motivo por el cual se colma el derecho de acceso a la información pública del particular.</w:t>
      </w:r>
    </w:p>
    <w:p w14:paraId="142B2A0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6F8780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Es así que, de las constancias que obran en el expediente electrónico del recurso en comento, se advierte que existen más áreas que pueden contar con información como lo son, la Defensoría Municipal de Derechos Humanos y la Dirección de Protección Civil y Bomberos; por lo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15219FCE" w14:textId="77777777" w:rsidR="002377F0" w:rsidRPr="00E7469C" w:rsidRDefault="002377F0">
      <w:pPr>
        <w:spacing w:line="276" w:lineRule="auto"/>
        <w:ind w:left="709" w:right="902"/>
        <w:jc w:val="both"/>
        <w:rPr>
          <w:rFonts w:ascii="Palatino Linotype" w:eastAsia="Palatino Linotype" w:hAnsi="Palatino Linotype" w:cs="Palatino Linotype"/>
          <w:i/>
          <w:sz w:val="22"/>
          <w:szCs w:val="22"/>
        </w:rPr>
      </w:pPr>
    </w:p>
    <w:p w14:paraId="45FC4D98" w14:textId="77777777" w:rsidR="002377F0" w:rsidRPr="00E7469C" w:rsidRDefault="008C7182">
      <w:pPr>
        <w:tabs>
          <w:tab w:val="left" w:pos="7371"/>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XXXIX. Servidor público habilitado:</w:t>
      </w:r>
      <w:r w:rsidRPr="00E7469C">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7B399D0D" w14:textId="77777777" w:rsidR="002377F0" w:rsidRPr="00E7469C" w:rsidRDefault="002377F0">
      <w:pPr>
        <w:spacing w:line="276" w:lineRule="auto"/>
        <w:ind w:left="709" w:right="902"/>
        <w:jc w:val="both"/>
        <w:rPr>
          <w:rFonts w:ascii="Palatino Linotype" w:eastAsia="Palatino Linotype" w:hAnsi="Palatino Linotype" w:cs="Palatino Linotype"/>
          <w:i/>
          <w:sz w:val="22"/>
          <w:szCs w:val="22"/>
        </w:rPr>
      </w:pPr>
    </w:p>
    <w:p w14:paraId="6C4AFDF2" w14:textId="77777777" w:rsidR="002377F0" w:rsidRPr="00E7469C" w:rsidRDefault="008C7182">
      <w:pPr>
        <w:shd w:val="clear" w:color="auto" w:fill="FFFFFF"/>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E7469C">
        <w:rPr>
          <w:rFonts w:ascii="Palatino Linotype" w:eastAsia="Palatino Linotype" w:hAnsi="Palatino Linotype" w:cs="Palatino Linotype"/>
          <w:sz w:val="22"/>
          <w:szCs w:val="22"/>
          <w:vertAlign w:val="superscript"/>
        </w:rPr>
        <w:footnoteReference w:id="2"/>
      </w:r>
      <w:r w:rsidRPr="00E7469C">
        <w:rPr>
          <w:rFonts w:ascii="Palatino Linotype" w:eastAsia="Palatino Linotype" w:hAnsi="Palatino Linotype" w:cs="Palatino Linotype"/>
          <w:sz w:val="22"/>
          <w:szCs w:val="22"/>
        </w:rPr>
        <w:t xml:space="preserve">, situación que no se advierte en el presente caso, toda vez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 través de su Unidad de Transparencia no ha brindado el acceso a la </w:t>
      </w:r>
      <w:r w:rsidRPr="00E7469C">
        <w:rPr>
          <w:rFonts w:ascii="Palatino Linotype" w:eastAsia="Palatino Linotype" w:hAnsi="Palatino Linotype" w:cs="Palatino Linotype"/>
          <w:sz w:val="22"/>
          <w:szCs w:val="22"/>
        </w:rPr>
        <w:lastRenderedPageBreak/>
        <w:t>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13FD216E" w14:textId="77777777" w:rsidR="002377F0" w:rsidRPr="00E7469C" w:rsidRDefault="002377F0">
      <w:pPr>
        <w:shd w:val="clear" w:color="auto" w:fill="FFFFFF"/>
        <w:spacing w:line="360" w:lineRule="auto"/>
        <w:jc w:val="both"/>
        <w:rPr>
          <w:rFonts w:ascii="Palatino Linotype" w:eastAsia="Palatino Linotype" w:hAnsi="Palatino Linotype" w:cs="Palatino Linotype"/>
          <w:sz w:val="22"/>
          <w:szCs w:val="22"/>
        </w:rPr>
      </w:pPr>
    </w:p>
    <w:p w14:paraId="70F83DD1"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bookmarkStart w:id="15" w:name="_heading=h.38ae5vx0dcum" w:colFirst="0" w:colLast="0"/>
      <w:bookmarkEnd w:id="15"/>
      <w:r w:rsidRPr="00E7469C">
        <w:rPr>
          <w:rFonts w:ascii="Palatino Linotype" w:eastAsia="Palatino Linotype" w:hAnsi="Palatino Linotype" w:cs="Palatino Linotype"/>
          <w:sz w:val="22"/>
          <w:szCs w:val="22"/>
        </w:rPr>
        <w:t xml:space="preserve">En mérito de lo anterior, se colige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debió realizar una búsqueda exhaustiva y razonable de la información peticionada en todas las áreas competentes para que se pronunciaran respecto de la solicitud del particular, pues se insiste que de manera enunciativa más no limitativa quien no se pronunció fue la Defensoría Municipal de Derechos Humanos y la Dirección de Protección Civil y Bomberos, en términos de los artículos 125 y 213 del Bando Municipal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para el año 2025; por lo que resulta procedente ordenar la entrega del soporte documental que dé cuenta de los programas que tiene el Ayuntamiento de Atlacomulco, vigentes al siete de marzo de dos mil veinticinco. Para el caso de que no cuente con la información, bastara con que lo haga del conocimiento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en términos del artículo 19, segundo párrafo de Ley de Transparencia y Acceso a la Información Pública del Estado de México y Municipios, para tener por colmado dicho requerimiento.</w:t>
      </w:r>
    </w:p>
    <w:p w14:paraId="7E68785A"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08DE1799" w14:textId="77777777" w:rsidR="002377F0" w:rsidRPr="00E7469C" w:rsidRDefault="008C7182">
      <w:pPr>
        <w:numPr>
          <w:ilvl w:val="0"/>
          <w:numId w:val="1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Contratos de Obras realizadas en los años 2023, 2024 y 2025 </w:t>
      </w:r>
    </w:p>
    <w:p w14:paraId="4B3C08A5"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respuesta el </w:t>
      </w:r>
      <w:proofErr w:type="gramStart"/>
      <w:r w:rsidRPr="00E7469C">
        <w:rPr>
          <w:rFonts w:ascii="Palatino Linotype" w:eastAsia="Palatino Linotype" w:hAnsi="Palatino Linotype" w:cs="Palatino Linotype"/>
          <w:b/>
          <w:sz w:val="22"/>
          <w:szCs w:val="22"/>
        </w:rPr>
        <w:t>Director</w:t>
      </w:r>
      <w:proofErr w:type="gramEnd"/>
      <w:r w:rsidRPr="00E7469C">
        <w:rPr>
          <w:rFonts w:ascii="Palatino Linotype" w:eastAsia="Palatino Linotype" w:hAnsi="Palatino Linotype" w:cs="Palatino Linotype"/>
          <w:b/>
          <w:sz w:val="22"/>
          <w:szCs w:val="22"/>
        </w:rPr>
        <w:t xml:space="preserve"> de Obras Públicas</w:t>
      </w:r>
      <w:r w:rsidRPr="00E7469C">
        <w:rPr>
          <w:rFonts w:ascii="Palatino Linotype" w:eastAsia="Palatino Linotype" w:hAnsi="Palatino Linotype" w:cs="Palatino Linotype"/>
          <w:sz w:val="22"/>
          <w:szCs w:val="22"/>
        </w:rPr>
        <w:t xml:space="preserve"> informó que por el tipo de trámite administrativo que se lleva con respecto a la adjudicación de una obra, los contratos están expuestos a adiciones y modificaciones hasta la culminación de los trabajos, ya que puede haber modificación al plazo, monto y ajustes de costos, todo ello plasmado en el contrato dentro de sus cláusulas Octava, Novena y Décima, así como los posibles convenios </w:t>
      </w:r>
      <w:r w:rsidRPr="00E7469C">
        <w:rPr>
          <w:rFonts w:ascii="Palatino Linotype" w:eastAsia="Palatino Linotype" w:hAnsi="Palatino Linotype" w:cs="Palatino Linotype"/>
          <w:sz w:val="22"/>
          <w:szCs w:val="22"/>
        </w:rPr>
        <w:lastRenderedPageBreak/>
        <w:t xml:space="preserve">modificatorios. La información solicitada se encuentra en integración y en cuanto se cuente con ella se hará entrega de </w:t>
      </w:r>
      <w:proofErr w:type="gramStart"/>
      <w:r w:rsidRPr="00E7469C">
        <w:rPr>
          <w:rFonts w:ascii="Palatino Linotype" w:eastAsia="Palatino Linotype" w:hAnsi="Palatino Linotype" w:cs="Palatino Linotype"/>
          <w:sz w:val="22"/>
          <w:szCs w:val="22"/>
        </w:rPr>
        <w:t>la misma</w:t>
      </w:r>
      <w:proofErr w:type="gramEnd"/>
      <w:r w:rsidRPr="00E7469C">
        <w:rPr>
          <w:rFonts w:ascii="Palatino Linotype" w:eastAsia="Palatino Linotype" w:hAnsi="Palatino Linotype" w:cs="Palatino Linotype"/>
          <w:sz w:val="22"/>
          <w:szCs w:val="22"/>
        </w:rPr>
        <w:t>.</w:t>
      </w:r>
    </w:p>
    <w:p w14:paraId="59248765"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96B054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primera instancia, es de mencionar que la respuesta fue proporcionada por la Dirección de Obras Públicas, quien cuenta con las siguientes atribuciones:</w:t>
      </w:r>
    </w:p>
    <w:p w14:paraId="49B681F5" w14:textId="77777777" w:rsidR="002377F0" w:rsidRPr="00E7469C" w:rsidRDefault="008C7182">
      <w:pPr>
        <w:ind w:left="851" w:right="902"/>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Bando Municipal de Atlacomulco</w:t>
      </w:r>
    </w:p>
    <w:p w14:paraId="79A475EF" w14:textId="77777777" w:rsidR="002377F0" w:rsidRPr="00E7469C" w:rsidRDefault="008C7182">
      <w:pPr>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80.</w:t>
      </w:r>
      <w:r w:rsidRPr="00E7469C">
        <w:rPr>
          <w:rFonts w:ascii="Palatino Linotype" w:eastAsia="Palatino Linotype" w:hAnsi="Palatino Linotype" w:cs="Palatino Linotype"/>
          <w:i/>
          <w:sz w:val="22"/>
          <w:szCs w:val="22"/>
        </w:rPr>
        <w:t xml:space="preserve"> La </w:t>
      </w:r>
      <w:r w:rsidRPr="00E7469C">
        <w:rPr>
          <w:rFonts w:ascii="Palatino Linotype" w:eastAsia="Palatino Linotype" w:hAnsi="Palatino Linotype" w:cs="Palatino Linotype"/>
          <w:b/>
          <w:i/>
          <w:sz w:val="22"/>
          <w:szCs w:val="22"/>
        </w:rPr>
        <w:t>Dirección de Obras Públicas</w:t>
      </w:r>
      <w:r w:rsidRPr="00E7469C">
        <w:rPr>
          <w:rFonts w:ascii="Palatino Linotype" w:eastAsia="Palatino Linotype" w:hAnsi="Palatino Linotype" w:cs="Palatino Linotype"/>
          <w:i/>
          <w:sz w:val="22"/>
          <w:szCs w:val="22"/>
        </w:rPr>
        <w:t xml:space="preserve">, es la dependencia </w:t>
      </w:r>
      <w:r w:rsidRPr="00E7469C">
        <w:rPr>
          <w:rFonts w:ascii="Palatino Linotype" w:eastAsia="Palatino Linotype" w:hAnsi="Palatino Linotype" w:cs="Palatino Linotype"/>
          <w:b/>
          <w:i/>
          <w:sz w:val="22"/>
          <w:szCs w:val="22"/>
        </w:rPr>
        <w:t>encargada de Planear y coordinar los proyectos de obras públicas</w:t>
      </w:r>
      <w:r w:rsidRPr="00E7469C">
        <w:rPr>
          <w:rFonts w:ascii="Palatino Linotype" w:eastAsia="Palatino Linotype" w:hAnsi="Palatino Linotype" w:cs="Palatino Linotype"/>
          <w:i/>
          <w:sz w:val="22"/>
          <w:szCs w:val="22"/>
        </w:rPr>
        <w:t xml:space="preserve"> y servicios relacionados con las mismas que autorice el Ayuntamiento, una vez que se cumplan los requisitos de licitación y otros que determine la ley de la materia. Las atribuciones de la Dirección, se encuentras establecidas en el artículo 96 Bis de la Ley </w:t>
      </w:r>
      <w:proofErr w:type="spellStart"/>
      <w:r w:rsidRPr="00E7469C">
        <w:rPr>
          <w:rFonts w:ascii="Palatino Linotype" w:eastAsia="Palatino Linotype" w:hAnsi="Palatino Linotype" w:cs="Palatino Linotype"/>
          <w:i/>
          <w:sz w:val="22"/>
          <w:szCs w:val="22"/>
        </w:rPr>
        <w:t>OrgánicaMunicipal</w:t>
      </w:r>
      <w:proofErr w:type="spellEnd"/>
      <w:r w:rsidRPr="00E7469C">
        <w:rPr>
          <w:rFonts w:ascii="Palatino Linotype" w:eastAsia="Palatino Linotype" w:hAnsi="Palatino Linotype" w:cs="Palatino Linotype"/>
          <w:i/>
          <w:sz w:val="22"/>
          <w:szCs w:val="22"/>
        </w:rPr>
        <w:t>.</w:t>
      </w:r>
    </w:p>
    <w:p w14:paraId="354D3B2D" w14:textId="77777777" w:rsidR="002377F0" w:rsidRPr="00E7469C" w:rsidRDefault="008C7182">
      <w:pPr>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6EE3EFCE" w14:textId="77777777" w:rsidR="002377F0" w:rsidRPr="00E7469C" w:rsidRDefault="008C7182">
      <w:pPr>
        <w:ind w:left="851" w:right="902"/>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Manual de Organización de la Dirección de Obras Públicas</w:t>
      </w:r>
    </w:p>
    <w:p w14:paraId="3973B676" w14:textId="77777777" w:rsidR="002377F0" w:rsidRPr="00E7469C" w:rsidRDefault="002377F0">
      <w:pPr>
        <w:ind w:left="851" w:right="902"/>
        <w:jc w:val="center"/>
        <w:rPr>
          <w:rFonts w:ascii="Palatino Linotype" w:eastAsia="Palatino Linotype" w:hAnsi="Palatino Linotype" w:cs="Palatino Linotype"/>
          <w:b/>
          <w:i/>
          <w:sz w:val="22"/>
          <w:szCs w:val="22"/>
        </w:rPr>
      </w:pPr>
    </w:p>
    <w:p w14:paraId="272B93D3" w14:textId="77777777" w:rsidR="002377F0" w:rsidRPr="00E7469C" w:rsidRDefault="008C7182">
      <w:pPr>
        <w:ind w:left="851" w:right="902"/>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Coordinadora o Coordinador de Licitaciones y Contratos.</w:t>
      </w:r>
    </w:p>
    <w:p w14:paraId="4DD2E004" w14:textId="77777777" w:rsidR="002377F0" w:rsidRPr="00E7469C" w:rsidRDefault="008C7182">
      <w:pPr>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Descripción Específica </w:t>
      </w:r>
    </w:p>
    <w:p w14:paraId="2DE8D58B" w14:textId="77777777" w:rsidR="002377F0" w:rsidRPr="00E7469C" w:rsidRDefault="008C7182">
      <w:pPr>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5854F209" w14:textId="77777777" w:rsidR="002377F0" w:rsidRPr="00E7469C" w:rsidRDefault="008C7182">
      <w:pPr>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 Elaborar el contrato de obra </w:t>
      </w:r>
      <w:r w:rsidRPr="00E7469C">
        <w:rPr>
          <w:rFonts w:ascii="Palatino Linotype" w:eastAsia="Palatino Linotype" w:hAnsi="Palatino Linotype" w:cs="Palatino Linotype"/>
          <w:i/>
          <w:sz w:val="22"/>
          <w:szCs w:val="22"/>
        </w:rPr>
        <w:t>y la cita a la empresa correspondiente para su firma;</w:t>
      </w:r>
    </w:p>
    <w:p w14:paraId="4DD63A7B" w14:textId="77777777" w:rsidR="002377F0" w:rsidRPr="00E7469C" w:rsidRDefault="008C7182">
      <w:pPr>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 Realizar los procedimientos de terminación anticipada o rescisión contrato de obra pública cuando esto </w:t>
      </w:r>
      <w:proofErr w:type="gramStart"/>
      <w:r w:rsidRPr="00E7469C">
        <w:rPr>
          <w:rFonts w:ascii="Palatino Linotype" w:eastAsia="Palatino Linotype" w:hAnsi="Palatino Linotype" w:cs="Palatino Linotype"/>
          <w:i/>
          <w:sz w:val="22"/>
          <w:szCs w:val="22"/>
        </w:rPr>
        <w:t>aplique;…</w:t>
      </w:r>
      <w:proofErr w:type="gramEnd"/>
      <w:r w:rsidRPr="00E7469C">
        <w:rPr>
          <w:rFonts w:ascii="Palatino Linotype" w:eastAsia="Palatino Linotype" w:hAnsi="Palatino Linotype" w:cs="Palatino Linotype"/>
          <w:i/>
          <w:sz w:val="22"/>
          <w:szCs w:val="22"/>
        </w:rPr>
        <w:t>”</w:t>
      </w:r>
    </w:p>
    <w:p w14:paraId="2E8E5A26" w14:textId="77777777" w:rsidR="002377F0" w:rsidRPr="00E7469C" w:rsidRDefault="002377F0">
      <w:pPr>
        <w:spacing w:line="276" w:lineRule="auto"/>
        <w:ind w:left="851" w:right="902"/>
        <w:jc w:val="both"/>
        <w:rPr>
          <w:rFonts w:ascii="Palatino Linotype" w:eastAsia="Palatino Linotype" w:hAnsi="Palatino Linotype" w:cs="Palatino Linotype"/>
          <w:i/>
          <w:sz w:val="22"/>
          <w:szCs w:val="22"/>
        </w:rPr>
      </w:pPr>
    </w:p>
    <w:p w14:paraId="26253900" w14:textId="77777777" w:rsidR="002377F0" w:rsidRPr="00E7469C" w:rsidRDefault="008C7182">
      <w:pPr>
        <w:spacing w:line="360" w:lineRule="auto"/>
        <w:jc w:val="both"/>
        <w:rPr>
          <w:rFonts w:ascii="Palatino Linotype" w:eastAsia="Palatino Linotype" w:hAnsi="Palatino Linotype" w:cs="Palatino Linotype"/>
          <w:sz w:val="22"/>
          <w:szCs w:val="22"/>
        </w:rPr>
      </w:pP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lo anterior, la Coordinación de Licitaciones y Contratos de la Dirección de Obras Públicas, se encarga de elaborar los contratos de obra. </w:t>
      </w:r>
    </w:p>
    <w:p w14:paraId="7D087CA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9A21F34"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ende, se determina que la respuesta fue proporcionada por la Unidad Administrativa Competente, siguiendo el procedimiento establecido por el artículo 162 de la Ley de Transparencia y Acceso a la Información Pública del Estado de México y Municipios; sin embargo, este se limitó a señalar que por el tipo de trámite administrativo que se lleva respecto a la adjudicación de una obra, los contratos están expuestos adiciones y modificaciones hasta la culminación de los trabajos, ya que puede haber modificación al </w:t>
      </w:r>
      <w:r w:rsidRPr="00E7469C">
        <w:rPr>
          <w:rFonts w:ascii="Palatino Linotype" w:eastAsia="Palatino Linotype" w:hAnsi="Palatino Linotype" w:cs="Palatino Linotype"/>
          <w:sz w:val="22"/>
          <w:szCs w:val="22"/>
        </w:rPr>
        <w:lastRenderedPageBreak/>
        <w:t>plazo, monto y ajustes de costos, todo ello plasmado en el contrato dentro de sus cláusulas Octava, Novena y Décima, así como los posibles convenios modificatorios; por lo que en cuanto se cuente con ella se hará entrega de la misma.</w:t>
      </w:r>
    </w:p>
    <w:p w14:paraId="6B93EB5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4B7BC6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sentido y sobre la naturaleza de la información requerida, es necesario señalar que la Ley de Contratación Pública del Estado de México y Municipios, tiene por objeto regular los actos relativos a la planeación, programación, presupuestación, ejecución y control de la adquisición, enajenación y arrendamiento de bienes, y la contratación de servicios de cualquier naturaleza, que realicen los Ayuntamientos del Estado; entre ellos el</w:t>
      </w:r>
      <w:r w:rsidRPr="00E7469C">
        <w:rPr>
          <w:rFonts w:ascii="Palatino Linotype" w:eastAsia="Palatino Linotype" w:hAnsi="Palatino Linotype" w:cs="Palatino Linotype"/>
          <w:b/>
          <w:sz w:val="22"/>
          <w:szCs w:val="22"/>
        </w:rPr>
        <w:t xml:space="preserve"> Sujeto Obligado</w:t>
      </w:r>
      <w:r w:rsidRPr="00E7469C">
        <w:rPr>
          <w:rFonts w:ascii="Palatino Linotype" w:eastAsia="Palatino Linotype" w:hAnsi="Palatino Linotype" w:cs="Palatino Linotype"/>
          <w:sz w:val="22"/>
          <w:szCs w:val="22"/>
        </w:rPr>
        <w:t>, los cuales se adjudicarán a través de licitación pública, invitación restringida o adjudicación directa, tal y como lo establecen los artículos 4, 26 y 27 de dicha Ley, los cuales son del tenor siguiente:</w:t>
      </w:r>
    </w:p>
    <w:p w14:paraId="37C3689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E90A3BA"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w:t>
      </w:r>
      <w:r w:rsidRPr="00E7469C">
        <w:rPr>
          <w:rFonts w:ascii="Palatino Linotype" w:eastAsia="Palatino Linotype" w:hAnsi="Palatino Linotype" w:cs="Palatino Linotype"/>
          <w:i/>
          <w:sz w:val="22"/>
          <w:szCs w:val="22"/>
        </w:rPr>
        <w:t xml:space="preserve"> Para los efectos de esta Ley, </w:t>
      </w:r>
      <w:r w:rsidRPr="00E7469C">
        <w:rPr>
          <w:rFonts w:ascii="Palatino Linotype" w:eastAsia="Palatino Linotype" w:hAnsi="Palatino Linotype" w:cs="Palatino Linotype"/>
          <w:b/>
          <w:i/>
          <w:sz w:val="22"/>
          <w:szCs w:val="22"/>
        </w:rPr>
        <w:t>en las adquisiciones, enajenaciones, arrendamientos y servicios, quedan comprendidos</w:t>
      </w:r>
      <w:r w:rsidRPr="00E7469C">
        <w:rPr>
          <w:rFonts w:ascii="Palatino Linotype" w:eastAsia="Palatino Linotype" w:hAnsi="Palatino Linotype" w:cs="Palatino Linotype"/>
          <w:i/>
          <w:sz w:val="22"/>
          <w:szCs w:val="22"/>
        </w:rPr>
        <w:t>:</w:t>
      </w:r>
    </w:p>
    <w:p w14:paraId="6DE5F0DB"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w:t>
      </w:r>
      <w:r w:rsidRPr="00E7469C">
        <w:rPr>
          <w:rFonts w:ascii="Palatino Linotype" w:eastAsia="Palatino Linotype" w:hAnsi="Palatino Linotype" w:cs="Palatino Linotype"/>
          <w:i/>
          <w:sz w:val="22"/>
          <w:szCs w:val="22"/>
        </w:rPr>
        <w:t xml:space="preserve"> La adquisición de bienes muebles.</w:t>
      </w:r>
    </w:p>
    <w:p w14:paraId="2955FD0B"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II</w:t>
      </w:r>
      <w:r w:rsidRPr="00E7469C">
        <w:rPr>
          <w:rFonts w:ascii="Palatino Linotype" w:eastAsia="Palatino Linotype" w:hAnsi="Palatino Linotype" w:cs="Palatino Linotype"/>
          <w:i/>
          <w:sz w:val="22"/>
          <w:szCs w:val="22"/>
        </w:rPr>
        <w:t>. La adquisición de bienes inmuebles, a través de compraventa.</w:t>
      </w:r>
    </w:p>
    <w:p w14:paraId="62D94FA8"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III.</w:t>
      </w:r>
      <w:r w:rsidRPr="00E7469C">
        <w:rPr>
          <w:rFonts w:ascii="Palatino Linotype" w:eastAsia="Palatino Linotype" w:hAnsi="Palatino Linotype" w:cs="Palatino Linotype"/>
          <w:i/>
          <w:sz w:val="22"/>
          <w:szCs w:val="22"/>
        </w:rPr>
        <w:t xml:space="preserve"> La enajenación de bienes muebles e inmuebles.</w:t>
      </w:r>
    </w:p>
    <w:p w14:paraId="45D1D6DE"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IV.</w:t>
      </w:r>
      <w:r w:rsidRPr="00E7469C">
        <w:rPr>
          <w:rFonts w:ascii="Palatino Linotype" w:eastAsia="Palatino Linotype" w:hAnsi="Palatino Linotype" w:cs="Palatino Linotype"/>
          <w:i/>
          <w:sz w:val="22"/>
          <w:szCs w:val="22"/>
        </w:rPr>
        <w:t xml:space="preserve"> El arrendamiento de bienes muebles e inmuebles. </w:t>
      </w:r>
    </w:p>
    <w:p w14:paraId="1E2CDFA3"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w:t>
      </w:r>
      <w:r w:rsidRPr="00E7469C">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3A8C33A7"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VI.</w:t>
      </w:r>
      <w:r w:rsidRPr="00E7469C">
        <w:rPr>
          <w:rFonts w:ascii="Palatino Linotype" w:eastAsia="Palatino Linotype" w:hAnsi="Palatino Linotype" w:cs="Palatino Linotype"/>
          <w:i/>
          <w:sz w:val="22"/>
          <w:szCs w:val="22"/>
        </w:rPr>
        <w:t xml:space="preserve"> La contratación de los servicios de reconstrucción y mantenimiento de bienes muebles. </w:t>
      </w:r>
    </w:p>
    <w:p w14:paraId="2FA6536D"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VII.</w:t>
      </w:r>
      <w:r w:rsidRPr="00E7469C">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1ADB5A8F"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VIII.</w:t>
      </w:r>
      <w:r w:rsidRPr="00E7469C">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6C2DF13E"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En general, otros actos que impliquen la contratación de servicios de cualquier naturaleza</w:t>
      </w:r>
    </w:p>
    <w:p w14:paraId="398CDACC"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26.-</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Las adquisiciones, arrendamientos y servicios se adjudicarán a través de licitaciones públicas</w:t>
      </w:r>
      <w:r w:rsidRPr="00E7469C">
        <w:rPr>
          <w:rFonts w:ascii="Palatino Linotype" w:eastAsia="Palatino Linotype" w:hAnsi="Palatino Linotype" w:cs="Palatino Linotype"/>
          <w:i/>
          <w:sz w:val="22"/>
          <w:szCs w:val="22"/>
        </w:rPr>
        <w:t xml:space="preserve">, mediante convocatoria pública. </w:t>
      </w:r>
    </w:p>
    <w:p w14:paraId="6BB2A6F0"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27.</w:t>
      </w:r>
      <w:r w:rsidRPr="00E7469C">
        <w:rPr>
          <w:rFonts w:ascii="Palatino Linotype" w:eastAsia="Palatino Linotype" w:hAnsi="Palatino Linotype" w:cs="Palatino Linotype"/>
          <w:i/>
          <w:sz w:val="22"/>
          <w:szCs w:val="22"/>
        </w:rPr>
        <w:t xml:space="preserve">- La Secretaría, las entidades, los tribunales administrativos y los ayuntamientos podrán </w:t>
      </w:r>
      <w:r w:rsidRPr="00E7469C">
        <w:rPr>
          <w:rFonts w:ascii="Palatino Linotype" w:eastAsia="Palatino Linotype" w:hAnsi="Palatino Linotype" w:cs="Palatino Linotype"/>
          <w:b/>
          <w:i/>
          <w:sz w:val="22"/>
          <w:szCs w:val="22"/>
        </w:rPr>
        <w:t>adjudicar adquisiciones, arrendamientos y servicios, mediante las excepciones al procedimiento de licitación</w:t>
      </w:r>
      <w:r w:rsidRPr="00E7469C">
        <w:rPr>
          <w:rFonts w:ascii="Palatino Linotype" w:eastAsia="Palatino Linotype" w:hAnsi="Palatino Linotype" w:cs="Palatino Linotype"/>
          <w:i/>
          <w:sz w:val="22"/>
          <w:szCs w:val="22"/>
        </w:rPr>
        <w:t xml:space="preserve"> que a continuación se señalan:</w:t>
      </w:r>
    </w:p>
    <w:p w14:paraId="3FBB356E"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w:t>
      </w:r>
      <w:r w:rsidRPr="00E7469C">
        <w:rPr>
          <w:rFonts w:ascii="Palatino Linotype" w:eastAsia="Palatino Linotype" w:hAnsi="Palatino Linotype" w:cs="Palatino Linotype"/>
          <w:i/>
          <w:sz w:val="22"/>
          <w:szCs w:val="22"/>
        </w:rPr>
        <w:t>. Invitación restringida.</w:t>
      </w:r>
    </w:p>
    <w:p w14:paraId="0BFD9AB3"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II.</w:t>
      </w:r>
      <w:r w:rsidRPr="00E7469C">
        <w:rPr>
          <w:rFonts w:ascii="Palatino Linotype" w:eastAsia="Palatino Linotype" w:hAnsi="Palatino Linotype" w:cs="Palatino Linotype"/>
          <w:i/>
          <w:sz w:val="22"/>
          <w:szCs w:val="22"/>
        </w:rPr>
        <w:t xml:space="preserve"> Adjudicación directa.”</w:t>
      </w:r>
    </w:p>
    <w:p w14:paraId="1B24816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285CF2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Con base en los preceptos citados se advierte que, por regla general, las adquisiciones, que celebren los entes públicos, deben adjudicarse por regla general mediante licitación pública, sin embargo, también se contemplan como excepciones a dicho proceso, la invitación restringida y la adjudicación directa, procedimientos que son materia de la solicitud presentada por el particular.</w:t>
      </w:r>
    </w:p>
    <w:p w14:paraId="4268A02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2D4A640"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72FAB3EC"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16D55A4D"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92</w:t>
      </w:r>
      <w:r w:rsidRPr="00E746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Pr="00E7469C">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11F5EF4D" w14:textId="77777777" w:rsidR="002377F0" w:rsidRPr="00E7469C" w:rsidRDefault="008C7182">
      <w:pPr>
        <w:tabs>
          <w:tab w:val="left" w:pos="426"/>
        </w:tabs>
        <w:spacing w:line="276" w:lineRule="auto"/>
        <w:ind w:left="113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22EA20B6" w14:textId="77777777" w:rsidR="002377F0" w:rsidRPr="00E7469C" w:rsidRDefault="008C7182">
      <w:pPr>
        <w:tabs>
          <w:tab w:val="left" w:pos="426"/>
        </w:tabs>
        <w:spacing w:line="276" w:lineRule="auto"/>
        <w:ind w:left="113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XXIX.</w:t>
      </w:r>
      <w:r w:rsidRPr="00E7469C">
        <w:rPr>
          <w:rFonts w:ascii="Palatino Linotype" w:eastAsia="Palatino Linotype" w:hAnsi="Palatino Linotype" w:cs="Palatino Linotype"/>
          <w:i/>
          <w:sz w:val="22"/>
          <w:szCs w:val="22"/>
        </w:rPr>
        <w:t xml:space="preserve"> La </w:t>
      </w:r>
      <w:r w:rsidRPr="00E7469C">
        <w:rPr>
          <w:rFonts w:ascii="Palatino Linotype" w:eastAsia="Palatino Linotype" w:hAnsi="Palatino Linotype" w:cs="Palatino Linotype"/>
          <w:b/>
          <w:i/>
          <w:sz w:val="22"/>
          <w:szCs w:val="22"/>
        </w:rPr>
        <w:t xml:space="preserve">información sobre los procesos y resultados </w:t>
      </w:r>
      <w:r w:rsidRPr="00E7469C">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E7469C">
        <w:rPr>
          <w:rFonts w:ascii="Palatino Linotype" w:eastAsia="Palatino Linotype" w:hAnsi="Palatino Linotype" w:cs="Palatino Linotype"/>
          <w:i/>
          <w:sz w:val="22"/>
          <w:szCs w:val="22"/>
          <w:u w:val="single"/>
        </w:rPr>
        <w:t xml:space="preserve">, </w:t>
      </w:r>
      <w:r w:rsidRPr="00E7469C">
        <w:rPr>
          <w:rFonts w:ascii="Palatino Linotype" w:eastAsia="Palatino Linotype" w:hAnsi="Palatino Linotype" w:cs="Palatino Linotype"/>
          <w:b/>
          <w:i/>
          <w:sz w:val="22"/>
          <w:szCs w:val="22"/>
        </w:rPr>
        <w:t>incluyendo la versión pública</w:t>
      </w:r>
      <w:r w:rsidRPr="00E7469C">
        <w:rPr>
          <w:rFonts w:ascii="Palatino Linotype" w:eastAsia="Palatino Linotype" w:hAnsi="Palatino Linotype" w:cs="Palatino Linotype"/>
          <w:i/>
          <w:sz w:val="22"/>
          <w:szCs w:val="22"/>
        </w:rPr>
        <w:t xml:space="preserve"> del expediente respectivo y </w:t>
      </w:r>
      <w:r w:rsidRPr="00E7469C">
        <w:rPr>
          <w:rFonts w:ascii="Palatino Linotype" w:eastAsia="Palatino Linotype" w:hAnsi="Palatino Linotype" w:cs="Palatino Linotype"/>
          <w:b/>
          <w:i/>
          <w:sz w:val="22"/>
          <w:szCs w:val="22"/>
        </w:rPr>
        <w:t>de los contratos celebrados</w:t>
      </w:r>
      <w:r w:rsidRPr="00E7469C">
        <w:rPr>
          <w:rFonts w:ascii="Palatino Linotype" w:eastAsia="Palatino Linotype" w:hAnsi="Palatino Linotype" w:cs="Palatino Linotype"/>
          <w:i/>
          <w:sz w:val="22"/>
          <w:szCs w:val="22"/>
        </w:rPr>
        <w:t>, que deberán contener, por los menos, lo siguiente:</w:t>
      </w:r>
    </w:p>
    <w:p w14:paraId="0AF5A164" w14:textId="77777777" w:rsidR="002377F0" w:rsidRPr="00E7469C" w:rsidRDefault="008C7182">
      <w:pPr>
        <w:tabs>
          <w:tab w:val="left" w:pos="426"/>
        </w:tabs>
        <w:spacing w:line="276" w:lineRule="auto"/>
        <w:ind w:left="1418"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 De licitaciones públicas o procedimientos de invitación restringida:</w:t>
      </w:r>
    </w:p>
    <w:p w14:paraId="0C3D2072"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1)</w:t>
      </w:r>
      <w:r w:rsidRPr="00E7469C">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201261D9"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2)</w:t>
      </w:r>
      <w:r w:rsidRPr="00E7469C">
        <w:rPr>
          <w:rFonts w:ascii="Palatino Linotype" w:eastAsia="Palatino Linotype" w:hAnsi="Palatino Linotype" w:cs="Palatino Linotype"/>
          <w:i/>
          <w:sz w:val="22"/>
          <w:szCs w:val="22"/>
        </w:rPr>
        <w:t xml:space="preserve"> Los nombres de los participantes o invitados;</w:t>
      </w:r>
    </w:p>
    <w:p w14:paraId="7C4090A7"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rPr>
        <w:t>3</w:t>
      </w:r>
      <w:r w:rsidRPr="00E7469C">
        <w:rPr>
          <w:rFonts w:ascii="Palatino Linotype" w:eastAsia="Palatino Linotype" w:hAnsi="Palatino Linotype" w:cs="Palatino Linotype"/>
          <w:i/>
          <w:sz w:val="22"/>
          <w:szCs w:val="22"/>
        </w:rPr>
        <w:t>) El nombre del ganador y las razones que lo justifican;</w:t>
      </w:r>
    </w:p>
    <w:p w14:paraId="53FA5A2B"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4)</w:t>
      </w:r>
      <w:r w:rsidRPr="00E7469C">
        <w:rPr>
          <w:rFonts w:ascii="Palatino Linotype" w:eastAsia="Palatino Linotype" w:hAnsi="Palatino Linotype" w:cs="Palatino Linotype"/>
          <w:i/>
          <w:sz w:val="22"/>
          <w:szCs w:val="22"/>
        </w:rPr>
        <w:t xml:space="preserve"> El área solicitante y la responsable de su ejecución;</w:t>
      </w:r>
    </w:p>
    <w:p w14:paraId="4661F511"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5)</w:t>
      </w:r>
      <w:r w:rsidRPr="00E7469C">
        <w:rPr>
          <w:rFonts w:ascii="Palatino Linotype" w:eastAsia="Palatino Linotype" w:hAnsi="Palatino Linotype" w:cs="Palatino Linotype"/>
          <w:i/>
          <w:sz w:val="22"/>
          <w:szCs w:val="22"/>
        </w:rPr>
        <w:t xml:space="preserve"> Las convocatorias e invitaciones emitidas; </w:t>
      </w:r>
    </w:p>
    <w:p w14:paraId="37037806"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6) Los dictámenes y fallo de adjudicación;</w:t>
      </w:r>
    </w:p>
    <w:p w14:paraId="1B2058C5"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t xml:space="preserve">7) El contrato y, en su caso, sus anexos; </w:t>
      </w:r>
    </w:p>
    <w:p w14:paraId="42FA4832"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8)</w:t>
      </w:r>
      <w:r w:rsidRPr="00E7469C">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16B07CB6"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0BACFDBB"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10)</w:t>
      </w:r>
      <w:r w:rsidRPr="00E7469C">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068E9779"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11)</w:t>
      </w:r>
      <w:r w:rsidRPr="00E7469C">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2755BAB3"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12)</w:t>
      </w:r>
      <w:r w:rsidRPr="00E7469C">
        <w:rPr>
          <w:rFonts w:ascii="Palatino Linotype" w:eastAsia="Palatino Linotype" w:hAnsi="Palatino Linotype" w:cs="Palatino Linotype"/>
          <w:i/>
          <w:sz w:val="22"/>
          <w:szCs w:val="22"/>
        </w:rPr>
        <w:t xml:space="preserve"> Los informes de avance físico y financiero sobre las obras o servicios contratados; </w:t>
      </w:r>
    </w:p>
    <w:p w14:paraId="1EE83248"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13) El convenio de terminación; </w:t>
      </w:r>
    </w:p>
    <w:p w14:paraId="4CDDB20C"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14) El finiquito.</w:t>
      </w:r>
    </w:p>
    <w:p w14:paraId="7004518B" w14:textId="77777777" w:rsidR="002377F0" w:rsidRPr="00E7469C" w:rsidRDefault="008C7182">
      <w:pPr>
        <w:tabs>
          <w:tab w:val="left" w:pos="426"/>
        </w:tabs>
        <w:spacing w:line="276" w:lineRule="auto"/>
        <w:ind w:left="1418"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b) De las adjudicaciones directas: </w:t>
      </w:r>
    </w:p>
    <w:p w14:paraId="70B943DE"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1)</w:t>
      </w:r>
      <w:r w:rsidRPr="00E7469C">
        <w:rPr>
          <w:rFonts w:ascii="Palatino Linotype" w:eastAsia="Palatino Linotype" w:hAnsi="Palatino Linotype" w:cs="Palatino Linotype"/>
          <w:i/>
          <w:sz w:val="22"/>
          <w:szCs w:val="22"/>
        </w:rPr>
        <w:t xml:space="preserve"> La propuesta enviada por el participante; </w:t>
      </w:r>
    </w:p>
    <w:p w14:paraId="0E6D9DF4"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2)</w:t>
      </w:r>
      <w:r w:rsidRPr="00E7469C">
        <w:rPr>
          <w:rFonts w:ascii="Palatino Linotype" w:eastAsia="Palatino Linotype" w:hAnsi="Palatino Linotype" w:cs="Palatino Linotype"/>
          <w:i/>
          <w:sz w:val="22"/>
          <w:szCs w:val="22"/>
        </w:rPr>
        <w:t xml:space="preserve"> Los motivos y fundamentos legales aplicados para llevarla a cabo;</w:t>
      </w:r>
    </w:p>
    <w:p w14:paraId="1E514853"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3) La autorización del ejercicio de la opción; </w:t>
      </w:r>
    </w:p>
    <w:p w14:paraId="2F5051D9"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 xml:space="preserve">4) En su caso, las cotizaciones consideradas, especificando los nombres de los proveedores y sus montos; </w:t>
      </w:r>
    </w:p>
    <w:p w14:paraId="3760C66D"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5) El nombre de la persona física o jurídica colectiva adjudicada; </w:t>
      </w:r>
    </w:p>
    <w:p w14:paraId="16A92036"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6)</w:t>
      </w:r>
      <w:r w:rsidRPr="00E7469C">
        <w:rPr>
          <w:rFonts w:ascii="Palatino Linotype" w:eastAsia="Palatino Linotype" w:hAnsi="Palatino Linotype" w:cs="Palatino Linotype"/>
          <w:i/>
          <w:sz w:val="22"/>
          <w:szCs w:val="22"/>
        </w:rPr>
        <w:t xml:space="preserve"> La unidad administrativa solicitante y la responsable de su ejecución; </w:t>
      </w:r>
    </w:p>
    <w:p w14:paraId="71457E92"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7</w:t>
      </w:r>
      <w:r w:rsidRPr="00E7469C">
        <w:rPr>
          <w:rFonts w:ascii="Palatino Linotype" w:eastAsia="Palatino Linotype" w:hAnsi="Palatino Linotype" w:cs="Palatino Linotype"/>
          <w:i/>
          <w:sz w:val="22"/>
          <w:szCs w:val="22"/>
        </w:rPr>
        <w:t xml:space="preserve">) El número, fecha, el monto del contrato y el plazo de entrega o de ejecución de los servicios u obra; </w:t>
      </w:r>
    </w:p>
    <w:p w14:paraId="1215A7C5"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8)</w:t>
      </w:r>
      <w:r w:rsidRPr="00E7469C">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63D1E670"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9)</w:t>
      </w:r>
      <w:r w:rsidRPr="00E7469C">
        <w:rPr>
          <w:rFonts w:ascii="Palatino Linotype" w:eastAsia="Palatino Linotype" w:hAnsi="Palatino Linotype" w:cs="Palatino Linotype"/>
          <w:i/>
          <w:sz w:val="22"/>
          <w:szCs w:val="22"/>
        </w:rPr>
        <w:t xml:space="preserve"> Los informes de avance sobre las obras o servicios contratados; </w:t>
      </w:r>
    </w:p>
    <w:p w14:paraId="06824789"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10) El convenio de terminación; y </w:t>
      </w:r>
    </w:p>
    <w:p w14:paraId="4EFEF503" w14:textId="77777777" w:rsidR="002377F0" w:rsidRPr="00E7469C" w:rsidRDefault="008C7182">
      <w:pPr>
        <w:tabs>
          <w:tab w:val="left" w:pos="426"/>
        </w:tabs>
        <w:spacing w:line="276" w:lineRule="auto"/>
        <w:ind w:left="170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11) El finiquito;”</w:t>
      </w:r>
    </w:p>
    <w:p w14:paraId="260A4E4E" w14:textId="77777777" w:rsidR="002377F0" w:rsidRPr="00E7469C" w:rsidRDefault="002377F0">
      <w:pPr>
        <w:tabs>
          <w:tab w:val="left" w:pos="426"/>
        </w:tabs>
        <w:ind w:left="1701" w:right="902"/>
        <w:jc w:val="both"/>
        <w:rPr>
          <w:rFonts w:ascii="Palatino Linotype" w:eastAsia="Palatino Linotype" w:hAnsi="Palatino Linotype" w:cs="Palatino Linotype"/>
          <w:sz w:val="22"/>
          <w:szCs w:val="22"/>
        </w:rPr>
      </w:pPr>
    </w:p>
    <w:p w14:paraId="746AD47C"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ende, de acuerdo a los </w:t>
      </w:r>
      <w:r w:rsidRPr="00E7469C">
        <w:rPr>
          <w:rFonts w:ascii="Palatino Linotype" w:eastAsia="Palatino Linotype" w:hAnsi="Palatino Linotype" w:cs="Palatino Linotype"/>
          <w:i/>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E7469C">
        <w:rPr>
          <w:rFonts w:ascii="Palatino Linotype" w:eastAsia="Palatino Linotype" w:hAnsi="Palatino Linotype" w:cs="Palatino Linotype"/>
          <w:sz w:val="22"/>
          <w:szCs w:val="22"/>
        </w:rPr>
        <w:t xml:space="preserve">, que deben de difundir los sujetos obligados en los portales de Internet y en la Plataforma Nacional de Transparencia, para el cumplimiento de la obligación de transparencia señalada en el artículo 70 fracción XXVIII de la </w:t>
      </w:r>
      <w:r w:rsidRPr="00E7469C">
        <w:rPr>
          <w:rFonts w:ascii="Palatino Linotype" w:eastAsia="Palatino Linotype" w:hAnsi="Palatino Linotype" w:cs="Palatino Linotype"/>
          <w:i/>
          <w:sz w:val="22"/>
          <w:szCs w:val="22"/>
        </w:rPr>
        <w:t>Ley General de Transparencia y Acceso a la Información Pública</w:t>
      </w:r>
      <w:r w:rsidRPr="00E7469C">
        <w:rPr>
          <w:rFonts w:ascii="Palatino Linotype" w:eastAsia="Palatino Linotype" w:hAnsi="Palatino Linotype" w:cs="Palatino Linotype"/>
          <w:sz w:val="22"/>
          <w:szCs w:val="22"/>
        </w:rPr>
        <w:t xml:space="preserve">, los sujetos obligados deben publicar información sobre los actos, </w:t>
      </w:r>
      <w:r w:rsidRPr="00E7469C">
        <w:rPr>
          <w:rFonts w:ascii="Palatino Linotype" w:eastAsia="Palatino Linotype" w:hAnsi="Palatino Linotype" w:cs="Palatino Linotype"/>
          <w:b/>
          <w:sz w:val="22"/>
          <w:szCs w:val="22"/>
          <w:u w:val="single"/>
        </w:rPr>
        <w:t>contratos</w:t>
      </w:r>
      <w:r w:rsidRPr="00E7469C">
        <w:rPr>
          <w:rFonts w:ascii="Palatino Linotype" w:eastAsia="Palatino Linotype" w:hAnsi="Palatino Linotype" w:cs="Palatino Linotype"/>
          <w:sz w:val="22"/>
          <w:szCs w:val="22"/>
        </w:rPr>
        <w:t xml:space="preserve"> y convenios </w:t>
      </w:r>
      <w:r w:rsidRPr="00E7469C">
        <w:rPr>
          <w:rFonts w:ascii="Palatino Linotype" w:eastAsia="Palatino Linotype" w:hAnsi="Palatino Linotype" w:cs="Palatino Linotype"/>
          <w:b/>
          <w:sz w:val="22"/>
          <w:szCs w:val="22"/>
        </w:rPr>
        <w:t>celebrados,</w:t>
      </w:r>
      <w:r w:rsidRPr="00E7469C">
        <w:rPr>
          <w:rFonts w:ascii="Palatino Linotype" w:eastAsia="Palatino Linotype" w:hAnsi="Palatino Linotype" w:cs="Palatino Linotype"/>
          <w:sz w:val="22"/>
          <w:szCs w:val="22"/>
        </w:rPr>
        <w:t xml:space="preserve"> misma que </w:t>
      </w:r>
      <w:r w:rsidRPr="00E7469C">
        <w:rPr>
          <w:rFonts w:ascii="Palatino Linotype" w:eastAsia="Palatino Linotype" w:hAnsi="Palatino Linotype" w:cs="Palatino Linotype"/>
          <w:b/>
          <w:sz w:val="22"/>
          <w:szCs w:val="22"/>
        </w:rPr>
        <w:t xml:space="preserve">debe presentarse en una base de datos en la que cada registro se hará por tipo de procedimiento, ya sea licitación pública, invitación restringida </w:t>
      </w:r>
      <w:r w:rsidRPr="00E7469C">
        <w:rPr>
          <w:rFonts w:ascii="Palatino Linotype" w:eastAsia="Palatino Linotype" w:hAnsi="Palatino Linotype" w:cs="Palatino Linotype"/>
          <w:sz w:val="22"/>
          <w:szCs w:val="22"/>
        </w:rPr>
        <w:t xml:space="preserve">o adjudicación directa, especificando para cada tipo de procedimiento la materia, así como el carácter de cada uno, es decir, nacional o internacional, </w:t>
      </w:r>
      <w:r w:rsidRPr="00E7469C">
        <w:rPr>
          <w:rFonts w:ascii="Palatino Linotype" w:eastAsia="Palatino Linotype" w:hAnsi="Palatino Linotype" w:cs="Palatino Linotype"/>
          <w:b/>
          <w:sz w:val="22"/>
          <w:szCs w:val="22"/>
        </w:rPr>
        <w:t>ad</w:t>
      </w:r>
      <w:r w:rsidRPr="00E7469C">
        <w:rPr>
          <w:rFonts w:ascii="Palatino Linotype" w:eastAsia="Palatino Linotype" w:hAnsi="Palatino Linotype" w:cs="Palatino Linotype"/>
          <w:b/>
          <w:sz w:val="22"/>
          <w:szCs w:val="22"/>
          <w:u w:val="single"/>
        </w:rPr>
        <w:t>emás se debe elaborar versión pública los documentos fuente que deban ser publicados en este apartado</w:t>
      </w:r>
      <w:r w:rsidRPr="00E7469C">
        <w:rPr>
          <w:rFonts w:ascii="Palatino Linotype" w:eastAsia="Palatino Linotype" w:hAnsi="Palatino Linotype" w:cs="Palatino Linotype"/>
          <w:sz w:val="22"/>
          <w:szCs w:val="22"/>
        </w:rPr>
        <w:t xml:space="preserve">, tales como </w:t>
      </w:r>
      <w:r w:rsidRPr="00E7469C">
        <w:rPr>
          <w:rFonts w:ascii="Palatino Linotype" w:eastAsia="Palatino Linotype" w:hAnsi="Palatino Linotype" w:cs="Palatino Linotype"/>
          <w:b/>
          <w:sz w:val="22"/>
          <w:szCs w:val="22"/>
          <w:u w:val="single"/>
        </w:rPr>
        <w:t xml:space="preserve">contratos, </w:t>
      </w:r>
      <w:r w:rsidRPr="00E7469C">
        <w:rPr>
          <w:rFonts w:ascii="Palatino Linotype" w:eastAsia="Palatino Linotype" w:hAnsi="Palatino Linotype" w:cs="Palatino Linotype"/>
          <w:sz w:val="22"/>
          <w:szCs w:val="22"/>
        </w:rPr>
        <w:t xml:space="preserve">facturas, registros contables, pólizas, finiquitos, los dictámenes y fallo de adjudicación, la autorización del ejercicio, la partida presupuestal, de conformidad con el clasificador por objeto del gasto, en el caso de ser aplicable, entre otros, incluyendo sus anexos correspondientes, información que debe ser actualizada de manera trimestral, y </w:t>
      </w:r>
      <w:r w:rsidRPr="00E7469C">
        <w:rPr>
          <w:rFonts w:ascii="Palatino Linotype" w:eastAsia="Palatino Linotype" w:hAnsi="Palatino Linotype" w:cs="Palatino Linotype"/>
          <w:sz w:val="22"/>
          <w:szCs w:val="22"/>
        </w:rPr>
        <w:lastRenderedPageBreak/>
        <w:t xml:space="preserve">conservarse la generada en el ejercicio en curso y la correspondiente a dos ejercicios anteriores. </w:t>
      </w:r>
    </w:p>
    <w:p w14:paraId="41668432"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14EA426A"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16" w:name="_heading=h.lx2r2sqm0iab" w:colFirst="0" w:colLast="0"/>
      <w:bookmarkEnd w:id="16"/>
      <w:r w:rsidRPr="00E7469C">
        <w:rPr>
          <w:rFonts w:ascii="Palatino Linotype" w:eastAsia="Palatino Linotype" w:hAnsi="Palatino Linotype" w:cs="Palatino Linotype"/>
          <w:sz w:val="22"/>
          <w:szCs w:val="22"/>
        </w:rPr>
        <w:t xml:space="preserve">Por lo que contrario con lo manifestado por el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los contratos de adjudicación de una obra es información pública independientemente de que estos sean susceptibles de alguna modificación, por lo que al formar parte de sus funciones y atribuciones para generar, poseer y administrar los contratos, este Organismo Garante considera oportuno ordenar la entrega de los Contratos celebrados por las obras públicas referidas en respuesta, correspondientes a los años dos mil veintitrés y dos mil veinticuatro.</w:t>
      </w:r>
    </w:p>
    <w:p w14:paraId="7A02A496"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27104A7" w14:textId="77777777" w:rsidR="002377F0" w:rsidRPr="00E7469C" w:rsidRDefault="008C7182">
      <w:pPr>
        <w:numPr>
          <w:ilvl w:val="0"/>
          <w:numId w:val="1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Inventario de todo el parque vehicular del municipio</w:t>
      </w:r>
    </w:p>
    <w:p w14:paraId="54CC65BD" w14:textId="77777777" w:rsidR="002377F0" w:rsidRPr="00E7469C" w:rsidRDefault="008C7182">
      <w:pPr>
        <w:numPr>
          <w:ilvl w:val="0"/>
          <w:numId w:val="1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Inventario de todo el parque vehicular de seguridad pública y sus resguardos, así mismo me informen que patrullas aún están en servicio y las que no solicito su dictamen</w:t>
      </w:r>
    </w:p>
    <w:p w14:paraId="4067F327" w14:textId="77777777" w:rsidR="002377F0" w:rsidRPr="00E7469C" w:rsidRDefault="008C7182">
      <w:pPr>
        <w:numPr>
          <w:ilvl w:val="0"/>
          <w:numId w:val="1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Inventario del armamento del Seguridad Publica.</w:t>
      </w:r>
    </w:p>
    <w:p w14:paraId="6EE803CB"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5E680C6"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Referente al Inventario del Parque Vehicular del Municipio incluido el de seguridad pública y sus resguardos, así como, las patrullas que se encuentran en servicio y las que no el dictamen; el </w:t>
      </w:r>
      <w:r w:rsidRPr="00E7469C">
        <w:rPr>
          <w:rFonts w:ascii="Palatino Linotype" w:eastAsia="Palatino Linotype" w:hAnsi="Palatino Linotype" w:cs="Palatino Linotype"/>
          <w:b/>
          <w:sz w:val="22"/>
          <w:szCs w:val="22"/>
        </w:rPr>
        <w:t xml:space="preserve">Sujeto Obligado </w:t>
      </w:r>
      <w:r w:rsidRPr="00E7469C">
        <w:rPr>
          <w:rFonts w:ascii="Palatino Linotype" w:eastAsia="Palatino Linotype" w:hAnsi="Palatino Linotype" w:cs="Palatino Linotype"/>
          <w:sz w:val="22"/>
          <w:szCs w:val="22"/>
        </w:rPr>
        <w:t xml:space="preserve">fue omiso en rendir alguna manifestación al respecto; por lo que, se considera conveniente precisar que el documento que de manera enunciativa más no limitativa pudiera atender el derecho de acceso a la información del particular es el inventario de bienes muebles. </w:t>
      </w:r>
    </w:p>
    <w:p w14:paraId="06E719DA"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AD78594"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orden de ideas, debemos traer a colación lo establecido en el artículo 32 de la Ley Superior de Fiscalización del Estado de México, que consagra la obligación de los Municipios de rendir de manera trimestral al OSFEM los informes correspondientes. </w:t>
      </w:r>
    </w:p>
    <w:p w14:paraId="692C603F"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67536DD"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 mayor abundamiento dentro del ACUERDO 7/2025 POR EL QUE SE EMITEN LOS LINEAMIENTOS, FECHAS DE CAPACITACIÓN Y CALENDARIZACIÓN PARA LA INTEGRACIÓN Y PRESENTACIÓN DE LOS INFORMES TRIMESTRALES ESTATALES Y MUNICIPALES DEL EJERCICIO FISCAL 2025, DE LAS ENTIDADES FISCALIZABLES DEL ESTADO DE MÉXICO, precisa que los Ayuntamientos deben de proporcionar, para su fiscalización, diversos documentos, entre los cuales se encuentran aquellos del Módulo 4, que contienen el inventario de bienes muebles, como se advierte a continuación: </w:t>
      </w:r>
    </w:p>
    <w:p w14:paraId="39C69E4B"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B43C27C" wp14:editId="0188E824">
            <wp:extent cx="5534025" cy="5019675"/>
            <wp:effectExtent l="0" t="0" r="0" b="0"/>
            <wp:docPr id="214492367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9"/>
                    <a:srcRect/>
                    <a:stretch>
                      <a:fillRect/>
                    </a:stretch>
                  </pic:blipFill>
                  <pic:spPr>
                    <a:xfrm>
                      <a:off x="0" y="0"/>
                      <a:ext cx="5534025" cy="5019675"/>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3360" behindDoc="0" locked="0" layoutInCell="1" hidden="0" allowOverlap="1" wp14:anchorId="7C3E5F6D" wp14:editId="7FDFDB32">
                <wp:simplePos x="0" y="0"/>
                <wp:positionH relativeFrom="column">
                  <wp:posOffset>543243</wp:posOffset>
                </wp:positionH>
                <wp:positionV relativeFrom="paragraph">
                  <wp:posOffset>3949383</wp:posOffset>
                </wp:positionV>
                <wp:extent cx="4972050" cy="390525"/>
                <wp:effectExtent l="0" t="0" r="0" b="0"/>
                <wp:wrapNone/>
                <wp:docPr id="2144923606" name="Rectángulo 2144923606"/>
                <wp:cNvGraphicFramePr/>
                <a:graphic xmlns:a="http://schemas.openxmlformats.org/drawingml/2006/main">
                  <a:graphicData uri="http://schemas.microsoft.com/office/word/2010/wordprocessingShape">
                    <wps:wsp>
                      <wps:cNvSpPr/>
                      <wps:spPr>
                        <a:xfrm>
                          <a:off x="2874263" y="3599025"/>
                          <a:ext cx="4943475" cy="361950"/>
                        </a:xfrm>
                        <a:prstGeom prst="rect">
                          <a:avLst/>
                        </a:prstGeom>
                        <a:noFill/>
                        <a:ln w="28575" cap="flat" cmpd="sng">
                          <a:solidFill>
                            <a:srgbClr val="FF0000"/>
                          </a:solidFill>
                          <a:prstDash val="solid"/>
                          <a:miter lim="800000"/>
                          <a:headEnd type="none" w="sm" len="sm"/>
                          <a:tailEnd type="none" w="sm" len="sm"/>
                        </a:ln>
                      </wps:spPr>
                      <wps:txbx>
                        <w:txbxContent>
                          <w:p w14:paraId="4D09B1B1"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7C3E5F6D" id="Rectángulo 2144923606" o:spid="_x0000_s1031" style="position:absolute;left:0;text-align:left;margin-left:42.8pt;margin-top:311pt;width:391.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" filled="f" strokecolor="red" strokeweight="2.25pt">
                <v:stroke startarrowwidth="narrow" startarrowlength="short" endarrowwidth="narrow" endarrowlength="short"/>
                <v:textbox inset="2.53958mm,2.53958mm,2.53958mm,2.53958mm">
                  <w:txbxContent>
                    <w:p w14:paraId="4D09B1B1" w14:textId="77777777" w:rsidR="002377F0" w:rsidRDefault="002377F0">
                      <w:pPr>
                        <w:textDirection w:val="btLr"/>
                      </w:pPr>
                    </w:p>
                  </w:txbxContent>
                </v:textbox>
              </v:rect>
            </w:pict>
          </mc:Fallback>
        </mc:AlternateContent>
      </w:r>
      <w:r w:rsidRPr="00E7469C">
        <w:rPr>
          <w:noProof/>
          <w:lang w:val="es-MX"/>
        </w:rPr>
        <mc:AlternateContent>
          <mc:Choice Requires="wps">
            <w:drawing>
              <wp:anchor distT="0" distB="0" distL="114300" distR="114300" simplePos="0" relativeHeight="251664384" behindDoc="0" locked="0" layoutInCell="1" hidden="0" allowOverlap="1" wp14:anchorId="49E9099F" wp14:editId="0C22E75D">
                <wp:simplePos x="0" y="0"/>
                <wp:positionH relativeFrom="column">
                  <wp:posOffset>496253</wp:posOffset>
                </wp:positionH>
                <wp:positionV relativeFrom="paragraph">
                  <wp:posOffset>3349308</wp:posOffset>
                </wp:positionV>
                <wp:extent cx="5029200" cy="257175"/>
                <wp:effectExtent l="0" t="0" r="0" b="0"/>
                <wp:wrapNone/>
                <wp:docPr id="2144923602" name="Rectángulo 2144923602"/>
                <wp:cNvGraphicFramePr/>
                <a:graphic xmlns:a="http://schemas.openxmlformats.org/drawingml/2006/main">
                  <a:graphicData uri="http://schemas.microsoft.com/office/word/2010/wordprocessingShape">
                    <wps:wsp>
                      <wps:cNvSpPr/>
                      <wps:spPr>
                        <a:xfrm>
                          <a:off x="2845688" y="3665700"/>
                          <a:ext cx="5000625" cy="228600"/>
                        </a:xfrm>
                        <a:prstGeom prst="rect">
                          <a:avLst/>
                        </a:prstGeom>
                        <a:noFill/>
                        <a:ln w="28575" cap="flat" cmpd="sng">
                          <a:solidFill>
                            <a:srgbClr val="FF0000"/>
                          </a:solidFill>
                          <a:prstDash val="solid"/>
                          <a:miter lim="800000"/>
                          <a:headEnd type="none" w="sm" len="sm"/>
                          <a:tailEnd type="none" w="sm" len="sm"/>
                        </a:ln>
                      </wps:spPr>
                      <wps:txbx>
                        <w:txbxContent>
                          <w:p w14:paraId="049867DD"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49E9099F" id="Rectángulo 2144923602" o:spid="_x0000_s1032" style="position:absolute;left:0;text-align:left;margin-left:39.1pt;margin-top:263.75pt;width:39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" filled="f" strokecolor="red" strokeweight="2.25pt">
                <v:stroke startarrowwidth="narrow" startarrowlength="short" endarrowwidth="narrow" endarrowlength="short"/>
                <v:textbox inset="2.53958mm,2.53958mm,2.53958mm,2.53958mm">
                  <w:txbxContent>
                    <w:p w14:paraId="049867DD" w14:textId="77777777" w:rsidR="002377F0" w:rsidRDefault="002377F0">
                      <w:pPr>
                        <w:textDirection w:val="btLr"/>
                      </w:pPr>
                    </w:p>
                  </w:txbxContent>
                </v:textbox>
              </v:rect>
            </w:pict>
          </mc:Fallback>
        </mc:AlternateContent>
      </w:r>
    </w:p>
    <w:p w14:paraId="13B36D34"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De lo anterior, se puede advertir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debe generar un Inventario de Bienes muebles cuya finalidad es registrar los bienes muebles con los que cuenta la entidad municipal, documento que de manera enunciativa más no limitativa puede dar cuenta de lo solicitado por el particular. Es así, que podemos concluir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al ser sujeto fiscalizado por parte del Órgano Superior de Fiscalización del Estado de México (OSFEM), debe rendir de manera trimestral los formatos que permitan eficaz y eficientemente su fiscalización. </w:t>
      </w:r>
    </w:p>
    <w:p w14:paraId="65712214"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0355054"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Aunado a ello, no pasa desapercibido para este Organismo que el particular también desea conocer el número de patrullas que se encuentran en servicio y de las que ya no se encuentran en servicio el dictamen, de este modo el Manual de Organización de la Dirección de Administración establece que la Coordinación del Parque Vehicular tiene como atribuciones: </w:t>
      </w:r>
    </w:p>
    <w:p w14:paraId="5857720B" w14:textId="77777777" w:rsidR="002377F0" w:rsidRPr="00E7469C" w:rsidRDefault="002377F0">
      <w:pPr>
        <w:pBdr>
          <w:top w:val="nil"/>
          <w:left w:val="nil"/>
          <w:bottom w:val="nil"/>
          <w:right w:val="nil"/>
          <w:between w:val="nil"/>
        </w:pBdr>
        <w:tabs>
          <w:tab w:val="left" w:pos="709"/>
        </w:tabs>
        <w:spacing w:line="360" w:lineRule="auto"/>
        <w:ind w:left="851" w:right="567"/>
        <w:jc w:val="both"/>
        <w:rPr>
          <w:rFonts w:ascii="Palatino Linotype" w:eastAsia="Palatino Linotype" w:hAnsi="Palatino Linotype" w:cs="Palatino Linotype"/>
          <w:i/>
          <w:sz w:val="22"/>
          <w:szCs w:val="22"/>
        </w:rPr>
      </w:pPr>
    </w:p>
    <w:p w14:paraId="2DBEED6F"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“1. Realizar los diagnósticos de fallas presentadas por los vehículos;</w:t>
      </w:r>
    </w:p>
    <w:p w14:paraId="10A78236"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2. Elaborar el dictamen de las condiciones de los vehículos</w:t>
      </w:r>
      <w:r w:rsidRPr="00E7469C">
        <w:rPr>
          <w:rFonts w:ascii="Palatino Linotype" w:eastAsia="Palatino Linotype" w:hAnsi="Palatino Linotype" w:cs="Palatino Linotype"/>
          <w:i/>
          <w:sz w:val="22"/>
          <w:szCs w:val="22"/>
        </w:rPr>
        <w:t xml:space="preserve"> y proponer a la Unidad de Compras del Parque Vehicular las especificaciones técnicas de las refacciones requeridas</w:t>
      </w:r>
      <w:r w:rsidRPr="00E7469C">
        <w:rPr>
          <w:rFonts w:ascii="Palatino Linotype" w:eastAsia="Palatino Linotype" w:hAnsi="Palatino Linotype" w:cs="Palatino Linotype"/>
          <w:sz w:val="22"/>
          <w:szCs w:val="22"/>
        </w:rPr>
        <w:t>;</w:t>
      </w:r>
    </w:p>
    <w:p w14:paraId="053AFEA7"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3. Realizar los trabajos de mantenimiento y las reparaciones de los vehículos afectados con la mayor diligencia y empeño posibles;</w:t>
      </w:r>
    </w:p>
    <w:p w14:paraId="43480683"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4. Informar oportunamente al Coordinador o Coordinadora del Parque Vehicular de cualquier anomalía, error u omisión </w:t>
      </w:r>
      <w:proofErr w:type="gramStart"/>
      <w:r w:rsidRPr="00E7469C">
        <w:rPr>
          <w:rFonts w:ascii="Palatino Linotype" w:eastAsia="Palatino Linotype" w:hAnsi="Palatino Linotype" w:cs="Palatino Linotype"/>
          <w:i/>
          <w:sz w:val="22"/>
          <w:szCs w:val="22"/>
        </w:rPr>
        <w:t>cometida;…</w:t>
      </w:r>
      <w:proofErr w:type="gramEnd"/>
      <w:r w:rsidRPr="00E7469C">
        <w:rPr>
          <w:rFonts w:ascii="Palatino Linotype" w:eastAsia="Palatino Linotype" w:hAnsi="Palatino Linotype" w:cs="Palatino Linotype"/>
          <w:i/>
          <w:sz w:val="22"/>
          <w:szCs w:val="22"/>
        </w:rPr>
        <w:t>”</w:t>
      </w:r>
    </w:p>
    <w:p w14:paraId="3D2EB21F" w14:textId="77777777" w:rsidR="002377F0" w:rsidRPr="00E7469C" w:rsidRDefault="002377F0">
      <w:pPr>
        <w:pBdr>
          <w:top w:val="nil"/>
          <w:left w:val="nil"/>
          <w:bottom w:val="nil"/>
          <w:right w:val="nil"/>
          <w:between w:val="nil"/>
        </w:pBdr>
        <w:tabs>
          <w:tab w:val="left" w:pos="709"/>
        </w:tabs>
        <w:spacing w:line="360" w:lineRule="auto"/>
        <w:ind w:left="851" w:right="567"/>
        <w:jc w:val="both"/>
        <w:rPr>
          <w:rFonts w:ascii="Palatino Linotype" w:eastAsia="Palatino Linotype" w:hAnsi="Palatino Linotype" w:cs="Palatino Linotype"/>
          <w:i/>
          <w:sz w:val="22"/>
          <w:szCs w:val="22"/>
        </w:rPr>
      </w:pPr>
    </w:p>
    <w:p w14:paraId="437423A2"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este modo se advierte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cuenta con atribuciones para generar, poseer y administrar la información que desea conocer el solicitante; precisando que la información requerida por el particular corresponde a información que por su naturaleza es pública, pues corresponde a documentos que son generados por el actuar continuo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w:t>
      </w:r>
    </w:p>
    <w:p w14:paraId="5987C58F"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8B2D245"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Asimismo, es necesario destacar que la Ley Orgánica Municipal del Estado de México prevé en materia de bienes muebles lo siguiente:</w:t>
      </w:r>
    </w:p>
    <w:p w14:paraId="0F397A4F"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31.- Son atribuciones de los ayuntamientos</w:t>
      </w:r>
      <w:r w:rsidRPr="00E7469C">
        <w:rPr>
          <w:rFonts w:ascii="Palatino Linotype" w:eastAsia="Palatino Linotype" w:hAnsi="Palatino Linotype" w:cs="Palatino Linotype"/>
          <w:i/>
          <w:sz w:val="22"/>
          <w:szCs w:val="22"/>
        </w:rPr>
        <w:t>:</w:t>
      </w:r>
    </w:p>
    <w:p w14:paraId="2B15E8FD"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029805E9"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XV. </w:t>
      </w:r>
      <w:r w:rsidRPr="00E7469C">
        <w:rPr>
          <w:rFonts w:ascii="Palatino Linotype" w:eastAsia="Palatino Linotype" w:hAnsi="Palatino Linotype" w:cs="Palatino Linotype"/>
          <w:b/>
          <w:i/>
          <w:sz w:val="22"/>
          <w:szCs w:val="22"/>
        </w:rPr>
        <w:t>Aprobar en sesión de cabildo los movimientos registrados</w:t>
      </w:r>
      <w:r w:rsidRPr="00E7469C">
        <w:rPr>
          <w:rFonts w:ascii="Palatino Linotype" w:eastAsia="Palatino Linotype" w:hAnsi="Palatino Linotype" w:cs="Palatino Linotype"/>
          <w:i/>
          <w:sz w:val="22"/>
          <w:szCs w:val="22"/>
        </w:rPr>
        <w:t xml:space="preserve"> en el libro especial </w:t>
      </w:r>
      <w:r w:rsidRPr="00E7469C">
        <w:rPr>
          <w:rFonts w:ascii="Palatino Linotype" w:eastAsia="Palatino Linotype" w:hAnsi="Palatino Linotype" w:cs="Palatino Linotype"/>
          <w:b/>
          <w:i/>
          <w:sz w:val="22"/>
          <w:szCs w:val="22"/>
        </w:rPr>
        <w:t>de bienes muebles</w:t>
      </w:r>
      <w:r w:rsidRPr="00E7469C">
        <w:rPr>
          <w:rFonts w:ascii="Palatino Linotype" w:eastAsia="Palatino Linotype" w:hAnsi="Palatino Linotype" w:cs="Palatino Linotype"/>
          <w:i/>
          <w:sz w:val="22"/>
          <w:szCs w:val="22"/>
        </w:rPr>
        <w:t xml:space="preserve"> e inmuebles;</w:t>
      </w:r>
    </w:p>
    <w:p w14:paraId="1D276083"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0AAE4328"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48.-</w:t>
      </w:r>
      <w:r w:rsidRPr="00E7469C">
        <w:rPr>
          <w:rFonts w:ascii="Palatino Linotype" w:eastAsia="Palatino Linotype" w:hAnsi="Palatino Linotype" w:cs="Palatino Linotype"/>
          <w:i/>
          <w:sz w:val="22"/>
          <w:szCs w:val="22"/>
        </w:rPr>
        <w:t xml:space="preserve"> La persona titular de la presidencia municipal tiene las siguientes atribuciones:</w:t>
      </w:r>
    </w:p>
    <w:p w14:paraId="5A531D89"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41A0FFF7"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XI. Supervisar la administración, </w:t>
      </w:r>
      <w:r w:rsidRPr="00E7469C">
        <w:rPr>
          <w:rFonts w:ascii="Palatino Linotype" w:eastAsia="Palatino Linotype" w:hAnsi="Palatino Linotype" w:cs="Palatino Linotype"/>
          <w:b/>
          <w:i/>
          <w:sz w:val="22"/>
          <w:szCs w:val="22"/>
          <w:u w:val="single"/>
        </w:rPr>
        <w:t>registro,</w:t>
      </w:r>
      <w:r w:rsidRPr="00E7469C">
        <w:rPr>
          <w:rFonts w:ascii="Palatino Linotype" w:eastAsia="Palatino Linotype" w:hAnsi="Palatino Linotype" w:cs="Palatino Linotype"/>
          <w:b/>
          <w:i/>
          <w:sz w:val="22"/>
          <w:szCs w:val="22"/>
        </w:rPr>
        <w:t xml:space="preserve"> control, </w:t>
      </w:r>
      <w:r w:rsidRPr="00E7469C">
        <w:rPr>
          <w:rFonts w:ascii="Palatino Linotype" w:eastAsia="Palatino Linotype" w:hAnsi="Palatino Linotype" w:cs="Palatino Linotype"/>
          <w:b/>
          <w:i/>
          <w:sz w:val="22"/>
          <w:szCs w:val="22"/>
          <w:u w:val="single"/>
        </w:rPr>
        <w:t>uso</w:t>
      </w:r>
      <w:r w:rsidRPr="00E7469C">
        <w:rPr>
          <w:rFonts w:ascii="Palatino Linotype" w:eastAsia="Palatino Linotype" w:hAnsi="Palatino Linotype" w:cs="Palatino Linotype"/>
          <w:b/>
          <w:i/>
          <w:sz w:val="22"/>
          <w:szCs w:val="22"/>
        </w:rPr>
        <w:t>, mantenimiento y conservación adecuados de los bienes del municipio;</w:t>
      </w:r>
    </w:p>
    <w:p w14:paraId="58886F7C"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0529D033" w14:textId="77777777" w:rsidR="002377F0" w:rsidRPr="00E7469C" w:rsidRDefault="002377F0">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p>
    <w:p w14:paraId="3024FA70"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53.- Los síndicos tendrán las siguientes atribuciones:</w:t>
      </w:r>
    </w:p>
    <w:p w14:paraId="15A86039"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778033C2"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VII. Intervenir en la formulación del inventario general de los bienes muebles</w:t>
      </w:r>
      <w:r w:rsidRPr="00E7469C">
        <w:rPr>
          <w:rFonts w:ascii="Palatino Linotype" w:eastAsia="Palatino Linotype" w:hAnsi="Palatino Linotype" w:cs="Palatino Linotype"/>
          <w:i/>
          <w:sz w:val="22"/>
          <w:szCs w:val="22"/>
        </w:rPr>
        <w:t xml:space="preserve"> e inmuebles propiedad del municipio, haciendo que se inscriban en el libro especial, con expresión de sus valores y de todas las características de identificación, así como el uso y destino de </w:t>
      </w:r>
      <w:proofErr w:type="gramStart"/>
      <w:r w:rsidRPr="00E7469C">
        <w:rPr>
          <w:rFonts w:ascii="Palatino Linotype" w:eastAsia="Palatino Linotype" w:hAnsi="Palatino Linotype" w:cs="Palatino Linotype"/>
          <w:i/>
          <w:sz w:val="22"/>
          <w:szCs w:val="22"/>
        </w:rPr>
        <w:t>los mismos</w:t>
      </w:r>
      <w:proofErr w:type="gramEnd"/>
      <w:r w:rsidRPr="00E7469C">
        <w:rPr>
          <w:rFonts w:ascii="Palatino Linotype" w:eastAsia="Palatino Linotype" w:hAnsi="Palatino Linotype" w:cs="Palatino Linotype"/>
          <w:i/>
          <w:sz w:val="22"/>
          <w:szCs w:val="22"/>
        </w:rPr>
        <w:t>;</w:t>
      </w:r>
    </w:p>
    <w:p w14:paraId="0C4E9D81"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EFD1370"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Artículo 91.- La Secretaría del Ayuntamiento </w:t>
      </w:r>
      <w:r w:rsidRPr="00E7469C">
        <w:rPr>
          <w:rFonts w:ascii="Palatino Linotype" w:eastAsia="Palatino Linotype" w:hAnsi="Palatino Linotype" w:cs="Palatino Linotype"/>
          <w:i/>
          <w:sz w:val="22"/>
          <w:szCs w:val="22"/>
        </w:rPr>
        <w:t xml:space="preserve">estará a cargo de un </w:t>
      </w:r>
      <w:proofErr w:type="gramStart"/>
      <w:r w:rsidRPr="00E7469C">
        <w:rPr>
          <w:rFonts w:ascii="Palatino Linotype" w:eastAsia="Palatino Linotype" w:hAnsi="Palatino Linotype" w:cs="Palatino Linotype"/>
          <w:i/>
          <w:sz w:val="22"/>
          <w:szCs w:val="22"/>
        </w:rPr>
        <w:t>Secretario</w:t>
      </w:r>
      <w:proofErr w:type="gramEnd"/>
      <w:r w:rsidRPr="00E7469C">
        <w:rPr>
          <w:rFonts w:ascii="Palatino Linotype" w:eastAsia="Palatino Linotype" w:hAnsi="Palatino Linotype" w:cs="Palatino Linotype"/>
          <w:i/>
          <w:sz w:val="22"/>
          <w:szCs w:val="22"/>
        </w:rPr>
        <w:t xml:space="preserve">, el que, sin ser miembro </w:t>
      </w:r>
      <w:proofErr w:type="gramStart"/>
      <w:r w:rsidRPr="00E7469C">
        <w:rPr>
          <w:rFonts w:ascii="Palatino Linotype" w:eastAsia="Palatino Linotype" w:hAnsi="Palatino Linotype" w:cs="Palatino Linotype"/>
          <w:i/>
          <w:sz w:val="22"/>
          <w:szCs w:val="22"/>
        </w:rPr>
        <w:t>del mismo</w:t>
      </w:r>
      <w:proofErr w:type="gramEnd"/>
      <w:r w:rsidRPr="00E7469C">
        <w:rPr>
          <w:rFonts w:ascii="Palatino Linotype" w:eastAsia="Palatino Linotype" w:hAnsi="Palatino Linotype" w:cs="Palatino Linotype"/>
          <w:i/>
          <w:sz w:val="22"/>
          <w:szCs w:val="22"/>
        </w:rPr>
        <w:t xml:space="preserve">, deberá ser nombrado por el propio Ayuntamiento a propuesta del </w:t>
      </w:r>
      <w:proofErr w:type="gramStart"/>
      <w:r w:rsidRPr="00E7469C">
        <w:rPr>
          <w:rFonts w:ascii="Palatino Linotype" w:eastAsia="Palatino Linotype" w:hAnsi="Palatino Linotype" w:cs="Palatino Linotype"/>
          <w:i/>
          <w:sz w:val="22"/>
          <w:szCs w:val="22"/>
        </w:rPr>
        <w:t>Presidente</w:t>
      </w:r>
      <w:proofErr w:type="gramEnd"/>
      <w:r w:rsidRPr="00E7469C">
        <w:rPr>
          <w:rFonts w:ascii="Palatino Linotype" w:eastAsia="Palatino Linotype" w:hAnsi="Palatino Linotype" w:cs="Palatino Linotype"/>
          <w:i/>
          <w:sz w:val="22"/>
          <w:szCs w:val="22"/>
        </w:rPr>
        <w:t xml:space="preserve"> Municipal como lo marca el artículo 31 de la presente ley. Sus faltas temporales serán cubiertas por quien designe el Ayuntamiento y sus atribuciones son las siguientes:</w:t>
      </w:r>
    </w:p>
    <w:p w14:paraId="0DDF84A9"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52F0FA1F"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XI. Elaborar con la intervención del síndico el inventario general de los bienes muebles</w:t>
      </w:r>
      <w:r w:rsidRPr="00E7469C">
        <w:rPr>
          <w:rFonts w:ascii="Palatino Linotype" w:eastAsia="Palatino Linotype" w:hAnsi="Palatino Linotype" w:cs="Palatino Linotype"/>
          <w:i/>
          <w:sz w:val="22"/>
          <w:szCs w:val="22"/>
        </w:rPr>
        <w:t xml:space="preserve"> e inmuebles municipales</w:t>
      </w:r>
      <w:r w:rsidRPr="00E7469C">
        <w:rPr>
          <w:rFonts w:ascii="Palatino Linotype" w:eastAsia="Palatino Linotype" w:hAnsi="Palatino Linotype" w:cs="Palatino Linotype"/>
          <w:b/>
          <w:i/>
          <w:sz w:val="22"/>
          <w:szCs w:val="22"/>
        </w:rPr>
        <w:t>, así como la integración del sistema de información inmobiliaria, que contemple los bienes del dominio público y privado</w:t>
      </w:r>
      <w:r w:rsidRPr="00E7469C">
        <w:rPr>
          <w:rFonts w:ascii="Palatino Linotype" w:eastAsia="Palatino Linotype" w:hAnsi="Palatino Linotype" w:cs="Palatino Linotype"/>
          <w:i/>
          <w:sz w:val="22"/>
          <w:szCs w:val="22"/>
        </w:rPr>
        <w:t>, en un término que no exceda de un año contado a partir de la instalación del ayuntamiento y presentarlo al cabildo para su conocimiento y opinión.</w:t>
      </w:r>
    </w:p>
    <w:p w14:paraId="01B84FFB" w14:textId="77777777" w:rsidR="002377F0" w:rsidRPr="00E7469C" w:rsidRDefault="002377F0">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p>
    <w:p w14:paraId="16E1060F"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51B237EE"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D188512" w14:textId="77777777" w:rsidR="002377F0" w:rsidRPr="00E7469C" w:rsidRDefault="002377F0">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p>
    <w:p w14:paraId="70B5D4AF"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95.- Son atribuciones del tesorero municipal:</w:t>
      </w:r>
    </w:p>
    <w:p w14:paraId="0AAD32EA"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186FFDE"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IV. Llevar los </w:t>
      </w:r>
      <w:r w:rsidRPr="00E7469C">
        <w:rPr>
          <w:rFonts w:ascii="Palatino Linotype" w:eastAsia="Palatino Linotype" w:hAnsi="Palatino Linotype" w:cs="Palatino Linotype"/>
          <w:i/>
          <w:sz w:val="22"/>
          <w:szCs w:val="22"/>
        </w:rPr>
        <w:t>registros contables, financieros y administrativos de los ingresos, egresos, e</w:t>
      </w: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b/>
          <w:i/>
          <w:sz w:val="22"/>
          <w:szCs w:val="22"/>
          <w:u w:val="single"/>
        </w:rPr>
        <w:t>inventarios</w:t>
      </w:r>
      <w:r w:rsidRPr="00E7469C">
        <w:rPr>
          <w:rFonts w:ascii="Palatino Linotype" w:eastAsia="Palatino Linotype" w:hAnsi="Palatino Linotype" w:cs="Palatino Linotype"/>
          <w:b/>
          <w:i/>
          <w:sz w:val="22"/>
          <w:szCs w:val="22"/>
        </w:rPr>
        <w:t>;</w:t>
      </w:r>
    </w:p>
    <w:p w14:paraId="2312BEB8"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212B4EDF"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97.- La hacienda pública municipal se integra por:</w:t>
      </w:r>
    </w:p>
    <w:p w14:paraId="157D7311"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 Los bienes muebles e inmuebles propiedad del municipio</w:t>
      </w:r>
      <w:r w:rsidRPr="00E7469C">
        <w:rPr>
          <w:rFonts w:ascii="Palatino Linotype" w:eastAsia="Palatino Linotype" w:hAnsi="Palatino Linotype" w:cs="Palatino Linotype"/>
          <w:i/>
          <w:sz w:val="22"/>
          <w:szCs w:val="22"/>
        </w:rPr>
        <w:t>;</w:t>
      </w:r>
    </w:p>
    <w:p w14:paraId="08B4138B"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7F5E7018"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112</w:t>
      </w:r>
      <w:r w:rsidRPr="00E7469C">
        <w:rPr>
          <w:rFonts w:ascii="Palatino Linotype" w:eastAsia="Palatino Linotype" w:hAnsi="Palatino Linotype" w:cs="Palatino Linotype"/>
          <w:i/>
          <w:sz w:val="22"/>
          <w:szCs w:val="22"/>
        </w:rPr>
        <w:t xml:space="preserve">. El órgano interno de control </w:t>
      </w:r>
      <w:proofErr w:type="gramStart"/>
      <w:r w:rsidRPr="00E7469C">
        <w:rPr>
          <w:rFonts w:ascii="Palatino Linotype" w:eastAsia="Palatino Linotype" w:hAnsi="Palatino Linotype" w:cs="Palatino Linotype"/>
          <w:i/>
          <w:sz w:val="22"/>
          <w:szCs w:val="22"/>
        </w:rPr>
        <w:t>municipal,</w:t>
      </w:r>
      <w:proofErr w:type="gramEnd"/>
      <w:r w:rsidRPr="00E7469C">
        <w:rPr>
          <w:rFonts w:ascii="Palatino Linotype" w:eastAsia="Palatino Linotype" w:hAnsi="Palatino Linotype" w:cs="Palatino Linotype"/>
          <w:i/>
          <w:sz w:val="22"/>
          <w:szCs w:val="22"/>
        </w:rPr>
        <w:t xml:space="preserve"> tendrá a su cargo las funciones siguientes:</w:t>
      </w:r>
    </w:p>
    <w:p w14:paraId="64FF3630"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XV. Participar en la elaboración y actualización del inventario general de los bienes muebles e inmuebles propiedad del municipi</w:t>
      </w:r>
      <w:r w:rsidRPr="00E7469C">
        <w:rPr>
          <w:rFonts w:ascii="Palatino Linotype" w:eastAsia="Palatino Linotype" w:hAnsi="Palatino Linotype" w:cs="Palatino Linotype"/>
          <w:i/>
          <w:sz w:val="22"/>
          <w:szCs w:val="22"/>
        </w:rPr>
        <w:t xml:space="preserve">o, que expresará las características de identificación y destino de los </w:t>
      </w:r>
      <w:proofErr w:type="gramStart"/>
      <w:r w:rsidRPr="00E7469C">
        <w:rPr>
          <w:rFonts w:ascii="Palatino Linotype" w:eastAsia="Palatino Linotype" w:hAnsi="Palatino Linotype" w:cs="Palatino Linotype"/>
          <w:i/>
          <w:sz w:val="22"/>
          <w:szCs w:val="22"/>
        </w:rPr>
        <w:t>mismos;…</w:t>
      </w:r>
      <w:proofErr w:type="gramEnd"/>
      <w:r w:rsidRPr="00E7469C">
        <w:rPr>
          <w:rFonts w:ascii="Palatino Linotype" w:eastAsia="Palatino Linotype" w:hAnsi="Palatino Linotype" w:cs="Palatino Linotype"/>
          <w:i/>
          <w:sz w:val="22"/>
          <w:szCs w:val="22"/>
        </w:rPr>
        <w:t>”</w:t>
      </w:r>
    </w:p>
    <w:p w14:paraId="2DCEB7D0"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(Énfasis añadido</w:t>
      </w:r>
      <w:r w:rsidRPr="00E7469C">
        <w:rPr>
          <w:rFonts w:ascii="Palatino Linotype" w:eastAsia="Palatino Linotype" w:hAnsi="Palatino Linotype" w:cs="Palatino Linotype"/>
          <w:sz w:val="22"/>
          <w:szCs w:val="22"/>
        </w:rPr>
        <w:t>)</w:t>
      </w:r>
    </w:p>
    <w:p w14:paraId="6E6E8160"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20661F69"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los preceptos citados, se advierte que deben aprobarse por el Cabildo los movimientos de los bienes muebles, supervisando a través de su </w:t>
      </w:r>
      <w:proofErr w:type="gramStart"/>
      <w:r w:rsidRPr="00E7469C">
        <w:rPr>
          <w:rFonts w:ascii="Palatino Linotype" w:eastAsia="Palatino Linotype" w:hAnsi="Palatino Linotype" w:cs="Palatino Linotype"/>
          <w:sz w:val="22"/>
          <w:szCs w:val="22"/>
        </w:rPr>
        <w:t>Presidente</w:t>
      </w:r>
      <w:proofErr w:type="gramEnd"/>
      <w:r w:rsidRPr="00E7469C">
        <w:rPr>
          <w:rFonts w:ascii="Palatino Linotype" w:eastAsia="Palatino Linotype" w:hAnsi="Palatino Linotype" w:cs="Palatino Linotype"/>
          <w:sz w:val="22"/>
          <w:szCs w:val="22"/>
        </w:rPr>
        <w:t xml:space="preserve"> Municipal la administración, registro, control, uso, mantenimiento y conservación de dichos bienes.</w:t>
      </w:r>
    </w:p>
    <w:p w14:paraId="08CFC967"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266E281F"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manera particular, se destaca que es atribución del Síndico Municipal la inscripción en el libro especial de todos los bienes muebles, con expresión de sus valores y de todas las características de identificación, así como formular de manera conjunta con el </w:t>
      </w:r>
      <w:proofErr w:type="gramStart"/>
      <w:r w:rsidRPr="00E7469C">
        <w:rPr>
          <w:rFonts w:ascii="Palatino Linotype" w:eastAsia="Palatino Linotype" w:hAnsi="Palatino Linotype" w:cs="Palatino Linotype"/>
          <w:sz w:val="22"/>
          <w:szCs w:val="22"/>
        </w:rPr>
        <w:t>Secretario</w:t>
      </w:r>
      <w:proofErr w:type="gramEnd"/>
      <w:r w:rsidRPr="00E7469C">
        <w:rPr>
          <w:rFonts w:ascii="Palatino Linotype" w:eastAsia="Palatino Linotype" w:hAnsi="Palatino Linotype" w:cs="Palatino Linotype"/>
          <w:sz w:val="22"/>
          <w:szCs w:val="22"/>
        </w:rPr>
        <w:t xml:space="preserve"> del </w:t>
      </w:r>
      <w:r w:rsidRPr="00E7469C">
        <w:rPr>
          <w:rFonts w:ascii="Palatino Linotype" w:eastAsia="Palatino Linotype" w:hAnsi="Palatino Linotype" w:cs="Palatino Linotype"/>
          <w:sz w:val="22"/>
          <w:szCs w:val="22"/>
        </w:rPr>
        <w:lastRenderedPageBreak/>
        <w:t xml:space="preserve">Ayuntamiento el inventario general de los bienes muebles del Ayuntamiento, debiendo participar en su elaboración y actualización el Contralor Interno Municipal. </w:t>
      </w:r>
    </w:p>
    <w:p w14:paraId="6B05ED79"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D742E58"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 mayor abundamiento, es pertinente señalar que, entre las obligaciones de transparencia común, se encuentra la publicación de manera actualizada y permanente, los inventaros de bienes muebles e inmuebles en posesión y propiedad de los Sujetos Obligado, de conformidad con lo dispuesto por la fracción XXXVIII del artículo 92 de la Ley de Transparencia y Acceso a la Información Pública del Estado de México y Municipios, que es del contenido literal siguiente: </w:t>
      </w:r>
    </w:p>
    <w:p w14:paraId="4D22DBAE"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92.</w:t>
      </w:r>
      <w:r w:rsidRPr="00E746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5289C3"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727BD8BA"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u w:val="single"/>
        </w:rPr>
        <w:t xml:space="preserve">XXXVIII. El inventario de bienes muebles e inmuebles en posesión y </w:t>
      </w:r>
      <w:proofErr w:type="gramStart"/>
      <w:r w:rsidRPr="00E7469C">
        <w:rPr>
          <w:rFonts w:ascii="Palatino Linotype" w:eastAsia="Palatino Linotype" w:hAnsi="Palatino Linotype" w:cs="Palatino Linotype"/>
          <w:b/>
          <w:i/>
          <w:sz w:val="22"/>
          <w:szCs w:val="22"/>
          <w:u w:val="single"/>
        </w:rPr>
        <w:t>propiedad;</w:t>
      </w:r>
      <w:r w:rsidRPr="00E7469C">
        <w:rPr>
          <w:rFonts w:ascii="Palatino Linotype" w:eastAsia="Palatino Linotype" w:hAnsi="Palatino Linotype" w:cs="Palatino Linotype"/>
          <w:i/>
          <w:sz w:val="22"/>
          <w:szCs w:val="22"/>
        </w:rPr>
        <w:t>...</w:t>
      </w:r>
      <w:proofErr w:type="gramEnd"/>
      <w:r w:rsidRPr="00E7469C">
        <w:rPr>
          <w:rFonts w:ascii="Palatino Linotype" w:eastAsia="Palatino Linotype" w:hAnsi="Palatino Linotype" w:cs="Palatino Linotype"/>
          <w:i/>
          <w:sz w:val="22"/>
          <w:szCs w:val="22"/>
        </w:rPr>
        <w:t>”</w:t>
      </w:r>
    </w:p>
    <w:p w14:paraId="14363E13"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(Énfasis añadido</w:t>
      </w:r>
      <w:r w:rsidRPr="00E7469C">
        <w:rPr>
          <w:rFonts w:ascii="Palatino Linotype" w:eastAsia="Palatino Linotype" w:hAnsi="Palatino Linotype" w:cs="Palatino Linotype"/>
          <w:sz w:val="22"/>
          <w:szCs w:val="22"/>
        </w:rPr>
        <w:t xml:space="preserve">) </w:t>
      </w:r>
    </w:p>
    <w:p w14:paraId="7FF824F5"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DAEC4D6"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17" w:name="_heading=h.qzkztdbs6fdc" w:colFirst="0" w:colLast="0"/>
      <w:bookmarkEnd w:id="17"/>
      <w:r w:rsidRPr="00E7469C">
        <w:rPr>
          <w:rFonts w:ascii="Palatino Linotype" w:eastAsia="Palatino Linotype" w:hAnsi="Palatino Linotype" w:cs="Palatino Linotype"/>
          <w:sz w:val="22"/>
          <w:szCs w:val="22"/>
        </w:rPr>
        <w:t xml:space="preserve">Por lo que, en atención a todo lo antes descrito, este Órgano Garante considera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no satisfizo el derecho de acceso a la información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en consecuencia, se determina procedente ordenar que se haga entrega, de ser procedente en versión pública, el o los documentos donde conste el inventario del parque vehicular vigente al siete de marzo de dos mil veinticinco, (mismo del que se advierte el número de patrullas</w:t>
      </w:r>
      <w:r w:rsidRPr="00E7469C">
        <w:t xml:space="preserve"> </w:t>
      </w:r>
      <w:r w:rsidRPr="00E7469C">
        <w:rPr>
          <w:rFonts w:ascii="Palatino Linotype" w:eastAsia="Palatino Linotype" w:hAnsi="Palatino Linotype" w:cs="Palatino Linotype"/>
          <w:sz w:val="22"/>
          <w:szCs w:val="22"/>
        </w:rPr>
        <w:t xml:space="preserve">que tiene en servicio el Ayuntamiento) y el Dictamen de los vehículos que se encuentran fuera de servicio al siete de marzo de dos mil veinticinco. </w:t>
      </w:r>
    </w:p>
    <w:p w14:paraId="64C22D11"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0847D19A"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En el supuesto de que no se cuente con vehículos fuera de servicio, bastará con que así se haga del conocimiento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en términos del artículo 19, párrafo segundo de la Ley de Transparencia y Acceso a la Información Pública del Estado de México y Municipios.</w:t>
      </w:r>
    </w:p>
    <w:p w14:paraId="4640AE0D"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3A620FE6"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Finalmente, y respecto al Inventario del armamento del Seguridad Publica, el comisario Municipal informó la reserva de la información, aprobada en la Décima Segunda Sesión del Comité de Transparencia mediante el acuerdo ACT/ATLACOMULCO/EXT/CT/12º/ACU- SEXTO/2025 de fecha veintisiete de marzo de dos mil veinticinco; adjuntando el Cuadro de Clasificación en el que se reservó por un periodo de cinco años. </w:t>
      </w:r>
    </w:p>
    <w:p w14:paraId="5F08C8F6"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F128079" w14:textId="77777777" w:rsidR="002377F0" w:rsidRPr="00E7469C" w:rsidRDefault="008C7182">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este modo se procede a contextualizar la naturaleza de la información requerida; y, para tal efecto resulta conveniente señalar los artículos 24, 25 y 29 de la Ley Federal de Armas de Fuego y Explosivos; así como, los numerales 7, 22 y 28 de su Reglamento, los cuales establecen en la parte que nos interesa lo siguiente:</w:t>
      </w:r>
    </w:p>
    <w:p w14:paraId="33D78C82" w14:textId="77777777" w:rsidR="002377F0" w:rsidRPr="00E7469C" w:rsidRDefault="002377F0">
      <w:pPr>
        <w:shd w:val="clear" w:color="auto" w:fill="FFFFFF"/>
        <w:ind w:left="709" w:right="474"/>
        <w:jc w:val="center"/>
        <w:rPr>
          <w:rFonts w:ascii="Palatino Linotype" w:eastAsia="Palatino Linotype" w:hAnsi="Palatino Linotype" w:cs="Palatino Linotype"/>
          <w:b/>
          <w:i/>
          <w:sz w:val="22"/>
          <w:szCs w:val="22"/>
        </w:rPr>
      </w:pPr>
    </w:p>
    <w:p w14:paraId="6F361617" w14:textId="77777777" w:rsidR="002377F0" w:rsidRPr="00E7469C" w:rsidRDefault="008C7182">
      <w:pPr>
        <w:shd w:val="clear" w:color="auto" w:fill="FFFFFF"/>
        <w:tabs>
          <w:tab w:val="left" w:pos="7655"/>
        </w:tabs>
        <w:ind w:left="851" w:right="567"/>
        <w:jc w:val="center"/>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Ley Federal de Armas de Fuego y Explosivos</w:t>
      </w:r>
    </w:p>
    <w:p w14:paraId="08FA5969"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24.- Para portar armas se requiere la licencia respectiva</w:t>
      </w:r>
      <w:r w:rsidRPr="00E7469C">
        <w:rPr>
          <w:rFonts w:ascii="Palatino Linotype" w:eastAsia="Palatino Linotype" w:hAnsi="Palatino Linotype" w:cs="Palatino Linotype"/>
          <w:i/>
          <w:sz w:val="22"/>
          <w:szCs w:val="22"/>
        </w:rPr>
        <w:t>.</w:t>
      </w:r>
    </w:p>
    <w:p w14:paraId="0744B7BD"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Los miembros del Ejército, Armada y Fuerza Aérea quedan exceptuados de lo anterior, en los casos y condiciones que señalen las leyes y reglamentos aplicables.</w:t>
      </w:r>
    </w:p>
    <w:p w14:paraId="72496FAD"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Los integrantes de las </w:t>
      </w:r>
      <w:r w:rsidRPr="00E7469C">
        <w:rPr>
          <w:rFonts w:ascii="Palatino Linotype" w:eastAsia="Palatino Linotype" w:hAnsi="Palatino Linotype" w:cs="Palatino Linotype"/>
          <w:b/>
          <w:i/>
          <w:sz w:val="22"/>
          <w:szCs w:val="22"/>
        </w:rPr>
        <w:t>instituciones policiales</w:t>
      </w:r>
      <w:r w:rsidRPr="00E7469C">
        <w:rPr>
          <w:rFonts w:ascii="Palatino Linotype" w:eastAsia="Palatino Linotype" w:hAnsi="Palatino Linotype" w:cs="Palatino Linotype"/>
          <w:i/>
          <w:sz w:val="22"/>
          <w:szCs w:val="22"/>
        </w:rPr>
        <w:t xml:space="preserve">, federales, estatales, del Distrito Federal y </w:t>
      </w:r>
      <w:r w:rsidRPr="00E7469C">
        <w:rPr>
          <w:rFonts w:ascii="Palatino Linotype" w:eastAsia="Palatino Linotype" w:hAnsi="Palatino Linotype" w:cs="Palatino Linotype"/>
          <w:b/>
          <w:i/>
          <w:sz w:val="22"/>
          <w:szCs w:val="22"/>
        </w:rPr>
        <w:t>municipales</w:t>
      </w:r>
      <w:r w:rsidRPr="00E7469C">
        <w:rPr>
          <w:rFonts w:ascii="Palatino Linotype" w:eastAsia="Palatino Linotype" w:hAnsi="Palatino Linotype" w:cs="Palatino Linotype"/>
          <w:i/>
          <w:sz w:val="22"/>
          <w:szCs w:val="22"/>
        </w:rPr>
        <w:t xml:space="preserve">, así como de los servicios privados de seguridad, </w:t>
      </w:r>
      <w:r w:rsidRPr="00E7469C">
        <w:rPr>
          <w:rFonts w:ascii="Palatino Linotype" w:eastAsia="Palatino Linotype" w:hAnsi="Palatino Linotype" w:cs="Palatino Linotype"/>
          <w:b/>
          <w:i/>
          <w:sz w:val="22"/>
          <w:szCs w:val="22"/>
        </w:rPr>
        <w:t>podrán portar armas en los casos, condiciones y requisitos que establecen la presente ley</w:t>
      </w:r>
      <w:r w:rsidRPr="00E7469C">
        <w:rPr>
          <w:rFonts w:ascii="Palatino Linotype" w:eastAsia="Palatino Linotype" w:hAnsi="Palatino Linotype" w:cs="Palatino Linotype"/>
          <w:i/>
          <w:sz w:val="22"/>
          <w:szCs w:val="22"/>
        </w:rPr>
        <w:t xml:space="preserve"> y las demás disposiciones legales aplicables.</w:t>
      </w:r>
    </w:p>
    <w:p w14:paraId="064E2B86" w14:textId="77777777" w:rsidR="002377F0" w:rsidRPr="00E7469C" w:rsidRDefault="002377F0">
      <w:pPr>
        <w:shd w:val="clear" w:color="auto" w:fill="FFFFFF"/>
        <w:tabs>
          <w:tab w:val="left" w:pos="7655"/>
        </w:tabs>
        <w:ind w:left="851" w:right="567"/>
        <w:jc w:val="both"/>
        <w:rPr>
          <w:rFonts w:ascii="Palatino Linotype" w:eastAsia="Palatino Linotype" w:hAnsi="Palatino Linotype" w:cs="Palatino Linotype"/>
          <w:i/>
          <w:sz w:val="22"/>
          <w:szCs w:val="22"/>
        </w:rPr>
      </w:pPr>
    </w:p>
    <w:p w14:paraId="7FE867E7"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25</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Las licencias</w:t>
      </w:r>
      <w:r w:rsidRPr="00E7469C">
        <w:rPr>
          <w:rFonts w:ascii="Palatino Linotype" w:eastAsia="Palatino Linotype" w:hAnsi="Palatino Linotype" w:cs="Palatino Linotype"/>
          <w:i/>
          <w:sz w:val="22"/>
          <w:szCs w:val="22"/>
        </w:rPr>
        <w:t xml:space="preserve"> para la portación de armas </w:t>
      </w:r>
      <w:r w:rsidRPr="00E7469C">
        <w:rPr>
          <w:rFonts w:ascii="Palatino Linotype" w:eastAsia="Palatino Linotype" w:hAnsi="Palatino Linotype" w:cs="Palatino Linotype"/>
          <w:b/>
          <w:i/>
          <w:sz w:val="22"/>
          <w:szCs w:val="22"/>
        </w:rPr>
        <w:t>serán de dos clases</w:t>
      </w:r>
      <w:r w:rsidRPr="00E7469C">
        <w:rPr>
          <w:rFonts w:ascii="Palatino Linotype" w:eastAsia="Palatino Linotype" w:hAnsi="Palatino Linotype" w:cs="Palatino Linotype"/>
          <w:i/>
          <w:sz w:val="22"/>
          <w:szCs w:val="22"/>
        </w:rPr>
        <w:t>:</w:t>
      </w:r>
    </w:p>
    <w:p w14:paraId="11E6F9EA"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Particulares; que deberán revalidarse cada dos años, y</w:t>
      </w:r>
    </w:p>
    <w:p w14:paraId="650E362F"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II.- </w:t>
      </w:r>
      <w:r w:rsidRPr="00E7469C">
        <w:rPr>
          <w:rFonts w:ascii="Palatino Linotype" w:eastAsia="Palatino Linotype" w:hAnsi="Palatino Linotype" w:cs="Palatino Linotype"/>
          <w:b/>
          <w:i/>
          <w:sz w:val="22"/>
          <w:szCs w:val="22"/>
        </w:rPr>
        <w:t>Oficiales</w:t>
      </w:r>
      <w:r w:rsidRPr="00E7469C">
        <w:rPr>
          <w:rFonts w:ascii="Palatino Linotype" w:eastAsia="Palatino Linotype" w:hAnsi="Palatino Linotype" w:cs="Palatino Linotype"/>
          <w:i/>
          <w:sz w:val="22"/>
          <w:szCs w:val="22"/>
        </w:rPr>
        <w:t xml:space="preserve">, que </w:t>
      </w:r>
      <w:r w:rsidRPr="00E7469C">
        <w:rPr>
          <w:rFonts w:ascii="Palatino Linotype" w:eastAsia="Palatino Linotype" w:hAnsi="Palatino Linotype" w:cs="Palatino Linotype"/>
          <w:b/>
          <w:i/>
          <w:sz w:val="22"/>
          <w:szCs w:val="22"/>
        </w:rPr>
        <w:t>tendrán validez mientras se desempeñe el cargo</w:t>
      </w:r>
      <w:r w:rsidRPr="00E7469C">
        <w:rPr>
          <w:rFonts w:ascii="Palatino Linotype" w:eastAsia="Palatino Linotype" w:hAnsi="Palatino Linotype" w:cs="Palatino Linotype"/>
          <w:i/>
          <w:sz w:val="22"/>
          <w:szCs w:val="22"/>
        </w:rPr>
        <w:t xml:space="preserve"> o empleo que las motivó.</w:t>
      </w:r>
    </w:p>
    <w:p w14:paraId="6D41A168" w14:textId="77777777" w:rsidR="002377F0" w:rsidRPr="00E7469C" w:rsidRDefault="002377F0">
      <w:pPr>
        <w:shd w:val="clear" w:color="auto" w:fill="FFFFFF"/>
        <w:tabs>
          <w:tab w:val="left" w:pos="7655"/>
        </w:tabs>
        <w:ind w:left="851" w:right="567"/>
        <w:jc w:val="both"/>
        <w:rPr>
          <w:rFonts w:ascii="Palatino Linotype" w:eastAsia="Palatino Linotype" w:hAnsi="Palatino Linotype" w:cs="Palatino Linotype"/>
          <w:i/>
          <w:sz w:val="22"/>
          <w:szCs w:val="22"/>
        </w:rPr>
      </w:pPr>
    </w:p>
    <w:p w14:paraId="09DA080C"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lastRenderedPageBreak/>
        <w:t>Artículo 29.- Las licencias oficiales para la portación de armas pueden ser colectivas o individuales.</w:t>
      </w:r>
    </w:p>
    <w:p w14:paraId="0C73722E"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I. Las licencias colectivas podrán expedirse a:</w:t>
      </w:r>
    </w:p>
    <w:p w14:paraId="43EFFC91"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 Las dependencias oficiales y organismos públicos federales a cuyo cargo se encuentran las instalaciones estratégicas del país.</w:t>
      </w:r>
    </w:p>
    <w:p w14:paraId="68B926CE"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w:t>
      </w:r>
    </w:p>
    <w:p w14:paraId="2212AEC4"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B. Las instituciones policiales</w:t>
      </w:r>
      <w:r w:rsidRPr="00E7469C">
        <w:rPr>
          <w:rFonts w:ascii="Palatino Linotype" w:eastAsia="Palatino Linotype" w:hAnsi="Palatino Linotype" w:cs="Palatino Linotype"/>
          <w:i/>
          <w:sz w:val="22"/>
          <w:szCs w:val="22"/>
        </w:rPr>
        <w:t>. Estas licencias se sujetarán a los lineamientos siguientes:</w:t>
      </w:r>
    </w:p>
    <w:p w14:paraId="41C74755"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 Dichas instituciones deberán cumplir con las disposiciones legales de orden federal o local que resulten aplicables.</w:t>
      </w:r>
    </w:p>
    <w:p w14:paraId="15084F37" w14:textId="77777777" w:rsidR="002377F0" w:rsidRPr="00E7469C" w:rsidRDefault="002377F0">
      <w:pPr>
        <w:shd w:val="clear" w:color="auto" w:fill="FFFFFF"/>
        <w:tabs>
          <w:tab w:val="left" w:pos="7655"/>
        </w:tabs>
        <w:ind w:left="851" w:right="567"/>
        <w:jc w:val="both"/>
        <w:rPr>
          <w:rFonts w:ascii="Palatino Linotype" w:eastAsia="Palatino Linotype" w:hAnsi="Palatino Linotype" w:cs="Palatino Linotype"/>
          <w:i/>
          <w:sz w:val="22"/>
          <w:szCs w:val="22"/>
        </w:rPr>
      </w:pPr>
    </w:p>
    <w:p w14:paraId="7AD3A175" w14:textId="77777777" w:rsidR="002377F0" w:rsidRPr="00E7469C" w:rsidRDefault="008C7182">
      <w:pPr>
        <w:shd w:val="clear" w:color="auto" w:fill="FFFFFF"/>
        <w:tabs>
          <w:tab w:val="left" w:pos="7655"/>
        </w:tabs>
        <w:ind w:left="851" w:right="567"/>
        <w:jc w:val="center"/>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Reglamento de la Ley Federal de Armas de Fuego y Explosivos</w:t>
      </w:r>
    </w:p>
    <w:p w14:paraId="23E5F35A"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“ARTICULO 7o.- La portación de armas</w:t>
      </w:r>
      <w:r w:rsidRPr="00E7469C">
        <w:rPr>
          <w:rFonts w:ascii="Palatino Linotype" w:eastAsia="Palatino Linotype" w:hAnsi="Palatino Linotype" w:cs="Palatino Linotype"/>
          <w:i/>
          <w:sz w:val="22"/>
          <w:szCs w:val="22"/>
        </w:rPr>
        <w:t xml:space="preserve"> se ajustará estrictamente a lo dispuesto en las </w:t>
      </w:r>
      <w:r w:rsidRPr="00E7469C">
        <w:rPr>
          <w:rFonts w:ascii="Palatino Linotype" w:eastAsia="Palatino Linotype" w:hAnsi="Palatino Linotype" w:cs="Palatino Linotype"/>
          <w:b/>
          <w:i/>
          <w:sz w:val="22"/>
          <w:szCs w:val="22"/>
        </w:rPr>
        <w:t>licencias respectivas.</w:t>
      </w:r>
      <w:r w:rsidRPr="00E7469C">
        <w:rPr>
          <w:rFonts w:ascii="Palatino Linotype" w:eastAsia="Palatino Linotype" w:hAnsi="Palatino Linotype" w:cs="Palatino Linotype"/>
          <w:i/>
          <w:sz w:val="22"/>
          <w:szCs w:val="22"/>
        </w:rPr>
        <w:t xml:space="preserve"> </w:t>
      </w:r>
    </w:p>
    <w:p w14:paraId="47B58243" w14:textId="77777777" w:rsidR="002377F0" w:rsidRPr="00E7469C" w:rsidRDefault="002377F0">
      <w:pPr>
        <w:shd w:val="clear" w:color="auto" w:fill="FFFFFF"/>
        <w:tabs>
          <w:tab w:val="left" w:pos="7655"/>
        </w:tabs>
        <w:ind w:left="851" w:right="567"/>
        <w:jc w:val="both"/>
        <w:rPr>
          <w:rFonts w:ascii="Palatino Linotype" w:eastAsia="Palatino Linotype" w:hAnsi="Palatino Linotype" w:cs="Palatino Linotype"/>
          <w:i/>
          <w:sz w:val="22"/>
          <w:szCs w:val="22"/>
        </w:rPr>
      </w:pPr>
    </w:p>
    <w:p w14:paraId="19531185"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22.- Las licencias</w:t>
      </w:r>
      <w:r w:rsidRPr="00E7469C">
        <w:rPr>
          <w:rFonts w:ascii="Palatino Linotype" w:eastAsia="Palatino Linotype" w:hAnsi="Palatino Linotype" w:cs="Palatino Linotype"/>
          <w:i/>
          <w:sz w:val="22"/>
          <w:szCs w:val="22"/>
        </w:rPr>
        <w:t xml:space="preserve"> particulares y las </w:t>
      </w:r>
      <w:r w:rsidRPr="00E7469C">
        <w:rPr>
          <w:rFonts w:ascii="Palatino Linotype" w:eastAsia="Palatino Linotype" w:hAnsi="Palatino Linotype" w:cs="Palatino Linotype"/>
          <w:b/>
          <w:i/>
          <w:sz w:val="22"/>
          <w:szCs w:val="22"/>
        </w:rPr>
        <w:t>oficiales colectivas</w:t>
      </w:r>
      <w:r w:rsidRPr="00E7469C">
        <w:rPr>
          <w:rFonts w:ascii="Palatino Linotype" w:eastAsia="Palatino Linotype" w:hAnsi="Palatino Linotype" w:cs="Palatino Linotype"/>
          <w:i/>
          <w:sz w:val="22"/>
          <w:szCs w:val="22"/>
        </w:rPr>
        <w:t xml:space="preserve"> para la portación de armas, </w:t>
      </w:r>
      <w:r w:rsidRPr="00E7469C">
        <w:rPr>
          <w:rFonts w:ascii="Palatino Linotype" w:eastAsia="Palatino Linotype" w:hAnsi="Palatino Linotype" w:cs="Palatino Linotype"/>
          <w:b/>
          <w:i/>
          <w:sz w:val="22"/>
          <w:szCs w:val="22"/>
        </w:rPr>
        <w:t>serán expedidas exclusivamente por la Secretaría</w:t>
      </w:r>
      <w:r w:rsidRPr="00E7469C">
        <w:rPr>
          <w:rFonts w:ascii="Palatino Linotype" w:eastAsia="Palatino Linotype" w:hAnsi="Palatino Linotype" w:cs="Palatino Linotype"/>
          <w:i/>
          <w:sz w:val="22"/>
          <w:szCs w:val="22"/>
        </w:rPr>
        <w:t>.</w:t>
      </w:r>
    </w:p>
    <w:p w14:paraId="22D3D23E"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Para las licencias particulares se cubrirán anticipadamente los derechos que procedan.</w:t>
      </w:r>
    </w:p>
    <w:p w14:paraId="33354D78"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Los Generales, </w:t>
      </w:r>
      <w:proofErr w:type="gramStart"/>
      <w:r w:rsidRPr="00E7469C">
        <w:rPr>
          <w:rFonts w:ascii="Palatino Linotype" w:eastAsia="Palatino Linotype" w:hAnsi="Palatino Linotype" w:cs="Palatino Linotype"/>
          <w:i/>
          <w:sz w:val="22"/>
          <w:szCs w:val="22"/>
        </w:rPr>
        <w:t>Jefes</w:t>
      </w:r>
      <w:proofErr w:type="gramEnd"/>
      <w:r w:rsidRPr="00E7469C">
        <w:rPr>
          <w:rFonts w:ascii="Palatino Linotype" w:eastAsia="Palatino Linotype" w:hAnsi="Palatino Linotype" w:cs="Palatino Linotype"/>
          <w:i/>
          <w:sz w:val="22"/>
          <w:szCs w:val="22"/>
        </w:rPr>
        <w:t xml:space="preserve"> y Oficiales del Ejército, Fuerza Aérea y Armada de México, que vestidos de civil porten armas, deberán identificarse con su credencial, cuantas veces sean requeridos para ello por autoridad competente.</w:t>
      </w:r>
    </w:p>
    <w:p w14:paraId="1EE9D03C"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Los individuos de tropa en actos fuera del </w:t>
      </w:r>
      <w:proofErr w:type="gramStart"/>
      <w:r w:rsidRPr="00E7469C">
        <w:rPr>
          <w:rFonts w:ascii="Palatino Linotype" w:eastAsia="Palatino Linotype" w:hAnsi="Palatino Linotype" w:cs="Palatino Linotype"/>
          <w:i/>
          <w:sz w:val="22"/>
          <w:szCs w:val="22"/>
        </w:rPr>
        <w:t>servicio,</w:t>
      </w:r>
      <w:proofErr w:type="gramEnd"/>
      <w:r w:rsidRPr="00E7469C">
        <w:rPr>
          <w:rFonts w:ascii="Palatino Linotype" w:eastAsia="Palatino Linotype" w:hAnsi="Palatino Linotype" w:cs="Palatino Linotype"/>
          <w:i/>
          <w:sz w:val="22"/>
          <w:szCs w:val="22"/>
        </w:rPr>
        <w:t xml:space="preserve"> sólo podrán portar armas cuando tengan autorización escrita de la Secretaría de la Defensa Nacional o de Marina, en su caso.</w:t>
      </w:r>
    </w:p>
    <w:p w14:paraId="0AE646E5"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ARTICULO 28</w:t>
      </w:r>
      <w:r w:rsidRPr="00E7469C">
        <w:rPr>
          <w:rFonts w:ascii="Palatino Linotype" w:eastAsia="Palatino Linotype" w:hAnsi="Palatino Linotype" w:cs="Palatino Linotype"/>
          <w:i/>
          <w:sz w:val="22"/>
          <w:szCs w:val="22"/>
        </w:rPr>
        <w:t xml:space="preserve">.- Las </w:t>
      </w:r>
      <w:r w:rsidRPr="00E7469C">
        <w:rPr>
          <w:rFonts w:ascii="Palatino Linotype" w:eastAsia="Palatino Linotype" w:hAnsi="Palatino Linotype" w:cs="Palatino Linotype"/>
          <w:b/>
          <w:i/>
          <w:sz w:val="22"/>
          <w:szCs w:val="22"/>
        </w:rPr>
        <w:t>licencias oficiales</w:t>
      </w:r>
      <w:r w:rsidRPr="00E7469C">
        <w:rPr>
          <w:rFonts w:ascii="Palatino Linotype" w:eastAsia="Palatino Linotype" w:hAnsi="Palatino Linotype" w:cs="Palatino Linotype"/>
          <w:i/>
          <w:sz w:val="22"/>
          <w:szCs w:val="22"/>
        </w:rPr>
        <w:t xml:space="preserve"> y las que se gestionen para empleos o cargos de los Estados o </w:t>
      </w:r>
      <w:r w:rsidRPr="00E7469C">
        <w:rPr>
          <w:rFonts w:ascii="Palatino Linotype" w:eastAsia="Palatino Linotype" w:hAnsi="Palatino Linotype" w:cs="Palatino Linotype"/>
          <w:b/>
          <w:i/>
          <w:sz w:val="22"/>
          <w:szCs w:val="22"/>
        </w:rPr>
        <w:t>de los Municipios</w:t>
      </w:r>
      <w:r w:rsidRPr="00E7469C">
        <w:rPr>
          <w:rFonts w:ascii="Palatino Linotype" w:eastAsia="Palatino Linotype" w:hAnsi="Palatino Linotype" w:cs="Palatino Linotype"/>
          <w:i/>
          <w:sz w:val="22"/>
          <w:szCs w:val="22"/>
        </w:rPr>
        <w:t xml:space="preserve">, se expedirán </w:t>
      </w:r>
      <w:r w:rsidRPr="00E7469C">
        <w:rPr>
          <w:rFonts w:ascii="Palatino Linotype" w:eastAsia="Palatino Linotype" w:hAnsi="Palatino Linotype" w:cs="Palatino Linotype"/>
          <w:b/>
          <w:i/>
          <w:sz w:val="22"/>
          <w:szCs w:val="22"/>
        </w:rPr>
        <w:t>previa petición de la autoridad de quien dependa el interesado</w:t>
      </w:r>
      <w:r w:rsidRPr="00E7469C">
        <w:rPr>
          <w:rFonts w:ascii="Palatino Linotype" w:eastAsia="Palatino Linotype" w:hAnsi="Palatino Linotype" w:cs="Palatino Linotype"/>
          <w:i/>
          <w:sz w:val="22"/>
          <w:szCs w:val="22"/>
        </w:rPr>
        <w:t xml:space="preserve">; en las colectivas, se acompañará, además, constancia o certificado de que el personal para el que se pretende la </w:t>
      </w:r>
      <w:proofErr w:type="gramStart"/>
      <w:r w:rsidRPr="00E7469C">
        <w:rPr>
          <w:rFonts w:ascii="Palatino Linotype" w:eastAsia="Palatino Linotype" w:hAnsi="Palatino Linotype" w:cs="Palatino Linotype"/>
          <w:i/>
          <w:sz w:val="22"/>
          <w:szCs w:val="22"/>
        </w:rPr>
        <w:t>licencia,</w:t>
      </w:r>
      <w:proofErr w:type="gramEnd"/>
      <w:r w:rsidRPr="00E7469C">
        <w:rPr>
          <w:rFonts w:ascii="Palatino Linotype" w:eastAsia="Palatino Linotype" w:hAnsi="Palatino Linotype" w:cs="Palatino Linotype"/>
          <w:i/>
          <w:sz w:val="22"/>
          <w:szCs w:val="22"/>
        </w:rPr>
        <w:t xml:space="preserve"> figura en nóminas de pago.”</w:t>
      </w:r>
    </w:p>
    <w:p w14:paraId="3F3A8267" w14:textId="77777777" w:rsidR="002377F0" w:rsidRPr="00E7469C" w:rsidRDefault="008C7182">
      <w:pPr>
        <w:shd w:val="clear" w:color="auto" w:fill="FFFFFF"/>
        <w:tabs>
          <w:tab w:val="left" w:pos="7655"/>
        </w:tabs>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(Énfasis añadido)</w:t>
      </w:r>
    </w:p>
    <w:p w14:paraId="42A980A2" w14:textId="77777777" w:rsidR="002377F0" w:rsidRPr="00E7469C" w:rsidRDefault="002377F0">
      <w:pPr>
        <w:shd w:val="clear" w:color="auto" w:fill="FFFFFF"/>
        <w:spacing w:line="360" w:lineRule="auto"/>
        <w:jc w:val="both"/>
        <w:rPr>
          <w:rFonts w:ascii="Palatino Linotype" w:eastAsia="Palatino Linotype" w:hAnsi="Palatino Linotype" w:cs="Palatino Linotype"/>
          <w:sz w:val="22"/>
          <w:szCs w:val="22"/>
        </w:rPr>
      </w:pPr>
    </w:p>
    <w:p w14:paraId="7BB8B12C" w14:textId="77777777" w:rsidR="002377F0" w:rsidRPr="00E7469C" w:rsidRDefault="008C7182">
      <w:pPr>
        <w:shd w:val="clear" w:color="auto" w:fill="FFFFFF"/>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Del precepto anterior, tenemos que la Secretaría de la Defensa Nacional (SEDENA) es la autoridad competente para emitir las licencias para portación de armas de fuego, y estas serán, para los efectos que nos ocupan, las correspondientes a las Licencias Oficiales Colectivas, cuyo trámite es a cargo del Titular del Ejecutivo de cada entidad como lo señalan </w:t>
      </w:r>
      <w:r w:rsidRPr="00E7469C">
        <w:rPr>
          <w:rFonts w:ascii="Palatino Linotype" w:eastAsia="Palatino Linotype" w:hAnsi="Palatino Linotype" w:cs="Palatino Linotype"/>
          <w:sz w:val="22"/>
          <w:szCs w:val="22"/>
        </w:rPr>
        <w:lastRenderedPageBreak/>
        <w:t xml:space="preserve">los procedimientos descritos en su portal de internet oficial de la SEDENA, que puede ser consultada a través de la siguiente liga electrónica </w:t>
      </w:r>
      <w:hyperlink r:id="rId70">
        <w:r w:rsidRPr="00E7469C">
          <w:rPr>
            <w:rFonts w:ascii="Palatino Linotype" w:eastAsia="Palatino Linotype" w:hAnsi="Palatino Linotype" w:cs="Palatino Linotype"/>
            <w:sz w:val="22"/>
            <w:szCs w:val="22"/>
            <w:u w:val="single"/>
          </w:rPr>
          <w:t>https://www.gob.mx/sedena/documentos/expedicion-de-una-licencia-oficial-colectiva</w:t>
        </w:r>
      </w:hyperlink>
      <w:r w:rsidRPr="00E7469C">
        <w:rPr>
          <w:rFonts w:ascii="Palatino Linotype" w:eastAsia="Palatino Linotype" w:hAnsi="Palatino Linotype" w:cs="Palatino Linotype"/>
          <w:sz w:val="22"/>
          <w:szCs w:val="22"/>
        </w:rPr>
        <w:t>:</w:t>
      </w:r>
    </w:p>
    <w:p w14:paraId="7771DB85" w14:textId="77777777" w:rsidR="002377F0" w:rsidRPr="00E7469C" w:rsidRDefault="002377F0">
      <w:pPr>
        <w:shd w:val="clear" w:color="auto" w:fill="FFFFFF"/>
        <w:ind w:left="709" w:right="474"/>
        <w:jc w:val="center"/>
        <w:rPr>
          <w:rFonts w:ascii="Palatino Linotype" w:eastAsia="Palatino Linotype" w:hAnsi="Palatino Linotype" w:cs="Palatino Linotype"/>
          <w:b/>
          <w:i/>
          <w:sz w:val="22"/>
          <w:szCs w:val="22"/>
        </w:rPr>
      </w:pPr>
    </w:p>
    <w:p w14:paraId="65FF64F1" w14:textId="77777777" w:rsidR="002377F0" w:rsidRPr="00E7469C" w:rsidRDefault="008C7182">
      <w:pPr>
        <w:shd w:val="clear" w:color="auto" w:fill="FFFFFF"/>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3212A304" wp14:editId="1004AE31">
            <wp:extent cx="5034665" cy="2276649"/>
            <wp:effectExtent l="0" t="0" r="0" b="0"/>
            <wp:docPr id="214492367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1"/>
                    <a:srcRect/>
                    <a:stretch>
                      <a:fillRect/>
                    </a:stretch>
                  </pic:blipFill>
                  <pic:spPr>
                    <a:xfrm>
                      <a:off x="0" y="0"/>
                      <a:ext cx="5034665" cy="2276649"/>
                    </a:xfrm>
                    <a:prstGeom prst="rect">
                      <a:avLst/>
                    </a:prstGeom>
                    <a:ln/>
                  </pic:spPr>
                </pic:pic>
              </a:graphicData>
            </a:graphic>
          </wp:inline>
        </w:drawing>
      </w:r>
    </w:p>
    <w:p w14:paraId="11D0537C" w14:textId="77777777" w:rsidR="002377F0" w:rsidRPr="00E7469C" w:rsidRDefault="002377F0">
      <w:pPr>
        <w:shd w:val="clear" w:color="auto" w:fill="FFFFFF"/>
        <w:spacing w:line="360" w:lineRule="auto"/>
        <w:ind w:left="567" w:right="900"/>
        <w:jc w:val="both"/>
        <w:rPr>
          <w:rFonts w:ascii="Palatino Linotype" w:eastAsia="Palatino Linotype" w:hAnsi="Palatino Linotype" w:cs="Palatino Linotype"/>
          <w:sz w:val="22"/>
          <w:szCs w:val="22"/>
        </w:rPr>
      </w:pPr>
    </w:p>
    <w:p w14:paraId="001F7F09" w14:textId="77777777" w:rsidR="002377F0" w:rsidRPr="00E7469C" w:rsidRDefault="008C7182">
      <w:pPr>
        <w:shd w:val="clear" w:color="auto" w:fill="FFFFFF"/>
        <w:ind w:left="567" w:right="567"/>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i/>
          <w:sz w:val="22"/>
          <w:szCs w:val="22"/>
        </w:rPr>
        <w:t xml:space="preserve">¿Cómo puedo tramitar la expedición de una Licencia Oficial Colectiva? </w:t>
      </w:r>
    </w:p>
    <w:p w14:paraId="53593E95" w14:textId="77777777" w:rsidR="002377F0" w:rsidRPr="00E7469C" w:rsidRDefault="008C7182">
      <w:pPr>
        <w:shd w:val="clear" w:color="auto" w:fill="FFFFFF"/>
        <w:ind w:left="567"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PASO 1.  Reúne todos los requisitos.</w:t>
      </w:r>
    </w:p>
    <w:p w14:paraId="21C2AA75" w14:textId="77777777" w:rsidR="002377F0" w:rsidRPr="00E7469C" w:rsidRDefault="008C7182">
      <w:pPr>
        <w:shd w:val="clear" w:color="auto" w:fill="FFFFFF"/>
        <w:ind w:left="567"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PASO 2. Ingrésalos en la Zona Militar que te corresponda o en el Módulo de Atención al Público del Registro Federal de Armas de Fuego y Control de Explosivos.</w:t>
      </w:r>
    </w:p>
    <w:p w14:paraId="44120194" w14:textId="77777777" w:rsidR="002377F0" w:rsidRPr="00E7469C" w:rsidRDefault="008C7182">
      <w:pPr>
        <w:shd w:val="clear" w:color="auto" w:fill="FFFFFF"/>
        <w:ind w:left="567"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¿Qué documentos necesito y cuáles deben ser sus características?</w:t>
      </w:r>
    </w:p>
    <w:p w14:paraId="01D351A7" w14:textId="77777777" w:rsidR="002377F0" w:rsidRPr="00E7469C" w:rsidRDefault="008C7182">
      <w:pPr>
        <w:numPr>
          <w:ilvl w:val="3"/>
          <w:numId w:val="14"/>
        </w:numPr>
        <w:shd w:val="clear" w:color="auto" w:fill="FFFFFF"/>
        <w:spacing w:line="276" w:lineRule="auto"/>
        <w:ind w:left="851" w:right="567" w:hanging="284"/>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Solicitud de quien sea titular de la gubernatura de la entidad federativa, anexando el acuerdo presidencial en donde se autoriza la creación de una nueva Corporación</w:t>
      </w:r>
      <w:r w:rsidRPr="00E7469C">
        <w:rPr>
          <w:rFonts w:ascii="Palatino Linotype" w:eastAsia="Palatino Linotype" w:hAnsi="Palatino Linotype" w:cs="Palatino Linotype"/>
          <w:i/>
          <w:sz w:val="22"/>
          <w:szCs w:val="22"/>
        </w:rPr>
        <w:t>.</w:t>
      </w:r>
    </w:p>
    <w:p w14:paraId="22F020B4" w14:textId="77777777" w:rsidR="002377F0" w:rsidRPr="00E7469C" w:rsidRDefault="008C7182">
      <w:pPr>
        <w:numPr>
          <w:ilvl w:val="3"/>
          <w:numId w:val="14"/>
        </w:numPr>
        <w:shd w:val="clear" w:color="auto" w:fill="FFFFFF"/>
        <w:spacing w:line="276" w:lineRule="auto"/>
        <w:ind w:left="851" w:right="567" w:hanging="284"/>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u w:val="single"/>
        </w:rPr>
        <w:t>Relación del personal y armamento que estará amparado en la Licencia Oficial Colectiva</w:t>
      </w:r>
      <w:r w:rsidRPr="00E7469C">
        <w:rPr>
          <w:rFonts w:ascii="Palatino Linotype" w:eastAsia="Palatino Linotype" w:hAnsi="Palatino Linotype" w:cs="Palatino Linotype"/>
          <w:i/>
          <w:sz w:val="22"/>
          <w:szCs w:val="22"/>
        </w:rPr>
        <w:t xml:space="preserve"> conforme al modelo 1, 2 y 3, en original y cuatro copias (se anexan formatos), en caso de no contar con armamento deberá </w:t>
      </w:r>
      <w:proofErr w:type="spellStart"/>
      <w:r w:rsidRPr="00E7469C">
        <w:rPr>
          <w:rFonts w:ascii="Palatino Linotype" w:eastAsia="Palatino Linotype" w:hAnsi="Palatino Linotype" w:cs="Palatino Linotype"/>
          <w:i/>
          <w:sz w:val="22"/>
          <w:szCs w:val="22"/>
        </w:rPr>
        <w:t>requisitar</w:t>
      </w:r>
      <w:proofErr w:type="spellEnd"/>
      <w:r w:rsidRPr="00E7469C">
        <w:rPr>
          <w:rFonts w:ascii="Palatino Linotype" w:eastAsia="Palatino Linotype" w:hAnsi="Palatino Linotype" w:cs="Palatino Linotype"/>
          <w:i/>
          <w:sz w:val="22"/>
          <w:szCs w:val="22"/>
        </w:rPr>
        <w:t xml:space="preserve"> los espacios correspondientes con el número cero.</w:t>
      </w:r>
    </w:p>
    <w:p w14:paraId="7123533C" w14:textId="77777777" w:rsidR="002377F0" w:rsidRPr="00E7469C" w:rsidRDefault="008C7182">
      <w:pPr>
        <w:numPr>
          <w:ilvl w:val="3"/>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Archivo electrónico de los modelos citados en programa Excel, sin ningún tipo de protección en celdas, campos, Etc., con el fin de hacer las consultas necesarias.</w:t>
      </w:r>
    </w:p>
    <w:p w14:paraId="733D1E54" w14:textId="77777777" w:rsidR="002377F0" w:rsidRPr="00E7469C" w:rsidRDefault="008C7182">
      <w:pPr>
        <w:numPr>
          <w:ilvl w:val="3"/>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proofErr w:type="gramStart"/>
      <w:r w:rsidRPr="00E7469C">
        <w:rPr>
          <w:rFonts w:ascii="Palatino Linotype" w:eastAsia="Palatino Linotype" w:hAnsi="Palatino Linotype" w:cs="Palatino Linotype"/>
          <w:i/>
          <w:sz w:val="22"/>
          <w:szCs w:val="22"/>
        </w:rPr>
        <w:t>El personal operativo a considerar</w:t>
      </w:r>
      <w:proofErr w:type="gramEnd"/>
      <w:r w:rsidRPr="00E7469C">
        <w:rPr>
          <w:rFonts w:ascii="Palatino Linotype" w:eastAsia="Palatino Linotype" w:hAnsi="Palatino Linotype" w:cs="Palatino Linotype"/>
          <w:i/>
          <w:sz w:val="22"/>
          <w:szCs w:val="22"/>
        </w:rPr>
        <w:t xml:space="preserve"> en la Licencia Oficial </w:t>
      </w:r>
      <w:proofErr w:type="gramStart"/>
      <w:r w:rsidRPr="00E7469C">
        <w:rPr>
          <w:rFonts w:ascii="Palatino Linotype" w:eastAsia="Palatino Linotype" w:hAnsi="Palatino Linotype" w:cs="Palatino Linotype"/>
          <w:i/>
          <w:sz w:val="22"/>
          <w:szCs w:val="22"/>
        </w:rPr>
        <w:t>Colectiva,</w:t>
      </w:r>
      <w:proofErr w:type="gramEnd"/>
      <w:r w:rsidRPr="00E7469C">
        <w:rPr>
          <w:rFonts w:ascii="Palatino Linotype" w:eastAsia="Palatino Linotype" w:hAnsi="Palatino Linotype" w:cs="Palatino Linotype"/>
          <w:i/>
          <w:sz w:val="22"/>
          <w:szCs w:val="22"/>
        </w:rPr>
        <w:t xml:space="preserve"> deberá cumplir en todo momento con la totalidad de los primeros 5 requisitos establecidos en el Art. </w:t>
      </w:r>
      <w:r w:rsidRPr="00E7469C">
        <w:rPr>
          <w:rFonts w:ascii="Palatino Linotype" w:eastAsia="Palatino Linotype" w:hAnsi="Palatino Linotype" w:cs="Palatino Linotype"/>
          <w:i/>
          <w:sz w:val="22"/>
          <w:szCs w:val="22"/>
        </w:rPr>
        <w:lastRenderedPageBreak/>
        <w:t>26 Fracc. I de la Ley Federal de Armas de Fuego y Explosivos, mismos que a continuación se describen:</w:t>
      </w:r>
    </w:p>
    <w:p w14:paraId="0AC16E56"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Tener un modo honesto de vivir.</w:t>
      </w:r>
    </w:p>
    <w:p w14:paraId="39B2896C"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Haber cumplido los obligados con el Servicio Militar Nacional.</w:t>
      </w:r>
    </w:p>
    <w:p w14:paraId="114EC636"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No tener impedimento físico y mental para el manejo de las armas.</w:t>
      </w:r>
    </w:p>
    <w:p w14:paraId="1616AE28"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No haber sido condenado por delito cometido con el empleo de armas de fuego.</w:t>
      </w:r>
    </w:p>
    <w:p w14:paraId="7F23F245"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No consumir drogas enervantes o psicotrópicos.</w:t>
      </w:r>
    </w:p>
    <w:p w14:paraId="211234AF"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caso de contar con armamento deberá remitir copia de los folios de manifestación “C” y “D” del armamento registrado a nombre de la corporación de que se trate.</w:t>
      </w:r>
    </w:p>
    <w:p w14:paraId="527BDB8A"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Los certificados médico, físico, psicológico y </w:t>
      </w:r>
      <w:proofErr w:type="gramStart"/>
      <w:r w:rsidRPr="00E7469C">
        <w:rPr>
          <w:rFonts w:ascii="Palatino Linotype" w:eastAsia="Palatino Linotype" w:hAnsi="Palatino Linotype" w:cs="Palatino Linotype"/>
          <w:i/>
          <w:sz w:val="22"/>
          <w:szCs w:val="22"/>
        </w:rPr>
        <w:t>toxicológico,</w:t>
      </w:r>
      <w:proofErr w:type="gramEnd"/>
      <w:r w:rsidRPr="00E7469C">
        <w:rPr>
          <w:rFonts w:ascii="Palatino Linotype" w:eastAsia="Palatino Linotype" w:hAnsi="Palatino Linotype" w:cs="Palatino Linotype"/>
          <w:i/>
          <w:sz w:val="22"/>
          <w:szCs w:val="22"/>
        </w:rPr>
        <w:t xml:space="preserve"> deberán ser elaborados de conformidad con los formatos publicados en el Diario Oficial de la Federación el 12 de enero de 2004.</w:t>
      </w:r>
    </w:p>
    <w:p w14:paraId="74A21F49"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Formato de la credencial que se expedirá al personal operativo.</w:t>
      </w:r>
    </w:p>
    <w:p w14:paraId="0A9731C7" w14:textId="77777777" w:rsidR="002377F0" w:rsidRPr="00E7469C" w:rsidRDefault="008C7182">
      <w:pPr>
        <w:numPr>
          <w:ilvl w:val="4"/>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Aprobar la visita de inspección que realice el personal militar a las instalaciones en donde se resguarda o resguardara el armamento, a fin de determinar si cumplen con las medidas de seguridad y control necesarias para tal fin.</w:t>
      </w:r>
    </w:p>
    <w:p w14:paraId="655D5550" w14:textId="77777777" w:rsidR="002377F0" w:rsidRPr="00E7469C" w:rsidRDefault="008C7182">
      <w:pPr>
        <w:shd w:val="clear" w:color="auto" w:fill="FFFFFF"/>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¿Qué procedimiento deberás seguir?</w:t>
      </w:r>
    </w:p>
    <w:p w14:paraId="489EDCD7" w14:textId="77777777" w:rsidR="002377F0" w:rsidRPr="00E7469C" w:rsidRDefault="008C7182">
      <w:pPr>
        <w:numPr>
          <w:ilvl w:val="6"/>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14:paraId="118B0AD6" w14:textId="77777777" w:rsidR="002377F0" w:rsidRPr="00E7469C" w:rsidRDefault="008C7182">
      <w:pPr>
        <w:numPr>
          <w:ilvl w:val="6"/>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la Zona Militar o en el Módulo de Atención al Público recaba el acuse de recibo de tu trámite, mediante el sello correspondiente.</w:t>
      </w:r>
    </w:p>
    <w:p w14:paraId="1E2B6858" w14:textId="77777777" w:rsidR="002377F0" w:rsidRPr="00E7469C" w:rsidRDefault="008C7182">
      <w:pPr>
        <w:numPr>
          <w:ilvl w:val="6"/>
          <w:numId w:val="14"/>
        </w:numPr>
        <w:shd w:val="clear" w:color="auto" w:fill="FFFFFF"/>
        <w:spacing w:line="276" w:lineRule="auto"/>
        <w:ind w:left="851" w:right="567" w:hanging="283"/>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Consulta directamente en el Módulo de Atención al Público o a través de los medios electrónicos, sobre el curso de tu trámite.</w:t>
      </w:r>
    </w:p>
    <w:p w14:paraId="024EBF14" w14:textId="77777777" w:rsidR="002377F0" w:rsidRPr="00E7469C" w:rsidRDefault="008C7182">
      <w:pPr>
        <w:numPr>
          <w:ilvl w:val="6"/>
          <w:numId w:val="14"/>
        </w:numPr>
        <w:shd w:val="clear" w:color="auto" w:fill="FFFFFF"/>
        <w:spacing w:line="276" w:lineRule="auto"/>
        <w:ind w:left="851" w:right="567" w:hanging="140"/>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caso de que se te comunique que el trámite resultó autorizado, asiste al Módulo de Atención al Público del Registro Federal de Armas de Fuego y Control de Explosivos con identificación oficial vigente para recoger el oficio de autorización de la Licencia.</w:t>
      </w:r>
    </w:p>
    <w:p w14:paraId="2205243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A4AB2B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esta forma podemos relacionar lo descrito con anterioridad, con el </w:t>
      </w:r>
      <w:r w:rsidRPr="00E7469C">
        <w:rPr>
          <w:rFonts w:ascii="Palatino Linotype" w:eastAsia="Palatino Linotype" w:hAnsi="Palatino Linotype" w:cs="Palatino Linotype"/>
          <w:i/>
          <w:sz w:val="22"/>
          <w:szCs w:val="22"/>
        </w:rPr>
        <w:t xml:space="preserve">Acuerdo por el que se establecen los lineamientos para la Adquisición, Asignación, Uso y Custodia, Portación y Baja de </w:t>
      </w:r>
      <w:r w:rsidRPr="00E7469C">
        <w:rPr>
          <w:rFonts w:ascii="Palatino Linotype" w:eastAsia="Palatino Linotype" w:hAnsi="Palatino Linotype" w:cs="Palatino Linotype"/>
          <w:i/>
          <w:sz w:val="22"/>
          <w:szCs w:val="22"/>
        </w:rPr>
        <w:lastRenderedPageBreak/>
        <w:t>armamento incluido en la Licencia Oficial Colectiva número 139</w:t>
      </w:r>
      <w:r w:rsidRPr="00E7469C">
        <w:rPr>
          <w:rFonts w:ascii="Palatino Linotype" w:eastAsia="Palatino Linotype" w:hAnsi="Palatino Linotype" w:cs="Palatino Linotype"/>
          <w:sz w:val="22"/>
          <w:szCs w:val="22"/>
        </w:rPr>
        <w:t xml:space="preserve"> particularmente con lo señalado en el considerando tercero y cuarto, mismos que disponen:</w:t>
      </w:r>
    </w:p>
    <w:p w14:paraId="5EB7D0F4" w14:textId="77777777" w:rsidR="002377F0" w:rsidRPr="00E7469C" w:rsidRDefault="008C7182">
      <w:pPr>
        <w:spacing w:line="276" w:lineRule="auto"/>
        <w:ind w:left="851" w:right="474"/>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roofErr w:type="gramStart"/>
      <w:r w:rsidRPr="00E7469C">
        <w:rPr>
          <w:rFonts w:ascii="Palatino Linotype" w:eastAsia="Palatino Linotype" w:hAnsi="Palatino Linotype" w:cs="Palatino Linotype"/>
          <w:i/>
          <w:sz w:val="22"/>
          <w:szCs w:val="22"/>
        </w:rPr>
        <w:t>Que</w:t>
      </w:r>
      <w:proofErr w:type="gramEnd"/>
      <w:r w:rsidRPr="00E7469C">
        <w:rPr>
          <w:rFonts w:ascii="Palatino Linotype" w:eastAsia="Palatino Linotype" w:hAnsi="Palatino Linotype" w:cs="Palatino Linotype"/>
          <w:i/>
          <w:sz w:val="22"/>
          <w:szCs w:val="22"/>
        </w:rPr>
        <w:t xml:space="preserve"> en términos de lo dispuesto por la </w:t>
      </w:r>
      <w:r w:rsidRPr="00E7469C">
        <w:rPr>
          <w:rFonts w:ascii="Palatino Linotype" w:eastAsia="Palatino Linotype" w:hAnsi="Palatino Linotype" w:cs="Palatino Linotype"/>
          <w:b/>
          <w:i/>
          <w:sz w:val="22"/>
          <w:szCs w:val="22"/>
        </w:rPr>
        <w:t>Ley de Seguridad Pública Preventiva del Estado de México, la Dirección General de Segundad Pública y Tránsito del Estado de México, es una autoridad estatal en materia de seguridad pública preventiva</w:t>
      </w:r>
      <w:r w:rsidRPr="00E7469C">
        <w:rPr>
          <w:rFonts w:ascii="Palatino Linotype" w:eastAsia="Palatino Linotype" w:hAnsi="Palatino Linotype" w:cs="Palatino Linotype"/>
          <w:i/>
          <w:sz w:val="22"/>
          <w:szCs w:val="22"/>
        </w:rPr>
        <w:t xml:space="preserve">, a la cual le corresponde, entre otras atribuciones, vigilar el cumplimiento de las leyes, reglamentos, acuerdos, convenios y demás disposiciones referentes a la Seguridad Pública Preventiva </w:t>
      </w:r>
    </w:p>
    <w:p w14:paraId="4CD807BE" w14:textId="77777777" w:rsidR="002377F0" w:rsidRPr="00E7469C" w:rsidRDefault="008C7182">
      <w:pPr>
        <w:spacing w:line="276" w:lineRule="auto"/>
        <w:ind w:left="851" w:right="474"/>
        <w:jc w:val="both"/>
        <w:rPr>
          <w:rFonts w:ascii="Palatino Linotype" w:eastAsia="Palatino Linotype" w:hAnsi="Palatino Linotype" w:cs="Palatino Linotype"/>
          <w:i/>
          <w:sz w:val="22"/>
          <w:szCs w:val="22"/>
        </w:rPr>
      </w:pPr>
      <w:proofErr w:type="gramStart"/>
      <w:r w:rsidRPr="00E7469C">
        <w:rPr>
          <w:rFonts w:ascii="Palatino Linotype" w:eastAsia="Palatino Linotype" w:hAnsi="Palatino Linotype" w:cs="Palatino Linotype"/>
          <w:i/>
          <w:sz w:val="22"/>
          <w:szCs w:val="22"/>
        </w:rPr>
        <w:t>Que</w:t>
      </w:r>
      <w:proofErr w:type="gramEnd"/>
      <w:r w:rsidRPr="00E7469C">
        <w:rPr>
          <w:rFonts w:ascii="Palatino Linotype" w:eastAsia="Palatino Linotype" w:hAnsi="Palatino Linotype" w:cs="Palatino Linotype"/>
          <w:i/>
          <w:sz w:val="22"/>
          <w:szCs w:val="22"/>
        </w:rPr>
        <w:t xml:space="preserve"> en el marco de la Ley Federal de Armas de Fuego y Explosivos, </w:t>
      </w:r>
      <w:r w:rsidRPr="00E7469C">
        <w:rPr>
          <w:rFonts w:ascii="Palatino Linotype" w:eastAsia="Palatino Linotype" w:hAnsi="Palatino Linotype" w:cs="Palatino Linotype"/>
          <w:b/>
          <w:i/>
          <w:sz w:val="22"/>
          <w:szCs w:val="22"/>
        </w:rPr>
        <w:t>la Secretaría de la Defensa Nacional otorgó al Gobierno del Estado de México, a través de la Dirección General de Seguridad Pública y Tránsito, la Licencia Oficial Colectiva No. 139</w:t>
      </w:r>
      <w:r w:rsidRPr="00E7469C">
        <w:rPr>
          <w:rFonts w:ascii="Palatino Linotype" w:eastAsia="Palatino Linotype" w:hAnsi="Palatino Linotype" w:cs="Palatino Linotype"/>
          <w:i/>
          <w:sz w:val="22"/>
          <w:szCs w:val="22"/>
        </w:rPr>
        <w:t xml:space="preserve"> mediante la cual se concede el permiso para la portación de armas de fuego a los Cuerpos de Seguridad Pública Preventiva.”</w:t>
      </w:r>
    </w:p>
    <w:p w14:paraId="16ADDB7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6C93D1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se advierte que el Gobierno del Estado de México cuenta con una Licencia Oficial Colectiva para la portación y uso de armas de fuego; no obstante, atendiendo a que en el caso se requiere el inventario de armas de fuego con que cuenta el Ayuntamiento de Atlacomulco, es necesario determinar cuál es el documento que se asimila o que da cuenta de que lo requerido, debemos atender lo que disponen los diversos cuerpos normativos que regulan la portación de armas en el Estado de México y sus Municipios.</w:t>
      </w:r>
    </w:p>
    <w:p w14:paraId="1139ABE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C84326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Dicho lo anterior, la Ley de Seguridad del Estado de México en su artículo 21, fracción XXVII, establece que los </w:t>
      </w:r>
      <w:proofErr w:type="gramStart"/>
      <w:r w:rsidRPr="00E7469C">
        <w:rPr>
          <w:rFonts w:ascii="Palatino Linotype" w:eastAsia="Palatino Linotype" w:hAnsi="Palatino Linotype" w:cs="Palatino Linotype"/>
          <w:sz w:val="22"/>
          <w:szCs w:val="22"/>
        </w:rPr>
        <w:t>Presidentes</w:t>
      </w:r>
      <w:proofErr w:type="gramEnd"/>
      <w:r w:rsidRPr="00E7469C">
        <w:rPr>
          <w:rFonts w:ascii="Palatino Linotype" w:eastAsia="Palatino Linotype" w:hAnsi="Palatino Linotype" w:cs="Palatino Linotype"/>
          <w:sz w:val="22"/>
          <w:szCs w:val="22"/>
        </w:rPr>
        <w:t xml:space="preserve"> Municipales, tendrán dentro de sus atribuciones, la de </w:t>
      </w:r>
      <w:r w:rsidRPr="00E7469C">
        <w:rPr>
          <w:rFonts w:ascii="Palatino Linotype" w:eastAsia="Palatino Linotype" w:hAnsi="Palatino Linotype" w:cs="Palatino Linotype"/>
          <w:b/>
          <w:sz w:val="22"/>
          <w:szCs w:val="22"/>
          <w:u w:val="single"/>
        </w:rPr>
        <w:t>satisfacer oportunamente los requerimientos que le sean solicitados por la Secretaría, para el registro y actualización de la licencia colectiva para la portación de armas de fuego de los integrantes de las instituciones policiales a su cargo</w:t>
      </w:r>
      <w:r w:rsidRPr="00E7469C">
        <w:rPr>
          <w:rFonts w:ascii="Palatino Linotype" w:eastAsia="Palatino Linotype" w:hAnsi="Palatino Linotype" w:cs="Palatino Linotype"/>
          <w:sz w:val="22"/>
          <w:szCs w:val="22"/>
        </w:rPr>
        <w:t>.</w:t>
      </w:r>
    </w:p>
    <w:p w14:paraId="268F6F5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7AE49AB"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Con relación a lo anterior, el Acuerdo por el que se Establecen los Lineamientos para la Adquisición, Asignación, Uso y Custodia, Portación y Baja de Armamento incluido en la Licencia Oficial Colectiva número 139, dispone lo siguiente: </w:t>
      </w:r>
    </w:p>
    <w:p w14:paraId="244D1DC2"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1E9B4A32" wp14:editId="467A2313">
            <wp:extent cx="5756275" cy="3837940"/>
            <wp:effectExtent l="0" t="0" r="0" b="0"/>
            <wp:docPr id="214492367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2"/>
                    <a:srcRect/>
                    <a:stretch>
                      <a:fillRect/>
                    </a:stretch>
                  </pic:blipFill>
                  <pic:spPr>
                    <a:xfrm>
                      <a:off x="0" y="0"/>
                      <a:ext cx="5756275" cy="3837940"/>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5408" behindDoc="0" locked="0" layoutInCell="1" hidden="0" allowOverlap="1" wp14:anchorId="56A0719C" wp14:editId="6433421D">
                <wp:simplePos x="0" y="0"/>
                <wp:positionH relativeFrom="column">
                  <wp:posOffset>-165734</wp:posOffset>
                </wp:positionH>
                <wp:positionV relativeFrom="paragraph">
                  <wp:posOffset>3186430</wp:posOffset>
                </wp:positionV>
                <wp:extent cx="5867400" cy="600075"/>
                <wp:effectExtent l="0" t="0" r="0" b="0"/>
                <wp:wrapNone/>
                <wp:docPr id="2144923605" name="Rectángulo 2144923605"/>
                <wp:cNvGraphicFramePr/>
                <a:graphic xmlns:a="http://schemas.openxmlformats.org/drawingml/2006/main">
                  <a:graphicData uri="http://schemas.microsoft.com/office/word/2010/wordprocessingShape">
                    <wps:wsp>
                      <wps:cNvSpPr/>
                      <wps:spPr>
                        <a:xfrm>
                          <a:off x="2421825" y="3489488"/>
                          <a:ext cx="5848350" cy="581025"/>
                        </a:xfrm>
                        <a:prstGeom prst="rect">
                          <a:avLst/>
                        </a:prstGeom>
                        <a:noFill/>
                        <a:ln w="19050" cap="flat" cmpd="sng">
                          <a:solidFill>
                            <a:srgbClr val="FF0000"/>
                          </a:solidFill>
                          <a:prstDash val="solid"/>
                          <a:miter lim="800000"/>
                          <a:headEnd type="none" w="sm" len="sm"/>
                          <a:tailEnd type="none" w="sm" len="sm"/>
                        </a:ln>
                      </wps:spPr>
                      <wps:txbx>
                        <w:txbxContent>
                          <w:p w14:paraId="4309D9AC"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56A0719C" id="Rectángulo 2144923605" o:spid="_x0000_s1033" style="position:absolute;left:0;text-align:left;margin-left:-13.05pt;margin-top:250.9pt;width:462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" filled="f" strokecolor="red" strokeweight="1.5pt">
                <v:stroke startarrowwidth="narrow" startarrowlength="short" endarrowwidth="narrow" endarrowlength="short"/>
                <v:textbox inset="2.53958mm,2.53958mm,2.53958mm,2.53958mm">
                  <w:txbxContent>
                    <w:p w14:paraId="4309D9AC" w14:textId="77777777" w:rsidR="002377F0" w:rsidRDefault="002377F0">
                      <w:pPr>
                        <w:textDirection w:val="btLr"/>
                      </w:pPr>
                    </w:p>
                  </w:txbxContent>
                </v:textbox>
              </v:rect>
            </w:pict>
          </mc:Fallback>
        </mc:AlternateContent>
      </w:r>
    </w:p>
    <w:p w14:paraId="3D7B5FE3"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1D7C4793" wp14:editId="43D2A19A">
            <wp:extent cx="5572125" cy="3038475"/>
            <wp:effectExtent l="0" t="0" r="0" b="0"/>
            <wp:docPr id="214492367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3"/>
                    <a:srcRect/>
                    <a:stretch>
                      <a:fillRect/>
                    </a:stretch>
                  </pic:blipFill>
                  <pic:spPr>
                    <a:xfrm>
                      <a:off x="0" y="0"/>
                      <a:ext cx="5572125" cy="3038475"/>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6432" behindDoc="0" locked="0" layoutInCell="1" hidden="0" allowOverlap="1" wp14:anchorId="028E6A90" wp14:editId="2C9AD315">
                <wp:simplePos x="0" y="0"/>
                <wp:positionH relativeFrom="column">
                  <wp:posOffset>-57147</wp:posOffset>
                </wp:positionH>
                <wp:positionV relativeFrom="paragraph">
                  <wp:posOffset>552450</wp:posOffset>
                </wp:positionV>
                <wp:extent cx="5776463" cy="842153"/>
                <wp:effectExtent l="0" t="0" r="0" b="0"/>
                <wp:wrapNone/>
                <wp:docPr id="2144923613" name="Rectángulo 2144923613"/>
                <wp:cNvGraphicFramePr/>
                <a:graphic xmlns:a="http://schemas.openxmlformats.org/drawingml/2006/main">
                  <a:graphicData uri="http://schemas.microsoft.com/office/word/2010/wordprocessingShape">
                    <wps:wsp>
                      <wps:cNvSpPr/>
                      <wps:spPr>
                        <a:xfrm>
                          <a:off x="2486344" y="3387499"/>
                          <a:ext cx="5719313" cy="785003"/>
                        </a:xfrm>
                        <a:prstGeom prst="rect">
                          <a:avLst/>
                        </a:prstGeom>
                        <a:noFill/>
                        <a:ln w="19050" cap="flat" cmpd="sng">
                          <a:solidFill>
                            <a:srgbClr val="FF0000"/>
                          </a:solidFill>
                          <a:prstDash val="solid"/>
                          <a:miter lim="800000"/>
                          <a:headEnd type="none" w="sm" len="sm"/>
                          <a:tailEnd type="none" w="sm" len="sm"/>
                        </a:ln>
                      </wps:spPr>
                      <wps:txbx>
                        <w:txbxContent>
                          <w:p w14:paraId="0302A0A1"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028E6A90" id="Rectángulo 2144923613" o:spid="_x0000_s1034" style="position:absolute;left:0;text-align:left;margin-left:-4.5pt;margin-top:43.5pt;width:454.85pt;height:6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" filled="f" strokecolor="red" strokeweight="1.5pt">
                <v:stroke startarrowwidth="narrow" startarrowlength="short" endarrowwidth="narrow" endarrowlength="short"/>
                <v:textbox inset="2.53958mm,2.53958mm,2.53958mm,2.53958mm">
                  <w:txbxContent>
                    <w:p w14:paraId="0302A0A1" w14:textId="77777777" w:rsidR="002377F0" w:rsidRDefault="002377F0">
                      <w:pPr>
                        <w:textDirection w:val="btLr"/>
                      </w:pPr>
                    </w:p>
                  </w:txbxContent>
                </v:textbox>
              </v:rect>
            </w:pict>
          </mc:Fallback>
        </mc:AlternateContent>
      </w:r>
    </w:p>
    <w:p w14:paraId="411A5B16"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4AA08C05" wp14:editId="0C287FED">
            <wp:extent cx="5592603" cy="1991007"/>
            <wp:effectExtent l="3175" t="3175" r="3175" b="3175"/>
            <wp:docPr id="214492367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4"/>
                    <a:srcRect/>
                    <a:stretch>
                      <a:fillRect/>
                    </a:stretch>
                  </pic:blipFill>
                  <pic:spPr>
                    <a:xfrm>
                      <a:off x="0" y="0"/>
                      <a:ext cx="5592603" cy="1991007"/>
                    </a:xfrm>
                    <a:prstGeom prst="rect">
                      <a:avLst/>
                    </a:prstGeom>
                    <a:ln w="3175">
                      <a:solidFill>
                        <a:srgbClr val="000000"/>
                      </a:solidFill>
                      <a:prstDash val="solid"/>
                    </a:ln>
                  </pic:spPr>
                </pic:pic>
              </a:graphicData>
            </a:graphic>
          </wp:inline>
        </w:drawing>
      </w:r>
    </w:p>
    <w:p w14:paraId="2B2529BE"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08C04DFD" wp14:editId="547CA0CD">
            <wp:extent cx="5483545" cy="3623833"/>
            <wp:effectExtent l="3175" t="3175" r="3175" b="3175"/>
            <wp:docPr id="214492367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5"/>
                    <a:srcRect/>
                    <a:stretch>
                      <a:fillRect/>
                    </a:stretch>
                  </pic:blipFill>
                  <pic:spPr>
                    <a:xfrm>
                      <a:off x="0" y="0"/>
                      <a:ext cx="5483545" cy="3623833"/>
                    </a:xfrm>
                    <a:prstGeom prst="rect">
                      <a:avLst/>
                    </a:prstGeom>
                    <a:ln w="3175">
                      <a:solidFill>
                        <a:srgbClr val="000000"/>
                      </a:solidFill>
                      <a:prstDash val="solid"/>
                    </a:ln>
                  </pic:spPr>
                </pic:pic>
              </a:graphicData>
            </a:graphic>
          </wp:inline>
        </w:drawing>
      </w:r>
      <w:r w:rsidRPr="00E7469C">
        <w:rPr>
          <w:noProof/>
          <w:lang w:val="es-MX"/>
        </w:rPr>
        <mc:AlternateContent>
          <mc:Choice Requires="wps">
            <w:drawing>
              <wp:anchor distT="0" distB="0" distL="114300" distR="114300" simplePos="0" relativeHeight="251667456" behindDoc="0" locked="0" layoutInCell="1" hidden="0" allowOverlap="1" wp14:anchorId="4C31B3A9" wp14:editId="29C63668">
                <wp:simplePos x="0" y="0"/>
                <wp:positionH relativeFrom="column">
                  <wp:posOffset>57153</wp:posOffset>
                </wp:positionH>
                <wp:positionV relativeFrom="paragraph">
                  <wp:posOffset>3003550</wp:posOffset>
                </wp:positionV>
                <wp:extent cx="5396901" cy="609240"/>
                <wp:effectExtent l="0" t="0" r="0" b="0"/>
                <wp:wrapNone/>
                <wp:docPr id="2144923611" name="Rectángulo 2144923611"/>
                <wp:cNvGraphicFramePr/>
                <a:graphic xmlns:a="http://schemas.openxmlformats.org/drawingml/2006/main">
                  <a:graphicData uri="http://schemas.microsoft.com/office/word/2010/wordprocessingShape">
                    <wps:wsp>
                      <wps:cNvSpPr/>
                      <wps:spPr>
                        <a:xfrm>
                          <a:off x="2676125" y="3503955"/>
                          <a:ext cx="5339751" cy="552090"/>
                        </a:xfrm>
                        <a:prstGeom prst="rect">
                          <a:avLst/>
                        </a:prstGeom>
                        <a:noFill/>
                        <a:ln w="19050" cap="flat" cmpd="sng">
                          <a:solidFill>
                            <a:srgbClr val="FF0000"/>
                          </a:solidFill>
                          <a:prstDash val="solid"/>
                          <a:miter lim="800000"/>
                          <a:headEnd type="none" w="sm" len="sm"/>
                          <a:tailEnd type="none" w="sm" len="sm"/>
                        </a:ln>
                      </wps:spPr>
                      <wps:txbx>
                        <w:txbxContent>
                          <w:p w14:paraId="1D05918B"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4C31B3A9" id="Rectángulo 2144923611" o:spid="_x0000_s1035" style="position:absolute;left:0;text-align:left;margin-left:4.5pt;margin-top:236.5pt;width:424.95pt;height:47.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" filled="f" strokecolor="red" strokeweight="1.5pt">
                <v:stroke startarrowwidth="narrow" startarrowlength="short" endarrowwidth="narrow" endarrowlength="short"/>
                <v:textbox inset="2.53958mm,2.53958mm,2.53958mm,2.53958mm">
                  <w:txbxContent>
                    <w:p w14:paraId="1D05918B" w14:textId="77777777" w:rsidR="002377F0" w:rsidRDefault="002377F0">
                      <w:pPr>
                        <w:textDirection w:val="btLr"/>
                      </w:pPr>
                    </w:p>
                  </w:txbxContent>
                </v:textbox>
              </v:rect>
            </w:pict>
          </mc:Fallback>
        </mc:AlternateContent>
      </w:r>
    </w:p>
    <w:p w14:paraId="4BBF3431"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lo anteriormente citado, se abordan a las siguientes conclusiones:</w:t>
      </w:r>
    </w:p>
    <w:p w14:paraId="0142114C"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9E4DC0" w14:textId="77777777" w:rsidR="002377F0" w:rsidRPr="00E7469C" w:rsidRDefault="008C7182">
      <w:pPr>
        <w:numPr>
          <w:ilvl w:val="0"/>
          <w:numId w:val="15"/>
        </w:numPr>
        <w:pBdr>
          <w:top w:val="nil"/>
          <w:left w:val="nil"/>
          <w:bottom w:val="nil"/>
          <w:right w:val="nil"/>
          <w:between w:val="nil"/>
        </w:pBdr>
        <w:spacing w:line="360" w:lineRule="auto"/>
        <w:ind w:left="360" w:right="1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Los presidentes municipales que requieran armamento para sus cuerpos de seguridad pública deberán formular su petición al Titular del Poder Ejecutivo del Estado de México, solicitando gestionar ante la SEDENA el otorgamiento para la adquisición de armas y municiones. </w:t>
      </w:r>
    </w:p>
    <w:p w14:paraId="7A19A0FB" w14:textId="77777777" w:rsidR="002377F0" w:rsidRPr="00E7469C" w:rsidRDefault="008C7182">
      <w:pPr>
        <w:numPr>
          <w:ilvl w:val="0"/>
          <w:numId w:val="15"/>
        </w:numPr>
        <w:pBdr>
          <w:top w:val="nil"/>
          <w:left w:val="nil"/>
          <w:bottom w:val="nil"/>
          <w:right w:val="nil"/>
          <w:between w:val="nil"/>
        </w:pBdr>
        <w:spacing w:line="360" w:lineRule="auto"/>
        <w:ind w:left="360" w:right="1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La Dirección General de Seguridad Pública emitirá el dictamen respecto de la procedencia o improcedencia de las solicitudes de armamento requerido; cuando se determine procedente, la Dirección General </w:t>
      </w:r>
      <w:proofErr w:type="gramStart"/>
      <w:r w:rsidRPr="00E7469C">
        <w:rPr>
          <w:rFonts w:ascii="Palatino Linotype" w:eastAsia="Palatino Linotype" w:hAnsi="Palatino Linotype" w:cs="Palatino Linotype"/>
          <w:sz w:val="22"/>
          <w:szCs w:val="22"/>
        </w:rPr>
        <w:t>le</w:t>
      </w:r>
      <w:proofErr w:type="gramEnd"/>
      <w:r w:rsidRPr="00E7469C">
        <w:rPr>
          <w:rFonts w:ascii="Palatino Linotype" w:eastAsia="Palatino Linotype" w:hAnsi="Palatino Linotype" w:cs="Palatino Linotype"/>
          <w:sz w:val="22"/>
          <w:szCs w:val="22"/>
        </w:rPr>
        <w:t xml:space="preserve"> indicará a los presidentes municipales la cotización de dichos bienes y los términos de pago.</w:t>
      </w:r>
    </w:p>
    <w:p w14:paraId="4441A782" w14:textId="77777777" w:rsidR="002377F0" w:rsidRPr="00E7469C" w:rsidRDefault="008C7182">
      <w:pPr>
        <w:numPr>
          <w:ilvl w:val="0"/>
          <w:numId w:val="15"/>
        </w:numPr>
        <w:pBdr>
          <w:top w:val="nil"/>
          <w:left w:val="nil"/>
          <w:bottom w:val="nil"/>
          <w:right w:val="nil"/>
          <w:between w:val="nil"/>
        </w:pBdr>
        <w:spacing w:line="360" w:lineRule="auto"/>
        <w:ind w:left="360" w:right="1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El municipio deberá cubrir a la SEDENA, a través de la Dirección General, en un plazo no mayor a 15 días hábiles, a partir de ser notificado por esta, el importe a su cargo </w:t>
      </w:r>
      <w:r w:rsidRPr="00E7469C">
        <w:rPr>
          <w:rFonts w:ascii="Palatino Linotype" w:eastAsia="Palatino Linotype" w:hAnsi="Palatino Linotype" w:cs="Palatino Linotype"/>
          <w:sz w:val="22"/>
          <w:szCs w:val="22"/>
        </w:rPr>
        <w:lastRenderedPageBreak/>
        <w:t>por concepto de permiso extraordinario por adquisición de armamento, así como los derechos prestados por el registro de armamento en la Licencia.</w:t>
      </w:r>
    </w:p>
    <w:p w14:paraId="25C3F67A" w14:textId="77777777" w:rsidR="002377F0" w:rsidRPr="00E7469C" w:rsidRDefault="008C7182">
      <w:pPr>
        <w:numPr>
          <w:ilvl w:val="0"/>
          <w:numId w:val="15"/>
        </w:numPr>
        <w:pBdr>
          <w:top w:val="nil"/>
          <w:left w:val="nil"/>
          <w:bottom w:val="nil"/>
          <w:right w:val="nil"/>
          <w:between w:val="nil"/>
        </w:pBdr>
        <w:spacing w:line="360" w:lineRule="auto"/>
        <w:ind w:left="360" w:right="134"/>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Las autoridades municipales que requieran armamento deberán formular su solicitud al </w:t>
      </w:r>
      <w:proofErr w:type="gramStart"/>
      <w:r w:rsidRPr="00E7469C">
        <w:rPr>
          <w:rFonts w:ascii="Palatino Linotype" w:eastAsia="Palatino Linotype" w:hAnsi="Palatino Linotype" w:cs="Palatino Linotype"/>
          <w:b/>
          <w:sz w:val="22"/>
          <w:szCs w:val="22"/>
        </w:rPr>
        <w:t>Secretario General</w:t>
      </w:r>
      <w:proofErr w:type="gramEnd"/>
      <w:r w:rsidRPr="00E7469C">
        <w:rPr>
          <w:rFonts w:ascii="Palatino Linotype" w:eastAsia="Palatino Linotype" w:hAnsi="Palatino Linotype" w:cs="Palatino Linotype"/>
          <w:b/>
          <w:sz w:val="22"/>
          <w:szCs w:val="22"/>
        </w:rPr>
        <w:t xml:space="preserve"> de Gobierno del Estado de México</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rPr>
        <w:t xml:space="preserve">indicando la cantidad y </w:t>
      </w:r>
      <w:r w:rsidRPr="00E7469C">
        <w:rPr>
          <w:rFonts w:ascii="Palatino Linotype" w:eastAsia="Palatino Linotype" w:hAnsi="Palatino Linotype" w:cs="Palatino Linotype"/>
          <w:b/>
          <w:sz w:val="22"/>
          <w:szCs w:val="22"/>
          <w:u w:val="single"/>
        </w:rPr>
        <w:t>características de dicho armamento</w:t>
      </w:r>
      <w:r w:rsidRPr="00E7469C">
        <w:rPr>
          <w:rFonts w:ascii="Palatino Linotype" w:eastAsia="Palatino Linotype" w:hAnsi="Palatino Linotype" w:cs="Palatino Linotype"/>
          <w:sz w:val="22"/>
          <w:szCs w:val="22"/>
        </w:rPr>
        <w:t xml:space="preserve">; la solicitud deberá hacerse del conocimiento de la Dirección General para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con base en la disponibilidad de armamento y el número de integrantes de los cuerpos municipales de seguridad pública registrados en la Licencia, se determine la procedencia e improcedencia de dicha solicitud.</w:t>
      </w:r>
    </w:p>
    <w:p w14:paraId="69D36E66" w14:textId="77777777" w:rsidR="002377F0" w:rsidRPr="00E7469C" w:rsidRDefault="008C7182">
      <w:pPr>
        <w:numPr>
          <w:ilvl w:val="0"/>
          <w:numId w:val="15"/>
        </w:numPr>
        <w:pBdr>
          <w:top w:val="nil"/>
          <w:left w:val="nil"/>
          <w:bottom w:val="nil"/>
          <w:right w:val="nil"/>
          <w:between w:val="nil"/>
        </w:pBdr>
        <w:spacing w:line="360" w:lineRule="auto"/>
        <w:ind w:left="360" w:right="1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Los municipios se encuentran obligados a la tramitación de la licencia colectiva 139, así como remitir de manera mensual a la Dirección General de Seguridad Pública y Tránsito, las altas y bajas del personal operativo que porta armas de fuego para la actualización de la licencia. </w:t>
      </w:r>
    </w:p>
    <w:p w14:paraId="6F3F3537" w14:textId="77777777" w:rsidR="002377F0" w:rsidRPr="00E7469C" w:rsidRDefault="002377F0">
      <w:pPr>
        <w:pBdr>
          <w:top w:val="nil"/>
          <w:left w:val="nil"/>
          <w:bottom w:val="nil"/>
          <w:right w:val="nil"/>
          <w:between w:val="nil"/>
        </w:pBdr>
        <w:ind w:left="720"/>
        <w:rPr>
          <w:rFonts w:ascii="Palatino Linotype" w:eastAsia="Palatino Linotype" w:hAnsi="Palatino Linotype" w:cs="Palatino Linotype"/>
          <w:b/>
          <w:sz w:val="22"/>
          <w:szCs w:val="22"/>
        </w:rPr>
      </w:pPr>
    </w:p>
    <w:p w14:paraId="66E969F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Adicional a lo anterior, es de indicar que conforme los aludidos Lineamientos para la Adquisición, Asignación, Uso y Custodia, Portación y Baja de Armamento incluido en la Licencia Oficial Colectiva número 139, se advierte la existencia del formato denominado “Relación de Armamento Adquirido”, con el que los Ayuntamientos deben reportar de manera mensual a la Dirección General de Seguridad Pública y Tránsito de la Secretaría General de Gobierno de Gobierno del Estado de México, </w:t>
      </w:r>
      <w:r w:rsidRPr="00E7469C">
        <w:rPr>
          <w:rFonts w:ascii="Palatino Linotype" w:eastAsia="Palatino Linotype" w:hAnsi="Palatino Linotype" w:cs="Palatino Linotype"/>
          <w:b/>
          <w:sz w:val="22"/>
          <w:szCs w:val="22"/>
        </w:rPr>
        <w:t>el armamento y personal activo incluido en la referida licencia para su actualización correspondiente;</w:t>
      </w:r>
      <w:r w:rsidRPr="00E7469C">
        <w:rPr>
          <w:rFonts w:ascii="Palatino Linotype" w:eastAsia="Palatino Linotype" w:hAnsi="Palatino Linotype" w:cs="Palatino Linotype"/>
          <w:sz w:val="22"/>
          <w:szCs w:val="22"/>
        </w:rPr>
        <w:t xml:space="preserve"> formato e instructivo que a continuación inserta:</w:t>
      </w:r>
    </w:p>
    <w:p w14:paraId="23938459" w14:textId="77777777" w:rsidR="002377F0" w:rsidRPr="00E7469C" w:rsidRDefault="008C7182">
      <w:pPr>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lastRenderedPageBreak/>
        <w:drawing>
          <wp:inline distT="0" distB="0" distL="0" distR="0" wp14:anchorId="34220FB8" wp14:editId="19C1DAD1">
            <wp:extent cx="5063740" cy="2789106"/>
            <wp:effectExtent l="0" t="0" r="0" b="0"/>
            <wp:docPr id="214492367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6"/>
                    <a:srcRect/>
                    <a:stretch>
                      <a:fillRect/>
                    </a:stretch>
                  </pic:blipFill>
                  <pic:spPr>
                    <a:xfrm>
                      <a:off x="0" y="0"/>
                      <a:ext cx="5063740" cy="2789106"/>
                    </a:xfrm>
                    <a:prstGeom prst="rect">
                      <a:avLst/>
                    </a:prstGeom>
                    <a:ln/>
                  </pic:spPr>
                </pic:pic>
              </a:graphicData>
            </a:graphic>
          </wp:inline>
        </w:drawing>
      </w:r>
    </w:p>
    <w:p w14:paraId="6D490CB7" w14:textId="77777777" w:rsidR="002377F0" w:rsidRPr="00E7469C" w:rsidRDefault="008C7182">
      <w:pPr>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3CF436A7" wp14:editId="7FE17D61">
            <wp:extent cx="4572425" cy="3295956"/>
            <wp:effectExtent l="0" t="0" r="0" b="0"/>
            <wp:docPr id="214492367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7"/>
                    <a:srcRect/>
                    <a:stretch>
                      <a:fillRect/>
                    </a:stretch>
                  </pic:blipFill>
                  <pic:spPr>
                    <a:xfrm>
                      <a:off x="0" y="0"/>
                      <a:ext cx="4572425" cy="3295956"/>
                    </a:xfrm>
                    <a:prstGeom prst="rect">
                      <a:avLst/>
                    </a:prstGeom>
                    <a:ln/>
                  </pic:spPr>
                </pic:pic>
              </a:graphicData>
            </a:graphic>
          </wp:inline>
        </w:drawing>
      </w:r>
    </w:p>
    <w:p w14:paraId="2679C62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8B2F7B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Como se desprende de lo anterior, el documento donde puede obrar de manera enunciativa más no limitativa la información requerida es la Relación de Armamento Adquirido.</w:t>
      </w:r>
    </w:p>
    <w:p w14:paraId="74D620DD"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5B7A20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Aclarado lo anterior, es conveniente recordar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en respuesta informó que el tipo de armamento que utilizan los elementos de seguridad es información reservada, haciendo entrega del Acuerdo del Comité de Transparencia en el que funda y motiva las razones por las cuales se confirmará la reserva de la información; por lo que se procede analizar dicho acuerdo en los siguientes términos: </w:t>
      </w:r>
    </w:p>
    <w:p w14:paraId="00CF444E" w14:textId="77777777" w:rsidR="002377F0" w:rsidRPr="00E7469C" w:rsidRDefault="002377F0">
      <w:pPr>
        <w:spacing w:line="360" w:lineRule="auto"/>
        <w:jc w:val="both"/>
        <w:rPr>
          <w:rFonts w:ascii="Palatino Linotype" w:eastAsia="Palatino Linotype" w:hAnsi="Palatino Linotype" w:cs="Palatino Linotype"/>
          <w:sz w:val="22"/>
          <w:szCs w:val="22"/>
        </w:rPr>
      </w:pPr>
    </w:p>
    <w:tbl>
      <w:tblPr>
        <w:tblStyle w:val="a4"/>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701"/>
        <w:gridCol w:w="5817"/>
      </w:tblGrid>
      <w:tr w:rsidR="0062028D" w:rsidRPr="00E7469C" w14:paraId="6EDFDDD5" w14:textId="77777777">
        <w:tc>
          <w:tcPr>
            <w:tcW w:w="1808" w:type="dxa"/>
            <w:tcBorders>
              <w:top w:val="nil"/>
              <w:left w:val="nil"/>
            </w:tcBorders>
          </w:tcPr>
          <w:p w14:paraId="2A7C1770" w14:textId="77777777" w:rsidR="002377F0" w:rsidRPr="00E7469C" w:rsidRDefault="002377F0">
            <w:pPr>
              <w:pBdr>
                <w:top w:val="nil"/>
                <w:left w:val="nil"/>
                <w:bottom w:val="nil"/>
                <w:right w:val="nil"/>
                <w:between w:val="nil"/>
              </w:pBdr>
              <w:ind w:left="47"/>
              <w:jc w:val="both"/>
              <w:rPr>
                <w:rFonts w:ascii="Palatino Linotype" w:eastAsia="Palatino Linotype" w:hAnsi="Palatino Linotype" w:cs="Palatino Linotype"/>
                <w:b/>
                <w:i/>
                <w:sz w:val="20"/>
                <w:szCs w:val="20"/>
              </w:rPr>
            </w:pPr>
          </w:p>
        </w:tc>
        <w:tc>
          <w:tcPr>
            <w:tcW w:w="1701" w:type="dxa"/>
            <w:tcBorders>
              <w:bottom w:val="single" w:sz="4" w:space="0" w:color="000000"/>
            </w:tcBorders>
            <w:shd w:val="clear" w:color="auto" w:fill="BFBFBF"/>
            <w:vAlign w:val="bottom"/>
          </w:tcPr>
          <w:p w14:paraId="759BF8E1" w14:textId="77777777" w:rsidR="002377F0" w:rsidRPr="00E7469C" w:rsidRDefault="008C7182">
            <w:pPr>
              <w:pBdr>
                <w:top w:val="nil"/>
                <w:left w:val="nil"/>
                <w:bottom w:val="nil"/>
                <w:right w:val="nil"/>
                <w:between w:val="nil"/>
              </w:pBdr>
              <w:ind w:left="47"/>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Cumplió:</w:t>
            </w:r>
          </w:p>
        </w:tc>
        <w:tc>
          <w:tcPr>
            <w:tcW w:w="5817" w:type="dxa"/>
            <w:tcBorders>
              <w:bottom w:val="single" w:sz="4" w:space="0" w:color="000000"/>
            </w:tcBorders>
            <w:shd w:val="clear" w:color="auto" w:fill="BFBFBF"/>
            <w:vAlign w:val="bottom"/>
          </w:tcPr>
          <w:p w14:paraId="7BA7C93B" w14:textId="77777777" w:rsidR="002377F0" w:rsidRPr="00E7469C" w:rsidRDefault="008C7182">
            <w:pPr>
              <w:pBdr>
                <w:top w:val="nil"/>
                <w:left w:val="nil"/>
                <w:bottom w:val="nil"/>
                <w:right w:val="nil"/>
                <w:between w:val="nil"/>
              </w:pBdr>
              <w:ind w:left="47"/>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Contenido</w:t>
            </w:r>
          </w:p>
        </w:tc>
      </w:tr>
      <w:tr w:rsidR="0062028D" w:rsidRPr="00E7469C" w14:paraId="67F620E8" w14:textId="77777777">
        <w:tc>
          <w:tcPr>
            <w:tcW w:w="1808" w:type="dxa"/>
            <w:vAlign w:val="center"/>
          </w:tcPr>
          <w:p w14:paraId="1D4E28E5" w14:textId="77777777" w:rsidR="002377F0" w:rsidRPr="00E7469C" w:rsidRDefault="008C7182">
            <w:pPr>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Número de folio de la solicitud</w:t>
            </w:r>
          </w:p>
        </w:tc>
        <w:tc>
          <w:tcPr>
            <w:tcW w:w="1701" w:type="dxa"/>
            <w:tcBorders>
              <w:top w:val="single" w:sz="4" w:space="0" w:color="000000"/>
            </w:tcBorders>
            <w:vAlign w:val="center"/>
          </w:tcPr>
          <w:p w14:paraId="5A839E0D" w14:textId="77777777" w:rsidR="002377F0" w:rsidRPr="00E7469C" w:rsidRDefault="008C7182">
            <w:pPr>
              <w:ind w:left="47"/>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Sí</w:t>
            </w:r>
          </w:p>
        </w:tc>
        <w:tc>
          <w:tcPr>
            <w:tcW w:w="5817" w:type="dxa"/>
            <w:tcBorders>
              <w:top w:val="single" w:sz="4" w:space="0" w:color="000000"/>
            </w:tcBorders>
            <w:vAlign w:val="center"/>
          </w:tcPr>
          <w:p w14:paraId="06532FCB" w14:textId="77777777" w:rsidR="002377F0" w:rsidRPr="00E7469C" w:rsidRDefault="002377F0">
            <w:pPr>
              <w:ind w:left="-115"/>
              <w:jc w:val="both"/>
              <w:rPr>
                <w:rFonts w:ascii="Palatino Linotype" w:eastAsia="Palatino Linotype" w:hAnsi="Palatino Linotype" w:cs="Palatino Linotype"/>
                <w:i/>
                <w:sz w:val="20"/>
                <w:szCs w:val="20"/>
              </w:rPr>
            </w:pPr>
          </w:p>
          <w:p w14:paraId="405D34C5" w14:textId="77777777" w:rsidR="002377F0" w:rsidRPr="00E7469C" w:rsidRDefault="008C7182">
            <w:pPr>
              <w:ind w:left="-115"/>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0893F4D8" wp14:editId="2F24A6A9">
                  <wp:extent cx="3556635" cy="570865"/>
                  <wp:effectExtent l="0" t="0" r="0" b="0"/>
                  <wp:docPr id="214492366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8"/>
                          <a:srcRect/>
                          <a:stretch>
                            <a:fillRect/>
                          </a:stretch>
                        </pic:blipFill>
                        <pic:spPr>
                          <a:xfrm>
                            <a:off x="0" y="0"/>
                            <a:ext cx="3556635" cy="570865"/>
                          </a:xfrm>
                          <a:prstGeom prst="rect">
                            <a:avLst/>
                          </a:prstGeom>
                          <a:ln/>
                        </pic:spPr>
                      </pic:pic>
                    </a:graphicData>
                  </a:graphic>
                </wp:inline>
              </w:drawing>
            </w:r>
          </w:p>
          <w:p w14:paraId="52BE41FB" w14:textId="77777777" w:rsidR="002377F0" w:rsidRPr="00E7469C" w:rsidRDefault="002377F0">
            <w:pPr>
              <w:ind w:left="-115"/>
              <w:jc w:val="both"/>
              <w:rPr>
                <w:rFonts w:ascii="Palatino Linotype" w:eastAsia="Palatino Linotype" w:hAnsi="Palatino Linotype" w:cs="Palatino Linotype"/>
                <w:i/>
                <w:sz w:val="20"/>
                <w:szCs w:val="20"/>
              </w:rPr>
            </w:pPr>
          </w:p>
        </w:tc>
      </w:tr>
      <w:tr w:rsidR="0062028D" w:rsidRPr="00E7469C" w14:paraId="0A19C511" w14:textId="77777777">
        <w:trPr>
          <w:trHeight w:val="1825"/>
        </w:trPr>
        <w:tc>
          <w:tcPr>
            <w:tcW w:w="1808" w:type="dxa"/>
            <w:vAlign w:val="center"/>
          </w:tcPr>
          <w:p w14:paraId="6859659B" w14:textId="77777777" w:rsidR="002377F0" w:rsidRPr="00E7469C" w:rsidRDefault="008C7182">
            <w:pPr>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Referencia de la información solicitada</w:t>
            </w:r>
          </w:p>
        </w:tc>
        <w:tc>
          <w:tcPr>
            <w:tcW w:w="1701" w:type="dxa"/>
            <w:vAlign w:val="center"/>
          </w:tcPr>
          <w:p w14:paraId="489BD8C7" w14:textId="77777777" w:rsidR="002377F0" w:rsidRPr="00E7469C" w:rsidRDefault="008C7182">
            <w:pPr>
              <w:ind w:left="47"/>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Si</w:t>
            </w:r>
          </w:p>
        </w:tc>
        <w:tc>
          <w:tcPr>
            <w:tcW w:w="5817" w:type="dxa"/>
            <w:vAlign w:val="center"/>
          </w:tcPr>
          <w:p w14:paraId="1DD83298" w14:textId="77777777" w:rsidR="002377F0" w:rsidRPr="00E7469C" w:rsidRDefault="008C7182">
            <w:pPr>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b/>
                <w:i/>
                <w:noProof/>
                <w:sz w:val="20"/>
                <w:szCs w:val="20"/>
                <w:lang w:val="es-MX"/>
              </w:rPr>
              <w:drawing>
                <wp:inline distT="0" distB="0" distL="0" distR="0" wp14:anchorId="2C1A70F8" wp14:editId="0D6CB031">
                  <wp:extent cx="3556635" cy="794385"/>
                  <wp:effectExtent l="0" t="0" r="0" b="0"/>
                  <wp:docPr id="214492367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9"/>
                          <a:srcRect/>
                          <a:stretch>
                            <a:fillRect/>
                          </a:stretch>
                        </pic:blipFill>
                        <pic:spPr>
                          <a:xfrm>
                            <a:off x="0" y="0"/>
                            <a:ext cx="3556635" cy="794385"/>
                          </a:xfrm>
                          <a:prstGeom prst="rect">
                            <a:avLst/>
                          </a:prstGeom>
                          <a:ln/>
                        </pic:spPr>
                      </pic:pic>
                    </a:graphicData>
                  </a:graphic>
                </wp:inline>
              </w:drawing>
            </w:r>
          </w:p>
        </w:tc>
      </w:tr>
      <w:tr w:rsidR="0062028D" w:rsidRPr="00E7469C" w14:paraId="1B151D60" w14:textId="77777777">
        <w:tc>
          <w:tcPr>
            <w:tcW w:w="1808" w:type="dxa"/>
            <w:vAlign w:val="center"/>
          </w:tcPr>
          <w:p w14:paraId="19A9DA78" w14:textId="77777777" w:rsidR="002377F0" w:rsidRPr="00E7469C" w:rsidRDefault="008C7182">
            <w:pPr>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1701" w:type="dxa"/>
            <w:vAlign w:val="center"/>
          </w:tcPr>
          <w:p w14:paraId="242EF766" w14:textId="77777777" w:rsidR="002377F0" w:rsidRPr="00E7469C" w:rsidRDefault="008C7182">
            <w:pPr>
              <w:ind w:left="47"/>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No</w:t>
            </w:r>
          </w:p>
          <w:p w14:paraId="38D5DAAC" w14:textId="77777777" w:rsidR="002377F0" w:rsidRPr="00E7469C" w:rsidRDefault="008C7182">
            <w:pPr>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sz w:val="20"/>
                <w:szCs w:val="20"/>
              </w:rPr>
              <w:t xml:space="preserve">No se analizó la causal del artículo 113 de la Ley General de Transparencia, misma que a la fecha de la solicitud se encontraba vigente; así como, tampoco con los Lineamientos Generales aplicable al caso concreto. </w:t>
            </w:r>
          </w:p>
          <w:p w14:paraId="7F32D16C" w14:textId="77777777" w:rsidR="002377F0" w:rsidRPr="00E7469C" w:rsidRDefault="002377F0">
            <w:pPr>
              <w:ind w:left="47"/>
              <w:jc w:val="both"/>
              <w:rPr>
                <w:rFonts w:ascii="Palatino Linotype" w:eastAsia="Palatino Linotype" w:hAnsi="Palatino Linotype" w:cs="Palatino Linotype"/>
                <w:i/>
                <w:sz w:val="20"/>
                <w:szCs w:val="20"/>
              </w:rPr>
            </w:pPr>
          </w:p>
        </w:tc>
        <w:tc>
          <w:tcPr>
            <w:tcW w:w="5817" w:type="dxa"/>
            <w:vAlign w:val="center"/>
          </w:tcPr>
          <w:p w14:paraId="5B990D60" w14:textId="77777777" w:rsidR="002377F0" w:rsidRPr="00E7469C" w:rsidRDefault="002377F0">
            <w:pPr>
              <w:jc w:val="both"/>
              <w:rPr>
                <w:rFonts w:ascii="Palatino Linotype" w:eastAsia="Palatino Linotype" w:hAnsi="Palatino Linotype" w:cs="Palatino Linotype"/>
                <w:i/>
                <w:sz w:val="20"/>
                <w:szCs w:val="20"/>
              </w:rPr>
            </w:pPr>
          </w:p>
          <w:p w14:paraId="19A30082" w14:textId="77777777" w:rsidR="002377F0" w:rsidRPr="00E7469C" w:rsidRDefault="002377F0">
            <w:pPr>
              <w:jc w:val="both"/>
              <w:rPr>
                <w:rFonts w:ascii="Palatino Linotype" w:eastAsia="Palatino Linotype" w:hAnsi="Palatino Linotype" w:cs="Palatino Linotype"/>
                <w:i/>
                <w:sz w:val="20"/>
                <w:szCs w:val="20"/>
              </w:rPr>
            </w:pPr>
          </w:p>
          <w:p w14:paraId="1D572C88" w14:textId="77777777" w:rsidR="002377F0" w:rsidRPr="00E7469C" w:rsidRDefault="002377F0">
            <w:pPr>
              <w:jc w:val="both"/>
              <w:rPr>
                <w:rFonts w:ascii="Palatino Linotype" w:eastAsia="Palatino Linotype" w:hAnsi="Palatino Linotype" w:cs="Palatino Linotype"/>
                <w:i/>
                <w:sz w:val="20"/>
                <w:szCs w:val="20"/>
              </w:rPr>
            </w:pPr>
          </w:p>
          <w:p w14:paraId="345424D0" w14:textId="77777777" w:rsidR="002377F0" w:rsidRPr="00E7469C" w:rsidRDefault="002377F0">
            <w:pPr>
              <w:jc w:val="both"/>
              <w:rPr>
                <w:rFonts w:ascii="Palatino Linotype" w:eastAsia="Palatino Linotype" w:hAnsi="Palatino Linotype" w:cs="Palatino Linotype"/>
                <w:i/>
                <w:sz w:val="20"/>
                <w:szCs w:val="20"/>
              </w:rPr>
            </w:pPr>
          </w:p>
        </w:tc>
      </w:tr>
      <w:tr w:rsidR="0062028D" w:rsidRPr="00E7469C" w14:paraId="236A10DC" w14:textId="77777777">
        <w:tc>
          <w:tcPr>
            <w:tcW w:w="1808" w:type="dxa"/>
            <w:vAlign w:val="center"/>
          </w:tcPr>
          <w:p w14:paraId="1414AF3D" w14:textId="77777777" w:rsidR="002377F0" w:rsidRPr="00E7469C" w:rsidRDefault="008C7182">
            <w:pPr>
              <w:tabs>
                <w:tab w:val="left" w:pos="317"/>
              </w:tabs>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lastRenderedPageBreak/>
              <w:t>Fundamento y Motivación Legal</w:t>
            </w:r>
          </w:p>
        </w:tc>
        <w:tc>
          <w:tcPr>
            <w:tcW w:w="1701" w:type="dxa"/>
            <w:vAlign w:val="center"/>
          </w:tcPr>
          <w:p w14:paraId="789375F2" w14:textId="77777777" w:rsidR="002377F0" w:rsidRPr="00E7469C" w:rsidRDefault="008C7182">
            <w:pPr>
              <w:ind w:left="47"/>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 xml:space="preserve">Parcialmente </w:t>
            </w:r>
          </w:p>
          <w:p w14:paraId="4C20CD5C" w14:textId="77777777" w:rsidR="002377F0" w:rsidRPr="00E7469C" w:rsidRDefault="002377F0">
            <w:pPr>
              <w:ind w:left="47"/>
              <w:jc w:val="center"/>
              <w:rPr>
                <w:rFonts w:ascii="Palatino Linotype" w:eastAsia="Palatino Linotype" w:hAnsi="Palatino Linotype" w:cs="Palatino Linotype"/>
                <w:b/>
                <w:sz w:val="20"/>
                <w:szCs w:val="20"/>
              </w:rPr>
            </w:pPr>
          </w:p>
          <w:p w14:paraId="2173136C" w14:textId="77777777" w:rsidR="002377F0" w:rsidRPr="00E7469C" w:rsidRDefault="008C7182">
            <w:pPr>
              <w:ind w:left="47"/>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sz w:val="20"/>
                <w:szCs w:val="20"/>
              </w:rPr>
              <w:t>No se citó el artículo de los Lineamientos Generales aplicables al caso concreto, tampoco se motivó porque resultaba aplicables cada una de las fracciones, tampoco se vinculan las causales aplicables con el artículo 113 de la Ley General, ni con los Lineamientos Generales.</w:t>
            </w:r>
          </w:p>
        </w:tc>
        <w:tc>
          <w:tcPr>
            <w:tcW w:w="5817" w:type="dxa"/>
            <w:vAlign w:val="center"/>
          </w:tcPr>
          <w:p w14:paraId="56BCD745" w14:textId="77777777" w:rsidR="002377F0" w:rsidRPr="00E7469C" w:rsidRDefault="008C7182">
            <w:pPr>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1DAFEFF7" wp14:editId="019597FF">
                  <wp:extent cx="3556635" cy="1300480"/>
                  <wp:effectExtent l="0" t="0" r="0" b="0"/>
                  <wp:docPr id="214492367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0"/>
                          <a:srcRect/>
                          <a:stretch>
                            <a:fillRect/>
                          </a:stretch>
                        </pic:blipFill>
                        <pic:spPr>
                          <a:xfrm>
                            <a:off x="0" y="0"/>
                            <a:ext cx="3556635" cy="1300480"/>
                          </a:xfrm>
                          <a:prstGeom prst="rect">
                            <a:avLst/>
                          </a:prstGeom>
                          <a:ln/>
                        </pic:spPr>
                      </pic:pic>
                    </a:graphicData>
                  </a:graphic>
                </wp:inline>
              </w:drawing>
            </w:r>
          </w:p>
          <w:p w14:paraId="259B6562" w14:textId="77777777" w:rsidR="002377F0" w:rsidRPr="00E7469C" w:rsidRDefault="008C7182">
            <w:pPr>
              <w:ind w:left="47"/>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62F4CD21" wp14:editId="646E4D5E">
                  <wp:extent cx="3556635" cy="3690620"/>
                  <wp:effectExtent l="0" t="0" r="0" b="0"/>
                  <wp:docPr id="21449236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1"/>
                          <a:srcRect/>
                          <a:stretch>
                            <a:fillRect/>
                          </a:stretch>
                        </pic:blipFill>
                        <pic:spPr>
                          <a:xfrm>
                            <a:off x="0" y="0"/>
                            <a:ext cx="3556635" cy="3690620"/>
                          </a:xfrm>
                          <a:prstGeom prst="rect">
                            <a:avLst/>
                          </a:prstGeom>
                          <a:ln/>
                        </pic:spPr>
                      </pic:pic>
                    </a:graphicData>
                  </a:graphic>
                </wp:inline>
              </w:drawing>
            </w:r>
          </w:p>
          <w:p w14:paraId="558D28FB" w14:textId="77777777" w:rsidR="002377F0" w:rsidRPr="00E7469C" w:rsidRDefault="002377F0">
            <w:pPr>
              <w:ind w:left="47"/>
              <w:jc w:val="both"/>
              <w:rPr>
                <w:rFonts w:ascii="Palatino Linotype" w:eastAsia="Palatino Linotype" w:hAnsi="Palatino Linotype" w:cs="Palatino Linotype"/>
                <w:i/>
                <w:sz w:val="20"/>
                <w:szCs w:val="20"/>
              </w:rPr>
            </w:pPr>
          </w:p>
        </w:tc>
      </w:tr>
      <w:tr w:rsidR="0062028D" w:rsidRPr="00E7469C" w14:paraId="38E7B699" w14:textId="77777777">
        <w:trPr>
          <w:trHeight w:val="3576"/>
        </w:trPr>
        <w:tc>
          <w:tcPr>
            <w:tcW w:w="1808" w:type="dxa"/>
            <w:vAlign w:val="center"/>
          </w:tcPr>
          <w:p w14:paraId="37157C13" w14:textId="77777777" w:rsidR="002377F0" w:rsidRPr="00E7469C" w:rsidRDefault="008C7182">
            <w:pPr>
              <w:jc w:val="both"/>
              <w:rPr>
                <w:rFonts w:ascii="Palatino Linotype" w:eastAsia="Palatino Linotype" w:hAnsi="Palatino Linotype" w:cs="Palatino Linotype"/>
                <w:b/>
                <w:i/>
                <w:sz w:val="20"/>
                <w:szCs w:val="20"/>
              </w:rPr>
            </w:pPr>
            <w:bookmarkStart w:id="18" w:name="_heading=h.cqmrifzc2222" w:colFirst="0" w:colLast="0"/>
            <w:bookmarkEnd w:id="18"/>
            <w:r w:rsidRPr="00E7469C">
              <w:rPr>
                <w:rFonts w:ascii="Palatino Linotype" w:eastAsia="Palatino Linotype" w:hAnsi="Palatino Linotype" w:cs="Palatino Linotype"/>
                <w:b/>
                <w:i/>
                <w:sz w:val="20"/>
                <w:szCs w:val="20"/>
              </w:rPr>
              <w:lastRenderedPageBreak/>
              <w:t>Conexión entre los fundamentos y motivos que dieron origen a la Reserva de la información</w:t>
            </w:r>
          </w:p>
        </w:tc>
        <w:tc>
          <w:tcPr>
            <w:tcW w:w="1701" w:type="dxa"/>
            <w:vAlign w:val="center"/>
          </w:tcPr>
          <w:p w14:paraId="4E45A890" w14:textId="77777777" w:rsidR="002377F0" w:rsidRPr="00E7469C" w:rsidRDefault="008C7182">
            <w:pPr>
              <w:ind w:left="47"/>
              <w:jc w:val="center"/>
              <w:rPr>
                <w:rFonts w:ascii="Palatino Linotype" w:eastAsia="Palatino Linotype" w:hAnsi="Palatino Linotype" w:cs="Palatino Linotype"/>
                <w:b/>
                <w:sz w:val="20"/>
                <w:szCs w:val="20"/>
              </w:rPr>
            </w:pPr>
            <w:r w:rsidRPr="00E7469C">
              <w:rPr>
                <w:rFonts w:ascii="Palatino Linotype" w:eastAsia="Palatino Linotype" w:hAnsi="Palatino Linotype" w:cs="Palatino Linotype"/>
                <w:b/>
                <w:sz w:val="20"/>
                <w:szCs w:val="20"/>
              </w:rPr>
              <w:t>No</w:t>
            </w:r>
          </w:p>
          <w:p w14:paraId="616076F9" w14:textId="77777777" w:rsidR="002377F0" w:rsidRPr="00E7469C" w:rsidRDefault="008C7182">
            <w:pPr>
              <w:ind w:left="47"/>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sz w:val="20"/>
                <w:szCs w:val="20"/>
              </w:rPr>
              <w:t xml:space="preserve">No existe correcta relación entre los fundamentos legales utilizados con el origen de la reserva, se limita </w:t>
            </w:r>
            <w:proofErr w:type="gramStart"/>
            <w:r w:rsidRPr="00E7469C">
              <w:rPr>
                <w:rFonts w:ascii="Palatino Linotype" w:eastAsia="Palatino Linotype" w:hAnsi="Palatino Linotype" w:cs="Palatino Linotype"/>
                <w:i/>
                <w:sz w:val="20"/>
                <w:szCs w:val="20"/>
              </w:rPr>
              <w:t>hacer  una</w:t>
            </w:r>
            <w:proofErr w:type="gramEnd"/>
            <w:r w:rsidRPr="00E7469C">
              <w:rPr>
                <w:rFonts w:ascii="Palatino Linotype" w:eastAsia="Palatino Linotype" w:hAnsi="Palatino Linotype" w:cs="Palatino Linotype"/>
                <w:i/>
                <w:sz w:val="20"/>
                <w:szCs w:val="20"/>
              </w:rPr>
              <w:t xml:space="preserve"> clasificación de carácter general. </w:t>
            </w:r>
          </w:p>
          <w:p w14:paraId="4CC1266B" w14:textId="77777777" w:rsidR="002377F0" w:rsidRPr="00E7469C" w:rsidRDefault="002377F0">
            <w:pPr>
              <w:ind w:left="47"/>
              <w:jc w:val="both"/>
              <w:rPr>
                <w:rFonts w:ascii="Palatino Linotype" w:eastAsia="Palatino Linotype" w:hAnsi="Palatino Linotype" w:cs="Palatino Linotype"/>
                <w:b/>
                <w:i/>
                <w:sz w:val="20"/>
                <w:szCs w:val="20"/>
              </w:rPr>
            </w:pPr>
          </w:p>
        </w:tc>
        <w:tc>
          <w:tcPr>
            <w:tcW w:w="5817" w:type="dxa"/>
            <w:vAlign w:val="center"/>
          </w:tcPr>
          <w:p w14:paraId="28EBA94B" w14:textId="77777777" w:rsidR="002377F0" w:rsidRPr="00E7469C" w:rsidRDefault="008C7182">
            <w:pPr>
              <w:pBdr>
                <w:top w:val="nil"/>
                <w:left w:val="nil"/>
                <w:bottom w:val="nil"/>
                <w:right w:val="nil"/>
                <w:between w:val="nil"/>
              </w:pBdr>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769B0768" wp14:editId="34780F14">
                  <wp:extent cx="3556635" cy="2824480"/>
                  <wp:effectExtent l="0" t="0" r="0" b="0"/>
                  <wp:docPr id="214492366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2"/>
                          <a:srcRect/>
                          <a:stretch>
                            <a:fillRect/>
                          </a:stretch>
                        </pic:blipFill>
                        <pic:spPr>
                          <a:xfrm>
                            <a:off x="0" y="0"/>
                            <a:ext cx="3556635" cy="2824480"/>
                          </a:xfrm>
                          <a:prstGeom prst="rect">
                            <a:avLst/>
                          </a:prstGeom>
                          <a:ln/>
                        </pic:spPr>
                      </pic:pic>
                    </a:graphicData>
                  </a:graphic>
                </wp:inline>
              </w:drawing>
            </w:r>
          </w:p>
          <w:p w14:paraId="73CA7497" w14:textId="77777777" w:rsidR="002377F0" w:rsidRPr="00E7469C" w:rsidRDefault="002377F0">
            <w:pPr>
              <w:pBdr>
                <w:top w:val="nil"/>
                <w:left w:val="nil"/>
                <w:bottom w:val="nil"/>
                <w:right w:val="nil"/>
                <w:between w:val="nil"/>
              </w:pBdr>
              <w:jc w:val="both"/>
              <w:rPr>
                <w:rFonts w:ascii="Palatino Linotype" w:eastAsia="Palatino Linotype" w:hAnsi="Palatino Linotype" w:cs="Palatino Linotype"/>
                <w:i/>
                <w:sz w:val="20"/>
                <w:szCs w:val="20"/>
              </w:rPr>
            </w:pPr>
          </w:p>
        </w:tc>
      </w:tr>
      <w:tr w:rsidR="0062028D" w:rsidRPr="00E7469C" w14:paraId="4E6B437E" w14:textId="77777777">
        <w:tc>
          <w:tcPr>
            <w:tcW w:w="9326" w:type="dxa"/>
            <w:gridSpan w:val="3"/>
            <w:shd w:val="clear" w:color="auto" w:fill="D9D9D9"/>
            <w:vAlign w:val="center"/>
          </w:tcPr>
          <w:p w14:paraId="2C54DB3B" w14:textId="77777777" w:rsidR="002377F0" w:rsidRPr="00E7469C" w:rsidRDefault="008C7182">
            <w:pPr>
              <w:pBdr>
                <w:top w:val="nil"/>
                <w:left w:val="nil"/>
                <w:bottom w:val="nil"/>
                <w:right w:val="nil"/>
                <w:between w:val="nil"/>
              </w:pBdr>
              <w:ind w:left="29" w:firstLine="18"/>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b/>
                <w:i/>
                <w:sz w:val="20"/>
                <w:szCs w:val="20"/>
              </w:rPr>
              <w:t>Prueba de Daño</w:t>
            </w:r>
          </w:p>
        </w:tc>
      </w:tr>
      <w:tr w:rsidR="0062028D" w:rsidRPr="00E7469C" w14:paraId="47C6D2EF" w14:textId="77777777">
        <w:trPr>
          <w:trHeight w:val="791"/>
        </w:trPr>
        <w:tc>
          <w:tcPr>
            <w:tcW w:w="1808" w:type="dxa"/>
            <w:vAlign w:val="center"/>
          </w:tcPr>
          <w:p w14:paraId="0409298B" w14:textId="77777777" w:rsidR="002377F0" w:rsidRPr="00E7469C" w:rsidRDefault="008C7182">
            <w:pPr>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Riesgo Real, Demostrable e Identificable</w:t>
            </w:r>
          </w:p>
          <w:p w14:paraId="6E8B7B21" w14:textId="77777777" w:rsidR="002377F0" w:rsidRPr="00E7469C" w:rsidRDefault="008C7182">
            <w:pPr>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(Modo, Tiempo y Lugar)</w:t>
            </w:r>
          </w:p>
        </w:tc>
        <w:tc>
          <w:tcPr>
            <w:tcW w:w="1701" w:type="dxa"/>
            <w:vAlign w:val="center"/>
          </w:tcPr>
          <w:p w14:paraId="77FFA5AF" w14:textId="77777777" w:rsidR="002377F0" w:rsidRPr="00E7469C" w:rsidRDefault="008C7182">
            <w:pPr>
              <w:pBdr>
                <w:top w:val="nil"/>
                <w:left w:val="nil"/>
                <w:bottom w:val="nil"/>
                <w:right w:val="nil"/>
                <w:between w:val="nil"/>
              </w:pBdr>
              <w:ind w:left="29" w:firstLine="18"/>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 xml:space="preserve">Parcialmente </w:t>
            </w:r>
          </w:p>
          <w:p w14:paraId="25841ECA" w14:textId="77777777" w:rsidR="002377F0" w:rsidRPr="00E7469C" w:rsidRDefault="002377F0">
            <w:pPr>
              <w:pBdr>
                <w:top w:val="nil"/>
                <w:left w:val="nil"/>
                <w:bottom w:val="nil"/>
                <w:right w:val="nil"/>
                <w:between w:val="nil"/>
              </w:pBdr>
              <w:jc w:val="both"/>
              <w:rPr>
                <w:rFonts w:ascii="Palatino Linotype" w:eastAsia="Palatino Linotype" w:hAnsi="Palatino Linotype" w:cs="Palatino Linotype"/>
                <w:i/>
                <w:sz w:val="20"/>
                <w:szCs w:val="20"/>
              </w:rPr>
            </w:pPr>
          </w:p>
        </w:tc>
        <w:tc>
          <w:tcPr>
            <w:tcW w:w="5817" w:type="dxa"/>
            <w:vAlign w:val="center"/>
          </w:tcPr>
          <w:p w14:paraId="589DFABB" w14:textId="77777777" w:rsidR="002377F0" w:rsidRPr="00E7469C" w:rsidRDefault="008C7182">
            <w:pPr>
              <w:jc w:val="center"/>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7CE73420" wp14:editId="4CC7A2DD">
                  <wp:extent cx="3556635" cy="2114550"/>
                  <wp:effectExtent l="0" t="0" r="0" b="0"/>
                  <wp:docPr id="214492366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3"/>
                          <a:srcRect/>
                          <a:stretch>
                            <a:fillRect/>
                          </a:stretch>
                        </pic:blipFill>
                        <pic:spPr>
                          <a:xfrm>
                            <a:off x="0" y="0"/>
                            <a:ext cx="3556635" cy="2114550"/>
                          </a:xfrm>
                          <a:prstGeom prst="rect">
                            <a:avLst/>
                          </a:prstGeom>
                          <a:ln/>
                        </pic:spPr>
                      </pic:pic>
                    </a:graphicData>
                  </a:graphic>
                </wp:inline>
              </w:drawing>
            </w:r>
          </w:p>
          <w:p w14:paraId="3FA8BF7C" w14:textId="77777777" w:rsidR="002377F0" w:rsidRPr="00E7469C" w:rsidRDefault="008C7182">
            <w:pPr>
              <w:jc w:val="center"/>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21BFE036" wp14:editId="59094EFB">
                  <wp:extent cx="3556635" cy="704850"/>
                  <wp:effectExtent l="0" t="0" r="0" b="0"/>
                  <wp:docPr id="214492366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4"/>
                          <a:srcRect/>
                          <a:stretch>
                            <a:fillRect/>
                          </a:stretch>
                        </pic:blipFill>
                        <pic:spPr>
                          <a:xfrm>
                            <a:off x="0" y="0"/>
                            <a:ext cx="3556635" cy="704850"/>
                          </a:xfrm>
                          <a:prstGeom prst="rect">
                            <a:avLst/>
                          </a:prstGeom>
                          <a:ln/>
                        </pic:spPr>
                      </pic:pic>
                    </a:graphicData>
                  </a:graphic>
                </wp:inline>
              </w:drawing>
            </w:r>
          </w:p>
        </w:tc>
      </w:tr>
      <w:tr w:rsidR="0062028D" w:rsidRPr="00E7469C" w14:paraId="1370A0DA" w14:textId="77777777">
        <w:trPr>
          <w:trHeight w:val="1875"/>
        </w:trPr>
        <w:tc>
          <w:tcPr>
            <w:tcW w:w="1808" w:type="dxa"/>
            <w:vAlign w:val="center"/>
          </w:tcPr>
          <w:p w14:paraId="31970154" w14:textId="77777777" w:rsidR="002377F0" w:rsidRPr="00E7469C" w:rsidRDefault="008C7182">
            <w:pPr>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Temporalidad de la Reserva de la información.</w:t>
            </w:r>
          </w:p>
        </w:tc>
        <w:tc>
          <w:tcPr>
            <w:tcW w:w="1701" w:type="dxa"/>
            <w:vAlign w:val="center"/>
          </w:tcPr>
          <w:p w14:paraId="091AB994" w14:textId="77777777" w:rsidR="002377F0" w:rsidRPr="00E7469C" w:rsidRDefault="008C7182">
            <w:pPr>
              <w:pBdr>
                <w:top w:val="nil"/>
                <w:left w:val="nil"/>
                <w:bottom w:val="nil"/>
                <w:right w:val="nil"/>
                <w:between w:val="nil"/>
              </w:pBdr>
              <w:ind w:left="29" w:firstLine="18"/>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 xml:space="preserve">No </w:t>
            </w:r>
          </w:p>
        </w:tc>
        <w:tc>
          <w:tcPr>
            <w:tcW w:w="5817" w:type="dxa"/>
            <w:vAlign w:val="center"/>
          </w:tcPr>
          <w:p w14:paraId="614E0FDF" w14:textId="77777777" w:rsidR="002377F0" w:rsidRPr="00E7469C" w:rsidRDefault="008C7182">
            <w:pPr>
              <w:jc w:val="center"/>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5527EB71" wp14:editId="77803C58">
                  <wp:extent cx="3556635" cy="536575"/>
                  <wp:effectExtent l="0" t="0" r="0" b="0"/>
                  <wp:docPr id="214492366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5"/>
                          <a:srcRect/>
                          <a:stretch>
                            <a:fillRect/>
                          </a:stretch>
                        </pic:blipFill>
                        <pic:spPr>
                          <a:xfrm>
                            <a:off x="0" y="0"/>
                            <a:ext cx="3556635" cy="536575"/>
                          </a:xfrm>
                          <a:prstGeom prst="rect">
                            <a:avLst/>
                          </a:prstGeom>
                          <a:ln/>
                        </pic:spPr>
                      </pic:pic>
                    </a:graphicData>
                  </a:graphic>
                </wp:inline>
              </w:drawing>
            </w:r>
          </w:p>
          <w:p w14:paraId="0AC3C531" w14:textId="77777777" w:rsidR="002377F0" w:rsidRPr="00E7469C" w:rsidRDefault="008C7182">
            <w:pPr>
              <w:jc w:val="center"/>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0D97E433" wp14:editId="171A1F1E">
                  <wp:extent cx="3556635" cy="607695"/>
                  <wp:effectExtent l="0" t="0" r="0" b="0"/>
                  <wp:docPr id="214492366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6"/>
                          <a:srcRect/>
                          <a:stretch>
                            <a:fillRect/>
                          </a:stretch>
                        </pic:blipFill>
                        <pic:spPr>
                          <a:xfrm>
                            <a:off x="0" y="0"/>
                            <a:ext cx="3556635" cy="607695"/>
                          </a:xfrm>
                          <a:prstGeom prst="rect">
                            <a:avLst/>
                          </a:prstGeom>
                          <a:ln/>
                        </pic:spPr>
                      </pic:pic>
                    </a:graphicData>
                  </a:graphic>
                </wp:inline>
              </w:drawing>
            </w:r>
          </w:p>
        </w:tc>
      </w:tr>
      <w:tr w:rsidR="0062028D" w:rsidRPr="00E7469C" w14:paraId="36D7C73F" w14:textId="77777777">
        <w:trPr>
          <w:trHeight w:val="2867"/>
        </w:trPr>
        <w:tc>
          <w:tcPr>
            <w:tcW w:w="1808" w:type="dxa"/>
            <w:vAlign w:val="center"/>
          </w:tcPr>
          <w:p w14:paraId="62D77993" w14:textId="77777777" w:rsidR="002377F0" w:rsidRPr="00E7469C" w:rsidRDefault="008C7182">
            <w:pPr>
              <w:tabs>
                <w:tab w:val="left" w:pos="317"/>
              </w:tabs>
              <w:jc w:val="both"/>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lastRenderedPageBreak/>
              <w:t>Autoridades competentes.</w:t>
            </w:r>
          </w:p>
        </w:tc>
        <w:tc>
          <w:tcPr>
            <w:tcW w:w="1701" w:type="dxa"/>
            <w:vAlign w:val="center"/>
          </w:tcPr>
          <w:p w14:paraId="7F5FE6F2" w14:textId="77777777" w:rsidR="002377F0" w:rsidRPr="00E7469C" w:rsidRDefault="008C7182">
            <w:pPr>
              <w:pBdr>
                <w:top w:val="nil"/>
                <w:left w:val="nil"/>
                <w:bottom w:val="nil"/>
                <w:right w:val="nil"/>
                <w:between w:val="nil"/>
              </w:pBdr>
              <w:ind w:left="29" w:firstLine="18"/>
              <w:jc w:val="center"/>
              <w:rPr>
                <w:rFonts w:ascii="Palatino Linotype" w:eastAsia="Palatino Linotype" w:hAnsi="Palatino Linotype" w:cs="Palatino Linotype"/>
                <w:b/>
                <w:i/>
                <w:sz w:val="20"/>
                <w:szCs w:val="20"/>
              </w:rPr>
            </w:pPr>
            <w:r w:rsidRPr="00E7469C">
              <w:rPr>
                <w:rFonts w:ascii="Palatino Linotype" w:eastAsia="Palatino Linotype" w:hAnsi="Palatino Linotype" w:cs="Palatino Linotype"/>
                <w:b/>
                <w:i/>
                <w:sz w:val="20"/>
                <w:szCs w:val="20"/>
              </w:rPr>
              <w:t>Si</w:t>
            </w:r>
          </w:p>
        </w:tc>
        <w:tc>
          <w:tcPr>
            <w:tcW w:w="5817" w:type="dxa"/>
          </w:tcPr>
          <w:p w14:paraId="1D2BDD5C" w14:textId="77777777" w:rsidR="002377F0" w:rsidRPr="00E7469C" w:rsidRDefault="008C7182">
            <w:pPr>
              <w:jc w:val="both"/>
              <w:rPr>
                <w:rFonts w:ascii="Palatino Linotype" w:eastAsia="Palatino Linotype" w:hAnsi="Palatino Linotype" w:cs="Palatino Linotype"/>
                <w:i/>
                <w:sz w:val="20"/>
                <w:szCs w:val="20"/>
              </w:rPr>
            </w:pPr>
            <w:r w:rsidRPr="00E7469C">
              <w:rPr>
                <w:rFonts w:ascii="Palatino Linotype" w:eastAsia="Palatino Linotype" w:hAnsi="Palatino Linotype" w:cs="Palatino Linotype"/>
                <w:i/>
                <w:noProof/>
                <w:sz w:val="20"/>
                <w:szCs w:val="20"/>
                <w:lang w:val="es-MX"/>
              </w:rPr>
              <w:drawing>
                <wp:inline distT="0" distB="0" distL="0" distR="0" wp14:anchorId="60288A47" wp14:editId="0E4DB178">
                  <wp:extent cx="3556635" cy="2927350"/>
                  <wp:effectExtent l="0" t="0" r="0" b="0"/>
                  <wp:docPr id="214492366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7"/>
                          <a:srcRect/>
                          <a:stretch>
                            <a:fillRect/>
                          </a:stretch>
                        </pic:blipFill>
                        <pic:spPr>
                          <a:xfrm>
                            <a:off x="0" y="0"/>
                            <a:ext cx="3556635" cy="2927350"/>
                          </a:xfrm>
                          <a:prstGeom prst="rect">
                            <a:avLst/>
                          </a:prstGeom>
                          <a:ln/>
                        </pic:spPr>
                      </pic:pic>
                    </a:graphicData>
                  </a:graphic>
                </wp:inline>
              </w:drawing>
            </w:r>
          </w:p>
        </w:tc>
      </w:tr>
    </w:tbl>
    <w:p w14:paraId="0F0397E7" w14:textId="77777777" w:rsidR="002377F0" w:rsidRPr="00E7469C" w:rsidRDefault="002377F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E72E7F" w14:textId="77777777" w:rsidR="002377F0" w:rsidRPr="00E7469C" w:rsidRDefault="008C718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lo anterior, se advierte que el Acuerdo ACT/ATLACOMULCO/EXT/CT/12a/ACU-SEXTO/2025, no cumple con todos los requisitos establecidos para la reserva de la información.</w:t>
      </w:r>
    </w:p>
    <w:p w14:paraId="1AEF6CBF" w14:textId="77777777" w:rsidR="002377F0" w:rsidRPr="00E7469C" w:rsidRDefault="002377F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E2B8E1C" w14:textId="77777777" w:rsidR="002377F0" w:rsidRPr="00E7469C" w:rsidRDefault="008C7182">
      <w:pPr>
        <w:numPr>
          <w:ilvl w:val="0"/>
          <w:numId w:val="16"/>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Respecto a la obligatoriedad de emitir el acuerdo de clasificación de la información.</w:t>
      </w:r>
    </w:p>
    <w:p w14:paraId="17F7C741" w14:textId="77777777" w:rsidR="002377F0" w:rsidRPr="00E7469C" w:rsidRDefault="002377F0">
      <w:pPr>
        <w:tabs>
          <w:tab w:val="left" w:pos="4962"/>
        </w:tabs>
        <w:spacing w:line="360" w:lineRule="auto"/>
        <w:jc w:val="both"/>
        <w:rPr>
          <w:rFonts w:ascii="Palatino Linotype" w:eastAsia="Palatino Linotype" w:hAnsi="Palatino Linotype" w:cs="Palatino Linotype"/>
          <w:sz w:val="22"/>
          <w:szCs w:val="22"/>
        </w:rPr>
      </w:pPr>
    </w:p>
    <w:p w14:paraId="17A3BE7D"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FCF8BE3" w14:textId="77777777" w:rsidR="002377F0" w:rsidRPr="00E7469C" w:rsidRDefault="002377F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836726F" w14:textId="77777777" w:rsidR="002377F0" w:rsidRPr="00E7469C" w:rsidRDefault="008C7182">
      <w:pPr>
        <w:pBdr>
          <w:top w:val="nil"/>
          <w:left w:val="nil"/>
          <w:bottom w:val="nil"/>
          <w:right w:val="nil"/>
          <w:between w:val="nil"/>
        </w:pBdr>
        <w:spacing w:line="276" w:lineRule="auto"/>
        <w:ind w:left="864" w:right="567"/>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rPr>
        <w:lastRenderedPageBreak/>
        <w:t xml:space="preserve">Artículo 91. </w:t>
      </w:r>
      <w:r w:rsidRPr="00E7469C">
        <w:rPr>
          <w:rFonts w:ascii="Palatino Linotype" w:eastAsia="Palatino Linotype" w:hAnsi="Palatino Linotype" w:cs="Palatino Linotype"/>
          <w:i/>
          <w:sz w:val="22"/>
          <w:szCs w:val="22"/>
        </w:rPr>
        <w:t xml:space="preserve">El acceso a la información pública será restringido excepcionalmente, cuando ésta sea clasificada como </w:t>
      </w:r>
      <w:r w:rsidRPr="00E7469C">
        <w:rPr>
          <w:rFonts w:ascii="Palatino Linotype" w:eastAsia="Palatino Linotype" w:hAnsi="Palatino Linotype" w:cs="Palatino Linotype"/>
          <w:b/>
          <w:i/>
          <w:sz w:val="22"/>
          <w:szCs w:val="22"/>
          <w:u w:val="single"/>
        </w:rPr>
        <w:t xml:space="preserve">reservada </w:t>
      </w:r>
      <w:r w:rsidRPr="00E7469C">
        <w:rPr>
          <w:rFonts w:ascii="Palatino Linotype" w:eastAsia="Palatino Linotype" w:hAnsi="Palatino Linotype" w:cs="Palatino Linotype"/>
          <w:i/>
          <w:sz w:val="22"/>
          <w:szCs w:val="22"/>
        </w:rPr>
        <w:t>o confidencial.</w:t>
      </w:r>
    </w:p>
    <w:p w14:paraId="3BD0E69D" w14:textId="77777777" w:rsidR="002377F0" w:rsidRPr="00E7469C" w:rsidRDefault="002377F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82BEA2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Entendiéndose como </w:t>
      </w:r>
      <w:r w:rsidRPr="00E7469C">
        <w:rPr>
          <w:rFonts w:ascii="Palatino Linotype" w:eastAsia="Palatino Linotype" w:hAnsi="Palatino Linotype" w:cs="Palatino Linotype"/>
          <w:b/>
          <w:sz w:val="22"/>
          <w:szCs w:val="22"/>
          <w:u w:val="single"/>
        </w:rPr>
        <w:t xml:space="preserve">información reservada </w:t>
      </w:r>
      <w:r w:rsidRPr="00E7469C">
        <w:rPr>
          <w:rFonts w:ascii="Palatino Linotype" w:eastAsia="Palatino Linotype" w:hAnsi="Palatino Linotype" w:cs="Palatino Linotype"/>
          <w:sz w:val="22"/>
          <w:szCs w:val="22"/>
        </w:rPr>
        <w:t>aquella que se clasifica de manera temporal cuya divulgación pueda causar algún daño; y como información confidencial,</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sz w:val="22"/>
          <w:szCs w:val="22"/>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27C2C13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57A6BA2"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sentido, es de precisar que la clasificación de la información no se da por el simple mandato de la ley, sino que es necesario que el</w:t>
      </w:r>
      <w:r w:rsidRPr="00E7469C">
        <w:rPr>
          <w:rFonts w:ascii="Palatino Linotype" w:eastAsia="Palatino Linotype" w:hAnsi="Palatino Linotype" w:cs="Palatino Linotype"/>
          <w:b/>
          <w:sz w:val="22"/>
          <w:szCs w:val="22"/>
        </w:rPr>
        <w:t xml:space="preserve"> Sujeto Obligado,</w:t>
      </w:r>
      <w:r w:rsidRPr="00E7469C">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74802933" w14:textId="77777777" w:rsidR="002377F0" w:rsidRPr="00E7469C" w:rsidRDefault="002377F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3B97366"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59</w:t>
      </w:r>
      <w:r w:rsidRPr="00E7469C">
        <w:rPr>
          <w:rFonts w:ascii="Palatino Linotype" w:eastAsia="Palatino Linotype" w:hAnsi="Palatino Linotype" w:cs="Palatino Linotype"/>
          <w:i/>
          <w:sz w:val="22"/>
          <w:szCs w:val="22"/>
        </w:rPr>
        <w:t>. Los servidores públicos habilitados tendrán las funciones siguientes:</w:t>
      </w:r>
    </w:p>
    <w:p w14:paraId="2C8D0339"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8C15C3A"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V. Integrar y presentar al responsable de la Unidad de Transparencia la propuesta de clasificación de información, la cual tendrá los fundamentos y argumentos en que se basa dicha propuesta;</w:t>
      </w:r>
    </w:p>
    <w:p w14:paraId="6CFBF196"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18700380"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Artículo 53. Las Unidades de Transparencia tendrán las siguientes funciones:</w:t>
      </w:r>
    </w:p>
    <w:p w14:paraId="1C4310A8"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53E2B7A0"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X. Presentar ante el Comité, el proyecto de clasificación de información;</w:t>
      </w:r>
    </w:p>
    <w:p w14:paraId="3BAB509D"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 </w:t>
      </w:r>
    </w:p>
    <w:p w14:paraId="3640688F"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49.</w:t>
      </w:r>
      <w:r w:rsidRPr="00E7469C">
        <w:rPr>
          <w:rFonts w:ascii="Palatino Linotype" w:eastAsia="Palatino Linotype" w:hAnsi="Palatino Linotype" w:cs="Palatino Linotype"/>
          <w:i/>
          <w:sz w:val="22"/>
          <w:szCs w:val="22"/>
        </w:rPr>
        <w:t xml:space="preserve"> Los Comités de Transparencia tendrán las siguientes atribuciones:</w:t>
      </w:r>
    </w:p>
    <w:p w14:paraId="5FF80166"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485AA2E3"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II. Confirmar, modificar o revocar las determinaciones </w:t>
      </w:r>
      <w:proofErr w:type="gramStart"/>
      <w:r w:rsidRPr="00E7469C">
        <w:rPr>
          <w:rFonts w:ascii="Palatino Linotype" w:eastAsia="Palatino Linotype" w:hAnsi="Palatino Linotype" w:cs="Palatino Linotype"/>
          <w:i/>
          <w:sz w:val="22"/>
          <w:szCs w:val="22"/>
        </w:rPr>
        <w:t>que</w:t>
      </w:r>
      <w:proofErr w:type="gramEnd"/>
      <w:r w:rsidRPr="00E7469C">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5827A978"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049D339E" w14:textId="77777777" w:rsidR="002377F0" w:rsidRPr="00E7469C" w:rsidRDefault="008C7182">
      <w:pPr>
        <w:pBdr>
          <w:top w:val="nil"/>
          <w:left w:val="nil"/>
          <w:bottom w:val="nil"/>
          <w:right w:val="nil"/>
          <w:between w:val="nil"/>
        </w:pBdr>
        <w:ind w:left="864"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VIII. Aprobar, modificar o revocar la clasificación de la información;</w:t>
      </w:r>
    </w:p>
    <w:p w14:paraId="1DD1F1C4" w14:textId="77777777" w:rsidR="002377F0" w:rsidRPr="00E7469C" w:rsidRDefault="008C718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1A34BCFA" w14:textId="77777777" w:rsidR="002377F0" w:rsidRPr="00E7469C" w:rsidRDefault="002377F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442955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Bajo tales consideraciones, este Organismo Garante no omite señalar que, si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advierte que la información solicitada contiene datos personales que sean susceptibles de ser clasificados como confidenciales,</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sz w:val="22"/>
          <w:szCs w:val="22"/>
        </w:rPr>
        <w:t xml:space="preserve">o, si por otro lado, por su propia y especial naturaleza, encuadra en alguno de los supuestos de </w:t>
      </w:r>
      <w:r w:rsidRPr="00E7469C">
        <w:rPr>
          <w:rFonts w:ascii="Palatino Linotype" w:eastAsia="Palatino Linotype" w:hAnsi="Palatino Linotype" w:cs="Palatino Linotype"/>
          <w:b/>
          <w:sz w:val="22"/>
          <w:szCs w:val="22"/>
        </w:rPr>
        <w:t>reserva</w:t>
      </w:r>
      <w:r w:rsidRPr="00E7469C">
        <w:rPr>
          <w:rFonts w:ascii="Palatino Linotype" w:eastAsia="Palatino Linotype" w:hAnsi="Palatino Linotype" w:cs="Palatino Linotype"/>
          <w:sz w:val="22"/>
          <w:szCs w:val="22"/>
        </w:rPr>
        <w:t xml:space="preserve"> o de confidencialidad </w:t>
      </w:r>
      <w:r w:rsidRPr="00E7469C">
        <w:rPr>
          <w:rFonts w:ascii="Palatino Linotype" w:eastAsia="Palatino Linotype" w:hAnsi="Palatino Linotype" w:cs="Palatino Linotype"/>
          <w:b/>
          <w:sz w:val="22"/>
          <w:szCs w:val="22"/>
        </w:rPr>
        <w:t>en su totalidad,</w:t>
      </w:r>
      <w:r w:rsidRPr="00E7469C">
        <w:rPr>
          <w:rFonts w:ascii="Palatino Linotype" w:eastAsia="Palatino Linotype" w:hAnsi="Palatino Linotype" w:cs="Palatino Linotype"/>
          <w:sz w:val="22"/>
          <w:szCs w:val="22"/>
        </w:rPr>
        <w:t xml:space="preserve"> deberá emitir un Acuerdo de Clasificación debidamente fundado y motivado </w:t>
      </w:r>
      <w:r w:rsidRPr="00E7469C">
        <w:rPr>
          <w:rFonts w:ascii="Palatino Linotype" w:eastAsia="Palatino Linotype" w:hAnsi="Palatino Linotype" w:cs="Palatino Linotype"/>
          <w:b/>
          <w:sz w:val="22"/>
          <w:szCs w:val="22"/>
        </w:rPr>
        <w:t xml:space="preserve">que sustente </w:t>
      </w:r>
      <w:r w:rsidRPr="00E7469C">
        <w:rPr>
          <w:rFonts w:ascii="Palatino Linotype" w:eastAsia="Palatino Linotype" w:hAnsi="Palatino Linotype" w:cs="Palatino Linotype"/>
          <w:sz w:val="22"/>
          <w:szCs w:val="22"/>
        </w:rPr>
        <w:t xml:space="preserve">la clasificación parcial, a través de la versión pública que emita, o bien, </w:t>
      </w:r>
      <w:r w:rsidRPr="00E7469C">
        <w:rPr>
          <w:rFonts w:ascii="Palatino Linotype" w:eastAsia="Palatino Linotype" w:hAnsi="Palatino Linotype" w:cs="Palatino Linotype"/>
          <w:b/>
          <w:sz w:val="22"/>
          <w:szCs w:val="22"/>
          <w:u w:val="single"/>
        </w:rPr>
        <w:t>la restricción total del derecho de acceso a la información.</w:t>
      </w:r>
    </w:p>
    <w:p w14:paraId="39671DB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3ECC948"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bookmarkStart w:id="19" w:name="_heading=h.2s8eyo1" w:colFirst="0" w:colLast="0"/>
      <w:bookmarkEnd w:id="19"/>
      <w:r w:rsidRPr="00E7469C">
        <w:rPr>
          <w:rFonts w:ascii="Palatino Linotype" w:eastAsia="Palatino Linotype" w:hAnsi="Palatino Linotype" w:cs="Palatino Linotype"/>
          <w:sz w:val="22"/>
          <w:szCs w:val="22"/>
        </w:rPr>
        <w:t xml:space="preserve">Asimismo, no obsta mencionar que el Acuerdo del Comité de Transparencia mediante el cual se clasifique la información </w:t>
      </w:r>
      <w:r w:rsidRPr="00E7469C">
        <w:rPr>
          <w:rFonts w:ascii="Palatino Linotype" w:eastAsia="Palatino Linotype" w:hAnsi="Palatino Linotype" w:cs="Palatino Linotype"/>
          <w:b/>
          <w:sz w:val="22"/>
          <w:szCs w:val="22"/>
          <w:u w:val="single"/>
        </w:rPr>
        <w:t>como reservada</w:t>
      </w:r>
      <w:r w:rsidRPr="00E7469C">
        <w:rPr>
          <w:rFonts w:ascii="Palatino Linotype" w:eastAsia="Palatino Linotype" w:hAnsi="Palatino Linotype" w:cs="Palatino Linotype"/>
          <w:sz w:val="22"/>
          <w:szCs w:val="22"/>
        </w:rPr>
        <w:t xml:space="preserve"> o confidencial, de manera total o </w:t>
      </w:r>
      <w:r w:rsidRPr="00E7469C">
        <w:rPr>
          <w:rFonts w:ascii="Palatino Linotype" w:eastAsia="Palatino Linotype" w:hAnsi="Palatino Linotype" w:cs="Palatino Linotype"/>
          <w:b/>
          <w:sz w:val="22"/>
          <w:szCs w:val="22"/>
        </w:rPr>
        <w:t xml:space="preserve">parcial </w:t>
      </w:r>
      <w:r w:rsidRPr="00E7469C">
        <w:rPr>
          <w:rFonts w:ascii="Palatino Linotype" w:eastAsia="Palatino Linotype" w:hAnsi="Palatino Linotype" w:cs="Palatino Linotype"/>
          <w:sz w:val="22"/>
          <w:szCs w:val="22"/>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E7469C">
        <w:rPr>
          <w:rFonts w:ascii="Palatino Linotype" w:eastAsia="Palatino Linotype" w:hAnsi="Palatino Linotype" w:cs="Palatino Linotype"/>
          <w:b/>
          <w:sz w:val="22"/>
          <w:szCs w:val="22"/>
          <w:u w:val="single"/>
        </w:rPr>
        <w:t xml:space="preserve">de igual forma en dicho acuerdo se deben exponer de manera clara los fundamentos y razones que llevaron a la autoridad a clasificar la información de </w:t>
      </w:r>
      <w:r w:rsidRPr="00E7469C">
        <w:rPr>
          <w:rFonts w:ascii="Palatino Linotype" w:eastAsia="Palatino Linotype" w:hAnsi="Palatino Linotype" w:cs="Palatino Linotype"/>
          <w:b/>
          <w:sz w:val="22"/>
          <w:szCs w:val="22"/>
          <w:u w:val="single"/>
        </w:rPr>
        <w:lastRenderedPageBreak/>
        <w:t>acuerdo con lo establecido en el artículo 149 de la Ley de la materia,</w:t>
      </w:r>
      <w:r w:rsidRPr="00E7469C">
        <w:rPr>
          <w:rFonts w:ascii="Palatino Linotype" w:eastAsia="Palatino Linotype" w:hAnsi="Palatino Linotype" w:cs="Palatino Linotype"/>
          <w:sz w:val="22"/>
          <w:szCs w:val="22"/>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DF29F07" w14:textId="77777777" w:rsidR="002377F0" w:rsidRPr="00E7469C" w:rsidRDefault="002377F0">
      <w:pPr>
        <w:ind w:right="901"/>
        <w:jc w:val="both"/>
        <w:rPr>
          <w:rFonts w:ascii="Palatino Linotype" w:eastAsia="Palatino Linotype" w:hAnsi="Palatino Linotype" w:cs="Palatino Linotype"/>
          <w:i/>
          <w:sz w:val="22"/>
          <w:szCs w:val="22"/>
        </w:rPr>
      </w:pPr>
    </w:p>
    <w:p w14:paraId="0FCBC183" w14:textId="77777777" w:rsidR="002377F0" w:rsidRPr="00E7469C" w:rsidRDefault="008C7182">
      <w:pPr>
        <w:spacing w:line="360" w:lineRule="auto"/>
        <w:ind w:right="-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sentido, se considera que en el presente caso opera una clasificación total de la información requerida como reservada, por ubicarse la misma en los supuestos previstos por los artículos 140 fracción I de la Ley de Transparencia y Acceso a la Información Pública del Estado de México y Municipios, que a su vez se vincula con la diversa del artículo 113, fracción I de la Ley General de Transparencia y Acceso a la Información Pública (vigente a la fecha de la solicitud), que indican lo siguiente: </w:t>
      </w:r>
    </w:p>
    <w:p w14:paraId="16CB7CB5" w14:textId="77777777" w:rsidR="002377F0" w:rsidRPr="00E7469C" w:rsidRDefault="002377F0">
      <w:pPr>
        <w:ind w:left="851" w:right="851"/>
        <w:jc w:val="both"/>
        <w:rPr>
          <w:rFonts w:ascii="Palatino Linotype" w:eastAsia="Palatino Linotype" w:hAnsi="Palatino Linotype" w:cs="Palatino Linotype"/>
          <w:b/>
          <w:i/>
          <w:sz w:val="22"/>
          <w:szCs w:val="22"/>
        </w:rPr>
      </w:pPr>
    </w:p>
    <w:p w14:paraId="177BF57C"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113.</w:t>
      </w:r>
      <w:r w:rsidRPr="00E7469C">
        <w:rPr>
          <w:rFonts w:ascii="Palatino Linotype" w:eastAsia="Palatino Linotype" w:hAnsi="Palatino Linotype" w:cs="Palatino Linotype"/>
          <w:i/>
          <w:sz w:val="22"/>
          <w:szCs w:val="22"/>
        </w:rPr>
        <w:t xml:space="preserve"> Como información reservada podrá clasificarse aquella cuya publicación:</w:t>
      </w:r>
    </w:p>
    <w:p w14:paraId="098565B3"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u w:val="single"/>
        </w:rPr>
        <w:t xml:space="preserve"> I. Comprometa la seguridad nacional, la seguridad pública o la defensa nacional y cuente con un propósito genuino y un efecto demostrable…”</w:t>
      </w:r>
    </w:p>
    <w:p w14:paraId="5D9B3AB9" w14:textId="77777777" w:rsidR="002377F0" w:rsidRPr="00E7469C" w:rsidRDefault="002377F0">
      <w:pPr>
        <w:spacing w:line="276" w:lineRule="auto"/>
        <w:ind w:left="851" w:right="567"/>
        <w:jc w:val="both"/>
        <w:rPr>
          <w:rFonts w:ascii="Palatino Linotype" w:eastAsia="Palatino Linotype" w:hAnsi="Palatino Linotype" w:cs="Palatino Linotype"/>
          <w:b/>
          <w:i/>
          <w:sz w:val="22"/>
          <w:szCs w:val="22"/>
        </w:rPr>
      </w:pPr>
    </w:p>
    <w:p w14:paraId="2728BBFA"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140</w:t>
      </w:r>
      <w:r w:rsidRPr="00E7469C">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60C02775"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u w:val="single"/>
        </w:rPr>
      </w:pPr>
      <w:r w:rsidRPr="00E7469C">
        <w:rPr>
          <w:rFonts w:ascii="Palatino Linotype" w:eastAsia="Palatino Linotype" w:hAnsi="Palatino Linotype" w:cs="Palatino Linotype"/>
          <w:b/>
          <w:i/>
          <w:sz w:val="22"/>
          <w:szCs w:val="22"/>
          <w:u w:val="single"/>
        </w:rPr>
        <w:t>I</w:t>
      </w:r>
      <w:r w:rsidRPr="00E7469C">
        <w:rPr>
          <w:rFonts w:ascii="Palatino Linotype" w:eastAsia="Palatino Linotype" w:hAnsi="Palatino Linotype" w:cs="Palatino Linotype"/>
          <w:i/>
          <w:sz w:val="22"/>
          <w:szCs w:val="22"/>
          <w:u w:val="single"/>
        </w:rPr>
        <w:t xml:space="preserve">. Comprometa la seguridad pública y cuente con un propósito genuino y un efecto demostrable; </w:t>
      </w:r>
    </w:p>
    <w:p w14:paraId="46B691D7"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w:t>
      </w:r>
      <w:r w:rsidRPr="00E7469C">
        <w:rPr>
          <w:rFonts w:ascii="Palatino Linotype" w:eastAsia="Palatino Linotype" w:hAnsi="Palatino Linotype" w:cs="Palatino Linotype"/>
          <w:i/>
          <w:sz w:val="22"/>
          <w:szCs w:val="22"/>
        </w:rPr>
        <w:t>”</w:t>
      </w:r>
    </w:p>
    <w:p w14:paraId="6505B2E1"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(Énfasis añadido)</w:t>
      </w:r>
    </w:p>
    <w:p w14:paraId="26AC5069" w14:textId="77777777" w:rsidR="002377F0" w:rsidRPr="00E7469C" w:rsidRDefault="002377F0">
      <w:pPr>
        <w:ind w:left="851" w:right="851"/>
        <w:jc w:val="both"/>
        <w:rPr>
          <w:rFonts w:ascii="Palatino Linotype" w:eastAsia="Palatino Linotype" w:hAnsi="Palatino Linotype" w:cs="Palatino Linotype"/>
          <w:i/>
          <w:sz w:val="22"/>
          <w:szCs w:val="22"/>
        </w:rPr>
      </w:pPr>
    </w:p>
    <w:p w14:paraId="3B958A7C"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Se afirma lo anterior, pues la información que revela el tipo de armamento que maneja el personal operativo (policías) adscrito a la Dirección de Seguridad Pública, podría ocasionar que los entes delincuenciales busquen allegarse de instrumentos para disminuir o destruir estos, con el fin de aumentar la inseguridad del Sujeto Obligado, pues podría ser utilizada </w:t>
      </w:r>
      <w:r w:rsidRPr="00E7469C">
        <w:rPr>
          <w:rFonts w:ascii="Palatino Linotype" w:eastAsia="Palatino Linotype" w:hAnsi="Palatino Linotype" w:cs="Palatino Linotype"/>
          <w:sz w:val="22"/>
          <w:szCs w:val="22"/>
        </w:rPr>
        <w:lastRenderedPageBreak/>
        <w:t>dicha información para buscar las debilidades de las mismas y poderse aprovechar de dichas situaciones para realizar diversos delitos, lo cual va en detrimento de la paz y orden social.</w:t>
      </w:r>
    </w:p>
    <w:p w14:paraId="72EE95AE" w14:textId="77777777" w:rsidR="002377F0" w:rsidRPr="00E7469C" w:rsidRDefault="002377F0">
      <w:pPr>
        <w:spacing w:line="360" w:lineRule="auto"/>
        <w:rPr>
          <w:rFonts w:ascii="Palatino Linotype" w:eastAsia="Palatino Linotype" w:hAnsi="Palatino Linotype" w:cs="Palatino Linotype"/>
          <w:sz w:val="22"/>
          <w:szCs w:val="22"/>
        </w:rPr>
      </w:pPr>
    </w:p>
    <w:p w14:paraId="45F11DDC"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Conforme a lo anterior, se puede colegir que proporcionar la información en análisis podría comprometer la seguridad pública, al poner en peligro las funciones a cargo del Sujeto Obligado,  tendientes a preservar y resguardar la vida, la salud, la integridad y el ejercicio de los derechos de las personas, así como para el mantenimiento del orden público, toda vez </w:t>
      </w:r>
      <w:r w:rsidRPr="00E7469C">
        <w:rPr>
          <w:rFonts w:ascii="Palatino Linotype" w:eastAsia="Palatino Linotype" w:hAnsi="Palatino Linotype" w:cs="Palatino Linotype"/>
          <w:b/>
          <w:sz w:val="22"/>
          <w:szCs w:val="22"/>
        </w:rPr>
        <w:t xml:space="preserve">que da cuenta del armamento utilizado por la Comisaría Municipal </w:t>
      </w:r>
      <w:r w:rsidRPr="00E7469C">
        <w:rPr>
          <w:rFonts w:ascii="Palatino Linotype" w:eastAsia="Palatino Linotype" w:hAnsi="Palatino Linotype" w:cs="Palatino Linotype"/>
          <w:sz w:val="22"/>
          <w:szCs w:val="22"/>
        </w:rPr>
        <w:t>y por lo tanto, acredita la causal de clasificación prevista en el artículo 140, fracción I de la Ley de Transparencia y Acceso a la Información Pública del Estado de México</w:t>
      </w:r>
      <w:r w:rsidRPr="00E7469C">
        <w:rPr>
          <w:rFonts w:ascii="Palatino Linotype" w:eastAsia="Palatino Linotype" w:hAnsi="Palatino Linotype" w:cs="Palatino Linotype"/>
          <w:b/>
          <w:sz w:val="22"/>
          <w:szCs w:val="22"/>
        </w:rPr>
        <w:t>.</w:t>
      </w:r>
    </w:p>
    <w:p w14:paraId="4E135F42" w14:textId="77777777" w:rsidR="002377F0" w:rsidRPr="00E7469C" w:rsidRDefault="002377F0">
      <w:pPr>
        <w:spacing w:line="360" w:lineRule="auto"/>
        <w:jc w:val="both"/>
        <w:rPr>
          <w:rFonts w:ascii="Palatino Linotype" w:eastAsia="Palatino Linotype" w:hAnsi="Palatino Linotype" w:cs="Palatino Linotype"/>
          <w:b/>
          <w:sz w:val="22"/>
          <w:szCs w:val="22"/>
        </w:rPr>
      </w:pPr>
    </w:p>
    <w:p w14:paraId="583A34C0" w14:textId="77777777" w:rsidR="002377F0" w:rsidRPr="00E7469C" w:rsidRDefault="008C7182">
      <w:pPr>
        <w:tabs>
          <w:tab w:val="left" w:pos="4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C06986B" w14:textId="77777777" w:rsidR="002377F0" w:rsidRPr="00E7469C" w:rsidRDefault="008C7182">
      <w:pPr>
        <w:numPr>
          <w:ilvl w:val="0"/>
          <w:numId w:val="17"/>
        </w:numPr>
        <w:tabs>
          <w:tab w:val="left" w:pos="4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14:paraId="34122593" w14:textId="77777777" w:rsidR="002377F0" w:rsidRPr="00E7469C" w:rsidRDefault="008C7182">
      <w:pPr>
        <w:numPr>
          <w:ilvl w:val="0"/>
          <w:numId w:val="17"/>
        </w:numPr>
        <w:tabs>
          <w:tab w:val="left" w:pos="4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El riesgo de perjuicio supera el interés público general de que se difunda.</w:t>
      </w:r>
    </w:p>
    <w:p w14:paraId="3738570A" w14:textId="77777777" w:rsidR="002377F0" w:rsidRPr="00E7469C" w:rsidRDefault="008C7182">
      <w:pPr>
        <w:numPr>
          <w:ilvl w:val="0"/>
          <w:numId w:val="17"/>
        </w:numPr>
        <w:tabs>
          <w:tab w:val="left" w:pos="4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Que la limitación se adecua al principio de proporcionalidad y representa el medio menos restrictivo disponible para evitar el perjuicio.</w:t>
      </w:r>
    </w:p>
    <w:p w14:paraId="076FDDE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9A15E8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Al respecto, este Instituto advierte que dar a conocer información sobre el tipo de armamento ocupado por el personal operativo de la Dirección General de Seguridad </w:t>
      </w:r>
      <w:r w:rsidRPr="00E7469C">
        <w:rPr>
          <w:rFonts w:ascii="Palatino Linotype" w:eastAsia="Palatino Linotype" w:hAnsi="Palatino Linotype" w:cs="Palatino Linotype"/>
          <w:sz w:val="22"/>
          <w:szCs w:val="22"/>
        </w:rPr>
        <w:lastRenderedPageBreak/>
        <w:t xml:space="preserve">Pública, para inhibir la inseguridad y evitar la comisión de actos ilícitos, podría dar a conocer las debilidades del armamento utilizado por el personal de seguridad pública, con el fin de dar una ventaja a los entes delincuenciales y facilitar la comisión de delitos. </w:t>
      </w:r>
    </w:p>
    <w:p w14:paraId="6EB553C9"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D5C3CE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Asimismo, ocasiona que los individuos con pretensiones delictivas conozcan de manera detallada el armamento ocupado por los policías, lo cual permitiría que se prepararan y buscaran la forma de inhibir las armas o los medios de protección de estos, en detrimento de los policías y la sociedad, lo cual se traduciría en un detrimento al combate a la delincuencia y un perjuicio a la seguridad pública, vulnerando así, el interés general.</w:t>
      </w:r>
    </w:p>
    <w:p w14:paraId="169A5A7E" w14:textId="77777777" w:rsidR="002377F0" w:rsidRPr="00E7469C" w:rsidRDefault="002377F0">
      <w:pPr>
        <w:spacing w:line="360" w:lineRule="auto"/>
        <w:ind w:left="720"/>
        <w:jc w:val="both"/>
        <w:rPr>
          <w:rFonts w:ascii="Palatino Linotype" w:eastAsia="Palatino Linotype" w:hAnsi="Palatino Linotype" w:cs="Palatino Linotype"/>
          <w:sz w:val="22"/>
          <w:szCs w:val="22"/>
        </w:rPr>
      </w:pPr>
    </w:p>
    <w:p w14:paraId="3A8E5A0F"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el caso particular prevalece  proteger alguno de los derechos más importantes, como lo son la vida, la salud y la seguridad de los habitantes del ayuntamiento, además, que con la protección de la información ayuda a mantener el orden y paz social, pues no se estarían menoscabando las estrategias contra la capacidad de disuadir, prevenir disturbios sociales, o bien, la capacidad de reacción, planes, estrategias, tecnologías, información o sistemas de comunicaciones de la Dirección General de Seguridad Publica.</w:t>
      </w:r>
    </w:p>
    <w:p w14:paraId="0221B37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1EE90AE"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esta manera, después de analizar la naturaleza de la información solicitada, este Instituto arriba a la conclusión de que la divulgación de la información requerida por la persona solicitante, generaría un daño que sería mayor al interés público, puesto que darla a conocer, revelaría el tipo, modelo, calibre, marca de las armas con las que cuenta la Comisaría Municipal, para el combate a la delincuencia en el Municipio, pues al proporcionar información sobre el armamento con los que cuentan dicha área, se estaría dando cuenta del equipo y armamento especial, con el que cuentan el personal, y que es utilizado para mantener la seguridad dentro del territorio del Municipio, actualizando las </w:t>
      </w:r>
      <w:r w:rsidRPr="00E7469C">
        <w:rPr>
          <w:rFonts w:ascii="Palatino Linotype" w:eastAsia="Palatino Linotype" w:hAnsi="Palatino Linotype" w:cs="Palatino Linotype"/>
          <w:sz w:val="22"/>
          <w:szCs w:val="22"/>
        </w:rPr>
        <w:lastRenderedPageBreak/>
        <w:t>hipótesis de reserva previstas en el artículo 140, fracción I de la Ley de Transparencia, Acceso a la Información Pública del Estado de México y Municipios.</w:t>
      </w:r>
    </w:p>
    <w:p w14:paraId="183142C0" w14:textId="77777777" w:rsidR="002377F0" w:rsidRPr="00E7469C" w:rsidRDefault="002377F0">
      <w:pPr>
        <w:spacing w:line="360" w:lineRule="auto"/>
        <w:ind w:left="720"/>
        <w:jc w:val="both"/>
        <w:rPr>
          <w:rFonts w:ascii="Palatino Linotype" w:eastAsia="Palatino Linotype" w:hAnsi="Palatino Linotype" w:cs="Palatino Linotype"/>
          <w:sz w:val="22"/>
          <w:szCs w:val="22"/>
        </w:rPr>
      </w:pPr>
    </w:p>
    <w:p w14:paraId="34DA7A92"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20" w:name="_heading=h.75xgkzk0uvx6" w:colFirst="0" w:colLast="0"/>
      <w:bookmarkEnd w:id="20"/>
      <w:r w:rsidRPr="00E7469C">
        <w:rPr>
          <w:rFonts w:ascii="Palatino Linotype" w:eastAsia="Palatino Linotype" w:hAnsi="Palatino Linotype" w:cs="Palatino Linotype"/>
          <w:sz w:val="22"/>
          <w:szCs w:val="22"/>
        </w:rPr>
        <w:t>Derivado de lo expuesto, se estima procedente ordenar la entrega del Acuerdo de clasificación emitido por el Comité de Transparencia, en donde de manera debidamente fundada y motivada, a través de una prueba de daño, confirme la clasificación como reservada, en términos del artículo 140 fracción I de la Ley de Transparencia y Acceso a la Información Pública del Estado de México y Municipios, de los datos requeridos consistentes en el inventario de armamento de seguridad pública al siete de marzo de dos mil veinticinco.</w:t>
      </w:r>
    </w:p>
    <w:p w14:paraId="3C9CFD12"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DA560B2" w14:textId="77777777" w:rsidR="002377F0" w:rsidRPr="00E7469C" w:rsidRDefault="008C7182">
      <w:pPr>
        <w:numPr>
          <w:ilvl w:val="0"/>
          <w:numId w:val="1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Cuantas denuncias se han interpuesto o cuantos casos de maltrato a la mujer se han dado en el municipio</w:t>
      </w:r>
    </w:p>
    <w:p w14:paraId="7C7B7F9A" w14:textId="77777777" w:rsidR="002377F0" w:rsidRPr="00E7469C" w:rsidRDefault="002377F0">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sz w:val="22"/>
          <w:szCs w:val="22"/>
        </w:rPr>
      </w:pPr>
    </w:p>
    <w:p w14:paraId="28DB295D"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respuesta la Unidad e Transparencia informó una incompetencia parcial, de conformidad con el artículo 167 de la Ley de Transparencia Local, señalando que la información solicitada puede obrar en la </w:t>
      </w:r>
      <w:proofErr w:type="gramStart"/>
      <w:r w:rsidRPr="00E7469C">
        <w:rPr>
          <w:rFonts w:ascii="Palatino Linotype" w:eastAsia="Palatino Linotype" w:hAnsi="Palatino Linotype" w:cs="Palatino Linotype"/>
          <w:sz w:val="22"/>
          <w:szCs w:val="22"/>
        </w:rPr>
        <w:t>Fiscalía General</w:t>
      </w:r>
      <w:proofErr w:type="gramEnd"/>
      <w:r w:rsidRPr="00E7469C">
        <w:rPr>
          <w:rFonts w:ascii="Palatino Linotype" w:eastAsia="Palatino Linotype" w:hAnsi="Palatino Linotype" w:cs="Palatino Linotype"/>
          <w:sz w:val="22"/>
          <w:szCs w:val="22"/>
        </w:rPr>
        <w:t xml:space="preserve"> de Justicia del Estado de México; por lo que sugiere al particular ingresar una nueva solicitud de información dirigida a dicho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w:t>
      </w:r>
    </w:p>
    <w:p w14:paraId="7ACE9658"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26AABB2" w14:textId="77777777" w:rsidR="002377F0" w:rsidRPr="00E7469C" w:rsidRDefault="008C7182">
      <w:pPr>
        <w:pBdr>
          <w:top w:val="nil"/>
          <w:left w:val="nil"/>
          <w:bottom w:val="nil"/>
          <w:right w:val="nil"/>
          <w:between w:val="nil"/>
        </w:pBdr>
        <w:tabs>
          <w:tab w:val="left" w:pos="1276"/>
        </w:tabs>
        <w:spacing w:line="360" w:lineRule="auto"/>
        <w:ind w:right="-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Derivado de lo anterior, se procede a contextualizar la información solicitada, por lo que, de conformidad con el Bando Municipal 2025, se tiene que, para el desarrollo de los asuntos administrativos y la prestación de los servicios públicos, la Administración Pública Municipal Centralizada, se auxiliara de la Comisaría Municipal, cuyo objetivo es: </w:t>
      </w:r>
    </w:p>
    <w:p w14:paraId="3149C413"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75F3E2C4" w14:textId="77777777" w:rsidR="002377F0" w:rsidRPr="00E7469C" w:rsidRDefault="008C7182">
      <w:pPr>
        <w:pBdr>
          <w:top w:val="nil"/>
          <w:left w:val="nil"/>
          <w:bottom w:val="nil"/>
          <w:right w:val="nil"/>
          <w:between w:val="nil"/>
        </w:pBdr>
        <w:tabs>
          <w:tab w:val="left" w:pos="709"/>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w:t>
      </w:r>
      <w:r w:rsidRPr="00E7469C">
        <w:rPr>
          <w:rFonts w:ascii="Palatino Linotype" w:eastAsia="Palatino Linotype" w:hAnsi="Palatino Linotype" w:cs="Palatino Linotype"/>
          <w:b/>
          <w:i/>
          <w:sz w:val="22"/>
          <w:szCs w:val="22"/>
        </w:rPr>
        <w:t>Artículo 128.</w:t>
      </w:r>
      <w:r w:rsidRPr="00E7469C">
        <w:rPr>
          <w:rFonts w:ascii="Palatino Linotype" w:eastAsia="Palatino Linotype" w:hAnsi="Palatino Linotype" w:cs="Palatino Linotype"/>
          <w:i/>
          <w:sz w:val="22"/>
          <w:szCs w:val="22"/>
        </w:rPr>
        <w:t xml:space="preserve"> El Titular de </w:t>
      </w:r>
      <w:r w:rsidRPr="00E7469C">
        <w:rPr>
          <w:rFonts w:ascii="Palatino Linotype" w:eastAsia="Palatino Linotype" w:hAnsi="Palatino Linotype" w:cs="Palatino Linotype"/>
          <w:b/>
          <w:i/>
          <w:sz w:val="22"/>
          <w:szCs w:val="22"/>
        </w:rPr>
        <w:t>la Comisaría Municipal de Atlacomulco</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 xml:space="preserve">operará el Programa Municipal de Seguridad Ciudadana y coadyuvará con el Programa Municipal de Prevención Social de la Violencia </w:t>
      </w:r>
      <w:r w:rsidRPr="00E7469C">
        <w:rPr>
          <w:rFonts w:ascii="Palatino Linotype" w:eastAsia="Palatino Linotype" w:hAnsi="Palatino Linotype" w:cs="Palatino Linotype"/>
          <w:i/>
          <w:sz w:val="22"/>
          <w:szCs w:val="22"/>
        </w:rPr>
        <w:t>y la Delincuencia con Participación Ciudadana, así como con la Policía de Género y Célula de Búsqueda y localización de personas; teniendo las atribuciones que establece la Ley de Seguridad del Estado de México, este Bando Municipal y las demás que le confieran otras Leyes. “</w:t>
      </w:r>
    </w:p>
    <w:p w14:paraId="284F7F8D"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0CDD11ED" w14:textId="77777777" w:rsidR="002377F0" w:rsidRPr="00E7469C" w:rsidRDefault="008C7182">
      <w:pPr>
        <w:pBdr>
          <w:top w:val="nil"/>
          <w:left w:val="nil"/>
          <w:bottom w:val="nil"/>
          <w:right w:val="nil"/>
          <w:between w:val="nil"/>
        </w:pBdr>
        <w:tabs>
          <w:tab w:val="left" w:pos="1276"/>
        </w:tabs>
        <w:spacing w:line="360" w:lineRule="auto"/>
        <w:ind w:right="-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 anterior, se colige que, el Ayuntamiento, a través de la Comisaría Municipal </w:t>
      </w:r>
      <w:proofErr w:type="gramStart"/>
      <w:r w:rsidRPr="00E7469C">
        <w:rPr>
          <w:rFonts w:ascii="Palatino Linotype" w:eastAsia="Palatino Linotype" w:hAnsi="Palatino Linotype" w:cs="Palatino Linotype"/>
          <w:sz w:val="22"/>
          <w:szCs w:val="22"/>
        </w:rPr>
        <w:t>operara</w:t>
      </w:r>
      <w:proofErr w:type="gramEnd"/>
      <w:r w:rsidRPr="00E7469C">
        <w:rPr>
          <w:rFonts w:ascii="Palatino Linotype" w:eastAsia="Palatino Linotype" w:hAnsi="Palatino Linotype" w:cs="Palatino Linotype"/>
          <w:sz w:val="22"/>
          <w:szCs w:val="22"/>
        </w:rPr>
        <w:t xml:space="preserve"> el Programa Municipal de Seguridad Ciudadana y coadyuvará con el Programa Municipal de Prevención Social de la Violencia y la Delincuencia con Participación Ciudadana. </w:t>
      </w:r>
    </w:p>
    <w:p w14:paraId="18057270" w14:textId="77777777" w:rsidR="002377F0" w:rsidRPr="00E7469C" w:rsidRDefault="002377F0">
      <w:pPr>
        <w:pBdr>
          <w:top w:val="nil"/>
          <w:left w:val="nil"/>
          <w:bottom w:val="nil"/>
          <w:right w:val="nil"/>
          <w:between w:val="nil"/>
        </w:pBdr>
        <w:tabs>
          <w:tab w:val="left" w:pos="1276"/>
        </w:tabs>
        <w:spacing w:line="360" w:lineRule="auto"/>
        <w:ind w:right="-7"/>
        <w:jc w:val="both"/>
        <w:rPr>
          <w:rFonts w:ascii="Palatino Linotype" w:eastAsia="Palatino Linotype" w:hAnsi="Palatino Linotype" w:cs="Palatino Linotype"/>
          <w:sz w:val="22"/>
          <w:szCs w:val="22"/>
        </w:rPr>
      </w:pPr>
    </w:p>
    <w:p w14:paraId="2403F527" w14:textId="77777777" w:rsidR="002377F0" w:rsidRPr="00E7469C" w:rsidRDefault="008C7182">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Ahora bien, es necesario precisar que de las constancias que obran en el expediente se logra vislumbrar que el Sujeto Obligado no turnó la solicitud de información a la unidad administrativa competente, a saber la Comisaría Municipal para que diera atención al punto de análisis,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6E09110" w14:textId="77777777" w:rsidR="002377F0" w:rsidRPr="00E7469C" w:rsidRDefault="002377F0">
      <w:pPr>
        <w:spacing w:line="360" w:lineRule="auto"/>
        <w:ind w:right="560"/>
        <w:jc w:val="both"/>
        <w:rPr>
          <w:rFonts w:ascii="Palatino Linotype" w:eastAsia="Palatino Linotype" w:hAnsi="Palatino Linotype" w:cs="Palatino Linotype"/>
          <w:sz w:val="22"/>
          <w:szCs w:val="22"/>
        </w:rPr>
      </w:pPr>
    </w:p>
    <w:p w14:paraId="3029FFFC" w14:textId="77777777" w:rsidR="002377F0" w:rsidRPr="00E7469C" w:rsidRDefault="008C7182">
      <w:pPr>
        <w:numPr>
          <w:ilvl w:val="3"/>
          <w:numId w:val="19"/>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w:t>
      </w: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las facultades, competencias y funciones-, con el objeto de que dichas áreas realicen una búsqueda exhaustiva y razonable de la información requerida, y</w:t>
      </w:r>
    </w:p>
    <w:p w14:paraId="564E32F9" w14:textId="77777777" w:rsidR="002377F0" w:rsidRPr="00E7469C" w:rsidRDefault="002377F0">
      <w:pPr>
        <w:spacing w:line="360" w:lineRule="auto"/>
        <w:ind w:left="567" w:right="560"/>
        <w:jc w:val="both"/>
        <w:rPr>
          <w:rFonts w:ascii="Palatino Linotype" w:eastAsia="Palatino Linotype" w:hAnsi="Palatino Linotype" w:cs="Palatino Linotype"/>
          <w:sz w:val="22"/>
          <w:szCs w:val="22"/>
        </w:rPr>
      </w:pPr>
    </w:p>
    <w:p w14:paraId="11065ECA" w14:textId="77777777" w:rsidR="002377F0" w:rsidRPr="00E7469C" w:rsidRDefault="008C7182">
      <w:pPr>
        <w:numPr>
          <w:ilvl w:val="3"/>
          <w:numId w:val="19"/>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Los sujetos obligados otorgaran acceso a los documentos que se encuentren en sus archivos o que estén obligados a documentar de acuerdo con sus facultades, </w:t>
      </w:r>
      <w:r w:rsidRPr="00E7469C">
        <w:rPr>
          <w:rFonts w:ascii="Palatino Linotype" w:eastAsia="Palatino Linotype" w:hAnsi="Palatino Linotype" w:cs="Palatino Linotype"/>
          <w:sz w:val="22"/>
          <w:szCs w:val="22"/>
        </w:rPr>
        <w:lastRenderedPageBreak/>
        <w:t>competencias o funciones, en el formato en que la solicitante manifieste, de entre aquellos formatos existentes.</w:t>
      </w:r>
    </w:p>
    <w:p w14:paraId="3C6F272D" w14:textId="77777777" w:rsidR="002377F0" w:rsidRPr="00E7469C" w:rsidRDefault="002377F0">
      <w:pPr>
        <w:spacing w:line="360" w:lineRule="auto"/>
        <w:ind w:right="560"/>
        <w:jc w:val="both"/>
        <w:rPr>
          <w:rFonts w:ascii="Palatino Linotype" w:eastAsia="Palatino Linotype" w:hAnsi="Palatino Linotype" w:cs="Palatino Linotype"/>
          <w:sz w:val="22"/>
          <w:szCs w:val="22"/>
        </w:rPr>
      </w:pPr>
    </w:p>
    <w:p w14:paraId="0F3EC13E"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Así y conforme a lo establecido en párrafos anteriores,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no cumplió con el procedimiento de búsqueda establecido en el artículo 162 de la Ley de Transparencia y Acceso a la Información Pública del Estado de México y Municipios, al no gestionar el requerimiento de información al área competente para conocer de lo peticionado.</w:t>
      </w:r>
    </w:p>
    <w:p w14:paraId="75881D78"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01DF7C6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en cuanto hace a los agravios hechos valer por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es de referir que, de la lectura a su requerimiento, se desprende que estos se hicieron a modo de cuestionamiento, no obstante, de conformidad con el Criterio orientador 06/17 emitido por el entonces Instituto Nacional de Transparencia, cuando los particulares realicen una solicitud de información que constituya una consulta, se les deberá otorgar una expresión documental, tal como se observa a continuación: </w:t>
      </w:r>
    </w:p>
    <w:p w14:paraId="75B4665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4C6F92B" w14:textId="77777777" w:rsidR="002377F0" w:rsidRPr="00E7469C" w:rsidRDefault="008C7182">
      <w:pPr>
        <w:ind w:left="567" w:right="560"/>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Expresión documental.</w:t>
      </w:r>
      <w:r w:rsidRPr="00E7469C">
        <w:rPr>
          <w:rFonts w:ascii="Palatino Linotype" w:eastAsia="Palatino Linotype" w:hAnsi="Palatino Linotype" w:cs="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0519DD9"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6213C4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sentido, se advierte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únicamente informó la incompetencia parcial para conocer de la información solicitada, señalando que la información puede obrar en la Fiscalía General de Justicia del Estado de México; no obstante, no se advierte que se haya pronunciado el área competente para conocer de la información solicitada; por lo que, resulta conveniente traer a colación el Criterio 02/17 emitido por el entonces Instituto Nacional de Transparencia, Acceso a la Información y Protección de Datos Personales el cual establece lo siguiente:</w:t>
      </w:r>
    </w:p>
    <w:p w14:paraId="5412AE09" w14:textId="77777777" w:rsidR="002377F0" w:rsidRPr="00E7469C" w:rsidRDefault="002377F0">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6BAB7E9C" w14:textId="77777777" w:rsidR="002377F0" w:rsidRPr="00E7469C" w:rsidRDefault="008C7182">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Congruencia y exhaustividad. Sus alcances para garantizar el derecho de acceso a la información.</w:t>
      </w:r>
      <w:r w:rsidRPr="00E7469C">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2523BB" w14:textId="77777777" w:rsidR="002377F0" w:rsidRPr="00E7469C" w:rsidRDefault="002377F0">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4D8768F" w14:textId="77777777" w:rsidR="002377F0" w:rsidRPr="00E7469C" w:rsidRDefault="008C718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E7469C">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E7469C">
        <w:rPr>
          <w:rFonts w:ascii="Palatino Linotype" w:eastAsia="Palatino Linotype" w:hAnsi="Palatino Linotype" w:cs="Palatino Linotype"/>
          <w:sz w:val="22"/>
          <w:szCs w:val="22"/>
        </w:rPr>
        <w:t xml:space="preserve">, mientras que la exhaustividad establece que el sujeto obligado </w:t>
      </w:r>
      <w:r w:rsidRPr="00E7469C">
        <w:rPr>
          <w:rFonts w:ascii="Palatino Linotype" w:eastAsia="Palatino Linotype" w:hAnsi="Palatino Linotype" w:cs="Palatino Linotype"/>
          <w:b/>
          <w:sz w:val="22"/>
          <w:szCs w:val="22"/>
        </w:rPr>
        <w:t>deberá atender de manera expresa cada uno de los puntos solicitados</w:t>
      </w:r>
      <w:r w:rsidRPr="00E7469C">
        <w:rPr>
          <w:rFonts w:ascii="Palatino Linotype" w:eastAsia="Palatino Linotype" w:hAnsi="Palatino Linotype" w:cs="Palatino Linotype"/>
          <w:sz w:val="22"/>
          <w:szCs w:val="22"/>
        </w:rPr>
        <w:t xml:space="preserve">, situación que en el presente caso </w:t>
      </w:r>
      <w:r w:rsidRPr="00E7469C">
        <w:rPr>
          <w:rFonts w:ascii="Palatino Linotype" w:eastAsia="Palatino Linotype" w:hAnsi="Palatino Linotype" w:cs="Palatino Linotype"/>
          <w:b/>
          <w:sz w:val="22"/>
          <w:szCs w:val="22"/>
          <w:u w:val="single"/>
        </w:rPr>
        <w:t>no aconteció</w:t>
      </w:r>
      <w:r w:rsidRPr="00E7469C">
        <w:rPr>
          <w:rFonts w:ascii="Palatino Linotype" w:eastAsia="Palatino Linotype" w:hAnsi="Palatino Linotype" w:cs="Palatino Linotype"/>
          <w:sz w:val="22"/>
          <w:szCs w:val="22"/>
        </w:rPr>
        <w:t xml:space="preserve">, pues el Sujeto Obligado fue omiso en pronunciarse respecto al número de denuncias interpuestas o el número de casos de maltrato a la mujer que se han dado en el municipio. </w:t>
      </w:r>
    </w:p>
    <w:p w14:paraId="7F48F33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CA73F5A"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21" w:name="_heading=h.5ghu5tnpm5kw" w:colFirst="0" w:colLast="0"/>
      <w:bookmarkEnd w:id="21"/>
      <w:r w:rsidRPr="00E7469C">
        <w:rPr>
          <w:rFonts w:ascii="Palatino Linotype" w:eastAsia="Palatino Linotype" w:hAnsi="Palatino Linotype" w:cs="Palatino Linotype"/>
          <w:sz w:val="22"/>
          <w:szCs w:val="22"/>
        </w:rPr>
        <w:t xml:space="preserve">Por lo que, resulta dable ordenar, una nueva búsqueda exhaustiva y razonable de la información, con la finalidad de que se proporcione el documento que dé cuenta del número de denuncias y casos de maltrato a la mujer interpuestas en el Ayuntamiento de Atlacomulco del primero de enero al siete de marzo de dos mil veinticinco. </w:t>
      </w:r>
    </w:p>
    <w:p w14:paraId="2736265B"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36A2F8C" w14:textId="77777777" w:rsidR="002377F0" w:rsidRPr="00E7469C" w:rsidRDefault="008C7182">
      <w:pPr>
        <w:numPr>
          <w:ilvl w:val="0"/>
          <w:numId w:val="1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De contraloría, cuantos procedimientos han iniciado y </w:t>
      </w:r>
      <w:proofErr w:type="gramStart"/>
      <w:r w:rsidRPr="00E7469C">
        <w:rPr>
          <w:rFonts w:ascii="Palatino Linotype" w:eastAsia="Palatino Linotype" w:hAnsi="Palatino Linotype" w:cs="Palatino Linotype"/>
          <w:b/>
          <w:sz w:val="22"/>
          <w:szCs w:val="22"/>
        </w:rPr>
        <w:t>la resoluciones</w:t>
      </w:r>
      <w:proofErr w:type="gramEnd"/>
      <w:r w:rsidRPr="00E7469C">
        <w:rPr>
          <w:rFonts w:ascii="Palatino Linotype" w:eastAsia="Palatino Linotype" w:hAnsi="Palatino Linotype" w:cs="Palatino Linotype"/>
          <w:b/>
          <w:sz w:val="22"/>
          <w:szCs w:val="22"/>
        </w:rPr>
        <w:t xml:space="preserve"> que han generado en los años 2023, 2024 y lo que lleva del 2025</w:t>
      </w:r>
    </w:p>
    <w:p w14:paraId="7BAEFA6D"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02CA2F5F"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respuesta la Contralora Municipal informó que después de haber realizado una búsqueda exhaustiva dentro de los archivos que obran en el Órgano Interno de Control, se encontró lo siguiente:</w:t>
      </w:r>
    </w:p>
    <w:p w14:paraId="21880816"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559DFCBE" wp14:editId="28F5EF0C">
            <wp:extent cx="5446343" cy="1369431"/>
            <wp:effectExtent l="0" t="0" r="0" b="0"/>
            <wp:docPr id="2144923658" name="image18.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Imagen que contiene Diagrama&#10;&#10;El contenido generado por IA puede ser incorrecto."/>
                    <pic:cNvPicPr preferRelativeResize="0"/>
                  </pic:nvPicPr>
                  <pic:blipFill>
                    <a:blip r:embed="rId18"/>
                    <a:srcRect/>
                    <a:stretch>
                      <a:fillRect/>
                    </a:stretch>
                  </pic:blipFill>
                  <pic:spPr>
                    <a:xfrm>
                      <a:off x="0" y="0"/>
                      <a:ext cx="5446343" cy="1369431"/>
                    </a:xfrm>
                    <a:prstGeom prst="rect">
                      <a:avLst/>
                    </a:prstGeom>
                    <a:ln/>
                  </pic:spPr>
                </pic:pic>
              </a:graphicData>
            </a:graphic>
          </wp:inline>
        </w:drawing>
      </w:r>
    </w:p>
    <w:p w14:paraId="7AAAECC9"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la imagen insertada con anterioridad se advierte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asume que cuenta con la información solicitada, toda vez que informó el número de procedimientos iniciados en los años 2023, 2024 y 2025; así como el número de procedimientos que ya cuentan con una resolución firme; no obstante, fue omiso en hacer entrega de dichas resoluciones, por lo que no cumplió con el principio de congruencia y exhaustividad; esto es, que la congruencia implica que exista concordancia entre el requerimiento formulado por el particular y la respuesta proporcionada por el sujeto obligado, mientras que la exhaustividad establece que el sujeto obligado deberá atender de manera expresa cada uno de los puntos solicitados, situación que en el presente caso no aconteció.</w:t>
      </w:r>
    </w:p>
    <w:p w14:paraId="0A4AE617"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7669B8A0" w14:textId="77777777" w:rsidR="002377F0" w:rsidRPr="00E7469C" w:rsidRDefault="008C7182">
      <w:pPr>
        <w:spacing w:line="360" w:lineRule="auto"/>
        <w:ind w:right="-9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contexto, resulta necesario precisar que el procedimiento, corresponde a aquel para resolver un posible Procedimiento de Responsabilidad </w:t>
      </w:r>
      <w:r w:rsidRPr="00E7469C">
        <w:rPr>
          <w:rFonts w:ascii="Palatino Linotype" w:eastAsia="Palatino Linotype" w:hAnsi="Palatino Linotype" w:cs="Palatino Linotype"/>
          <w:b/>
          <w:sz w:val="22"/>
          <w:szCs w:val="22"/>
        </w:rPr>
        <w:t>A</w:t>
      </w:r>
      <w:r w:rsidRPr="00E7469C">
        <w:rPr>
          <w:rFonts w:ascii="Palatino Linotype" w:eastAsia="Palatino Linotype" w:hAnsi="Palatino Linotype" w:cs="Palatino Linotype"/>
          <w:sz w:val="22"/>
          <w:szCs w:val="22"/>
        </w:rPr>
        <w:t>dministrativa; por lo que, es necesario traer a colación lo señalado por la Ley de Responsabilidades Administrativas del Estado de México y Municipios, que establece lo siguiente:</w:t>
      </w:r>
    </w:p>
    <w:p w14:paraId="50DCBBC6" w14:textId="77777777" w:rsidR="002377F0" w:rsidRPr="00E7469C" w:rsidRDefault="002377F0">
      <w:pPr>
        <w:tabs>
          <w:tab w:val="left" w:pos="8222"/>
        </w:tabs>
        <w:spacing w:line="276" w:lineRule="auto"/>
        <w:ind w:left="567" w:right="539"/>
        <w:jc w:val="both"/>
        <w:rPr>
          <w:rFonts w:ascii="Palatino Linotype" w:eastAsia="Palatino Linotype" w:hAnsi="Palatino Linotype" w:cs="Palatino Linotype"/>
          <w:b/>
          <w:i/>
          <w:sz w:val="22"/>
          <w:szCs w:val="22"/>
        </w:rPr>
      </w:pPr>
    </w:p>
    <w:p w14:paraId="3F1C7944"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94</w:t>
      </w:r>
      <w:r w:rsidRPr="00E7469C">
        <w:rPr>
          <w:rFonts w:ascii="Palatino Linotype" w:eastAsia="Palatino Linotype" w:hAnsi="Palatino Linotype" w:cs="Palatino Linotype"/>
          <w:i/>
          <w:sz w:val="22"/>
          <w:szCs w:val="22"/>
        </w:rPr>
        <w:t>. Durante el desarrollo del procedimiento de investigación las autoridades competentes serán responsables de:</w:t>
      </w:r>
    </w:p>
    <w:p w14:paraId="4264F37B"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I. Observar los principios de legalidad, imparcialidad, objetividad, congruencia, verdad material y respeto a los derechos humanos.</w:t>
      </w:r>
    </w:p>
    <w:p w14:paraId="35DD7DFE"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Realizar con oportunidad, exhaustividad y eficiencia la investigación, la integralidad de los datos y documentos, así como el resguardo del expediente en su conjunto.</w:t>
      </w:r>
    </w:p>
    <w:p w14:paraId="0D37379E"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Incorporar a sus investigaciones, las técnicas, tecnologías y métodos de investigación que observen las mejores prácticas internacionales.</w:t>
      </w:r>
    </w:p>
    <w:p w14:paraId="1A5D60AC"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IV. Cooperar con las autoridades nacionales como internacionales a fin de fortalecer los procedimientos de investigación, compartir las mejores prácticas internacionales y combatir de manera efectiva la corrupción.</w:t>
      </w:r>
    </w:p>
    <w:p w14:paraId="0B5269C6"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73B088C0"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95</w:t>
      </w:r>
      <w:r w:rsidRPr="00E7469C">
        <w:rPr>
          <w:rFonts w:ascii="Palatino Linotype" w:eastAsia="Palatino Linotype" w:hAnsi="Palatino Linotype" w:cs="Palatino Linotype"/>
          <w:i/>
          <w:sz w:val="22"/>
          <w:szCs w:val="22"/>
        </w:rPr>
        <w:t>. La investigación por la presunta responsabilidad de faltas administrativas podrá iniciar:</w:t>
      </w:r>
    </w:p>
    <w:p w14:paraId="567B13F3"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t>I. De oficio.</w:t>
      </w:r>
    </w:p>
    <w:p w14:paraId="4AB94830"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t>II. Por denuncia.</w:t>
      </w:r>
    </w:p>
    <w:p w14:paraId="41133D64"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u w:val="single"/>
        </w:rPr>
        <w:t>III. Derivado de las auditorías practicadas por parte de las autoridades competentes o en su caso, de auditores externos.</w:t>
      </w:r>
    </w:p>
    <w:p w14:paraId="1A270B02"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Las denuncias podrán ser anónimas. En su caso, las autoridades investigadoras deberán garantizar, proteger y mantener el carácter de confidencial la identidad de las personas que denuncien las presuntas infracciones.</w:t>
      </w:r>
    </w:p>
    <w:p w14:paraId="66DE11DB"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705FFF5C"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98.</w:t>
      </w:r>
      <w:r w:rsidRPr="00E7469C">
        <w:rPr>
          <w:rFonts w:ascii="Palatino Linotype" w:eastAsia="Palatino Linotype" w:hAnsi="Palatino Linotype" w:cs="Palatino Linotype"/>
          <w:i/>
          <w:sz w:val="22"/>
          <w:szCs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2DD44F7B"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44F9DA41"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Lo anterior sin menoscabo de las investigaciones que se deriven de las denuncias a que se hace referencia en el Capítulo anterior.</w:t>
      </w:r>
    </w:p>
    <w:p w14:paraId="4036CEC6"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11A74FA2"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CAPÍTULO SEGUNDO</w:t>
      </w:r>
    </w:p>
    <w:p w14:paraId="5AA6BB30"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DE LA INVESTIGACIÓN</w:t>
      </w:r>
    </w:p>
    <w:p w14:paraId="49680943"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99.</w:t>
      </w:r>
      <w:r w:rsidRPr="00E7469C">
        <w:rPr>
          <w:rFonts w:ascii="Palatino Linotype" w:eastAsia="Palatino Linotype" w:hAnsi="Palatino Linotype" w:cs="Palatino Linotype"/>
          <w:i/>
          <w:sz w:val="22"/>
          <w:szCs w:val="22"/>
        </w:rPr>
        <w:t xml:space="preserve"> Las autoridades investigadoras deberán tener acceso a toda la información necesaria para el esclarecimiento de los hechos, incluyendo aquélla que las disposiciones legales en la materia consideren con carácter de reservada o </w:t>
      </w:r>
      <w:r w:rsidRPr="00E7469C">
        <w:rPr>
          <w:rFonts w:ascii="Palatino Linotype" w:eastAsia="Palatino Linotype" w:hAnsi="Palatino Linotype" w:cs="Palatino Linotype"/>
          <w:i/>
          <w:sz w:val="22"/>
          <w:szCs w:val="22"/>
        </w:rPr>
        <w:lastRenderedPageBreak/>
        <w:t>confidencial, siempre que esté relacionada con la comisión de infracciones a que se refiere la presente Ley, con la obligación de mantener la misma reserva o secrecía, conforme a lo que determinen las leyes.</w:t>
      </w:r>
    </w:p>
    <w:p w14:paraId="37382D9A"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013A33C2"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30E03F8B"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25F27577"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Para efectos de lo previsto en el párrafo anterior, se observará lo dispuesto en el artículo 39 de la presente Ley.</w:t>
      </w:r>
    </w:p>
    <w:p w14:paraId="61911D86"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17268439"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3BAB351B"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322121B4"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CAPÍTULO TERCERO</w:t>
      </w:r>
    </w:p>
    <w:p w14:paraId="3C16C883"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DE LA CALIFICACIÓN DE FALTAS ADMINISTRATIVAS</w:t>
      </w:r>
    </w:p>
    <w:p w14:paraId="5117266D"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0029FF77"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663A1FDE"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u w:val="single"/>
        </w:rPr>
      </w:pPr>
      <w:r w:rsidRPr="00E7469C">
        <w:rPr>
          <w:rFonts w:ascii="Palatino Linotype" w:eastAsia="Palatino Linotype" w:hAnsi="Palatino Linotype" w:cs="Palatino Linotype"/>
          <w:i/>
          <w:sz w:val="22"/>
          <w:szCs w:val="22"/>
          <w:u w:val="single"/>
        </w:rPr>
        <w:t xml:space="preserve">Una vez determinada la calificación de la conducta en los términos del párrafo anterior, se incluirá la misma en el Informe de Presunta Responsabilidad </w:t>
      </w:r>
      <w:r w:rsidRPr="00E7469C">
        <w:rPr>
          <w:rFonts w:ascii="Palatino Linotype" w:eastAsia="Palatino Linotype" w:hAnsi="Palatino Linotype" w:cs="Palatino Linotype"/>
          <w:i/>
          <w:sz w:val="22"/>
          <w:szCs w:val="22"/>
          <w:u w:val="single"/>
        </w:rPr>
        <w:lastRenderedPageBreak/>
        <w:t>Administrativa y éste se presentará ante la autoridad substanciadora a efecto de iniciar el procedimiento de responsabilidad administrativa correspondiente.</w:t>
      </w:r>
    </w:p>
    <w:p w14:paraId="5EE564DC"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215B32A7"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42B2E545"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64124F2C"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2D743349"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5DE04B5D"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105.</w:t>
      </w:r>
      <w:r w:rsidRPr="00E7469C">
        <w:rPr>
          <w:rFonts w:ascii="Palatino Linotype" w:eastAsia="Palatino Linotype" w:hAnsi="Palatino Linotype" w:cs="Palatino Linotype"/>
          <w:i/>
          <w:sz w:val="22"/>
          <w:szCs w:val="22"/>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00B81272"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30A842DB"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4219A22D"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CAPÍTULO CUARTO</w:t>
      </w:r>
    </w:p>
    <w:p w14:paraId="6C6F7CC9"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DE LA IMPUGNACIÓN DE LA CALIFICACIÓN DE FALTAS NO GRAVES</w:t>
      </w:r>
    </w:p>
    <w:p w14:paraId="0C132ADA"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106</w:t>
      </w:r>
      <w:r w:rsidRPr="00E7469C">
        <w:rPr>
          <w:rFonts w:ascii="Palatino Linotype" w:eastAsia="Palatino Linotype" w:hAnsi="Palatino Linotype" w:cs="Palatino Linotype"/>
          <w:i/>
          <w:sz w:val="22"/>
          <w:szCs w:val="22"/>
        </w:rPr>
        <w:t xml:space="preserve">. La calificación de los hechos como faltas administrativas no graves que realicen las autoridades </w:t>
      </w:r>
      <w:proofErr w:type="gramStart"/>
      <w:r w:rsidRPr="00E7469C">
        <w:rPr>
          <w:rFonts w:ascii="Palatino Linotype" w:eastAsia="Palatino Linotype" w:hAnsi="Palatino Linotype" w:cs="Palatino Linotype"/>
          <w:i/>
          <w:sz w:val="22"/>
          <w:szCs w:val="22"/>
        </w:rPr>
        <w:t>investigadoras,</w:t>
      </w:r>
      <w:proofErr w:type="gramEnd"/>
      <w:r w:rsidRPr="00E7469C">
        <w:rPr>
          <w:rFonts w:ascii="Palatino Linotype" w:eastAsia="Palatino Linotype" w:hAnsi="Palatino Linotype" w:cs="Palatino Linotype"/>
          <w:i/>
          <w:sz w:val="22"/>
          <w:szCs w:val="22"/>
        </w:rPr>
        <w:t xml:space="preserve">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565F9C2D"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2CF73FEB"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La calificación y la abstención de iniciar el procedimiento de responsabilidad administrativa a que se refiere el artículo 105, podrán ser impugnadas, en su caso, </w:t>
      </w:r>
      <w:r w:rsidRPr="00E7469C">
        <w:rPr>
          <w:rFonts w:ascii="Palatino Linotype" w:eastAsia="Palatino Linotype" w:hAnsi="Palatino Linotype" w:cs="Palatino Linotype"/>
          <w:i/>
          <w:sz w:val="22"/>
          <w:szCs w:val="22"/>
        </w:rPr>
        <w:lastRenderedPageBreak/>
        <w:t>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245BDE7C"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7372F2CA"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116.</w:t>
      </w:r>
      <w:r w:rsidRPr="00E7469C">
        <w:rPr>
          <w:rFonts w:ascii="Palatino Linotype" w:eastAsia="Palatino Linotype" w:hAnsi="Palatino Linotype" w:cs="Palatino Linotype"/>
          <w:i/>
          <w:sz w:val="22"/>
          <w:szCs w:val="22"/>
        </w:rPr>
        <w:t xml:space="preserve"> El procedimiento de responsabilidad administrativa dará inicio cuando las autoridades substanciadoras, en el ámbito de su competencia, admitan el informe de presunta responsabilidad administrativa.</w:t>
      </w:r>
    </w:p>
    <w:p w14:paraId="1BD934FC"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76D255ED"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119</w:t>
      </w:r>
      <w:r w:rsidRPr="00E7469C">
        <w:rPr>
          <w:rFonts w:ascii="Palatino Linotype" w:eastAsia="Palatino Linotype" w:hAnsi="Palatino Linotype" w:cs="Palatino Linotype"/>
          <w:i/>
          <w:sz w:val="22"/>
          <w:szCs w:val="22"/>
        </w:rPr>
        <w:t xml:space="preserve">. La autoridad a quien se encomiende la substanciación y en su caso, la resolución del procedimiento de responsabilidad </w:t>
      </w:r>
      <w:proofErr w:type="gramStart"/>
      <w:r w:rsidRPr="00E7469C">
        <w:rPr>
          <w:rFonts w:ascii="Palatino Linotype" w:eastAsia="Palatino Linotype" w:hAnsi="Palatino Linotype" w:cs="Palatino Linotype"/>
          <w:i/>
          <w:sz w:val="22"/>
          <w:szCs w:val="22"/>
        </w:rPr>
        <w:t>administrativa,</w:t>
      </w:r>
      <w:proofErr w:type="gramEnd"/>
      <w:r w:rsidRPr="00E7469C">
        <w:rPr>
          <w:rFonts w:ascii="Palatino Linotype" w:eastAsia="Palatino Linotype" w:hAnsi="Palatino Linotype" w:cs="Palatino Linotype"/>
          <w:i/>
          <w:sz w:val="22"/>
          <w:szCs w:val="22"/>
        </w:rPr>
        <w:t xml:space="preserve">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7E374FA4"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2AF7522C"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SECCIÓN NOVENA</w:t>
      </w:r>
    </w:p>
    <w:p w14:paraId="6D1824BE"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DE LOS INFORMES DE PRESUNTA</w:t>
      </w:r>
    </w:p>
    <w:p w14:paraId="52468728" w14:textId="77777777" w:rsidR="002377F0" w:rsidRPr="00E7469C" w:rsidRDefault="008C7182">
      <w:pPr>
        <w:tabs>
          <w:tab w:val="left" w:pos="8222"/>
        </w:tabs>
        <w:spacing w:line="276" w:lineRule="auto"/>
        <w:ind w:left="851" w:right="53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RESPONSABILIDAD ADMINISTRATIVA</w:t>
      </w:r>
    </w:p>
    <w:p w14:paraId="76BBE65D"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180</w:t>
      </w:r>
      <w:r w:rsidRPr="00E7469C">
        <w:rPr>
          <w:rFonts w:ascii="Palatino Linotype" w:eastAsia="Palatino Linotype" w:hAnsi="Palatino Linotype" w:cs="Palatino Linotype"/>
          <w:i/>
          <w:sz w:val="22"/>
          <w:szCs w:val="22"/>
        </w:rPr>
        <w:t>. El Informe de Presunta Responsabilidad Administrativa será integrado y emitido por las autoridades investigadoras y deberá contener los siguientes elementos:</w:t>
      </w:r>
    </w:p>
    <w:p w14:paraId="21818003"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El nombre de la autoridad investigadora.</w:t>
      </w:r>
    </w:p>
    <w:p w14:paraId="0018C13F"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El domicilio de la autoridad investigadora para oír y recibir notificaciones.</w:t>
      </w:r>
    </w:p>
    <w:p w14:paraId="50BA2C4F"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El nombre o nombres de los servidores públicos que podrán imponerse de los autos que se dicten en el expediente de responsabilidad administrativa por parte de la autoridad investigadora, precisando el alcance de la autorización otorgada.</w:t>
      </w:r>
    </w:p>
    <w:p w14:paraId="1142A2CD"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IV. El nombre y domicilio del servidor público a quien se señale como presunto responsable, así como el ente público al que se encuentre adscrito y el cargo que desempeñe.</w:t>
      </w:r>
    </w:p>
    <w:p w14:paraId="446C5A41"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caso de que los presuntos responsables sean particulares, se deberá señalar su nombre o razón social, así como el domicilio donde podrán ser emplazados.</w:t>
      </w:r>
    </w:p>
    <w:p w14:paraId="0BCF49E8"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V. La narración lógica y cronológica de los hechos que dieron lugar a la comisión de la presunta falta administrativa.</w:t>
      </w:r>
    </w:p>
    <w:p w14:paraId="2A52F80A"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 La infracción que se le imputa al señalado como presunto responsable, precisando las razones por las que se considera que ha cometido la falta.</w:t>
      </w:r>
    </w:p>
    <w:p w14:paraId="4C02584C"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11022C16"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VIII. La solicitud de medidas cautelares, de ser el caso.</w:t>
      </w:r>
    </w:p>
    <w:p w14:paraId="1B61FE9E"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IX. Firma autógrafa de la autoridad investigadora.</w:t>
      </w:r>
    </w:p>
    <w:p w14:paraId="1971B6D6"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3A7FF580"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184.</w:t>
      </w:r>
      <w:r w:rsidRPr="00E7469C">
        <w:rPr>
          <w:rFonts w:ascii="Palatino Linotype" w:eastAsia="Palatino Linotype" w:hAnsi="Palatino Linotype" w:cs="Palatino Linotype"/>
          <w:i/>
          <w:sz w:val="22"/>
          <w:szCs w:val="22"/>
        </w:rPr>
        <w:t xml:space="preserve"> El desarrollo de las audiencias del procedimiento de responsabilidad administrativa, se llevarán a cabo de conformidad con las siguientes reglas:</w:t>
      </w:r>
    </w:p>
    <w:p w14:paraId="59FA0D75"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Serán públicas.</w:t>
      </w:r>
    </w:p>
    <w:p w14:paraId="68E3392A"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No se permitirá la interrupción de la audiencia por parte de persona alguna, ya sea por los que intervienen en ella o por aquellos ajenos a la misma.</w:t>
      </w:r>
    </w:p>
    <w:p w14:paraId="7014DD2B" w14:textId="77777777" w:rsidR="002377F0" w:rsidRPr="00E7469C" w:rsidRDefault="002377F0">
      <w:pPr>
        <w:tabs>
          <w:tab w:val="left" w:pos="8222"/>
        </w:tabs>
        <w:spacing w:line="276" w:lineRule="auto"/>
        <w:ind w:left="851" w:right="539"/>
        <w:jc w:val="both"/>
        <w:rPr>
          <w:rFonts w:ascii="Palatino Linotype" w:eastAsia="Palatino Linotype" w:hAnsi="Palatino Linotype" w:cs="Palatino Linotype"/>
          <w:i/>
          <w:sz w:val="22"/>
          <w:szCs w:val="22"/>
        </w:rPr>
      </w:pPr>
    </w:p>
    <w:p w14:paraId="6B759D73"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188.</w:t>
      </w:r>
      <w:r w:rsidRPr="00E7469C">
        <w:rPr>
          <w:rFonts w:ascii="Palatino Linotype" w:eastAsia="Palatino Linotype" w:hAnsi="Palatino Linotype" w:cs="Palatino Linotype"/>
          <w:i/>
          <w:sz w:val="22"/>
          <w:szCs w:val="22"/>
        </w:rPr>
        <w:t xml:space="preserve"> Las resoluciones serán:</w:t>
      </w:r>
    </w:p>
    <w:p w14:paraId="1A263519"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Acuerdos, cuando se trate de resoluciones de trámite.</w:t>
      </w:r>
    </w:p>
    <w:p w14:paraId="46CFBE59"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Autos provisionales, los que se refieren a determinaciones que se ejecuten provisionalmente.</w:t>
      </w:r>
    </w:p>
    <w:p w14:paraId="2AC63400"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Autos preparatorios, a las resoluciones por las que se prepara el conocimiento y decisión de un asunto, se ordena la admisión, la preparación y desahogo de pruebas.</w:t>
      </w:r>
    </w:p>
    <w:p w14:paraId="10C5AB69"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IV. Sentencias interlocutorias, aquellas que resuelven sobre un incidente o una cuestión intraprocesal o accesoria al procedimiento.</w:t>
      </w:r>
    </w:p>
    <w:p w14:paraId="0A4D9298" w14:textId="77777777" w:rsidR="002377F0" w:rsidRPr="00E7469C" w:rsidRDefault="008C7182">
      <w:pPr>
        <w:tabs>
          <w:tab w:val="left" w:pos="8222"/>
        </w:tabs>
        <w:spacing w:line="276" w:lineRule="auto"/>
        <w:ind w:left="851" w:right="53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V. Sentencias definitivas, las que resuelven el fondo del procedimiento de responsabilidad administrativa.”</w:t>
      </w:r>
    </w:p>
    <w:p w14:paraId="5CFD9494" w14:textId="77777777" w:rsidR="002377F0" w:rsidRPr="00E7469C" w:rsidRDefault="002377F0">
      <w:pPr>
        <w:tabs>
          <w:tab w:val="left" w:pos="8222"/>
        </w:tabs>
        <w:spacing w:line="360" w:lineRule="auto"/>
        <w:ind w:left="567" w:right="539"/>
        <w:jc w:val="both"/>
        <w:rPr>
          <w:rFonts w:ascii="Palatino Linotype" w:eastAsia="Palatino Linotype" w:hAnsi="Palatino Linotype" w:cs="Palatino Linotype"/>
          <w:i/>
          <w:sz w:val="22"/>
          <w:szCs w:val="22"/>
        </w:rPr>
      </w:pPr>
    </w:p>
    <w:p w14:paraId="0739D6E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Conforme a lo anterior, se considera que existen tres etapas en el Procedimiento de Responsabilidad </w:t>
      </w:r>
      <w:r w:rsidRPr="00E7469C">
        <w:rPr>
          <w:rFonts w:ascii="Palatino Linotype" w:eastAsia="Palatino Linotype" w:hAnsi="Palatino Linotype" w:cs="Palatino Linotype"/>
          <w:b/>
          <w:sz w:val="22"/>
          <w:szCs w:val="22"/>
        </w:rPr>
        <w:t>A</w:t>
      </w:r>
      <w:r w:rsidRPr="00E7469C">
        <w:rPr>
          <w:rFonts w:ascii="Palatino Linotype" w:eastAsia="Palatino Linotype" w:hAnsi="Palatino Linotype" w:cs="Palatino Linotype"/>
          <w:sz w:val="22"/>
          <w:szCs w:val="22"/>
        </w:rPr>
        <w:t xml:space="preserve">dministrativa para determinar la falta en la que haya incurrido algún servidor público, a </w:t>
      </w:r>
      <w:proofErr w:type="gramStart"/>
      <w:r w:rsidRPr="00E7469C">
        <w:rPr>
          <w:rFonts w:ascii="Palatino Linotype" w:eastAsia="Palatino Linotype" w:hAnsi="Palatino Linotype" w:cs="Palatino Linotype"/>
          <w:sz w:val="22"/>
          <w:szCs w:val="22"/>
        </w:rPr>
        <w:t>saber</w:t>
      </w:r>
      <w:proofErr w:type="gramEnd"/>
      <w:r w:rsidRPr="00E7469C">
        <w:rPr>
          <w:rFonts w:ascii="Palatino Linotype" w:eastAsia="Palatino Linotype" w:hAnsi="Palatino Linotype" w:cs="Palatino Linotype"/>
          <w:sz w:val="22"/>
          <w:szCs w:val="22"/>
        </w:rPr>
        <w:t xml:space="preserve"> las siguientes:</w:t>
      </w:r>
    </w:p>
    <w:p w14:paraId="50F6D77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8B44E11" w14:textId="77777777" w:rsidR="002377F0" w:rsidRPr="00E7469C" w:rsidRDefault="008C7182">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Investigación: </w:t>
      </w:r>
      <w:r w:rsidRPr="00E7469C">
        <w:rPr>
          <w:rFonts w:ascii="Palatino Linotype" w:eastAsia="Palatino Linotype" w:hAnsi="Palatino Linotype" w:cs="Palatino Linotype"/>
          <w:sz w:val="22"/>
          <w:szCs w:val="22"/>
        </w:rPr>
        <w:t>la cual consiste en lo siguiente:</w:t>
      </w:r>
    </w:p>
    <w:p w14:paraId="28239C3F" w14:textId="77777777" w:rsidR="002377F0" w:rsidRPr="00E7469C" w:rsidRDefault="008C7182">
      <w:pPr>
        <w:numPr>
          <w:ilvl w:val="0"/>
          <w:numId w:val="21"/>
        </w:numPr>
        <w:pBdr>
          <w:top w:val="nil"/>
          <w:left w:val="nil"/>
          <w:bottom w:val="nil"/>
          <w:right w:val="nil"/>
          <w:between w:val="nil"/>
        </w:pBdr>
        <w:spacing w:line="360" w:lineRule="auto"/>
        <w:ind w:left="851"/>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Inicia: </w:t>
      </w:r>
    </w:p>
    <w:p w14:paraId="792DEDF5" w14:textId="77777777" w:rsidR="002377F0" w:rsidRPr="00E7469C" w:rsidRDefault="008C7182">
      <w:pPr>
        <w:pBdr>
          <w:top w:val="nil"/>
          <w:left w:val="nil"/>
          <w:bottom w:val="nil"/>
          <w:right w:val="nil"/>
          <w:between w:val="nil"/>
        </w:pBdr>
        <w:spacing w:line="360" w:lineRule="auto"/>
        <w:ind w:left="851"/>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-De oficio </w:t>
      </w:r>
    </w:p>
    <w:p w14:paraId="720EBE5F" w14:textId="77777777" w:rsidR="002377F0" w:rsidRPr="00E7469C" w:rsidRDefault="008C7182">
      <w:pPr>
        <w:pBdr>
          <w:top w:val="nil"/>
          <w:left w:val="nil"/>
          <w:bottom w:val="nil"/>
          <w:right w:val="nil"/>
          <w:between w:val="nil"/>
        </w:pBdr>
        <w:spacing w:line="360" w:lineRule="auto"/>
        <w:ind w:left="851"/>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-Por denuncia </w:t>
      </w:r>
    </w:p>
    <w:p w14:paraId="3AAA31C8" w14:textId="77777777" w:rsidR="002377F0" w:rsidRPr="00E7469C" w:rsidRDefault="008C7182">
      <w:pPr>
        <w:pBdr>
          <w:top w:val="nil"/>
          <w:left w:val="nil"/>
          <w:bottom w:val="nil"/>
          <w:right w:val="nil"/>
          <w:between w:val="nil"/>
        </w:pBdr>
        <w:spacing w:line="360" w:lineRule="auto"/>
        <w:ind w:left="851"/>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-Derivado de auditorías </w:t>
      </w:r>
    </w:p>
    <w:p w14:paraId="2E449575" w14:textId="77777777" w:rsidR="002377F0" w:rsidRPr="00E7469C" w:rsidRDefault="002377F0">
      <w:pPr>
        <w:pBdr>
          <w:top w:val="nil"/>
          <w:left w:val="nil"/>
          <w:bottom w:val="nil"/>
          <w:right w:val="nil"/>
          <w:between w:val="nil"/>
        </w:pBdr>
        <w:spacing w:line="360" w:lineRule="auto"/>
        <w:ind w:left="851"/>
        <w:jc w:val="both"/>
        <w:rPr>
          <w:rFonts w:ascii="Palatino Linotype" w:eastAsia="Palatino Linotype" w:hAnsi="Palatino Linotype" w:cs="Palatino Linotype"/>
          <w:b/>
          <w:sz w:val="22"/>
          <w:szCs w:val="22"/>
        </w:rPr>
      </w:pPr>
    </w:p>
    <w:p w14:paraId="18266E24" w14:textId="77777777" w:rsidR="002377F0" w:rsidRPr="00E7469C" w:rsidRDefault="008C7182">
      <w:pPr>
        <w:numPr>
          <w:ilvl w:val="0"/>
          <w:numId w:val="21"/>
        </w:numPr>
        <w:pBdr>
          <w:top w:val="nil"/>
          <w:left w:val="nil"/>
          <w:bottom w:val="nil"/>
          <w:right w:val="nil"/>
          <w:between w:val="nil"/>
        </w:pBdr>
        <w:spacing w:line="360" w:lineRule="auto"/>
        <w:ind w:left="851"/>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Una vez determinada la calificación de la conducta, se incluirá la misma </w:t>
      </w:r>
      <w:r w:rsidRPr="00E7469C">
        <w:rPr>
          <w:rFonts w:ascii="Palatino Linotype" w:eastAsia="Palatino Linotype" w:hAnsi="Palatino Linotype" w:cs="Palatino Linotype"/>
          <w:b/>
          <w:sz w:val="22"/>
          <w:szCs w:val="22"/>
        </w:rPr>
        <w:t>en el Informe de Presunta Responsabilidad Administrativa</w:t>
      </w:r>
      <w:r w:rsidRPr="00E7469C">
        <w:rPr>
          <w:rFonts w:ascii="Palatino Linotype" w:eastAsia="Palatino Linotype" w:hAnsi="Palatino Linotype" w:cs="Palatino Linotype"/>
          <w:sz w:val="22"/>
          <w:szCs w:val="22"/>
        </w:rPr>
        <w:t xml:space="preserve"> y este se presentará ante la autoridad substanciadora a efecto de iniciar el procedimiento de responsabilidad administrativa correspondiente.</w:t>
      </w:r>
    </w:p>
    <w:p w14:paraId="155C1D3E" w14:textId="77777777" w:rsidR="002377F0" w:rsidRPr="00E7469C" w:rsidRDefault="008C7182">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Sustanciación: </w:t>
      </w:r>
      <w:r w:rsidRPr="00E7469C">
        <w:rPr>
          <w:rFonts w:ascii="Palatino Linotype" w:eastAsia="Palatino Linotype" w:hAnsi="Palatino Linotype" w:cs="Palatino Linotype"/>
          <w:sz w:val="22"/>
          <w:szCs w:val="22"/>
        </w:rPr>
        <w:t>En este periodo se puede realizar lo siguiente:</w:t>
      </w:r>
    </w:p>
    <w:p w14:paraId="09DA95EA" w14:textId="77777777" w:rsidR="002377F0" w:rsidRPr="00E7469C" w:rsidRDefault="008C7182">
      <w:pPr>
        <w:numPr>
          <w:ilvl w:val="0"/>
          <w:numId w:val="21"/>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Se califican los hechos como faltas administrativas graves o no graves</w:t>
      </w:r>
    </w:p>
    <w:p w14:paraId="21B5E2F0" w14:textId="77777777" w:rsidR="002377F0" w:rsidRPr="00E7469C" w:rsidRDefault="008C7182">
      <w:pPr>
        <w:numPr>
          <w:ilvl w:val="0"/>
          <w:numId w:val="21"/>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La autoridad substanciadora podrá admitir el informe de presunta responsabilidad administrativa.</w:t>
      </w:r>
    </w:p>
    <w:p w14:paraId="59CFDC1D" w14:textId="77777777" w:rsidR="002377F0" w:rsidRPr="00E7469C" w:rsidRDefault="008C7182">
      <w:pPr>
        <w:numPr>
          <w:ilvl w:val="0"/>
          <w:numId w:val="21"/>
        </w:num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Las partes, pueden presentar las pruebas o alegatos que consideren pertinentes,</w:t>
      </w:r>
    </w:p>
    <w:p w14:paraId="163C36F4" w14:textId="77777777" w:rsidR="002377F0" w:rsidRPr="00E7469C" w:rsidRDefault="002377F0">
      <w:pPr>
        <w:spacing w:line="360" w:lineRule="auto"/>
        <w:jc w:val="both"/>
        <w:rPr>
          <w:rFonts w:ascii="Palatino Linotype" w:eastAsia="Palatino Linotype" w:hAnsi="Palatino Linotype" w:cs="Palatino Linotype"/>
          <w:b/>
          <w:sz w:val="22"/>
          <w:szCs w:val="22"/>
        </w:rPr>
      </w:pPr>
    </w:p>
    <w:p w14:paraId="1F14F021" w14:textId="77777777" w:rsidR="002377F0" w:rsidRPr="00E7469C" w:rsidRDefault="008C7182">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E7469C">
        <w:rPr>
          <w:rFonts w:ascii="Palatino Linotype" w:eastAsia="Palatino Linotype" w:hAnsi="Palatino Linotype" w:cs="Palatino Linotype"/>
          <w:b/>
          <w:sz w:val="22"/>
          <w:szCs w:val="22"/>
          <w:u w:val="single"/>
        </w:rPr>
        <w:t>Resolución:</w:t>
      </w:r>
    </w:p>
    <w:p w14:paraId="014CF264" w14:textId="77777777" w:rsidR="002377F0" w:rsidRPr="00E7469C" w:rsidRDefault="008C7182">
      <w:pPr>
        <w:numPr>
          <w:ilvl w:val="0"/>
          <w:numId w:val="22"/>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Se emite resolución y se notifica a las partes.</w:t>
      </w:r>
    </w:p>
    <w:p w14:paraId="7FFB95FB" w14:textId="77777777" w:rsidR="002377F0" w:rsidRPr="00E7469C" w:rsidRDefault="002377F0">
      <w:pPr>
        <w:pBdr>
          <w:top w:val="nil"/>
          <w:left w:val="nil"/>
          <w:bottom w:val="nil"/>
          <w:right w:val="nil"/>
          <w:between w:val="nil"/>
        </w:pBdr>
        <w:spacing w:line="360" w:lineRule="auto"/>
        <w:ind w:left="993"/>
        <w:jc w:val="both"/>
        <w:rPr>
          <w:rFonts w:ascii="Palatino Linotype" w:eastAsia="Palatino Linotype" w:hAnsi="Palatino Linotype" w:cs="Palatino Linotype"/>
          <w:b/>
          <w:sz w:val="22"/>
          <w:szCs w:val="22"/>
        </w:rPr>
      </w:pPr>
    </w:p>
    <w:p w14:paraId="71B5AC1A" w14:textId="77777777" w:rsidR="002377F0" w:rsidRPr="00E7469C" w:rsidRDefault="008C7182">
      <w:pPr>
        <w:spacing w:line="360" w:lineRule="auto"/>
        <w:ind w:right="-28"/>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establece en términos generales el procedimiento de responsabilidad administrativa, que, corre a cargo de los Órganos Internos de Control o Contraloría Interna.</w:t>
      </w:r>
    </w:p>
    <w:p w14:paraId="619858CE" w14:textId="77777777" w:rsidR="002377F0" w:rsidRPr="00E7469C" w:rsidRDefault="002377F0">
      <w:pPr>
        <w:spacing w:line="360" w:lineRule="auto"/>
        <w:ind w:right="-28"/>
        <w:jc w:val="both"/>
        <w:rPr>
          <w:rFonts w:ascii="Palatino Linotype" w:eastAsia="Palatino Linotype" w:hAnsi="Palatino Linotype" w:cs="Palatino Linotype"/>
          <w:sz w:val="22"/>
          <w:szCs w:val="22"/>
        </w:rPr>
      </w:pPr>
    </w:p>
    <w:p w14:paraId="2C93BE50" w14:textId="77777777" w:rsidR="002377F0" w:rsidRPr="00E7469C" w:rsidRDefault="008C718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Dicho lo anterior, se precisa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turnó la solicitud a la Contraloría Municipal, siguiendo con ello el procedimiento para la atención a las solicitudes de acceso a </w:t>
      </w:r>
      <w:r w:rsidRPr="00E7469C">
        <w:rPr>
          <w:rFonts w:ascii="Palatino Linotype" w:eastAsia="Palatino Linotype" w:hAnsi="Palatino Linotype" w:cs="Palatino Linotype"/>
          <w:sz w:val="22"/>
          <w:szCs w:val="22"/>
        </w:rPr>
        <w:lastRenderedPageBreak/>
        <w:t xml:space="preserve">la información, establecido en los artículos 151, 160, 162, 163, 164, 165 y 166, de la Ley de Transparencia y Acceso a la Información Pública del Estado de México y Municipios. </w:t>
      </w:r>
    </w:p>
    <w:p w14:paraId="3AF8D6FC"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775C45CE"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resulta importante señalar que el particular solicitó únicamente las resoluciones de los procedimientos realizados por la Contraloría, por lo que resulta procedente analizar la naturaleza de la información. </w:t>
      </w:r>
    </w:p>
    <w:p w14:paraId="29EEDBE2"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B76443E" w14:textId="77777777" w:rsidR="002377F0" w:rsidRPr="00E7469C" w:rsidRDefault="008C7182">
      <w:pPr>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En caso de que los procedimientos referidos estén concluidos, por faltas administrativas graves con sanción condenatoria. </w:t>
      </w:r>
    </w:p>
    <w:p w14:paraId="1324E1E2" w14:textId="77777777" w:rsidR="002377F0" w:rsidRPr="00E7469C" w:rsidRDefault="002377F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08FA4909" w14:textId="77777777" w:rsidR="002377F0" w:rsidRPr="00E7469C" w:rsidRDefault="008C718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E7469C">
        <w:rPr>
          <w:rFonts w:ascii="Palatino Linotype" w:eastAsia="Palatino Linotype" w:hAnsi="Palatino Linotype" w:cs="Palatino Linotype"/>
          <w:sz w:val="22"/>
          <w:szCs w:val="22"/>
        </w:rPr>
        <w:t xml:space="preserve">En el supuesto de que existan procedimientos de responsabilidades administrativas instaurados en contra de servidores públicos, que causaron estado, es decir, que ya no aceptan recurso o medio de defensa alguno, es procedente su entrega dejando visible el </w:t>
      </w:r>
      <w:r w:rsidRPr="00E7469C">
        <w:rPr>
          <w:rFonts w:ascii="Palatino Linotype" w:eastAsia="Palatino Linotype" w:hAnsi="Palatino Linotype" w:cs="Palatino Linotype"/>
          <w:b/>
          <w:sz w:val="22"/>
          <w:szCs w:val="22"/>
          <w:u w:val="single"/>
        </w:rPr>
        <w:t xml:space="preserve"> nombre, cargo y sanción impuesta al Servidor Público condenado, sin embargo, deberán clasificarse los datos personales </w:t>
      </w:r>
      <w:r w:rsidRPr="00E7469C">
        <w:rPr>
          <w:rFonts w:ascii="Palatino Linotype" w:eastAsia="Palatino Linotype" w:hAnsi="Palatino Linotype" w:cs="Palatino Linotype"/>
          <w:sz w:val="22"/>
          <w:szCs w:val="22"/>
        </w:rPr>
        <w:t xml:space="preserve">que en éste se encuentren, para lo cual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04D09F03"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5270E72B"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3. Para los efectos de la presente Ley se entenderá por:</w:t>
      </w:r>
    </w:p>
    <w:p w14:paraId="5061357C"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w:t>
      </w:r>
    </w:p>
    <w:p w14:paraId="3C4DC039"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IX. Datos personales: La información concerniente a una persona, identificada o identificable según lo dispuesto por la Ley de Protección de Datos Personales del Estado de México;</w:t>
      </w:r>
    </w:p>
    <w:p w14:paraId="0DD40CF2"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w:t>
      </w:r>
    </w:p>
    <w:p w14:paraId="1B016945"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lastRenderedPageBreak/>
        <w:t>XLV. Versión pública: Documento en el que se elimine, suprime o borra la información clasificada como reservada o confidencial para permitir su acceso.</w:t>
      </w:r>
    </w:p>
    <w:p w14:paraId="20304F3D"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Artículo 122. La clasificación es el proceso mediante el cual el Sujeto Obligado determina que la información en su poder </w:t>
      </w:r>
      <w:proofErr w:type="spellStart"/>
      <w:r w:rsidRPr="00E7469C">
        <w:rPr>
          <w:rFonts w:ascii="Palatino Linotype" w:eastAsia="Palatino Linotype" w:hAnsi="Palatino Linotype" w:cs="Palatino Linotype"/>
          <w:i/>
          <w:sz w:val="22"/>
          <w:szCs w:val="22"/>
        </w:rPr>
        <w:t>actualiza</w:t>
      </w:r>
      <w:proofErr w:type="spellEnd"/>
      <w:r w:rsidRPr="00E7469C">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85CA276"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14D177C4"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Artículo 132. La clasificación de la información se llevará a cabo en el momento en que:</w:t>
      </w:r>
    </w:p>
    <w:p w14:paraId="42EC4716"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p>
    <w:p w14:paraId="7D6FE943"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49549A1D" w14:textId="77777777" w:rsidR="002377F0" w:rsidRPr="00E7469C" w:rsidRDefault="008C7182">
      <w:pPr>
        <w:spacing w:line="276" w:lineRule="auto"/>
        <w:ind w:left="851" w:right="567"/>
        <w:jc w:val="both"/>
        <w:rPr>
          <w:rFonts w:ascii="Palatino Linotype" w:eastAsia="Palatino Linotype" w:hAnsi="Palatino Linotype" w:cs="Palatino Linotype"/>
          <w:b/>
          <w:i/>
          <w:sz w:val="22"/>
          <w:szCs w:val="22"/>
          <w:u w:val="single"/>
        </w:rPr>
      </w:pPr>
      <w:r w:rsidRPr="00E7469C">
        <w:rPr>
          <w:rFonts w:ascii="Palatino Linotype" w:eastAsia="Palatino Linotype" w:hAnsi="Palatino Linotype" w:cs="Palatino Linotype"/>
          <w:b/>
          <w:i/>
          <w:sz w:val="22"/>
          <w:szCs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E7469C">
        <w:rPr>
          <w:rFonts w:ascii="Palatino Linotype" w:eastAsia="Palatino Linotype" w:hAnsi="Palatino Linotype" w:cs="Palatino Linotype"/>
          <w:b/>
          <w:i/>
          <w:sz w:val="22"/>
          <w:szCs w:val="22"/>
          <w:u w:val="single"/>
        </w:rPr>
        <w:t>de manera genérica y fundando y motivando su clasificación.” (Sic)</w:t>
      </w:r>
    </w:p>
    <w:p w14:paraId="4DA91E3B" w14:textId="77777777" w:rsidR="002377F0" w:rsidRPr="00E7469C" w:rsidRDefault="002377F0">
      <w:pPr>
        <w:spacing w:line="360" w:lineRule="auto"/>
        <w:ind w:right="49"/>
        <w:jc w:val="both"/>
        <w:rPr>
          <w:rFonts w:ascii="Palatino Linotype" w:eastAsia="Palatino Linotype" w:hAnsi="Palatino Linotype" w:cs="Palatino Linotype"/>
          <w:b/>
          <w:i/>
          <w:sz w:val="22"/>
          <w:szCs w:val="22"/>
          <w:u w:val="single"/>
        </w:rPr>
      </w:pPr>
    </w:p>
    <w:p w14:paraId="6BF9932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608F113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B9440E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18B84B0"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06E1D9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Así, los LINEAMIENTOS GENERALES EN MATERIA DE CLASIFICACIÓN Y DESCLASIFICACIÓN DE LA INFORMACIÓN, ASÍ COMO PARA LA ELABORACIÓN DE VERSIONES PÚBLICAS, emitidos por Consejo Nacional del Sistema Nacional de Transparencia, vigentes señalan con claridad cuáles son aquellos datos personales que deben ser clasificados al momento de la elaboración de las versiones públicas. </w:t>
      </w:r>
    </w:p>
    <w:p w14:paraId="2B7218E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33210B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Efectivamente, cuando se clasifica información como confidencial o reservada </w:t>
      </w:r>
      <w:r w:rsidRPr="00E7469C">
        <w:rPr>
          <w:rFonts w:ascii="Palatino Linotype" w:eastAsia="Palatino Linotype" w:hAnsi="Palatino Linotype" w:cs="Palatino Linotype"/>
          <w:b/>
          <w:sz w:val="22"/>
          <w:szCs w:val="22"/>
        </w:rPr>
        <w:t>es deber someterlo al Comité de Transparencia</w:t>
      </w:r>
      <w:r w:rsidRPr="00E7469C">
        <w:rPr>
          <w:rFonts w:ascii="Palatino Linotype" w:eastAsia="Palatino Linotype" w:hAnsi="Palatino Linotype" w:cs="Palatino Linotype"/>
          <w:sz w:val="22"/>
          <w:szCs w:val="22"/>
        </w:rPr>
        <w:t>,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2B8ECB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B5D0776" w14:textId="77777777" w:rsidR="002377F0" w:rsidRPr="00E7469C" w:rsidRDefault="008C7182">
      <w:pPr>
        <w:spacing w:line="360" w:lineRule="auto"/>
        <w:jc w:val="both"/>
        <w:rPr>
          <w:rFonts w:ascii="Palatino Linotype" w:eastAsia="Palatino Linotype" w:hAnsi="Palatino Linotype" w:cs="Palatino Linotype"/>
          <w:b/>
          <w:sz w:val="22"/>
          <w:szCs w:val="22"/>
          <w:u w:val="single"/>
        </w:rPr>
      </w:pPr>
      <w:r w:rsidRPr="00E7469C">
        <w:rPr>
          <w:rFonts w:ascii="Palatino Linotype" w:eastAsia="Palatino Linotype" w:hAnsi="Palatino Linotype" w:cs="Palatino Linotype"/>
          <w:sz w:val="22"/>
          <w:szCs w:val="22"/>
        </w:rPr>
        <w:t xml:space="preserve">Por otro lado, </w:t>
      </w:r>
      <w:r w:rsidRPr="00E7469C">
        <w:rPr>
          <w:rFonts w:ascii="Palatino Linotype" w:eastAsia="Palatino Linotype" w:hAnsi="Palatino Linotype" w:cs="Palatino Linotype"/>
          <w:b/>
          <w:sz w:val="22"/>
          <w:szCs w:val="22"/>
        </w:rPr>
        <w:t>si bien es cierto, que entregar el nombre de los servidores públicos que obtuvieron alguna sanción, podría generar una percepción negativa de estos,</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sz w:val="22"/>
          <w:szCs w:val="22"/>
        </w:rPr>
        <w:lastRenderedPageBreak/>
        <w:t xml:space="preserve">ocasionando un perjuicio en su honor, intimidad, buena imagen y nombre, así como a su vida privada, </w:t>
      </w:r>
      <w:r w:rsidRPr="00E7469C">
        <w:rPr>
          <w:rFonts w:ascii="Palatino Linotype" w:eastAsia="Palatino Linotype" w:hAnsi="Palatino Linotype" w:cs="Palatino Linotype"/>
          <w:b/>
          <w:sz w:val="22"/>
          <w:szCs w:val="22"/>
          <w:u w:val="single"/>
        </w:rPr>
        <w:t>también lo es, que en el presente caso se trata de responsabilidades graves.</w:t>
      </w:r>
    </w:p>
    <w:p w14:paraId="4AF4067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EA80F5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6060705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EC2923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3971502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B1CDD4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Conforme a lo anterior, se logra vislumbrar que las responsabilidades graves, causan un perjuicio de manera externa, esto es, a terceras personas o bien, a la hacienda o </w:t>
      </w:r>
      <w:proofErr w:type="gramStart"/>
      <w:r w:rsidRPr="00E7469C">
        <w:rPr>
          <w:rFonts w:ascii="Palatino Linotype" w:eastAsia="Palatino Linotype" w:hAnsi="Palatino Linotype" w:cs="Palatino Linotype"/>
          <w:sz w:val="22"/>
          <w:szCs w:val="22"/>
        </w:rPr>
        <w:t>erario público</w:t>
      </w:r>
      <w:proofErr w:type="gramEnd"/>
      <w:r w:rsidRPr="00E7469C">
        <w:rPr>
          <w:rFonts w:ascii="Palatino Linotype" w:eastAsia="Palatino Linotype" w:hAnsi="Palatino Linotype" w:cs="Palatino Linotype"/>
          <w:sz w:val="22"/>
          <w:szCs w:val="22"/>
        </w:rPr>
        <w:t>; por lo que, se podría considerar que existe una trascendencia social, para dar a conocer dicha información, además que se relacionan dichas conductas con actos de corrupción, conforme a la normatividad citada en el párrafo previo.</w:t>
      </w:r>
    </w:p>
    <w:p w14:paraId="2D61E95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040EAA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75769F7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2CFBAA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acreditó una responsabilidad grave, de tal manera, en que los puedan reconocer. </w:t>
      </w:r>
    </w:p>
    <w:p w14:paraId="56382AE0"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3D1B28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5EBAFF7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6E7864B"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3B17D41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C2F94C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mismo sentido y atendiendo a la naturaleza del derecho a la protección de datos personales, por analogía, este debe ceder cuando exista un interés público mayor </w:t>
      </w: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las circunstancias del caso. Señalado lo anterior, resulta necesario realizar una </w:t>
      </w:r>
      <w:r w:rsidRPr="00E7469C">
        <w:rPr>
          <w:rFonts w:ascii="Palatino Linotype" w:eastAsia="Palatino Linotype" w:hAnsi="Palatino Linotype" w:cs="Palatino Linotype"/>
          <w:sz w:val="22"/>
          <w:szCs w:val="22"/>
        </w:rPr>
        <w:lastRenderedPageBreak/>
        <w:t xml:space="preserve">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686C434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C5DED96" w14:textId="77777777" w:rsidR="002377F0" w:rsidRPr="00E7469C" w:rsidRDefault="008C7182">
      <w:pPr>
        <w:numPr>
          <w:ilvl w:val="0"/>
          <w:numId w:val="24"/>
        </w:numPr>
        <w:spacing w:line="360" w:lineRule="auto"/>
        <w:ind w:left="567" w:right="900" w:hanging="28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Idoneidad:</w:t>
      </w:r>
      <w:r w:rsidRPr="00E7469C">
        <w:rPr>
          <w:rFonts w:ascii="Palatino Linotype" w:eastAsia="Palatino Linotype" w:hAnsi="Palatino Linotype" w:cs="Palatino Linotype"/>
          <w:sz w:val="22"/>
          <w:szCs w:val="22"/>
        </w:rPr>
        <w:t xml:space="preserve"> La legitimidad del derecho adoptado como preferente, que sea el adecuado para el logro de un fin constitucionalmente válido o apto para conseguir el fin pretendido;</w:t>
      </w:r>
    </w:p>
    <w:p w14:paraId="5A705175" w14:textId="77777777" w:rsidR="002377F0" w:rsidRPr="00E7469C" w:rsidRDefault="008C7182">
      <w:pPr>
        <w:numPr>
          <w:ilvl w:val="0"/>
          <w:numId w:val="24"/>
        </w:numPr>
        <w:spacing w:line="360" w:lineRule="auto"/>
        <w:ind w:left="567" w:right="900" w:hanging="28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Necesidad:</w:t>
      </w:r>
      <w:r w:rsidRPr="00E7469C">
        <w:rPr>
          <w:rFonts w:ascii="Palatino Linotype" w:eastAsia="Palatino Linotype" w:hAnsi="Palatino Linotype" w:cs="Palatino Linotype"/>
          <w:sz w:val="22"/>
          <w:szCs w:val="22"/>
        </w:rPr>
        <w:t xml:space="preserve"> La falta de un medio alternativo menos lesivo a la apertura de la información, para satisfacer el interés público, y</w:t>
      </w:r>
    </w:p>
    <w:p w14:paraId="21F1D7AA" w14:textId="77777777" w:rsidR="002377F0" w:rsidRPr="00E7469C" w:rsidRDefault="008C7182">
      <w:pPr>
        <w:numPr>
          <w:ilvl w:val="0"/>
          <w:numId w:val="24"/>
        </w:numPr>
        <w:spacing w:line="360" w:lineRule="auto"/>
        <w:ind w:left="567" w:right="900" w:hanging="28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Proporcionalidad:</w:t>
      </w:r>
      <w:r w:rsidRPr="00E7469C">
        <w:rPr>
          <w:rFonts w:ascii="Palatino Linotype" w:eastAsia="Palatino Linotype" w:hAnsi="Palatino Linotype" w:cs="Palatino Linotype"/>
          <w:sz w:val="22"/>
          <w:szCs w:val="22"/>
        </w:rPr>
        <w:t xml:space="preserve"> El equilibrio entre perjuicio y beneficio a favor del interés público, a fin de que la decisión tomada represente un beneficio mayor al perjuicio que podría causar a la población.</w:t>
      </w:r>
    </w:p>
    <w:p w14:paraId="55EB4649" w14:textId="77777777" w:rsidR="002377F0" w:rsidRPr="00E7469C" w:rsidRDefault="002377F0">
      <w:pPr>
        <w:spacing w:line="360" w:lineRule="auto"/>
        <w:ind w:left="851"/>
        <w:jc w:val="both"/>
        <w:rPr>
          <w:rFonts w:ascii="Palatino Linotype" w:eastAsia="Palatino Linotype" w:hAnsi="Palatino Linotype" w:cs="Palatino Linotype"/>
          <w:sz w:val="22"/>
          <w:szCs w:val="22"/>
        </w:rPr>
      </w:pPr>
    </w:p>
    <w:p w14:paraId="3DF43AD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5D81CED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7E85F8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a) Idoneidad</w:t>
      </w:r>
      <w:r w:rsidRPr="00E7469C">
        <w:rPr>
          <w:rFonts w:ascii="Palatino Linotype" w:eastAsia="Palatino Linotype" w:hAnsi="Palatino Linotype" w:cs="Palatino Linotype"/>
          <w:sz w:val="22"/>
          <w:szCs w:val="22"/>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08A48C18" w14:textId="77777777" w:rsidR="002377F0" w:rsidRPr="00E7469C" w:rsidRDefault="002377F0">
      <w:pPr>
        <w:spacing w:line="360" w:lineRule="auto"/>
        <w:jc w:val="both"/>
        <w:rPr>
          <w:rFonts w:ascii="Palatino Linotype" w:eastAsia="Palatino Linotype" w:hAnsi="Palatino Linotype" w:cs="Palatino Linotype"/>
          <w:b/>
          <w:sz w:val="22"/>
          <w:szCs w:val="22"/>
        </w:rPr>
      </w:pPr>
    </w:p>
    <w:p w14:paraId="2B9F18F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Sin embargo, existen dos fines válidos para otorgar los acuerdos emitidos en los expedientes de procedimientos de responsabilidades graves; los cuales, consisten en </w:t>
      </w:r>
      <w:r w:rsidRPr="00E7469C">
        <w:rPr>
          <w:rFonts w:ascii="Palatino Linotype" w:eastAsia="Palatino Linotype" w:hAnsi="Palatino Linotype" w:cs="Palatino Linotype"/>
          <w:sz w:val="22"/>
          <w:szCs w:val="22"/>
        </w:rPr>
        <w:lastRenderedPageBreak/>
        <w:t>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118E521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BF00E5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63627B6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425759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3C1DD549"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F8C35C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ese contexto, dado que la información se relaciona con el actuar de los servidores públicos de la Administración Pública Municipal, existe un interés público por conocer los procedimientos generados en análisis vinculados con el nombre del servidor público sancionado, y, por lo tanto, la información del interés del particular no es susceptible de </w:t>
      </w:r>
      <w:r w:rsidRPr="00E7469C">
        <w:rPr>
          <w:rFonts w:ascii="Palatino Linotype" w:eastAsia="Palatino Linotype" w:hAnsi="Palatino Linotype" w:cs="Palatino Linotype"/>
          <w:sz w:val="22"/>
          <w:szCs w:val="22"/>
        </w:rPr>
        <w:lastRenderedPageBreak/>
        <w:t xml:space="preserve">protección en tanto que su vinculación con una persona determinada reviste un interés público mayor de ser dado a conocer. </w:t>
      </w:r>
    </w:p>
    <w:p w14:paraId="20F7C81F"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CC502E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ya que como se precisó en párrafos anteriores, proporcionar la información de referencia, garantizaría la rendición de cuentas por parte de la Contraloría Interna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0D0D809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A0AA91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Además, que, con dicha información, se estaría revelando que el desempeño de los servidores públicos </w:t>
      </w:r>
      <w:proofErr w:type="gramStart"/>
      <w:r w:rsidRPr="00E7469C">
        <w:rPr>
          <w:rFonts w:ascii="Palatino Linotype" w:eastAsia="Palatino Linotype" w:hAnsi="Palatino Linotype" w:cs="Palatino Linotype"/>
          <w:sz w:val="22"/>
          <w:szCs w:val="22"/>
        </w:rPr>
        <w:t>sancionados,</w:t>
      </w:r>
      <w:proofErr w:type="gramEnd"/>
      <w:r w:rsidRPr="00E7469C">
        <w:rPr>
          <w:rFonts w:ascii="Palatino Linotype" w:eastAsia="Palatino Linotype" w:hAnsi="Palatino Linotype" w:cs="Palatino Linotype"/>
          <w:sz w:val="22"/>
          <w:szCs w:val="22"/>
        </w:rPr>
        <w:t xml:space="preserve"> no fue conforme a derecho, asimismo, de dar a conocer que los referidos acreditaron que había cometido alguna responsabilidad grave.</w:t>
      </w:r>
    </w:p>
    <w:p w14:paraId="6605FD2B"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ECE59B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1D54044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B346F2F"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b) Necesidad: </w:t>
      </w:r>
      <w:r w:rsidRPr="00E7469C">
        <w:rPr>
          <w:rFonts w:ascii="Palatino Linotype" w:eastAsia="Palatino Linotype" w:hAnsi="Palatino Linotype" w:cs="Palatino Linotype"/>
          <w:sz w:val="22"/>
          <w:szCs w:val="22"/>
        </w:rPr>
        <w:t xml:space="preserve">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 los servidores públicos sancionados, pues se relacionan con el ejercicio de sus funciones de los cargos ocupados, a fin de que los ciudadanos identifiquen </w:t>
      </w:r>
      <w:r w:rsidRPr="00E7469C">
        <w:rPr>
          <w:rFonts w:ascii="Palatino Linotype" w:eastAsia="Palatino Linotype" w:hAnsi="Palatino Linotype" w:cs="Palatino Linotype"/>
          <w:sz w:val="22"/>
          <w:szCs w:val="22"/>
        </w:rPr>
        <w:lastRenderedPageBreak/>
        <w:t>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659A26A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5CABB6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Además, ello permite evaluar la actuación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pues se podrá advertir la forma en la que ejercieron las funciones que legalmente tienen conferidas.</w:t>
      </w:r>
    </w:p>
    <w:p w14:paraId="2D8512C0"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52D148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considerando que sólo por esta vía se podría lograr el acceso a la información correspondiente a los documentos del interés de la Particular, para garantizar la rendición de cuentas sobre su actuación, así como, la de los servidores públicos sancionados.</w:t>
      </w:r>
    </w:p>
    <w:p w14:paraId="0D799BDF"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D5D742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tal virtud, por la trascendencia social de la materia del requerimiento, el derecho de acceso a la información deberá prevalecer sobre el derecho a la privacidad.</w:t>
      </w:r>
    </w:p>
    <w:p w14:paraId="553DFA9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5C29D4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c) Proporcionalidad en sentido estricto:</w:t>
      </w:r>
      <w:r w:rsidRPr="00E7469C">
        <w:rPr>
          <w:rFonts w:ascii="Palatino Linotype" w:eastAsia="Palatino Linotype" w:hAnsi="Palatino Linotype" w:cs="Palatino Linotype"/>
          <w:sz w:val="22"/>
          <w:szCs w:val="22"/>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esto es, que no operó conforme a derecho, así como, la actividad desplegada por las autoridades correspondientes, en el trámite de dichos asuntos. Además, que como se precisó en párrafos previos, dichas faltas recaen en una afectación, para terceras personas, o bien, al </w:t>
      </w:r>
      <w:proofErr w:type="gramStart"/>
      <w:r w:rsidRPr="00E7469C">
        <w:rPr>
          <w:rFonts w:ascii="Palatino Linotype" w:eastAsia="Palatino Linotype" w:hAnsi="Palatino Linotype" w:cs="Palatino Linotype"/>
          <w:sz w:val="22"/>
          <w:szCs w:val="22"/>
        </w:rPr>
        <w:t>erario público</w:t>
      </w:r>
      <w:proofErr w:type="gramEnd"/>
      <w:r w:rsidRPr="00E7469C">
        <w:rPr>
          <w:rFonts w:ascii="Palatino Linotype" w:eastAsia="Palatino Linotype" w:hAnsi="Palatino Linotype" w:cs="Palatino Linotype"/>
          <w:sz w:val="22"/>
          <w:szCs w:val="22"/>
        </w:rPr>
        <w:t>.</w:t>
      </w:r>
    </w:p>
    <w:p w14:paraId="5618E91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4B2DC9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2CC5606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B10173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2356D9D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5EEFC0B"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4C48190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4F4CBA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Por tanto, se concluye que, al tenor de la ponderación realizada, se cumple con los tres elementos para darle preminencia, en el caso concreto, al derecho de acceso a la información.</w:t>
      </w:r>
    </w:p>
    <w:p w14:paraId="3E35A2A8"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AADCA7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lo expuesto, se determina que los procedimientos de responsabilidades graves vinculados con el nombre de los servidores públicos guardan la naturaleza pública, en razón de que, si bien la difusión de los mismos afectaría los derechos a la confidencialidad, </w:t>
      </w:r>
      <w:r w:rsidRPr="00E7469C">
        <w:rPr>
          <w:rFonts w:ascii="Palatino Linotype" w:eastAsia="Palatino Linotype" w:hAnsi="Palatino Linotype" w:cs="Palatino Linotype"/>
          <w:sz w:val="22"/>
          <w:szCs w:val="22"/>
        </w:rPr>
        <w:lastRenderedPageBreak/>
        <w:t>a la privacidad, al honor y a la propia imagen, también lo es que tratándose de asuntos relacionados con actos de responsabilidad graves, tales prerrogativas quedan supeditadas al interés mayor de conocer tales eventualidades y por lo tanto no procede su clasificación en términos del artículo 143, fracción I de la Ley de la materia.</w:t>
      </w:r>
    </w:p>
    <w:p w14:paraId="683D235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0C8211A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Conforme a lo anterior, se concluye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únicamente se encuentra constreñido, a dejar visible en el soporte documental que dé cuenta de lo requerido por el particular,</w:t>
      </w:r>
      <w:r w:rsidRPr="00E7469C">
        <w:rPr>
          <w:rFonts w:ascii="Palatino Linotype" w:eastAsia="Palatino Linotype" w:hAnsi="Palatino Linotype" w:cs="Palatino Linotype"/>
          <w:b/>
          <w:sz w:val="22"/>
          <w:szCs w:val="22"/>
          <w:u w:val="single"/>
        </w:rPr>
        <w:t xml:space="preserve"> el nombre, cargo y sanción impuesta al Servidor Público condenado mediante resolución en un procedimiento que ya causo estado, por faltas administrativas graves.</w:t>
      </w:r>
    </w:p>
    <w:p w14:paraId="74EC2B53" w14:textId="77777777" w:rsidR="002377F0" w:rsidRPr="00E7469C" w:rsidRDefault="002377F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347126E" w14:textId="77777777" w:rsidR="002377F0" w:rsidRPr="00E7469C" w:rsidRDefault="008C7182">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Procedimientos referidos concluidos que se consideren absolutorios por faltas graves, así como procedimientos que se consideren condenatorios y absolutorios por faltas no graves.</w:t>
      </w:r>
    </w:p>
    <w:p w14:paraId="789AC26D"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421BFD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Este Organismo Garante ha determinado que para los casos en los que se actualicen estos supuestos, deberá tenerse en cuenta que en estos procedimientos no procederá la entrega del nombre del servidor público, ni cualquier otro dato que lo pudiera hacer identificable. </w:t>
      </w:r>
    </w:p>
    <w:p w14:paraId="7DC978D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52DB2D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Se afirma lo anterior, ya que el simple pronunciamiento del ente público sobre entregar el nombre de un servidor público que fue sujeto a procedimiento de responsabilidad administrativa en el que fue absuelto de responsabilidad y por tanto no se le impuso sanción alguna, o bien su sanción fue por una falta no grave, vulnera la protección de su privacidad y honor. </w:t>
      </w:r>
    </w:p>
    <w:p w14:paraId="35338B59" w14:textId="77777777" w:rsidR="002377F0" w:rsidRPr="00E7469C" w:rsidRDefault="002377F0">
      <w:pPr>
        <w:tabs>
          <w:tab w:val="left" w:pos="1470"/>
        </w:tabs>
        <w:spacing w:line="360" w:lineRule="auto"/>
        <w:ind w:right="-28"/>
        <w:jc w:val="both"/>
        <w:rPr>
          <w:rFonts w:ascii="Palatino Linotype" w:eastAsia="Palatino Linotype" w:hAnsi="Palatino Linotype" w:cs="Palatino Linotype"/>
          <w:sz w:val="22"/>
          <w:szCs w:val="22"/>
        </w:rPr>
      </w:pPr>
    </w:p>
    <w:p w14:paraId="15759E9D" w14:textId="77777777" w:rsidR="002377F0" w:rsidRPr="00E7469C" w:rsidRDefault="008C7182">
      <w:pPr>
        <w:tabs>
          <w:tab w:val="left" w:pos="3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Respecto del </w:t>
      </w:r>
      <w:r w:rsidRPr="00E7469C">
        <w:rPr>
          <w:rFonts w:ascii="Palatino Linotype" w:eastAsia="Palatino Linotype" w:hAnsi="Palatino Linotype" w:cs="Palatino Linotype"/>
          <w:b/>
          <w:sz w:val="22"/>
          <w:szCs w:val="22"/>
        </w:rPr>
        <w:t>derecho a la privacidad</w:t>
      </w:r>
      <w:r w:rsidRPr="00E7469C">
        <w:rPr>
          <w:rFonts w:ascii="Palatino Linotype" w:eastAsia="Palatino Linotype" w:hAnsi="Palatino Linotype" w:cs="Palatino Linotype"/>
          <w:sz w:val="22"/>
          <w:szCs w:val="22"/>
        </w:rPr>
        <w:t xml:space="preserve">, se trae a colación la tesis aislada número 2a. LXIII/2008, emitida por la Segunda Sala de la Suprema Corte de Justicia de la Nación, </w:t>
      </w:r>
      <w:r w:rsidRPr="00E7469C">
        <w:rPr>
          <w:rFonts w:ascii="Palatino Linotype" w:eastAsia="Palatino Linotype" w:hAnsi="Palatino Linotype" w:cs="Palatino Linotype"/>
          <w:sz w:val="22"/>
          <w:szCs w:val="22"/>
        </w:rPr>
        <w:lastRenderedPageBreak/>
        <w:t xml:space="preserve">publicada en la Gaceta del Semanario Judicial de la Federación, Tomo XXVII, de mayo de 2008, página 229, de la Novena Época, materia constitucional, misma que a la letra señala: </w:t>
      </w:r>
    </w:p>
    <w:p w14:paraId="5C52B93C" w14:textId="77777777" w:rsidR="002377F0" w:rsidRPr="00E7469C" w:rsidRDefault="002377F0">
      <w:pPr>
        <w:tabs>
          <w:tab w:val="left" w:pos="3962"/>
        </w:tabs>
        <w:spacing w:line="360" w:lineRule="auto"/>
        <w:jc w:val="both"/>
        <w:rPr>
          <w:rFonts w:ascii="Palatino Linotype" w:eastAsia="Palatino Linotype" w:hAnsi="Palatino Linotype" w:cs="Palatino Linotype"/>
          <w:sz w:val="22"/>
          <w:szCs w:val="22"/>
        </w:rPr>
      </w:pPr>
    </w:p>
    <w:p w14:paraId="6C992895" w14:textId="77777777" w:rsidR="002377F0" w:rsidRPr="00E7469C" w:rsidRDefault="008C7182">
      <w:pPr>
        <w:tabs>
          <w:tab w:val="left" w:pos="3962"/>
        </w:tabs>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E7469C">
        <w:rPr>
          <w:rFonts w:ascii="Palatino Linotype" w:eastAsia="Palatino Linotype" w:hAnsi="Palatino Linotype" w:cs="Palatino Linotype"/>
          <w:i/>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4AB6CAA6" w14:textId="77777777" w:rsidR="002377F0" w:rsidRPr="00E7469C" w:rsidRDefault="002377F0">
      <w:pPr>
        <w:tabs>
          <w:tab w:val="left" w:pos="3962"/>
        </w:tabs>
        <w:spacing w:line="276" w:lineRule="auto"/>
        <w:ind w:left="851" w:right="902"/>
        <w:jc w:val="both"/>
        <w:rPr>
          <w:rFonts w:ascii="Palatino Linotype" w:eastAsia="Palatino Linotype" w:hAnsi="Palatino Linotype" w:cs="Palatino Linotype"/>
          <w:i/>
          <w:sz w:val="22"/>
          <w:szCs w:val="22"/>
        </w:rPr>
      </w:pPr>
    </w:p>
    <w:p w14:paraId="61891925" w14:textId="77777777" w:rsidR="002377F0" w:rsidRPr="00E7469C" w:rsidRDefault="008C7182">
      <w:pPr>
        <w:tabs>
          <w:tab w:val="left" w:pos="3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63968E49" w14:textId="77777777" w:rsidR="002377F0" w:rsidRPr="00E7469C" w:rsidRDefault="002377F0">
      <w:pPr>
        <w:tabs>
          <w:tab w:val="left" w:pos="3962"/>
        </w:tabs>
        <w:spacing w:line="360" w:lineRule="auto"/>
        <w:jc w:val="both"/>
        <w:rPr>
          <w:rFonts w:ascii="Palatino Linotype" w:eastAsia="Palatino Linotype" w:hAnsi="Palatino Linotype" w:cs="Palatino Linotype"/>
          <w:sz w:val="22"/>
          <w:szCs w:val="22"/>
        </w:rPr>
      </w:pPr>
    </w:p>
    <w:p w14:paraId="21DD6B4D" w14:textId="77777777" w:rsidR="002377F0" w:rsidRPr="00E7469C" w:rsidRDefault="008C7182">
      <w:pPr>
        <w:tabs>
          <w:tab w:val="left" w:pos="3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Es decir, en el artículo 16, primer párrafo constitucional, se da el reconocimiento de un derecho a la privacidad de las personas que implica no ser sujeto de injerencias arbitrarias, intromisiones o molestias en el ámbito reservado de su vida o intimidad, ni de ataques a su </w:t>
      </w:r>
      <w:r w:rsidRPr="00E7469C">
        <w:rPr>
          <w:rFonts w:ascii="Palatino Linotype" w:eastAsia="Palatino Linotype" w:hAnsi="Palatino Linotype" w:cs="Palatino Linotype"/>
          <w:sz w:val="22"/>
          <w:szCs w:val="22"/>
        </w:rPr>
        <w:lastRenderedPageBreak/>
        <w:t>honra o a su reputación, por lo que toda persona tiene derecho a la protección de la ley contra tales injerencias o ataques.</w:t>
      </w:r>
    </w:p>
    <w:p w14:paraId="466A2836" w14:textId="77777777" w:rsidR="002377F0" w:rsidRPr="00E7469C" w:rsidRDefault="002377F0">
      <w:pPr>
        <w:tabs>
          <w:tab w:val="left" w:pos="3962"/>
        </w:tabs>
        <w:spacing w:line="360" w:lineRule="auto"/>
        <w:jc w:val="both"/>
        <w:rPr>
          <w:rFonts w:ascii="Palatino Linotype" w:eastAsia="Palatino Linotype" w:hAnsi="Palatino Linotype" w:cs="Palatino Linotype"/>
          <w:sz w:val="22"/>
          <w:szCs w:val="22"/>
        </w:rPr>
      </w:pPr>
    </w:p>
    <w:p w14:paraId="71958524" w14:textId="77777777" w:rsidR="002377F0" w:rsidRPr="00E7469C" w:rsidRDefault="008C7182">
      <w:pPr>
        <w:tabs>
          <w:tab w:val="left" w:pos="3962"/>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lo que hace al </w:t>
      </w:r>
      <w:r w:rsidRPr="00E7469C">
        <w:rPr>
          <w:rFonts w:ascii="Palatino Linotype" w:eastAsia="Palatino Linotype" w:hAnsi="Palatino Linotype" w:cs="Palatino Linotype"/>
          <w:b/>
          <w:sz w:val="22"/>
          <w:szCs w:val="22"/>
        </w:rPr>
        <w:t>derecho al honor</w:t>
      </w:r>
      <w:r w:rsidRPr="00E7469C">
        <w:rPr>
          <w:rFonts w:ascii="Palatino Linotype" w:eastAsia="Palatino Linotype" w:hAnsi="Palatino Linotype" w:cs="Palatino Linotype"/>
          <w:sz w:val="22"/>
          <w:szCs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1021BB01" w14:textId="77777777" w:rsidR="002377F0" w:rsidRPr="00E7469C" w:rsidRDefault="002377F0">
      <w:pPr>
        <w:tabs>
          <w:tab w:val="left" w:pos="3962"/>
        </w:tabs>
        <w:spacing w:line="360" w:lineRule="auto"/>
        <w:jc w:val="both"/>
        <w:rPr>
          <w:rFonts w:ascii="Palatino Linotype" w:eastAsia="Palatino Linotype" w:hAnsi="Palatino Linotype" w:cs="Palatino Linotype"/>
          <w:sz w:val="22"/>
          <w:szCs w:val="22"/>
        </w:rPr>
      </w:pPr>
    </w:p>
    <w:p w14:paraId="790FD1D4" w14:textId="77777777" w:rsidR="002377F0" w:rsidRPr="00E7469C" w:rsidRDefault="008C7182">
      <w:pPr>
        <w:spacing w:line="276" w:lineRule="auto"/>
        <w:ind w:left="851" w:right="902"/>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“DERECHO FUNDAMENTAL AL HONOR. SU DIMENSIÓN SUBJETIVA Y OBJETIVA. </w:t>
      </w:r>
      <w:r w:rsidRPr="00E7469C">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E7469C">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E7469C">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6EF1A241" w14:textId="77777777" w:rsidR="002377F0" w:rsidRPr="00E7469C" w:rsidRDefault="002377F0">
      <w:pPr>
        <w:spacing w:line="276" w:lineRule="auto"/>
        <w:ind w:left="851" w:right="902"/>
        <w:jc w:val="both"/>
        <w:rPr>
          <w:rFonts w:ascii="Palatino Linotype" w:eastAsia="Palatino Linotype" w:hAnsi="Palatino Linotype" w:cs="Palatino Linotype"/>
          <w:sz w:val="22"/>
          <w:szCs w:val="22"/>
        </w:rPr>
      </w:pPr>
    </w:p>
    <w:p w14:paraId="46EA9BB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Como se observa, el honor es el concepto que la persona tiene de sí misma o que los demás se han formado de ella, en virtud de su proceder o de la expresión de su calidad ética y social. </w:t>
      </w:r>
    </w:p>
    <w:p w14:paraId="316477F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65A6F27"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E7469C">
        <w:rPr>
          <w:rFonts w:ascii="Palatino Linotype" w:eastAsia="Palatino Linotype" w:hAnsi="Palatino Linotype" w:cs="Palatino Linotype"/>
          <w:b/>
          <w:sz w:val="22"/>
          <w:szCs w:val="22"/>
        </w:rPr>
        <w:t>En el aspecto objetivo, el honor es lesionado por todo aquello que afecta a la reputación que la persona merece.</w:t>
      </w:r>
    </w:p>
    <w:p w14:paraId="06672F1F"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F8766CB"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Asimismo, el artículo 12 de la Declaración Universal de los Derechos Humanos</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487F4BD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68E607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2F1850E9"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2E4C8A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2DF23F2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16D938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lo que, tratándose de procedimientos que causaron estado por faltas administrativas graves absolutorias o no graves condenatorias o absolutorias, procede clasificar como información confidencial el nombre del servidor público, así como cualquier otro dato que lo haga identificable. </w:t>
      </w:r>
    </w:p>
    <w:p w14:paraId="23C0C1FD"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4DEBFA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Asimismo, en el caso de procedimientos que causaron estado por faltas administrativas no graves condenatorias y absolutorias, también procede clasificar como información confidencial el nombre del servidor público y cualquier otro dato que lo haga identificable, ya que conforme lo anteriormente analizado únicamente procede la entrega en el caso de responsabilidades graves condenatorias.</w:t>
      </w:r>
    </w:p>
    <w:p w14:paraId="606A709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E6DEFF3"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22" w:name="_heading=h.9wtlc7pjzk9m" w:colFirst="0" w:colLast="0"/>
      <w:bookmarkEnd w:id="22"/>
      <w:r w:rsidRPr="00E7469C">
        <w:rPr>
          <w:rFonts w:ascii="Palatino Linotype" w:eastAsia="Palatino Linotype" w:hAnsi="Palatino Linotype" w:cs="Palatino Linotype"/>
          <w:sz w:val="22"/>
          <w:szCs w:val="22"/>
        </w:rPr>
        <w:t xml:space="preserve">Como se ha señalado, en ambos casos procede la clasificación del nombre del servidor público para la protección de su privacidad, buen nombre y honor siempre y cuando no se individualice a un servidor público en específico, o bien, no se haga identificable a una persona; por lo que resulta procedente ordenar la entrega de las resoluciones de los procedimientos de responsabilidad administrativa concluidos, referidos en respuesta. </w:t>
      </w:r>
    </w:p>
    <w:p w14:paraId="0A9B25BB"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7D033280" w14:textId="77777777" w:rsidR="002377F0" w:rsidRPr="00E7469C" w:rsidRDefault="008C7182">
      <w:pPr>
        <w:numPr>
          <w:ilvl w:val="0"/>
          <w:numId w:val="25"/>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Licencias de Construcción de los años 2022, 2023, 2024 y 2025. </w:t>
      </w:r>
    </w:p>
    <w:p w14:paraId="7EB541D8"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respuesta el </w:t>
      </w:r>
      <w:proofErr w:type="gramStart"/>
      <w:r w:rsidRPr="00E7469C">
        <w:rPr>
          <w:rFonts w:ascii="Palatino Linotype" w:eastAsia="Palatino Linotype" w:hAnsi="Palatino Linotype" w:cs="Palatino Linotype"/>
          <w:sz w:val="22"/>
          <w:szCs w:val="22"/>
        </w:rPr>
        <w:t>Director</w:t>
      </w:r>
      <w:proofErr w:type="gramEnd"/>
      <w:r w:rsidRPr="00E7469C">
        <w:rPr>
          <w:rFonts w:ascii="Palatino Linotype" w:eastAsia="Palatino Linotype" w:hAnsi="Palatino Linotype" w:cs="Palatino Linotype"/>
          <w:sz w:val="22"/>
          <w:szCs w:val="22"/>
        </w:rPr>
        <w:t xml:space="preserve"> de Desarrollo Urbano informó la entrega de la siguiente liga electrónica; así como, el procedimiento a seguir, para obtener la información correspondiente de los años 2018 a 2023:</w:t>
      </w:r>
    </w:p>
    <w:p w14:paraId="0AAC0AA9" w14:textId="77777777" w:rsidR="002377F0" w:rsidRPr="00E7469C" w:rsidRDefault="008C7182">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7DE07A05" wp14:editId="27B609C7">
            <wp:extent cx="3596360" cy="469343"/>
            <wp:effectExtent l="0" t="0" r="0" b="0"/>
            <wp:docPr id="21449236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596360" cy="469343"/>
                    </a:xfrm>
                    <a:prstGeom prst="rect">
                      <a:avLst/>
                    </a:prstGeom>
                    <a:ln/>
                  </pic:spPr>
                </pic:pic>
              </a:graphicData>
            </a:graphic>
          </wp:inline>
        </w:drawing>
      </w:r>
    </w:p>
    <w:p w14:paraId="0521AD5F"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Aunado a ello, informó la entrega de las licencias de construcción en versión pública aprobadas por el Comité de Transparencia, mediante Acuerdo </w:t>
      </w:r>
      <w:r w:rsidRPr="00E7469C">
        <w:rPr>
          <w:rFonts w:ascii="Palatino Linotype" w:eastAsia="Palatino Linotype" w:hAnsi="Palatino Linotype" w:cs="Palatino Linotype"/>
          <w:sz w:val="22"/>
          <w:szCs w:val="22"/>
        </w:rPr>
        <w:lastRenderedPageBreak/>
        <w:t>ACT/ATLACOMULCO/EXT/CT/12°/ACU-QUINTO/2025 de la Décima Segunda Sesión Extraordinaria, de fecha veintisiete de marzo de dos mil veinticinco y que fueron emitidas en 2024 y 2025 a la fecha de la solicitud de información.</w:t>
      </w:r>
    </w:p>
    <w:p w14:paraId="7804BCEC"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8D09867" w14:textId="77777777" w:rsidR="002377F0" w:rsidRPr="00E7469C" w:rsidRDefault="008C7182">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Adjuntando un documento que contiene 271 fojas, las cuales contiene Constancias de Terminación de Obra, Licencia Municipal de Construcción de Barda, Permiso de Ruptura en Banqueta y Excavación, Permiso de Ruptura en Guarnición y Excavación, Licencia Municipal de Construcción en Modificación de Fachada, Licencia Municipal de Construcción de Prorroga, Permiso de Ruptura en Banqueta y Excavación, Licencia Municipal de Demolición, Licencia Municipal de Construcción, Licencia Municipal de Suspensión de Obra y Permiso de Ruptura de Concreto en Carretera y Excavación.</w:t>
      </w:r>
    </w:p>
    <w:p w14:paraId="25738C33" w14:textId="77777777" w:rsidR="002377F0" w:rsidRPr="00E7469C" w:rsidRDefault="002377F0">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CD63FC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Expuesto lo anterior se precede al análisis de la información a fin de determinar si el</w:t>
      </w:r>
      <w:r w:rsidRPr="00E7469C">
        <w:rPr>
          <w:rFonts w:ascii="Palatino Linotype" w:eastAsia="Palatino Linotype" w:hAnsi="Palatino Linotype" w:cs="Palatino Linotype"/>
          <w:b/>
          <w:sz w:val="22"/>
          <w:szCs w:val="22"/>
        </w:rPr>
        <w:t xml:space="preserve"> Sujeto Obligado</w:t>
      </w:r>
      <w:r w:rsidRPr="00E7469C">
        <w:rPr>
          <w:rFonts w:ascii="Palatino Linotype" w:eastAsia="Palatino Linotype" w:hAnsi="Palatino Linotype" w:cs="Palatino Linotype"/>
          <w:sz w:val="22"/>
          <w:szCs w:val="22"/>
        </w:rPr>
        <w:t xml:space="preserve"> es competente para generarla, poseerla o administrarla. En primera instancia es de señalar que quien dio atención a la solicitud de información fue la Dirección de Desarrollo Urbano, la </w:t>
      </w:r>
      <w:proofErr w:type="gramStart"/>
      <w:r w:rsidRPr="00E7469C">
        <w:rPr>
          <w:rFonts w:ascii="Palatino Linotype" w:eastAsia="Palatino Linotype" w:hAnsi="Palatino Linotype" w:cs="Palatino Linotype"/>
          <w:sz w:val="22"/>
          <w:szCs w:val="22"/>
        </w:rPr>
        <w:t>cual</w:t>
      </w:r>
      <w:proofErr w:type="gramEnd"/>
      <w:r w:rsidRPr="00E7469C">
        <w:rPr>
          <w:rFonts w:ascii="Palatino Linotype" w:eastAsia="Palatino Linotype" w:hAnsi="Palatino Linotype" w:cs="Palatino Linotype"/>
          <w:sz w:val="22"/>
          <w:szCs w:val="22"/>
        </w:rPr>
        <w:t xml:space="preserve"> conforme al Manual de Organización de la Dirección de Desarrollo Urbano, tiene dentro de sus atribuciones, la siguiente: </w:t>
      </w:r>
    </w:p>
    <w:p w14:paraId="225927BC" w14:textId="77777777" w:rsidR="002377F0" w:rsidRPr="00E7469C" w:rsidRDefault="002377F0">
      <w:pPr>
        <w:spacing w:line="276" w:lineRule="auto"/>
        <w:ind w:left="851" w:right="616"/>
        <w:jc w:val="both"/>
        <w:rPr>
          <w:rFonts w:ascii="Palatino Linotype" w:eastAsia="Palatino Linotype" w:hAnsi="Palatino Linotype" w:cs="Palatino Linotype"/>
          <w:b/>
          <w:i/>
          <w:sz w:val="22"/>
          <w:szCs w:val="22"/>
        </w:rPr>
      </w:pPr>
    </w:p>
    <w:p w14:paraId="51560F7E"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“Dirección de Desarrollo Urbano</w:t>
      </w:r>
    </w:p>
    <w:p w14:paraId="6D9D3774"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Coordinación de Licencias</w:t>
      </w:r>
    </w:p>
    <w:p w14:paraId="43653F72"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 xml:space="preserve">- </w:t>
      </w:r>
      <w:r w:rsidRPr="00E7469C">
        <w:rPr>
          <w:rFonts w:ascii="Palatino Linotype" w:eastAsia="Palatino Linotype" w:hAnsi="Palatino Linotype" w:cs="Palatino Linotype"/>
          <w:i/>
          <w:sz w:val="22"/>
          <w:szCs w:val="22"/>
        </w:rPr>
        <w:t>Elaborar Cédulas Informativas de Zonificación, apoyar en registrar y</w:t>
      </w:r>
      <w:r w:rsidRPr="00E7469C">
        <w:rPr>
          <w:rFonts w:ascii="Palatino Linotype" w:eastAsia="Palatino Linotype" w:hAnsi="Palatino Linotype" w:cs="Palatino Linotype"/>
          <w:b/>
          <w:i/>
          <w:sz w:val="22"/>
          <w:szCs w:val="22"/>
        </w:rPr>
        <w:t xml:space="preserve"> controlar los expedientes de solicitud de Licencias de Construcción en todas las modalidades, </w:t>
      </w:r>
      <w:r w:rsidRPr="00E7469C">
        <w:rPr>
          <w:rFonts w:ascii="Palatino Linotype" w:eastAsia="Palatino Linotype" w:hAnsi="Palatino Linotype" w:cs="Palatino Linotype"/>
          <w:i/>
          <w:sz w:val="22"/>
          <w:szCs w:val="22"/>
        </w:rPr>
        <w:t>así como de alineamientos y números oficiales, constancias de terminación y suspensión de obra;</w:t>
      </w:r>
    </w:p>
    <w:p w14:paraId="1E3FDE3E"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w:t>
      </w:r>
    </w:p>
    <w:p w14:paraId="133DC499" w14:textId="77777777" w:rsidR="002377F0" w:rsidRPr="00E7469C" w:rsidRDefault="008C7182">
      <w:pPr>
        <w:spacing w:line="276" w:lineRule="auto"/>
        <w:ind w:left="851" w:right="616"/>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 xml:space="preserve">Elaborar conjuntamente con </w:t>
      </w:r>
      <w:proofErr w:type="spellStart"/>
      <w:r w:rsidRPr="00E7469C">
        <w:rPr>
          <w:rFonts w:ascii="Palatino Linotype" w:eastAsia="Palatino Linotype" w:hAnsi="Palatino Linotype" w:cs="Palatino Linotype"/>
          <w:b/>
          <w:i/>
          <w:sz w:val="22"/>
          <w:szCs w:val="22"/>
        </w:rPr>
        <w:t>el</w:t>
      </w:r>
      <w:proofErr w:type="spellEnd"/>
      <w:r w:rsidRPr="00E7469C">
        <w:rPr>
          <w:rFonts w:ascii="Palatino Linotype" w:eastAsia="Palatino Linotype" w:hAnsi="Palatino Linotype" w:cs="Palatino Linotype"/>
          <w:b/>
          <w:i/>
          <w:sz w:val="22"/>
          <w:szCs w:val="22"/>
        </w:rPr>
        <w:t xml:space="preserve"> o la Auxiliar las licencias de construcción</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y sus variantes</w:t>
      </w:r>
      <w:r w:rsidRPr="00E7469C">
        <w:rPr>
          <w:rFonts w:ascii="Palatino Linotype" w:eastAsia="Palatino Linotype" w:hAnsi="Palatino Linotype" w:cs="Palatino Linotype"/>
          <w:i/>
          <w:sz w:val="22"/>
          <w:szCs w:val="22"/>
        </w:rPr>
        <w:t xml:space="preserve">, así como de uso del suelo (prorrogas, ampliaciones, modificaciones, demoliciones, bardas, antenas, rupturas de pavimento, suspensiones, modificación </w:t>
      </w:r>
      <w:r w:rsidRPr="00E7469C">
        <w:rPr>
          <w:rFonts w:ascii="Palatino Linotype" w:eastAsia="Palatino Linotype" w:hAnsi="Palatino Linotype" w:cs="Palatino Linotype"/>
          <w:i/>
          <w:sz w:val="22"/>
          <w:szCs w:val="22"/>
        </w:rPr>
        <w:lastRenderedPageBreak/>
        <w:t>de fachada, excavaciones, anuncios publicitarios), constancias de terminación de obra, constancias de alineamiento y números oficiales, cédulas informativas de zonificación, licencias de uso de suelo así como todo trámite derivado de los ordenamientos jurídicos correspondientes, sellar planos, elaborar órdenes de pago, anexo a la parte posterior;</w:t>
      </w:r>
      <w:r w:rsidRPr="00E7469C">
        <w:rPr>
          <w:rFonts w:ascii="Palatino Linotype" w:eastAsia="Palatino Linotype" w:hAnsi="Palatino Linotype" w:cs="Palatino Linotype"/>
          <w:sz w:val="22"/>
          <w:szCs w:val="22"/>
        </w:rPr>
        <w:t>…”</w:t>
      </w:r>
    </w:p>
    <w:p w14:paraId="43ABCD6A" w14:textId="77777777" w:rsidR="002377F0" w:rsidRPr="00E7469C" w:rsidRDefault="002377F0">
      <w:pPr>
        <w:spacing w:line="276" w:lineRule="auto"/>
        <w:ind w:left="851" w:right="616"/>
        <w:jc w:val="both"/>
        <w:rPr>
          <w:rFonts w:ascii="Palatino Linotype" w:eastAsia="Palatino Linotype" w:hAnsi="Palatino Linotype" w:cs="Palatino Linotype"/>
          <w:sz w:val="22"/>
          <w:szCs w:val="22"/>
        </w:rPr>
      </w:pPr>
    </w:p>
    <w:p w14:paraId="30F43F5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virtud de lo anterior, se tiene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en el caso concreto,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dio cabal cumplimiento con el requisito de turnar la solicitud de información al área competente que puede poseer, generar y/o administrar la información requerida.</w:t>
      </w:r>
    </w:p>
    <w:p w14:paraId="252DB7C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5F1283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Ahora bien, respecto al fundamento legal para emitir dicha información –licencias de construcción-, es necesario remitirnos al contenido del artículo 115 fracciones I, II y V de la Constitución Política de los Estados Unidos Mexicanos que establece en lo que nos interesa, lo siguiente: </w:t>
      </w:r>
    </w:p>
    <w:p w14:paraId="6FA0794E" w14:textId="77777777" w:rsidR="002377F0" w:rsidRPr="00E7469C" w:rsidRDefault="002377F0">
      <w:pPr>
        <w:rPr>
          <w:rFonts w:ascii="Palatino Linotype" w:eastAsia="Palatino Linotype" w:hAnsi="Palatino Linotype" w:cs="Palatino Linotype"/>
          <w:sz w:val="22"/>
          <w:szCs w:val="22"/>
        </w:rPr>
      </w:pPr>
    </w:p>
    <w:p w14:paraId="7A5A8F6E" w14:textId="77777777" w:rsidR="002377F0" w:rsidRPr="00E7469C" w:rsidRDefault="008C7182">
      <w:pPr>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sz w:val="22"/>
          <w:szCs w:val="22"/>
        </w:rPr>
        <w:t>“</w:t>
      </w:r>
      <w:r w:rsidRPr="00E7469C">
        <w:rPr>
          <w:rFonts w:ascii="Palatino Linotype" w:eastAsia="Palatino Linotype" w:hAnsi="Palatino Linotype" w:cs="Palatino Linotype"/>
          <w:b/>
          <w:i/>
          <w:sz w:val="22"/>
          <w:szCs w:val="22"/>
        </w:rPr>
        <w:t>Artículo 115.</w:t>
      </w:r>
      <w:r w:rsidRPr="00E7469C">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F3D76F4" w14:textId="77777777" w:rsidR="002377F0" w:rsidRPr="00E7469C" w:rsidRDefault="002377F0">
      <w:pPr>
        <w:ind w:left="851" w:right="567"/>
        <w:jc w:val="both"/>
        <w:rPr>
          <w:rFonts w:ascii="Palatino Linotype" w:eastAsia="Palatino Linotype" w:hAnsi="Palatino Linotype" w:cs="Palatino Linotype"/>
          <w:sz w:val="22"/>
          <w:szCs w:val="22"/>
        </w:rPr>
      </w:pPr>
    </w:p>
    <w:p w14:paraId="7409628D"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I. Cada Municipio será gobernado por un Ayuntamiento de elección popular directa, integrado por un </w:t>
      </w:r>
      <w:proofErr w:type="gramStart"/>
      <w:r w:rsidRPr="00E7469C">
        <w:rPr>
          <w:rFonts w:ascii="Palatino Linotype" w:eastAsia="Palatino Linotype" w:hAnsi="Palatino Linotype" w:cs="Palatino Linotype"/>
          <w:i/>
          <w:sz w:val="22"/>
          <w:szCs w:val="22"/>
        </w:rPr>
        <w:t>Presidente</w:t>
      </w:r>
      <w:proofErr w:type="gramEnd"/>
      <w:r w:rsidRPr="00E7469C">
        <w:rPr>
          <w:rFonts w:ascii="Palatino Linotype" w:eastAsia="Palatino Linotype" w:hAnsi="Palatino Linotype" w:cs="Palatino Linotype"/>
          <w:i/>
          <w:sz w:val="22"/>
          <w:szCs w:val="22"/>
        </w:rPr>
        <w:t xml:space="preserv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2716BB6D"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w:t>
      </w:r>
    </w:p>
    <w:p w14:paraId="2E211659"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46630E54"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lastRenderedPageBreak/>
        <w:t>(…) </w:t>
      </w:r>
    </w:p>
    <w:p w14:paraId="6129769E"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V. Los Municipios, en los términos de las leyes federales y Estatales relativas, estarán facultados para: </w:t>
      </w:r>
    </w:p>
    <w:p w14:paraId="0EB87DE4"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 (…)</w:t>
      </w:r>
    </w:p>
    <w:p w14:paraId="56C25C48" w14:textId="77777777" w:rsidR="002377F0" w:rsidRPr="00E7469C" w:rsidRDefault="008C7182">
      <w:pPr>
        <w:ind w:left="851" w:right="567"/>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u w:val="single"/>
        </w:rPr>
        <w:t>f) Otorgar licencias y permisos para construcciones</w:t>
      </w:r>
      <w:r w:rsidRPr="00E7469C">
        <w:rPr>
          <w:rFonts w:ascii="Palatino Linotype" w:eastAsia="Palatino Linotype" w:hAnsi="Palatino Linotype" w:cs="Palatino Linotype"/>
          <w:i/>
          <w:sz w:val="22"/>
          <w:szCs w:val="22"/>
        </w:rPr>
        <w:t>; (Sic)</w:t>
      </w:r>
    </w:p>
    <w:p w14:paraId="795B28CB" w14:textId="77777777" w:rsidR="002377F0" w:rsidRPr="00E7469C" w:rsidRDefault="002377F0">
      <w:pPr>
        <w:spacing w:line="360" w:lineRule="auto"/>
        <w:rPr>
          <w:rFonts w:ascii="Palatino Linotype" w:eastAsia="Palatino Linotype" w:hAnsi="Palatino Linotype" w:cs="Palatino Linotype"/>
          <w:sz w:val="22"/>
          <w:szCs w:val="22"/>
        </w:rPr>
      </w:pPr>
    </w:p>
    <w:p w14:paraId="3938F081"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leyes su bando, reglamentos, circulares y disposiciones administrativas de observancia general dentro de su circunscripción.</w:t>
      </w:r>
    </w:p>
    <w:p w14:paraId="586F48F9" w14:textId="77777777" w:rsidR="002377F0" w:rsidRPr="00E7469C" w:rsidRDefault="002377F0">
      <w:pPr>
        <w:spacing w:line="360" w:lineRule="auto"/>
        <w:rPr>
          <w:rFonts w:ascii="Palatino Linotype" w:eastAsia="Palatino Linotype" w:hAnsi="Palatino Linotype" w:cs="Palatino Linotype"/>
          <w:sz w:val="22"/>
          <w:szCs w:val="22"/>
        </w:rPr>
      </w:pPr>
    </w:p>
    <w:p w14:paraId="404F5691"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Asimismo, </w:t>
      </w:r>
      <w:r w:rsidRPr="00E7469C">
        <w:rPr>
          <w:rFonts w:ascii="Palatino Linotype" w:eastAsia="Palatino Linotype" w:hAnsi="Palatino Linotype" w:cs="Palatino Linotype"/>
          <w:b/>
          <w:sz w:val="22"/>
          <w:szCs w:val="22"/>
          <w:u w:val="single"/>
        </w:rPr>
        <w:t>están facultados para otorgar licencias y permisos para construcciones. </w:t>
      </w:r>
    </w:p>
    <w:p w14:paraId="3EB8D7E9" w14:textId="77777777" w:rsidR="002377F0" w:rsidRPr="00E7469C" w:rsidRDefault="002377F0">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543FDA50" w14:textId="77777777" w:rsidR="002377F0" w:rsidRPr="00E7469C" w:rsidRDefault="008C7182">
      <w:pPr>
        <w:tabs>
          <w:tab w:val="left" w:pos="7938"/>
        </w:tabs>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dicho lo anterior cabe recordar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en respuesta,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proporcionó una liga electrónica y el procedimiento a seguir para acceder a la consulta de la información solicitada. 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30A712A5"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148306C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161.</w:t>
      </w:r>
      <w:r w:rsidRPr="00E7469C">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w:t>
      </w:r>
      <w:r w:rsidRPr="00E7469C">
        <w:rPr>
          <w:rFonts w:ascii="Palatino Linotype" w:eastAsia="Palatino Linotype" w:hAnsi="Palatino Linotype" w:cs="Palatino Linotype"/>
          <w:i/>
          <w:sz w:val="22"/>
          <w:szCs w:val="22"/>
        </w:rPr>
        <w:lastRenderedPageBreak/>
        <w:t>mayor a cinco días hábiles. La fuente deberá ser precisa y concreta y no debe implicar que el solicitante realice una búsqueda en toda la información que se encuentre disponible.”</w:t>
      </w:r>
    </w:p>
    <w:p w14:paraId="01A7DB09"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1F8A9A79"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Es así </w:t>
      </w:r>
      <w:proofErr w:type="gramStart"/>
      <w:r w:rsidRPr="00E7469C">
        <w:rPr>
          <w:rFonts w:ascii="Palatino Linotype" w:eastAsia="Palatino Linotype" w:hAnsi="Palatino Linotype" w:cs="Palatino Linotype"/>
          <w:sz w:val="22"/>
          <w:szCs w:val="22"/>
        </w:rPr>
        <w:t>que</w:t>
      </w:r>
      <w:proofErr w:type="gramEnd"/>
      <w:r w:rsidRPr="00E7469C">
        <w:rPr>
          <w:rFonts w:ascii="Palatino Linotype" w:eastAsia="Palatino Linotype" w:hAnsi="Palatino Linotype" w:cs="Palatino Linotype"/>
          <w:sz w:val="22"/>
          <w:szCs w:val="22"/>
        </w:rPr>
        <w:t xml:space="preserve">, toda aquella información que sea requerida por los particulares que, previamente se encuentre disponible en sitios electrónicos, como puede ser de manera enunciativa más no limitativa, el sitio oficial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o el portal IPOMEX 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2354E243"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0A78DC34" w14:textId="77777777" w:rsidR="002377F0" w:rsidRPr="00E7469C" w:rsidRDefault="008C7182">
      <w:pPr>
        <w:spacing w:line="360"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La dirección electrónica debe señalarse en un plazo no mayor a cinco días hábiles;</w:t>
      </w:r>
    </w:p>
    <w:p w14:paraId="59A46708" w14:textId="77777777" w:rsidR="002377F0" w:rsidRPr="00E7469C" w:rsidRDefault="008C7182">
      <w:pPr>
        <w:spacing w:line="360"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13117F94" w14:textId="77777777" w:rsidR="002377F0" w:rsidRPr="00E7469C" w:rsidRDefault="008C7182">
      <w:pPr>
        <w:spacing w:line="360"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14:paraId="21580E82" w14:textId="77777777" w:rsidR="002377F0" w:rsidRPr="00E7469C" w:rsidRDefault="008C7182">
      <w:pPr>
        <w:spacing w:line="360" w:lineRule="auto"/>
        <w:ind w:left="284"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14:paraId="4A315E7A"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63025293" w14:textId="77777777" w:rsidR="002377F0" w:rsidRPr="00E7469C" w:rsidRDefault="008C7182">
      <w:pPr>
        <w:spacing w:line="360" w:lineRule="auto"/>
        <w:jc w:val="both"/>
        <w:rPr>
          <w:rFonts w:ascii="Palatino Linotype" w:eastAsia="Palatino Linotype" w:hAnsi="Palatino Linotype" w:cs="Palatino Linotype"/>
          <w:sz w:val="22"/>
          <w:szCs w:val="22"/>
        </w:rPr>
      </w:pPr>
      <w:bookmarkStart w:id="23" w:name="_heading=h.fdoz1dqhhmpg" w:colFirst="0" w:colLast="0"/>
      <w:bookmarkEnd w:id="23"/>
      <w:r w:rsidRPr="00E7469C">
        <w:rPr>
          <w:rFonts w:ascii="Palatino Linotype" w:eastAsia="Palatino Linotype" w:hAnsi="Palatino Linotype" w:cs="Palatino Linotype"/>
          <w:sz w:val="22"/>
          <w:szCs w:val="22"/>
        </w:rPr>
        <w:t xml:space="preserve">De la revisión a los documentos proporcionados por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se aprecia que hizo entrega de la liga electrónica en formato cerrado, es decir, que no se puede copiar y pegar para tener acceso por lo tanto, si bien es cierto que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 por lo que, este Organismo Garante considera oportuno ordenar </w:t>
      </w:r>
      <w:r w:rsidRPr="00E7469C">
        <w:rPr>
          <w:rFonts w:ascii="Palatino Linotype" w:eastAsia="Palatino Linotype" w:hAnsi="Palatino Linotype" w:cs="Palatino Linotype"/>
          <w:sz w:val="22"/>
          <w:szCs w:val="22"/>
        </w:rPr>
        <w:lastRenderedPageBreak/>
        <w:t xml:space="preserve">al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la entrega, en versión pública, de las Licencias de Construcción emitidas en los años dos mil veintidós y dos mil veintitrés. </w:t>
      </w:r>
    </w:p>
    <w:p w14:paraId="6B26AC9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5B7F8D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Ahora bien, respecto al año dos mil veinticuatro y del primero de enero al siete de marzo de dos mil veinticinco,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hizo entrega del documento que contiene las Licencias de construcción en versión pública, sin embargo, de su revisión, se advierte que se encuentran en una incorrecta versión pública, toda vez que se testó información de carácter público como lo son los datos del predio donde se lleva a cabo la construcción. </w:t>
      </w:r>
    </w:p>
    <w:p w14:paraId="3DD33896" w14:textId="77777777" w:rsidR="002377F0" w:rsidRPr="00E7469C" w:rsidRDefault="002377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B2EA77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Bajo ese contexto, se procede analizarán si los datos mencionados, deben ser considerados confidenciales, en términos del artículo 143, fracción I, de la Ley de Transparencia y Acceso a la Información Pública del Estado de México y Municipios, o bien si son de carácter público.</w:t>
      </w:r>
    </w:p>
    <w:p w14:paraId="77DB32F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F3EB9CC" w14:textId="77777777" w:rsidR="002377F0" w:rsidRPr="00E7469C" w:rsidRDefault="008C7182">
      <w:pPr>
        <w:numPr>
          <w:ilvl w:val="0"/>
          <w:numId w:val="26"/>
        </w:numPr>
        <w:spacing w:line="360" w:lineRule="auto"/>
        <w:ind w:hanging="360"/>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Nombre del propietario (Persona física)</w:t>
      </w:r>
    </w:p>
    <w:p w14:paraId="146A8407"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7469C">
        <w:rPr>
          <w:rFonts w:ascii="Palatino Linotype" w:eastAsia="Palatino Linotype" w:hAnsi="Palatino Linotype" w:cs="Palatino Linotype"/>
          <w:i/>
          <w:sz w:val="22"/>
          <w:szCs w:val="22"/>
        </w:rPr>
        <w:t>per se</w:t>
      </w:r>
      <w:r w:rsidRPr="00E7469C">
        <w:rPr>
          <w:rFonts w:ascii="Palatino Linotype" w:eastAsia="Palatino Linotype" w:hAnsi="Palatino Linotype" w:cs="Palatino Linotype"/>
          <w:sz w:val="22"/>
          <w:szCs w:val="22"/>
        </w:rPr>
        <w:t xml:space="preserve"> es un elemento que hace a una persona física identificada o identificable, por lo que, </w:t>
      </w:r>
      <w:r w:rsidRPr="00E7469C">
        <w:rPr>
          <w:rFonts w:ascii="Palatino Linotype" w:eastAsia="Palatino Linotype" w:hAnsi="Palatino Linotype" w:cs="Palatino Linotype"/>
          <w:b/>
          <w:sz w:val="22"/>
          <w:szCs w:val="22"/>
        </w:rPr>
        <w:t>se considera un dato personal.</w:t>
      </w:r>
    </w:p>
    <w:p w14:paraId="5557CDD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481A8DF"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1D384A15" w14:textId="77777777" w:rsidR="002377F0" w:rsidRPr="00E7469C" w:rsidRDefault="002377F0">
      <w:pPr>
        <w:spacing w:line="276" w:lineRule="auto"/>
        <w:ind w:left="851" w:right="567"/>
        <w:jc w:val="both"/>
        <w:rPr>
          <w:rFonts w:ascii="Palatino Linotype" w:eastAsia="Palatino Linotype" w:hAnsi="Palatino Linotype" w:cs="Palatino Linotype"/>
          <w:b/>
          <w:i/>
          <w:sz w:val="22"/>
          <w:szCs w:val="22"/>
        </w:rPr>
      </w:pPr>
    </w:p>
    <w:p w14:paraId="137EBDA8" w14:textId="77777777" w:rsidR="002377F0" w:rsidRPr="00E7469C" w:rsidRDefault="008C7182">
      <w:pPr>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“Nombre del titular de una licencia que no involucre el aprovechamiento de bienes, servicios y/o recursos públicos, constituye un dato personal susceptible de clasificar como confidencial.</w:t>
      </w:r>
      <w:r w:rsidRPr="00E7469C">
        <w:rPr>
          <w:rFonts w:ascii="Palatino Linotype" w:eastAsia="Palatino Linotype" w:hAnsi="Palatino Linotype" w:cs="Palatino Linotype"/>
          <w:i/>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03E881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9F7745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w:t>
      </w:r>
      <w:r w:rsidRPr="00E7469C">
        <w:rPr>
          <w:rFonts w:ascii="Palatino Linotype" w:eastAsia="Palatino Linotype" w:hAnsi="Palatino Linotype" w:cs="Palatino Linotype"/>
          <w:sz w:val="22"/>
          <w:szCs w:val="22"/>
        </w:rPr>
        <w:lastRenderedPageBreak/>
        <w:t>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2537A20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24F95A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No obstante, el artículo 94, fracción I, inciso f) de la Ley de la materia, establece que es información pública de oficio por parte de los Municipios del Estado de México, la referente al otorgamiento de Licencias de Uso de Suelo y de Construcción. Además, en los formatos 6f LGT_Art_71_Fr_If (Licencias de Uso de Suelo) y 7f LGT_Art_71_Fr_If (Licencias de construcción), de los Lineamientos Generales, establecen lo siguiente:</w:t>
      </w:r>
    </w:p>
    <w:p w14:paraId="222DCAFE"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1D12E24"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0DA1E9CB" wp14:editId="1792C3B3">
            <wp:extent cx="5671185" cy="456565"/>
            <wp:effectExtent l="0" t="0" r="0" b="0"/>
            <wp:docPr id="214492366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8"/>
                    <a:srcRect/>
                    <a:stretch>
                      <a:fillRect/>
                    </a:stretch>
                  </pic:blipFill>
                  <pic:spPr>
                    <a:xfrm>
                      <a:off x="0" y="0"/>
                      <a:ext cx="5671185" cy="456565"/>
                    </a:xfrm>
                    <a:prstGeom prst="rect">
                      <a:avLst/>
                    </a:prstGeom>
                    <a:ln/>
                  </pic:spPr>
                </pic:pic>
              </a:graphicData>
            </a:graphic>
          </wp:inline>
        </w:drawing>
      </w:r>
    </w:p>
    <w:p w14:paraId="60E3F9F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746A7148" wp14:editId="3288CD65">
            <wp:extent cx="5671185" cy="894715"/>
            <wp:effectExtent l="0" t="0" r="0" b="0"/>
            <wp:docPr id="2144923661" name="image4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5.png" descr="Tabla&#10;&#10;El contenido generado por IA puede ser incorrecto."/>
                    <pic:cNvPicPr preferRelativeResize="0"/>
                  </pic:nvPicPr>
                  <pic:blipFill>
                    <a:blip r:embed="rId89"/>
                    <a:srcRect/>
                    <a:stretch>
                      <a:fillRect/>
                    </a:stretch>
                  </pic:blipFill>
                  <pic:spPr>
                    <a:xfrm>
                      <a:off x="0" y="0"/>
                      <a:ext cx="5671185" cy="894715"/>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8480" behindDoc="0" locked="0" layoutInCell="1" hidden="0" allowOverlap="1" wp14:anchorId="453C6772" wp14:editId="39594C64">
                <wp:simplePos x="0" y="0"/>
                <wp:positionH relativeFrom="column">
                  <wp:posOffset>3163570</wp:posOffset>
                </wp:positionH>
                <wp:positionV relativeFrom="paragraph">
                  <wp:posOffset>-5079</wp:posOffset>
                </wp:positionV>
                <wp:extent cx="1714500" cy="714375"/>
                <wp:effectExtent l="0" t="0" r="0" b="0"/>
                <wp:wrapNone/>
                <wp:docPr id="2144923603" name="Rectángulo 2144923603"/>
                <wp:cNvGraphicFramePr/>
                <a:graphic xmlns:a="http://schemas.openxmlformats.org/drawingml/2006/main">
                  <a:graphicData uri="http://schemas.microsoft.com/office/word/2010/wordprocessingShape">
                    <wps:wsp>
                      <wps:cNvSpPr/>
                      <wps:spPr>
                        <a:xfrm>
                          <a:off x="4526850" y="3460913"/>
                          <a:ext cx="1638300" cy="638175"/>
                        </a:xfrm>
                        <a:prstGeom prst="rect">
                          <a:avLst/>
                        </a:prstGeom>
                        <a:noFill/>
                        <a:ln w="38100" cap="flat" cmpd="sng">
                          <a:solidFill>
                            <a:srgbClr val="FF0000"/>
                          </a:solidFill>
                          <a:prstDash val="solid"/>
                          <a:round/>
                          <a:headEnd type="none" w="sm" len="sm"/>
                          <a:tailEnd type="none" w="sm" len="sm"/>
                        </a:ln>
                      </wps:spPr>
                      <wps:txbx>
                        <w:txbxContent>
                          <w:p w14:paraId="0814C0C2"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453C6772" id="Rectángulo 2144923603" o:spid="_x0000_s1036" style="position:absolute;left:0;text-align:left;margin-left:249.1pt;margin-top:-.4pt;width:135pt;height:5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" filled="f" strokecolor="red" strokeweight="3pt">
                <v:stroke startarrowwidth="narrow" startarrowlength="short" endarrowwidth="narrow" endarrowlength="short" joinstyle="round"/>
                <v:textbox inset="2.53958mm,2.53958mm,2.53958mm,2.53958mm">
                  <w:txbxContent>
                    <w:p w14:paraId="0814C0C2" w14:textId="77777777" w:rsidR="002377F0" w:rsidRDefault="002377F0">
                      <w:pPr>
                        <w:textDirection w:val="btLr"/>
                      </w:pPr>
                    </w:p>
                  </w:txbxContent>
                </v:textbox>
              </v:rect>
            </w:pict>
          </mc:Fallback>
        </mc:AlternateContent>
      </w:r>
    </w:p>
    <w:p w14:paraId="24F8446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3640F0F"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Como se logra observar, en los formatos para publicar las obligaciones de transparencia de los sujetos obligados, establecen que para el caso de las Licencias de Uso de Suelo o de Construcción, se debe proporcionar el nombre completo, de la persona física que solicita dichas licencias. Inclusive dicha situación se precisa en los Criterios 33 y 43, relacionados a dichos formatos.</w:t>
      </w:r>
    </w:p>
    <w:p w14:paraId="10A299C7"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8F22D4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todo lo expuesto, el nombre de la persona física particular propietaria, localizadas en las Licencias de Construcción y Uso de Suelo, actualizan la causal de clasificación prevista </w:t>
      </w:r>
      <w:r w:rsidRPr="00E7469C">
        <w:rPr>
          <w:rFonts w:ascii="Palatino Linotype" w:eastAsia="Palatino Linotype" w:hAnsi="Palatino Linotype" w:cs="Palatino Linotype"/>
          <w:sz w:val="22"/>
          <w:szCs w:val="22"/>
        </w:rPr>
        <w:lastRenderedPageBreak/>
        <w:t>en el artículo 143, fracción I de la Ley de Transparencia y Acceso a la Información Pública del Estado de México y Municipios.</w:t>
      </w:r>
    </w:p>
    <w:p w14:paraId="0DBFC94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19A2D8C" w14:textId="77777777" w:rsidR="002377F0" w:rsidRPr="00E7469C" w:rsidRDefault="008C7182">
      <w:pPr>
        <w:numPr>
          <w:ilvl w:val="0"/>
          <w:numId w:val="26"/>
        </w:numPr>
        <w:spacing w:line="360" w:lineRule="auto"/>
        <w:ind w:hanging="360"/>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Ubicación del predio donde se realiza la construcción</w:t>
      </w:r>
    </w:p>
    <w:p w14:paraId="62D20B88"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Sobre dicho dato, resulta necesario precisar que el domicilio establecido en las licencias y </w:t>
      </w:r>
      <w:proofErr w:type="gramStart"/>
      <w:r w:rsidRPr="00E7469C">
        <w:rPr>
          <w:rFonts w:ascii="Palatino Linotype" w:eastAsia="Palatino Linotype" w:hAnsi="Palatino Linotype" w:cs="Palatino Linotype"/>
          <w:sz w:val="22"/>
          <w:szCs w:val="22"/>
        </w:rPr>
        <w:t>permisos,</w:t>
      </w:r>
      <w:proofErr w:type="gramEnd"/>
      <w:r w:rsidRPr="00E7469C">
        <w:rPr>
          <w:rFonts w:ascii="Palatino Linotype" w:eastAsia="Palatino Linotype" w:hAnsi="Palatino Linotype" w:cs="Palatino Linotype"/>
          <w:sz w:val="22"/>
          <w:szCs w:val="22"/>
        </w:rPr>
        <w:t xml:space="preserve"> no corresponde al domicilio particular del titular de dichas autorizaciones, sino que corresponde a aquel donde se realiza una construcción.</w:t>
      </w:r>
    </w:p>
    <w:p w14:paraId="2F1138A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2B7F74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lo cual, el dato en comento únicamente identifica la ubicación donde se realiza la actividad que la Dirección de Desarrollo Urbano autorizó realizar; además, permite acreditar que la ubicación del predio donde se hará una construcción o </w:t>
      </w:r>
      <w:proofErr w:type="gramStart"/>
      <w:r w:rsidRPr="00E7469C">
        <w:rPr>
          <w:rFonts w:ascii="Palatino Linotype" w:eastAsia="Palatino Linotype" w:hAnsi="Palatino Linotype" w:cs="Palatino Linotype"/>
          <w:sz w:val="22"/>
          <w:szCs w:val="22"/>
        </w:rPr>
        <w:t>modificación,</w:t>
      </w:r>
      <w:proofErr w:type="gramEnd"/>
      <w:r w:rsidRPr="00E7469C">
        <w:rPr>
          <w:rFonts w:ascii="Palatino Linotype" w:eastAsia="Palatino Linotype" w:hAnsi="Palatino Linotype" w:cs="Palatino Linotype"/>
          <w:sz w:val="22"/>
          <w:szCs w:val="22"/>
        </w:rPr>
        <w:t xml:space="preserve"> corresponde al registrado en el Municipio.</w:t>
      </w:r>
    </w:p>
    <w:p w14:paraId="26961BA3"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7AF029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toma relevancia, pues conforme a los formatos 6f LGT_Art_71_Fr_If (Licencias de Uso de Suelo) y 7f LGT_Art_71_Fr_If (Licencias de construcción) de los Lineamientos técnicos generales para la publicación, homologación y estandarización de la información de las obligaciones de Transparencia –Lineamientos Generales-, que deben de difundir los sujetos obligados en los portales de Internet, establece como datos a publicar, de dichas Licencias, los domicilios de donde se solicita la misma, tal como se muestra continuación:</w:t>
      </w:r>
    </w:p>
    <w:p w14:paraId="40028A62"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3C83A84B"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31D47936" wp14:editId="3F3AE123">
            <wp:extent cx="5671185" cy="684530"/>
            <wp:effectExtent l="0" t="0" r="0" b="0"/>
            <wp:docPr id="2144923696" name="image6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1.png" descr="Tabla&#10;&#10;El contenido generado por IA puede ser incorrecto."/>
                    <pic:cNvPicPr preferRelativeResize="0"/>
                  </pic:nvPicPr>
                  <pic:blipFill>
                    <a:blip r:embed="rId90"/>
                    <a:srcRect b="47446"/>
                    <a:stretch>
                      <a:fillRect/>
                    </a:stretch>
                  </pic:blipFill>
                  <pic:spPr>
                    <a:xfrm>
                      <a:off x="0" y="0"/>
                      <a:ext cx="5671185" cy="684530"/>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69504" behindDoc="0" locked="0" layoutInCell="1" hidden="0" allowOverlap="1" wp14:anchorId="50DBD15B" wp14:editId="1BFB8181">
                <wp:simplePos x="0" y="0"/>
                <wp:positionH relativeFrom="column">
                  <wp:posOffset>1595121</wp:posOffset>
                </wp:positionH>
                <wp:positionV relativeFrom="paragraph">
                  <wp:posOffset>1</wp:posOffset>
                </wp:positionV>
                <wp:extent cx="2457450" cy="228600"/>
                <wp:effectExtent l="0" t="0" r="0" b="0"/>
                <wp:wrapNone/>
                <wp:docPr id="2144923608" name="Rectángulo 2144923608"/>
                <wp:cNvGraphicFramePr/>
                <a:graphic xmlns:a="http://schemas.openxmlformats.org/drawingml/2006/main">
                  <a:graphicData uri="http://schemas.microsoft.com/office/word/2010/wordprocessingShape">
                    <wps:wsp>
                      <wps:cNvSpPr/>
                      <wps:spPr>
                        <a:xfrm>
                          <a:off x="4145850" y="3694275"/>
                          <a:ext cx="2400300" cy="171450"/>
                        </a:xfrm>
                        <a:prstGeom prst="rect">
                          <a:avLst/>
                        </a:prstGeom>
                        <a:noFill/>
                        <a:ln w="28575" cap="flat" cmpd="sng">
                          <a:solidFill>
                            <a:srgbClr val="000000"/>
                          </a:solidFill>
                          <a:prstDash val="solid"/>
                          <a:miter lim="800000"/>
                          <a:headEnd type="none" w="sm" len="sm"/>
                          <a:tailEnd type="none" w="sm" len="sm"/>
                        </a:ln>
                      </wps:spPr>
                      <wps:txbx>
                        <w:txbxContent>
                          <w:p w14:paraId="165636F0"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50DBD15B" id="Rectángulo 2144923608" o:spid="_x0000_s1037" style="position:absolute;left:0;text-align:left;margin-left:125.6pt;margin-top:0;width:193.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" filled="f" strokeweight="2.25pt">
                <v:stroke startarrowwidth="narrow" startarrowlength="short" endarrowwidth="narrow" endarrowlength="short"/>
                <v:textbox inset="2.53958mm,2.53958mm,2.53958mm,2.53958mm">
                  <w:txbxContent>
                    <w:p w14:paraId="165636F0" w14:textId="77777777" w:rsidR="002377F0" w:rsidRDefault="002377F0">
                      <w:pPr>
                        <w:textDirection w:val="btLr"/>
                      </w:pPr>
                    </w:p>
                  </w:txbxContent>
                </v:textbox>
              </v:rect>
            </w:pict>
          </mc:Fallback>
        </mc:AlternateContent>
      </w:r>
    </w:p>
    <w:p w14:paraId="21DC2528"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noProof/>
          <w:sz w:val="22"/>
          <w:szCs w:val="22"/>
          <w:lang w:val="es-MX"/>
        </w:rPr>
        <w:drawing>
          <wp:inline distT="0" distB="0" distL="0" distR="0" wp14:anchorId="1AA3E57E" wp14:editId="1CA7CC05">
            <wp:extent cx="5671185" cy="640080"/>
            <wp:effectExtent l="0" t="0" r="0" b="0"/>
            <wp:docPr id="2144923698" name="image6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1.png" descr="Tabla&#10;&#10;El contenido generado por IA puede ser incorrecto."/>
                    <pic:cNvPicPr preferRelativeResize="0"/>
                  </pic:nvPicPr>
                  <pic:blipFill>
                    <a:blip r:embed="rId90"/>
                    <a:srcRect t="51078"/>
                    <a:stretch>
                      <a:fillRect/>
                    </a:stretch>
                  </pic:blipFill>
                  <pic:spPr>
                    <a:xfrm>
                      <a:off x="0" y="0"/>
                      <a:ext cx="5671185" cy="640080"/>
                    </a:xfrm>
                    <a:prstGeom prst="rect">
                      <a:avLst/>
                    </a:prstGeom>
                    <a:ln/>
                  </pic:spPr>
                </pic:pic>
              </a:graphicData>
            </a:graphic>
          </wp:inline>
        </w:drawing>
      </w:r>
      <w:r w:rsidRPr="00E7469C">
        <w:rPr>
          <w:noProof/>
          <w:lang w:val="es-MX"/>
        </w:rPr>
        <mc:AlternateContent>
          <mc:Choice Requires="wps">
            <w:drawing>
              <wp:anchor distT="0" distB="0" distL="114300" distR="114300" simplePos="0" relativeHeight="251670528" behindDoc="0" locked="0" layoutInCell="1" hidden="0" allowOverlap="1" wp14:anchorId="6C4AACF6" wp14:editId="07DA4EB5">
                <wp:simplePos x="0" y="0"/>
                <wp:positionH relativeFrom="column">
                  <wp:posOffset>1572896</wp:posOffset>
                </wp:positionH>
                <wp:positionV relativeFrom="paragraph">
                  <wp:posOffset>65406</wp:posOffset>
                </wp:positionV>
                <wp:extent cx="2457450" cy="228600"/>
                <wp:effectExtent l="0" t="0" r="0" b="0"/>
                <wp:wrapNone/>
                <wp:docPr id="2144923604" name="Rectángulo 2144923604"/>
                <wp:cNvGraphicFramePr/>
                <a:graphic xmlns:a="http://schemas.openxmlformats.org/drawingml/2006/main">
                  <a:graphicData uri="http://schemas.microsoft.com/office/word/2010/wordprocessingShape">
                    <wps:wsp>
                      <wps:cNvSpPr/>
                      <wps:spPr>
                        <a:xfrm>
                          <a:off x="4145850" y="3694275"/>
                          <a:ext cx="2400300" cy="171450"/>
                        </a:xfrm>
                        <a:prstGeom prst="rect">
                          <a:avLst/>
                        </a:prstGeom>
                        <a:noFill/>
                        <a:ln w="28575" cap="flat" cmpd="sng">
                          <a:solidFill>
                            <a:srgbClr val="000000"/>
                          </a:solidFill>
                          <a:prstDash val="solid"/>
                          <a:miter lim="800000"/>
                          <a:headEnd type="none" w="sm" len="sm"/>
                          <a:tailEnd type="none" w="sm" len="sm"/>
                        </a:ln>
                      </wps:spPr>
                      <wps:txbx>
                        <w:txbxContent>
                          <w:p w14:paraId="2E98B3B1" w14:textId="77777777" w:rsidR="002377F0" w:rsidRDefault="002377F0">
                            <w:pPr>
                              <w:textDirection w:val="btLr"/>
                            </w:pPr>
                          </w:p>
                        </w:txbxContent>
                      </wps:txbx>
                      <wps:bodyPr spcFirstLastPara="1" wrap="square" lIns="91425" tIns="91425" rIns="91425" bIns="91425" anchor="ctr" anchorCtr="0">
                        <a:noAutofit/>
                      </wps:bodyPr>
                    </wps:wsp>
                  </a:graphicData>
                </a:graphic>
              </wp:anchor>
            </w:drawing>
          </mc:Choice>
          <mc:Fallback>
            <w:pict>
              <v:rect w14:anchorId="6C4AACF6" id="Rectángulo 2144923604" o:spid="_x0000_s1038" style="position:absolute;left:0;text-align:left;margin-left:123.85pt;margin-top:5.15pt;width:193.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" filled="f" strokeweight="2.25pt">
                <v:stroke startarrowwidth="narrow" startarrowlength="short" endarrowwidth="narrow" endarrowlength="short"/>
                <v:textbox inset="2.53958mm,2.53958mm,2.53958mm,2.53958mm">
                  <w:txbxContent>
                    <w:p w14:paraId="2E98B3B1" w14:textId="77777777" w:rsidR="002377F0" w:rsidRDefault="002377F0">
                      <w:pPr>
                        <w:textDirection w:val="btLr"/>
                      </w:pPr>
                    </w:p>
                  </w:txbxContent>
                </v:textbox>
              </v:rect>
            </w:pict>
          </mc:Fallback>
        </mc:AlternateContent>
      </w:r>
    </w:p>
    <w:p w14:paraId="158A363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24DB44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De tales circunstancias, dicho dato guarda la naturaleza de pública, pues permite identificar, que la ubicación de la </w:t>
      </w:r>
      <w:proofErr w:type="gramStart"/>
      <w:r w:rsidRPr="00E7469C">
        <w:rPr>
          <w:rFonts w:ascii="Palatino Linotype" w:eastAsia="Palatino Linotype" w:hAnsi="Palatino Linotype" w:cs="Palatino Linotype"/>
          <w:sz w:val="22"/>
          <w:szCs w:val="22"/>
        </w:rPr>
        <w:t>construcción,</w:t>
      </w:r>
      <w:proofErr w:type="gramEnd"/>
      <w:r w:rsidRPr="00E7469C">
        <w:rPr>
          <w:rFonts w:ascii="Palatino Linotype" w:eastAsia="Palatino Linotype" w:hAnsi="Palatino Linotype" w:cs="Palatino Linotype"/>
          <w:sz w:val="22"/>
          <w:szCs w:val="22"/>
        </w:rPr>
        <w:t xml:space="preserve"> corresponde con la licencia o permiso y que está debidamente registrada ante la autoridad Municipal; por lo que se trata de un dato de acceso a público; por lo que, no resulta procedente, la clasificación, en términos del artículo 143, fracción I, de la Ley de Transparencia y Acceso a la Información Pública del Estado de México y Municipios.</w:t>
      </w:r>
    </w:p>
    <w:p w14:paraId="2A0A677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C2FAE9F" w14:textId="77777777" w:rsidR="002377F0" w:rsidRPr="00E7469C" w:rsidRDefault="008C7182">
      <w:pPr>
        <w:numPr>
          <w:ilvl w:val="0"/>
          <w:numId w:val="26"/>
        </w:numPr>
        <w:spacing w:line="360" w:lineRule="auto"/>
        <w:ind w:hanging="360"/>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Domicilio Particular</w:t>
      </w:r>
    </w:p>
    <w:p w14:paraId="7C4AEFA9"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Persona física</w:t>
      </w:r>
    </w:p>
    <w:p w14:paraId="61D927CB" w14:textId="77777777" w:rsidR="002377F0" w:rsidRPr="00E7469C" w:rsidRDefault="008C7182">
      <w:pPr>
        <w:spacing w:line="360" w:lineRule="auto"/>
        <w:jc w:val="both"/>
        <w:rPr>
          <w:rFonts w:ascii="Palatino Linotype" w:eastAsia="Palatino Linotype" w:hAnsi="Palatino Linotype" w:cs="Palatino Linotype"/>
          <w:sz w:val="22"/>
          <w:szCs w:val="22"/>
        </w:rPr>
      </w:pPr>
      <w:proofErr w:type="gramStart"/>
      <w:r w:rsidRPr="00E7469C">
        <w:rPr>
          <w:rFonts w:ascii="Palatino Linotype" w:eastAsia="Palatino Linotype" w:hAnsi="Palatino Linotype" w:cs="Palatino Linotype"/>
          <w:sz w:val="22"/>
          <w:szCs w:val="22"/>
        </w:rPr>
        <w:t>De acuerdo a</w:t>
      </w:r>
      <w:proofErr w:type="gramEnd"/>
      <w:r w:rsidRPr="00E7469C">
        <w:rPr>
          <w:rFonts w:ascii="Palatino Linotype" w:eastAsia="Palatino Linotype" w:hAnsi="Palatino Linotype" w:cs="Palatino Linotype"/>
          <w:sz w:val="22"/>
          <w:szCs w:val="22"/>
        </w:rPr>
        <w:t xml:space="preserve">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2D88B4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8634E2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04B8F1B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461E26B7"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w:t>
      </w:r>
      <w:r w:rsidRPr="00E7469C">
        <w:rPr>
          <w:rFonts w:ascii="Palatino Linotype" w:eastAsia="Palatino Linotype" w:hAnsi="Palatino Linotype" w:cs="Palatino Linotype"/>
          <w:sz w:val="22"/>
          <w:szCs w:val="22"/>
        </w:rPr>
        <w:lastRenderedPageBreak/>
        <w:t>de la Ley de Transparencia y Acceso a la Información Pública del Estado de México y Municipios.</w:t>
      </w:r>
    </w:p>
    <w:p w14:paraId="0DC0128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C936291"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Persona </w:t>
      </w:r>
      <w:proofErr w:type="gramStart"/>
      <w:r w:rsidRPr="00E7469C">
        <w:rPr>
          <w:rFonts w:ascii="Palatino Linotype" w:eastAsia="Palatino Linotype" w:hAnsi="Palatino Linotype" w:cs="Palatino Linotype"/>
          <w:b/>
          <w:sz w:val="22"/>
          <w:szCs w:val="22"/>
        </w:rPr>
        <w:t>Jurídico Colectiva</w:t>
      </w:r>
      <w:proofErr w:type="gramEnd"/>
    </w:p>
    <w:p w14:paraId="5D391DE1"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principio, cabe señalar, la información entregada a las autoridades por parte de las personas jurídicas </w:t>
      </w:r>
      <w:proofErr w:type="gramStart"/>
      <w:r w:rsidRPr="00E7469C">
        <w:rPr>
          <w:rFonts w:ascii="Palatino Linotype" w:eastAsia="Palatino Linotype" w:hAnsi="Palatino Linotype" w:cs="Palatino Linotype"/>
          <w:sz w:val="22"/>
          <w:szCs w:val="22"/>
        </w:rPr>
        <w:t>colectivas,</w:t>
      </w:r>
      <w:proofErr w:type="gramEnd"/>
      <w:r w:rsidRPr="00E7469C">
        <w:rPr>
          <w:rFonts w:ascii="Palatino Linotype" w:eastAsia="Palatino Linotype" w:hAnsi="Palatino Linotype" w:cs="Palatino Linotype"/>
          <w:sz w:val="22"/>
          <w:szCs w:val="22"/>
        </w:rPr>
        <w:t xml:space="preserve"> debe ser confidencial cuando tenga el carácter de privada por contener datos que pudieran equipararse a los de las personas físicas. </w:t>
      </w:r>
    </w:p>
    <w:p w14:paraId="733C2C55"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67DB2C9"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14:paraId="7F40B73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0C2806A"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En cuanto al domicilio, este Instituto advierte que se trata de un dato personal, pues como se precisó en párrafos anteriores, da cuenta del lugar donde está asentado el negocio de la persona jurídica colectiva;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14:paraId="70C55A04"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5E1B40D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De tales circunstancias, se considera que el domicilio de la persona </w:t>
      </w:r>
      <w:proofErr w:type="gramStart"/>
      <w:r w:rsidRPr="00E7469C">
        <w:rPr>
          <w:rFonts w:ascii="Palatino Linotype" w:eastAsia="Palatino Linotype" w:hAnsi="Palatino Linotype" w:cs="Palatino Linotype"/>
          <w:sz w:val="22"/>
          <w:szCs w:val="22"/>
        </w:rPr>
        <w:t>jurídico colectiva</w:t>
      </w:r>
      <w:proofErr w:type="gramEnd"/>
      <w:r w:rsidRPr="00E7469C">
        <w:rPr>
          <w:rFonts w:ascii="Palatino Linotype" w:eastAsia="Palatino Linotype" w:hAnsi="Palatino Linotype" w:cs="Palatino Linotype"/>
          <w:sz w:val="22"/>
          <w:szCs w:val="22"/>
        </w:rPr>
        <w:t xml:space="preserve"> es considero confidencial, por lo que, se actualiza la causal de clasificación establecida en el artículo 143, fracción I de la Ley de Transparencia y Acceso a la Información Pública del Estado de México y Municipios.</w:t>
      </w:r>
    </w:p>
    <w:p w14:paraId="5694506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2DD4B66" w14:textId="77777777" w:rsidR="002377F0" w:rsidRPr="00E7469C" w:rsidRDefault="008C7182">
      <w:pPr>
        <w:numPr>
          <w:ilvl w:val="0"/>
          <w:numId w:val="2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Número de cédula profesional del director de obra.</w:t>
      </w:r>
    </w:p>
    <w:p w14:paraId="4EA24293"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91">
        <w:r w:rsidRPr="00E7469C">
          <w:rPr>
            <w:rFonts w:ascii="Palatino Linotype" w:eastAsia="Palatino Linotype" w:hAnsi="Palatino Linotype" w:cs="Palatino Linotype"/>
            <w:sz w:val="22"/>
            <w:szCs w:val="22"/>
            <w:u w:val="single"/>
          </w:rPr>
          <w:t>http://consultatucedula.mx/</w:t>
        </w:r>
      </w:hyperlink>
      <w:r w:rsidRPr="00E7469C">
        <w:rPr>
          <w:rFonts w:ascii="Palatino Linotype" w:eastAsia="Palatino Linotype" w:hAnsi="Palatino Linotype" w:cs="Palatino Linotype"/>
          <w:sz w:val="22"/>
          <w:szCs w:val="22"/>
        </w:rPr>
        <w:t>).</w:t>
      </w:r>
    </w:p>
    <w:p w14:paraId="41E0D5EC"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697B9460"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44F81851"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CC9B569" w14:textId="77777777" w:rsidR="002377F0" w:rsidRPr="00E7469C" w:rsidRDefault="008C7182">
      <w:pPr>
        <w:spacing w:line="360" w:lineRule="auto"/>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En ese contexto, el documento en cuestión da cuenta de la preparación del perito y sirve como medio de identificación, para que a su titular lo relacionen con el nivel de estudios con que cuenta, por lo que, se trata de un documento de naturaleza pública; además, que puede dar el grado máximo de estudios de la persona en cuestión; en razón de lo anterior, </w:t>
      </w:r>
      <w:r w:rsidRPr="00E7469C">
        <w:rPr>
          <w:rFonts w:ascii="Palatino Linotype" w:eastAsia="Palatino Linotype" w:hAnsi="Palatino Linotype" w:cs="Palatino Linotype"/>
          <w:b/>
          <w:sz w:val="22"/>
          <w:szCs w:val="22"/>
        </w:rPr>
        <w:lastRenderedPageBreak/>
        <w:t>no se actualiza la causal de clasificación en términos del artículo 143, fracción I, de la Ley de Transparencia y Acceso a la Información Pública del Estado de México.</w:t>
      </w:r>
    </w:p>
    <w:p w14:paraId="6141831D"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294FE70C" w14:textId="77777777" w:rsidR="002377F0" w:rsidRPr="00E7469C" w:rsidRDefault="008C7182">
      <w:pPr>
        <w:numPr>
          <w:ilvl w:val="0"/>
          <w:numId w:val="27"/>
        </w:numPr>
        <w:spacing w:line="360" w:lineRule="auto"/>
        <w:ind w:right="-93"/>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 xml:space="preserve">Clave catastral </w:t>
      </w:r>
    </w:p>
    <w:p w14:paraId="795F8655"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Por cuanto hace a la clave catastral;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60B155F3"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0E3B3AD9"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El diccionario de Datos catastrales Escala 1:1000 del Instituto Nacional de Estadística y Geografía (INEGI), contempla en su glosario la definición de clave catastral, la cual, es la siguiente:</w:t>
      </w:r>
    </w:p>
    <w:p w14:paraId="114D5C12"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5FD1CBB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Clave catastral: </w:t>
      </w:r>
      <w:r w:rsidRPr="00E7469C">
        <w:rPr>
          <w:rFonts w:ascii="Palatino Linotype" w:eastAsia="Palatino Linotype" w:hAnsi="Palatino Linotype" w:cs="Palatino Linotype"/>
          <w:i/>
          <w:sz w:val="22"/>
          <w:szCs w:val="22"/>
        </w:rPr>
        <w:t>El código que identifica al predio de forma única para su localización geográfica, mismo que es asignado a cada uno de ellos en el momento de su inscripción en el padrón catastral por las Unidades del estado con atribuciones catastrales”</w:t>
      </w:r>
    </w:p>
    <w:p w14:paraId="0E813FFE"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0F80A734" w14:textId="77777777" w:rsidR="002377F0" w:rsidRPr="00E7469C" w:rsidRDefault="008C7182">
      <w:pPr>
        <w:spacing w:line="360" w:lineRule="auto"/>
        <w:ind w:right="-93"/>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mismo, dicho diccionario estipula dos tipos de Claves catastrales, siendo estas la Estándar y la Original, cuyo diccionario de datos catastrales Escala 1:1000 del INEGI, las define como</w:t>
      </w:r>
    </w:p>
    <w:p w14:paraId="559B24A5"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3BD9B4F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 xml:space="preserve">CLAVE CATASTRAL ESTÁNDAR: </w:t>
      </w:r>
      <w:r w:rsidRPr="00E7469C">
        <w:rPr>
          <w:rFonts w:ascii="Palatino Linotype" w:eastAsia="Palatino Linotype" w:hAnsi="Palatino Linotype" w:cs="Palatino Linotype"/>
          <w:i/>
          <w:sz w:val="22"/>
          <w:szCs w:val="22"/>
        </w:rPr>
        <w:t xml:space="preserve">Código de 31 caracteres conformado por elementos administrativos y que identifica al objeto espacial en forma única para su localización, compuesto por: Estado (2) + Región Catastral (3) + Municipio (3) + </w:t>
      </w:r>
      <w:r w:rsidRPr="00E7469C">
        <w:rPr>
          <w:rFonts w:ascii="Palatino Linotype" w:eastAsia="Palatino Linotype" w:hAnsi="Palatino Linotype" w:cs="Palatino Linotype"/>
          <w:i/>
          <w:sz w:val="22"/>
          <w:szCs w:val="22"/>
        </w:rPr>
        <w:lastRenderedPageBreak/>
        <w:t xml:space="preserve">Zona Catastral (2) + Localidad (4) + Sector Catastral (3) + </w:t>
      </w:r>
      <w:proofErr w:type="gramStart"/>
      <w:r w:rsidRPr="00E7469C">
        <w:rPr>
          <w:rFonts w:ascii="Palatino Linotype" w:eastAsia="Palatino Linotype" w:hAnsi="Palatino Linotype" w:cs="Palatino Linotype"/>
          <w:i/>
          <w:sz w:val="22"/>
          <w:szCs w:val="22"/>
        </w:rPr>
        <w:t>Manzana(</w:t>
      </w:r>
      <w:proofErr w:type="gramEnd"/>
      <w:r w:rsidRPr="00E7469C">
        <w:rPr>
          <w:rFonts w:ascii="Palatino Linotype" w:eastAsia="Palatino Linotype" w:hAnsi="Palatino Linotype" w:cs="Palatino Linotype"/>
          <w:i/>
          <w:sz w:val="22"/>
          <w:szCs w:val="22"/>
        </w:rPr>
        <w:t xml:space="preserve">3) + Predio (5) </w:t>
      </w:r>
      <w:proofErr w:type="gramStart"/>
      <w:r w:rsidRPr="00E7469C">
        <w:rPr>
          <w:rFonts w:ascii="Palatino Linotype" w:eastAsia="Palatino Linotype" w:hAnsi="Palatino Linotype" w:cs="Palatino Linotype"/>
          <w:i/>
          <w:sz w:val="22"/>
          <w:szCs w:val="22"/>
        </w:rPr>
        <w:t>+  Condominio</w:t>
      </w:r>
      <w:proofErr w:type="gramEnd"/>
      <w:r w:rsidRPr="00E7469C">
        <w:rPr>
          <w:rFonts w:ascii="Palatino Linotype" w:eastAsia="Palatino Linotype" w:hAnsi="Palatino Linotype" w:cs="Palatino Linotype"/>
          <w:i/>
          <w:sz w:val="22"/>
          <w:szCs w:val="22"/>
        </w:rPr>
        <w:t>: edificio (2) y unidad (4).</w:t>
      </w:r>
    </w:p>
    <w:p w14:paraId="2A005E92"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 xml:space="preserve">CLAVE CATASTRAL ORIGINAL: </w:t>
      </w:r>
      <w:r w:rsidRPr="00E7469C">
        <w:rPr>
          <w:rFonts w:ascii="Palatino Linotype" w:eastAsia="Palatino Linotype" w:hAnsi="Palatino Linotype" w:cs="Palatino Linotype"/>
          <w:i/>
          <w:sz w:val="22"/>
          <w:szCs w:val="22"/>
        </w:rPr>
        <w:t>Código que identifica al objeto espacial el cual es asignado, por el Catastro Estatal, Municipal o por el registro Agrario Nacional”</w:t>
      </w:r>
      <w:r w:rsidRPr="00E7469C">
        <w:rPr>
          <w:rFonts w:ascii="Palatino Linotype" w:eastAsia="Palatino Linotype" w:hAnsi="Palatino Linotype" w:cs="Palatino Linotype"/>
          <w:b/>
          <w:i/>
          <w:sz w:val="22"/>
          <w:szCs w:val="22"/>
        </w:rPr>
        <w:t xml:space="preserve"> </w:t>
      </w:r>
    </w:p>
    <w:p w14:paraId="6B38BDA9" w14:textId="77777777" w:rsidR="002377F0" w:rsidRPr="00E7469C" w:rsidRDefault="002377F0">
      <w:pPr>
        <w:spacing w:line="360" w:lineRule="auto"/>
        <w:ind w:right="-93"/>
        <w:jc w:val="both"/>
        <w:rPr>
          <w:rFonts w:ascii="Palatino Linotype" w:eastAsia="Palatino Linotype" w:hAnsi="Palatino Linotype" w:cs="Palatino Linotype"/>
          <w:sz w:val="22"/>
          <w:szCs w:val="22"/>
        </w:rPr>
      </w:pPr>
    </w:p>
    <w:p w14:paraId="7AD0E631" w14:textId="77777777" w:rsidR="002377F0" w:rsidRPr="00E7469C" w:rsidRDefault="008C7182">
      <w:pPr>
        <w:spacing w:line="360" w:lineRule="auto"/>
        <w:ind w:right="-93"/>
        <w:jc w:val="both"/>
        <w:rPr>
          <w:rFonts w:ascii="Palatino Linotype" w:eastAsia="Palatino Linotype" w:hAnsi="Palatino Linotype" w:cs="Palatino Linotype"/>
          <w:b/>
          <w:sz w:val="22"/>
          <w:szCs w:val="22"/>
        </w:rPr>
      </w:pPr>
      <w:r w:rsidRPr="00E7469C">
        <w:rPr>
          <w:rFonts w:ascii="Palatino Linotype" w:eastAsia="Palatino Linotype" w:hAnsi="Palatino Linotype" w:cs="Palatino Linotype"/>
          <w:sz w:val="22"/>
          <w:szCs w:val="22"/>
        </w:rPr>
        <w:t xml:space="preserve">Conforme a lo anterior, se advierte que el dato en </w:t>
      </w:r>
      <w:proofErr w:type="gramStart"/>
      <w:r w:rsidRPr="00E7469C">
        <w:rPr>
          <w:rFonts w:ascii="Palatino Linotype" w:eastAsia="Palatino Linotype" w:hAnsi="Palatino Linotype" w:cs="Palatino Linotype"/>
          <w:sz w:val="22"/>
          <w:szCs w:val="22"/>
        </w:rPr>
        <w:t>comento,</w:t>
      </w:r>
      <w:proofErr w:type="gramEnd"/>
      <w:r w:rsidRPr="00E7469C">
        <w:rPr>
          <w:rFonts w:ascii="Palatino Linotype" w:eastAsia="Palatino Linotype" w:hAnsi="Palatino Linotype" w:cs="Palatino Linotype"/>
          <w:sz w:val="22"/>
          <w:szCs w:val="22"/>
        </w:rPr>
        <w:t xml:space="preserve">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E7469C">
        <w:rPr>
          <w:rFonts w:ascii="Palatino Linotype" w:eastAsia="Palatino Linotype" w:hAnsi="Palatino Linotype" w:cs="Palatino Linotype"/>
          <w:b/>
          <w:sz w:val="22"/>
          <w:szCs w:val="22"/>
        </w:rPr>
        <w:t>procede a clasificar dicho dato como confidencial.</w:t>
      </w:r>
    </w:p>
    <w:p w14:paraId="3B1BD1EC" w14:textId="77777777" w:rsidR="002377F0" w:rsidRPr="00E7469C" w:rsidRDefault="002377F0">
      <w:pPr>
        <w:spacing w:line="360" w:lineRule="auto"/>
        <w:ind w:right="-28"/>
        <w:jc w:val="both"/>
        <w:rPr>
          <w:rFonts w:ascii="Palatino Linotype" w:eastAsia="Palatino Linotype" w:hAnsi="Palatino Linotype" w:cs="Palatino Linotype"/>
          <w:sz w:val="22"/>
          <w:szCs w:val="22"/>
        </w:rPr>
      </w:pPr>
    </w:p>
    <w:p w14:paraId="355128C5" w14:textId="77777777" w:rsidR="002377F0" w:rsidRPr="00E7469C" w:rsidRDefault="008C7182">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 anteriormente transcrito, se aprecia que la versión pública que remitió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resulta excesiva, pues se pretende clasificar información que es de carácter pública, como lo son los datos del predio.</w:t>
      </w:r>
    </w:p>
    <w:p w14:paraId="0595E5D6" w14:textId="77777777" w:rsidR="002377F0" w:rsidRPr="00E7469C" w:rsidRDefault="002377F0">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629EF52B" w14:textId="77777777" w:rsidR="002377F0" w:rsidRPr="00E7469C" w:rsidRDefault="008C7182">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bookmarkStart w:id="24" w:name="_heading=h.8wtm76x89ezj" w:colFirst="0" w:colLast="0"/>
      <w:bookmarkEnd w:id="24"/>
      <w:r w:rsidRPr="00E7469C">
        <w:rPr>
          <w:rFonts w:ascii="Palatino Linotype" w:eastAsia="Palatino Linotype" w:hAnsi="Palatino Linotype" w:cs="Palatino Linotype"/>
          <w:sz w:val="22"/>
          <w:szCs w:val="22"/>
        </w:rPr>
        <w:t xml:space="preserve">Por lo anterior, se ordena entregar las Licencias de Construcción emitidas, del primero de enero de dos mil veinticuatro al siete de marzo de dos mil veinticinco, en correcta versión pública. </w:t>
      </w:r>
    </w:p>
    <w:p w14:paraId="073055D4" w14:textId="77777777" w:rsidR="002377F0" w:rsidRPr="00E7469C" w:rsidRDefault="002377F0">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64596C5F"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Quinto. Versión Pública. </w:t>
      </w:r>
      <w:r w:rsidRPr="00E7469C">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sin menoscabar el derecho a la protección de los datos personales de terceros.</w:t>
      </w:r>
    </w:p>
    <w:p w14:paraId="559F67DB"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5F601340" w14:textId="77777777" w:rsidR="002377F0" w:rsidRPr="00E7469C" w:rsidRDefault="008C7182">
      <w:pPr>
        <w:spacing w:line="360" w:lineRule="auto"/>
        <w:ind w:right="5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03CF5E2A"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3. Para los efectos de la presente Ley se entenderá por:</w:t>
      </w:r>
    </w:p>
    <w:p w14:paraId="455C118D"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IX. Datos personales:</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La información concerniente a una persona, identificada o identificable</w:t>
      </w:r>
      <w:r w:rsidRPr="00E7469C">
        <w:rPr>
          <w:rFonts w:ascii="Palatino Linotype" w:eastAsia="Palatino Linotype" w:hAnsi="Palatino Linotype" w:cs="Palatino Linotype"/>
          <w:i/>
          <w:sz w:val="22"/>
          <w:szCs w:val="22"/>
        </w:rPr>
        <w:t xml:space="preserve"> según lo dispuesto por la Ley de Protección de Datos Personales del Estado de México;</w:t>
      </w:r>
    </w:p>
    <w:p w14:paraId="781A3313"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XX. Información clasificada:</w:t>
      </w:r>
      <w:r w:rsidRPr="00E7469C">
        <w:rPr>
          <w:rFonts w:ascii="Palatino Linotype" w:eastAsia="Palatino Linotype" w:hAnsi="Palatino Linotype" w:cs="Palatino Linotype"/>
          <w:i/>
          <w:sz w:val="22"/>
          <w:szCs w:val="22"/>
        </w:rPr>
        <w:t xml:space="preserve"> Aquella considerada por la presente Ley como reservada o confidencial;</w:t>
      </w:r>
    </w:p>
    <w:p w14:paraId="20264C7A"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XXXII. Protección de Datos Personales:</w:t>
      </w:r>
      <w:r w:rsidRPr="00E7469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8509F70"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XLV. Versión pública</w:t>
      </w:r>
      <w:r w:rsidRPr="00E7469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8017197"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7A6F88E4"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6.</w:t>
      </w:r>
      <w:r w:rsidRPr="00E7469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3E38745" w14:textId="77777777" w:rsidR="002377F0" w:rsidRPr="00E7469C" w:rsidRDefault="002377F0">
      <w:pPr>
        <w:spacing w:line="276" w:lineRule="auto"/>
        <w:ind w:left="851" w:right="616"/>
        <w:jc w:val="both"/>
        <w:rPr>
          <w:rFonts w:ascii="Palatino Linotype" w:eastAsia="Palatino Linotype" w:hAnsi="Palatino Linotype" w:cs="Palatino Linotype"/>
          <w:i/>
          <w:sz w:val="22"/>
          <w:szCs w:val="22"/>
        </w:rPr>
      </w:pPr>
    </w:p>
    <w:p w14:paraId="6AC92008" w14:textId="77777777" w:rsidR="002377F0" w:rsidRPr="00E7469C" w:rsidRDefault="008C7182">
      <w:pPr>
        <w:spacing w:line="276" w:lineRule="auto"/>
        <w:ind w:left="851" w:right="616"/>
        <w:jc w:val="both"/>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“Artículo 137.</w:t>
      </w:r>
      <w:r w:rsidRPr="00E7469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0DEB510" w14:textId="77777777" w:rsidR="002377F0" w:rsidRPr="00E7469C" w:rsidRDefault="002377F0">
      <w:pPr>
        <w:spacing w:line="276" w:lineRule="auto"/>
        <w:ind w:left="851" w:right="616"/>
        <w:jc w:val="both"/>
        <w:rPr>
          <w:rFonts w:ascii="Palatino Linotype" w:eastAsia="Palatino Linotype" w:hAnsi="Palatino Linotype" w:cs="Palatino Linotype"/>
          <w:b/>
          <w:i/>
          <w:sz w:val="22"/>
          <w:szCs w:val="22"/>
        </w:rPr>
      </w:pPr>
    </w:p>
    <w:p w14:paraId="3AD4FEDB"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143</w:t>
      </w:r>
      <w:r w:rsidRPr="00E7469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841DB72"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lastRenderedPageBreak/>
        <w:t>I.</w:t>
      </w:r>
      <w:r w:rsidRPr="00E7469C">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18C6D9F"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35631FE"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CC8D72E" w14:textId="77777777" w:rsidR="002377F0" w:rsidRPr="00E7469C" w:rsidRDefault="002377F0">
      <w:pPr>
        <w:ind w:left="993" w:right="1041"/>
        <w:jc w:val="both"/>
        <w:rPr>
          <w:rFonts w:ascii="Palatino Linotype" w:eastAsia="Palatino Linotype" w:hAnsi="Palatino Linotype" w:cs="Palatino Linotype"/>
          <w:i/>
          <w:sz w:val="22"/>
          <w:szCs w:val="22"/>
        </w:rPr>
      </w:pPr>
    </w:p>
    <w:p w14:paraId="4FF3EDEE"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BFBA4B7"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5FEAF7D7" w14:textId="77777777" w:rsidR="002377F0" w:rsidRPr="00E7469C" w:rsidRDefault="008C7182">
      <w:pPr>
        <w:spacing w:line="360" w:lineRule="auto"/>
        <w:ind w:right="5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sidRPr="00E7469C">
        <w:rPr>
          <w:rFonts w:ascii="Palatino Linotype" w:eastAsia="Palatino Linotype" w:hAnsi="Palatino Linotype" w:cs="Palatino Linotype"/>
          <w:sz w:val="22"/>
          <w:szCs w:val="22"/>
        </w:rPr>
        <w:t>los mismos</w:t>
      </w:r>
      <w:proofErr w:type="gramEnd"/>
      <w:r w:rsidRPr="00E7469C">
        <w:rPr>
          <w:rFonts w:ascii="Palatino Linotype" w:eastAsia="Palatino Linotype" w:hAnsi="Palatino Linotype" w:cs="Palatino Linotype"/>
          <w:sz w:val="22"/>
          <w:szCs w:val="22"/>
        </w:rPr>
        <w:t xml:space="preserve"> a personas ajenas a su titular.</w:t>
      </w:r>
    </w:p>
    <w:p w14:paraId="5432DA81"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3DF57A2E"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w:t>
      </w:r>
      <w:r w:rsidRPr="00E7469C">
        <w:rPr>
          <w:rFonts w:ascii="Palatino Linotype" w:eastAsia="Palatino Linotype" w:hAnsi="Palatino Linotype" w:cs="Palatino Linotype"/>
          <w:sz w:val="22"/>
          <w:szCs w:val="22"/>
        </w:rPr>
        <w:lastRenderedPageBreak/>
        <w:t xml:space="preserve">Público Habilitado o el </w:t>
      </w:r>
      <w:proofErr w:type="gramStart"/>
      <w:r w:rsidRPr="00E7469C">
        <w:rPr>
          <w:rFonts w:ascii="Palatino Linotype" w:eastAsia="Palatino Linotype" w:hAnsi="Palatino Linotype" w:cs="Palatino Linotype"/>
          <w:sz w:val="22"/>
          <w:szCs w:val="22"/>
        </w:rPr>
        <w:t>Responsable</w:t>
      </w:r>
      <w:proofErr w:type="gramEnd"/>
      <w:r w:rsidRPr="00E7469C">
        <w:rPr>
          <w:rFonts w:ascii="Palatino Linotype" w:eastAsia="Palatino Linotype" w:hAnsi="Palatino Linotype" w:cs="Palatino Linotype"/>
          <w:sz w:val="22"/>
          <w:szCs w:val="22"/>
        </w:rPr>
        <w:t xml:space="preserve"> de la Unidad de Transparencia del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0D5CFF18"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43B30107"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49.</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Los Comités de Transparencia</w:t>
      </w:r>
      <w:r w:rsidRPr="00E7469C">
        <w:rPr>
          <w:rFonts w:ascii="Palatino Linotype" w:eastAsia="Palatino Linotype" w:hAnsi="Palatino Linotype" w:cs="Palatino Linotype"/>
          <w:i/>
          <w:sz w:val="22"/>
          <w:szCs w:val="22"/>
        </w:rPr>
        <w:t xml:space="preserve"> tendrán las siguientes atribuciones:</w:t>
      </w:r>
    </w:p>
    <w:p w14:paraId="453B440E"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VIII. Aprobar, modificar o revocar la clasificación de la información</w:t>
      </w:r>
      <w:r w:rsidRPr="00E7469C">
        <w:rPr>
          <w:rFonts w:ascii="Palatino Linotype" w:eastAsia="Palatino Linotype" w:hAnsi="Palatino Linotype" w:cs="Palatino Linotype"/>
          <w:i/>
          <w:sz w:val="22"/>
          <w:szCs w:val="22"/>
        </w:rPr>
        <w:t>…”</w:t>
      </w:r>
    </w:p>
    <w:p w14:paraId="0DAEB71D"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53.</w:t>
      </w:r>
      <w:r w:rsidRPr="00E7469C">
        <w:rPr>
          <w:rFonts w:ascii="Palatino Linotype" w:eastAsia="Palatino Linotype" w:hAnsi="Palatino Linotype" w:cs="Palatino Linotype"/>
          <w:i/>
          <w:sz w:val="22"/>
          <w:szCs w:val="22"/>
        </w:rPr>
        <w:t xml:space="preserve"> Las </w:t>
      </w:r>
      <w:r w:rsidRPr="00E7469C">
        <w:rPr>
          <w:rFonts w:ascii="Palatino Linotype" w:eastAsia="Palatino Linotype" w:hAnsi="Palatino Linotype" w:cs="Palatino Linotype"/>
          <w:b/>
          <w:i/>
          <w:sz w:val="22"/>
          <w:szCs w:val="22"/>
        </w:rPr>
        <w:t>Unidades de Transparencia</w:t>
      </w:r>
      <w:r w:rsidRPr="00E7469C">
        <w:rPr>
          <w:rFonts w:ascii="Palatino Linotype" w:eastAsia="Palatino Linotype" w:hAnsi="Palatino Linotype" w:cs="Palatino Linotype"/>
          <w:i/>
          <w:sz w:val="22"/>
          <w:szCs w:val="22"/>
        </w:rPr>
        <w:t xml:space="preserve"> tendrán las siguientes </w:t>
      </w:r>
      <w:r w:rsidRPr="00E7469C">
        <w:rPr>
          <w:rFonts w:ascii="Palatino Linotype" w:eastAsia="Palatino Linotype" w:hAnsi="Palatino Linotype" w:cs="Palatino Linotype"/>
          <w:b/>
          <w:i/>
          <w:sz w:val="22"/>
          <w:szCs w:val="22"/>
        </w:rPr>
        <w:t>funciones</w:t>
      </w:r>
      <w:r w:rsidRPr="00E7469C">
        <w:rPr>
          <w:rFonts w:ascii="Palatino Linotype" w:eastAsia="Palatino Linotype" w:hAnsi="Palatino Linotype" w:cs="Palatino Linotype"/>
          <w:i/>
          <w:sz w:val="22"/>
          <w:szCs w:val="22"/>
        </w:rPr>
        <w:t>:</w:t>
      </w:r>
    </w:p>
    <w:p w14:paraId="02B387D7"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X. Presentar ante el Comité, el proyecto de clasificación de información</w:t>
      </w:r>
      <w:r w:rsidRPr="00E7469C">
        <w:rPr>
          <w:rFonts w:ascii="Palatino Linotype" w:eastAsia="Palatino Linotype" w:hAnsi="Palatino Linotype" w:cs="Palatino Linotype"/>
          <w:i/>
          <w:sz w:val="22"/>
          <w:szCs w:val="22"/>
        </w:rPr>
        <w:t xml:space="preserve">…” </w:t>
      </w:r>
    </w:p>
    <w:p w14:paraId="3C6EEE57"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“Artículo 59.</w:t>
      </w:r>
      <w:r w:rsidRPr="00E7469C">
        <w:rPr>
          <w:rFonts w:ascii="Palatino Linotype" w:eastAsia="Palatino Linotype" w:hAnsi="Palatino Linotype" w:cs="Palatino Linotype"/>
          <w:i/>
          <w:sz w:val="22"/>
          <w:szCs w:val="22"/>
        </w:rPr>
        <w:t xml:space="preserve"> Los </w:t>
      </w:r>
      <w:r w:rsidRPr="00E7469C">
        <w:rPr>
          <w:rFonts w:ascii="Palatino Linotype" w:eastAsia="Palatino Linotype" w:hAnsi="Palatino Linotype" w:cs="Palatino Linotype"/>
          <w:b/>
          <w:i/>
          <w:sz w:val="22"/>
          <w:szCs w:val="22"/>
        </w:rPr>
        <w:t>servidores públicos habilitados</w:t>
      </w:r>
      <w:r w:rsidRPr="00E7469C">
        <w:rPr>
          <w:rFonts w:ascii="Palatino Linotype" w:eastAsia="Palatino Linotype" w:hAnsi="Palatino Linotype" w:cs="Palatino Linotype"/>
          <w:i/>
          <w:sz w:val="22"/>
          <w:szCs w:val="22"/>
        </w:rPr>
        <w:t xml:space="preserve"> tendrán las </w:t>
      </w:r>
      <w:r w:rsidRPr="00E7469C">
        <w:rPr>
          <w:rFonts w:ascii="Palatino Linotype" w:eastAsia="Palatino Linotype" w:hAnsi="Palatino Linotype" w:cs="Palatino Linotype"/>
          <w:b/>
          <w:i/>
          <w:sz w:val="22"/>
          <w:szCs w:val="22"/>
        </w:rPr>
        <w:t>funciones</w:t>
      </w:r>
      <w:r w:rsidRPr="00E7469C">
        <w:rPr>
          <w:rFonts w:ascii="Palatino Linotype" w:eastAsia="Palatino Linotype" w:hAnsi="Palatino Linotype" w:cs="Palatino Linotype"/>
          <w:i/>
          <w:sz w:val="22"/>
          <w:szCs w:val="22"/>
        </w:rPr>
        <w:t xml:space="preserve"> siguientes:</w:t>
      </w:r>
    </w:p>
    <w:p w14:paraId="06BA5208" w14:textId="77777777" w:rsidR="002377F0" w:rsidRPr="00E7469C" w:rsidRDefault="008C7182">
      <w:pPr>
        <w:spacing w:line="276" w:lineRule="auto"/>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7469C">
        <w:rPr>
          <w:rFonts w:ascii="Palatino Linotype" w:eastAsia="Palatino Linotype" w:hAnsi="Palatino Linotype" w:cs="Palatino Linotype"/>
          <w:i/>
          <w:sz w:val="22"/>
          <w:szCs w:val="22"/>
        </w:rPr>
        <w:t>, la cual tendrá los fundamentos y argumentos en que se basa dicha propuesta…” (Sic)</w:t>
      </w:r>
    </w:p>
    <w:p w14:paraId="34E9BFE5" w14:textId="77777777" w:rsidR="002377F0" w:rsidRPr="00E7469C" w:rsidRDefault="002377F0">
      <w:pPr>
        <w:ind w:left="992" w:right="1043"/>
        <w:jc w:val="both"/>
        <w:rPr>
          <w:rFonts w:ascii="Palatino Linotype" w:eastAsia="Palatino Linotype" w:hAnsi="Palatino Linotype" w:cs="Palatino Linotype"/>
          <w:i/>
          <w:sz w:val="22"/>
          <w:szCs w:val="22"/>
        </w:rPr>
      </w:pPr>
    </w:p>
    <w:p w14:paraId="0673768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6960330"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405177D"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262E217" w14:textId="77777777" w:rsidR="002377F0" w:rsidRPr="00E7469C" w:rsidRDefault="002377F0">
      <w:pPr>
        <w:ind w:left="851" w:right="616"/>
        <w:jc w:val="both"/>
        <w:rPr>
          <w:rFonts w:ascii="Palatino Linotype" w:eastAsia="Palatino Linotype" w:hAnsi="Palatino Linotype" w:cs="Palatino Linotype"/>
          <w:i/>
          <w:sz w:val="22"/>
          <w:szCs w:val="22"/>
        </w:rPr>
      </w:pPr>
    </w:p>
    <w:p w14:paraId="4688515D" w14:textId="77777777" w:rsidR="002377F0" w:rsidRPr="00E7469C" w:rsidRDefault="008C7182">
      <w:pPr>
        <w:ind w:left="851" w:right="616"/>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w:t>
      </w:r>
      <w:r w:rsidRPr="00E7469C">
        <w:rPr>
          <w:rFonts w:ascii="Palatino Linotype" w:eastAsia="Palatino Linotype" w:hAnsi="Palatino Linotype" w:cs="Palatino Linotype"/>
          <w:b/>
          <w:i/>
          <w:sz w:val="22"/>
          <w:szCs w:val="22"/>
        </w:rPr>
        <w:t>Artículo 149.</w:t>
      </w:r>
      <w:r w:rsidRPr="00E7469C">
        <w:rPr>
          <w:rFonts w:ascii="Palatino Linotype" w:eastAsia="Palatino Linotype" w:hAnsi="Palatino Linotype" w:cs="Palatino Linotype"/>
          <w:i/>
          <w:sz w:val="22"/>
          <w:szCs w:val="22"/>
        </w:rPr>
        <w:t xml:space="preserve"> El </w:t>
      </w:r>
      <w:r w:rsidRPr="00E7469C">
        <w:rPr>
          <w:rFonts w:ascii="Palatino Linotype" w:eastAsia="Palatino Linotype" w:hAnsi="Palatino Linotype" w:cs="Palatino Linotype"/>
          <w:b/>
          <w:i/>
          <w:sz w:val="22"/>
          <w:szCs w:val="22"/>
        </w:rPr>
        <w:t>acuerdo que clasifique la información como confidencial</w:t>
      </w:r>
      <w:r w:rsidRPr="00E7469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E7469C">
        <w:rPr>
          <w:rFonts w:ascii="Palatino Linotype" w:eastAsia="Palatino Linotype" w:hAnsi="Palatino Linotype" w:cs="Palatino Linotype"/>
          <w:i/>
          <w:sz w:val="22"/>
          <w:szCs w:val="22"/>
        </w:rPr>
        <w:t>.”(</w:t>
      </w:r>
      <w:proofErr w:type="gramEnd"/>
      <w:r w:rsidRPr="00E7469C">
        <w:rPr>
          <w:rFonts w:ascii="Palatino Linotype" w:eastAsia="Palatino Linotype" w:hAnsi="Palatino Linotype" w:cs="Palatino Linotype"/>
          <w:i/>
          <w:sz w:val="22"/>
          <w:szCs w:val="22"/>
        </w:rPr>
        <w:t>Sic)</w:t>
      </w:r>
    </w:p>
    <w:p w14:paraId="76A641C9" w14:textId="77777777" w:rsidR="002377F0" w:rsidRPr="00E7469C" w:rsidRDefault="002377F0">
      <w:pPr>
        <w:spacing w:line="360" w:lineRule="auto"/>
        <w:ind w:left="851" w:right="616"/>
        <w:jc w:val="both"/>
        <w:rPr>
          <w:rFonts w:ascii="Palatino Linotype" w:eastAsia="Palatino Linotype" w:hAnsi="Palatino Linotype" w:cs="Palatino Linotype"/>
          <w:i/>
          <w:sz w:val="22"/>
          <w:szCs w:val="22"/>
        </w:rPr>
      </w:pPr>
    </w:p>
    <w:p w14:paraId="6336B687" w14:textId="77777777" w:rsidR="002377F0" w:rsidRPr="00E7469C" w:rsidRDefault="008C7182">
      <w:pPr>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Es decir,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053248" w14:textId="77777777" w:rsidR="002377F0" w:rsidRPr="00E7469C" w:rsidRDefault="002377F0">
      <w:pPr>
        <w:spacing w:line="360" w:lineRule="auto"/>
        <w:ind w:right="51"/>
        <w:jc w:val="both"/>
        <w:rPr>
          <w:rFonts w:ascii="Palatino Linotype" w:eastAsia="Palatino Linotype" w:hAnsi="Palatino Linotype" w:cs="Palatino Linotype"/>
          <w:sz w:val="22"/>
          <w:szCs w:val="22"/>
        </w:rPr>
      </w:pPr>
    </w:p>
    <w:p w14:paraId="7366DACE"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Al respecto, se destaca que la versión pública que elabore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7469C">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E7469C">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BE50B32" w14:textId="77777777" w:rsidR="002377F0" w:rsidRPr="00E7469C" w:rsidRDefault="002377F0">
      <w:pPr>
        <w:ind w:left="709" w:right="709"/>
        <w:jc w:val="both"/>
        <w:rPr>
          <w:rFonts w:ascii="Palatino Linotype" w:eastAsia="Palatino Linotype" w:hAnsi="Palatino Linotype" w:cs="Palatino Linotype"/>
          <w:b/>
          <w:i/>
          <w:sz w:val="22"/>
          <w:szCs w:val="22"/>
        </w:rPr>
      </w:pPr>
    </w:p>
    <w:p w14:paraId="2CEB4878"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947EC20"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w:t>
      </w:r>
      <w:proofErr w:type="gramStart"/>
      <w:r w:rsidRPr="00E7469C">
        <w:rPr>
          <w:rFonts w:ascii="Palatino Linotype" w:eastAsia="Palatino Linotype" w:hAnsi="Palatino Linotype" w:cs="Palatino Linotype"/>
          <w:b/>
          <w:i/>
          <w:sz w:val="22"/>
          <w:szCs w:val="22"/>
        </w:rPr>
        <w:t>Segundo.-</w:t>
      </w:r>
      <w:proofErr w:type="gramEnd"/>
      <w:r w:rsidRPr="00E7469C">
        <w:rPr>
          <w:rFonts w:ascii="Palatino Linotype" w:eastAsia="Palatino Linotype" w:hAnsi="Palatino Linotype" w:cs="Palatino Linotype"/>
          <w:i/>
          <w:sz w:val="22"/>
          <w:szCs w:val="22"/>
        </w:rPr>
        <w:t xml:space="preserve"> Para efectos de los presentes Lineamientos Generales, se entenderá por:</w:t>
      </w:r>
    </w:p>
    <w:p w14:paraId="373A5ADF"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XVIII.</w:t>
      </w:r>
      <w:r w:rsidRPr="00E7469C">
        <w:rPr>
          <w:rFonts w:ascii="Palatino Linotype" w:eastAsia="Palatino Linotype" w:hAnsi="Palatino Linotype" w:cs="Palatino Linotype"/>
          <w:i/>
          <w:sz w:val="22"/>
          <w:szCs w:val="22"/>
        </w:rPr>
        <w:t xml:space="preserve"> </w:t>
      </w:r>
      <w:r w:rsidRPr="00E7469C">
        <w:rPr>
          <w:rFonts w:ascii="Palatino Linotype" w:eastAsia="Palatino Linotype" w:hAnsi="Palatino Linotype" w:cs="Palatino Linotype"/>
          <w:b/>
          <w:i/>
          <w:sz w:val="22"/>
          <w:szCs w:val="22"/>
        </w:rPr>
        <w:t>Versión pública:</w:t>
      </w:r>
      <w:r w:rsidRPr="00E7469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E7469C">
        <w:rPr>
          <w:rFonts w:ascii="Palatino Linotype" w:eastAsia="Palatino Linotype" w:hAnsi="Palatino Linotype" w:cs="Palatino Linotype"/>
          <w:i/>
          <w:sz w:val="22"/>
          <w:szCs w:val="22"/>
        </w:rPr>
        <w:lastRenderedPageBreak/>
        <w:t xml:space="preserve">de éstas de manera genérica, </w:t>
      </w:r>
      <w:r w:rsidRPr="00E7469C">
        <w:rPr>
          <w:rFonts w:ascii="Palatino Linotype" w:eastAsia="Palatino Linotype" w:hAnsi="Palatino Linotype" w:cs="Palatino Linotype"/>
          <w:b/>
          <w:i/>
          <w:sz w:val="22"/>
          <w:szCs w:val="22"/>
          <w:u w:val="single"/>
        </w:rPr>
        <w:t>fundando y motivando la</w:t>
      </w:r>
      <w:r w:rsidRPr="00E7469C">
        <w:rPr>
          <w:rFonts w:ascii="Palatino Linotype" w:eastAsia="Palatino Linotype" w:hAnsi="Palatino Linotype" w:cs="Palatino Linotype"/>
          <w:i/>
          <w:sz w:val="22"/>
          <w:szCs w:val="22"/>
        </w:rPr>
        <w:t xml:space="preserve"> reserva o </w:t>
      </w:r>
      <w:r w:rsidRPr="00E7469C">
        <w:rPr>
          <w:rFonts w:ascii="Palatino Linotype" w:eastAsia="Palatino Linotype" w:hAnsi="Palatino Linotype" w:cs="Palatino Linotype"/>
          <w:b/>
          <w:i/>
          <w:sz w:val="22"/>
          <w:szCs w:val="22"/>
          <w:u w:val="single"/>
        </w:rPr>
        <w:t>confidencialidad</w:t>
      </w:r>
      <w:r w:rsidRPr="00E7469C">
        <w:rPr>
          <w:rFonts w:ascii="Palatino Linotype" w:eastAsia="Palatino Linotype" w:hAnsi="Palatino Linotype" w:cs="Palatino Linotype"/>
          <w:i/>
          <w:sz w:val="22"/>
          <w:szCs w:val="22"/>
        </w:rPr>
        <w:t>, a través de la resolución que para tal efecto emita el Comité de Transparencia.</w:t>
      </w:r>
    </w:p>
    <w:p w14:paraId="54BCEF48"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Cuarto.</w:t>
      </w:r>
      <w:r w:rsidRPr="00E7469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3487ED"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D4F8915"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Quinto.</w:t>
      </w:r>
      <w:r w:rsidRPr="00E7469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4AB960"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w:t>
      </w:r>
    </w:p>
    <w:p w14:paraId="70B69467"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Séptimo.</w:t>
      </w:r>
      <w:r w:rsidRPr="00E7469C">
        <w:rPr>
          <w:rFonts w:ascii="Palatino Linotype" w:eastAsia="Palatino Linotype" w:hAnsi="Palatino Linotype" w:cs="Palatino Linotype"/>
          <w:i/>
          <w:sz w:val="22"/>
          <w:szCs w:val="22"/>
        </w:rPr>
        <w:t xml:space="preserve"> La clasificación de la información se llevará a cabo en el momento en que:</w:t>
      </w:r>
    </w:p>
    <w:p w14:paraId="27682F6D"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I.</w:t>
      </w:r>
      <w:r w:rsidRPr="00E7469C">
        <w:rPr>
          <w:rFonts w:ascii="Palatino Linotype" w:eastAsia="Palatino Linotype" w:hAnsi="Palatino Linotype" w:cs="Palatino Linotype"/>
          <w:i/>
          <w:sz w:val="22"/>
          <w:szCs w:val="22"/>
        </w:rPr>
        <w:t xml:space="preserve"> Se reciba una solicitud de acceso a la información;</w:t>
      </w:r>
    </w:p>
    <w:p w14:paraId="62F033C0"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II.</w:t>
      </w:r>
      <w:r w:rsidRPr="00E7469C">
        <w:rPr>
          <w:rFonts w:ascii="Palatino Linotype" w:eastAsia="Palatino Linotype" w:hAnsi="Palatino Linotype" w:cs="Palatino Linotype"/>
          <w:i/>
          <w:sz w:val="22"/>
          <w:szCs w:val="22"/>
        </w:rPr>
        <w:t xml:space="preserve"> </w:t>
      </w:r>
      <w:proofErr w:type="gramStart"/>
      <w:r w:rsidRPr="00E7469C">
        <w:rPr>
          <w:rFonts w:ascii="Palatino Linotype" w:eastAsia="Palatino Linotype" w:hAnsi="Palatino Linotype" w:cs="Palatino Linotype"/>
          <w:i/>
          <w:sz w:val="22"/>
          <w:szCs w:val="22"/>
        </w:rPr>
        <w:t>Se  determine</w:t>
      </w:r>
      <w:proofErr w:type="gramEnd"/>
      <w:r w:rsidRPr="00E7469C">
        <w:rPr>
          <w:rFonts w:ascii="Palatino Linotype" w:eastAsia="Palatino Linotype" w:hAnsi="Palatino Linotype" w:cs="Palatino Linotype"/>
          <w:i/>
          <w:sz w:val="22"/>
          <w:szCs w:val="22"/>
        </w:rPr>
        <w:t xml:space="preserve"> mediante resolución del Comité de Transparencia, el órgano garante </w:t>
      </w:r>
    </w:p>
    <w:p w14:paraId="33FE2DB5"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competente, o en cumplimiento a una sentencia del Poder Judicial; o</w:t>
      </w:r>
    </w:p>
    <w:p w14:paraId="392C543E"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III.</w:t>
      </w:r>
      <w:r w:rsidRPr="00E7469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4A8A00B"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410B7D1"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Octavo.</w:t>
      </w:r>
      <w:r w:rsidRPr="00E7469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687D1C"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39446C8"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E7469C">
        <w:rPr>
          <w:rFonts w:ascii="Palatino Linotype" w:eastAsia="Palatino Linotype" w:hAnsi="Palatino Linotype" w:cs="Palatino Linotype"/>
          <w:i/>
          <w:sz w:val="22"/>
          <w:szCs w:val="22"/>
        </w:rPr>
        <w:lastRenderedPageBreak/>
        <w:t xml:space="preserve">lineamientos, así como las circunstancias que justifican el establecimiento de determinado plazo de reserva. </w:t>
      </w:r>
    </w:p>
    <w:p w14:paraId="3A6C358E"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Noveno.</w:t>
      </w:r>
      <w:r w:rsidRPr="00E7469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4F6CB0"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Décimo.</w:t>
      </w:r>
      <w:r w:rsidRPr="00E7469C">
        <w:rPr>
          <w:rFonts w:ascii="Palatino Linotype" w:eastAsia="Palatino Linotype" w:hAnsi="Palatino Linotype" w:cs="Palatino Linotype"/>
          <w:i/>
          <w:sz w:val="22"/>
          <w:szCs w:val="22"/>
        </w:rPr>
        <w:t xml:space="preserve"> Los titulares de las </w:t>
      </w:r>
      <w:proofErr w:type="gramStart"/>
      <w:r w:rsidRPr="00E7469C">
        <w:rPr>
          <w:rFonts w:ascii="Palatino Linotype" w:eastAsia="Palatino Linotype" w:hAnsi="Palatino Linotype" w:cs="Palatino Linotype"/>
          <w:i/>
          <w:sz w:val="22"/>
          <w:szCs w:val="22"/>
        </w:rPr>
        <w:t>áreas,</w:t>
      </w:r>
      <w:proofErr w:type="gramEnd"/>
      <w:r w:rsidRPr="00E7469C">
        <w:rPr>
          <w:rFonts w:ascii="Palatino Linotype" w:eastAsia="Palatino Linotype" w:hAnsi="Palatino Linotype" w:cs="Palatino Linotype"/>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6098F8D"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7D4F87A"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Décimo primero.</w:t>
      </w:r>
      <w:r w:rsidRPr="00E7469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4D3B82" w14:textId="77777777" w:rsidR="002377F0" w:rsidRPr="00E7469C" w:rsidRDefault="002377F0">
      <w:pPr>
        <w:pBdr>
          <w:top w:val="nil"/>
          <w:left w:val="nil"/>
          <w:bottom w:val="nil"/>
          <w:right w:val="nil"/>
          <w:between w:val="nil"/>
        </w:pBdr>
        <w:ind w:right="709"/>
        <w:jc w:val="both"/>
        <w:rPr>
          <w:rFonts w:ascii="Palatino Linotype" w:eastAsia="Palatino Linotype" w:hAnsi="Palatino Linotype" w:cs="Palatino Linotype"/>
          <w:sz w:val="22"/>
          <w:szCs w:val="22"/>
        </w:rPr>
      </w:pPr>
    </w:p>
    <w:p w14:paraId="3DF0C63D"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w:t>
      </w:r>
    </w:p>
    <w:p w14:paraId="58F1EE19" w14:textId="77777777" w:rsidR="002377F0" w:rsidRPr="00E7469C" w:rsidRDefault="008C7182">
      <w:pPr>
        <w:pBdr>
          <w:top w:val="nil"/>
          <w:left w:val="nil"/>
          <w:bottom w:val="nil"/>
          <w:right w:val="nil"/>
          <w:between w:val="nil"/>
        </w:pBdr>
        <w:ind w:left="709" w:right="709"/>
        <w:jc w:val="center"/>
        <w:rPr>
          <w:rFonts w:ascii="Palatino Linotype" w:eastAsia="Palatino Linotype" w:hAnsi="Palatino Linotype" w:cs="Palatino Linotype"/>
          <w:sz w:val="22"/>
          <w:szCs w:val="22"/>
        </w:rPr>
      </w:pPr>
      <w:r w:rsidRPr="00E7469C">
        <w:rPr>
          <w:rFonts w:ascii="Palatino Linotype" w:eastAsia="Palatino Linotype" w:hAnsi="Palatino Linotype" w:cs="Palatino Linotype"/>
          <w:b/>
          <w:i/>
          <w:sz w:val="22"/>
          <w:szCs w:val="22"/>
        </w:rPr>
        <w:t>CAPÍTULO VIII</w:t>
      </w:r>
    </w:p>
    <w:p w14:paraId="54480A0D" w14:textId="77777777" w:rsidR="002377F0" w:rsidRPr="00E7469C" w:rsidRDefault="008C7182">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r w:rsidRPr="00E7469C">
        <w:rPr>
          <w:rFonts w:ascii="Palatino Linotype" w:eastAsia="Palatino Linotype" w:hAnsi="Palatino Linotype" w:cs="Palatino Linotype"/>
          <w:b/>
          <w:i/>
          <w:sz w:val="22"/>
          <w:szCs w:val="22"/>
        </w:rPr>
        <w:t>DE LOS ELEMENTOS PARA LA CLASIFICACIÓN</w:t>
      </w:r>
    </w:p>
    <w:p w14:paraId="6AB66DCF"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Quincuagésimo</w:t>
      </w:r>
      <w:r w:rsidRPr="00E7469C">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39F9D46"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Quincuagésimo primero</w:t>
      </w:r>
      <w:r w:rsidRPr="00E7469C">
        <w:rPr>
          <w:rFonts w:ascii="Palatino Linotype" w:eastAsia="Palatino Linotype" w:hAnsi="Palatino Linotype" w:cs="Palatino Linotype"/>
          <w:i/>
          <w:sz w:val="22"/>
          <w:szCs w:val="22"/>
        </w:rPr>
        <w:t>. Toda acta del Comité de Transparencia deberá contener:</w:t>
      </w:r>
    </w:p>
    <w:p w14:paraId="4D618907"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I. El número de sesión y fecha; </w:t>
      </w:r>
    </w:p>
    <w:p w14:paraId="31D2C276"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El nombre del área que solicitó la clasificación de información;</w:t>
      </w:r>
    </w:p>
    <w:p w14:paraId="7D7AF870"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La fundamentación legal y motivación correspondiente;</w:t>
      </w:r>
    </w:p>
    <w:p w14:paraId="7199DD24"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IV. La resolución o resoluciones aprobadas; y</w:t>
      </w:r>
    </w:p>
    <w:p w14:paraId="36C5A30B"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V. La rúbrica o firma digital de cada integrante del Comité de Transparencia. </w:t>
      </w:r>
    </w:p>
    <w:p w14:paraId="570CA54D"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1B2E5FAE"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Los motivos y razonamientos que sustenten la confirmación o modificación de la prueba de daño;</w:t>
      </w:r>
    </w:p>
    <w:p w14:paraId="5D194E7B"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Descripción de las partes o secciones reservadas, en caso de clasificación parcial;</w:t>
      </w:r>
    </w:p>
    <w:p w14:paraId="2EE4AE55"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lastRenderedPageBreak/>
        <w:t>III. El periodo por el que mantendrá su clasificación y fecha de expiración; y</w:t>
      </w:r>
    </w:p>
    <w:p w14:paraId="1600D111"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IV. El nombre del titular y área encargada de realizar la versión pública del documento, en su caso.</w:t>
      </w:r>
    </w:p>
    <w:p w14:paraId="38613904"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4D51F01"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1326F3"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b/>
          <w:i/>
          <w:sz w:val="22"/>
          <w:szCs w:val="22"/>
        </w:rPr>
        <w:t>Quincuagésimo segundo</w:t>
      </w:r>
      <w:r w:rsidRPr="00E7469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CCA4452"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6ABC400"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568AEF0B"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B0157EF"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III. Señalar las personas o instancias autorizadas a acceder a la información clasificada.</w:t>
      </w:r>
    </w:p>
    <w:p w14:paraId="6D97249E"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A64B576"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49257A4" w14:textId="77777777" w:rsidR="002377F0" w:rsidRPr="00E7469C" w:rsidRDefault="008C7182">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E7469C">
        <w:rPr>
          <w:rFonts w:ascii="Palatino Linotype" w:eastAsia="Palatino Linotype" w:hAnsi="Palatino Linotype" w:cs="Palatino Linotype"/>
          <w:i/>
          <w:sz w:val="22"/>
          <w:szCs w:val="22"/>
        </w:rPr>
        <w:t>testado</w:t>
      </w:r>
      <w:proofErr w:type="spellEnd"/>
      <w:r w:rsidRPr="00E7469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5D391E5F" w14:textId="77777777" w:rsidR="002377F0" w:rsidRPr="00E7469C" w:rsidRDefault="002377F0">
      <w:pPr>
        <w:rPr>
          <w:rFonts w:ascii="Palatino Linotype" w:eastAsia="Palatino Linotype" w:hAnsi="Palatino Linotype" w:cs="Palatino Linotype"/>
          <w:sz w:val="22"/>
          <w:szCs w:val="22"/>
        </w:rPr>
      </w:pPr>
    </w:p>
    <w:p w14:paraId="734EFCA6"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Efectivamente, cuando se clasifica información como confidencial es importante someterlo al Comité de Transparencia, quien debe confirmar, modificar o revocar la clasificación.</w:t>
      </w:r>
    </w:p>
    <w:p w14:paraId="383F59DA"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7166C93F" w14:textId="77777777" w:rsidR="002377F0" w:rsidRPr="00E7469C" w:rsidRDefault="008C7182">
      <w:pPr>
        <w:shd w:val="clear" w:color="auto" w:fill="FFFFFF"/>
        <w:spacing w:line="360" w:lineRule="auto"/>
        <w:ind w:right="51"/>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w:t>
      </w:r>
    </w:p>
    <w:p w14:paraId="0F4379EA" w14:textId="77777777" w:rsidR="002377F0" w:rsidRPr="00E7469C" w:rsidRDefault="002377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AA8BB95" w14:textId="77777777"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26311819" w14:textId="77777777" w:rsidR="002377F0" w:rsidRPr="00E7469C" w:rsidRDefault="008C7182">
      <w:pPr>
        <w:numPr>
          <w:ilvl w:val="0"/>
          <w:numId w:val="31"/>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E7469C">
        <w:rPr>
          <w:rFonts w:ascii="Palatino Linotype" w:eastAsia="Palatino Linotype" w:hAnsi="Palatino Linotype" w:cs="Palatino Linotype"/>
          <w:b/>
          <w:sz w:val="22"/>
          <w:szCs w:val="22"/>
        </w:rPr>
        <w:t>R E S U E L V E:</w:t>
      </w:r>
    </w:p>
    <w:p w14:paraId="4476502C"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Primero. </w:t>
      </w:r>
      <w:r w:rsidRPr="00E7469C">
        <w:rPr>
          <w:rFonts w:ascii="Palatino Linotype" w:eastAsia="Palatino Linotype" w:hAnsi="Palatino Linotype" w:cs="Palatino Linotype"/>
          <w:sz w:val="22"/>
          <w:szCs w:val="22"/>
        </w:rPr>
        <w:t xml:space="preserve">Resultan </w:t>
      </w:r>
      <w:r w:rsidRPr="00E7469C">
        <w:rPr>
          <w:rFonts w:ascii="Palatino Linotype" w:eastAsia="Palatino Linotype" w:hAnsi="Palatino Linotype" w:cs="Palatino Linotype"/>
          <w:b/>
          <w:sz w:val="22"/>
          <w:szCs w:val="22"/>
        </w:rPr>
        <w:t>fundadas</w:t>
      </w:r>
      <w:r w:rsidRPr="00E7469C">
        <w:rPr>
          <w:rFonts w:ascii="Palatino Linotype" w:eastAsia="Palatino Linotype" w:hAnsi="Palatino Linotype" w:cs="Palatino Linotype"/>
          <w:sz w:val="22"/>
          <w:szCs w:val="22"/>
        </w:rPr>
        <w:t xml:space="preserve"> las razones o motivos de inconformidad hechos valer por la parte</w:t>
      </w:r>
      <w:r w:rsidRPr="00E7469C">
        <w:rPr>
          <w:rFonts w:ascii="Palatino Linotype" w:eastAsia="Palatino Linotype" w:hAnsi="Palatino Linotype" w:cs="Palatino Linotype"/>
          <w:b/>
          <w:sz w:val="22"/>
          <w:szCs w:val="22"/>
        </w:rPr>
        <w:t xml:space="preserve"> Recurrente</w:t>
      </w:r>
      <w:r w:rsidRPr="00E7469C">
        <w:rPr>
          <w:rFonts w:ascii="Palatino Linotype" w:eastAsia="Palatino Linotype" w:hAnsi="Palatino Linotype" w:cs="Palatino Linotype"/>
          <w:sz w:val="22"/>
          <w:szCs w:val="22"/>
        </w:rPr>
        <w:t xml:space="preserve"> en el recurso de revisión </w:t>
      </w:r>
      <w:r w:rsidRPr="00E7469C">
        <w:rPr>
          <w:rFonts w:ascii="Palatino Linotype" w:eastAsia="Palatino Linotype" w:hAnsi="Palatino Linotype" w:cs="Palatino Linotype"/>
          <w:b/>
          <w:sz w:val="22"/>
          <w:szCs w:val="22"/>
        </w:rPr>
        <w:t>04684/INFOEM/IP/RR/2025</w:t>
      </w:r>
      <w:r w:rsidRPr="00E7469C">
        <w:rPr>
          <w:rFonts w:ascii="Palatino Linotype" w:eastAsia="Palatino Linotype" w:hAnsi="Palatino Linotype" w:cs="Palatino Linotype"/>
          <w:sz w:val="22"/>
          <w:szCs w:val="22"/>
        </w:rPr>
        <w:t xml:space="preserve">; por lo que, en términos del </w:t>
      </w:r>
      <w:r w:rsidRPr="00E7469C">
        <w:rPr>
          <w:rFonts w:ascii="Palatino Linotype" w:eastAsia="Palatino Linotype" w:hAnsi="Palatino Linotype" w:cs="Palatino Linotype"/>
          <w:b/>
          <w:sz w:val="22"/>
          <w:szCs w:val="22"/>
        </w:rPr>
        <w:t>Considerando</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rPr>
        <w:t xml:space="preserve">Cuarto </w:t>
      </w:r>
      <w:r w:rsidRPr="00E7469C">
        <w:rPr>
          <w:rFonts w:ascii="Palatino Linotype" w:eastAsia="Palatino Linotype" w:hAnsi="Palatino Linotype" w:cs="Palatino Linotype"/>
          <w:sz w:val="22"/>
          <w:szCs w:val="22"/>
        </w:rPr>
        <w:t xml:space="preserve">de esta resolución, se </w:t>
      </w:r>
      <w:r w:rsidRPr="00E7469C">
        <w:rPr>
          <w:rFonts w:ascii="Palatino Linotype" w:eastAsia="Palatino Linotype" w:hAnsi="Palatino Linotype" w:cs="Palatino Linotype"/>
          <w:b/>
          <w:sz w:val="22"/>
          <w:szCs w:val="22"/>
        </w:rPr>
        <w:t xml:space="preserve">Modifica </w:t>
      </w:r>
      <w:r w:rsidRPr="00E7469C">
        <w:rPr>
          <w:rFonts w:ascii="Palatino Linotype" w:eastAsia="Palatino Linotype" w:hAnsi="Palatino Linotype" w:cs="Palatino Linotype"/>
          <w:sz w:val="22"/>
          <w:szCs w:val="22"/>
        </w:rPr>
        <w:t xml:space="preserve">la respuesta emitida por el </w:t>
      </w:r>
      <w:r w:rsidRPr="00E7469C">
        <w:rPr>
          <w:rFonts w:ascii="Palatino Linotype" w:eastAsia="Palatino Linotype" w:hAnsi="Palatino Linotype" w:cs="Palatino Linotype"/>
          <w:b/>
          <w:sz w:val="22"/>
          <w:szCs w:val="22"/>
        </w:rPr>
        <w:t>Sujeto Obligado.</w:t>
      </w:r>
    </w:p>
    <w:p w14:paraId="09EE80B4" w14:textId="77777777" w:rsidR="002377F0" w:rsidRPr="00E7469C" w:rsidRDefault="008C7182">
      <w:pPr>
        <w:spacing w:line="360" w:lineRule="auto"/>
        <w:ind w:right="49"/>
        <w:jc w:val="both"/>
        <w:rPr>
          <w:rFonts w:ascii="Palatino Linotype" w:eastAsia="Palatino Linotype" w:hAnsi="Palatino Linotype" w:cs="Palatino Linotype"/>
          <w:sz w:val="22"/>
          <w:szCs w:val="22"/>
        </w:rPr>
      </w:pPr>
      <w:bookmarkStart w:id="25" w:name="_heading=h.1fob9te" w:colFirst="0" w:colLast="0"/>
      <w:bookmarkEnd w:id="25"/>
      <w:r w:rsidRPr="00E7469C">
        <w:rPr>
          <w:rFonts w:ascii="Palatino Linotype" w:eastAsia="Palatino Linotype" w:hAnsi="Palatino Linotype" w:cs="Palatino Linotype"/>
          <w:b/>
          <w:sz w:val="22"/>
          <w:szCs w:val="22"/>
        </w:rPr>
        <w:lastRenderedPageBreak/>
        <w:t xml:space="preserve">Segundo. </w:t>
      </w:r>
      <w:r w:rsidRPr="00E7469C">
        <w:rPr>
          <w:rFonts w:ascii="Palatino Linotype" w:eastAsia="Palatino Linotype" w:hAnsi="Palatino Linotype" w:cs="Palatino Linotype"/>
          <w:sz w:val="22"/>
          <w:szCs w:val="22"/>
        </w:rPr>
        <w:t xml:space="preserve">Se </w:t>
      </w:r>
      <w:r w:rsidRPr="00E7469C">
        <w:rPr>
          <w:rFonts w:ascii="Palatino Linotype" w:eastAsia="Palatino Linotype" w:hAnsi="Palatino Linotype" w:cs="Palatino Linotype"/>
          <w:b/>
          <w:sz w:val="22"/>
          <w:szCs w:val="22"/>
        </w:rPr>
        <w:t xml:space="preserve">ordena </w:t>
      </w:r>
      <w:r w:rsidRPr="00E7469C">
        <w:rPr>
          <w:rFonts w:ascii="Palatino Linotype" w:eastAsia="Palatino Linotype" w:hAnsi="Palatino Linotype" w:cs="Palatino Linotype"/>
          <w:sz w:val="22"/>
          <w:szCs w:val="22"/>
        </w:rPr>
        <w:t xml:space="preserve">al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entregue, a</w:t>
      </w:r>
      <w:r w:rsidRPr="00E7469C">
        <w:rPr>
          <w:rFonts w:ascii="Palatino Linotype" w:eastAsia="Palatino Linotype" w:hAnsi="Palatino Linotype" w:cs="Palatino Linotype"/>
          <w:b/>
          <w:sz w:val="22"/>
          <w:szCs w:val="22"/>
        </w:rPr>
        <w:t xml:space="preserve"> </w:t>
      </w:r>
      <w:r w:rsidRPr="00E7469C">
        <w:rPr>
          <w:rFonts w:ascii="Palatino Linotype" w:eastAsia="Palatino Linotype" w:hAnsi="Palatino Linotype" w:cs="Palatino Linotype"/>
          <w:sz w:val="22"/>
          <w:szCs w:val="22"/>
        </w:rPr>
        <w:t xml:space="preserve">la parte </w:t>
      </w:r>
      <w:r w:rsidRPr="00E7469C">
        <w:rPr>
          <w:rFonts w:ascii="Palatino Linotype" w:eastAsia="Palatino Linotype" w:hAnsi="Palatino Linotype" w:cs="Palatino Linotype"/>
          <w:b/>
          <w:sz w:val="22"/>
          <w:szCs w:val="22"/>
        </w:rPr>
        <w:t>Recurrente</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rPr>
        <w:t xml:space="preserve">vía SAIMEX, </w:t>
      </w:r>
      <w:r w:rsidRPr="00E7469C">
        <w:rPr>
          <w:rFonts w:ascii="Palatino Linotype" w:eastAsia="Palatino Linotype" w:hAnsi="Palatino Linotype" w:cs="Palatino Linotype"/>
          <w:sz w:val="22"/>
          <w:szCs w:val="22"/>
        </w:rPr>
        <w:t>en términos de</w:t>
      </w:r>
      <w:r w:rsidRPr="00E7469C">
        <w:rPr>
          <w:rFonts w:ascii="Palatino Linotype" w:eastAsia="Palatino Linotype" w:hAnsi="Palatino Linotype" w:cs="Palatino Linotype"/>
          <w:b/>
          <w:sz w:val="22"/>
          <w:szCs w:val="22"/>
        </w:rPr>
        <w:t>l Considerando</w:t>
      </w:r>
      <w:r w:rsidRPr="00E7469C">
        <w:rPr>
          <w:rFonts w:ascii="Palatino Linotype" w:eastAsia="Palatino Linotype" w:hAnsi="Palatino Linotype" w:cs="Palatino Linotype"/>
          <w:sz w:val="22"/>
          <w:szCs w:val="22"/>
        </w:rPr>
        <w:t xml:space="preserve"> </w:t>
      </w:r>
      <w:r w:rsidRPr="00E7469C">
        <w:rPr>
          <w:rFonts w:ascii="Palatino Linotype" w:eastAsia="Palatino Linotype" w:hAnsi="Palatino Linotype" w:cs="Palatino Linotype"/>
          <w:b/>
          <w:sz w:val="22"/>
          <w:szCs w:val="22"/>
        </w:rPr>
        <w:t>Cuarto y Quinto</w:t>
      </w:r>
      <w:r w:rsidRPr="00E7469C">
        <w:rPr>
          <w:rFonts w:ascii="Palatino Linotype" w:eastAsia="Palatino Linotype" w:hAnsi="Palatino Linotype" w:cs="Palatino Linotype"/>
          <w:sz w:val="22"/>
          <w:szCs w:val="22"/>
        </w:rPr>
        <w:t>, de ser procedente en versión pública, en PDF o en formato en el que se encuentre, el soporte documental que dé cuenta de lo siguiente:</w:t>
      </w:r>
    </w:p>
    <w:p w14:paraId="1DCC2F44" w14:textId="77777777" w:rsidR="002377F0" w:rsidRPr="00E7469C" w:rsidRDefault="002377F0">
      <w:pPr>
        <w:spacing w:line="360" w:lineRule="auto"/>
        <w:ind w:right="49"/>
        <w:jc w:val="both"/>
        <w:rPr>
          <w:rFonts w:ascii="Palatino Linotype" w:eastAsia="Palatino Linotype" w:hAnsi="Palatino Linotype" w:cs="Palatino Linotype"/>
          <w:sz w:val="22"/>
          <w:szCs w:val="22"/>
        </w:rPr>
      </w:pPr>
    </w:p>
    <w:p w14:paraId="3D3E0E2F"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Padrón de proveedores vigente al siete de marzo de dos mil veinticinco.</w:t>
      </w:r>
    </w:p>
    <w:p w14:paraId="10B2E9AF"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Licencias de funcionamiento otorgadas por el Ayuntamiento de Atlacomulco del primero de enero de dos mil veintidós al treinta y uno de diciembre de dos mil veinticuatro; así como las remitidas en respuesta correspondientes del primero de enero al siete de marzo de dos mil veinticinco, en correcta versión pública.</w:t>
      </w:r>
    </w:p>
    <w:p w14:paraId="3ABB926D"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Conciliación de Nómina del Ayuntamiento de Atlacomulco de la segunda quincena de diciembre de dos mil veinticuatro y segunda quincena de febrero de dos mil veinticinco.</w:t>
      </w:r>
    </w:p>
    <w:p w14:paraId="48ED2DBF"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Las Cédulas de Trámites y Servicios que prestan las dependencias que integran a la Administración Pública Municipal, vigentes al siete de marzo de dos mil veinticinco.</w:t>
      </w:r>
    </w:p>
    <w:p w14:paraId="4E00E389"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Cédulas de bases de datos referidos en respuesta, en versión pública clasificando las medidas de seguridad en términos del artículo 43 de la Ley de Protección de Datos Personales de la Entidad. </w:t>
      </w:r>
    </w:p>
    <w:p w14:paraId="1325CEDF"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Los programas que tiene el Ayuntamiento de Atlacomulco, vigentes al siete de marzo de dos mil veinticinco. </w:t>
      </w:r>
    </w:p>
    <w:p w14:paraId="2C7DFB28"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Los contratos celebrados por las obras públicas referidas en respuesta, correspondientes a los años dos mil veintitrés y dos mil veinticuatro y del primero de enero al siete de marzo de dos mil veinticinco. </w:t>
      </w:r>
    </w:p>
    <w:p w14:paraId="78190592"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lastRenderedPageBreak/>
        <w:t xml:space="preserve">Inventario del parque vehicular vigente al siete de marzo de dos mil veinticinco. </w:t>
      </w:r>
    </w:p>
    <w:p w14:paraId="72F79C49"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Dictamen de los vehículos que se encuentran fuera de servicio al siete de marzo de dos mil veinticinco. </w:t>
      </w:r>
    </w:p>
    <w:p w14:paraId="20338C3D"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Acuerdo de clasificación emitido por el Comité de Transparencia, en donde de manera debidamente fundada y motivada, a través de una prueba de daño, confirme la clasificación como reservada, en términos del artículo 140 fracción I de la Ley de Transparencia y Acceso a la Información Pública del Estado de México y Municipios, de los datos requeridos consistentes en el inventario de armamento de seguridad pública al siete de marzo de dos mil veinticinco.</w:t>
      </w:r>
    </w:p>
    <w:p w14:paraId="7497D367"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Número de denuncias interpuestas por maltrato a la mujer, del primero de enero al siete de marzo de dos mil veinticinco. </w:t>
      </w:r>
    </w:p>
    <w:p w14:paraId="7F960F0D"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 xml:space="preserve">Resoluciones de los procedimientos de responsabilidad administrativa concluidos que hubieran quedado firmes, referidos en respuesta. </w:t>
      </w:r>
    </w:p>
    <w:p w14:paraId="3ACC50A5" w14:textId="77777777" w:rsidR="002377F0" w:rsidRPr="00E7469C" w:rsidRDefault="008C7182">
      <w:pPr>
        <w:numPr>
          <w:ilvl w:val="0"/>
          <w:numId w:val="30"/>
        </w:numPr>
        <w:pBdr>
          <w:top w:val="nil"/>
          <w:left w:val="nil"/>
          <w:bottom w:val="nil"/>
          <w:right w:val="nil"/>
          <w:between w:val="nil"/>
        </w:pBdr>
        <w:tabs>
          <w:tab w:val="left" w:pos="851"/>
        </w:tabs>
        <w:spacing w:line="360" w:lineRule="auto"/>
        <w:ind w:left="851" w:right="567" w:firstLine="0"/>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sz w:val="22"/>
          <w:szCs w:val="22"/>
        </w:rPr>
        <w:t>Licencias de Construcción emitidas, del primero de enero de dos mil veintidós al siete de marzo de dos mil veinticinco, incluyendo las remitidas en respuesta.</w:t>
      </w:r>
    </w:p>
    <w:p w14:paraId="4B3EAB93" w14:textId="77777777" w:rsidR="002377F0" w:rsidRPr="00E7469C" w:rsidRDefault="002377F0">
      <w:pPr>
        <w:pBdr>
          <w:top w:val="nil"/>
          <w:left w:val="nil"/>
          <w:bottom w:val="nil"/>
          <w:right w:val="nil"/>
          <w:between w:val="nil"/>
        </w:pBdr>
        <w:tabs>
          <w:tab w:val="left" w:pos="851"/>
        </w:tabs>
        <w:spacing w:line="276" w:lineRule="auto"/>
        <w:ind w:left="927" w:right="616"/>
        <w:jc w:val="both"/>
        <w:rPr>
          <w:rFonts w:ascii="Palatino Linotype" w:eastAsia="Palatino Linotype" w:hAnsi="Palatino Linotype" w:cs="Palatino Linotype"/>
          <w:i/>
          <w:sz w:val="22"/>
          <w:szCs w:val="22"/>
        </w:rPr>
      </w:pPr>
    </w:p>
    <w:p w14:paraId="3E48F3E1" w14:textId="77777777" w:rsidR="002377F0" w:rsidRPr="00E7469C" w:rsidRDefault="008C7182">
      <w:pPr>
        <w:pBdr>
          <w:top w:val="nil"/>
          <w:left w:val="nil"/>
          <w:bottom w:val="nil"/>
          <w:right w:val="nil"/>
          <w:between w:val="nil"/>
        </w:pBdr>
        <w:tabs>
          <w:tab w:val="left" w:pos="993"/>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7469C">
        <w:rPr>
          <w:rFonts w:ascii="Palatino Linotype" w:eastAsia="Palatino Linotype" w:hAnsi="Palatino Linotype" w:cs="Palatino Linotype"/>
          <w:b/>
          <w:i/>
          <w:sz w:val="22"/>
          <w:szCs w:val="22"/>
        </w:rPr>
        <w:t>Recurrente</w:t>
      </w:r>
      <w:r w:rsidRPr="00E7469C">
        <w:rPr>
          <w:rFonts w:ascii="Palatino Linotype" w:eastAsia="Palatino Linotype" w:hAnsi="Palatino Linotype" w:cs="Palatino Linotype"/>
          <w:i/>
          <w:sz w:val="22"/>
          <w:szCs w:val="22"/>
        </w:rPr>
        <w:t>.</w:t>
      </w:r>
    </w:p>
    <w:p w14:paraId="0FC0D18A" w14:textId="77777777" w:rsidR="002377F0" w:rsidRPr="00E7469C" w:rsidRDefault="002377F0">
      <w:pPr>
        <w:pBdr>
          <w:top w:val="nil"/>
          <w:left w:val="nil"/>
          <w:bottom w:val="nil"/>
          <w:right w:val="nil"/>
          <w:between w:val="nil"/>
        </w:pBdr>
        <w:tabs>
          <w:tab w:val="left" w:pos="993"/>
        </w:tabs>
        <w:spacing w:line="276" w:lineRule="auto"/>
        <w:ind w:left="851" w:right="567"/>
        <w:jc w:val="both"/>
        <w:rPr>
          <w:rFonts w:ascii="Palatino Linotype" w:eastAsia="Palatino Linotype" w:hAnsi="Palatino Linotype" w:cs="Palatino Linotype"/>
          <w:i/>
          <w:sz w:val="22"/>
          <w:szCs w:val="22"/>
        </w:rPr>
      </w:pPr>
    </w:p>
    <w:p w14:paraId="73334397" w14:textId="77777777" w:rsidR="002377F0" w:rsidRPr="00E7469C" w:rsidRDefault="008C7182">
      <w:pPr>
        <w:pBdr>
          <w:top w:val="nil"/>
          <w:left w:val="nil"/>
          <w:bottom w:val="nil"/>
          <w:right w:val="nil"/>
          <w:between w:val="nil"/>
        </w:pBdr>
        <w:tabs>
          <w:tab w:val="left" w:pos="993"/>
        </w:tabs>
        <w:spacing w:line="276" w:lineRule="auto"/>
        <w:ind w:left="851" w:right="567"/>
        <w:jc w:val="both"/>
        <w:rPr>
          <w:rFonts w:ascii="Palatino Linotype" w:eastAsia="Palatino Linotype" w:hAnsi="Palatino Linotype" w:cs="Palatino Linotype"/>
          <w:i/>
          <w:sz w:val="22"/>
          <w:szCs w:val="22"/>
        </w:rPr>
      </w:pPr>
      <w:r w:rsidRPr="00E7469C">
        <w:rPr>
          <w:rFonts w:ascii="Palatino Linotype" w:eastAsia="Palatino Linotype" w:hAnsi="Palatino Linotype" w:cs="Palatino Linotype"/>
          <w:i/>
          <w:sz w:val="22"/>
          <w:szCs w:val="22"/>
        </w:rPr>
        <w:t xml:space="preserve">En el supuesto que la información ordenada en los incisos f) e i), no obre en los archivos del </w:t>
      </w:r>
      <w:r w:rsidRPr="00E7469C">
        <w:rPr>
          <w:rFonts w:ascii="Palatino Linotype" w:eastAsia="Palatino Linotype" w:hAnsi="Palatino Linotype" w:cs="Palatino Linotype"/>
          <w:b/>
          <w:i/>
          <w:sz w:val="22"/>
          <w:szCs w:val="22"/>
        </w:rPr>
        <w:t>Sujeto Obligado</w:t>
      </w:r>
      <w:r w:rsidRPr="00E7469C">
        <w:rPr>
          <w:rFonts w:ascii="Palatino Linotype" w:eastAsia="Palatino Linotype" w:hAnsi="Palatino Linotype" w:cs="Palatino Linotype"/>
          <w:i/>
          <w:sz w:val="22"/>
          <w:szCs w:val="22"/>
        </w:rPr>
        <w:t xml:space="preserve"> por no haberse generado, bastará con que así se haga del conocimiento de la parte </w:t>
      </w:r>
      <w:r w:rsidRPr="00E7469C">
        <w:rPr>
          <w:rFonts w:ascii="Palatino Linotype" w:eastAsia="Palatino Linotype" w:hAnsi="Palatino Linotype" w:cs="Palatino Linotype"/>
          <w:b/>
          <w:i/>
          <w:sz w:val="22"/>
          <w:szCs w:val="22"/>
        </w:rPr>
        <w:t>Recurrente</w:t>
      </w:r>
      <w:r w:rsidRPr="00E7469C">
        <w:rPr>
          <w:rFonts w:ascii="Palatino Linotype" w:eastAsia="Palatino Linotype" w:hAnsi="Palatino Linotype" w:cs="Palatino Linotype"/>
          <w:i/>
          <w:sz w:val="22"/>
          <w:szCs w:val="22"/>
        </w:rPr>
        <w:t xml:space="preserve">, en términos del artículo 19, párrafo </w:t>
      </w:r>
      <w:r w:rsidRPr="00E7469C">
        <w:rPr>
          <w:rFonts w:ascii="Palatino Linotype" w:eastAsia="Palatino Linotype" w:hAnsi="Palatino Linotype" w:cs="Palatino Linotype"/>
          <w:i/>
          <w:sz w:val="22"/>
          <w:szCs w:val="22"/>
        </w:rPr>
        <w:lastRenderedPageBreak/>
        <w:t>segundo de la Ley de Transparencia y Acceso a la Información Pública del Estado de México y Municipios.</w:t>
      </w:r>
    </w:p>
    <w:p w14:paraId="10B4FB5C" w14:textId="77777777" w:rsidR="002377F0" w:rsidRPr="00E7469C" w:rsidRDefault="002377F0">
      <w:pPr>
        <w:pBdr>
          <w:top w:val="nil"/>
          <w:left w:val="nil"/>
          <w:bottom w:val="nil"/>
          <w:right w:val="nil"/>
          <w:between w:val="nil"/>
        </w:pBdr>
        <w:tabs>
          <w:tab w:val="left" w:pos="993"/>
        </w:tabs>
        <w:spacing w:line="276" w:lineRule="auto"/>
        <w:ind w:left="851" w:right="567"/>
        <w:jc w:val="both"/>
        <w:rPr>
          <w:rFonts w:ascii="Palatino Linotype" w:eastAsia="Palatino Linotype" w:hAnsi="Palatino Linotype" w:cs="Palatino Linotype"/>
          <w:i/>
          <w:sz w:val="22"/>
          <w:szCs w:val="22"/>
        </w:rPr>
      </w:pPr>
    </w:p>
    <w:p w14:paraId="0A1BA382"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Tercero. Notifíquese </w:t>
      </w:r>
      <w:r w:rsidRPr="00E7469C">
        <w:rPr>
          <w:rFonts w:ascii="Palatino Linotype" w:eastAsia="Palatino Linotype" w:hAnsi="Palatino Linotype" w:cs="Palatino Linotype"/>
          <w:sz w:val="22"/>
          <w:szCs w:val="22"/>
        </w:rPr>
        <w:t>vía</w:t>
      </w:r>
      <w:r w:rsidRPr="00E7469C">
        <w:rPr>
          <w:rFonts w:ascii="Palatino Linotype" w:eastAsia="Palatino Linotype" w:hAnsi="Palatino Linotype" w:cs="Palatino Linotype"/>
          <w:b/>
          <w:sz w:val="22"/>
          <w:szCs w:val="22"/>
        </w:rPr>
        <w:t xml:space="preserve"> SAIMEX, </w:t>
      </w:r>
      <w:r w:rsidRPr="00E7469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5C76B6"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3342FEB5" w14:textId="77777777" w:rsidR="002377F0" w:rsidRPr="00E7469C" w:rsidRDefault="008C7182">
      <w:pP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Cuarto. </w:t>
      </w:r>
      <w:r w:rsidRPr="00E7469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7469C">
        <w:rPr>
          <w:rFonts w:ascii="Palatino Linotype" w:eastAsia="Palatino Linotype" w:hAnsi="Palatino Linotype" w:cs="Palatino Linotype"/>
          <w:b/>
          <w:sz w:val="22"/>
          <w:szCs w:val="22"/>
        </w:rPr>
        <w:t>Sujeto Obligado</w:t>
      </w:r>
      <w:r w:rsidRPr="00E7469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C323062" w14:textId="77777777" w:rsidR="002377F0" w:rsidRPr="00E7469C" w:rsidRDefault="002377F0">
      <w:pPr>
        <w:spacing w:line="360" w:lineRule="auto"/>
        <w:jc w:val="both"/>
        <w:rPr>
          <w:rFonts w:ascii="Palatino Linotype" w:eastAsia="Palatino Linotype" w:hAnsi="Palatino Linotype" w:cs="Palatino Linotype"/>
          <w:sz w:val="22"/>
          <w:szCs w:val="22"/>
        </w:rPr>
      </w:pPr>
    </w:p>
    <w:p w14:paraId="1C76F625" w14:textId="75AF424B" w:rsidR="002377F0" w:rsidRPr="00E7469C" w:rsidRDefault="008C7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7469C">
        <w:rPr>
          <w:rFonts w:ascii="Palatino Linotype" w:eastAsia="Palatino Linotype" w:hAnsi="Palatino Linotype" w:cs="Palatino Linotype"/>
          <w:b/>
          <w:sz w:val="22"/>
          <w:szCs w:val="22"/>
        </w:rPr>
        <w:t xml:space="preserve">Quinto. Notifíquese, </w:t>
      </w:r>
      <w:r w:rsidRPr="00E7469C">
        <w:rPr>
          <w:rFonts w:ascii="Palatino Linotype" w:eastAsia="Palatino Linotype" w:hAnsi="Palatino Linotype" w:cs="Palatino Linotype"/>
          <w:sz w:val="22"/>
          <w:szCs w:val="22"/>
        </w:rPr>
        <w:t xml:space="preserve">vía </w:t>
      </w:r>
      <w:r w:rsidRPr="00E7469C">
        <w:rPr>
          <w:rFonts w:ascii="Palatino Linotype" w:eastAsia="Palatino Linotype" w:hAnsi="Palatino Linotype" w:cs="Palatino Linotype"/>
          <w:b/>
          <w:sz w:val="22"/>
          <w:szCs w:val="22"/>
        </w:rPr>
        <w:t>SAIMEX</w:t>
      </w:r>
      <w:r w:rsidRPr="00E7469C">
        <w:rPr>
          <w:rFonts w:ascii="Palatino Linotype" w:eastAsia="Palatino Linotype" w:hAnsi="Palatino Linotype" w:cs="Palatino Linotype"/>
          <w:sz w:val="22"/>
          <w:szCs w:val="22"/>
        </w:rPr>
        <w:t>, a la parte</w:t>
      </w:r>
      <w:r w:rsidRPr="00E7469C">
        <w:rPr>
          <w:rFonts w:ascii="Palatino Linotype" w:eastAsia="Palatino Linotype" w:hAnsi="Palatino Linotype" w:cs="Palatino Linotype"/>
          <w:b/>
          <w:sz w:val="22"/>
          <w:szCs w:val="22"/>
        </w:rPr>
        <w:t xml:space="preserve"> Recurrente</w:t>
      </w:r>
      <w:r w:rsidRPr="00E7469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F8F3DF7" w14:textId="2A903E45" w:rsidR="0062028D" w:rsidRPr="00E7469C" w:rsidRDefault="006202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B1AA17" w14:textId="0CD72A12" w:rsidR="0062028D" w:rsidRPr="00E7469C" w:rsidRDefault="006202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75B5CD" w14:textId="77777777" w:rsidR="0062028D" w:rsidRPr="00E7469C" w:rsidRDefault="006202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CDBB6A" w14:textId="35BD8499" w:rsidR="002377F0" w:rsidRPr="0062028D" w:rsidRDefault="008C7182">
      <w:pPr>
        <w:spacing w:line="360" w:lineRule="auto"/>
        <w:jc w:val="both"/>
        <w:rPr>
          <w:rFonts w:ascii="Palatino Linotype" w:eastAsia="Palatino Linotype" w:hAnsi="Palatino Linotype" w:cs="Palatino Linotype"/>
          <w:sz w:val="22"/>
          <w:szCs w:val="22"/>
        </w:rPr>
        <w:sectPr w:rsidR="002377F0" w:rsidRPr="0062028D">
          <w:headerReference w:type="default" r:id="rId92"/>
          <w:footerReference w:type="default" r:id="rId93"/>
          <w:headerReference w:type="first" r:id="rId94"/>
          <w:footerReference w:type="first" r:id="rId95"/>
          <w:pgSz w:w="12240" w:h="15840"/>
          <w:pgMar w:top="2041" w:right="1750" w:bottom="1701" w:left="1701" w:header="709" w:footer="709" w:gutter="0"/>
          <w:pgNumType w:start="1"/>
          <w:cols w:space="720"/>
          <w:titlePg/>
        </w:sectPr>
      </w:pPr>
      <w:r w:rsidRPr="00E7469C">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2028D" w:rsidRPr="00E7469C">
        <w:rPr>
          <w:rFonts w:ascii="Palatino Linotype" w:eastAsia="Palatino Linotype" w:hAnsi="Palatino Linotype" w:cs="Palatino Linotype"/>
          <w:sz w:val="22"/>
          <w:szCs w:val="22"/>
        </w:rPr>
        <w:t>, EMITIENDO VOTO PARTICULAR</w:t>
      </w:r>
      <w:r w:rsidRPr="00E7469C">
        <w:rPr>
          <w:rFonts w:ascii="Palatino Linotype" w:eastAsia="Palatino Linotype" w:hAnsi="Palatino Linotype" w:cs="Palatino Linotype"/>
          <w:sz w:val="22"/>
          <w:szCs w:val="22"/>
        </w:rPr>
        <w:t>, SHARON CRISTINA MORALES MARTÍNEZ, LUIS GUSTAVO PARRA NORIEGA</w:t>
      </w:r>
      <w:r w:rsidR="0062028D" w:rsidRPr="00E7469C">
        <w:rPr>
          <w:rFonts w:ascii="Palatino Linotype" w:eastAsia="Palatino Linotype" w:hAnsi="Palatino Linotype" w:cs="Palatino Linotype"/>
          <w:sz w:val="22"/>
          <w:szCs w:val="22"/>
        </w:rPr>
        <w:t>, EMITIENDO VOTO PARTICULAR</w:t>
      </w:r>
      <w:r w:rsidRPr="00E7469C">
        <w:rPr>
          <w:rFonts w:ascii="Palatino Linotype" w:eastAsia="Palatino Linotype" w:hAnsi="Palatino Linotype" w:cs="Palatino Linotype"/>
          <w:sz w:val="22"/>
          <w:szCs w:val="22"/>
        </w:rPr>
        <w:t xml:space="preserve"> Y GUADALUPE RAMÍREZ PEÑA; EN LA TRIGÉSIMA CUARTA SESIÓN ORDINARIA CELEBRADA EL VEINTICUATRO DE SEPTIEMBRE DE DOS MIL VEINTICINCO, ANTE EL SECRETARIO TÉCNICO DEL PLENO ALEXIS TAPIA RAMÍREZ.</w:t>
      </w:r>
      <w:r w:rsidRPr="0062028D">
        <w:rPr>
          <w:rFonts w:ascii="Palatino Linotype" w:eastAsia="Palatino Linotype" w:hAnsi="Palatino Linotype" w:cs="Palatino Linotype"/>
          <w:sz w:val="22"/>
          <w:szCs w:val="22"/>
        </w:rPr>
        <w:t xml:space="preserve">                              </w:t>
      </w:r>
    </w:p>
    <w:p w14:paraId="619BA068" w14:textId="77777777" w:rsidR="002377F0" w:rsidRPr="0062028D" w:rsidRDefault="002377F0">
      <w:pPr>
        <w:spacing w:line="360" w:lineRule="auto"/>
        <w:jc w:val="both"/>
        <w:rPr>
          <w:rFonts w:ascii="Palatino Linotype" w:eastAsia="Palatino Linotype" w:hAnsi="Palatino Linotype" w:cs="Palatino Linotype"/>
          <w:sz w:val="22"/>
          <w:szCs w:val="22"/>
        </w:rPr>
      </w:pPr>
    </w:p>
    <w:sectPr w:rsidR="002377F0" w:rsidRPr="0062028D">
      <w:headerReference w:type="first" r:id="rId9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167B9" w14:textId="77777777" w:rsidR="0029405B" w:rsidRDefault="0029405B">
      <w:r>
        <w:separator/>
      </w:r>
    </w:p>
  </w:endnote>
  <w:endnote w:type="continuationSeparator" w:id="0">
    <w:p w14:paraId="7C534573" w14:textId="77777777" w:rsidR="0029405B" w:rsidRDefault="0029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EC84" w14:textId="77777777" w:rsidR="002377F0" w:rsidRDefault="008C71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D7B9A">
      <w:rPr>
        <w:rFonts w:ascii="Arial" w:eastAsia="Arial" w:hAnsi="Arial" w:cs="Arial"/>
        <w:b/>
        <w:noProof/>
        <w:color w:val="000000"/>
        <w:sz w:val="20"/>
        <w:szCs w:val="20"/>
      </w:rPr>
      <w:t>186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D7B9A">
      <w:rPr>
        <w:rFonts w:ascii="Arial" w:eastAsia="Arial" w:hAnsi="Arial" w:cs="Arial"/>
        <w:b/>
        <w:noProof/>
        <w:color w:val="000000"/>
        <w:sz w:val="20"/>
        <w:szCs w:val="20"/>
      </w:rPr>
      <w:t>188</w:t>
    </w:r>
    <w:r>
      <w:rPr>
        <w:rFonts w:ascii="Arial" w:eastAsia="Arial" w:hAnsi="Arial" w:cs="Arial"/>
        <w:b/>
        <w:color w:val="000000"/>
        <w:sz w:val="20"/>
        <w:szCs w:val="20"/>
      </w:rPr>
      <w:fldChar w:fldCharType="end"/>
    </w:r>
  </w:p>
  <w:p w14:paraId="5F894D3B" w14:textId="77777777" w:rsidR="002377F0" w:rsidRDefault="002377F0">
    <w:pPr>
      <w:pBdr>
        <w:top w:val="nil"/>
        <w:left w:val="nil"/>
        <w:bottom w:val="nil"/>
        <w:right w:val="nil"/>
        <w:between w:val="nil"/>
      </w:pBdr>
      <w:tabs>
        <w:tab w:val="center" w:pos="4252"/>
        <w:tab w:val="right" w:pos="8504"/>
      </w:tabs>
      <w:rPr>
        <w:color w:val="000000"/>
      </w:rPr>
    </w:pPr>
  </w:p>
  <w:p w14:paraId="3164C300" w14:textId="77777777" w:rsidR="002377F0" w:rsidRDefault="002377F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E5B59" w14:textId="77777777" w:rsidR="002377F0" w:rsidRDefault="008C71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D7B9A">
      <w:rPr>
        <w:rFonts w:ascii="Arial" w:eastAsia="Arial" w:hAnsi="Arial" w:cs="Arial"/>
        <w:b/>
        <w:noProof/>
        <w:color w:val="000000"/>
        <w:sz w:val="20"/>
        <w:szCs w:val="20"/>
      </w:rPr>
      <w:t>188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D7B9A">
      <w:rPr>
        <w:rFonts w:ascii="Arial" w:eastAsia="Arial" w:hAnsi="Arial" w:cs="Arial"/>
        <w:b/>
        <w:noProof/>
        <w:color w:val="000000"/>
        <w:sz w:val="20"/>
        <w:szCs w:val="20"/>
      </w:rPr>
      <w:t>188</w:t>
    </w:r>
    <w:r>
      <w:rPr>
        <w:rFonts w:ascii="Arial" w:eastAsia="Arial" w:hAnsi="Arial" w:cs="Arial"/>
        <w:b/>
        <w:color w:val="000000"/>
        <w:sz w:val="20"/>
        <w:szCs w:val="20"/>
      </w:rPr>
      <w:fldChar w:fldCharType="end"/>
    </w:r>
  </w:p>
  <w:p w14:paraId="2E036563" w14:textId="77777777" w:rsidR="002377F0" w:rsidRDefault="002377F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6D0BE" w14:textId="77777777" w:rsidR="0029405B" w:rsidRDefault="0029405B">
      <w:r>
        <w:separator/>
      </w:r>
    </w:p>
  </w:footnote>
  <w:footnote w:type="continuationSeparator" w:id="0">
    <w:p w14:paraId="35AD0F13" w14:textId="77777777" w:rsidR="0029405B" w:rsidRDefault="0029405B">
      <w:r>
        <w:continuationSeparator/>
      </w:r>
    </w:p>
  </w:footnote>
  <w:footnote w:id="1">
    <w:p w14:paraId="0336157F" w14:textId="77777777" w:rsidR="002377F0" w:rsidRDefault="008C71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2">
    <w:p w14:paraId="4CE35186" w14:textId="77777777" w:rsidR="002377F0" w:rsidRDefault="008C7182">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7F6C" w14:textId="77777777" w:rsidR="002377F0" w:rsidRDefault="008C7182">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2B110539" wp14:editId="47022EF4">
          <wp:simplePos x="0" y="0"/>
          <wp:positionH relativeFrom="column">
            <wp:posOffset>-638173</wp:posOffset>
          </wp:positionH>
          <wp:positionV relativeFrom="paragraph">
            <wp:posOffset>-450213</wp:posOffset>
          </wp:positionV>
          <wp:extent cx="7809876" cy="10165823"/>
          <wp:effectExtent l="0" t="0" r="0" b="0"/>
          <wp:wrapNone/>
          <wp:docPr id="21449236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528" w:type="dxa"/>
      <w:tblInd w:w="3261" w:type="dxa"/>
      <w:tblLayout w:type="fixed"/>
      <w:tblLook w:val="0400" w:firstRow="0" w:lastRow="0" w:firstColumn="0" w:lastColumn="0" w:noHBand="0" w:noVBand="1"/>
    </w:tblPr>
    <w:tblGrid>
      <w:gridCol w:w="2551"/>
      <w:gridCol w:w="2977"/>
    </w:tblGrid>
    <w:tr w:rsidR="002377F0" w14:paraId="56904060" w14:textId="77777777">
      <w:tc>
        <w:tcPr>
          <w:tcW w:w="2551" w:type="dxa"/>
          <w:vAlign w:val="center"/>
        </w:tcPr>
        <w:p w14:paraId="7A5D1BF6" w14:textId="77777777" w:rsidR="002377F0" w:rsidRDefault="008C71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106A261" w14:textId="77777777" w:rsidR="002377F0" w:rsidRDefault="008C71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04684/INFOEM/IP/RR/2025</w:t>
          </w:r>
        </w:p>
      </w:tc>
    </w:tr>
    <w:tr w:rsidR="002377F0" w14:paraId="0F4FD5FE" w14:textId="77777777">
      <w:trPr>
        <w:trHeight w:val="228"/>
      </w:trPr>
      <w:tc>
        <w:tcPr>
          <w:tcW w:w="2551" w:type="dxa"/>
          <w:vAlign w:val="center"/>
        </w:tcPr>
        <w:p w14:paraId="7702743E" w14:textId="77777777" w:rsidR="002377F0" w:rsidRDefault="008C71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43278C4" w14:textId="77777777" w:rsidR="002377F0" w:rsidRDefault="008C71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2377F0" w14:paraId="27CA9633" w14:textId="77777777">
      <w:tc>
        <w:tcPr>
          <w:tcW w:w="2551" w:type="dxa"/>
          <w:vAlign w:val="center"/>
        </w:tcPr>
        <w:p w14:paraId="04D11C23" w14:textId="77777777" w:rsidR="002377F0" w:rsidRDefault="008C71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5311A4B" w14:textId="77777777" w:rsidR="002377F0" w:rsidRDefault="008C718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F0EC09" w14:textId="77777777" w:rsidR="002377F0" w:rsidRDefault="008C718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6BC0" w14:textId="77777777" w:rsidR="002377F0" w:rsidRDefault="008C718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39D018EA" wp14:editId="7F588D6A">
          <wp:simplePos x="0" y="0"/>
          <wp:positionH relativeFrom="column">
            <wp:posOffset>-1045207</wp:posOffset>
          </wp:positionH>
          <wp:positionV relativeFrom="paragraph">
            <wp:posOffset>-405128</wp:posOffset>
          </wp:positionV>
          <wp:extent cx="7809865" cy="10165715"/>
          <wp:effectExtent l="0" t="0" r="0" b="0"/>
          <wp:wrapNone/>
          <wp:docPr id="21449236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2377F0" w14:paraId="5BB9EB04" w14:textId="77777777">
      <w:tc>
        <w:tcPr>
          <w:tcW w:w="2551" w:type="dxa"/>
          <w:vAlign w:val="center"/>
        </w:tcPr>
        <w:p w14:paraId="523CA1E1" w14:textId="77777777" w:rsidR="002377F0" w:rsidRDefault="008C71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B1B2727" w14:textId="77777777" w:rsidR="002377F0" w:rsidRDefault="008C71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04684/INFOEM/IP/RR/2025</w:t>
          </w:r>
        </w:p>
      </w:tc>
    </w:tr>
    <w:tr w:rsidR="002377F0" w14:paraId="5B698656" w14:textId="77777777">
      <w:tc>
        <w:tcPr>
          <w:tcW w:w="2551" w:type="dxa"/>
          <w:vAlign w:val="center"/>
        </w:tcPr>
        <w:p w14:paraId="0679EF5E" w14:textId="77777777" w:rsidR="002377F0" w:rsidRDefault="008C718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EE0A6BE" w14:textId="77777777" w:rsidR="002377F0" w:rsidRDefault="002377F0">
          <w:pPr>
            <w:ind w:right="-533"/>
            <w:jc w:val="both"/>
            <w:rPr>
              <w:rFonts w:ascii="Palatino Linotype" w:eastAsia="Palatino Linotype" w:hAnsi="Palatino Linotype" w:cs="Palatino Linotype"/>
              <w:b/>
              <w:sz w:val="22"/>
              <w:szCs w:val="22"/>
            </w:rPr>
          </w:pPr>
        </w:p>
      </w:tc>
    </w:tr>
    <w:tr w:rsidR="002377F0" w14:paraId="078A2037" w14:textId="77777777">
      <w:trPr>
        <w:trHeight w:val="228"/>
      </w:trPr>
      <w:tc>
        <w:tcPr>
          <w:tcW w:w="2551" w:type="dxa"/>
          <w:vAlign w:val="center"/>
        </w:tcPr>
        <w:p w14:paraId="7A537DBC" w14:textId="77777777" w:rsidR="002377F0" w:rsidRDefault="008C71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700B9619" w14:textId="77777777" w:rsidR="002377F0" w:rsidRDefault="008C718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2377F0" w14:paraId="5989513E" w14:textId="77777777">
      <w:tc>
        <w:tcPr>
          <w:tcW w:w="2551" w:type="dxa"/>
          <w:vAlign w:val="center"/>
        </w:tcPr>
        <w:p w14:paraId="59029D72" w14:textId="77777777" w:rsidR="002377F0" w:rsidRDefault="008C71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45EF27C" w14:textId="77777777" w:rsidR="002377F0" w:rsidRDefault="008C718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FE9B55" w14:textId="77777777" w:rsidR="002377F0" w:rsidRDefault="002377F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7688" w14:textId="77777777" w:rsidR="002377F0" w:rsidRDefault="002377F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72A08C2" w14:textId="77777777" w:rsidR="002377F0" w:rsidRDefault="002377F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6696C"/>
    <w:multiLevelType w:val="multilevel"/>
    <w:tmpl w:val="4E14B51A"/>
    <w:lvl w:ilvl="0">
      <w:start w:val="5"/>
      <w:numFmt w:val="bullet"/>
      <w:lvlText w:val="-"/>
      <w:lvlJc w:val="left"/>
      <w:pPr>
        <w:ind w:left="721" w:hanging="360"/>
      </w:pPr>
      <w:rPr>
        <w:rFonts w:ascii="Palatino Linotype" w:eastAsia="Palatino Linotype" w:hAnsi="Palatino Linotype" w:cs="Palatino Linotype"/>
        <w:b/>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15:restartNumberingAfterBreak="0">
    <w:nsid w:val="1234071F"/>
    <w:multiLevelType w:val="multilevel"/>
    <w:tmpl w:val="B4CEBC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4E3816"/>
    <w:multiLevelType w:val="multilevel"/>
    <w:tmpl w:val="D8023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405919"/>
    <w:multiLevelType w:val="multilevel"/>
    <w:tmpl w:val="CAF0D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6B1818"/>
    <w:multiLevelType w:val="multilevel"/>
    <w:tmpl w:val="F7BA35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C837DAE"/>
    <w:multiLevelType w:val="multilevel"/>
    <w:tmpl w:val="C6763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FE05A2"/>
    <w:multiLevelType w:val="multilevel"/>
    <w:tmpl w:val="A2DEB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CF3C2F"/>
    <w:multiLevelType w:val="multilevel"/>
    <w:tmpl w:val="491889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E805BE0"/>
    <w:multiLevelType w:val="multilevel"/>
    <w:tmpl w:val="B08C7320"/>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5479EA"/>
    <w:multiLevelType w:val="multilevel"/>
    <w:tmpl w:val="969C50BA"/>
    <w:lvl w:ilvl="0">
      <w:start w:val="3"/>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0163E8"/>
    <w:multiLevelType w:val="multilevel"/>
    <w:tmpl w:val="FEB4C5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16D1874"/>
    <w:multiLevelType w:val="multilevel"/>
    <w:tmpl w:val="BF48DFA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4D7529"/>
    <w:multiLevelType w:val="multilevel"/>
    <w:tmpl w:val="01F8DFDA"/>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C15ED7"/>
    <w:multiLevelType w:val="multilevel"/>
    <w:tmpl w:val="75166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AF595B"/>
    <w:multiLevelType w:val="multilevel"/>
    <w:tmpl w:val="979A7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146C71"/>
    <w:multiLevelType w:val="multilevel"/>
    <w:tmpl w:val="E28CC88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D160B7"/>
    <w:multiLevelType w:val="multilevel"/>
    <w:tmpl w:val="29FAA2B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FE344B"/>
    <w:multiLevelType w:val="multilevel"/>
    <w:tmpl w:val="DAE2D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F82B23"/>
    <w:multiLevelType w:val="multilevel"/>
    <w:tmpl w:val="4FB40E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9B68BE"/>
    <w:multiLevelType w:val="multilevel"/>
    <w:tmpl w:val="3BC66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E44672"/>
    <w:multiLevelType w:val="multilevel"/>
    <w:tmpl w:val="982E9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027370"/>
    <w:multiLevelType w:val="multilevel"/>
    <w:tmpl w:val="D108AA7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7792D08"/>
    <w:multiLevelType w:val="multilevel"/>
    <w:tmpl w:val="B36CD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C07D1F"/>
    <w:multiLevelType w:val="multilevel"/>
    <w:tmpl w:val="B9C67508"/>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064369"/>
    <w:multiLevelType w:val="multilevel"/>
    <w:tmpl w:val="8F2868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C6B5E6B"/>
    <w:multiLevelType w:val="multilevel"/>
    <w:tmpl w:val="F004518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8369BB"/>
    <w:multiLevelType w:val="multilevel"/>
    <w:tmpl w:val="EE12E5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4F400B5F"/>
    <w:multiLevelType w:val="multilevel"/>
    <w:tmpl w:val="D6F29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A460FA"/>
    <w:multiLevelType w:val="multilevel"/>
    <w:tmpl w:val="38E4E0DC"/>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52E56313"/>
    <w:multiLevelType w:val="multilevel"/>
    <w:tmpl w:val="4D4A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A31E3B"/>
    <w:multiLevelType w:val="multilevel"/>
    <w:tmpl w:val="FB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65176D"/>
    <w:multiLevelType w:val="multilevel"/>
    <w:tmpl w:val="B5E47B28"/>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2F3533"/>
    <w:multiLevelType w:val="multilevel"/>
    <w:tmpl w:val="67E42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0C2A07"/>
    <w:multiLevelType w:val="multilevel"/>
    <w:tmpl w:val="F93AD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201FC3"/>
    <w:multiLevelType w:val="multilevel"/>
    <w:tmpl w:val="5CCC6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7E62D64"/>
    <w:multiLevelType w:val="multilevel"/>
    <w:tmpl w:val="0DFE4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536A0F"/>
    <w:multiLevelType w:val="multilevel"/>
    <w:tmpl w:val="02388D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6EA50CEE"/>
    <w:multiLevelType w:val="multilevel"/>
    <w:tmpl w:val="5E126A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E80F3D"/>
    <w:multiLevelType w:val="multilevel"/>
    <w:tmpl w:val="9BEC4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40A047C"/>
    <w:multiLevelType w:val="multilevel"/>
    <w:tmpl w:val="7456AB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4EE206A"/>
    <w:multiLevelType w:val="multilevel"/>
    <w:tmpl w:val="999A3ED8"/>
    <w:lvl w:ilvl="0">
      <w:start w:val="1"/>
      <w:numFmt w:val="upperRoman"/>
      <w:lvlText w:val="%1."/>
      <w:lvlJc w:val="left"/>
      <w:pPr>
        <w:ind w:left="644" w:hanging="357"/>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420A59"/>
    <w:multiLevelType w:val="multilevel"/>
    <w:tmpl w:val="6CB28B7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16cid:durableId="861361517">
    <w:abstractNumId w:val="11"/>
  </w:num>
  <w:num w:numId="2" w16cid:durableId="1038896921">
    <w:abstractNumId w:val="29"/>
  </w:num>
  <w:num w:numId="3" w16cid:durableId="1393579613">
    <w:abstractNumId w:val="16"/>
  </w:num>
  <w:num w:numId="4" w16cid:durableId="1608074101">
    <w:abstractNumId w:val="41"/>
  </w:num>
  <w:num w:numId="5" w16cid:durableId="502360475">
    <w:abstractNumId w:val="17"/>
  </w:num>
  <w:num w:numId="6" w16cid:durableId="1092362330">
    <w:abstractNumId w:val="2"/>
  </w:num>
  <w:num w:numId="7" w16cid:durableId="1005092378">
    <w:abstractNumId w:val="14"/>
  </w:num>
  <w:num w:numId="8" w16cid:durableId="1275209233">
    <w:abstractNumId w:val="38"/>
  </w:num>
  <w:num w:numId="9" w16cid:durableId="1351250331">
    <w:abstractNumId w:val="32"/>
  </w:num>
  <w:num w:numId="10" w16cid:durableId="1319505704">
    <w:abstractNumId w:val="34"/>
  </w:num>
  <w:num w:numId="11" w16cid:durableId="1570189630">
    <w:abstractNumId w:val="27"/>
  </w:num>
  <w:num w:numId="12" w16cid:durableId="1006400595">
    <w:abstractNumId w:val="10"/>
  </w:num>
  <w:num w:numId="13" w16cid:durableId="724791747">
    <w:abstractNumId w:val="20"/>
  </w:num>
  <w:num w:numId="14" w16cid:durableId="542524664">
    <w:abstractNumId w:val="40"/>
  </w:num>
  <w:num w:numId="15" w16cid:durableId="1095400679">
    <w:abstractNumId w:val="39"/>
  </w:num>
  <w:num w:numId="16" w16cid:durableId="1631788820">
    <w:abstractNumId w:val="31"/>
  </w:num>
  <w:num w:numId="17" w16cid:durableId="201988823">
    <w:abstractNumId w:val="15"/>
  </w:num>
  <w:num w:numId="18" w16cid:durableId="1229267485">
    <w:abstractNumId w:val="5"/>
  </w:num>
  <w:num w:numId="19" w16cid:durableId="175460425">
    <w:abstractNumId w:val="12"/>
  </w:num>
  <w:num w:numId="20" w16cid:durableId="1908959329">
    <w:abstractNumId w:val="18"/>
  </w:num>
  <w:num w:numId="21" w16cid:durableId="1839885875">
    <w:abstractNumId w:val="24"/>
  </w:num>
  <w:num w:numId="22" w16cid:durableId="1644698191">
    <w:abstractNumId w:val="26"/>
  </w:num>
  <w:num w:numId="23" w16cid:durableId="856771070">
    <w:abstractNumId w:val="4"/>
  </w:num>
  <w:num w:numId="24" w16cid:durableId="1705249594">
    <w:abstractNumId w:val="8"/>
  </w:num>
  <w:num w:numId="25" w16cid:durableId="1931622624">
    <w:abstractNumId w:val="6"/>
  </w:num>
  <w:num w:numId="26" w16cid:durableId="2041081232">
    <w:abstractNumId w:val="25"/>
  </w:num>
  <w:num w:numId="27" w16cid:durableId="224074803">
    <w:abstractNumId w:val="33"/>
  </w:num>
  <w:num w:numId="28" w16cid:durableId="1815445406">
    <w:abstractNumId w:val="1"/>
  </w:num>
  <w:num w:numId="29" w16cid:durableId="1902476886">
    <w:abstractNumId w:val="0"/>
  </w:num>
  <w:num w:numId="30" w16cid:durableId="750468486">
    <w:abstractNumId w:val="28"/>
  </w:num>
  <w:num w:numId="31" w16cid:durableId="72633048">
    <w:abstractNumId w:val="23"/>
  </w:num>
  <w:num w:numId="32" w16cid:durableId="574556586">
    <w:abstractNumId w:val="19"/>
  </w:num>
  <w:num w:numId="33" w16cid:durableId="576676055">
    <w:abstractNumId w:val="35"/>
  </w:num>
  <w:num w:numId="34" w16cid:durableId="1519925740">
    <w:abstractNumId w:val="21"/>
  </w:num>
  <w:num w:numId="35" w16cid:durableId="656109358">
    <w:abstractNumId w:val="22"/>
  </w:num>
  <w:num w:numId="36" w16cid:durableId="1979987915">
    <w:abstractNumId w:val="30"/>
  </w:num>
  <w:num w:numId="37" w16cid:durableId="792359047">
    <w:abstractNumId w:val="9"/>
  </w:num>
  <w:num w:numId="38" w16cid:durableId="467360219">
    <w:abstractNumId w:val="37"/>
  </w:num>
  <w:num w:numId="39" w16cid:durableId="1830319816">
    <w:abstractNumId w:val="13"/>
  </w:num>
  <w:num w:numId="40" w16cid:durableId="1397388620">
    <w:abstractNumId w:val="3"/>
  </w:num>
  <w:num w:numId="41" w16cid:durableId="19211290">
    <w:abstractNumId w:val="36"/>
  </w:num>
  <w:num w:numId="42" w16cid:durableId="1899249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7F0"/>
    <w:rsid w:val="001D7B9A"/>
    <w:rsid w:val="002377F0"/>
    <w:rsid w:val="0029405B"/>
    <w:rsid w:val="0062028D"/>
    <w:rsid w:val="008C7182"/>
    <w:rsid w:val="009C5769"/>
    <w:rsid w:val="00CB59A1"/>
    <w:rsid w:val="00E746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8C94"/>
  <w15:docId w15:val="{4788C119-677E-41F8-8C1C-6BB7AC89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8">
    <w:name w:val="18"/>
    <w:basedOn w:val="TableNormal10"/>
    <w:tblPr>
      <w:tblStyleRowBandSize w:val="1"/>
      <w:tblStyleColBandSize w:val="1"/>
      <w:tblCellMar>
        <w:left w:w="108" w:type="dxa"/>
        <w:right w:w="108"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0"/>
    <w:tblPr>
      <w:tblStyleRowBandSize w:val="1"/>
      <w:tblStyleColBandSize w:val="1"/>
      <w:tblCellMar>
        <w:left w:w="108" w:type="dxa"/>
        <w:right w:w="108" w:type="dxa"/>
      </w:tblCellMar>
    </w:tblPr>
  </w:style>
  <w:style w:type="table" w:customStyle="1" w:styleId="14">
    <w:name w:val="14"/>
    <w:basedOn w:val="TableNormal10"/>
    <w:tblPr>
      <w:tblStyleRowBandSize w:val="1"/>
      <w:tblStyleColBandSize w:val="1"/>
      <w:tblCellMar>
        <w:left w:w="108" w:type="dxa"/>
        <w:right w:w="108" w:type="dxa"/>
      </w:tblCellMar>
    </w:tblPr>
  </w:style>
  <w:style w:type="table" w:customStyle="1" w:styleId="13">
    <w:name w:val="13"/>
    <w:basedOn w:val="TableNormal10"/>
    <w:tblPr>
      <w:tblStyleRowBandSize w:val="1"/>
      <w:tblStyleColBandSize w:val="1"/>
      <w:tblCellMar>
        <w:left w:w="108" w:type="dxa"/>
        <w:right w:w="108" w:type="dxa"/>
      </w:tblCellMar>
    </w:tblPr>
  </w:style>
  <w:style w:type="table" w:customStyle="1" w:styleId="12">
    <w:name w:val="12"/>
    <w:basedOn w:val="TableNormal10"/>
    <w:tblPr>
      <w:tblStyleRowBandSize w:val="1"/>
      <w:tblStyleColBandSize w:val="1"/>
      <w:tblCellMar>
        <w:left w:w="108" w:type="dxa"/>
        <w:right w:w="108" w:type="dxa"/>
      </w:tblCellMar>
    </w:tblPr>
  </w:style>
  <w:style w:type="table" w:customStyle="1" w:styleId="11">
    <w:name w:val="11"/>
    <w:basedOn w:val="TableNormal10"/>
    <w:tblPr>
      <w:tblStyleRowBandSize w:val="1"/>
      <w:tblStyleColBandSize w:val="1"/>
      <w:tblCellMar>
        <w:left w:w="108" w:type="dxa"/>
        <w:right w:w="108" w:type="dxa"/>
      </w:tblCellMar>
    </w:tblPr>
  </w:style>
  <w:style w:type="table" w:customStyle="1" w:styleId="10">
    <w:name w:val="10"/>
    <w:basedOn w:val="TableNormal10"/>
    <w:tblPr>
      <w:tblStyleRowBandSize w:val="1"/>
      <w:tblStyleColBandSize w:val="1"/>
      <w:tblCellMar>
        <w:left w:w="108" w:type="dxa"/>
        <w:right w:w="108" w:type="dxa"/>
      </w:tblCellMar>
    </w:tblPr>
  </w:style>
  <w:style w:type="table" w:customStyle="1" w:styleId="9">
    <w:name w:val="9"/>
    <w:basedOn w:val="TableNormal10"/>
    <w:tblPr>
      <w:tblStyleRowBandSize w:val="1"/>
      <w:tblStyleColBandSize w:val="1"/>
      <w:tblCellMar>
        <w:left w:w="108" w:type="dxa"/>
        <w:right w:w="108"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1106D3"/>
    <w:rPr>
      <w:color w:val="605E5C"/>
      <w:shd w:val="clear" w:color="auto" w:fill="E1DFDD"/>
    </w:rPr>
  </w:style>
  <w:style w:type="character" w:customStyle="1" w:styleId="Mencinsinresolver4">
    <w:name w:val="Mención sin resolver4"/>
    <w:basedOn w:val="Fuentedeprrafopredeter"/>
    <w:uiPriority w:val="99"/>
    <w:semiHidden/>
    <w:unhideWhenUsed/>
    <w:rsid w:val="00BC1887"/>
    <w:rPr>
      <w:color w:val="605E5C"/>
      <w:shd w:val="clear" w:color="auto" w:fill="E1DFDD"/>
    </w:rPr>
  </w:style>
  <w:style w:type="character" w:customStyle="1" w:styleId="Mencinsinresolver5">
    <w:name w:val="Mención sin resolver5"/>
    <w:basedOn w:val="Fuentedeprrafopredeter"/>
    <w:uiPriority w:val="99"/>
    <w:semiHidden/>
    <w:unhideWhenUsed/>
    <w:rsid w:val="006D5EAB"/>
    <w:rPr>
      <w:color w:val="605E5C"/>
      <w:shd w:val="clear" w:color="auto" w:fill="E1DFDD"/>
    </w:rPr>
  </w:style>
  <w:style w:type="paragraph" w:customStyle="1" w:styleId="xgmail-msonormal">
    <w:name w:val="x_gmail-msonormal"/>
    <w:basedOn w:val="Normal"/>
    <w:rsid w:val="005A00FA"/>
    <w:pPr>
      <w:spacing w:before="100" w:beforeAutospacing="1" w:after="100" w:afterAutospacing="1"/>
    </w:pPr>
    <w:rPr>
      <w:lang w:val="en-US" w:eastAsia="en-US"/>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hyperlink" Target="https://ipomex3.ipomex.org.mx/ipo3/lgt/portal/3.web" TargetMode="Externa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pomex3.ipomex.org.mx/ipo3/lgt/portal/3.web"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gob.mx/sedena/documentos/expedicion-de-una-licencia-oficial-colectiva" TargetMode="Externa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hyperlink" Target="http://consultatucedula.mx/"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omex.org.mx/ipomex/"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ipomex.org.mx/ipomex/" TargetMode="External"/><Relationship Id="rId49" Type="http://schemas.openxmlformats.org/officeDocument/2006/relationships/hyperlink" Target="https://ipomex3.ipomex.org.mx/ipo3/lgt/indice/ATLACOMULCO/art_92_xxxii.web?token" TargetMode="Externa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hyperlink" Target="https://ipomex3.ipomex.org.mx/ipo3/lgt/portal/3.web" TargetMode="External"/><Relationship Id="rId66" Type="http://schemas.openxmlformats.org/officeDocument/2006/relationships/image" Target="media/image50.png"/><Relationship Id="rId87" Type="http://schemas.openxmlformats.org/officeDocument/2006/relationships/image" Target="media/image70.pn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hyperlink" Target="https://ipomex.org.mx/ipomex/" TargetMode="External"/><Relationship Id="rId30" Type="http://schemas.openxmlformats.org/officeDocument/2006/relationships/image" Target="media/image20.png"/><Relationship Id="rId35" Type="http://schemas.openxmlformats.org/officeDocument/2006/relationships/hyperlink" Target="https://ipomex.org.mx/ipomex/" TargetMode="External"/><Relationship Id="rId56" Type="http://schemas.openxmlformats.org/officeDocument/2006/relationships/image" Target="media/image40.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yperlink" Target="https://ipomex.org.mx/ipomex/" TargetMode="External"/><Relationship Id="rId72" Type="http://schemas.openxmlformats.org/officeDocument/2006/relationships/image" Target="media/image55.png"/><Relationship Id="rId93" Type="http://schemas.openxmlformats.org/officeDocument/2006/relationships/footer" Target="foot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4.png"/></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uCg8y6a+vWa+pqWZ79LfyMpk2Q==">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44179</Words>
  <Characters>239012</Characters>
  <Application>Microsoft Office Word</Application>
  <DocSecurity>0</DocSecurity>
  <Lines>5432</Lines>
  <Paragraphs>1423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2025-09-26T17:43:00Z</cp:lastPrinted>
  <dcterms:created xsi:type="dcterms:W3CDTF">2025-10-07T16:40:00Z</dcterms:created>
  <dcterms:modified xsi:type="dcterms:W3CDTF">2025-10-07T16:40:00Z</dcterms:modified>
</cp:coreProperties>
</file>