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3A91" w14:textId="77777777" w:rsidR="00544660" w:rsidRDefault="00544660" w:rsidP="009950AD">
      <w:pPr>
        <w:pStyle w:val="NormalINFOEM"/>
      </w:pPr>
    </w:p>
    <w:p w14:paraId="49AF2C0C" w14:textId="59DAAD09"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103401">
        <w:t>veintiséis</w:t>
      </w:r>
      <w:r w:rsidR="000962AC">
        <w:t xml:space="preserve"> de </w:t>
      </w:r>
      <w:r w:rsidR="00FF3E42">
        <w:t>febrero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067845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w:t>
      </w:r>
      <w:bookmarkStart w:id="0" w:name="_GoBack"/>
      <w:bookmarkEnd w:id="0"/>
      <w:r w:rsidRPr="70652167">
        <w:rPr>
          <w:rFonts w:eastAsia="Palatino Linotype" w:cs="Palatino Linotype"/>
          <w:color w:val="000000" w:themeColor="text1"/>
          <w:lang w:val="es-ES"/>
        </w:rPr>
        <w:t xml:space="preserve">sión número </w:t>
      </w:r>
      <w:r w:rsidR="00544660">
        <w:rPr>
          <w:rFonts w:eastAsia="Palatino Linotype" w:cs="Palatino Linotype"/>
          <w:b/>
          <w:bCs/>
          <w:color w:val="000000" w:themeColor="text1"/>
          <w:lang w:val="es-ES"/>
        </w:rPr>
        <w:t>00425/INFOEM/IP/RR/2025</w:t>
      </w:r>
      <w:r w:rsidRPr="70652167">
        <w:rPr>
          <w:rFonts w:eastAsia="Palatino Linotype" w:cs="Palatino Linotype"/>
          <w:color w:val="000000" w:themeColor="text1"/>
          <w:lang w:val="es-ES"/>
        </w:rPr>
        <w:t xml:space="preserve">, interpuesto por </w:t>
      </w:r>
      <w:r w:rsidR="00A14D2B">
        <w:rPr>
          <w:rFonts w:eastAsia="Palatino Linotype" w:cs="Palatino Linotype"/>
          <w:b/>
          <w:bCs/>
          <w:color w:val="000000" w:themeColor="text1"/>
          <w:lang w:val="es-ES"/>
        </w:rPr>
        <w:t>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544660">
        <w:rPr>
          <w:rFonts w:eastAsia="Palatino Linotype" w:cs="Palatino Linotype"/>
          <w:b/>
          <w:bCs/>
          <w:color w:val="000000" w:themeColor="text1"/>
          <w:lang w:val="es-ES"/>
        </w:rPr>
        <w:t>Sistema Municipal para el Desarrollo Integral de la Familia de Toluca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6F951C18"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544660">
        <w:rPr>
          <w:rFonts w:eastAsia="Palatino Linotype" w:cs="Palatino Linotype"/>
          <w:color w:val="000000"/>
          <w:szCs w:val="24"/>
        </w:rPr>
        <w:t>diecisiete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544660">
        <w:rPr>
          <w:rFonts w:eastAsia="Palatino Linotype" w:cs="Palatino Linotype"/>
          <w:b/>
          <w:bCs/>
          <w:color w:val="000000"/>
          <w:szCs w:val="24"/>
        </w:rPr>
        <w:t>00034/DIFTOLUCA/IP/2025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5C81299" w:rsidR="00A970D5" w:rsidRPr="006922F5" w:rsidRDefault="70652167" w:rsidP="009950AD">
      <w:pPr>
        <w:pStyle w:val="Fundamentos"/>
      </w:pPr>
      <w:r w:rsidRPr="70652167">
        <w:rPr>
          <w:lang w:val="es-ES"/>
        </w:rPr>
        <w:t>«</w:t>
      </w:r>
      <w:r w:rsidR="00544660" w:rsidRPr="00544660">
        <w:rPr>
          <w:lang w:val="es-ES"/>
        </w:rPr>
        <w:t xml:space="preserve">PIDO DEL DIF TOLUCA, LAS CUENTAS, CORTES DE CAJA, AUDITORIAS, O REVISIONES, DE LOS INGRESOS POR EL ESTACIONAMIENTO DEL PARQUE COLOSIO Y DEMAS SERVICIOS QUE SE LLEVAN A </w:t>
      </w:r>
      <w:proofErr w:type="spellStart"/>
      <w:r w:rsidR="00544660" w:rsidRPr="00544660">
        <w:rPr>
          <w:lang w:val="es-ES"/>
        </w:rPr>
        <w:t>A</w:t>
      </w:r>
      <w:proofErr w:type="spellEnd"/>
      <w:r w:rsidR="00544660" w:rsidRPr="00544660">
        <w:rPr>
          <w:lang w:val="es-ES"/>
        </w:rPr>
        <w:t xml:space="preserve"> CABO EN ESTE INMUEBLE, DE LOS AÑOS 2022, 2023 Y 2024, ASI COMO SABER CADA CUANTO ENTREGAN CUENTAS O COMO Y A DONDE SE DEPOSITAN ESTAS ENTRADAS DE RECURSO Y PARA QUE SE DESTINA, EN QUE SE GASTARON, EN LOS AÑOS </w:t>
      </w:r>
      <w:r w:rsidR="00544660" w:rsidRPr="00544660">
        <w:rPr>
          <w:lang w:val="es-ES"/>
        </w:rPr>
        <w:lastRenderedPageBreak/>
        <w:t>MENCIONADOS Y LOS DOCUMENTOS CON LOS QUE SE ACREDITE COMO FUERON UTILIZADOS ESTOS RECURSOS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1EA11BC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4A5EE6">
        <w:rPr>
          <w:rFonts w:eastAsia="Palatino Linotype" w:cs="Palatino Linotype"/>
          <w:color w:val="000000"/>
          <w:szCs w:val="24"/>
        </w:rPr>
        <w:t>veinti</w:t>
      </w:r>
      <w:r w:rsidR="00544660">
        <w:rPr>
          <w:rFonts w:eastAsia="Palatino Linotype" w:cs="Palatino Linotype"/>
          <w:color w:val="000000"/>
          <w:szCs w:val="24"/>
        </w:rPr>
        <w:t>nueve</w:t>
      </w:r>
      <w:r w:rsidR="004A5EE6">
        <w:rPr>
          <w:rFonts w:eastAsia="Palatino Linotype" w:cs="Palatino Linotype"/>
          <w:color w:val="000000"/>
          <w:szCs w:val="24"/>
        </w:rPr>
        <w:t xml:space="preserve"> de enero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5723656" w14:textId="77777777" w:rsidR="00544660" w:rsidRDefault="23740614" w:rsidP="00544660">
      <w:pPr>
        <w:pStyle w:val="Fundamentos"/>
        <w:rPr>
          <w:lang w:val="es-ES"/>
        </w:rPr>
      </w:pPr>
      <w:r w:rsidRPr="23740614">
        <w:rPr>
          <w:lang w:val="es-ES"/>
        </w:rPr>
        <w:t>«</w:t>
      </w:r>
      <w:r w:rsidR="00544660" w:rsidRPr="00544660">
        <w:rPr>
          <w:lang w:val="es-ES"/>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7DAE31E6" w14:textId="77777777" w:rsidR="00544660" w:rsidRPr="00544660" w:rsidRDefault="00544660" w:rsidP="00544660">
      <w:pPr>
        <w:pStyle w:val="Fundamentos"/>
        <w:rPr>
          <w:lang w:val="es-ES"/>
        </w:rPr>
      </w:pPr>
    </w:p>
    <w:p w14:paraId="699B686B" w14:textId="77777777" w:rsidR="00544660" w:rsidRPr="00544660" w:rsidRDefault="00544660" w:rsidP="00544660">
      <w:pPr>
        <w:pStyle w:val="Fundamentos"/>
        <w:rPr>
          <w:lang w:val="es-ES"/>
        </w:rPr>
      </w:pPr>
      <w:r w:rsidRPr="00544660">
        <w:rPr>
          <w:lang w:val="es-ES"/>
        </w:rPr>
        <w:t>ATENTAMENTE</w:t>
      </w:r>
    </w:p>
    <w:p w14:paraId="3FE4A9EF" w14:textId="0A01AF49" w:rsidR="00A970D5" w:rsidRPr="00404754" w:rsidRDefault="00544660" w:rsidP="00544660">
      <w:pPr>
        <w:pStyle w:val="Fundamentos"/>
        <w:rPr>
          <w:lang w:val="es-MX"/>
        </w:rPr>
      </w:pPr>
      <w:r w:rsidRPr="00544660">
        <w:rPr>
          <w:lang w:val="es-ES"/>
        </w:rPr>
        <w:t>Lic. Isaura Ríos Valdés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60226A6"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544660">
        <w:rPr>
          <w:rFonts w:eastAsia="Palatino Linotype" w:cs="Palatino Linotype"/>
          <w:color w:val="000000" w:themeColor="text1"/>
          <w:lang w:val="es-ES"/>
        </w:rPr>
        <w:t>los</w:t>
      </w:r>
      <w:r w:rsidR="000D08B6">
        <w:rPr>
          <w:rFonts w:eastAsia="Palatino Linotype" w:cs="Palatino Linotype"/>
          <w:color w:val="000000" w:themeColor="text1"/>
          <w:lang w:val="es-ES"/>
        </w:rPr>
        <w:t xml:space="preserve"> documento</w:t>
      </w:r>
      <w:r w:rsidR="00544660">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544660">
        <w:rPr>
          <w:rFonts w:eastAsia="Palatino Linotype" w:cs="Palatino Linotype"/>
          <w:color w:val="000000" w:themeColor="text1"/>
          <w:lang w:val="es-ES"/>
        </w:rPr>
        <w:t>s</w:t>
      </w:r>
      <w:r w:rsidR="00A63CD7">
        <w:rPr>
          <w:rFonts w:eastAsia="Palatino Linotype" w:cs="Palatino Linotype"/>
          <w:color w:val="000000" w:themeColor="text1"/>
          <w:lang w:val="es-ES"/>
        </w:rPr>
        <w:t xml:space="preserve"> </w:t>
      </w:r>
      <w:r w:rsidR="00544660" w:rsidRPr="70652167">
        <w:rPr>
          <w:rFonts w:eastAsia="Palatino Linotype" w:cs="Palatino Linotype"/>
          <w:b/>
          <w:bCs/>
          <w:color w:val="000000" w:themeColor="text1"/>
          <w:lang w:val="es-ES"/>
        </w:rPr>
        <w:t>«</w:t>
      </w:r>
      <w:r w:rsidR="00544660" w:rsidRPr="00544660">
        <w:rPr>
          <w:rFonts w:eastAsia="Palatino Linotype" w:cs="Palatino Linotype"/>
          <w:b/>
          <w:bCs/>
          <w:color w:val="000000" w:themeColor="text1"/>
          <w:lang w:val="es-ES"/>
        </w:rPr>
        <w:t>RESPUESTA UIPPE 034-2025.pdf</w:t>
      </w:r>
      <w:r w:rsidR="00544660" w:rsidRPr="70652167">
        <w:rPr>
          <w:rFonts w:eastAsia="Palatino Linotype" w:cs="Palatino Linotype"/>
          <w:b/>
          <w:bCs/>
          <w:color w:val="000000" w:themeColor="text1"/>
          <w:lang w:val="es-ES"/>
        </w:rPr>
        <w:t>»</w:t>
      </w:r>
      <w:r w:rsidR="00544660">
        <w:rPr>
          <w:rFonts w:eastAsia="Palatino Linotype" w:cs="Palatino Linotype"/>
          <w:color w:val="000000" w:themeColor="text1"/>
          <w:lang w:val="es-ES"/>
        </w:rPr>
        <w:t xml:space="preserve"> y</w:t>
      </w:r>
      <w:r w:rsidR="00544660" w:rsidRPr="7065216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544660" w:rsidRPr="00544660">
        <w:rPr>
          <w:rFonts w:eastAsia="Palatino Linotype" w:cs="Palatino Linotype"/>
          <w:b/>
          <w:bCs/>
          <w:color w:val="000000" w:themeColor="text1"/>
          <w:lang w:val="es-ES"/>
        </w:rPr>
        <w:t>RESPUESTA SPH 034-2025.pdf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DFF1655"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544660">
        <w:rPr>
          <w:rFonts w:eastAsia="Palatino Linotype" w:cs="Palatino Linotype"/>
          <w:color w:val="000000"/>
          <w:szCs w:val="24"/>
        </w:rPr>
        <w:t>treinta y uno</w:t>
      </w:r>
      <w:r w:rsidR="00DE2889">
        <w:rPr>
          <w:rFonts w:eastAsia="Palatino Linotype" w:cs="Palatino Linotype"/>
          <w:color w:val="000000"/>
          <w:szCs w:val="24"/>
        </w:rPr>
        <w:t xml:space="preserve"> de enero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544660">
        <w:rPr>
          <w:rFonts w:eastAsia="Palatino Linotype" w:cs="Palatino Linotype"/>
          <w:b/>
          <w:color w:val="000000"/>
          <w:szCs w:val="24"/>
        </w:rPr>
        <w:t>00425/INFOEM/IP/RR/2025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3AF4ABD" w:rsidR="00A970D5" w:rsidRPr="006922F5" w:rsidRDefault="5C35490E" w:rsidP="5C35490E">
      <w:pPr>
        <w:pStyle w:val="Fundamentos"/>
        <w:rPr>
          <w:b/>
          <w:bCs/>
          <w:lang w:val="es-ES"/>
        </w:rPr>
      </w:pPr>
      <w:r w:rsidRPr="5C35490E">
        <w:rPr>
          <w:lang w:val="es-ES"/>
        </w:rPr>
        <w:t>«</w:t>
      </w:r>
      <w:r w:rsidR="00544660" w:rsidRPr="00544660">
        <w:rPr>
          <w:lang w:val="es-ES"/>
        </w:rPr>
        <w:t xml:space="preserve">la respuesta del director de </w:t>
      </w:r>
      <w:proofErr w:type="spellStart"/>
      <w:r w:rsidR="00544660" w:rsidRPr="00544660">
        <w:rPr>
          <w:lang w:val="es-ES"/>
        </w:rPr>
        <w:t>administracion</w:t>
      </w:r>
      <w:proofErr w:type="spellEnd"/>
      <w:r w:rsidR="00544660" w:rsidRPr="00544660">
        <w:rPr>
          <w:lang w:val="es-ES"/>
        </w:rPr>
        <w:t xml:space="preserve"> mediante oficio 200B10900/69/2025 de fecha 24 de enero de 2025</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7C2A977" w:rsidR="00300EA0" w:rsidRPr="006922F5" w:rsidRDefault="00300EA0" w:rsidP="00300EA0">
      <w:pPr>
        <w:pStyle w:val="Fundamentos"/>
        <w:rPr>
          <w:b/>
          <w:bCs/>
          <w:lang w:val="es-ES"/>
        </w:rPr>
      </w:pPr>
      <w:r w:rsidRPr="5C35490E">
        <w:rPr>
          <w:lang w:val="es-ES"/>
        </w:rPr>
        <w:t>«</w:t>
      </w:r>
      <w:r w:rsidR="00544660" w:rsidRPr="00544660">
        <w:rPr>
          <w:lang w:val="es-ES"/>
        </w:rPr>
        <w:t xml:space="preserve">no </w:t>
      </w:r>
      <w:proofErr w:type="spellStart"/>
      <w:r w:rsidR="00544660" w:rsidRPr="00544660">
        <w:rPr>
          <w:lang w:val="es-ES"/>
        </w:rPr>
        <w:t>entrehga</w:t>
      </w:r>
      <w:proofErr w:type="spellEnd"/>
      <w:r w:rsidR="00544660" w:rsidRPr="00544660">
        <w:rPr>
          <w:lang w:val="es-ES"/>
        </w:rPr>
        <w:t xml:space="preserve"> la totalidad de la </w:t>
      </w:r>
      <w:proofErr w:type="spellStart"/>
      <w:r w:rsidR="00544660" w:rsidRPr="00544660">
        <w:rPr>
          <w:lang w:val="es-ES"/>
        </w:rPr>
        <w:t>informacion</w:t>
      </w:r>
      <w:proofErr w:type="spellEnd"/>
      <w:r w:rsidR="00544660" w:rsidRPr="00544660">
        <w:rPr>
          <w:lang w:val="es-ES"/>
        </w:rPr>
        <w:t xml:space="preserve"> y </w:t>
      </w:r>
      <w:proofErr w:type="spellStart"/>
      <w:r w:rsidR="00544660" w:rsidRPr="00544660">
        <w:rPr>
          <w:lang w:val="es-ES"/>
        </w:rPr>
        <w:t>documentacion</w:t>
      </w:r>
      <w:proofErr w:type="spellEnd"/>
      <w:r w:rsidR="00544660" w:rsidRPr="00544660">
        <w:rPr>
          <w:lang w:val="es-ES"/>
        </w:rPr>
        <w:t xml:space="preserve"> solicitada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6087453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544660">
        <w:rPr>
          <w:rFonts w:eastAsia="Palatino Linotype" w:cs="Palatino Linotype"/>
          <w:color w:val="000000" w:themeColor="text1"/>
          <w:lang w:val="es-ES"/>
        </w:rPr>
        <w:t>seis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646749C7"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002728C9">
        <w:rPr>
          <w:rFonts w:eastAsia="Palatino Linotype" w:cs="Palatino Linotype"/>
          <w:color w:val="000000" w:themeColor="text1"/>
          <w:lang w:val="es-ES"/>
        </w:rPr>
        <w:t xml:space="preserve">Durante la etapa de instrucción, se observa que en fecha </w:t>
      </w:r>
      <w:r w:rsidR="002728C9" w:rsidRPr="002728C9">
        <w:rPr>
          <w:rFonts w:eastAsia="Palatino Linotype" w:cs="Palatino Linotype"/>
          <w:color w:val="000000" w:themeColor="text1"/>
          <w:lang w:val="es-ES"/>
        </w:rPr>
        <w:t>dieci</w:t>
      </w:r>
      <w:r w:rsidR="005956A6" w:rsidRPr="002728C9">
        <w:rPr>
          <w:rFonts w:eastAsia="Palatino Linotype" w:cs="Palatino Linotype"/>
          <w:color w:val="000000" w:themeColor="text1"/>
          <w:lang w:val="es-ES"/>
        </w:rPr>
        <w:t>siete de febrero</w:t>
      </w:r>
      <w:r w:rsidRPr="002728C9">
        <w:rPr>
          <w:rFonts w:eastAsia="Palatino Linotype" w:cs="Palatino Linotype"/>
          <w:color w:val="000000" w:themeColor="text1"/>
          <w:lang w:val="es-ES"/>
        </w:rPr>
        <w:t xml:space="preserve"> de dos mil veinticinco, el Sujeto Obligado rindió su Informe Justificado, consistente en el documento denominado </w:t>
      </w:r>
      <w:r w:rsidR="002728C9" w:rsidRPr="002728C9">
        <w:rPr>
          <w:rFonts w:eastAsia="Palatino Linotype" w:cs="Palatino Linotype"/>
          <w:b/>
          <w:bCs/>
          <w:color w:val="000000" w:themeColor="text1"/>
          <w:lang w:val="es-ES"/>
        </w:rPr>
        <w:t>«Informes Justificados RR425 S 034</w:t>
      </w:r>
      <w:r w:rsidRPr="002728C9">
        <w:rPr>
          <w:rFonts w:eastAsia="Palatino Linotype" w:cs="Palatino Linotype"/>
          <w:b/>
          <w:bCs/>
          <w:color w:val="000000" w:themeColor="text1"/>
          <w:lang w:val="es-ES"/>
        </w:rPr>
        <w:t>.pdf»</w:t>
      </w:r>
      <w:r w:rsidRPr="002728C9">
        <w:rPr>
          <w:rFonts w:eastAsia="Palatino Linotype" w:cs="Palatino Linotype"/>
          <w:color w:val="000000" w:themeColor="text1"/>
          <w:lang w:val="es-ES"/>
        </w:rPr>
        <w:t xml:space="preserve">, el cual fue puesto a la vista del Recurrente mediante acuerdo de fecha </w:t>
      </w:r>
      <w:r w:rsidR="002728C9" w:rsidRPr="002728C9">
        <w:rPr>
          <w:rFonts w:eastAsia="Palatino Linotype" w:cs="Palatino Linotype"/>
          <w:color w:val="000000" w:themeColor="text1"/>
          <w:lang w:val="es-ES"/>
        </w:rPr>
        <w:t>dieciocho</w:t>
      </w:r>
      <w:r w:rsidR="005956A6" w:rsidRPr="002728C9">
        <w:rPr>
          <w:rFonts w:eastAsia="Palatino Linotype" w:cs="Palatino Linotype"/>
          <w:color w:val="000000" w:themeColor="text1"/>
          <w:lang w:val="es-ES"/>
        </w:rPr>
        <w:t xml:space="preserve"> de febrero</w:t>
      </w:r>
      <w:r w:rsidRPr="002728C9">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w:t>
      </w:r>
      <w:r w:rsidRPr="002728C9">
        <w:rPr>
          <w:rFonts w:eastAsia="Palatino Linotype" w:cs="Palatino Linotype"/>
          <w:bCs/>
          <w:color w:val="000000" w:themeColor="text1"/>
          <w:lang w:val="es-ES"/>
        </w:rPr>
        <w:t>el</w:t>
      </w:r>
      <w:r w:rsidRPr="002728C9">
        <w:rPr>
          <w:rFonts w:eastAsia="Palatino Linotype" w:cs="Palatino Linotype"/>
          <w:color w:val="000000" w:themeColor="text1"/>
          <w:lang w:val="es-ES"/>
        </w:rPr>
        <w:t xml:space="preserve"> Recurrente no emitió manifestaciones, vertió alegatos ni presentó pruebas que a su derecho conviniera; así </w:t>
      </w:r>
      <w:r w:rsidRPr="002728C9">
        <w:rPr>
          <w:rFonts w:eastAsia="Palatino Linotype" w:cs="Palatino Linotype"/>
          <w:color w:val="000000" w:themeColor="text1"/>
          <w:lang w:val="es-ES"/>
        </w:rPr>
        <w:lastRenderedPageBreak/>
        <w:t>como tampoco se pronunció respecto del Informe Justificado. El contenido del documento referido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187CDCD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728C9">
        <w:rPr>
          <w:rFonts w:eastAsia="Palatino Linotype" w:cs="Palatino Linotype"/>
          <w:color w:val="000000"/>
          <w:szCs w:val="24"/>
        </w:rPr>
        <w:t>veinticuatro</w:t>
      </w:r>
      <w:r w:rsidR="00544660">
        <w:rPr>
          <w:rFonts w:eastAsia="Palatino Linotype" w:cs="Palatino Linotype"/>
          <w:color w:val="000000"/>
          <w:szCs w:val="24"/>
        </w:rPr>
        <w:t xml:space="preserve"> de febrero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0427980B" w:rsidR="00454915" w:rsidRPr="006922F5" w:rsidRDefault="00380151"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w:t>
      </w:r>
      <w:r w:rsidRPr="44E9108F">
        <w:rPr>
          <w:rFonts w:eastAsia="Palatino Linotype" w:cs="Palatino Linotype"/>
          <w:color w:val="000000"/>
          <w:lang w:val="es-ES"/>
        </w:rPr>
        <w:lastRenderedPageBreak/>
        <w:t>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75FBE701" w:rsidR="00454915" w:rsidRPr="006922F5" w:rsidRDefault="00380151" w:rsidP="00454915">
      <w:pPr>
        <w:pStyle w:val="Ttulo2"/>
        <w:rPr>
          <w:rFonts w:eastAsia="Palatino Linotype"/>
        </w:rPr>
      </w:pPr>
      <w:r>
        <w:rPr>
          <w:rFonts w:eastAsia="Palatino Linotype"/>
        </w:rPr>
        <w:lastRenderedPageBreak/>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1AC45B85" w14:textId="77777777" w:rsidR="00707F22"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74F3E">
        <w:rPr>
          <w:rFonts w:eastAsiaTheme="minorEastAsia" w:cstheme="minorBidi"/>
          <w:lang w:val="es-ES" w:eastAsia="en-US"/>
        </w:rPr>
        <w:t xml:space="preserve">, respecto de los ingresos recaudados </w:t>
      </w:r>
      <w:r w:rsidR="00707F22">
        <w:rPr>
          <w:rFonts w:eastAsiaTheme="minorEastAsia" w:cstheme="minorBidi"/>
          <w:lang w:val="es-ES" w:eastAsia="en-US"/>
        </w:rPr>
        <w:t xml:space="preserve">en los años 2022, 2023 y 2024 </w:t>
      </w:r>
      <w:r w:rsidR="00D74F3E">
        <w:rPr>
          <w:rFonts w:eastAsiaTheme="minorEastAsia" w:cstheme="minorBidi"/>
          <w:lang w:val="es-ES" w:eastAsia="en-US"/>
        </w:rPr>
        <w:t>por los servicios prestados en</w:t>
      </w:r>
      <w:r w:rsidR="00707F22">
        <w:rPr>
          <w:rFonts w:eastAsiaTheme="minorEastAsia" w:cstheme="minorBidi"/>
          <w:lang w:val="es-ES" w:eastAsia="en-US"/>
        </w:rPr>
        <w:t xml:space="preserve"> el Parque Colosio, entre ellos el de estacionamiento, se le informe lo siguiente:</w:t>
      </w:r>
    </w:p>
    <w:p w14:paraId="305155E2" w14:textId="77777777" w:rsidR="00707F22" w:rsidRDefault="00707F22" w:rsidP="00D31CA9">
      <w:pPr>
        <w:rPr>
          <w:rFonts w:eastAsiaTheme="minorEastAsia" w:cstheme="minorBidi"/>
          <w:lang w:val="es-ES" w:eastAsia="en-US"/>
        </w:rPr>
      </w:pPr>
    </w:p>
    <w:p w14:paraId="18E66E97" w14:textId="26E4AE9E" w:rsidR="00707F22" w:rsidRPr="00707F22" w:rsidRDefault="00707F22" w:rsidP="00707F22">
      <w:pPr>
        <w:pStyle w:val="Prrafodelista"/>
        <w:numPr>
          <w:ilvl w:val="0"/>
          <w:numId w:val="58"/>
        </w:numPr>
        <w:rPr>
          <w:rFonts w:eastAsiaTheme="minorEastAsia" w:cstheme="minorBidi"/>
          <w:lang w:eastAsia="en-US"/>
        </w:rPr>
      </w:pPr>
      <w:r w:rsidRPr="00707F22">
        <w:rPr>
          <w:rFonts w:eastAsiaTheme="minorEastAsia" w:cstheme="minorBidi"/>
          <w:lang w:eastAsia="en-US"/>
        </w:rPr>
        <w:t>Las cuentas, cortes de caja, auditorías o revisiones.</w:t>
      </w:r>
    </w:p>
    <w:p w14:paraId="6FC3A652" w14:textId="63C00C07" w:rsidR="00707F22" w:rsidRPr="00707F22" w:rsidRDefault="00707F22" w:rsidP="00707F22">
      <w:pPr>
        <w:pStyle w:val="Prrafodelista"/>
        <w:numPr>
          <w:ilvl w:val="0"/>
          <w:numId w:val="58"/>
        </w:numPr>
        <w:rPr>
          <w:rFonts w:eastAsiaTheme="minorEastAsia" w:cstheme="minorBidi"/>
          <w:lang w:eastAsia="en-US"/>
        </w:rPr>
      </w:pPr>
      <w:r w:rsidRPr="00707F22">
        <w:rPr>
          <w:rFonts w:eastAsiaTheme="minorEastAsia" w:cstheme="minorBidi"/>
          <w:lang w:eastAsia="en-US"/>
        </w:rPr>
        <w:t>Saber cada cuanto entregan cuentas</w:t>
      </w:r>
      <w:r w:rsidR="00AB7026">
        <w:rPr>
          <w:rFonts w:eastAsiaTheme="minorEastAsia" w:cstheme="minorBidi"/>
          <w:lang w:eastAsia="en-US"/>
        </w:rPr>
        <w:t>.</w:t>
      </w:r>
    </w:p>
    <w:p w14:paraId="7E8C847D" w14:textId="64E5ECF3" w:rsidR="00707F22" w:rsidRPr="00707F22" w:rsidRDefault="00707F22" w:rsidP="00707F22">
      <w:pPr>
        <w:pStyle w:val="Prrafodelista"/>
        <w:numPr>
          <w:ilvl w:val="0"/>
          <w:numId w:val="58"/>
        </w:numPr>
        <w:rPr>
          <w:rFonts w:eastAsiaTheme="minorEastAsia" w:cstheme="minorBidi"/>
          <w:lang w:eastAsia="en-US"/>
        </w:rPr>
      </w:pPr>
      <w:r w:rsidRPr="00707F22">
        <w:rPr>
          <w:rFonts w:eastAsiaTheme="minorEastAsia" w:cstheme="minorBidi"/>
          <w:lang w:eastAsia="en-US"/>
        </w:rPr>
        <w:t>Cómo y en dónde se depositan estas entradas de recurso</w:t>
      </w:r>
      <w:r w:rsidR="00AB7026">
        <w:rPr>
          <w:rFonts w:eastAsiaTheme="minorEastAsia" w:cstheme="minorBidi"/>
          <w:lang w:eastAsia="en-US"/>
        </w:rPr>
        <w:t>.</w:t>
      </w:r>
    </w:p>
    <w:p w14:paraId="5B2D45E9" w14:textId="0626E8C5" w:rsidR="00707F22" w:rsidRPr="00707F22" w:rsidRDefault="00707F22" w:rsidP="00707F22">
      <w:pPr>
        <w:pStyle w:val="Prrafodelista"/>
        <w:numPr>
          <w:ilvl w:val="0"/>
          <w:numId w:val="58"/>
        </w:numPr>
        <w:rPr>
          <w:rFonts w:eastAsiaTheme="minorEastAsia" w:cstheme="minorBidi"/>
          <w:lang w:eastAsia="en-US"/>
        </w:rPr>
      </w:pPr>
      <w:r w:rsidRPr="00707F22">
        <w:rPr>
          <w:rFonts w:eastAsiaTheme="minorEastAsia" w:cstheme="minorBidi"/>
          <w:lang w:eastAsia="en-US"/>
        </w:rPr>
        <w:t>El destino de dichos ingresos.</w:t>
      </w:r>
    </w:p>
    <w:p w14:paraId="72DFD82E" w14:textId="41C2AFFA" w:rsidR="00707F22" w:rsidRPr="00707F22" w:rsidRDefault="00707F22" w:rsidP="00707F22">
      <w:pPr>
        <w:pStyle w:val="Prrafodelista"/>
        <w:numPr>
          <w:ilvl w:val="0"/>
          <w:numId w:val="58"/>
        </w:numPr>
        <w:rPr>
          <w:rFonts w:eastAsiaTheme="minorEastAsia" w:cstheme="minorBidi"/>
          <w:lang w:eastAsia="en-US"/>
        </w:rPr>
      </w:pPr>
      <w:r w:rsidRPr="00707F22">
        <w:rPr>
          <w:rFonts w:eastAsiaTheme="minorEastAsia" w:cstheme="minorBidi"/>
          <w:lang w:eastAsia="en-US"/>
        </w:rPr>
        <w:t>Los documentos con los que se acredite como fueron utilizados estos recursos</w:t>
      </w:r>
      <w:r w:rsidR="00AB7026">
        <w:rPr>
          <w:rFonts w:eastAsiaTheme="minorEastAsia" w:cstheme="minorBidi"/>
          <w:lang w:eastAsia="en-US"/>
        </w:rPr>
        <w:t>.</w:t>
      </w:r>
    </w:p>
    <w:p w14:paraId="3B58835D" w14:textId="77777777" w:rsidR="00707F22" w:rsidRDefault="00707F22" w:rsidP="00D31CA9">
      <w:pPr>
        <w:rPr>
          <w:rFonts w:eastAsiaTheme="minorEastAsia" w:cstheme="minorBidi"/>
          <w:lang w:val="es-ES" w:eastAsia="en-US"/>
        </w:rPr>
      </w:pPr>
    </w:p>
    <w:p w14:paraId="11CEE421" w14:textId="4F5B5439" w:rsidR="00973B9F"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973B9F">
        <w:rPr>
          <w:rFonts w:eastAsia="Palatino Linotype" w:cs="Palatino Linotype"/>
          <w:color w:val="000000"/>
          <w:szCs w:val="24"/>
        </w:rPr>
        <w:t>siguiente documento:</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5637096D" w14:textId="7BF64098" w:rsidR="007F2DBE" w:rsidRPr="007F2DBE" w:rsidRDefault="007F2DBE" w:rsidP="002728C9">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7F2DBE">
        <w:rPr>
          <w:b/>
        </w:rPr>
        <w:lastRenderedPageBreak/>
        <w:t>RESPUESTA UIPPE 034-2025.pdf</w:t>
      </w:r>
      <w:r>
        <w:t>. Oficio 200B10100/151/2025 emitido por el Titular de la Unidad de Información, Planeación, Programación y Evaluación, quien manifestó que se hacía entrega de la respuesta proporcionada por la Dirección de Administración y Tesorería.</w:t>
      </w:r>
    </w:p>
    <w:p w14:paraId="7C306838" w14:textId="60E47726" w:rsidR="007F2DBE" w:rsidRPr="007F2DBE" w:rsidRDefault="007F2DBE" w:rsidP="005216ED">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7F2DBE">
        <w:rPr>
          <w:b/>
        </w:rPr>
        <w:t>RESPUESTA SPH 034-2025.pdf</w:t>
      </w:r>
      <w:r>
        <w:t>.</w:t>
      </w:r>
      <w:r w:rsidRPr="0068394F">
        <w:t xml:space="preserve"> </w:t>
      </w:r>
      <w:r>
        <w:t>Oficio número 200B10900/69/2025 suscrito por el Director de Administración y Tesorería, con el que se proporcionó el siguiente cuadro y se informó que la cuota</w:t>
      </w:r>
      <w:r w:rsidRPr="0068394F">
        <w:t xml:space="preserve">s son </w:t>
      </w:r>
      <w:r>
        <w:t>entregadas dos veces por semana y las entradas del recurso se depositan a la cuenta del SMDIF Toluca; que los recursos obtenidos del Parque Luis Donaldo Colosio son destinados para pagos de luz, telefonía e internet y cualquier otro servicios para el buen funcionamiento de los inmuebles que ocupa el Sujeto Obligado:</w:t>
      </w:r>
    </w:p>
    <w:p w14:paraId="108C24FA" w14:textId="1B04C029" w:rsidR="007F2DBE" w:rsidRDefault="007F2DBE" w:rsidP="007F2DBE">
      <w:pPr>
        <w:pStyle w:val="Prrafodelista"/>
        <w:pBdr>
          <w:top w:val="nil"/>
          <w:left w:val="nil"/>
          <w:bottom w:val="nil"/>
          <w:right w:val="nil"/>
          <w:between w:val="nil"/>
        </w:pBdr>
        <w:contextualSpacing/>
      </w:pPr>
      <w:r w:rsidRPr="0068394F">
        <w:rPr>
          <w:noProof/>
          <w:lang w:val="es-MX" w:eastAsia="es-MX"/>
        </w:rPr>
        <w:drawing>
          <wp:inline distT="0" distB="0" distL="0" distR="0" wp14:anchorId="204C95AD" wp14:editId="3516CAD7">
            <wp:extent cx="5612130" cy="6534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653415"/>
                    </a:xfrm>
                    <a:prstGeom prst="rect">
                      <a:avLst/>
                    </a:prstGeom>
                  </pic:spPr>
                </pic:pic>
              </a:graphicData>
            </a:graphic>
          </wp:inline>
        </w:drawing>
      </w:r>
    </w:p>
    <w:p w14:paraId="5EC0C56B" w14:textId="77777777" w:rsidR="003A4518" w:rsidRDefault="003A4518"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19719AED"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7F2DBE">
        <w:rPr>
          <w:rFonts w:eastAsia="Palatino Linotype" w:cs="Palatino Linotype"/>
          <w:color w:val="000000" w:themeColor="text1"/>
          <w:lang w:val="es-ES"/>
        </w:rPr>
        <w:t xml:space="preserve"> la respuesta del Director de Administración</w:t>
      </w:r>
      <w:r w:rsidR="003526EA">
        <w:rPr>
          <w:rFonts w:eastAsia="Palatino Linotype" w:cs="Palatino Linotype"/>
          <w:color w:val="000000" w:themeColor="text1"/>
          <w:lang w:val="es-ES"/>
        </w:rPr>
        <w:t>; dando como</w:t>
      </w:r>
      <w:r w:rsidR="001C407C">
        <w:rPr>
          <w:rFonts w:eastAsia="Palatino Linotype" w:cs="Palatino Linotype"/>
          <w:color w:val="000000" w:themeColor="text1"/>
          <w:lang w:val="es-ES"/>
        </w:rPr>
        <w:t xml:space="preserve"> razones o motivos de inconformidad que </w:t>
      </w:r>
      <w:r w:rsidR="003526EA">
        <w:rPr>
          <w:rFonts w:eastAsia="Palatino Linotype" w:cs="Palatino Linotype"/>
          <w:color w:val="000000" w:themeColor="text1"/>
          <w:lang w:val="es-ES"/>
        </w:rPr>
        <w:t xml:space="preserve">no </w:t>
      </w:r>
      <w:r w:rsidR="007F2DBE">
        <w:rPr>
          <w:rFonts w:eastAsia="Palatino Linotype" w:cs="Palatino Linotype"/>
          <w:color w:val="000000" w:themeColor="text1"/>
          <w:lang w:val="es-ES"/>
        </w:rPr>
        <w:t>se entregó la totalidad de la información y documentación solicitada.</w:t>
      </w:r>
    </w:p>
    <w:p w14:paraId="4A6500B8" w14:textId="77777777" w:rsidR="008F50E6" w:rsidRDefault="008F50E6" w:rsidP="00A04222"/>
    <w:p w14:paraId="407E17B1" w14:textId="77777777" w:rsidR="00BE576A" w:rsidRPr="002728C9" w:rsidRDefault="00BE576A" w:rsidP="00BE576A">
      <w:pPr>
        <w:pBdr>
          <w:top w:val="nil"/>
          <w:left w:val="nil"/>
          <w:bottom w:val="nil"/>
          <w:right w:val="nil"/>
          <w:between w:val="nil"/>
        </w:pBdr>
        <w:contextualSpacing/>
        <w:rPr>
          <w:rFonts w:eastAsia="Palatino Linotype" w:cs="Palatino Linotype"/>
          <w:color w:val="000000"/>
          <w:szCs w:val="24"/>
        </w:rPr>
      </w:pPr>
      <w:r w:rsidRPr="002728C9">
        <w:rPr>
          <w:rFonts w:eastAsia="Palatino Linotype" w:cs="Palatino Linotype"/>
          <w:color w:val="000000"/>
          <w:szCs w:val="24"/>
        </w:rPr>
        <w:t>Durante la etapa de instrucción, el Sujeto Obligado rindió su Informe Justificado mediante la presentación del siguiente documento:</w:t>
      </w:r>
    </w:p>
    <w:p w14:paraId="405FA569" w14:textId="77777777" w:rsidR="00BE576A" w:rsidRPr="002728C9" w:rsidRDefault="00BE576A" w:rsidP="00BE576A">
      <w:pPr>
        <w:pBdr>
          <w:top w:val="nil"/>
          <w:left w:val="nil"/>
          <w:bottom w:val="nil"/>
          <w:right w:val="nil"/>
          <w:between w:val="nil"/>
        </w:pBdr>
        <w:contextualSpacing/>
        <w:rPr>
          <w:rFonts w:eastAsia="Palatino Linotype" w:cs="Palatino Linotype"/>
          <w:color w:val="000000"/>
          <w:szCs w:val="24"/>
        </w:rPr>
      </w:pPr>
    </w:p>
    <w:p w14:paraId="30598B41" w14:textId="7DBABD9B" w:rsidR="00BE576A" w:rsidRPr="002728C9" w:rsidRDefault="00BE576A" w:rsidP="00BE576A">
      <w:pPr>
        <w:pStyle w:val="Prrafodelista"/>
        <w:numPr>
          <w:ilvl w:val="0"/>
          <w:numId w:val="57"/>
        </w:numPr>
        <w:pBdr>
          <w:top w:val="nil"/>
          <w:left w:val="nil"/>
          <w:bottom w:val="nil"/>
          <w:right w:val="nil"/>
          <w:between w:val="nil"/>
        </w:pBdr>
        <w:contextualSpacing/>
        <w:rPr>
          <w:rFonts w:eastAsia="Palatino Linotype" w:cs="Palatino Linotype"/>
          <w:color w:val="000000"/>
        </w:rPr>
      </w:pPr>
      <w:r w:rsidRPr="002728C9">
        <w:rPr>
          <w:rFonts w:eastAsia="Palatino Linotype" w:cs="Palatino Linotype"/>
          <w:b/>
          <w:bCs/>
          <w:color w:val="000000" w:themeColor="text1"/>
        </w:rPr>
        <w:lastRenderedPageBreak/>
        <w:t>Informe</w:t>
      </w:r>
      <w:r w:rsidR="002728C9" w:rsidRPr="002728C9">
        <w:rPr>
          <w:rFonts w:eastAsia="Palatino Linotype" w:cs="Palatino Linotype"/>
          <w:b/>
          <w:bCs/>
          <w:color w:val="000000" w:themeColor="text1"/>
        </w:rPr>
        <w:t>s</w:t>
      </w:r>
      <w:r w:rsidRPr="002728C9">
        <w:rPr>
          <w:rFonts w:eastAsia="Palatino Linotype" w:cs="Palatino Linotype"/>
          <w:b/>
          <w:bCs/>
          <w:color w:val="000000" w:themeColor="text1"/>
        </w:rPr>
        <w:t xml:space="preserve"> Justifica</w:t>
      </w:r>
      <w:r w:rsidR="002728C9" w:rsidRPr="002728C9">
        <w:rPr>
          <w:rFonts w:eastAsia="Palatino Linotype" w:cs="Palatino Linotype"/>
          <w:b/>
          <w:bCs/>
          <w:color w:val="000000" w:themeColor="text1"/>
        </w:rPr>
        <w:t>dos RR425 S 034</w:t>
      </w:r>
      <w:r w:rsidRPr="002728C9">
        <w:rPr>
          <w:rFonts w:eastAsia="Palatino Linotype" w:cs="Palatino Linotype"/>
          <w:b/>
          <w:bCs/>
          <w:color w:val="000000" w:themeColor="text1"/>
        </w:rPr>
        <w:t>.pdf</w:t>
      </w:r>
      <w:r w:rsidRPr="002728C9">
        <w:rPr>
          <w:rFonts w:eastAsia="Palatino Linotype" w:cs="Palatino Linotype"/>
          <w:bCs/>
          <w:color w:val="000000" w:themeColor="text1"/>
        </w:rPr>
        <w:t xml:space="preserve">. </w:t>
      </w:r>
      <w:r w:rsidR="002728C9" w:rsidRPr="002728C9">
        <w:rPr>
          <w:rFonts w:eastAsia="Palatino Linotype" w:cs="Palatino Linotype"/>
          <w:bCs/>
          <w:color w:val="000000" w:themeColor="text1"/>
        </w:rPr>
        <w:t xml:space="preserve">Oficio número 200B10100/357/2025 suscrito por el Titular de la Unidad de Información, Planeación, Programación y Evaluación, por medio del cual manifestó que se observa que la solicitud está enfocada a la obtención de información del Anteproyecto para el año 2025 y que fue atendida en tiempo y forma mediante el oficio </w:t>
      </w:r>
      <w:r w:rsidR="002728C9" w:rsidRPr="002728C9">
        <w:t>200B10100/151/2025, con el que se satisfizo cada uno de los puntos de la solicitud de forma legible y ordenada; asimismo, refirió que la Dirección de Administración y Tesorería confirmó y ratificó en todos y cada uno de los términos la respuesta a la solicitud inicial.</w:t>
      </w:r>
    </w:p>
    <w:p w14:paraId="76401BD8" w14:textId="77777777" w:rsidR="00BE576A" w:rsidRPr="002728C9" w:rsidRDefault="00BE576A" w:rsidP="00BE576A">
      <w:pPr>
        <w:pBdr>
          <w:top w:val="nil"/>
          <w:left w:val="nil"/>
          <w:bottom w:val="nil"/>
          <w:right w:val="nil"/>
          <w:between w:val="nil"/>
        </w:pBdr>
        <w:contextualSpacing/>
        <w:rPr>
          <w:rFonts w:eastAsia="Palatino Linotype" w:cs="Palatino Linotype"/>
          <w:color w:val="000000"/>
          <w:szCs w:val="24"/>
        </w:rPr>
      </w:pPr>
    </w:p>
    <w:p w14:paraId="14792881"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r w:rsidRPr="002728C9">
        <w:rPr>
          <w:rFonts w:eastAsia="Palatino Linotype" w:cs="Palatino Linotype"/>
          <w:color w:val="000000"/>
          <w:szCs w:val="24"/>
        </w:rPr>
        <w:t>Por su parte, el Recurrente no emitió manifestaciones, vertió alegatos ni presentó pruebas; así como tampoco se pronunció respecto del Informe Justificado.</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60ABB00C"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w:t>
      </w:r>
      <w:r w:rsidR="007F2DBE">
        <w:t>V</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03E0032C" w:rsidR="0090120A" w:rsidRPr="009A41B1" w:rsidRDefault="007F2DBE" w:rsidP="007A5010">
      <w:pPr>
        <w:pStyle w:val="Fundamentos"/>
        <w:rPr>
          <w:lang w:val="es-MX"/>
        </w:rPr>
      </w:pPr>
      <w:r>
        <w:rPr>
          <w:lang w:val="es-MX"/>
        </w:rPr>
        <w:t>[…]</w:t>
      </w:r>
    </w:p>
    <w:p w14:paraId="5C4DD805" w14:textId="255FA7E9" w:rsidR="009A41B1" w:rsidRDefault="007F2DBE" w:rsidP="00392DAC">
      <w:pPr>
        <w:pStyle w:val="Fundamentos"/>
      </w:pPr>
      <w:r>
        <w:rPr>
          <w:b/>
          <w:lang w:val="es-ES"/>
        </w:rPr>
        <w:lastRenderedPageBreak/>
        <w:t>V</w:t>
      </w:r>
      <w:r w:rsidR="00392DAC" w:rsidRPr="00392DAC">
        <w:rPr>
          <w:b/>
          <w:lang w:val="es-ES"/>
        </w:rPr>
        <w:t>.</w:t>
      </w:r>
      <w:r w:rsidR="00392DAC">
        <w:rPr>
          <w:lang w:val="es-ES"/>
        </w:rPr>
        <w:t xml:space="preserve"> </w:t>
      </w:r>
      <w:r w:rsidR="44E9108F" w:rsidRPr="44E9108F">
        <w:rPr>
          <w:lang w:val="es-ES"/>
        </w:rPr>
        <w:t xml:space="preserve">La </w:t>
      </w:r>
      <w:r w:rsidRPr="007F2DBE">
        <w:rPr>
          <w:lang w:val="es-ES"/>
        </w:rPr>
        <w:t>entrega de información incompleta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430369DA" w14:textId="739CD726" w:rsidR="00FF485C" w:rsidRDefault="00FF485C" w:rsidP="006100FC">
      <w:r>
        <w:t xml:space="preserve">De tal forma que se estima conveniente verificar </w:t>
      </w:r>
      <w:r w:rsidR="00376ACB">
        <w:t xml:space="preserve">qué parte de la solicitud quedó colmada con los pronunciamientos del Recurrente y qué puntos no lo fueron, con la finalidad de </w:t>
      </w:r>
      <w:r w:rsidR="00BE379D">
        <w:t>calificar los motivos de inconformidad expresados por el particular</w:t>
      </w:r>
      <w:r w:rsidR="007343AF">
        <w:t>; por tanto, se estima conveniente la elaboración del siguiente cuadro:</w:t>
      </w:r>
    </w:p>
    <w:p w14:paraId="2D272550" w14:textId="77777777" w:rsidR="007343AF" w:rsidRDefault="007343AF" w:rsidP="006100FC"/>
    <w:tbl>
      <w:tblPr>
        <w:tblStyle w:val="Tablaconcuadrcula"/>
        <w:tblW w:w="0" w:type="auto"/>
        <w:tblLayout w:type="fixed"/>
        <w:tblLook w:val="04A0" w:firstRow="1" w:lastRow="0" w:firstColumn="1" w:lastColumn="0" w:noHBand="0" w:noVBand="1"/>
      </w:tblPr>
      <w:tblGrid>
        <w:gridCol w:w="3799"/>
        <w:gridCol w:w="3799"/>
        <w:gridCol w:w="1741"/>
      </w:tblGrid>
      <w:tr w:rsidR="007343AF" w:rsidRPr="0091777E" w14:paraId="0371D97B" w14:textId="77777777" w:rsidTr="002801D0">
        <w:trPr>
          <w:trHeight w:val="83"/>
        </w:trPr>
        <w:tc>
          <w:tcPr>
            <w:tcW w:w="3799" w:type="dxa"/>
            <w:shd w:val="clear" w:color="auto" w:fill="D9D9D9" w:themeFill="background1" w:themeFillShade="D9"/>
            <w:vAlign w:val="center"/>
          </w:tcPr>
          <w:p w14:paraId="5DB5D0DE" w14:textId="29682AEB" w:rsidR="007343AF" w:rsidRPr="0088456B" w:rsidRDefault="0088456B" w:rsidP="00C13638">
            <w:pPr>
              <w:spacing w:line="276" w:lineRule="auto"/>
              <w:jc w:val="center"/>
              <w:rPr>
                <w:b/>
                <w:bCs/>
                <w:sz w:val="20"/>
                <w:szCs w:val="20"/>
              </w:rPr>
            </w:pPr>
            <w:r>
              <w:rPr>
                <w:b/>
                <w:bCs/>
                <w:sz w:val="20"/>
                <w:szCs w:val="20"/>
              </w:rPr>
              <w:t>INFORMACIÓN SOLICITADA</w:t>
            </w:r>
            <w:r w:rsidR="00184A20">
              <w:rPr>
                <w:b/>
                <w:bCs/>
                <w:sz w:val="20"/>
                <w:szCs w:val="20"/>
              </w:rPr>
              <w:t xml:space="preserve"> RELA</w:t>
            </w:r>
            <w:r w:rsidR="007736FE">
              <w:rPr>
                <w:b/>
                <w:bCs/>
                <w:sz w:val="20"/>
                <w:szCs w:val="20"/>
              </w:rPr>
              <w:t>TIVA A LOS INGRESOS DEL PARQUE LUIS DONALDO COLOSIO</w:t>
            </w:r>
          </w:p>
        </w:tc>
        <w:tc>
          <w:tcPr>
            <w:tcW w:w="3799" w:type="dxa"/>
            <w:shd w:val="clear" w:color="auto" w:fill="D9D9D9" w:themeFill="background1" w:themeFillShade="D9"/>
            <w:vAlign w:val="center"/>
          </w:tcPr>
          <w:p w14:paraId="231AB874" w14:textId="7580E59B" w:rsidR="007343AF" w:rsidRPr="0088456B" w:rsidRDefault="0088456B" w:rsidP="00C13638">
            <w:pPr>
              <w:spacing w:line="276" w:lineRule="auto"/>
              <w:jc w:val="center"/>
              <w:rPr>
                <w:b/>
                <w:bCs/>
                <w:sz w:val="20"/>
                <w:szCs w:val="20"/>
              </w:rPr>
            </w:pPr>
            <w:r>
              <w:rPr>
                <w:b/>
                <w:bCs/>
                <w:sz w:val="20"/>
                <w:szCs w:val="20"/>
              </w:rPr>
              <w:t>RESPUESTA</w:t>
            </w:r>
          </w:p>
        </w:tc>
        <w:tc>
          <w:tcPr>
            <w:tcW w:w="1741" w:type="dxa"/>
            <w:shd w:val="clear" w:color="auto" w:fill="D9D9D9" w:themeFill="background1" w:themeFillShade="D9"/>
            <w:vAlign w:val="center"/>
          </w:tcPr>
          <w:p w14:paraId="532311E1" w14:textId="701056AD" w:rsidR="007343AF" w:rsidRPr="0088456B" w:rsidRDefault="0088456B" w:rsidP="00C13638">
            <w:pPr>
              <w:spacing w:line="276" w:lineRule="auto"/>
              <w:jc w:val="center"/>
              <w:rPr>
                <w:b/>
                <w:bCs/>
                <w:sz w:val="20"/>
                <w:szCs w:val="20"/>
              </w:rPr>
            </w:pPr>
            <w:r>
              <w:rPr>
                <w:b/>
                <w:bCs/>
                <w:sz w:val="20"/>
                <w:szCs w:val="20"/>
              </w:rPr>
              <w:t>COLMA</w:t>
            </w:r>
          </w:p>
        </w:tc>
      </w:tr>
      <w:tr w:rsidR="007343AF" w:rsidRPr="0091777E" w14:paraId="7BEC76FE" w14:textId="77777777" w:rsidTr="007736FE">
        <w:tc>
          <w:tcPr>
            <w:tcW w:w="3799" w:type="dxa"/>
            <w:vAlign w:val="center"/>
          </w:tcPr>
          <w:p w14:paraId="41B0F702" w14:textId="13DD5B76" w:rsidR="007343AF" w:rsidRPr="0091777E" w:rsidRDefault="008335F6" w:rsidP="00C13638">
            <w:pPr>
              <w:spacing w:line="276" w:lineRule="auto"/>
              <w:rPr>
                <w:sz w:val="20"/>
                <w:szCs w:val="20"/>
              </w:rPr>
            </w:pPr>
            <w:r>
              <w:rPr>
                <w:sz w:val="20"/>
                <w:szCs w:val="20"/>
              </w:rPr>
              <w:t xml:space="preserve">1. </w:t>
            </w:r>
            <w:r w:rsidR="003C561B">
              <w:rPr>
                <w:sz w:val="20"/>
                <w:szCs w:val="20"/>
              </w:rPr>
              <w:t>Cuentas, cortes de caja, auditorías o revisiones.</w:t>
            </w:r>
          </w:p>
        </w:tc>
        <w:tc>
          <w:tcPr>
            <w:tcW w:w="3799" w:type="dxa"/>
            <w:vAlign w:val="center"/>
          </w:tcPr>
          <w:p w14:paraId="3D00F1D3" w14:textId="14F87871" w:rsidR="007343AF" w:rsidRPr="0091777E" w:rsidRDefault="00696153" w:rsidP="00C13638">
            <w:pPr>
              <w:spacing w:line="276" w:lineRule="auto"/>
              <w:rPr>
                <w:sz w:val="20"/>
                <w:szCs w:val="20"/>
              </w:rPr>
            </w:pPr>
            <w:r>
              <w:rPr>
                <w:sz w:val="20"/>
                <w:szCs w:val="20"/>
              </w:rPr>
              <w:t>No hubo pronunciamiento</w:t>
            </w:r>
          </w:p>
        </w:tc>
        <w:tc>
          <w:tcPr>
            <w:tcW w:w="1741" w:type="dxa"/>
            <w:vAlign w:val="center"/>
          </w:tcPr>
          <w:p w14:paraId="684A0D48" w14:textId="42F60BA2" w:rsidR="007343AF" w:rsidRPr="0091777E" w:rsidRDefault="002801D0" w:rsidP="00C13638">
            <w:pPr>
              <w:spacing w:line="276" w:lineRule="auto"/>
              <w:jc w:val="center"/>
              <w:rPr>
                <w:sz w:val="20"/>
                <w:szCs w:val="20"/>
              </w:rPr>
            </w:pPr>
            <w:r>
              <w:rPr>
                <w:sz w:val="20"/>
                <w:szCs w:val="20"/>
              </w:rPr>
              <w:t>NO</w:t>
            </w:r>
          </w:p>
        </w:tc>
      </w:tr>
      <w:tr w:rsidR="003D3294" w:rsidRPr="0091777E" w14:paraId="57612AD0" w14:textId="77777777" w:rsidTr="007736FE">
        <w:tc>
          <w:tcPr>
            <w:tcW w:w="3799" w:type="dxa"/>
            <w:vAlign w:val="center"/>
          </w:tcPr>
          <w:p w14:paraId="399DE76F" w14:textId="300C1E2A" w:rsidR="003D3294" w:rsidRPr="0091777E" w:rsidRDefault="008335F6" w:rsidP="00C13638">
            <w:pPr>
              <w:spacing w:line="276" w:lineRule="auto"/>
              <w:rPr>
                <w:sz w:val="20"/>
                <w:szCs w:val="20"/>
              </w:rPr>
            </w:pPr>
            <w:r>
              <w:rPr>
                <w:sz w:val="20"/>
                <w:szCs w:val="20"/>
              </w:rPr>
              <w:t xml:space="preserve">2. </w:t>
            </w:r>
            <w:r w:rsidR="003D3294">
              <w:rPr>
                <w:sz w:val="20"/>
                <w:szCs w:val="20"/>
              </w:rPr>
              <w:t>Periodicidad de entrega de cuentas</w:t>
            </w:r>
          </w:p>
        </w:tc>
        <w:tc>
          <w:tcPr>
            <w:tcW w:w="3799" w:type="dxa"/>
            <w:vAlign w:val="center"/>
          </w:tcPr>
          <w:p w14:paraId="79C45C38" w14:textId="3ABE0720" w:rsidR="003D3294" w:rsidRPr="0091777E" w:rsidRDefault="00696153" w:rsidP="00C13638">
            <w:pPr>
              <w:spacing w:line="276" w:lineRule="auto"/>
              <w:rPr>
                <w:sz w:val="20"/>
                <w:szCs w:val="20"/>
              </w:rPr>
            </w:pPr>
            <w:r>
              <w:rPr>
                <w:sz w:val="20"/>
                <w:szCs w:val="20"/>
              </w:rPr>
              <w:t>Se entregan cada dos semanas</w:t>
            </w:r>
          </w:p>
        </w:tc>
        <w:tc>
          <w:tcPr>
            <w:tcW w:w="1741" w:type="dxa"/>
            <w:vAlign w:val="center"/>
          </w:tcPr>
          <w:p w14:paraId="7D12DACF" w14:textId="011B1FE3" w:rsidR="003D3294" w:rsidRPr="0091777E" w:rsidRDefault="002801D0" w:rsidP="00C13638">
            <w:pPr>
              <w:spacing w:line="276" w:lineRule="auto"/>
              <w:jc w:val="center"/>
              <w:rPr>
                <w:sz w:val="20"/>
                <w:szCs w:val="20"/>
              </w:rPr>
            </w:pPr>
            <w:r>
              <w:rPr>
                <w:sz w:val="20"/>
                <w:szCs w:val="20"/>
              </w:rPr>
              <w:t>SÍ</w:t>
            </w:r>
          </w:p>
        </w:tc>
      </w:tr>
      <w:tr w:rsidR="003D3294" w:rsidRPr="0091777E" w14:paraId="061BF501" w14:textId="77777777" w:rsidTr="007736FE">
        <w:tc>
          <w:tcPr>
            <w:tcW w:w="3799" w:type="dxa"/>
            <w:vAlign w:val="center"/>
          </w:tcPr>
          <w:p w14:paraId="45B451E4" w14:textId="384F69C7" w:rsidR="003D3294" w:rsidRPr="0091777E" w:rsidRDefault="008335F6" w:rsidP="00C13638">
            <w:pPr>
              <w:spacing w:line="276" w:lineRule="auto"/>
              <w:rPr>
                <w:sz w:val="20"/>
                <w:szCs w:val="20"/>
              </w:rPr>
            </w:pPr>
            <w:r>
              <w:rPr>
                <w:sz w:val="20"/>
                <w:szCs w:val="20"/>
              </w:rPr>
              <w:t xml:space="preserve">3. </w:t>
            </w:r>
            <w:r w:rsidR="00402996">
              <w:rPr>
                <w:sz w:val="20"/>
                <w:szCs w:val="20"/>
              </w:rPr>
              <w:t>Cómo y en dónde se depositan los ingresos.</w:t>
            </w:r>
          </w:p>
        </w:tc>
        <w:tc>
          <w:tcPr>
            <w:tcW w:w="3799" w:type="dxa"/>
            <w:vAlign w:val="center"/>
          </w:tcPr>
          <w:p w14:paraId="31B679FC" w14:textId="3E4B2758" w:rsidR="003D3294" w:rsidRPr="0091777E" w:rsidRDefault="00696153" w:rsidP="00C13638">
            <w:pPr>
              <w:spacing w:line="276" w:lineRule="auto"/>
              <w:rPr>
                <w:sz w:val="20"/>
                <w:szCs w:val="20"/>
              </w:rPr>
            </w:pPr>
            <w:r>
              <w:rPr>
                <w:sz w:val="20"/>
                <w:szCs w:val="20"/>
              </w:rPr>
              <w:t>Se depositan a la cuenta del Sujeto Obligado</w:t>
            </w:r>
          </w:p>
        </w:tc>
        <w:tc>
          <w:tcPr>
            <w:tcW w:w="1741" w:type="dxa"/>
            <w:vAlign w:val="center"/>
          </w:tcPr>
          <w:p w14:paraId="40729070" w14:textId="7543C6C9" w:rsidR="003D3294" w:rsidRPr="0091777E" w:rsidRDefault="002801D0" w:rsidP="00C13638">
            <w:pPr>
              <w:spacing w:line="276" w:lineRule="auto"/>
              <w:jc w:val="center"/>
              <w:rPr>
                <w:sz w:val="20"/>
                <w:szCs w:val="20"/>
              </w:rPr>
            </w:pPr>
            <w:r>
              <w:rPr>
                <w:sz w:val="20"/>
                <w:szCs w:val="20"/>
              </w:rPr>
              <w:t>SÍ</w:t>
            </w:r>
          </w:p>
        </w:tc>
      </w:tr>
      <w:tr w:rsidR="003D3294" w:rsidRPr="0091777E" w14:paraId="72D56316" w14:textId="77777777" w:rsidTr="007736FE">
        <w:tc>
          <w:tcPr>
            <w:tcW w:w="3799" w:type="dxa"/>
            <w:vAlign w:val="center"/>
          </w:tcPr>
          <w:p w14:paraId="7992D272" w14:textId="19F48ECE" w:rsidR="003D3294" w:rsidRPr="0091777E" w:rsidRDefault="008335F6" w:rsidP="00C13638">
            <w:pPr>
              <w:spacing w:line="276" w:lineRule="auto"/>
              <w:rPr>
                <w:sz w:val="20"/>
                <w:szCs w:val="20"/>
              </w:rPr>
            </w:pPr>
            <w:r>
              <w:rPr>
                <w:sz w:val="20"/>
                <w:szCs w:val="20"/>
              </w:rPr>
              <w:t xml:space="preserve">4. </w:t>
            </w:r>
            <w:r w:rsidR="00402996">
              <w:rPr>
                <w:sz w:val="20"/>
                <w:szCs w:val="20"/>
              </w:rPr>
              <w:t>El destino de los recursos</w:t>
            </w:r>
            <w:r w:rsidR="006A1490">
              <w:rPr>
                <w:sz w:val="20"/>
                <w:szCs w:val="20"/>
              </w:rPr>
              <w:t>.</w:t>
            </w:r>
          </w:p>
        </w:tc>
        <w:tc>
          <w:tcPr>
            <w:tcW w:w="3799" w:type="dxa"/>
            <w:vAlign w:val="center"/>
          </w:tcPr>
          <w:p w14:paraId="10A04A44" w14:textId="41C24B97" w:rsidR="003D3294" w:rsidRPr="0091777E" w:rsidRDefault="00055174" w:rsidP="00C13638">
            <w:pPr>
              <w:spacing w:line="276" w:lineRule="auto"/>
              <w:rPr>
                <w:sz w:val="20"/>
                <w:szCs w:val="20"/>
              </w:rPr>
            </w:pPr>
            <w:r>
              <w:rPr>
                <w:sz w:val="20"/>
                <w:szCs w:val="20"/>
              </w:rPr>
              <w:t xml:space="preserve">Están destinados </w:t>
            </w:r>
            <w:r w:rsidR="00A5600A" w:rsidRPr="00A5600A">
              <w:rPr>
                <w:sz w:val="20"/>
                <w:szCs w:val="20"/>
              </w:rPr>
              <w:t>para pagos de luz, telefonía e internet y cualquier otro servicio para el buen funcionamiento de los inmuebles que ocupa el Sujeto Obligado</w:t>
            </w:r>
          </w:p>
        </w:tc>
        <w:tc>
          <w:tcPr>
            <w:tcW w:w="1741" w:type="dxa"/>
            <w:vAlign w:val="center"/>
          </w:tcPr>
          <w:p w14:paraId="704DC6ED" w14:textId="14B274A1" w:rsidR="003D3294" w:rsidRPr="0091777E" w:rsidRDefault="002801D0" w:rsidP="00C13638">
            <w:pPr>
              <w:spacing w:line="276" w:lineRule="auto"/>
              <w:jc w:val="center"/>
              <w:rPr>
                <w:sz w:val="20"/>
                <w:szCs w:val="20"/>
              </w:rPr>
            </w:pPr>
            <w:r>
              <w:rPr>
                <w:sz w:val="20"/>
                <w:szCs w:val="20"/>
              </w:rPr>
              <w:t>SÍ</w:t>
            </w:r>
          </w:p>
        </w:tc>
      </w:tr>
      <w:tr w:rsidR="003D3294" w:rsidRPr="0091777E" w14:paraId="16721C7E" w14:textId="77777777" w:rsidTr="007736FE">
        <w:tc>
          <w:tcPr>
            <w:tcW w:w="3799" w:type="dxa"/>
            <w:vAlign w:val="center"/>
          </w:tcPr>
          <w:p w14:paraId="7F473FE5" w14:textId="10D202AE" w:rsidR="003D3294" w:rsidRPr="0091777E" w:rsidRDefault="008335F6" w:rsidP="00C13638">
            <w:pPr>
              <w:spacing w:line="276" w:lineRule="auto"/>
              <w:rPr>
                <w:sz w:val="20"/>
                <w:szCs w:val="20"/>
              </w:rPr>
            </w:pPr>
            <w:r>
              <w:rPr>
                <w:sz w:val="20"/>
                <w:szCs w:val="20"/>
              </w:rPr>
              <w:t xml:space="preserve">5. </w:t>
            </w:r>
            <w:r w:rsidR="006A1490">
              <w:rPr>
                <w:sz w:val="20"/>
                <w:szCs w:val="20"/>
              </w:rPr>
              <w:t xml:space="preserve">Los documentos con los que se acredite el </w:t>
            </w:r>
            <w:r w:rsidR="00131721">
              <w:rPr>
                <w:sz w:val="20"/>
                <w:szCs w:val="20"/>
              </w:rPr>
              <w:t>uso de los recursos</w:t>
            </w:r>
          </w:p>
        </w:tc>
        <w:tc>
          <w:tcPr>
            <w:tcW w:w="3799" w:type="dxa"/>
            <w:vAlign w:val="center"/>
          </w:tcPr>
          <w:p w14:paraId="6B6B2C99" w14:textId="02D2CFC4" w:rsidR="003D3294" w:rsidRPr="0091777E" w:rsidRDefault="00A5600A" w:rsidP="00C13638">
            <w:pPr>
              <w:spacing w:line="276" w:lineRule="auto"/>
              <w:rPr>
                <w:sz w:val="20"/>
                <w:szCs w:val="20"/>
              </w:rPr>
            </w:pPr>
            <w:r>
              <w:rPr>
                <w:sz w:val="20"/>
                <w:szCs w:val="20"/>
              </w:rPr>
              <w:t>No hubo pronunciamiento</w:t>
            </w:r>
          </w:p>
        </w:tc>
        <w:tc>
          <w:tcPr>
            <w:tcW w:w="1741" w:type="dxa"/>
            <w:vAlign w:val="center"/>
          </w:tcPr>
          <w:p w14:paraId="099AE5E4" w14:textId="7B3829CE" w:rsidR="003D3294" w:rsidRPr="0091777E" w:rsidRDefault="002801D0" w:rsidP="00C13638">
            <w:pPr>
              <w:spacing w:line="276" w:lineRule="auto"/>
              <w:jc w:val="center"/>
              <w:rPr>
                <w:sz w:val="20"/>
                <w:szCs w:val="20"/>
              </w:rPr>
            </w:pPr>
            <w:r>
              <w:rPr>
                <w:sz w:val="20"/>
                <w:szCs w:val="20"/>
              </w:rPr>
              <w:t>NO</w:t>
            </w:r>
          </w:p>
        </w:tc>
      </w:tr>
    </w:tbl>
    <w:p w14:paraId="12FB94A9" w14:textId="77777777" w:rsidR="007343AF" w:rsidRDefault="007343AF" w:rsidP="006100FC"/>
    <w:p w14:paraId="11F2B32F" w14:textId="77777777" w:rsidR="00D563A4" w:rsidRPr="00D563A4" w:rsidRDefault="00D563A4" w:rsidP="00D563A4">
      <w:pPr>
        <w:pBdr>
          <w:top w:val="nil"/>
          <w:left w:val="nil"/>
          <w:bottom w:val="nil"/>
          <w:right w:val="nil"/>
          <w:between w:val="nil"/>
        </w:pBdr>
        <w:contextualSpacing/>
        <w:rPr>
          <w:highlight w:val="yellow"/>
        </w:rPr>
      </w:pPr>
      <w:r w:rsidRPr="00D563A4">
        <w:rPr>
          <w:highlight w:val="yellow"/>
        </w:rPr>
        <w:t>En ese sentido, se observa que el</w:t>
      </w:r>
      <w:r w:rsidR="00B214BA" w:rsidRPr="00D563A4">
        <w:rPr>
          <w:highlight w:val="yellow"/>
        </w:rPr>
        <w:t xml:space="preserve"> Sujeto Obligado </w:t>
      </w:r>
      <w:r w:rsidRPr="00D563A4">
        <w:rPr>
          <w:highlight w:val="yellow"/>
        </w:rPr>
        <w:t xml:space="preserve">atendió parcialmente la solicitud, al hacer del conocimiento del Recurrente la periodicidad de la entrega de cuentas, cómo y en dónde se depositan los ingresos y el destino de los recursos obtenidos. </w:t>
      </w:r>
    </w:p>
    <w:p w14:paraId="30C79473" w14:textId="77777777" w:rsidR="00D563A4" w:rsidRPr="00D563A4" w:rsidRDefault="00D563A4" w:rsidP="00D563A4">
      <w:pPr>
        <w:pBdr>
          <w:top w:val="nil"/>
          <w:left w:val="nil"/>
          <w:bottom w:val="nil"/>
          <w:right w:val="nil"/>
          <w:between w:val="nil"/>
        </w:pBdr>
        <w:contextualSpacing/>
        <w:rPr>
          <w:highlight w:val="yellow"/>
        </w:rPr>
      </w:pPr>
    </w:p>
    <w:p w14:paraId="59AE0B93" w14:textId="26D0BBF6" w:rsidR="00D563A4" w:rsidRPr="00D563A4" w:rsidRDefault="00D563A4" w:rsidP="00D563A4">
      <w:pPr>
        <w:pBdr>
          <w:top w:val="nil"/>
          <w:left w:val="nil"/>
          <w:bottom w:val="nil"/>
          <w:right w:val="nil"/>
          <w:between w:val="nil"/>
        </w:pBdr>
        <w:contextualSpacing/>
        <w:rPr>
          <w:rFonts w:eastAsia="Palatino Linotype" w:cs="Palatino Linotype"/>
          <w:color w:val="000000"/>
          <w:highlight w:val="yellow"/>
          <w:lang w:val="es-ES"/>
        </w:rPr>
      </w:pPr>
      <w:r w:rsidRPr="00D563A4">
        <w:rPr>
          <w:highlight w:val="yellow"/>
        </w:rPr>
        <w:t xml:space="preserve">De tal forma que se debe destacar que, </w:t>
      </w:r>
      <w:r w:rsidRPr="00D563A4">
        <w:rPr>
          <w:rFonts w:eastAsia="Palatino Linotype" w:cs="Palatino Linotype"/>
          <w:color w:val="000000"/>
          <w:highlight w:val="yellow"/>
          <w:lang w:val="es-ES"/>
        </w:rPr>
        <w:t xml:space="preserve">al haber un pronunciamiento por parte del Sujeto Obligado dentro de sus atribuciones, este Instituto no está facultado para manifestarse </w:t>
      </w:r>
      <w:r w:rsidRPr="00D563A4">
        <w:rPr>
          <w:rFonts w:eastAsia="Palatino Linotype" w:cs="Palatino Linotype"/>
          <w:color w:val="000000"/>
          <w:highlight w:val="yellow"/>
          <w:lang w:val="es-ES"/>
        </w:rPr>
        <w:lastRenderedPageBreak/>
        <w:t>sobre la veracidad de lo afirmado, ya que no existe precepto legal alguna en la Ley de la Materia que permita, vía recurso de revisión, que se pronuncie al respecto.</w:t>
      </w:r>
    </w:p>
    <w:p w14:paraId="7396CF93" w14:textId="77777777" w:rsidR="00D563A4" w:rsidRPr="00D563A4" w:rsidRDefault="00D563A4" w:rsidP="00D563A4">
      <w:pPr>
        <w:pBdr>
          <w:top w:val="nil"/>
          <w:left w:val="nil"/>
          <w:bottom w:val="nil"/>
          <w:right w:val="nil"/>
          <w:between w:val="nil"/>
        </w:pBdr>
        <w:contextualSpacing/>
        <w:rPr>
          <w:rFonts w:eastAsia="Palatino Linotype" w:cs="Palatino Linotype"/>
          <w:color w:val="000000"/>
          <w:highlight w:val="yellow"/>
          <w:lang w:val="es-ES"/>
        </w:rPr>
      </w:pPr>
    </w:p>
    <w:p w14:paraId="7BA62566" w14:textId="3459AE5D" w:rsidR="00D563A4" w:rsidRDefault="00D563A4" w:rsidP="00D563A4">
      <w:pPr>
        <w:pBdr>
          <w:top w:val="nil"/>
          <w:left w:val="nil"/>
          <w:bottom w:val="nil"/>
          <w:right w:val="nil"/>
          <w:between w:val="nil"/>
        </w:pBdr>
        <w:contextualSpacing/>
        <w:rPr>
          <w:rFonts w:eastAsia="Palatino Linotype" w:cs="Palatino Linotype"/>
          <w:color w:val="000000"/>
          <w:lang w:val="es-ES"/>
        </w:rPr>
      </w:pPr>
      <w:r w:rsidRPr="00D563A4">
        <w:rPr>
          <w:rFonts w:eastAsia="Palatino Linotype" w:cs="Palatino Linotype"/>
          <w:color w:val="000000"/>
          <w:highlight w:val="yellow"/>
          <w:lang w:val="es-ES"/>
        </w:rPr>
        <w:t>Consecuentemente, se estiman colmados los puntos 2, 3 y 4 con lo referido por el Sujeto Obligado con relación a dichos puntos.</w:t>
      </w:r>
    </w:p>
    <w:p w14:paraId="0DE5DA90" w14:textId="569CEC19" w:rsidR="00D563A4" w:rsidRDefault="00D563A4" w:rsidP="006100FC"/>
    <w:p w14:paraId="3C5E72FC" w14:textId="012F1180" w:rsidR="005740B5" w:rsidRDefault="00D563A4" w:rsidP="006100FC">
      <w:r>
        <w:t>Por otra parte, se observa que el Sujeto Obligado no se pronunció respecto de los puntos 1 y 5 de la solicitud, por lo que se estima conveniente que el estudio se enfoque</w:t>
      </w:r>
      <w:r w:rsidR="00FA6D72">
        <w:t xml:space="preserve"> en determinar si el Sujeto Obligado tiene las atribuciones, facultades o competencias para generar, poseer o administrar la información</w:t>
      </w:r>
      <w:r w:rsidR="00274341">
        <w:t xml:space="preserve"> relacionada con </w:t>
      </w:r>
      <w:r w:rsidR="0014299C" w:rsidRPr="0014299C">
        <w:t>ingresos recaudados en los años 2022, 2023 y 2024 por los servicios prestados en el Parque Colosio, entre ellos el de estacionamiento</w:t>
      </w:r>
      <w:r w:rsidR="00DE0CF0">
        <w:t xml:space="preserve"> consistente en </w:t>
      </w:r>
      <w:r w:rsidR="00CF4BE7">
        <w:t>a) cuentas, cortes de caja, auditorías o revisiones y b) los documentos que acrediten el destino de dichos recursos.</w:t>
      </w:r>
    </w:p>
    <w:p w14:paraId="23818FC8" w14:textId="77777777" w:rsidR="002F1921" w:rsidRDefault="002F1921" w:rsidP="006100FC"/>
    <w:p w14:paraId="07414EB5" w14:textId="2EC6C674" w:rsidR="002F1921" w:rsidRDefault="002F1921" w:rsidP="006100FC">
      <w:r>
        <w:t xml:space="preserve">Así, se </w:t>
      </w:r>
      <w:r w:rsidR="00A606C1">
        <w:t xml:space="preserve">puede </w:t>
      </w:r>
      <w:r w:rsidR="00143C06">
        <w:t xml:space="preserve">señalar que la información </w:t>
      </w:r>
      <w:r w:rsidR="00B066BF">
        <w:t>requerida es relativa</w:t>
      </w:r>
      <w:r w:rsidR="00143C06">
        <w:t xml:space="preserve"> a </w:t>
      </w:r>
      <w:r w:rsidR="00B066BF">
        <w:t xml:space="preserve">los </w:t>
      </w:r>
      <w:r w:rsidR="00143C06">
        <w:t xml:space="preserve">ingresos y egresos de recursos </w:t>
      </w:r>
      <w:r w:rsidR="004222AD">
        <w:t>generados en el inmueble referido</w:t>
      </w:r>
      <w:r w:rsidR="00B4791F">
        <w:t xml:space="preserve"> en los años mencionados en</w:t>
      </w:r>
      <w:r w:rsidR="00251DE5">
        <w:t xml:space="preserve"> la solicitud, por lo que es conveniente referir que </w:t>
      </w:r>
      <w:r w:rsidR="003033F1">
        <w:t xml:space="preserve">el Manual de Organización del Sistema Municipal para el Desarrollo Integral de la Familia de Toluca establece que la Dirección de Administración </w:t>
      </w:r>
      <w:r w:rsidR="0098062C">
        <w:t xml:space="preserve">y Tesorería </w:t>
      </w:r>
      <w:r w:rsidR="00DC630E">
        <w:t>tiene como objetivo manejar el presupuesto de ese organismo, así como administrar los recursos que conforman su patrimonio</w:t>
      </w:r>
      <w:r w:rsidR="00143B5D">
        <w:t xml:space="preserve"> y que</w:t>
      </w:r>
      <w:r w:rsidR="00A2198F">
        <w:t xml:space="preserve"> entre sus unidades administrativas cuenta con el Departamento de Finanzas</w:t>
      </w:r>
      <w:r w:rsidR="00DA7CB7">
        <w:t>, el cual tiene entre sus funciones las siguientes:</w:t>
      </w:r>
    </w:p>
    <w:p w14:paraId="79965AE3" w14:textId="77777777" w:rsidR="00DA7CB7" w:rsidRDefault="00DA7CB7" w:rsidP="006100FC"/>
    <w:p w14:paraId="141DA69D" w14:textId="45CE58AC" w:rsidR="00DA7CB7" w:rsidRDefault="00314CDC" w:rsidP="00B009ED">
      <w:pPr>
        <w:pStyle w:val="Fundamentos"/>
      </w:pPr>
      <w:r>
        <w:lastRenderedPageBreak/>
        <w:t>1. Verificar la política financiera del Sistema Municipal para el Desarrollo</w:t>
      </w:r>
      <w:r w:rsidR="00DB2E38">
        <w:t xml:space="preserve"> </w:t>
      </w:r>
      <w:r>
        <w:t>Integral de la Familia de Toluca y traducirla en el presupuesto y políticas de ingreso y gasto.</w:t>
      </w:r>
    </w:p>
    <w:p w14:paraId="26892F95" w14:textId="653450BC" w:rsidR="00143B5D" w:rsidRDefault="00DB2E38" w:rsidP="00B009ED">
      <w:pPr>
        <w:pStyle w:val="Fundamentos"/>
      </w:pPr>
      <w:r>
        <w:t>[…]</w:t>
      </w:r>
    </w:p>
    <w:p w14:paraId="48E26958" w14:textId="3F04AD09" w:rsidR="00143B5D" w:rsidRDefault="003676DC" w:rsidP="00B009ED">
      <w:pPr>
        <w:pStyle w:val="Fundamentos"/>
      </w:pPr>
      <w:r w:rsidRPr="003676DC">
        <w:t>4. Verificar y registrar contablemente la totalidad de los ingresos y egresos, con apego al Manual General de Contabilidad Gubernamental, así como la normatividad aplicable en la materia.</w:t>
      </w:r>
    </w:p>
    <w:p w14:paraId="0FE98CD7" w14:textId="41D217F9" w:rsidR="009E5123" w:rsidRDefault="00DB2E38" w:rsidP="00B009ED">
      <w:pPr>
        <w:pStyle w:val="Fundamentos"/>
      </w:pPr>
      <w:r>
        <w:t>[…]</w:t>
      </w:r>
    </w:p>
    <w:p w14:paraId="1A08CA8C" w14:textId="77777777" w:rsidR="00BB14D1" w:rsidRDefault="00BB14D1" w:rsidP="00B009ED">
      <w:pPr>
        <w:pStyle w:val="Fundamentos"/>
      </w:pPr>
      <w:r>
        <w:t>5. Diseñar y proponer políticas y medidas de control presupuestal para el manejo eficiente de los recursos financieros.</w:t>
      </w:r>
    </w:p>
    <w:p w14:paraId="05E5FBB9" w14:textId="514580B5" w:rsidR="009E5123" w:rsidRDefault="00BB14D1" w:rsidP="00B009ED">
      <w:pPr>
        <w:pStyle w:val="Fundamentos"/>
      </w:pPr>
      <w:r>
        <w:t>6. Administrar las cuentas bancarias del Sistema Municipal para el</w:t>
      </w:r>
      <w:r w:rsidR="00DB2E38">
        <w:t xml:space="preserve"> </w:t>
      </w:r>
      <w:r>
        <w:t>Desarrollo Integral de la Familia de Toluca</w:t>
      </w:r>
      <w:r w:rsidR="00DB2E38">
        <w:t>.</w:t>
      </w:r>
    </w:p>
    <w:p w14:paraId="5741D464" w14:textId="0650EB27" w:rsidR="00DB2E38" w:rsidRDefault="00DB2E38" w:rsidP="00B009ED">
      <w:pPr>
        <w:pStyle w:val="Fundamentos"/>
      </w:pPr>
      <w:r>
        <w:t>[…]</w:t>
      </w:r>
    </w:p>
    <w:p w14:paraId="2C7F9A90" w14:textId="308054FF" w:rsidR="009E5123" w:rsidRDefault="00CE1940" w:rsidP="00B009ED">
      <w:pPr>
        <w:pStyle w:val="Fundamentos"/>
      </w:pPr>
      <w:r w:rsidRPr="00CE1940">
        <w:t>8. Verificar que todos los movimientos financieros que se realicen, se integren con la documentación original que remiten las unidades ejecutoras del gasto y el soporte contenga la información justificativa, comprobatoria, suficiente, competente, pertinente y relevante</w:t>
      </w:r>
    </w:p>
    <w:p w14:paraId="1BE4BFB3" w14:textId="5F1B26CF" w:rsidR="009E5123" w:rsidRDefault="00DB2E38" w:rsidP="00B009ED">
      <w:pPr>
        <w:pStyle w:val="Fundamentos"/>
      </w:pPr>
      <w:r>
        <w:t>[…]</w:t>
      </w:r>
    </w:p>
    <w:p w14:paraId="1FCEA219" w14:textId="77777777" w:rsidR="009E5123" w:rsidRDefault="009E5123" w:rsidP="006100FC"/>
    <w:p w14:paraId="46B671EC" w14:textId="5EF5C64A" w:rsidR="009E5123" w:rsidRDefault="00A37321" w:rsidP="006100FC">
      <w:r>
        <w:t>D</w:t>
      </w:r>
      <w:r w:rsidR="00A569AE">
        <w:t xml:space="preserve">e lo anterior se desprende que el Sujeto Obligado, por medio del Departamento de Finanzas dependiente de la </w:t>
      </w:r>
      <w:r w:rsidR="0098062C">
        <w:t xml:space="preserve">Dirección de Administración y Tesorería, debe verificar la política financiera </w:t>
      </w:r>
      <w:r w:rsidR="00E57C73">
        <w:t xml:space="preserve">y </w:t>
      </w:r>
      <w:r w:rsidR="00AC7726">
        <w:t xml:space="preserve">traducirla en el presupuesto y políticas de ingreso y gasto; verificar y registrar los ingresos y egresos; diseñar y proponer medidas de control presupuestal; administrar las cuentas bancarias y verificar que todos los movimientos financieros que se realicen se integren con la documentación original que remiten las unidades </w:t>
      </w:r>
      <w:r w:rsidR="007C3470">
        <w:t>ejecutoras</w:t>
      </w:r>
      <w:r w:rsidR="00AC7726">
        <w:t xml:space="preserve"> del gasto y </w:t>
      </w:r>
      <w:r w:rsidR="007C3470">
        <w:t>que el soporto contenga la información justificativa, comprobatoria, suficiente, competente, pertinente y relevante.</w:t>
      </w:r>
    </w:p>
    <w:p w14:paraId="4163FA0C" w14:textId="77777777" w:rsidR="007C3470" w:rsidRDefault="007C3470" w:rsidP="006100FC"/>
    <w:p w14:paraId="45E5F330" w14:textId="721C5E54" w:rsidR="007C3470" w:rsidRDefault="00EB40B2" w:rsidP="006100FC">
      <w:r>
        <w:t xml:space="preserve">Aunado a lo anterior, cabe recordar que </w:t>
      </w:r>
      <w:r w:rsidR="00A6208A">
        <w:t>la información sobre las cuentas y cortes de caja pudiesen contemplarse d</w:t>
      </w:r>
      <w:r w:rsidR="00DD3E53">
        <w:t xml:space="preserve">entro de lo que en el Manual </w:t>
      </w:r>
      <w:r w:rsidR="004D43D7">
        <w:t>Único de Contabilidad Gubernamental para las Dependencias y Entidades Públicas del Gobierno y Municipios 2024 publicado en el Periódico Oficial «</w:t>
      </w:r>
      <w:r w:rsidR="00F27158">
        <w:t xml:space="preserve">Gaceta </w:t>
      </w:r>
      <w:r w:rsidR="004D43D7">
        <w:t>del Gobierno»</w:t>
      </w:r>
      <w:r w:rsidR="00F563CD">
        <w:t xml:space="preserve"> el dos de febrero de dos mil </w:t>
      </w:r>
      <w:r w:rsidR="00F563CD">
        <w:lastRenderedPageBreak/>
        <w:t>veinticuatro, se denominan como</w:t>
      </w:r>
      <w:r w:rsidR="00F27158">
        <w:t xml:space="preserve"> «Operaciones en caja, bancos y fondo fijo de caja</w:t>
      </w:r>
      <w:r w:rsidR="008F1D26">
        <w:t xml:space="preserve">», en cuyo caso </w:t>
      </w:r>
      <w:r w:rsidR="005E73F3">
        <w:t>dichas entidades deberán registrar esos movimientos como se observa a continuación:</w:t>
      </w:r>
    </w:p>
    <w:p w14:paraId="42CD16F0" w14:textId="4DF91F54" w:rsidR="005E73F3" w:rsidRDefault="00C34568" w:rsidP="002728C9">
      <w:pPr>
        <w:jc w:val="center"/>
      </w:pPr>
      <w:r>
        <w:rPr>
          <w:noProof/>
          <w:lang w:val="es-MX"/>
        </w:rPr>
        <w:drawing>
          <wp:inline distT="0" distB="0" distL="0" distR="0" wp14:anchorId="6933BF1E" wp14:editId="73E4A58C">
            <wp:extent cx="5727474" cy="2124075"/>
            <wp:effectExtent l="0" t="0" r="6985" b="0"/>
            <wp:docPr id="8130484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48416" name="Imagen 813048416"/>
                    <pic:cNvPicPr/>
                  </pic:nvPicPr>
                  <pic:blipFill>
                    <a:blip r:embed="rId9">
                      <a:extLst>
                        <a:ext uri="{28A0092B-C50C-407E-A947-70E740481C1C}">
                          <a14:useLocalDpi xmlns:a14="http://schemas.microsoft.com/office/drawing/2010/main" val="0"/>
                        </a:ext>
                      </a:extLst>
                    </a:blip>
                    <a:stretch>
                      <a:fillRect/>
                    </a:stretch>
                  </pic:blipFill>
                  <pic:spPr>
                    <a:xfrm>
                      <a:off x="0" y="0"/>
                      <a:ext cx="5753316" cy="2133659"/>
                    </a:xfrm>
                    <a:prstGeom prst="rect">
                      <a:avLst/>
                    </a:prstGeom>
                  </pic:spPr>
                </pic:pic>
              </a:graphicData>
            </a:graphic>
          </wp:inline>
        </w:drawing>
      </w:r>
    </w:p>
    <w:p w14:paraId="0E6E001F" w14:textId="77777777" w:rsidR="005740B5" w:rsidRDefault="005740B5" w:rsidP="006100FC"/>
    <w:p w14:paraId="6E048D5D" w14:textId="0BC1555C" w:rsidR="00A6208A" w:rsidRDefault="00C33A26" w:rsidP="006100FC">
      <w:r>
        <w:t xml:space="preserve">Con lo anterior se acredita que los ingresos </w:t>
      </w:r>
      <w:r w:rsidR="00120B59">
        <w:t xml:space="preserve">obtenidos deben </w:t>
      </w:r>
      <w:r w:rsidR="00B73DB6">
        <w:t>constar en documentos fuente</w:t>
      </w:r>
      <w:r w:rsidR="00B41B5F">
        <w:t xml:space="preserve"> con el propósito de cumplir con lo dispuesto en el Manual Único de Contabilidad referido anteriormente.</w:t>
      </w:r>
    </w:p>
    <w:p w14:paraId="0C49743B" w14:textId="77777777" w:rsidR="00E91EAB" w:rsidRDefault="00E91EAB" w:rsidP="006100FC"/>
    <w:p w14:paraId="62928F0A" w14:textId="77777777" w:rsidR="00AD453E" w:rsidRPr="007D72D8" w:rsidRDefault="00E91EAB" w:rsidP="00AD453E">
      <w:pPr>
        <w:rPr>
          <w:rFonts w:eastAsia="Times New Roman" w:cs="Times New Roman"/>
          <w:color w:val="000000"/>
          <w:szCs w:val="24"/>
          <w:lang w:val="es-ES"/>
        </w:rPr>
      </w:pPr>
      <w:r>
        <w:t xml:space="preserve">Por otra parte, respecto de los documentos </w:t>
      </w:r>
      <w:r w:rsidR="00664537">
        <w:t>con los que se acredite</w:t>
      </w:r>
      <w:r>
        <w:t xml:space="preserve"> el destino de los recursos</w:t>
      </w:r>
      <w:r w:rsidR="00664537">
        <w:t xml:space="preserve"> obtenidos </w:t>
      </w:r>
      <w:r w:rsidR="0058037A">
        <w:t>por los servicios referidos en la solicitud</w:t>
      </w:r>
      <w:r w:rsidR="008375E0">
        <w:t xml:space="preserve">, estos </w:t>
      </w:r>
      <w:r w:rsidR="00664537">
        <w:t>pueden constar de manera enunciativa mas no limitativa e</w:t>
      </w:r>
      <w:r w:rsidR="00EA6E69">
        <w:t xml:space="preserve">n </w:t>
      </w:r>
      <w:r w:rsidR="00AD453E">
        <w:rPr>
          <w:rFonts w:eastAsia="Times New Roman" w:cs="Times New Roman"/>
          <w:color w:val="000000"/>
          <w:szCs w:val="24"/>
        </w:rPr>
        <w:t xml:space="preserve">las facturas y las pólizas contables se deben considerar como </w:t>
      </w:r>
      <w:r w:rsidR="00AD453E" w:rsidRPr="007D72D8">
        <w:rPr>
          <w:rFonts w:eastAsia="Times New Roman" w:cs="Times New Roman"/>
          <w:color w:val="000000"/>
          <w:szCs w:val="24"/>
          <w:lang w:val="es-ES"/>
        </w:rPr>
        <w:t xml:space="preserve">la documentación comprobatoria de las erogaciones realizadas en ejercicio del presupuesto municipal, entendido éste como </w:t>
      </w:r>
      <w:r w:rsidR="00AD453E" w:rsidRPr="007D72D8">
        <w:rPr>
          <w:rFonts w:eastAsia="Times New Roman" w:cs="Times New Roman"/>
          <w:b/>
          <w:color w:val="000000"/>
          <w:szCs w:val="24"/>
          <w:lang w:val="es-ES"/>
        </w:rPr>
        <w:t>Presupuesto ejercido</w:t>
      </w:r>
      <w:r w:rsidR="00AD453E" w:rsidRPr="007D72D8">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2B8670BD" w14:textId="77777777" w:rsidR="00AD453E" w:rsidRPr="007D72D8" w:rsidRDefault="00AD453E" w:rsidP="00AD453E">
      <w:pPr>
        <w:rPr>
          <w:rFonts w:eastAsia="Times New Roman" w:cs="Times New Roman"/>
          <w:i/>
          <w:color w:val="000000"/>
          <w:szCs w:val="24"/>
          <w:lang w:val="es-ES"/>
        </w:rPr>
      </w:pPr>
    </w:p>
    <w:p w14:paraId="5F9FD109" w14:textId="77777777" w:rsidR="00AD453E" w:rsidRPr="007D72D8" w:rsidRDefault="00AD453E" w:rsidP="00AD453E">
      <w:pPr>
        <w:pStyle w:val="Fundamentos"/>
        <w:rPr>
          <w:b/>
          <w:lang w:val="es-ES"/>
        </w:rPr>
      </w:pPr>
      <w:r w:rsidRPr="007D72D8">
        <w:rPr>
          <w:b/>
          <w:lang w:val="es-ES"/>
        </w:rPr>
        <w:t>PRESUPUESTO EJERCIDO.</w:t>
      </w:r>
    </w:p>
    <w:p w14:paraId="11231FF6" w14:textId="77777777" w:rsidR="00AD453E" w:rsidRPr="007D72D8" w:rsidRDefault="00AD453E" w:rsidP="00AD453E">
      <w:pPr>
        <w:pStyle w:val="Fundamentos"/>
        <w:rPr>
          <w:lang w:val="es-ES"/>
        </w:rPr>
      </w:pPr>
      <w:r w:rsidRPr="007D72D8">
        <w:rPr>
          <w:lang w:val="es-ES"/>
        </w:rPr>
        <w:lastRenderedPageBreak/>
        <w:t>Importe de las erogaciones realizadas respaldado por los documentos comprobatorios (</w:t>
      </w:r>
      <w:r w:rsidRPr="007D72D8">
        <w:rPr>
          <w:u w:val="single"/>
          <w:lang w:val="es-ES"/>
        </w:rPr>
        <w:t>facturas</w:t>
      </w:r>
      <w:r w:rsidRPr="007D72D8">
        <w:rPr>
          <w:lang w:val="es-ES"/>
        </w:rPr>
        <w:t>, notas, nominas, etc.) presentados a la dependencia o entidad una vez autorizadas para su pago, con c</w:t>
      </w:r>
      <w:r>
        <w:rPr>
          <w:lang w:val="es-ES"/>
        </w:rPr>
        <w:t>argo al presupuesto autorizado.</w:t>
      </w:r>
    </w:p>
    <w:p w14:paraId="0B8DE41B" w14:textId="77777777" w:rsidR="00AD453E" w:rsidRPr="007D72D8" w:rsidRDefault="00AD453E" w:rsidP="00AD453E">
      <w:pPr>
        <w:rPr>
          <w:rFonts w:eastAsia="Times New Roman" w:cs="Times New Roman"/>
          <w:color w:val="000000"/>
          <w:szCs w:val="24"/>
          <w:lang w:val="es-ES"/>
        </w:rPr>
      </w:pPr>
    </w:p>
    <w:p w14:paraId="5D749B13" w14:textId="77777777" w:rsidR="00AD453E" w:rsidRPr="007D72D8"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honradez, para cumplir con los objetivos y programas a los que estén destinados, ello en el cumplimiento a los principios que rigen la función pública. </w:t>
      </w:r>
    </w:p>
    <w:p w14:paraId="5D6E1BBD" w14:textId="77777777" w:rsidR="00AD453E" w:rsidRPr="007D72D8" w:rsidRDefault="00AD453E" w:rsidP="00AD453E">
      <w:pPr>
        <w:rPr>
          <w:rFonts w:eastAsia="Times New Roman" w:cs="Times New Roman"/>
          <w:color w:val="000000"/>
          <w:szCs w:val="24"/>
          <w:lang w:val="es-ES"/>
        </w:rPr>
      </w:pPr>
    </w:p>
    <w:p w14:paraId="642B1AD1" w14:textId="77777777" w:rsidR="00AD453E" w:rsidRPr="007D72D8"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Asimismo, dispone que todos los pagos se harán mediante orden escrita en la que se expresará la partida del presupuesto a cargo de la cual se realizan.</w:t>
      </w:r>
    </w:p>
    <w:p w14:paraId="64B0B91D" w14:textId="77777777" w:rsidR="00AD453E" w:rsidRPr="007D72D8" w:rsidRDefault="00AD453E" w:rsidP="00AD453E">
      <w:pPr>
        <w:rPr>
          <w:rFonts w:eastAsia="Times New Roman" w:cs="Times New Roman"/>
          <w:color w:val="000000"/>
          <w:szCs w:val="24"/>
          <w:lang w:val="es-ES"/>
        </w:rPr>
      </w:pPr>
    </w:p>
    <w:p w14:paraId="6ABA6AAB" w14:textId="77777777" w:rsidR="00AD453E" w:rsidRPr="007D72D8"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Al respecto, los artículos 31 fracciones XVIII y 95 fracciones I y IV, de la</w:t>
      </w:r>
      <w:r w:rsidRPr="007D72D8">
        <w:rPr>
          <w:rFonts w:eastAsia="Times New Roman" w:cs="Times New Roman"/>
          <w:b/>
          <w:i/>
          <w:color w:val="000000"/>
          <w:szCs w:val="24"/>
          <w:lang w:val="es-ES"/>
        </w:rPr>
        <w:t xml:space="preserve"> </w:t>
      </w:r>
      <w:r w:rsidRPr="007D72D8">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 </w:t>
      </w:r>
    </w:p>
    <w:p w14:paraId="0C9B19DC" w14:textId="77777777" w:rsidR="00AD453E" w:rsidRPr="007D72D8" w:rsidRDefault="00AD453E" w:rsidP="00AD453E">
      <w:pPr>
        <w:rPr>
          <w:rFonts w:eastAsia="Times New Roman" w:cs="Times New Roman"/>
          <w:color w:val="000000"/>
          <w:szCs w:val="24"/>
          <w:lang w:val="es-ES"/>
        </w:rPr>
      </w:pPr>
    </w:p>
    <w:p w14:paraId="353BCA70" w14:textId="77777777" w:rsidR="00AD453E" w:rsidRPr="007D72D8"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w:t>
      </w:r>
      <w:r>
        <w:rPr>
          <w:rFonts w:eastAsia="Times New Roman" w:cs="Times New Roman"/>
          <w:color w:val="000000"/>
          <w:szCs w:val="24"/>
          <w:lang w:val="es-ES"/>
        </w:rPr>
        <w:t xml:space="preserve"> (entendiéndose que también se hace referencia a sus organismos </w:t>
      </w:r>
      <w:r>
        <w:rPr>
          <w:rFonts w:eastAsia="Times New Roman" w:cs="Times New Roman"/>
          <w:color w:val="000000"/>
          <w:szCs w:val="24"/>
          <w:lang w:val="es-ES"/>
        </w:rPr>
        <w:lastRenderedPageBreak/>
        <w:t>descentralizados)</w:t>
      </w:r>
      <w:r w:rsidRPr="007D72D8">
        <w:rPr>
          <w:rFonts w:eastAsia="Times New Roman" w:cs="Times New Roman"/>
          <w:color w:val="000000"/>
          <w:szCs w:val="24"/>
          <w:lang w:val="es-ES"/>
        </w:rPr>
        <w:t xml:space="preserve">; que el registro contable del efecto patrimonial y presupuestal de las operaciones financieras que realice el Municipio se realizará conforme al sistema y a las disposiciones que se aprueben en materia de planeación, programación, </w:t>
      </w:r>
      <w:proofErr w:type="spellStart"/>
      <w:r w:rsidRPr="007D72D8">
        <w:rPr>
          <w:rFonts w:eastAsia="Times New Roman" w:cs="Times New Roman"/>
          <w:color w:val="000000"/>
          <w:szCs w:val="24"/>
          <w:lang w:val="es-ES"/>
        </w:rPr>
        <w:t>presupuestación</w:t>
      </w:r>
      <w:proofErr w:type="spellEnd"/>
      <w:r w:rsidRPr="007D72D8">
        <w:rPr>
          <w:rFonts w:eastAsia="Times New Roman" w:cs="Times New Roman"/>
          <w:color w:val="000000"/>
          <w:szCs w:val="24"/>
          <w:lang w:val="es-ES"/>
        </w:rPr>
        <w:t>, evaluación y contabilidad gubernamental.</w:t>
      </w:r>
    </w:p>
    <w:p w14:paraId="51D20965" w14:textId="77777777" w:rsidR="00AD453E" w:rsidRPr="007D72D8" w:rsidRDefault="00AD453E" w:rsidP="00AD453E">
      <w:pPr>
        <w:rPr>
          <w:rFonts w:eastAsia="Times New Roman" w:cs="Times New Roman"/>
          <w:color w:val="000000"/>
          <w:szCs w:val="24"/>
          <w:lang w:val="es-ES"/>
        </w:rPr>
      </w:pPr>
    </w:p>
    <w:p w14:paraId="01BF5850" w14:textId="77777777" w:rsidR="00AD453E" w:rsidRPr="007D72D8"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Asimismo, los preceptos legales citados señalan que en el caso de los Municipios</w:t>
      </w:r>
      <w:r>
        <w:rPr>
          <w:rFonts w:eastAsia="Times New Roman" w:cs="Times New Roman"/>
          <w:color w:val="000000"/>
          <w:szCs w:val="24"/>
          <w:lang w:val="es-ES"/>
        </w:rPr>
        <w:t xml:space="preserve"> y organismos municipales</w:t>
      </w:r>
      <w:r w:rsidRPr="007D72D8">
        <w:rPr>
          <w:rFonts w:eastAsia="Times New Roman" w:cs="Times New Roman"/>
          <w:color w:val="000000"/>
          <w:szCs w:val="24"/>
          <w:lang w:val="es-ES"/>
        </w:rPr>
        <w:t xml:space="preserve">, es la Tesorería Municipal </w:t>
      </w:r>
      <w:r>
        <w:rPr>
          <w:rFonts w:eastAsia="Times New Roman" w:cs="Times New Roman"/>
          <w:color w:val="000000"/>
          <w:szCs w:val="24"/>
          <w:lang w:val="es-ES"/>
        </w:rPr>
        <w:t xml:space="preserve">o área equivalente, </w:t>
      </w:r>
      <w:r w:rsidRPr="007D72D8">
        <w:rPr>
          <w:rFonts w:eastAsia="Times New Roman" w:cs="Times New Roman"/>
          <w:color w:val="000000"/>
          <w:szCs w:val="24"/>
          <w:lang w:val="es-ES"/>
        </w:rPr>
        <w:t>la unidad administrativa que registra contablemente el efecto patrimonial y presupuestal de las operaciones financieras que realizan, en el momento en que ocurran, con base en el sistema y políticas de registro establecidas.</w:t>
      </w:r>
    </w:p>
    <w:p w14:paraId="24ABA8C4" w14:textId="77777777" w:rsidR="00AD453E" w:rsidRPr="007D72D8" w:rsidRDefault="00AD453E" w:rsidP="00AD453E">
      <w:pPr>
        <w:rPr>
          <w:rFonts w:eastAsia="Times New Roman" w:cs="Times New Roman"/>
          <w:color w:val="000000"/>
          <w:szCs w:val="24"/>
          <w:lang w:val="es-ES"/>
        </w:rPr>
      </w:pPr>
    </w:p>
    <w:p w14:paraId="6876276B" w14:textId="77777777" w:rsidR="00AD453E" w:rsidRDefault="00AD453E" w:rsidP="00AD453E">
      <w:pPr>
        <w:rPr>
          <w:rFonts w:eastAsia="Times New Roman" w:cs="Times New Roman"/>
          <w:color w:val="000000"/>
          <w:szCs w:val="24"/>
          <w:lang w:val="es-ES"/>
        </w:rPr>
      </w:pPr>
      <w:r w:rsidRPr="007D72D8">
        <w:rPr>
          <w:rFonts w:eastAsia="Times New Roman" w:cs="Times New Roman"/>
          <w:color w:val="000000"/>
          <w:szCs w:val="24"/>
          <w:lang w:val="es-ES"/>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w:t>
      </w:r>
      <w:r>
        <w:rPr>
          <w:rFonts w:eastAsia="Times New Roman" w:cs="Times New Roman"/>
          <w:color w:val="000000"/>
          <w:szCs w:val="24"/>
          <w:lang w:val="es-ES"/>
        </w:rPr>
        <w:t xml:space="preserve"> o área equivalente</w:t>
      </w:r>
      <w:r w:rsidRPr="007D72D8">
        <w:rPr>
          <w:rFonts w:eastAsia="Times New Roman" w:cs="Times New Roman"/>
          <w:color w:val="000000"/>
          <w:szCs w:val="24"/>
          <w:lang w:val="es-ES"/>
        </w:rPr>
        <w:t xml:space="preserve"> y a disposición del Órgano Superior de Fiscalización del Estado de México y de los órganos de control interno, en el caso de los municipios; por un término de cinco años contados a partir del ejercicio presupuestal siguiente al que corresponda.</w:t>
      </w:r>
    </w:p>
    <w:p w14:paraId="7C0384F9" w14:textId="77777777" w:rsidR="00AD453E" w:rsidRDefault="00AD453E" w:rsidP="00AD453E">
      <w:pPr>
        <w:rPr>
          <w:rFonts w:eastAsia="Times New Roman" w:cs="Times New Roman"/>
          <w:color w:val="000000"/>
          <w:szCs w:val="24"/>
          <w:lang w:val="es-ES"/>
        </w:rPr>
      </w:pPr>
    </w:p>
    <w:p w14:paraId="687B0E04" w14:textId="5F808BB6" w:rsidR="00AD453E" w:rsidRDefault="00AD453E" w:rsidP="00AD453E">
      <w:pPr>
        <w:rPr>
          <w:rFonts w:eastAsia="Times New Roman" w:cs="Times New Roman"/>
          <w:color w:val="000000"/>
          <w:szCs w:val="24"/>
          <w:lang w:val="es-ES"/>
        </w:rPr>
      </w:pPr>
      <w:r>
        <w:rPr>
          <w:rFonts w:eastAsia="Times New Roman" w:cs="Times New Roman"/>
          <w:color w:val="000000"/>
          <w:szCs w:val="24"/>
          <w:lang w:val="es-ES"/>
        </w:rPr>
        <w:t xml:space="preserve">De tal forma que </w:t>
      </w:r>
      <w:r w:rsidR="00966EE1">
        <w:rPr>
          <w:rFonts w:eastAsia="Times New Roman" w:cs="Times New Roman"/>
          <w:color w:val="000000"/>
          <w:szCs w:val="24"/>
          <w:lang w:val="es-ES"/>
        </w:rPr>
        <w:t>es dable colegir que el Sujeto Obligado cuenta con los documentos en los que consta el destino de los recursos obtenidos por los servicios referidos en la solicitud de información.</w:t>
      </w:r>
    </w:p>
    <w:p w14:paraId="07469385" w14:textId="77777777" w:rsidR="00966EE1" w:rsidRDefault="00966EE1" w:rsidP="00AD453E">
      <w:pPr>
        <w:rPr>
          <w:rFonts w:eastAsia="Times New Roman" w:cs="Times New Roman"/>
          <w:color w:val="000000"/>
          <w:szCs w:val="24"/>
          <w:lang w:val="es-ES"/>
        </w:rPr>
      </w:pPr>
    </w:p>
    <w:p w14:paraId="4E5488F7" w14:textId="31218002" w:rsidR="00966EE1" w:rsidRDefault="004C6D0D" w:rsidP="00AD453E">
      <w:pPr>
        <w:rPr>
          <w:rFonts w:eastAsia="Times New Roman" w:cs="Times New Roman"/>
          <w:color w:val="000000"/>
          <w:szCs w:val="24"/>
          <w:lang w:val="es-ES"/>
        </w:rPr>
      </w:pPr>
      <w:r>
        <w:rPr>
          <w:rFonts w:eastAsia="Times New Roman" w:cs="Times New Roman"/>
          <w:color w:val="000000"/>
          <w:szCs w:val="24"/>
          <w:lang w:val="es-ES"/>
        </w:rPr>
        <w:lastRenderedPageBreak/>
        <w:t>Para robustecer lo anterior, es</w:t>
      </w:r>
      <w:r w:rsidR="00A36C9D">
        <w:rPr>
          <w:rFonts w:eastAsia="Times New Roman" w:cs="Times New Roman"/>
          <w:color w:val="000000"/>
          <w:szCs w:val="24"/>
          <w:lang w:val="es-ES"/>
        </w:rPr>
        <w:t xml:space="preserve"> de destacarse que la información relativa al ingresos y egresos de recursos se considera</w:t>
      </w:r>
      <w:r w:rsidR="008E05A9">
        <w:rPr>
          <w:rFonts w:eastAsia="Times New Roman" w:cs="Times New Roman"/>
          <w:color w:val="000000"/>
          <w:szCs w:val="24"/>
          <w:lang w:val="es-ES"/>
        </w:rPr>
        <w:t xml:space="preserve">n como obligaciones de transparencia común, conforme lo dispone el artículo 92 fracciones </w:t>
      </w:r>
      <w:r w:rsidR="00707316">
        <w:rPr>
          <w:rFonts w:eastAsia="Times New Roman" w:cs="Times New Roman"/>
          <w:color w:val="000000"/>
          <w:szCs w:val="24"/>
          <w:lang w:val="es-ES"/>
        </w:rPr>
        <w:t>XXV y XLVII</w:t>
      </w:r>
      <w:r w:rsidR="002F1F5A">
        <w:rPr>
          <w:rFonts w:eastAsia="Times New Roman" w:cs="Times New Roman"/>
          <w:color w:val="000000"/>
          <w:szCs w:val="24"/>
          <w:lang w:val="es-ES"/>
        </w:rPr>
        <w:t>, en las que se estipula lo siguiente:</w:t>
      </w:r>
    </w:p>
    <w:p w14:paraId="01D802F1" w14:textId="77777777" w:rsidR="002F1F5A" w:rsidRDefault="002F1F5A" w:rsidP="00AD453E">
      <w:pPr>
        <w:rPr>
          <w:rFonts w:eastAsia="Times New Roman" w:cs="Times New Roman"/>
          <w:color w:val="000000"/>
          <w:szCs w:val="24"/>
          <w:lang w:val="es-ES"/>
        </w:rPr>
      </w:pPr>
    </w:p>
    <w:p w14:paraId="0ADBD41F" w14:textId="77777777" w:rsidR="00065F34" w:rsidRPr="00065F34" w:rsidRDefault="00065F34" w:rsidP="00BF715E">
      <w:pPr>
        <w:pStyle w:val="Fundamentos"/>
        <w:rPr>
          <w:lang w:val="es-MX"/>
        </w:rPr>
      </w:pPr>
      <w:r w:rsidRPr="00065F34">
        <w:rPr>
          <w:b/>
          <w:lang w:val="es-MX"/>
        </w:rPr>
        <w:t xml:space="preserve">Artículo 92. </w:t>
      </w:r>
      <w:r w:rsidRPr="00065F34">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D58065" w14:textId="4714DA4A" w:rsidR="002F1F5A" w:rsidRDefault="00BF715E" w:rsidP="00BF715E">
      <w:pPr>
        <w:pStyle w:val="Fundamentos"/>
        <w:rPr>
          <w:lang w:val="es-MX"/>
        </w:rPr>
      </w:pPr>
      <w:r>
        <w:rPr>
          <w:lang w:val="es-MX"/>
        </w:rPr>
        <w:t>[…]</w:t>
      </w:r>
    </w:p>
    <w:p w14:paraId="29012597" w14:textId="424D875A" w:rsidR="0069076B" w:rsidRDefault="0069076B" w:rsidP="00BF715E">
      <w:pPr>
        <w:pStyle w:val="Fundamentos"/>
        <w:rPr>
          <w:lang w:val="es-MX"/>
        </w:rPr>
      </w:pPr>
      <w:r w:rsidRPr="00BF715E">
        <w:rPr>
          <w:b/>
          <w:bCs/>
          <w:lang w:val="es-MX"/>
        </w:rPr>
        <w:t>XXV.</w:t>
      </w:r>
      <w:r w:rsidRPr="0069076B">
        <w:rPr>
          <w:lang w:val="es-MX"/>
        </w:rPr>
        <w:tab/>
        <w:t>La información financiera sobre el presupuesto asignado, así como los informes del ejercicio trimestral del gasto, en términos de la Ley General de Contabilidad Gubernamental y demás disposiciones jurídicas aplicables;</w:t>
      </w:r>
    </w:p>
    <w:p w14:paraId="6A6FB203" w14:textId="05653044" w:rsidR="00E1689A" w:rsidRDefault="00BF715E" w:rsidP="00BF715E">
      <w:pPr>
        <w:pStyle w:val="Fundamentos"/>
        <w:rPr>
          <w:lang w:val="es-MX"/>
        </w:rPr>
      </w:pPr>
      <w:r>
        <w:rPr>
          <w:lang w:val="es-MX"/>
        </w:rPr>
        <w:t>[…]</w:t>
      </w:r>
    </w:p>
    <w:p w14:paraId="3FC5AA7C" w14:textId="60ED8E32" w:rsidR="00E1689A" w:rsidRPr="00065F34" w:rsidRDefault="00E1689A" w:rsidP="00BF715E">
      <w:pPr>
        <w:pStyle w:val="Fundamentos"/>
        <w:rPr>
          <w:lang w:val="es-MX"/>
        </w:rPr>
      </w:pPr>
      <w:r w:rsidRPr="00BF715E">
        <w:rPr>
          <w:b/>
          <w:bCs/>
          <w:lang w:val="es-MX"/>
        </w:rPr>
        <w:t>XLVII.</w:t>
      </w:r>
      <w:r w:rsidRPr="00E1689A">
        <w:rPr>
          <w:lang w:val="es-MX"/>
        </w:rPr>
        <w:t xml:space="preserve"> Los ingresos recibidos por cualquier concepto señalando el nombre de los responsables de recibirlos, administrarlos y ejercerlos, indicando el destino de cada uno de ellos;</w:t>
      </w:r>
    </w:p>
    <w:p w14:paraId="1280FECB" w14:textId="7108A788" w:rsidR="00E91EAB" w:rsidRPr="00AD453E" w:rsidRDefault="00BF715E" w:rsidP="00BF715E">
      <w:pPr>
        <w:pStyle w:val="Fundamentos"/>
        <w:rPr>
          <w:lang w:val="es-ES"/>
        </w:rPr>
      </w:pPr>
      <w:r>
        <w:rPr>
          <w:lang w:val="es-ES"/>
        </w:rPr>
        <w:t>[…]</w:t>
      </w:r>
    </w:p>
    <w:p w14:paraId="61E81D43" w14:textId="77777777" w:rsidR="00A6208A" w:rsidRDefault="00A6208A" w:rsidP="006100FC"/>
    <w:p w14:paraId="2FE023AB" w14:textId="52D849D2" w:rsidR="00A6208A" w:rsidRDefault="004843BF" w:rsidP="005B2553">
      <w:r>
        <w:t xml:space="preserve">Por otra parte, no pasa desapercibido a este Instituto que </w:t>
      </w:r>
      <w:r w:rsidR="00370B21">
        <w:t>también se solicitó información relativa a las auditorías o revisiones que se hayan realizado a los ingresos referidos en la solicitud</w:t>
      </w:r>
      <w:r w:rsidR="00947E3C">
        <w:t xml:space="preserve">, por lo que es necesario referir </w:t>
      </w:r>
      <w:r w:rsidR="003432C8">
        <w:t xml:space="preserve">lo dispuesto en </w:t>
      </w:r>
      <w:r w:rsidR="00FF11B6">
        <w:t xml:space="preserve">Manual de Organización citado en párrafos anteriores que al respecto establece que </w:t>
      </w:r>
      <w:r w:rsidR="003D330A">
        <w:t xml:space="preserve">el Órgano Interno de Control tiene como objetivo </w:t>
      </w:r>
      <w:r w:rsidR="005B2553">
        <w:t>p</w:t>
      </w:r>
      <w:r w:rsidR="005B2553" w:rsidRPr="005B2553">
        <w:t xml:space="preserve">revenir, detectar, disuadir, controlar y sancionar actos de corrupción cometidos por las personas servidoras públicas del Sistema Municipal para el Desarrollo Integral de la Familia de Toluca, en los términos establecidos por el Sistema Anticorrupción del Estado de México y Municipios, </w:t>
      </w:r>
      <w:r w:rsidR="005B2553" w:rsidRPr="0078467C">
        <w:rPr>
          <w:b/>
          <w:bCs/>
        </w:rPr>
        <w:t>mediante la ejecución de auditorías, acciones de control y evaluación</w:t>
      </w:r>
      <w:r w:rsidR="005B2553" w:rsidRPr="005B2553">
        <w:t>; el desahogo del procedimiento de investigación, derivado de las denuncias dentro del ámbito de su competencia y el desarrollo del procedimiento de responsabilidad administrativa.</w:t>
      </w:r>
      <w:r w:rsidR="0078467C">
        <w:t xml:space="preserve"> </w:t>
      </w:r>
    </w:p>
    <w:p w14:paraId="4066CF24" w14:textId="77777777" w:rsidR="0078467C" w:rsidRDefault="0078467C" w:rsidP="005B2553"/>
    <w:p w14:paraId="0F1FCF94" w14:textId="5C9DAE02" w:rsidR="0078467C" w:rsidRDefault="0078467C" w:rsidP="005B2553">
      <w:r>
        <w:t>Asimismo, dicha área tiene entre sus facultades las siguientes:</w:t>
      </w:r>
    </w:p>
    <w:p w14:paraId="552D1FB8" w14:textId="77777777" w:rsidR="0078467C" w:rsidRDefault="0078467C" w:rsidP="005B2553"/>
    <w:p w14:paraId="4AD276E0" w14:textId="5DBAE2EE" w:rsidR="0078467C" w:rsidRDefault="00770AEB" w:rsidP="00CF58DD">
      <w:pPr>
        <w:pStyle w:val="Fundamentos"/>
      </w:pPr>
      <w:r>
        <w:t>2. Realizar auditorías, inspecciones y acciones de control a las</w:t>
      </w:r>
      <w:r w:rsidR="00A079B2">
        <w:t xml:space="preserve"> </w:t>
      </w:r>
      <w:r>
        <w:t>Unidades Administrativas del Sistema para que desarrollen sus funciones conforme a las leyes, reglamentos, políticas, convenios, acuerdos y demás normatividad</w:t>
      </w:r>
      <w:r w:rsidR="00A079B2">
        <w:t xml:space="preserve"> aplicable;</w:t>
      </w:r>
    </w:p>
    <w:p w14:paraId="20B1C67B" w14:textId="54EB6DF2" w:rsidR="00A079B2" w:rsidRDefault="00CF58DD" w:rsidP="00CF58DD">
      <w:pPr>
        <w:pStyle w:val="Fundamentos"/>
      </w:pPr>
      <w:r>
        <w:t>[…]</w:t>
      </w:r>
    </w:p>
    <w:p w14:paraId="6412BFB2" w14:textId="6CCACA80" w:rsidR="00140A1A" w:rsidRDefault="00140A1A" w:rsidP="00CF58DD">
      <w:pPr>
        <w:pStyle w:val="Fundamentos"/>
      </w:pPr>
      <w:r>
        <w:t xml:space="preserve">10. </w:t>
      </w:r>
      <w:r w:rsidRPr="00140A1A">
        <w:t>Revisar que los ingresos, egresos, manejo, custodia, aplicación de recursos públicos, así como los registros financieros y presupuestales del Sistema se realicen en apego a la normatividad aplicable;</w:t>
      </w:r>
    </w:p>
    <w:p w14:paraId="3A953688" w14:textId="7E77D629" w:rsidR="00A079B2" w:rsidRDefault="00CF58DD" w:rsidP="00CF58DD">
      <w:pPr>
        <w:pStyle w:val="Fundamentos"/>
      </w:pPr>
      <w:r>
        <w:t>[…]</w:t>
      </w:r>
    </w:p>
    <w:p w14:paraId="55076D8B" w14:textId="77777777" w:rsidR="00A079B2" w:rsidRDefault="00A079B2" w:rsidP="00770AEB"/>
    <w:p w14:paraId="08E76F5D" w14:textId="18801445" w:rsidR="00A079B2" w:rsidRDefault="00D076F4" w:rsidP="00770AEB">
      <w:r>
        <w:t>De tal forma que el Órgano de Control Interno del Sujeto Obligado cuenta con las atribuciones para realizar auditorías, inspecciones y acciones de control a las demás unidades administrativas adscritas al organismo, así como para revisar que los ingresos, egresos, custodia</w:t>
      </w:r>
      <w:r w:rsidR="00FF64AB">
        <w:t>, aplicación, registros financieros y presupuestales se realicen con apego a la normatividad aplicable</w:t>
      </w:r>
      <w:r w:rsidR="00D1132F">
        <w:t>.</w:t>
      </w:r>
    </w:p>
    <w:p w14:paraId="180A7CBF" w14:textId="77777777" w:rsidR="00D1132F" w:rsidRDefault="00D1132F" w:rsidP="00770AEB"/>
    <w:p w14:paraId="3C7A7D96" w14:textId="6AFA8FE5" w:rsidR="00D1132F" w:rsidRDefault="00D1132F" w:rsidP="00770AEB">
      <w:pPr>
        <w:rPr>
          <w:rFonts w:eastAsiaTheme="minorEastAsia" w:cstheme="minorBidi"/>
          <w:lang w:val="es-ES" w:eastAsia="en-US"/>
        </w:rPr>
      </w:pPr>
      <w:r>
        <w:t xml:space="preserve">Por tanto, dado que no </w:t>
      </w:r>
      <w:r w:rsidR="00771E3A">
        <w:t>se advierte en la respuesta del Sujeto Obligado pronunciamiento alguno por parte de</w:t>
      </w:r>
      <w:r w:rsidR="00BF4A12">
        <w:t xml:space="preserve">l área competente para generar, poseer o administrar la información relativa a las </w:t>
      </w:r>
      <w:r w:rsidR="00024D3A">
        <w:t xml:space="preserve">auditorías, inspecciones o acciones de control llevadas a cabo con relación a los ingresos obtenidos </w:t>
      </w:r>
      <w:r w:rsidR="008863EE">
        <w:rPr>
          <w:rFonts w:eastAsiaTheme="minorEastAsia" w:cstheme="minorBidi"/>
          <w:lang w:val="es-ES" w:eastAsia="en-US"/>
        </w:rPr>
        <w:t>en los años 2022, 2023 y 2024 por los servicios prestados en el Parque Colosio, entre ellos el de estacionamiento</w:t>
      </w:r>
      <w:r w:rsidR="00C21CAE">
        <w:rPr>
          <w:rFonts w:eastAsiaTheme="minorEastAsia" w:cstheme="minorBidi"/>
          <w:lang w:val="es-ES" w:eastAsia="en-US"/>
        </w:rPr>
        <w:t xml:space="preserve">, es que se estima procedente ordenar al Sujeto Obligado que, previa búsqueda exhaustiva y razonable, se haga entrega de </w:t>
      </w:r>
      <w:r w:rsidR="00EE4FB6">
        <w:rPr>
          <w:rFonts w:eastAsiaTheme="minorEastAsia" w:cstheme="minorBidi"/>
          <w:lang w:val="es-ES" w:eastAsia="en-US"/>
        </w:rPr>
        <w:t>la información.</w:t>
      </w:r>
    </w:p>
    <w:p w14:paraId="27E85EC2" w14:textId="77777777" w:rsidR="00EE4FB6" w:rsidRDefault="00EE4FB6" w:rsidP="00770AEB">
      <w:pPr>
        <w:rPr>
          <w:rFonts w:eastAsiaTheme="minorEastAsia" w:cstheme="minorBidi"/>
          <w:lang w:val="es-ES" w:eastAsia="en-US"/>
        </w:rPr>
      </w:pPr>
    </w:p>
    <w:p w14:paraId="331A4E4D" w14:textId="12494855" w:rsidR="00EE4FB6" w:rsidRDefault="00EE4FB6" w:rsidP="00770AEB">
      <w:pPr>
        <w:rPr>
          <w:rFonts w:eastAsiaTheme="minorEastAsia" w:cstheme="minorBidi"/>
          <w:lang w:val="es-ES" w:eastAsia="en-US"/>
        </w:rPr>
      </w:pPr>
      <w:r>
        <w:rPr>
          <w:rFonts w:eastAsiaTheme="minorEastAsia" w:cstheme="minorBidi"/>
          <w:lang w:val="es-ES" w:eastAsia="en-US"/>
        </w:rPr>
        <w:lastRenderedPageBreak/>
        <w:t xml:space="preserve">En esa tesitura, también es </w:t>
      </w:r>
      <w:r w:rsidR="00880DB6">
        <w:rPr>
          <w:rFonts w:eastAsiaTheme="minorEastAsia" w:cstheme="minorBidi"/>
          <w:lang w:val="es-ES" w:eastAsia="en-US"/>
        </w:rPr>
        <w:t>conveniente señalar que la información relacionada con los resultados de las auditorías</w:t>
      </w:r>
      <w:r w:rsidR="008375A9">
        <w:rPr>
          <w:rFonts w:eastAsiaTheme="minorEastAsia" w:cstheme="minorBidi"/>
          <w:lang w:val="es-ES" w:eastAsia="en-US"/>
        </w:rPr>
        <w:t xml:space="preserve"> al ejercicio del presupuesto también está contemplada dentro de las obligaciones de transparencia común, conforme lo estipula la fracción XXVIII del artículo 92 de la Ley de Transparencia local referido con anterioridad, como se observa a continuación:</w:t>
      </w:r>
    </w:p>
    <w:p w14:paraId="22F8760B" w14:textId="77777777" w:rsidR="008375A9" w:rsidRDefault="008375A9" w:rsidP="00770AEB">
      <w:pPr>
        <w:rPr>
          <w:rFonts w:eastAsiaTheme="minorEastAsia" w:cstheme="minorBidi"/>
          <w:lang w:val="es-ES" w:eastAsia="en-US"/>
        </w:rPr>
      </w:pPr>
    </w:p>
    <w:p w14:paraId="08956BB7" w14:textId="77BA9CF4" w:rsidR="008375A9" w:rsidRDefault="008375A9" w:rsidP="00C31F37">
      <w:pPr>
        <w:pStyle w:val="Fundamentos"/>
        <w:rPr>
          <w:lang w:val="es-ES" w:eastAsia="en-US"/>
        </w:rPr>
      </w:pPr>
      <w:r w:rsidRPr="00C31F37">
        <w:rPr>
          <w:b/>
          <w:bCs/>
          <w:lang w:val="es-ES" w:eastAsia="en-US"/>
        </w:rPr>
        <w:t>Artículo 92.</w:t>
      </w:r>
      <w:r>
        <w:rPr>
          <w:lang w:val="es-ES" w:eastAsia="en-US"/>
        </w:rPr>
        <w:t xml:space="preserve"> […]</w:t>
      </w:r>
    </w:p>
    <w:p w14:paraId="000B9591" w14:textId="77777777" w:rsidR="008375A9" w:rsidRDefault="008375A9" w:rsidP="00C31F37">
      <w:pPr>
        <w:pStyle w:val="Fundamentos"/>
        <w:rPr>
          <w:lang w:val="es-ES" w:eastAsia="en-US"/>
        </w:rPr>
      </w:pPr>
    </w:p>
    <w:p w14:paraId="554C2DF8" w14:textId="1ABC234D" w:rsidR="008375A9" w:rsidRDefault="00C31F37" w:rsidP="00C31F37">
      <w:pPr>
        <w:pStyle w:val="Fundamentos"/>
      </w:pPr>
      <w:r w:rsidRPr="00C31F37">
        <w:rPr>
          <w:b/>
          <w:bCs/>
        </w:rPr>
        <w:t>XXVIII.</w:t>
      </w:r>
      <w:r w:rsidRPr="00C31F37">
        <w:rPr>
          <w:b/>
          <w:bCs/>
        </w:rPr>
        <w:tab/>
      </w:r>
      <w:r w:rsidRPr="00C31F37">
        <w:t>Los informes de resultados de las auditorías al ejercicio presupuestal de cada sujeto obligado que se realicen y, en su caso, las aclaraciones que correspondan;</w:t>
      </w:r>
    </w:p>
    <w:p w14:paraId="14FDEA3D" w14:textId="6C5F0AA7" w:rsidR="00A079B2" w:rsidRDefault="00C31F37" w:rsidP="00C31F37">
      <w:pPr>
        <w:pStyle w:val="Fundamentos"/>
      </w:pPr>
      <w:r>
        <w:t>[…]</w:t>
      </w:r>
    </w:p>
    <w:p w14:paraId="36709BA6" w14:textId="77777777" w:rsidR="00A079B2" w:rsidRDefault="00A079B2" w:rsidP="00770AEB"/>
    <w:p w14:paraId="2155D722" w14:textId="77777777" w:rsidR="009C7997" w:rsidRDefault="0078178B" w:rsidP="009C7997">
      <w:pPr>
        <w:rPr>
          <w:lang w:val="es-MX"/>
        </w:rPr>
      </w:pPr>
      <w:r>
        <w:t>Sin embargo, en el supuesto de que dichas auditorías no se hayan concluido</w:t>
      </w:r>
      <w:r w:rsidR="0086670A">
        <w:t xml:space="preserve">, se estima que la </w:t>
      </w:r>
      <w:r w:rsidR="001B473B">
        <w:t xml:space="preserve">información puede ser susceptible de </w:t>
      </w:r>
      <w:r w:rsidR="00077E73">
        <w:t>clasificarse como reservada</w:t>
      </w:r>
      <w:r w:rsidR="00020E95">
        <w:t xml:space="preserve">, por lo que </w:t>
      </w:r>
      <w:r w:rsidR="0079244C">
        <w:t xml:space="preserve">el Sujeto Obligado deberá apegarse en lo dispuesto </w:t>
      </w:r>
      <w:r w:rsidR="00AD3319">
        <w:t>en el artículo 140</w:t>
      </w:r>
      <w:r w:rsidR="00775624">
        <w:t xml:space="preserve"> de la Ley de la materia y emitir el acuerdo debidamente fundado y motivado por el cual </w:t>
      </w:r>
      <w:r w:rsidR="00504DE2">
        <w:t>el Comité de Transparencia apruebe la clasificación de la información</w:t>
      </w:r>
      <w:r w:rsidR="000D5CD3">
        <w:t xml:space="preserve"> en el que se expongan </w:t>
      </w:r>
      <w:r w:rsidR="009C7997" w:rsidRPr="009C7997">
        <w:rPr>
          <w:lang w:val="es-MX"/>
        </w:rPr>
        <w:t>los argumentos y razones, basados en elementos objetivos o verificables, a partir de los cuales se derive que la divulgación de información, en particular, puede afectar, poner en riesgo o dañar el interés protegido</w:t>
      </w:r>
      <w:r w:rsidR="009C7997" w:rsidRPr="009C7997">
        <w:rPr>
          <w:vertAlign w:val="superscript"/>
          <w:lang w:val="es-MX"/>
        </w:rPr>
        <w:footnoteReference w:id="3"/>
      </w:r>
      <w:r w:rsidR="009C7997" w:rsidRPr="009C7997">
        <w:rPr>
          <w:lang w:val="es-MX"/>
        </w:rPr>
        <w:t>. Asimismo, ésta no debe basarse en meras especulaciones o suposiciones, sino en elementos objetivos que deban evaluar que existe un riego actual e inminente</w:t>
      </w:r>
      <w:r w:rsidR="009C7997" w:rsidRPr="009C7997">
        <w:rPr>
          <w:vertAlign w:val="superscript"/>
          <w:lang w:val="es-MX"/>
        </w:rPr>
        <w:footnoteReference w:id="4"/>
      </w:r>
      <w:r w:rsidR="009C7997" w:rsidRPr="009C7997">
        <w:rPr>
          <w:lang w:val="es-MX"/>
        </w:rPr>
        <w:t>.</w:t>
      </w:r>
    </w:p>
    <w:p w14:paraId="2EE11D06" w14:textId="77777777" w:rsidR="009C7997" w:rsidRPr="009C7997" w:rsidRDefault="009C7997" w:rsidP="009C7997">
      <w:pPr>
        <w:rPr>
          <w:b/>
          <w:lang w:val="es-MX"/>
        </w:rPr>
      </w:pPr>
    </w:p>
    <w:p w14:paraId="752B08B1" w14:textId="77777777" w:rsidR="009C7997" w:rsidRPr="009C7997" w:rsidRDefault="009C7997" w:rsidP="009C7997">
      <w:pPr>
        <w:rPr>
          <w:lang w:val="es-MX"/>
        </w:rPr>
      </w:pPr>
      <w:r w:rsidRPr="009C7997">
        <w:rPr>
          <w:lang w:val="es-MX"/>
        </w:rPr>
        <w:lastRenderedPageBreak/>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9C7997">
        <w:rPr>
          <w:b/>
          <w:u w:val="single"/>
          <w:lang w:val="es-MX"/>
        </w:rPr>
        <w:t>sino de cada uno de los documentos que lo integran</w:t>
      </w:r>
      <w:r w:rsidRPr="009C7997">
        <w:rPr>
          <w:lang w:val="es-MX"/>
        </w:rPr>
        <w:t>.</w:t>
      </w:r>
    </w:p>
    <w:p w14:paraId="13FA079F" w14:textId="0EF96A3C" w:rsidR="00A079B2" w:rsidRPr="009C7997" w:rsidRDefault="00A079B2" w:rsidP="00770AEB">
      <w:pPr>
        <w:rPr>
          <w:lang w:val="es-MX"/>
        </w:rPr>
      </w:pPr>
    </w:p>
    <w:p w14:paraId="584DF0E5" w14:textId="56BC0A04" w:rsidR="00361350" w:rsidRDefault="00D11A26" w:rsidP="00770AEB">
      <w:r>
        <w:t xml:space="preserve">Sin embargo, </w:t>
      </w:r>
      <w:r w:rsidR="0070176F">
        <w:t xml:space="preserve">se debe resaltar que la clasificación de la información </w:t>
      </w:r>
      <w:r w:rsidR="003F6080">
        <w:t>tiene como excepciones las hipótesis previstas en el artículo 142 de la Ley de Transparencia estatal, que a la letra dispone lo siguiente:</w:t>
      </w:r>
    </w:p>
    <w:p w14:paraId="53FB2E6C" w14:textId="77777777" w:rsidR="003F6080" w:rsidRDefault="003F6080" w:rsidP="00770AEB"/>
    <w:p w14:paraId="1321DEAA" w14:textId="77777777" w:rsidR="00900075" w:rsidRDefault="00900075" w:rsidP="001F1579">
      <w:pPr>
        <w:pStyle w:val="Fundamentos"/>
      </w:pPr>
      <w:r w:rsidRPr="00900075">
        <w:rPr>
          <w:b/>
          <w:bCs/>
        </w:rPr>
        <w:t xml:space="preserve">Artículo 142. </w:t>
      </w:r>
      <w:r>
        <w:t>Bajo ninguna circunstancia podrá invocarse el carácter de reservado cuando:</w:t>
      </w:r>
    </w:p>
    <w:p w14:paraId="23EDE8B3" w14:textId="77777777" w:rsidR="00900075" w:rsidRDefault="00900075" w:rsidP="001F1579">
      <w:pPr>
        <w:pStyle w:val="Fundamentos"/>
      </w:pPr>
    </w:p>
    <w:p w14:paraId="1567E2E6" w14:textId="55D25802" w:rsidR="00900075" w:rsidRDefault="00900075" w:rsidP="001F1579">
      <w:pPr>
        <w:pStyle w:val="Fundamentos"/>
      </w:pPr>
      <w:r w:rsidRPr="00900075">
        <w:rPr>
          <w:b/>
          <w:bCs/>
        </w:rPr>
        <w:t>I.</w:t>
      </w:r>
      <w:r>
        <w:t xml:space="preserve"> </w:t>
      </w:r>
      <w:r w:rsidR="001F1579">
        <w:tab/>
      </w:r>
      <w:r>
        <w:t xml:space="preserve">Se trate de violaciones graves de derechos humanos, calificada así por autoridad competente; </w:t>
      </w:r>
    </w:p>
    <w:p w14:paraId="4D783B70" w14:textId="6A36DD3D" w:rsidR="00900075" w:rsidRDefault="00900075" w:rsidP="001F1579">
      <w:pPr>
        <w:pStyle w:val="Fundamentos"/>
      </w:pPr>
      <w:r w:rsidRPr="001F1579">
        <w:rPr>
          <w:b/>
          <w:bCs/>
        </w:rPr>
        <w:t>II.</w:t>
      </w:r>
      <w:r>
        <w:t xml:space="preserve"> </w:t>
      </w:r>
      <w:r w:rsidR="001F1579">
        <w:tab/>
      </w:r>
      <w:r>
        <w:t xml:space="preserve">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188D2622" w14:textId="01871F52" w:rsidR="00900075" w:rsidRDefault="00900075" w:rsidP="001F1579">
      <w:pPr>
        <w:pStyle w:val="Fundamentos"/>
      </w:pPr>
      <w:r w:rsidRPr="001F1579">
        <w:rPr>
          <w:b/>
          <w:bCs/>
        </w:rPr>
        <w:t>III.</w:t>
      </w:r>
      <w:r>
        <w:t xml:space="preserve"> </w:t>
      </w:r>
      <w:r w:rsidR="001F1579">
        <w:tab/>
      </w:r>
      <w:r>
        <w:t xml:space="preserve">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78136294" w14:textId="37C9310E" w:rsidR="003F6080" w:rsidRDefault="00900075" w:rsidP="001F1579">
      <w:pPr>
        <w:pStyle w:val="Fundamentos"/>
      </w:pPr>
      <w:r w:rsidRPr="001F1579">
        <w:rPr>
          <w:b/>
          <w:bCs/>
        </w:rPr>
        <w:t>IV.</w:t>
      </w:r>
      <w:r>
        <w:t xml:space="preserve"> </w:t>
      </w:r>
      <w:r w:rsidR="001F1579">
        <w:tab/>
      </w:r>
      <w:r>
        <w:t>Se trate de información relacionada con actos de corrupción de conformidad con las disposiciones jurídicas aplicables</w:t>
      </w:r>
    </w:p>
    <w:p w14:paraId="6C726260" w14:textId="77777777" w:rsidR="00361350" w:rsidRDefault="00361350" w:rsidP="00770AEB"/>
    <w:p w14:paraId="51715BE1" w14:textId="44C2078B" w:rsidR="00372105" w:rsidRDefault="00F61C7A" w:rsidP="00637679">
      <w:r>
        <w:t xml:space="preserve">En conclusión, </w:t>
      </w:r>
      <w:r w:rsidR="006D57E4">
        <w:t xml:space="preserve">este Instituto estima que el Sujeto Obligado no colmó la totalidad de la información solicitada, por lo que </w:t>
      </w:r>
      <w:r w:rsidR="00197443">
        <w:t xml:space="preserve">los motivos </w:t>
      </w:r>
      <w:r w:rsidR="00694E9A">
        <w:t>de inconformidad planteados por el particular devienen fundados</w:t>
      </w:r>
      <w:r w:rsidR="00197443">
        <w:t xml:space="preserve">; en consecuencia, </w:t>
      </w:r>
      <w:r w:rsidR="00694E9A">
        <w:t xml:space="preserve">es procedente </w:t>
      </w:r>
      <w:r w:rsidR="00197443">
        <w:t>modificar</w:t>
      </w:r>
      <w:r w:rsidR="008C6195">
        <w:t xml:space="preserve"> la respuesta y </w:t>
      </w:r>
      <w:r w:rsidR="008C6195">
        <w:lastRenderedPageBreak/>
        <w:t>ordenar al Sujeto Obligado que</w:t>
      </w:r>
      <w:r w:rsidR="00197443">
        <w:t xml:space="preserve">, previa búsqueda exhaustiva y razonable, haga entrega </w:t>
      </w:r>
      <w:r w:rsidR="00390D79">
        <w:t>al Recurrente</w:t>
      </w:r>
      <w:r w:rsidR="00372105">
        <w:t xml:space="preserve">, respecto </w:t>
      </w:r>
      <w:r w:rsidR="00372105" w:rsidRPr="00372105">
        <w:t>de los ingresos recaudados en los años 2022, 2023 y 2024 por los servicios prestados en el Parque Colosio, entre ellos el de estacionamiento</w:t>
      </w:r>
      <w:r w:rsidR="00372105">
        <w:t>, de lo siguiente, en versión pública de ser procedente:</w:t>
      </w:r>
    </w:p>
    <w:p w14:paraId="6CBD342F" w14:textId="77777777" w:rsidR="00372105" w:rsidRDefault="00372105" w:rsidP="00637679"/>
    <w:p w14:paraId="3A69ECB5" w14:textId="159265A3" w:rsidR="0036323B" w:rsidRDefault="0036323B" w:rsidP="0036323B">
      <w:pPr>
        <w:pStyle w:val="Prrafodelista"/>
        <w:numPr>
          <w:ilvl w:val="0"/>
          <w:numId w:val="59"/>
        </w:numPr>
        <w:rPr>
          <w:rFonts w:eastAsiaTheme="minorEastAsia" w:cstheme="minorBidi"/>
          <w:lang w:eastAsia="en-US"/>
        </w:rPr>
      </w:pPr>
      <w:r w:rsidRPr="00707F22">
        <w:rPr>
          <w:rFonts w:eastAsiaTheme="minorEastAsia" w:cstheme="minorBidi"/>
          <w:lang w:eastAsia="en-US"/>
        </w:rPr>
        <w:t>Las cuentas</w:t>
      </w:r>
      <w:r w:rsidR="00156610">
        <w:rPr>
          <w:rFonts w:eastAsiaTheme="minorEastAsia" w:cstheme="minorBidi"/>
          <w:lang w:eastAsia="en-US"/>
        </w:rPr>
        <w:t xml:space="preserve"> o</w:t>
      </w:r>
      <w:r w:rsidRPr="00707F22">
        <w:rPr>
          <w:rFonts w:eastAsiaTheme="minorEastAsia" w:cstheme="minorBidi"/>
          <w:lang w:eastAsia="en-US"/>
        </w:rPr>
        <w:t xml:space="preserve"> cortes de caja</w:t>
      </w:r>
      <w:r w:rsidR="00156610">
        <w:rPr>
          <w:rFonts w:eastAsiaTheme="minorEastAsia" w:cstheme="minorBidi"/>
          <w:lang w:eastAsia="en-US"/>
        </w:rPr>
        <w:t>.</w:t>
      </w:r>
    </w:p>
    <w:p w14:paraId="296FA426" w14:textId="293E696B" w:rsidR="0036323B" w:rsidRDefault="0036323B" w:rsidP="0036323B">
      <w:pPr>
        <w:pStyle w:val="Prrafodelista"/>
        <w:numPr>
          <w:ilvl w:val="0"/>
          <w:numId w:val="59"/>
        </w:numPr>
        <w:rPr>
          <w:rFonts w:eastAsiaTheme="minorEastAsia" w:cstheme="minorBidi"/>
          <w:lang w:eastAsia="en-US"/>
        </w:rPr>
      </w:pPr>
      <w:r>
        <w:rPr>
          <w:rFonts w:eastAsiaTheme="minorEastAsia" w:cstheme="minorBidi"/>
          <w:lang w:eastAsia="en-US"/>
        </w:rPr>
        <w:t xml:space="preserve">Las </w:t>
      </w:r>
      <w:r w:rsidRPr="00707F22">
        <w:rPr>
          <w:rFonts w:eastAsiaTheme="minorEastAsia" w:cstheme="minorBidi"/>
          <w:lang w:eastAsia="en-US"/>
        </w:rPr>
        <w:t>auditorías o revisiones</w:t>
      </w:r>
      <w:r w:rsidR="00156610">
        <w:rPr>
          <w:rFonts w:eastAsiaTheme="minorEastAsia" w:cstheme="minorBidi"/>
          <w:lang w:eastAsia="en-US"/>
        </w:rPr>
        <w:t xml:space="preserve"> </w:t>
      </w:r>
      <w:r w:rsidR="00AB7026">
        <w:rPr>
          <w:rFonts w:eastAsiaTheme="minorEastAsia" w:cstheme="minorBidi"/>
          <w:lang w:eastAsia="en-US"/>
        </w:rPr>
        <w:t>concluidas.</w:t>
      </w:r>
    </w:p>
    <w:p w14:paraId="0802E1F6" w14:textId="53DE84FF" w:rsidR="00AB7026" w:rsidRPr="00707F22" w:rsidRDefault="00AB7026" w:rsidP="0036323B">
      <w:pPr>
        <w:pStyle w:val="Prrafodelista"/>
        <w:numPr>
          <w:ilvl w:val="0"/>
          <w:numId w:val="59"/>
        </w:numPr>
        <w:rPr>
          <w:rFonts w:eastAsiaTheme="minorEastAsia" w:cstheme="minorBidi"/>
          <w:lang w:eastAsia="en-US"/>
        </w:rPr>
      </w:pPr>
      <w:r>
        <w:rPr>
          <w:rFonts w:eastAsiaTheme="minorEastAsia" w:cstheme="minorBidi"/>
          <w:lang w:eastAsia="en-US"/>
        </w:rPr>
        <w:t xml:space="preserve">Los </w:t>
      </w:r>
      <w:r w:rsidRPr="00707F22">
        <w:rPr>
          <w:rFonts w:eastAsiaTheme="minorEastAsia" w:cstheme="minorBidi"/>
          <w:lang w:eastAsia="en-US"/>
        </w:rPr>
        <w:t xml:space="preserve">documentos con los que se acredite como fueron utilizados </w:t>
      </w:r>
      <w:r w:rsidR="00CF31F6">
        <w:rPr>
          <w:rFonts w:eastAsiaTheme="minorEastAsia" w:cstheme="minorBidi"/>
          <w:lang w:eastAsia="en-US"/>
        </w:rPr>
        <w:t>los recursos obtenidos.</w:t>
      </w:r>
    </w:p>
    <w:p w14:paraId="745DA057" w14:textId="77777777" w:rsidR="003F7DBF" w:rsidRDefault="003F7DBF" w:rsidP="00637679">
      <w:pPr>
        <w:rPr>
          <w:lang w:val="es-ES"/>
        </w:rPr>
      </w:pPr>
    </w:p>
    <w:p w14:paraId="74882B3F" w14:textId="7D908B38" w:rsidR="00441564" w:rsidRDefault="00441564" w:rsidP="00637679">
      <w:pPr>
        <w:rPr>
          <w:lang w:val="es-ES"/>
        </w:rPr>
      </w:pPr>
      <w:r>
        <w:rPr>
          <w:lang w:val="es-ES"/>
        </w:rPr>
        <w:t xml:space="preserve">En el supuesto de que existan auditorías </w:t>
      </w:r>
      <w:r w:rsidR="00BC0A2C">
        <w:rPr>
          <w:lang w:val="es-ES"/>
        </w:rPr>
        <w:t xml:space="preserve">que no hayan quedado firmes, se deberá hacer entrega del acuerdo de clasificación que emita </w:t>
      </w:r>
      <w:r w:rsidR="004C608E">
        <w:rPr>
          <w:lang w:val="es-ES"/>
        </w:rPr>
        <w:t xml:space="preserve">el </w:t>
      </w:r>
      <w:r w:rsidR="00221197">
        <w:rPr>
          <w:lang w:val="es-ES"/>
        </w:rPr>
        <w:t>Comité de Transparencia del Sujeto Obligado.</w:t>
      </w:r>
    </w:p>
    <w:p w14:paraId="5079839A" w14:textId="77777777" w:rsidR="00425195" w:rsidRDefault="00425195" w:rsidP="00637679">
      <w:pPr>
        <w:rPr>
          <w:lang w:val="es-ES"/>
        </w:rPr>
      </w:pPr>
    </w:p>
    <w:p w14:paraId="70BE0B15" w14:textId="760BE748" w:rsidR="00425195" w:rsidRDefault="00425195" w:rsidP="00637679">
      <w:pPr>
        <w:rPr>
          <w:lang w:val="es-ES"/>
        </w:rPr>
      </w:pPr>
      <w:r>
        <w:rPr>
          <w:lang w:val="es-ES"/>
        </w:rPr>
        <w:t xml:space="preserve">Asimismo, en caso de que no se hayan realizado auditorías o revisiones </w:t>
      </w:r>
      <w:r w:rsidR="00050A58">
        <w:rPr>
          <w:lang w:val="es-ES"/>
        </w:rPr>
        <w:t xml:space="preserve">a los ingresos referidos en el periodo señalado por el Recurrente, </w:t>
      </w:r>
      <w:r w:rsidR="00D56AAB">
        <w:rPr>
          <w:lang w:val="es-ES"/>
        </w:rPr>
        <w:t>bastará con que así lo haga del conocimiento del particular conforme lo establece el segundo párrafo del artículo 19 de la Ley de Transparencia, en el que se dispone lo siguiente:</w:t>
      </w:r>
    </w:p>
    <w:p w14:paraId="4CC97A27" w14:textId="77777777" w:rsidR="00D56AAB" w:rsidRDefault="00D56AAB" w:rsidP="00637679">
      <w:pPr>
        <w:rPr>
          <w:lang w:val="es-ES"/>
        </w:rPr>
      </w:pPr>
    </w:p>
    <w:p w14:paraId="542B9E34" w14:textId="77777777" w:rsidR="00C65D61" w:rsidRPr="00C65D61" w:rsidRDefault="00C65D61" w:rsidP="00C65D61">
      <w:pPr>
        <w:pStyle w:val="Fundamentos"/>
        <w:rPr>
          <w:lang w:val="es-MX"/>
        </w:rPr>
      </w:pPr>
      <w:r w:rsidRPr="00C65D61">
        <w:rPr>
          <w:b/>
          <w:lang w:val="es-MX"/>
        </w:rPr>
        <w:t xml:space="preserve">Artículo 19. </w:t>
      </w:r>
      <w:r w:rsidRPr="00C65D61">
        <w:rPr>
          <w:lang w:val="es-MX"/>
        </w:rPr>
        <w:t>Se presume que la información debe existir si se refiere a las facultades, competencias y funciones que los ordenamientos jurídicos aplicables otorgan a los sujetos obligados.</w:t>
      </w:r>
    </w:p>
    <w:p w14:paraId="2861191E" w14:textId="77777777" w:rsidR="00C65D61" w:rsidRPr="00C65D61" w:rsidRDefault="00C65D61" w:rsidP="00C65D61">
      <w:pPr>
        <w:pStyle w:val="Fundamentos"/>
        <w:rPr>
          <w:lang w:val="es-MX"/>
        </w:rPr>
      </w:pPr>
    </w:p>
    <w:p w14:paraId="300D60C7" w14:textId="77777777" w:rsidR="00C65D61" w:rsidRPr="00C65D61" w:rsidRDefault="00C65D61" w:rsidP="00C65D61">
      <w:pPr>
        <w:pStyle w:val="Fundamentos"/>
        <w:rPr>
          <w:b/>
          <w:bCs/>
          <w:u w:val="single"/>
          <w:lang w:val="es-MX"/>
        </w:rPr>
      </w:pPr>
      <w:r w:rsidRPr="00C65D61">
        <w:rPr>
          <w:b/>
          <w:bCs/>
          <w:u w:val="single"/>
          <w:lang w:val="es-MX"/>
        </w:rPr>
        <w:t>En los casos en que ciertas facultades, competencias o funciones no se hayan ejercido, se debe motivar la respuesta en función de las causas que motiven tal circunstancia.</w:t>
      </w:r>
    </w:p>
    <w:p w14:paraId="0C4673B5" w14:textId="77777777" w:rsidR="00C65D61" w:rsidRPr="00C65D61" w:rsidRDefault="00C65D61" w:rsidP="00C65D61">
      <w:pPr>
        <w:pStyle w:val="Fundamentos"/>
        <w:rPr>
          <w:b/>
          <w:bCs/>
          <w:u w:val="single"/>
          <w:lang w:val="es-MX"/>
        </w:rPr>
      </w:pPr>
    </w:p>
    <w:p w14:paraId="48B15970" w14:textId="7726949C" w:rsidR="00D56AAB" w:rsidRPr="00C65D61" w:rsidRDefault="00C65D61" w:rsidP="00C65D61">
      <w:pPr>
        <w:pStyle w:val="Fundamentos"/>
        <w:rPr>
          <w:lang w:val="es-MX"/>
        </w:rPr>
      </w:pPr>
      <w:r w:rsidRPr="00C65D61">
        <w:rPr>
          <w:lang w:val="es-MX"/>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FE8B3A8" w14:textId="77777777" w:rsidR="00441564" w:rsidRPr="0036323B" w:rsidRDefault="00441564" w:rsidP="00637679">
      <w:pPr>
        <w:rPr>
          <w:lang w:val="es-ES"/>
        </w:rPr>
      </w:pPr>
    </w:p>
    <w:p w14:paraId="3B9CF70B" w14:textId="77777777" w:rsidR="001822A3" w:rsidRPr="008F3C6D" w:rsidRDefault="001822A3" w:rsidP="001822A3">
      <w:pPr>
        <w:pStyle w:val="Ttulo3"/>
        <w:rPr>
          <w:rFonts w:eastAsia="Times New Roman"/>
        </w:rPr>
      </w:pPr>
      <w:r w:rsidRPr="008F3C6D">
        <w:rPr>
          <w:rFonts w:eastAsia="Times New Roman"/>
        </w:rPr>
        <w:t>DE LA VERSIÓN PÚBLICA</w:t>
      </w:r>
    </w:p>
    <w:p w14:paraId="0FBE3093" w14:textId="77777777" w:rsidR="001822A3" w:rsidRPr="006A7396" w:rsidRDefault="001822A3" w:rsidP="001822A3">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E5A2723" w14:textId="77777777" w:rsidR="001822A3" w:rsidRPr="006A7396" w:rsidRDefault="001822A3" w:rsidP="001822A3">
      <w:pPr>
        <w:rPr>
          <w:rFonts w:eastAsia="Palatino Linotype" w:cs="Palatino Linotype"/>
          <w:szCs w:val="24"/>
        </w:rPr>
      </w:pPr>
    </w:p>
    <w:p w14:paraId="339C11E1"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0566A601"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4DFB2FDB"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867C6F1"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0047D1FD"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E4F807E" w14:textId="77777777" w:rsidR="001822A3" w:rsidRPr="00787121"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87121">
        <w:rPr>
          <w:rFonts w:eastAsia="Palatino Linotype" w:cs="Palatino Linotype"/>
          <w:i/>
          <w:color w:val="000000"/>
          <w:sz w:val="22"/>
          <w:szCs w:val="24"/>
        </w:rPr>
        <w:t>[…]</w:t>
      </w:r>
    </w:p>
    <w:p w14:paraId="2B015AB6"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E01C06C"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43FD3F0"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FB27CD3"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6D6B6DEF"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D656E5F"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474818CA"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33EBD4E6"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79535B63"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lastRenderedPageBreak/>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0DE5CB05"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43AA416E" w14:textId="77777777" w:rsidR="001822A3" w:rsidRPr="006A7396" w:rsidRDefault="001822A3" w:rsidP="001822A3">
      <w:pPr>
        <w:rPr>
          <w:rFonts w:eastAsia="Palatino Linotype" w:cs="Palatino Linotype"/>
          <w:i/>
          <w:szCs w:val="24"/>
        </w:rPr>
      </w:pPr>
    </w:p>
    <w:p w14:paraId="759CDECB" w14:textId="77777777" w:rsidR="001822A3" w:rsidRPr="006A7396" w:rsidRDefault="001822A3" w:rsidP="001822A3">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E1BF6AD" w14:textId="77777777" w:rsidR="001822A3" w:rsidRPr="006A7396" w:rsidRDefault="001822A3" w:rsidP="001822A3">
      <w:pPr>
        <w:rPr>
          <w:rFonts w:eastAsia="Palatino Linotype" w:cs="Palatino Linotype"/>
          <w:szCs w:val="24"/>
        </w:rPr>
      </w:pPr>
    </w:p>
    <w:p w14:paraId="31D3181A" w14:textId="77777777" w:rsidR="001822A3" w:rsidRPr="006A7396" w:rsidRDefault="001822A3" w:rsidP="001822A3">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A505B57" w14:textId="77777777" w:rsidR="001822A3" w:rsidRPr="006A7396" w:rsidRDefault="001822A3" w:rsidP="001822A3">
      <w:pPr>
        <w:rPr>
          <w:rFonts w:eastAsia="Palatino Linotype" w:cs="Palatino Linotype"/>
          <w:szCs w:val="24"/>
        </w:rPr>
      </w:pPr>
    </w:p>
    <w:p w14:paraId="47CCCD6E" w14:textId="77777777" w:rsidR="001822A3" w:rsidRPr="006A7396" w:rsidRDefault="001822A3" w:rsidP="001822A3">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16F1D0FA" w14:textId="77777777" w:rsidR="001822A3" w:rsidRPr="006A7396" w:rsidRDefault="001822A3" w:rsidP="001822A3">
      <w:pPr>
        <w:rPr>
          <w:rFonts w:eastAsia="Palatino Linotype" w:cs="Palatino Linotype"/>
        </w:rPr>
      </w:pPr>
    </w:p>
    <w:p w14:paraId="55EABC65"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94A43A9"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112837D"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5E4B04C3"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F028913"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1F518EBF"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16DDFDFF"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D65D37C"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66F3090"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2A6C91A"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37D942F" w14:textId="77777777" w:rsidR="001822A3" w:rsidRPr="006A7396" w:rsidRDefault="001822A3" w:rsidP="001822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23AA8938" w14:textId="77777777" w:rsidR="001822A3" w:rsidRPr="006A7396" w:rsidRDefault="001822A3" w:rsidP="001822A3">
      <w:pPr>
        <w:rPr>
          <w:rFonts w:eastAsia="Palatino Linotype" w:cs="Palatino Linotype"/>
          <w:i/>
          <w:szCs w:val="24"/>
        </w:rPr>
      </w:pPr>
    </w:p>
    <w:p w14:paraId="605F0162" w14:textId="77777777" w:rsidR="001822A3" w:rsidRPr="00F42CE0" w:rsidRDefault="001822A3" w:rsidP="001822A3">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7C4F6DA" w14:textId="77777777" w:rsidR="001822A3" w:rsidRDefault="001822A3" w:rsidP="001822A3">
      <w:pPr>
        <w:rPr>
          <w:rFonts w:eastAsia="Palatino Linotype" w:cs="Palatino Linotype"/>
          <w:szCs w:val="24"/>
        </w:rPr>
      </w:pPr>
    </w:p>
    <w:p w14:paraId="1A3ED267" w14:textId="77777777" w:rsidR="001822A3" w:rsidRPr="00754B8E" w:rsidRDefault="001822A3" w:rsidP="001822A3">
      <w:pPr>
        <w:rPr>
          <w:rFonts w:eastAsia="Palatino Linotype" w:cs="Palatino Linotype"/>
          <w:szCs w:val="24"/>
        </w:rPr>
      </w:pPr>
      <w:r w:rsidRPr="00754B8E">
        <w:rPr>
          <w:rFonts w:eastAsia="Palatino Linotype" w:cs="Palatino Linotype"/>
          <w:szCs w:val="24"/>
        </w:rPr>
        <w:lastRenderedPageBreak/>
        <w:t xml:space="preserve">Debe agregarse, que el Sujeto Obligado al entregar la referida documentación, debe dejar visible los datos del proveedor o contratistas, el registro federal de contribuyentes y el domicilio fiscal; es decir, no debe testarse dato alguno relacionado con el contribuyente aunque el proveedor o contratista sea una persona física. </w:t>
      </w:r>
    </w:p>
    <w:p w14:paraId="771A7EA6" w14:textId="77777777" w:rsidR="001822A3" w:rsidRPr="00754B8E" w:rsidRDefault="001822A3" w:rsidP="001822A3">
      <w:pPr>
        <w:rPr>
          <w:rFonts w:eastAsia="Palatino Linotype" w:cs="Palatino Linotype"/>
          <w:szCs w:val="24"/>
        </w:rPr>
      </w:pPr>
    </w:p>
    <w:p w14:paraId="4E79A036" w14:textId="77777777" w:rsidR="001822A3" w:rsidRPr="00754B8E" w:rsidRDefault="001822A3" w:rsidP="001822A3">
      <w:pPr>
        <w:rPr>
          <w:rFonts w:eastAsia="Palatino Linotype" w:cs="Palatino Linotype"/>
          <w:szCs w:val="24"/>
        </w:rPr>
      </w:pPr>
      <w:r w:rsidRPr="00754B8E">
        <w:rPr>
          <w:rFonts w:eastAsia="Palatino Linotype" w:cs="Palatino Linotype"/>
          <w:szCs w:val="24"/>
        </w:rPr>
        <w:t xml:space="preserve">Lo anterior se debe a que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2B0425D7" w14:textId="77777777" w:rsidR="001822A3" w:rsidRPr="00754B8E" w:rsidRDefault="001822A3" w:rsidP="001822A3">
      <w:pPr>
        <w:rPr>
          <w:rFonts w:eastAsia="Palatino Linotype" w:cs="Palatino Linotype"/>
          <w:szCs w:val="24"/>
        </w:rPr>
      </w:pPr>
    </w:p>
    <w:p w14:paraId="592C63FF" w14:textId="77777777" w:rsidR="001822A3" w:rsidRPr="00754B8E" w:rsidRDefault="001822A3" w:rsidP="001822A3">
      <w:pPr>
        <w:rPr>
          <w:rFonts w:eastAsia="Palatino Linotype" w:cs="Palatino Linotype"/>
          <w:szCs w:val="24"/>
        </w:rPr>
      </w:pPr>
      <w:r w:rsidRPr="00754B8E">
        <w:rPr>
          <w:rFonts w:eastAsia="Palatino Linotype" w:cs="Palatino Linotype"/>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17052500" w14:textId="77777777" w:rsidR="001822A3" w:rsidRPr="00754B8E" w:rsidRDefault="001822A3" w:rsidP="001822A3">
      <w:pPr>
        <w:rPr>
          <w:rFonts w:eastAsia="Palatino Linotype" w:cs="Palatino Linotype"/>
          <w:szCs w:val="24"/>
        </w:rPr>
      </w:pPr>
    </w:p>
    <w:p w14:paraId="3B69320A" w14:textId="77777777" w:rsidR="001822A3" w:rsidRPr="00754B8E" w:rsidRDefault="001822A3" w:rsidP="001822A3">
      <w:pPr>
        <w:rPr>
          <w:rFonts w:eastAsia="Palatino Linotype" w:cs="Palatino Linotype"/>
          <w:szCs w:val="24"/>
        </w:rPr>
      </w:pPr>
      <w:r w:rsidRPr="00754B8E">
        <w:rPr>
          <w:rFonts w:eastAsia="Palatino Linotype" w:cs="Palatino Linotype"/>
          <w:szCs w:val="24"/>
        </w:rPr>
        <w:t>Ahora bien, respecto de los números de cuentas bancarias, claves</w:t>
      </w:r>
      <w:r>
        <w:rPr>
          <w:rFonts w:eastAsia="Palatino Linotype" w:cs="Palatino Linotype"/>
          <w:szCs w:val="24"/>
        </w:rPr>
        <w:t xml:space="preserve"> estandarizadas interbancarias</w:t>
      </w:r>
      <w:r w:rsidRPr="00754B8E">
        <w:rPr>
          <w:rFonts w:eastAsia="Palatino Linotype" w:cs="Palatino Linotype"/>
          <w:szCs w:val="24"/>
        </w:rPr>
        <w:t xml:space="preserve"> (CLABES) y de tarjetas de los proveedores, este Pleno considera que es información que debe clasificarse como confidencial y por lo tanto debe elaborarse una versión en que ésta se teste. </w:t>
      </w:r>
    </w:p>
    <w:p w14:paraId="4DB17695" w14:textId="77777777" w:rsidR="001822A3" w:rsidRPr="00754B8E" w:rsidRDefault="001822A3" w:rsidP="001822A3">
      <w:pPr>
        <w:rPr>
          <w:rFonts w:eastAsia="Palatino Linotype" w:cs="Palatino Linotype"/>
          <w:szCs w:val="24"/>
        </w:rPr>
      </w:pPr>
    </w:p>
    <w:p w14:paraId="2C1F20E0" w14:textId="77777777" w:rsidR="001822A3" w:rsidRPr="00754B8E" w:rsidRDefault="001822A3" w:rsidP="001822A3">
      <w:pPr>
        <w:rPr>
          <w:rFonts w:eastAsia="Palatino Linotype" w:cs="Palatino Linotype"/>
          <w:lang w:val="es-ES"/>
        </w:rPr>
      </w:pPr>
      <w:r w:rsidRPr="72A4F5BC">
        <w:rPr>
          <w:rFonts w:eastAsia="Palatino Linotype" w:cs="Palatino Linotype"/>
          <w:lang w:val="es-ES"/>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413CF6AF" w14:textId="77777777" w:rsidR="001822A3" w:rsidRPr="00754B8E" w:rsidRDefault="001822A3" w:rsidP="001822A3">
      <w:pPr>
        <w:rPr>
          <w:rFonts w:eastAsia="Palatino Linotype" w:cs="Palatino Linotype"/>
          <w:szCs w:val="24"/>
        </w:rPr>
      </w:pPr>
    </w:p>
    <w:p w14:paraId="5AD07216" w14:textId="77777777" w:rsidR="001822A3" w:rsidRPr="00754B8E" w:rsidRDefault="001822A3" w:rsidP="001822A3">
      <w:pPr>
        <w:rPr>
          <w:rFonts w:eastAsia="Palatino Linotype" w:cs="Palatino Linotype"/>
          <w:lang w:val="es-ES"/>
        </w:rPr>
      </w:pPr>
      <w:r w:rsidRPr="72A4F5BC">
        <w:rPr>
          <w:rFonts w:eastAsia="Palatino Linotype" w:cs="Palatino Linotype"/>
          <w:lang w:val="es-ES"/>
        </w:rPr>
        <w:t>Por lo anterior, el número de cuenta bancaria debe ser información confidencial en términos del artículo 143, de la Ley de Transparencia y Acceso a la Información Pública del Estado de México y Municipios, debido a que con su difusión se estaría revelando información de una persona física o jurídica colectiva.</w:t>
      </w:r>
    </w:p>
    <w:p w14:paraId="09B5A005" w14:textId="77777777" w:rsidR="001822A3" w:rsidRPr="00754B8E" w:rsidRDefault="001822A3" w:rsidP="001822A3">
      <w:pPr>
        <w:rPr>
          <w:rFonts w:eastAsia="Palatino Linotype" w:cs="Palatino Linotype"/>
          <w:szCs w:val="24"/>
        </w:rPr>
      </w:pPr>
    </w:p>
    <w:p w14:paraId="17C8941E" w14:textId="77777777" w:rsidR="001822A3" w:rsidRPr="00754B8E" w:rsidRDefault="001822A3" w:rsidP="001822A3">
      <w:pPr>
        <w:rPr>
          <w:rFonts w:eastAsia="Palatino Linotype" w:cs="Palatino Linotype"/>
          <w:szCs w:val="24"/>
        </w:rPr>
      </w:pPr>
      <w:r w:rsidRPr="00754B8E">
        <w:rPr>
          <w:rFonts w:eastAsia="Palatino Linotype" w:cs="Palatino Linotype"/>
          <w:szCs w:val="24"/>
        </w:rPr>
        <w:t xml:space="preserve">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w:t>
      </w:r>
    </w:p>
    <w:p w14:paraId="04E71480" w14:textId="77777777" w:rsidR="001822A3" w:rsidRPr="00754B8E" w:rsidRDefault="001822A3" w:rsidP="001822A3">
      <w:pPr>
        <w:rPr>
          <w:rFonts w:eastAsia="Palatino Linotype" w:cs="Palatino Linotype"/>
          <w:szCs w:val="24"/>
        </w:rPr>
      </w:pPr>
    </w:p>
    <w:p w14:paraId="300A1E8F" w14:textId="77777777" w:rsidR="001822A3" w:rsidRPr="00754B8E" w:rsidRDefault="001822A3" w:rsidP="001822A3">
      <w:pPr>
        <w:rPr>
          <w:rFonts w:eastAsia="Palatino Linotype" w:cs="Palatino Linotype"/>
          <w:szCs w:val="24"/>
        </w:rPr>
      </w:pPr>
      <w:r w:rsidRPr="00754B8E">
        <w:rPr>
          <w:rFonts w:eastAsia="Palatino Linotype" w:cs="Palatino Linotype"/>
          <w:szCs w:val="24"/>
        </w:rPr>
        <w:t>En esa virtud, este Pleno determina que dicha información no puede ser del dominio público, toda vez que se podría dar un uso inadecuado a la misma o cometer algún ilícito o fraude en contra de su patrimonio.</w:t>
      </w:r>
    </w:p>
    <w:p w14:paraId="0F43264C" w14:textId="77777777" w:rsidR="001822A3" w:rsidRPr="00754B8E" w:rsidRDefault="001822A3" w:rsidP="001822A3">
      <w:pPr>
        <w:rPr>
          <w:rFonts w:eastAsia="Palatino Linotype" w:cs="Palatino Linotype"/>
          <w:szCs w:val="24"/>
        </w:rPr>
      </w:pPr>
    </w:p>
    <w:p w14:paraId="1E20FCFD" w14:textId="77777777" w:rsidR="001822A3" w:rsidRPr="00754B8E" w:rsidRDefault="001822A3" w:rsidP="001822A3">
      <w:pPr>
        <w:rPr>
          <w:rFonts w:eastAsia="Palatino Linotype" w:cs="Palatino Linotype"/>
          <w:szCs w:val="24"/>
        </w:rPr>
      </w:pPr>
      <w:r w:rsidRPr="00754B8E">
        <w:rPr>
          <w:rFonts w:eastAsia="Palatino Linotype" w:cs="Palatino Linotype"/>
          <w:szCs w:val="24"/>
        </w:rPr>
        <w:t>De este modo, en las versiones públicas se deben testar únicamente los números de las cuentas bancarias, CLABES; si es que esta información se advierte en los documentos a otorgar; en caso contrario, se deben entregar en forma íntegra.</w:t>
      </w:r>
    </w:p>
    <w:p w14:paraId="72964568" w14:textId="77777777" w:rsidR="001822A3" w:rsidRPr="00754B8E" w:rsidRDefault="001822A3" w:rsidP="001822A3">
      <w:pPr>
        <w:rPr>
          <w:rFonts w:eastAsia="Palatino Linotype" w:cs="Palatino Linotype"/>
          <w:szCs w:val="24"/>
        </w:rPr>
      </w:pPr>
    </w:p>
    <w:p w14:paraId="09F19C46" w14:textId="77777777" w:rsidR="001822A3" w:rsidRDefault="001822A3" w:rsidP="001822A3">
      <w:pPr>
        <w:rPr>
          <w:rFonts w:eastAsia="Palatino Linotype" w:cs="Palatino Linotype"/>
          <w:szCs w:val="24"/>
        </w:rPr>
      </w:pPr>
      <w:r w:rsidRPr="00754B8E">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1504D5B7" w14:textId="77777777" w:rsidR="001822A3" w:rsidRPr="006A7396" w:rsidRDefault="001822A3" w:rsidP="001822A3">
      <w:pPr>
        <w:rPr>
          <w:rFonts w:eastAsia="Palatino Linotype" w:cs="Palatino Linotype"/>
          <w:szCs w:val="24"/>
        </w:rPr>
      </w:pPr>
    </w:p>
    <w:p w14:paraId="75878E5E" w14:textId="77777777" w:rsidR="001822A3" w:rsidRPr="006A7396" w:rsidRDefault="001822A3" w:rsidP="001822A3">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6C6D9186" w14:textId="77777777" w:rsidR="001822A3" w:rsidRPr="006A7396" w:rsidRDefault="001822A3" w:rsidP="001822A3">
      <w:pPr>
        <w:rPr>
          <w:rFonts w:eastAsia="Palatino Linotype" w:cs="Palatino Linotype"/>
          <w:szCs w:val="24"/>
        </w:rPr>
      </w:pPr>
    </w:p>
    <w:p w14:paraId="4274B8BE" w14:textId="77777777" w:rsidR="001822A3" w:rsidRPr="006A7396" w:rsidRDefault="001822A3" w:rsidP="001822A3">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12E01CA1" w14:textId="77777777" w:rsidR="001822A3" w:rsidRDefault="001822A3" w:rsidP="001822A3"/>
    <w:p w14:paraId="07B920B4" w14:textId="4C81EA97"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 xml:space="preserve">n fundamento en la </w:t>
      </w:r>
      <w:r w:rsidR="001822A3">
        <w:rPr>
          <w:rFonts w:eastAsia="Palatino Linotype" w:cs="Palatino Linotype"/>
          <w:b/>
          <w:bCs/>
          <w:color w:val="000000" w:themeColor="text1"/>
        </w:rPr>
        <w:t>segunda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sidR="001822A3">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544660">
        <w:rPr>
          <w:rFonts w:eastAsia="Palatino Linotype" w:cs="Palatino Linotype"/>
          <w:b/>
          <w:bCs/>
          <w:color w:val="000000"/>
          <w:szCs w:val="24"/>
        </w:rPr>
        <w:t>00034/DIFTOLUCA/IP/2025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6173C154"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E75F7E">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544660">
        <w:rPr>
          <w:rFonts w:eastAsia="Palatino Linotype" w:cs="Palatino Linotype"/>
          <w:b/>
          <w:bCs/>
          <w:color w:val="000000"/>
          <w:szCs w:val="24"/>
        </w:rPr>
        <w:t>00034/DIFTOLUCA/IP/2025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E75F7E">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52973DB" w14:textId="35A7854E" w:rsidR="00441564" w:rsidRDefault="00581587" w:rsidP="00441564">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D74499">
        <w:rPr>
          <w:rFonts w:eastAsia="Palatino Linotype" w:cs="Palatino Linotype"/>
          <w:color w:val="000000"/>
          <w:szCs w:val="24"/>
        </w:rPr>
        <w:t>, previa</w:t>
      </w:r>
      <w:r w:rsidR="005D743E">
        <w:rPr>
          <w:rFonts w:eastAsia="Palatino Linotype" w:cs="Palatino Linotype"/>
          <w:color w:val="000000"/>
          <w:szCs w:val="24"/>
        </w:rPr>
        <w:t xml:space="preserve"> búsqueda exhaustiva y razonable en los archivos de las áreas </w:t>
      </w:r>
      <w:r w:rsidR="003A51C8">
        <w:rPr>
          <w:rFonts w:eastAsia="Palatino Linotype" w:cs="Palatino Linotype"/>
          <w:color w:val="000000"/>
          <w:szCs w:val="24"/>
        </w:rPr>
        <w:t xml:space="preserve">que se consideren </w:t>
      </w:r>
      <w:r w:rsidR="005D743E">
        <w:rPr>
          <w:rFonts w:eastAsia="Palatino Linotype" w:cs="Palatino Linotype"/>
          <w:color w:val="000000"/>
          <w:szCs w:val="24"/>
        </w:rPr>
        <w:t>competentes</w:t>
      </w:r>
      <w:r w:rsidR="00D74499">
        <w:rPr>
          <w:rFonts w:eastAsia="Palatino Linotype" w:cs="Palatino Linotype"/>
          <w:color w:val="000000"/>
          <w:szCs w:val="24"/>
        </w:rPr>
        <w:t xml:space="preserve">, se haga entrega </w:t>
      </w:r>
      <w:r w:rsidR="003A51C8">
        <w:rPr>
          <w:rFonts w:eastAsia="Palatino Linotype" w:cs="Palatino Linotype"/>
          <w:color w:val="000000"/>
          <w:szCs w:val="24"/>
        </w:rPr>
        <w:t xml:space="preserve"> </w:t>
      </w:r>
      <w:r w:rsidR="007501B9" w:rsidRPr="003F3F63">
        <w:rPr>
          <w:rFonts w:eastAsia="Palatino Linotype" w:cs="Palatino Linotype"/>
          <w:color w:val="000000"/>
          <w:szCs w:val="24"/>
        </w:rPr>
        <w:t>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BA44CE">
        <w:rPr>
          <w:rFonts w:eastAsia="Palatino Linotype" w:cs="Palatino Linotype"/>
          <w:color w:val="000000"/>
          <w:szCs w:val="24"/>
        </w:rPr>
        <w:t xml:space="preserve">, en versión pública de ser procedente,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D74499">
        <w:rPr>
          <w:rFonts w:eastAsia="Palatino Linotype" w:cs="Palatino Linotype"/>
          <w:b/>
          <w:color w:val="000000"/>
          <w:szCs w:val="24"/>
        </w:rPr>
        <w:t>CUAR</w:t>
      </w:r>
      <w:r w:rsidR="007501B9" w:rsidRPr="003F3F63">
        <w:rPr>
          <w:rFonts w:eastAsia="Palatino Linotype" w:cs="Palatino Linotype"/>
          <w:b/>
          <w:color w:val="000000"/>
          <w:szCs w:val="24"/>
        </w:rPr>
        <w:t>TO</w:t>
      </w:r>
      <w:r w:rsidR="0015636B">
        <w:rPr>
          <w:rFonts w:eastAsia="Palatino Linotype" w:cs="Palatino Linotype"/>
          <w:color w:val="000000"/>
          <w:szCs w:val="24"/>
        </w:rPr>
        <w:t xml:space="preserve"> y respecto </w:t>
      </w:r>
      <w:r w:rsidR="00637878">
        <w:rPr>
          <w:rFonts w:eastAsia="Palatino Linotype" w:cs="Palatino Linotype"/>
          <w:color w:val="000000"/>
          <w:szCs w:val="24"/>
        </w:rPr>
        <w:t xml:space="preserve"> de</w:t>
      </w:r>
      <w:r w:rsidR="00441564" w:rsidRPr="00372105">
        <w:t xml:space="preserve"> los ingresos recaudados </w:t>
      </w:r>
      <w:r w:rsidR="008C510B">
        <w:t xml:space="preserve">durante el periodo comprendido del primero de enero de dos mil veintidós al treinta y uno de diciembre de dos mil </w:t>
      </w:r>
      <w:r w:rsidR="005477F5">
        <w:t>veinticuatro p</w:t>
      </w:r>
      <w:r w:rsidR="00441564" w:rsidRPr="00372105">
        <w:t xml:space="preserve">or los servicios prestados en el Parque </w:t>
      </w:r>
      <w:r w:rsidR="00ED6EBC">
        <w:t xml:space="preserve">Luis Donaldo </w:t>
      </w:r>
      <w:r w:rsidR="00441564" w:rsidRPr="00372105">
        <w:t>Colosio, entre ellos el de estacionamiento</w:t>
      </w:r>
      <w:r w:rsidR="00441564">
        <w:t>, de lo siguiente:</w:t>
      </w:r>
    </w:p>
    <w:p w14:paraId="124E64EA" w14:textId="77777777" w:rsidR="00441564" w:rsidRDefault="00441564" w:rsidP="00441564"/>
    <w:p w14:paraId="64821C01" w14:textId="77777777" w:rsidR="00441564" w:rsidRPr="00221197" w:rsidRDefault="00441564" w:rsidP="00221197">
      <w:pPr>
        <w:pStyle w:val="Prrafodelista"/>
        <w:numPr>
          <w:ilvl w:val="0"/>
          <w:numId w:val="60"/>
        </w:numPr>
        <w:spacing w:line="276" w:lineRule="auto"/>
        <w:rPr>
          <w:rFonts w:eastAsiaTheme="minorEastAsia" w:cstheme="minorBidi"/>
          <w:i/>
          <w:iCs/>
          <w:lang w:eastAsia="en-US"/>
        </w:rPr>
      </w:pPr>
      <w:r w:rsidRPr="00221197">
        <w:rPr>
          <w:rFonts w:eastAsiaTheme="minorEastAsia" w:cstheme="minorBidi"/>
          <w:i/>
          <w:iCs/>
          <w:lang w:eastAsia="en-US"/>
        </w:rPr>
        <w:t>Las cuentas o cortes de caja.</w:t>
      </w:r>
    </w:p>
    <w:p w14:paraId="6E7938A3" w14:textId="77777777" w:rsidR="00441564" w:rsidRPr="00221197" w:rsidRDefault="00441564" w:rsidP="00221197">
      <w:pPr>
        <w:pStyle w:val="Prrafodelista"/>
        <w:numPr>
          <w:ilvl w:val="0"/>
          <w:numId w:val="60"/>
        </w:numPr>
        <w:spacing w:line="276" w:lineRule="auto"/>
        <w:rPr>
          <w:rFonts w:eastAsiaTheme="minorEastAsia" w:cstheme="minorBidi"/>
          <w:i/>
          <w:iCs/>
          <w:lang w:eastAsia="en-US"/>
        </w:rPr>
      </w:pPr>
      <w:r w:rsidRPr="00221197">
        <w:rPr>
          <w:rFonts w:eastAsiaTheme="minorEastAsia" w:cstheme="minorBidi"/>
          <w:i/>
          <w:iCs/>
          <w:lang w:eastAsia="en-US"/>
        </w:rPr>
        <w:t>Las auditorías o revisiones concluidas.</w:t>
      </w:r>
    </w:p>
    <w:p w14:paraId="3B7EC318" w14:textId="77777777" w:rsidR="00441564" w:rsidRPr="00221197" w:rsidRDefault="00441564" w:rsidP="00221197">
      <w:pPr>
        <w:pStyle w:val="Prrafodelista"/>
        <w:numPr>
          <w:ilvl w:val="0"/>
          <w:numId w:val="60"/>
        </w:numPr>
        <w:spacing w:line="276" w:lineRule="auto"/>
        <w:rPr>
          <w:rFonts w:eastAsiaTheme="minorEastAsia" w:cstheme="minorBidi"/>
          <w:i/>
          <w:iCs/>
          <w:lang w:eastAsia="en-US"/>
        </w:rPr>
      </w:pPr>
      <w:r w:rsidRPr="00221197">
        <w:rPr>
          <w:rFonts w:eastAsiaTheme="minorEastAsia" w:cstheme="minorBidi"/>
          <w:i/>
          <w:iCs/>
          <w:lang w:eastAsia="en-US"/>
        </w:rPr>
        <w:lastRenderedPageBreak/>
        <w:t>Los documentos con los que se acredite como fueron utilizados los recursos obtenidos.</w:t>
      </w:r>
    </w:p>
    <w:p w14:paraId="4DA0A536" w14:textId="090F4F8E" w:rsidR="00581587" w:rsidRPr="00441564" w:rsidRDefault="00581587" w:rsidP="00581587">
      <w:pPr>
        <w:pBdr>
          <w:top w:val="nil"/>
          <w:left w:val="nil"/>
          <w:bottom w:val="nil"/>
          <w:right w:val="nil"/>
          <w:between w:val="nil"/>
        </w:pBdr>
        <w:rPr>
          <w:rFonts w:eastAsia="Palatino Linotype" w:cs="Palatino Linotype"/>
          <w:color w:val="000000"/>
          <w:szCs w:val="24"/>
          <w:lang w:val="es-ES"/>
        </w:rPr>
      </w:pPr>
    </w:p>
    <w:p w14:paraId="26EEF856" w14:textId="0CDE504D" w:rsidR="00581587" w:rsidRPr="00BB7F90" w:rsidRDefault="000E18EC" w:rsidP="00581587">
      <w:pPr>
        <w:pBdr>
          <w:top w:val="nil"/>
          <w:left w:val="nil"/>
          <w:bottom w:val="nil"/>
          <w:right w:val="nil"/>
          <w:between w:val="nil"/>
        </w:pBdr>
        <w:rPr>
          <w:rFonts w:eastAsia="Palatino Linotype" w:cs="Palatino Linotype"/>
          <w:color w:val="000000"/>
          <w:szCs w:val="24"/>
        </w:rPr>
      </w:pPr>
      <w:r w:rsidRPr="000E18EC">
        <w:rPr>
          <w:rFonts w:eastAsia="Palatino Linotype" w:cs="Palatino Linotype"/>
          <w:color w:val="000000"/>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D3CABD2" w14:textId="77777777" w:rsidR="00637878" w:rsidRDefault="00637878" w:rsidP="00637878">
      <w:pPr>
        <w:pStyle w:val="NormalINFOEM"/>
      </w:pPr>
    </w:p>
    <w:p w14:paraId="54A8F84A" w14:textId="273AD3D3" w:rsidR="00BA0D71" w:rsidRDefault="00BA0D71" w:rsidP="00637878">
      <w:pPr>
        <w:pStyle w:val="NormalINFOEM"/>
      </w:pPr>
      <w:r w:rsidRPr="00BA0D71">
        <w:t>En referencia al</w:t>
      </w:r>
      <w:r w:rsidR="008C510B">
        <w:t xml:space="preserve"> punto 2 del Resolutivo, en caso</w:t>
      </w:r>
      <w:r w:rsidRPr="00BA0D71">
        <w:t xml:space="preserve"> de </w:t>
      </w:r>
      <w:r w:rsidR="008C510B">
        <w:t>las auditorías no hayan quedado firme</w:t>
      </w:r>
      <w:r w:rsidR="003E266E">
        <w:t xml:space="preserve">s, el Sujeto Obligado deberá hacer </w:t>
      </w:r>
      <w:r w:rsidRPr="00BA0D71">
        <w:t>entrega del acuerdo de clasificación como información reservada</w:t>
      </w:r>
      <w:r w:rsidR="003E266E">
        <w:t xml:space="preserve"> debidamente fundado y motiva que emita su Comité de Transparencia</w:t>
      </w:r>
      <w:r w:rsidR="00907A8E">
        <w:t>. No se omite señalar que n</w:t>
      </w:r>
      <w:r w:rsidRPr="00BA0D71">
        <w:t xml:space="preserve">o podrá invocarse el carácter de reservado cuando se actualicen los supuestos del artículo 142 de la </w:t>
      </w:r>
      <w:r w:rsidR="00907A8E" w:rsidRPr="000E18EC">
        <w:rPr>
          <w:rFonts w:eastAsia="Palatino Linotype" w:cs="Palatino Linotype"/>
          <w:color w:val="000000"/>
          <w:szCs w:val="24"/>
        </w:rPr>
        <w:t>Ley de Transparencia y Acceso a la Información Pública del Estado de México y Municipios</w:t>
      </w:r>
      <w:r w:rsidRPr="00BA0D71">
        <w:t>.</w:t>
      </w:r>
    </w:p>
    <w:p w14:paraId="442E657C" w14:textId="77777777" w:rsidR="00BA0D71" w:rsidRPr="00637878" w:rsidRDefault="00BA0D71" w:rsidP="00637878">
      <w:pPr>
        <w:pStyle w:val="NormalINFOEM"/>
      </w:pPr>
    </w:p>
    <w:p w14:paraId="62472026" w14:textId="2C62398A" w:rsidR="004161DA" w:rsidRPr="006A7396" w:rsidRDefault="002C49B5" w:rsidP="00637878">
      <w:pPr>
        <w:pStyle w:val="NormalINFOEM"/>
        <w:rPr>
          <w:szCs w:val="24"/>
        </w:rPr>
      </w:pPr>
      <w:r>
        <w:rPr>
          <w:szCs w:val="24"/>
        </w:rPr>
        <w:t>En el supuesto de que</w:t>
      </w:r>
      <w:r w:rsidR="00037938">
        <w:rPr>
          <w:szCs w:val="24"/>
        </w:rPr>
        <w:t>,</w:t>
      </w:r>
      <w:r>
        <w:rPr>
          <w:szCs w:val="24"/>
        </w:rPr>
        <w:t xml:space="preserve"> de la búsqueda exhaustiva y razo</w:t>
      </w:r>
      <w:r w:rsidR="00037938">
        <w:rPr>
          <w:szCs w:val="24"/>
        </w:rPr>
        <w:t>nable de la información</w:t>
      </w:r>
      <w:r w:rsidR="00907A8E">
        <w:rPr>
          <w:szCs w:val="24"/>
        </w:rPr>
        <w:t xml:space="preserve"> descrita en el punto 2</w:t>
      </w:r>
      <w:r w:rsidR="00F274E9">
        <w:rPr>
          <w:szCs w:val="24"/>
        </w:rPr>
        <w:t xml:space="preserve"> del Resolutivo</w:t>
      </w:r>
      <w:r w:rsidR="00037938">
        <w:rPr>
          <w:szCs w:val="24"/>
        </w:rPr>
        <w:t>, el Sujeto Obligado determine que la información no fue generada, poseída o administrada</w:t>
      </w:r>
      <w:r w:rsidR="00F274E9">
        <w:rPr>
          <w:szCs w:val="24"/>
        </w:rPr>
        <w:t xml:space="preserve"> durante el periodo establecido</w:t>
      </w:r>
      <w:r w:rsidR="00516F68">
        <w:rPr>
          <w:szCs w:val="24"/>
        </w:rPr>
        <w:t xml:space="preserve">, bastará con que así lo haga del conocimiento del Recurrente en términos del segundo párrafo del artículo 19 de la </w:t>
      </w:r>
      <w:r w:rsidR="00BA5315" w:rsidRPr="00325BCB">
        <w:rPr>
          <w:rFonts w:eastAsia="Palatino Linotype" w:cs="Palatino Linotype"/>
          <w:color w:val="000000"/>
          <w:szCs w:val="24"/>
        </w:rPr>
        <w:t>Ley de Transparencia y Acceso a la Información Pública del Estado de México y Municipios</w:t>
      </w:r>
      <w:r w:rsidR="00BA5315">
        <w:rPr>
          <w:rFonts w:eastAsia="Palatino Linotype" w:cs="Palatino Linotype"/>
          <w:color w:val="000000"/>
          <w:szCs w:val="24"/>
        </w:rPr>
        <w:t>.</w:t>
      </w:r>
    </w:p>
    <w:p w14:paraId="455A0062" w14:textId="77777777" w:rsidR="004161DA" w:rsidRPr="00B667E3" w:rsidRDefault="004161DA" w:rsidP="00637878">
      <w:pPr>
        <w:pStyle w:val="NormalINFOEM"/>
        <w:rPr>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 xml:space="preserve">mediante el Sistema de Acceso a la Información Mexiquense </w:t>
      </w:r>
      <w:r w:rsidR="0032659A" w:rsidRPr="00325BCB">
        <w:rPr>
          <w:rFonts w:eastAsia="Palatino Linotype" w:cs="Palatino Linotype"/>
          <w:color w:val="000000"/>
          <w:szCs w:val="24"/>
        </w:rPr>
        <w:lastRenderedPageBreak/>
        <w:t>(SAIMEX)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638D0BAB" w:rsidR="00A970D5" w:rsidRPr="006922F5" w:rsidRDefault="005A45B1" w:rsidP="00F50584">
      <w:pPr>
        <w:pStyle w:val="NormalINFOEM"/>
      </w:pPr>
      <w:r w:rsidRPr="0085493E">
        <w:t>ASÍ LO RESUELVE</w:t>
      </w:r>
      <w:r w:rsidR="00247FE8" w:rsidRPr="0085493E">
        <w:t xml:space="preserve"> POR UNANIMIDAD</w:t>
      </w:r>
      <w:r w:rsidRPr="0085493E">
        <w:t xml:space="preserve"> </w:t>
      </w:r>
      <w:r w:rsidR="006922F5" w:rsidRPr="0085493E">
        <w:t>DE VOTOS, EL PLENO DEL INSTITUTO DE TRANSPARENCIA, ACCESO A LA INFORMACIÓN PÚBLICA Y PROTECCIÓN DE</w:t>
      </w:r>
      <w:r w:rsidR="006922F5">
        <w:t xml:space="preserve"> DATOS PERSONALES DEL ESTADO DE MÉXICO Y MUNICIPIOS, CONFORMADO </w:t>
      </w:r>
      <w:r w:rsidR="006922F5">
        <w:lastRenderedPageBreak/>
        <w:t>POR LOS COMISIONADOS JOSÉ MARTÍNEZ VILCHIS, MARÍA DEL ROSARIO MEJÍA AYALA, SHARON CRISTINA MORALES MARTÍNEZ, LUIS GUSTAVO PARRA NORIEGA</w:t>
      </w:r>
      <w:r w:rsidR="009E3DAE">
        <w:t xml:space="preserve"> </w:t>
      </w:r>
      <w:r w:rsidR="009258D8">
        <w:t xml:space="preserve">(EMITIENDO VOTO PARTICULAR) </w:t>
      </w:r>
      <w:r w:rsidR="006922F5">
        <w:t>Y GUADALUPE RAMÍREZ PEÑA</w:t>
      </w:r>
      <w:r w:rsidR="00AF6B94">
        <w:t>,</w:t>
      </w:r>
      <w:r w:rsidR="00F37687">
        <w:t xml:space="preserve"> </w:t>
      </w:r>
      <w:r w:rsidR="006922F5">
        <w:t xml:space="preserve">EN </w:t>
      </w:r>
      <w:r w:rsidR="006922F5" w:rsidRPr="000D2E93">
        <w:t>LA</w:t>
      </w:r>
      <w:r w:rsidR="00C93568">
        <w:t xml:space="preserve"> </w:t>
      </w:r>
      <w:r w:rsidR="00A81C87">
        <w:t>SÉPTIM</w:t>
      </w:r>
      <w:r w:rsidR="006E364F">
        <w:t>A</w:t>
      </w:r>
      <w:r w:rsidR="00501811">
        <w:t xml:space="preserve"> </w:t>
      </w:r>
      <w:r w:rsidR="006922F5" w:rsidRPr="000D2E93">
        <w:t>SESIÓN ORDINARIA CELEBRADA E</w:t>
      </w:r>
      <w:r w:rsidR="00C93568">
        <w:t>L</w:t>
      </w:r>
      <w:r w:rsidR="0011108B">
        <w:t xml:space="preserve"> </w:t>
      </w:r>
      <w:r w:rsidR="006E364F">
        <w:t>VEINTISÉIS</w:t>
      </w:r>
      <w:r w:rsidR="00B43890">
        <w:t xml:space="preserve"> DE FEBRERO</w:t>
      </w:r>
      <w:r w:rsidR="00C93568" w:rsidRPr="0011108B">
        <w:t xml:space="preserve"> </w:t>
      </w:r>
      <w:r w:rsidR="002475C3" w:rsidRPr="0011108B">
        <w:t>DE DOS MIL VEINTI</w:t>
      </w:r>
      <w:r w:rsidR="0011108B" w:rsidRPr="0011108B">
        <w:t>C</w:t>
      </w:r>
      <w:r w:rsidR="00B43890">
        <w:t>INCO</w:t>
      </w:r>
      <w:r w:rsidR="006922F5">
        <w:t xml:space="preserve">, ANTE EL SECRETARIO TÉCNICO </w:t>
      </w:r>
      <w:r>
        <w:t>DEL PLENO, ALEXIS TAPIA RAMÍREZ</w:t>
      </w:r>
      <w:r w:rsidR="00A970D5" w:rsidRPr="006922F5">
        <w:t>.</w:t>
      </w:r>
      <w:r w:rsidR="001957CF">
        <w:t>--------------</w:t>
      </w:r>
      <w:r w:rsidR="00C6512A">
        <w:t>---------</w:t>
      </w:r>
      <w:r w:rsidR="00337FA1">
        <w:t>-----</w:t>
      </w:r>
      <w:r w:rsidR="00BA5315">
        <w:t>---------------------------------------------------------------------------------------------------------------------</w:t>
      </w:r>
      <w:r w:rsidR="00F50584">
        <w:t>------------------------------------------------------------------------------------------------------------------------------------------------------------------------------------------------------------------------------------------------------------------------------------------------------------------------------------------------------------------------------------------------------------------------------------------------------------------------------------------------------------------------------------------------------------------------------------------------------------------------------------------------------------------------------------------------------------------------------------------------------------------------------------------------------------------------------------------------------------------------------------------------------------------------------------------------------------------------------------------</w:t>
      </w:r>
      <w:r w:rsidR="00D563A4">
        <w:t>---------------------------------------------------------------------------------------------------------------------------------------------------------------------------------------------------------------------------------------------------------------------------------------------------------------------------------------------------------------------------------------------------------------------------------------------------------------------------------------------------------------------------------------------------------------------------------------------------------------------------------------------------------------------------------------------------------------------------------------------------------------------------------------------------------------------------------------------------</w:t>
      </w:r>
      <w:r w:rsidR="00F50584">
        <w:t>-------------------------------------------------------------------------------------------------------------------------------------------------------------------</w:t>
      </w:r>
    </w:p>
    <w:p w14:paraId="4DA57669" w14:textId="77777777" w:rsidR="00A970D5" w:rsidRPr="004B7011" w:rsidRDefault="44E9108F" w:rsidP="00F50584">
      <w:pPr>
        <w:pStyle w:val="NormalINFOEM"/>
        <w:rPr>
          <w:sz w:val="20"/>
          <w:szCs w:val="20"/>
          <w:lang w:val="es-ES"/>
        </w:rPr>
      </w:pPr>
      <w:r w:rsidRPr="44E9108F">
        <w:rPr>
          <w:color w:val="000000" w:themeColor="text1"/>
          <w:sz w:val="20"/>
          <w:szCs w:val="20"/>
          <w:lang w:val="es-ES"/>
        </w:rPr>
        <w:t>JMV/CCR/</w:t>
      </w:r>
      <w:proofErr w:type="spellStart"/>
      <w:r w:rsidRPr="44E9108F">
        <w:rPr>
          <w:color w:val="000000" w:themeColor="text1"/>
          <w:sz w:val="20"/>
          <w:szCs w:val="20"/>
          <w:lang w:val="es-ES"/>
        </w:rPr>
        <w:t>fzh</w:t>
      </w:r>
      <w:proofErr w:type="spellEnd"/>
    </w:p>
    <w:p w14:paraId="5FBC6CA4"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F50584">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A457C" w14:textId="77777777" w:rsidR="009455E4" w:rsidRDefault="009455E4" w:rsidP="00F2498E">
      <w:pPr>
        <w:spacing w:line="240" w:lineRule="auto"/>
      </w:pPr>
      <w:r>
        <w:separator/>
      </w:r>
    </w:p>
  </w:endnote>
  <w:endnote w:type="continuationSeparator" w:id="0">
    <w:p w14:paraId="3FBD7DD9" w14:textId="77777777" w:rsidR="009455E4" w:rsidRDefault="009455E4" w:rsidP="00F2498E">
      <w:pPr>
        <w:spacing w:line="240" w:lineRule="auto"/>
      </w:pPr>
      <w:r>
        <w:continuationSeparator/>
      </w:r>
    </w:p>
  </w:endnote>
  <w:endnote w:type="continuationNotice" w:id="1">
    <w:p w14:paraId="6C802DD1" w14:textId="77777777" w:rsidR="009455E4" w:rsidRDefault="00945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2728C9" w:rsidRPr="00871A91" w:rsidRDefault="002728C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14D2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14D2B">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2728C9" w:rsidRPr="00871A91" w:rsidRDefault="002728C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14D2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14D2B">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48BF7" w14:textId="77777777" w:rsidR="009455E4" w:rsidRDefault="009455E4" w:rsidP="00F2498E">
      <w:pPr>
        <w:spacing w:line="240" w:lineRule="auto"/>
      </w:pPr>
      <w:r>
        <w:separator/>
      </w:r>
    </w:p>
  </w:footnote>
  <w:footnote w:type="continuationSeparator" w:id="0">
    <w:p w14:paraId="07FD6646" w14:textId="77777777" w:rsidR="009455E4" w:rsidRDefault="009455E4" w:rsidP="00F2498E">
      <w:pPr>
        <w:spacing w:line="240" w:lineRule="auto"/>
      </w:pPr>
      <w:r>
        <w:continuationSeparator/>
      </w:r>
    </w:p>
  </w:footnote>
  <w:footnote w:type="continuationNotice" w:id="1">
    <w:p w14:paraId="563050C6" w14:textId="77777777" w:rsidR="009455E4" w:rsidRDefault="009455E4">
      <w:pPr>
        <w:spacing w:line="240" w:lineRule="auto"/>
      </w:pPr>
    </w:p>
  </w:footnote>
  <w:footnote w:id="2">
    <w:p w14:paraId="2BCE50A0" w14:textId="77777777" w:rsidR="002728C9" w:rsidRPr="0031280C" w:rsidRDefault="002728C9"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2728C9" w:rsidRPr="0031280C" w:rsidRDefault="002728C9"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2728C9" w:rsidRPr="0031280C" w:rsidRDefault="002728C9"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2728C9" w:rsidRPr="0031280C" w:rsidRDefault="002728C9"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116D43E9" w14:textId="77777777" w:rsidR="002728C9" w:rsidRDefault="002728C9" w:rsidP="009C7997">
      <w:pPr>
        <w:pStyle w:val="Textonotapie"/>
      </w:pPr>
      <w:r>
        <w:rPr>
          <w:rStyle w:val="Refdenotaalpie"/>
        </w:rPr>
        <w:footnoteRef/>
      </w:r>
      <w:r>
        <w:t xml:space="preserve"> </w:t>
      </w:r>
      <w:r w:rsidRPr="00BE033D">
        <w:rPr>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4">
    <w:p w14:paraId="27D2F965" w14:textId="77777777" w:rsidR="002728C9" w:rsidRDefault="002728C9" w:rsidP="009C7997">
      <w:pPr>
        <w:pStyle w:val="Textonotapie"/>
      </w:pPr>
      <w:r>
        <w:rPr>
          <w:rStyle w:val="Refdenotaalpie"/>
        </w:rPr>
        <w:footnoteRef/>
      </w:r>
      <w:r>
        <w:t xml:space="preserve"> </w:t>
      </w:r>
      <w:r w:rsidRPr="003F34E5">
        <w:rPr>
          <w:sz w:val="16"/>
          <w:szCs w:val="16"/>
        </w:rPr>
        <w:t xml:space="preserve">Sergio López </w:t>
      </w:r>
      <w:proofErr w:type="spellStart"/>
      <w:r w:rsidRPr="003F34E5">
        <w:rPr>
          <w:sz w:val="16"/>
          <w:szCs w:val="16"/>
        </w:rPr>
        <w:t>Ayllón</w:t>
      </w:r>
      <w:proofErr w:type="spellEnd"/>
      <w:r w:rsidRPr="003F34E5">
        <w:rPr>
          <w:sz w:val="16"/>
          <w:szCs w:val="16"/>
        </w:rPr>
        <w:t xml:space="preserve"> y Alejandro Posadas. “Las pruebas de Daño e Interés Público en materia de acceso a la información. Una perspectiva comparada” en Derecho comparada de la Información, enero-junio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2728C9" w:rsidRDefault="00A14D2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2728C9" w:rsidRPr="00B17577" w14:paraId="37B9EBDE" w14:textId="77777777" w:rsidTr="003938ED">
      <w:trPr>
        <w:trHeight w:val="227"/>
      </w:trPr>
      <w:tc>
        <w:tcPr>
          <w:tcW w:w="5103" w:type="dxa"/>
          <w:hideMark/>
        </w:tcPr>
        <w:p w14:paraId="4964FBC5" w14:textId="54CDA645" w:rsidR="002728C9" w:rsidRPr="00096248" w:rsidRDefault="002728C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CE284DD" w:rsidR="002728C9" w:rsidRPr="00096248" w:rsidRDefault="002728C9" w:rsidP="00011C4D">
          <w:pPr>
            <w:spacing w:after="120" w:line="240" w:lineRule="auto"/>
            <w:ind w:right="71"/>
            <w:jc w:val="right"/>
            <w:rPr>
              <w:rFonts w:cs="Arial"/>
              <w:b/>
              <w:szCs w:val="24"/>
            </w:rPr>
          </w:pPr>
          <w:r>
            <w:rPr>
              <w:rFonts w:cs="Arial"/>
              <w:b/>
              <w:bCs/>
              <w:szCs w:val="24"/>
            </w:rPr>
            <w:t>00425/INFOEM/IP/RR/2025</w:t>
          </w:r>
        </w:p>
      </w:tc>
    </w:tr>
    <w:tr w:rsidR="002728C9" w14:paraId="7591D3C9" w14:textId="77777777" w:rsidTr="003938ED">
      <w:trPr>
        <w:trHeight w:val="242"/>
      </w:trPr>
      <w:tc>
        <w:tcPr>
          <w:tcW w:w="5103" w:type="dxa"/>
          <w:hideMark/>
        </w:tcPr>
        <w:p w14:paraId="729A65A8" w14:textId="77777777" w:rsidR="002728C9" w:rsidRPr="00096248" w:rsidRDefault="002728C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A6A0FDE" w:rsidR="002728C9" w:rsidRPr="00096248" w:rsidRDefault="002728C9" w:rsidP="00011C4D">
          <w:pPr>
            <w:spacing w:after="120" w:line="240" w:lineRule="auto"/>
            <w:ind w:left="-81" w:right="71"/>
            <w:jc w:val="right"/>
            <w:rPr>
              <w:rFonts w:cs="Arial"/>
              <w:szCs w:val="24"/>
            </w:rPr>
          </w:pPr>
          <w:r>
            <w:rPr>
              <w:rFonts w:cs="Arial"/>
              <w:szCs w:val="24"/>
            </w:rPr>
            <w:t>Sistema Municipal para el Desarrollo Integral de la Familia de Toluca</w:t>
          </w:r>
        </w:p>
      </w:tc>
    </w:tr>
    <w:tr w:rsidR="002728C9" w:rsidRPr="00F63239" w14:paraId="037E914D" w14:textId="77777777" w:rsidTr="003938ED">
      <w:trPr>
        <w:trHeight w:val="342"/>
      </w:trPr>
      <w:tc>
        <w:tcPr>
          <w:tcW w:w="5103" w:type="dxa"/>
          <w:hideMark/>
        </w:tcPr>
        <w:p w14:paraId="7676B68F" w14:textId="64D69EAF" w:rsidR="002728C9" w:rsidRPr="00096248" w:rsidRDefault="002728C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2728C9" w:rsidRDefault="002728C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2728C9" w:rsidRPr="00711916" w:rsidRDefault="002728C9" w:rsidP="00011C4D">
          <w:pPr>
            <w:spacing w:after="120" w:line="240" w:lineRule="auto"/>
            <w:ind w:left="-486" w:right="71" w:firstLine="567"/>
            <w:jc w:val="right"/>
            <w:rPr>
              <w:rFonts w:cs="Arial"/>
              <w:sz w:val="2"/>
              <w:szCs w:val="2"/>
            </w:rPr>
          </w:pPr>
        </w:p>
      </w:tc>
    </w:tr>
  </w:tbl>
  <w:p w14:paraId="2998DBFD" w14:textId="25A9F426" w:rsidR="002728C9" w:rsidRPr="00871A91" w:rsidRDefault="00A14D2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79.6pt;margin-top:-140.8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2728C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2728C9" w14:paraId="0F9FE9B6" w14:textId="77777777" w:rsidTr="70652167">
      <w:trPr>
        <w:trHeight w:val="227"/>
      </w:trPr>
      <w:tc>
        <w:tcPr>
          <w:tcW w:w="5103" w:type="dxa"/>
          <w:hideMark/>
        </w:tcPr>
        <w:p w14:paraId="6D1D9D71" w14:textId="11150E5A" w:rsidR="002728C9" w:rsidRPr="00663A37" w:rsidRDefault="002728C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3BCCF77" w:rsidR="002728C9" w:rsidRPr="00C81ECD" w:rsidRDefault="002728C9" w:rsidP="00011C4D">
          <w:pPr>
            <w:spacing w:after="120" w:line="240" w:lineRule="auto"/>
            <w:ind w:left="-486" w:right="68" w:firstLine="558"/>
            <w:jc w:val="right"/>
            <w:rPr>
              <w:rFonts w:cs="Arial"/>
              <w:b/>
              <w:szCs w:val="24"/>
            </w:rPr>
          </w:pPr>
          <w:r>
            <w:rPr>
              <w:rFonts w:cs="Arial"/>
              <w:b/>
              <w:bCs/>
              <w:szCs w:val="24"/>
            </w:rPr>
            <w:t>00425/INFOEM/IP/RR/2025</w:t>
          </w:r>
        </w:p>
      </w:tc>
    </w:tr>
    <w:tr w:rsidR="002728C9" w:rsidRPr="001F57CD" w14:paraId="1377D264" w14:textId="77777777" w:rsidTr="70652167">
      <w:trPr>
        <w:trHeight w:val="196"/>
      </w:trPr>
      <w:tc>
        <w:tcPr>
          <w:tcW w:w="5103" w:type="dxa"/>
          <w:hideMark/>
        </w:tcPr>
        <w:p w14:paraId="04D597A1" w14:textId="77777777" w:rsidR="002728C9" w:rsidRPr="00663A37" w:rsidRDefault="002728C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D72B889" w:rsidR="002728C9" w:rsidRPr="00663A37" w:rsidRDefault="00A14D2B" w:rsidP="70652167">
          <w:pPr>
            <w:spacing w:after="120" w:line="240" w:lineRule="auto"/>
            <w:ind w:right="68"/>
            <w:jc w:val="right"/>
            <w:rPr>
              <w:rFonts w:cs="Arial"/>
              <w:lang w:val="es-ES"/>
            </w:rPr>
          </w:pPr>
          <w:r>
            <w:rPr>
              <w:rFonts w:cs="Arial"/>
              <w:lang w:val="es-ES"/>
            </w:rPr>
            <w:t>XXXXXXXXXXXXX</w:t>
          </w:r>
        </w:p>
      </w:tc>
    </w:tr>
    <w:tr w:rsidR="002728C9" w14:paraId="4DC11993" w14:textId="77777777" w:rsidTr="70652167">
      <w:trPr>
        <w:trHeight w:val="242"/>
      </w:trPr>
      <w:tc>
        <w:tcPr>
          <w:tcW w:w="5103" w:type="dxa"/>
          <w:hideMark/>
        </w:tcPr>
        <w:p w14:paraId="76CEF1B5" w14:textId="77777777" w:rsidR="002728C9" w:rsidRPr="00663A37" w:rsidRDefault="002728C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DA4C5FB" w:rsidR="002728C9" w:rsidRPr="00663A37" w:rsidRDefault="002728C9" w:rsidP="00771E23">
          <w:pPr>
            <w:spacing w:after="120" w:line="240" w:lineRule="auto"/>
            <w:ind w:left="-70" w:right="68"/>
            <w:jc w:val="right"/>
            <w:rPr>
              <w:rFonts w:cs="Arial"/>
              <w:szCs w:val="24"/>
            </w:rPr>
          </w:pPr>
          <w:r>
            <w:rPr>
              <w:rFonts w:cs="Arial"/>
              <w:szCs w:val="24"/>
            </w:rPr>
            <w:t>Sistema Municipal para el Desarrollo Integral de la Familia de Toluca</w:t>
          </w:r>
        </w:p>
      </w:tc>
    </w:tr>
    <w:tr w:rsidR="002728C9" w14:paraId="5C2B511D" w14:textId="77777777" w:rsidTr="70652167">
      <w:trPr>
        <w:trHeight w:val="342"/>
      </w:trPr>
      <w:tc>
        <w:tcPr>
          <w:tcW w:w="5103" w:type="dxa"/>
          <w:hideMark/>
        </w:tcPr>
        <w:p w14:paraId="03FEF68C" w14:textId="45E91CF4" w:rsidR="002728C9" w:rsidRPr="00663A37" w:rsidRDefault="002728C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2728C9" w:rsidRPr="00663A37" w:rsidRDefault="002728C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2728C9" w:rsidRPr="00871A91" w:rsidRDefault="00A14D2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79.6pt;margin-top:-141.1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2728C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245D9"/>
    <w:multiLevelType w:val="hybridMultilevel"/>
    <w:tmpl w:val="EC2E2172"/>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E4676"/>
    <w:multiLevelType w:val="hybridMultilevel"/>
    <w:tmpl w:val="EC2E2172"/>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57F112DE"/>
    <w:multiLevelType w:val="hybridMultilevel"/>
    <w:tmpl w:val="EC2E2172"/>
    <w:lvl w:ilvl="0" w:tplc="D65AE18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4D40E1"/>
    <w:multiLevelType w:val="hybridMultilevel"/>
    <w:tmpl w:val="8B7EF22C"/>
    <w:lvl w:ilvl="0" w:tplc="080A000F">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41"/>
  </w:num>
  <w:num w:numId="3">
    <w:abstractNumId w:val="15"/>
  </w:num>
  <w:num w:numId="4">
    <w:abstractNumId w:val="53"/>
  </w:num>
  <w:num w:numId="5">
    <w:abstractNumId w:val="5"/>
  </w:num>
  <w:num w:numId="6">
    <w:abstractNumId w:val="46"/>
  </w:num>
  <w:num w:numId="7">
    <w:abstractNumId w:val="13"/>
  </w:num>
  <w:num w:numId="8">
    <w:abstractNumId w:val="4"/>
  </w:num>
  <w:num w:numId="9">
    <w:abstractNumId w:val="23"/>
  </w:num>
  <w:num w:numId="10">
    <w:abstractNumId w:val="24"/>
  </w:num>
  <w:num w:numId="11">
    <w:abstractNumId w:val="57"/>
  </w:num>
  <w:num w:numId="12">
    <w:abstractNumId w:val="51"/>
  </w:num>
  <w:num w:numId="13">
    <w:abstractNumId w:val="35"/>
  </w:num>
  <w:num w:numId="14">
    <w:abstractNumId w:val="40"/>
  </w:num>
  <w:num w:numId="15">
    <w:abstractNumId w:val="20"/>
  </w:num>
  <w:num w:numId="16">
    <w:abstractNumId w:val="34"/>
  </w:num>
  <w:num w:numId="17">
    <w:abstractNumId w:val="17"/>
  </w:num>
  <w:num w:numId="18">
    <w:abstractNumId w:val="8"/>
  </w:num>
  <w:num w:numId="19">
    <w:abstractNumId w:val="9"/>
  </w:num>
  <w:num w:numId="20">
    <w:abstractNumId w:val="16"/>
  </w:num>
  <w:num w:numId="21">
    <w:abstractNumId w:val="26"/>
  </w:num>
  <w:num w:numId="22">
    <w:abstractNumId w:val="3"/>
  </w:num>
  <w:num w:numId="23">
    <w:abstractNumId w:val="37"/>
  </w:num>
  <w:num w:numId="24">
    <w:abstractNumId w:val="45"/>
  </w:num>
  <w:num w:numId="25">
    <w:abstractNumId w:val="52"/>
  </w:num>
  <w:num w:numId="26">
    <w:abstractNumId w:val="22"/>
  </w:num>
  <w:num w:numId="27">
    <w:abstractNumId w:val="48"/>
  </w:num>
  <w:num w:numId="28">
    <w:abstractNumId w:val="29"/>
  </w:num>
  <w:num w:numId="29">
    <w:abstractNumId w:val="25"/>
  </w:num>
  <w:num w:numId="30">
    <w:abstractNumId w:val="18"/>
  </w:num>
  <w:num w:numId="31">
    <w:abstractNumId w:val="38"/>
  </w:num>
  <w:num w:numId="32">
    <w:abstractNumId w:val="44"/>
  </w:num>
  <w:num w:numId="33">
    <w:abstractNumId w:val="6"/>
  </w:num>
  <w:num w:numId="34">
    <w:abstractNumId w:val="55"/>
  </w:num>
  <w:num w:numId="35">
    <w:abstractNumId w:val="58"/>
  </w:num>
  <w:num w:numId="36">
    <w:abstractNumId w:val="50"/>
  </w:num>
  <w:num w:numId="37">
    <w:abstractNumId w:val="10"/>
  </w:num>
  <w:num w:numId="38">
    <w:abstractNumId w:val="49"/>
  </w:num>
  <w:num w:numId="39">
    <w:abstractNumId w:val="11"/>
  </w:num>
  <w:num w:numId="40">
    <w:abstractNumId w:val="47"/>
  </w:num>
  <w:num w:numId="41">
    <w:abstractNumId w:val="54"/>
  </w:num>
  <w:num w:numId="42">
    <w:abstractNumId w:val="0"/>
  </w:num>
  <w:num w:numId="43">
    <w:abstractNumId w:val="2"/>
  </w:num>
  <w:num w:numId="44">
    <w:abstractNumId w:val="32"/>
  </w:num>
  <w:num w:numId="45">
    <w:abstractNumId w:val="21"/>
  </w:num>
  <w:num w:numId="46">
    <w:abstractNumId w:val="30"/>
  </w:num>
  <w:num w:numId="47">
    <w:abstractNumId w:val="56"/>
  </w:num>
  <w:num w:numId="48">
    <w:abstractNumId w:val="28"/>
  </w:num>
  <w:num w:numId="49">
    <w:abstractNumId w:val="59"/>
  </w:num>
  <w:num w:numId="50">
    <w:abstractNumId w:val="19"/>
  </w:num>
  <w:num w:numId="51">
    <w:abstractNumId w:val="33"/>
  </w:num>
  <w:num w:numId="52">
    <w:abstractNumId w:val="39"/>
  </w:num>
  <w:num w:numId="53">
    <w:abstractNumId w:val="27"/>
  </w:num>
  <w:num w:numId="54">
    <w:abstractNumId w:val="1"/>
  </w:num>
  <w:num w:numId="55">
    <w:abstractNumId w:val="43"/>
  </w:num>
  <w:num w:numId="56">
    <w:abstractNumId w:val="12"/>
  </w:num>
  <w:num w:numId="57">
    <w:abstractNumId w:val="31"/>
  </w:num>
  <w:num w:numId="58">
    <w:abstractNumId w:val="42"/>
  </w:num>
  <w:num w:numId="59">
    <w:abstractNumId w:val="7"/>
  </w:num>
  <w:num w:numId="60">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0E95"/>
    <w:rsid w:val="00021122"/>
    <w:rsid w:val="00021165"/>
    <w:rsid w:val="00021A08"/>
    <w:rsid w:val="000221D0"/>
    <w:rsid w:val="00022432"/>
    <w:rsid w:val="0002287F"/>
    <w:rsid w:val="000232DA"/>
    <w:rsid w:val="0002356F"/>
    <w:rsid w:val="00024A6D"/>
    <w:rsid w:val="00024D3A"/>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A58"/>
    <w:rsid w:val="00050D85"/>
    <w:rsid w:val="00050FF1"/>
    <w:rsid w:val="00051732"/>
    <w:rsid w:val="00051F5E"/>
    <w:rsid w:val="0005219F"/>
    <w:rsid w:val="0005241C"/>
    <w:rsid w:val="00053435"/>
    <w:rsid w:val="00053AC0"/>
    <w:rsid w:val="00054689"/>
    <w:rsid w:val="0005480B"/>
    <w:rsid w:val="00054F6A"/>
    <w:rsid w:val="00055174"/>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5F34"/>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E73"/>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5CD3"/>
    <w:rsid w:val="000D609A"/>
    <w:rsid w:val="000D648C"/>
    <w:rsid w:val="000D66A1"/>
    <w:rsid w:val="000D6AE8"/>
    <w:rsid w:val="000D7340"/>
    <w:rsid w:val="000D772A"/>
    <w:rsid w:val="000E06A3"/>
    <w:rsid w:val="000E0D32"/>
    <w:rsid w:val="000E18EC"/>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40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17ED9"/>
    <w:rsid w:val="00120B59"/>
    <w:rsid w:val="00121552"/>
    <w:rsid w:val="00121842"/>
    <w:rsid w:val="00121B19"/>
    <w:rsid w:val="00121F46"/>
    <w:rsid w:val="001235A0"/>
    <w:rsid w:val="00123D0B"/>
    <w:rsid w:val="00124B26"/>
    <w:rsid w:val="0012508E"/>
    <w:rsid w:val="00130C18"/>
    <w:rsid w:val="00131721"/>
    <w:rsid w:val="00131C40"/>
    <w:rsid w:val="00131C6C"/>
    <w:rsid w:val="00131F2D"/>
    <w:rsid w:val="001321ED"/>
    <w:rsid w:val="00133F26"/>
    <w:rsid w:val="0013462D"/>
    <w:rsid w:val="001360B8"/>
    <w:rsid w:val="0013657B"/>
    <w:rsid w:val="00136A94"/>
    <w:rsid w:val="00137807"/>
    <w:rsid w:val="00140181"/>
    <w:rsid w:val="0014092A"/>
    <w:rsid w:val="00140A1A"/>
    <w:rsid w:val="00140A63"/>
    <w:rsid w:val="00141359"/>
    <w:rsid w:val="0014299C"/>
    <w:rsid w:val="00142AF7"/>
    <w:rsid w:val="00142D35"/>
    <w:rsid w:val="00143916"/>
    <w:rsid w:val="00143B5D"/>
    <w:rsid w:val="00143C0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36B"/>
    <w:rsid w:val="001564E3"/>
    <w:rsid w:val="00156610"/>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2A3"/>
    <w:rsid w:val="001823E3"/>
    <w:rsid w:val="00182FC0"/>
    <w:rsid w:val="001834D9"/>
    <w:rsid w:val="00183990"/>
    <w:rsid w:val="00183F45"/>
    <w:rsid w:val="00184A20"/>
    <w:rsid w:val="00184AEA"/>
    <w:rsid w:val="0018577B"/>
    <w:rsid w:val="00185C61"/>
    <w:rsid w:val="0018697B"/>
    <w:rsid w:val="00186D1D"/>
    <w:rsid w:val="00187CCE"/>
    <w:rsid w:val="00190030"/>
    <w:rsid w:val="0019086A"/>
    <w:rsid w:val="00190B5A"/>
    <w:rsid w:val="00190D0F"/>
    <w:rsid w:val="00190F59"/>
    <w:rsid w:val="00191C2C"/>
    <w:rsid w:val="00192D02"/>
    <w:rsid w:val="0019495B"/>
    <w:rsid w:val="00194C85"/>
    <w:rsid w:val="0019539C"/>
    <w:rsid w:val="001957CF"/>
    <w:rsid w:val="001957E6"/>
    <w:rsid w:val="00195845"/>
    <w:rsid w:val="0019584A"/>
    <w:rsid w:val="001960AD"/>
    <w:rsid w:val="0019662A"/>
    <w:rsid w:val="00196AF7"/>
    <w:rsid w:val="00196FB3"/>
    <w:rsid w:val="00197443"/>
    <w:rsid w:val="001A057E"/>
    <w:rsid w:val="001A0AFD"/>
    <w:rsid w:val="001A0E96"/>
    <w:rsid w:val="001A1BDB"/>
    <w:rsid w:val="001A316F"/>
    <w:rsid w:val="001A321A"/>
    <w:rsid w:val="001A3982"/>
    <w:rsid w:val="001A3C5F"/>
    <w:rsid w:val="001A3F75"/>
    <w:rsid w:val="001A4523"/>
    <w:rsid w:val="001A4592"/>
    <w:rsid w:val="001A4BDF"/>
    <w:rsid w:val="001A5348"/>
    <w:rsid w:val="001A5B53"/>
    <w:rsid w:val="001A6849"/>
    <w:rsid w:val="001A773B"/>
    <w:rsid w:val="001B0259"/>
    <w:rsid w:val="001B0262"/>
    <w:rsid w:val="001B0D9E"/>
    <w:rsid w:val="001B11CB"/>
    <w:rsid w:val="001B236A"/>
    <w:rsid w:val="001B23FA"/>
    <w:rsid w:val="001B28D1"/>
    <w:rsid w:val="001B2A3F"/>
    <w:rsid w:val="001B38EE"/>
    <w:rsid w:val="001B3FD2"/>
    <w:rsid w:val="001B473B"/>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1579"/>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4DA7"/>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197"/>
    <w:rsid w:val="0022145E"/>
    <w:rsid w:val="00221C04"/>
    <w:rsid w:val="0022245F"/>
    <w:rsid w:val="00223256"/>
    <w:rsid w:val="0022406E"/>
    <w:rsid w:val="00224FEA"/>
    <w:rsid w:val="002262C0"/>
    <w:rsid w:val="00226345"/>
    <w:rsid w:val="002264AE"/>
    <w:rsid w:val="0022716F"/>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1DE5"/>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8C9"/>
    <w:rsid w:val="002729A0"/>
    <w:rsid w:val="00273312"/>
    <w:rsid w:val="00273E61"/>
    <w:rsid w:val="00273F5F"/>
    <w:rsid w:val="00273F7C"/>
    <w:rsid w:val="00274341"/>
    <w:rsid w:val="002745A2"/>
    <w:rsid w:val="0027555F"/>
    <w:rsid w:val="00275599"/>
    <w:rsid w:val="00275719"/>
    <w:rsid w:val="00275727"/>
    <w:rsid w:val="00275BE9"/>
    <w:rsid w:val="00275F2C"/>
    <w:rsid w:val="00277BEF"/>
    <w:rsid w:val="002801D0"/>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6DB"/>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41B"/>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1921"/>
    <w:rsid w:val="002F1F5A"/>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3F1"/>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4CDC"/>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2C8"/>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350"/>
    <w:rsid w:val="0036188D"/>
    <w:rsid w:val="00362013"/>
    <w:rsid w:val="00362136"/>
    <w:rsid w:val="003623F5"/>
    <w:rsid w:val="0036323B"/>
    <w:rsid w:val="00363333"/>
    <w:rsid w:val="0036336C"/>
    <w:rsid w:val="003634F7"/>
    <w:rsid w:val="003637A1"/>
    <w:rsid w:val="00363EA3"/>
    <w:rsid w:val="0036401A"/>
    <w:rsid w:val="003647C3"/>
    <w:rsid w:val="003649B1"/>
    <w:rsid w:val="00364C0A"/>
    <w:rsid w:val="00365AE9"/>
    <w:rsid w:val="003672DF"/>
    <w:rsid w:val="003676DC"/>
    <w:rsid w:val="003704FC"/>
    <w:rsid w:val="00370B21"/>
    <w:rsid w:val="0037112D"/>
    <w:rsid w:val="003713C2"/>
    <w:rsid w:val="0037172A"/>
    <w:rsid w:val="00372105"/>
    <w:rsid w:val="003722D3"/>
    <w:rsid w:val="0037269A"/>
    <w:rsid w:val="00372B11"/>
    <w:rsid w:val="00373D4C"/>
    <w:rsid w:val="0037526D"/>
    <w:rsid w:val="0037545E"/>
    <w:rsid w:val="00375978"/>
    <w:rsid w:val="00376405"/>
    <w:rsid w:val="0037699E"/>
    <w:rsid w:val="00376ACB"/>
    <w:rsid w:val="00376C54"/>
    <w:rsid w:val="00380151"/>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D79"/>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61B"/>
    <w:rsid w:val="003C57BF"/>
    <w:rsid w:val="003C5A31"/>
    <w:rsid w:val="003C6226"/>
    <w:rsid w:val="003C66C3"/>
    <w:rsid w:val="003C744C"/>
    <w:rsid w:val="003D0AE2"/>
    <w:rsid w:val="003D17AF"/>
    <w:rsid w:val="003D2681"/>
    <w:rsid w:val="003D3294"/>
    <w:rsid w:val="003D330A"/>
    <w:rsid w:val="003D3477"/>
    <w:rsid w:val="003D372B"/>
    <w:rsid w:val="003D5450"/>
    <w:rsid w:val="003D58CE"/>
    <w:rsid w:val="003D70D0"/>
    <w:rsid w:val="003D7707"/>
    <w:rsid w:val="003D7760"/>
    <w:rsid w:val="003D7841"/>
    <w:rsid w:val="003E0B2A"/>
    <w:rsid w:val="003E0F89"/>
    <w:rsid w:val="003E13A1"/>
    <w:rsid w:val="003E24F3"/>
    <w:rsid w:val="003E266E"/>
    <w:rsid w:val="003E2955"/>
    <w:rsid w:val="003E44DA"/>
    <w:rsid w:val="003E468A"/>
    <w:rsid w:val="003E4972"/>
    <w:rsid w:val="003E4BAA"/>
    <w:rsid w:val="003E606D"/>
    <w:rsid w:val="003E6C77"/>
    <w:rsid w:val="003E6E17"/>
    <w:rsid w:val="003E7594"/>
    <w:rsid w:val="003E78BA"/>
    <w:rsid w:val="003E7E83"/>
    <w:rsid w:val="003F0A58"/>
    <w:rsid w:val="003F1C2E"/>
    <w:rsid w:val="003F2491"/>
    <w:rsid w:val="003F308A"/>
    <w:rsid w:val="003F32E3"/>
    <w:rsid w:val="003F3BA5"/>
    <w:rsid w:val="003F4582"/>
    <w:rsid w:val="003F52FC"/>
    <w:rsid w:val="003F5B98"/>
    <w:rsid w:val="003F5D5C"/>
    <w:rsid w:val="003F6080"/>
    <w:rsid w:val="003F6192"/>
    <w:rsid w:val="003F716E"/>
    <w:rsid w:val="003F7DBF"/>
    <w:rsid w:val="003F7E2F"/>
    <w:rsid w:val="00400374"/>
    <w:rsid w:val="00400915"/>
    <w:rsid w:val="0040187C"/>
    <w:rsid w:val="00402353"/>
    <w:rsid w:val="00402996"/>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22AD"/>
    <w:rsid w:val="004232C6"/>
    <w:rsid w:val="00423696"/>
    <w:rsid w:val="004236B2"/>
    <w:rsid w:val="004239F6"/>
    <w:rsid w:val="0042456A"/>
    <w:rsid w:val="00425195"/>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37D"/>
    <w:rsid w:val="004406B5"/>
    <w:rsid w:val="00441564"/>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296E"/>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3BF"/>
    <w:rsid w:val="0048483C"/>
    <w:rsid w:val="00484C7F"/>
    <w:rsid w:val="00485194"/>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45B2"/>
    <w:rsid w:val="00495065"/>
    <w:rsid w:val="0049591A"/>
    <w:rsid w:val="004962CD"/>
    <w:rsid w:val="00497395"/>
    <w:rsid w:val="004A080A"/>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08E"/>
    <w:rsid w:val="004C6471"/>
    <w:rsid w:val="004C64EB"/>
    <w:rsid w:val="004C6779"/>
    <w:rsid w:val="004C6D0D"/>
    <w:rsid w:val="004C7106"/>
    <w:rsid w:val="004C7156"/>
    <w:rsid w:val="004C75B3"/>
    <w:rsid w:val="004C7D54"/>
    <w:rsid w:val="004D069A"/>
    <w:rsid w:val="004D0CC4"/>
    <w:rsid w:val="004D0E43"/>
    <w:rsid w:val="004D11A8"/>
    <w:rsid w:val="004D307E"/>
    <w:rsid w:val="004D3254"/>
    <w:rsid w:val="004D43D7"/>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4DE2"/>
    <w:rsid w:val="0050566F"/>
    <w:rsid w:val="00506729"/>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660"/>
    <w:rsid w:val="005449D0"/>
    <w:rsid w:val="00544F4D"/>
    <w:rsid w:val="005450E4"/>
    <w:rsid w:val="00545B97"/>
    <w:rsid w:val="00546575"/>
    <w:rsid w:val="0054675F"/>
    <w:rsid w:val="0054712E"/>
    <w:rsid w:val="005475D9"/>
    <w:rsid w:val="005477F5"/>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57CDF"/>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B5"/>
    <w:rsid w:val="005740E5"/>
    <w:rsid w:val="005742BF"/>
    <w:rsid w:val="00574506"/>
    <w:rsid w:val="00574D31"/>
    <w:rsid w:val="0057697F"/>
    <w:rsid w:val="0058037A"/>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97DCC"/>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553"/>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3F3"/>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2EB7"/>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537"/>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76B"/>
    <w:rsid w:val="00690944"/>
    <w:rsid w:val="006914D2"/>
    <w:rsid w:val="00691C06"/>
    <w:rsid w:val="006922F5"/>
    <w:rsid w:val="006926B5"/>
    <w:rsid w:val="00692B0E"/>
    <w:rsid w:val="00692B84"/>
    <w:rsid w:val="00692C63"/>
    <w:rsid w:val="00692DBD"/>
    <w:rsid w:val="00692DF3"/>
    <w:rsid w:val="006930D6"/>
    <w:rsid w:val="00693C6F"/>
    <w:rsid w:val="0069448A"/>
    <w:rsid w:val="00694E9A"/>
    <w:rsid w:val="006950D6"/>
    <w:rsid w:val="00696153"/>
    <w:rsid w:val="00696A11"/>
    <w:rsid w:val="00696FD6"/>
    <w:rsid w:val="00697B3A"/>
    <w:rsid w:val="006A04A9"/>
    <w:rsid w:val="006A1490"/>
    <w:rsid w:val="006A1D05"/>
    <w:rsid w:val="006A281D"/>
    <w:rsid w:val="006A3246"/>
    <w:rsid w:val="006A3A42"/>
    <w:rsid w:val="006A4224"/>
    <w:rsid w:val="006A53BF"/>
    <w:rsid w:val="006A56F0"/>
    <w:rsid w:val="006A585F"/>
    <w:rsid w:val="006A66EC"/>
    <w:rsid w:val="006A67C2"/>
    <w:rsid w:val="006A6ACE"/>
    <w:rsid w:val="006A721D"/>
    <w:rsid w:val="006A777E"/>
    <w:rsid w:val="006A7BEE"/>
    <w:rsid w:val="006A7CE2"/>
    <w:rsid w:val="006A7E3C"/>
    <w:rsid w:val="006B11C6"/>
    <w:rsid w:val="006B14BE"/>
    <w:rsid w:val="006B279D"/>
    <w:rsid w:val="006B3A5C"/>
    <w:rsid w:val="006B4CA4"/>
    <w:rsid w:val="006B5B69"/>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57E4"/>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64F"/>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76F"/>
    <w:rsid w:val="00701F34"/>
    <w:rsid w:val="007031A2"/>
    <w:rsid w:val="00703D4D"/>
    <w:rsid w:val="00703E25"/>
    <w:rsid w:val="00703E4D"/>
    <w:rsid w:val="00703F3A"/>
    <w:rsid w:val="00704693"/>
    <w:rsid w:val="0070491A"/>
    <w:rsid w:val="00704AB9"/>
    <w:rsid w:val="007054D8"/>
    <w:rsid w:val="00706383"/>
    <w:rsid w:val="00706D47"/>
    <w:rsid w:val="007070E1"/>
    <w:rsid w:val="00707316"/>
    <w:rsid w:val="00707E9C"/>
    <w:rsid w:val="00707F22"/>
    <w:rsid w:val="00711916"/>
    <w:rsid w:val="00711EE2"/>
    <w:rsid w:val="00712D71"/>
    <w:rsid w:val="007130DA"/>
    <w:rsid w:val="00713380"/>
    <w:rsid w:val="00713DD5"/>
    <w:rsid w:val="007143A2"/>
    <w:rsid w:val="007147B9"/>
    <w:rsid w:val="00714CA9"/>
    <w:rsid w:val="007151DB"/>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4D3"/>
    <w:rsid w:val="007327E4"/>
    <w:rsid w:val="00732AB3"/>
    <w:rsid w:val="007332CF"/>
    <w:rsid w:val="007332E1"/>
    <w:rsid w:val="00733597"/>
    <w:rsid w:val="007337A8"/>
    <w:rsid w:val="0073427B"/>
    <w:rsid w:val="007343AF"/>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AEB"/>
    <w:rsid w:val="007712C7"/>
    <w:rsid w:val="00771E23"/>
    <w:rsid w:val="00771E3A"/>
    <w:rsid w:val="00772113"/>
    <w:rsid w:val="007736FE"/>
    <w:rsid w:val="0077455A"/>
    <w:rsid w:val="00774AC3"/>
    <w:rsid w:val="00775624"/>
    <w:rsid w:val="00775B5A"/>
    <w:rsid w:val="00776581"/>
    <w:rsid w:val="00777372"/>
    <w:rsid w:val="00777417"/>
    <w:rsid w:val="00777527"/>
    <w:rsid w:val="007775CA"/>
    <w:rsid w:val="00777824"/>
    <w:rsid w:val="007802A6"/>
    <w:rsid w:val="00780E83"/>
    <w:rsid w:val="0078178B"/>
    <w:rsid w:val="00781849"/>
    <w:rsid w:val="00781B6F"/>
    <w:rsid w:val="007822D6"/>
    <w:rsid w:val="0078246A"/>
    <w:rsid w:val="007826F1"/>
    <w:rsid w:val="00782890"/>
    <w:rsid w:val="007833CB"/>
    <w:rsid w:val="00783618"/>
    <w:rsid w:val="00783B56"/>
    <w:rsid w:val="0078467C"/>
    <w:rsid w:val="00785BC4"/>
    <w:rsid w:val="00785F67"/>
    <w:rsid w:val="007866C0"/>
    <w:rsid w:val="00786897"/>
    <w:rsid w:val="00786CFF"/>
    <w:rsid w:val="00787121"/>
    <w:rsid w:val="007874B4"/>
    <w:rsid w:val="0078754B"/>
    <w:rsid w:val="0078755D"/>
    <w:rsid w:val="00787C97"/>
    <w:rsid w:val="00787E62"/>
    <w:rsid w:val="007906EE"/>
    <w:rsid w:val="00791490"/>
    <w:rsid w:val="00791C7A"/>
    <w:rsid w:val="00791D59"/>
    <w:rsid w:val="0079244C"/>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47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2DBE"/>
    <w:rsid w:val="007F3189"/>
    <w:rsid w:val="007F3D8B"/>
    <w:rsid w:val="007F3F9F"/>
    <w:rsid w:val="007F44CF"/>
    <w:rsid w:val="007F5118"/>
    <w:rsid w:val="007F5589"/>
    <w:rsid w:val="007F56A8"/>
    <w:rsid w:val="007F5BB9"/>
    <w:rsid w:val="007F5C41"/>
    <w:rsid w:val="007F5E4F"/>
    <w:rsid w:val="007F6787"/>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35F6"/>
    <w:rsid w:val="008341ED"/>
    <w:rsid w:val="008356D0"/>
    <w:rsid w:val="0083573A"/>
    <w:rsid w:val="008362CE"/>
    <w:rsid w:val="00837584"/>
    <w:rsid w:val="008375A9"/>
    <w:rsid w:val="008375E0"/>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70A"/>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0DB6"/>
    <w:rsid w:val="008816EC"/>
    <w:rsid w:val="008816ED"/>
    <w:rsid w:val="00881947"/>
    <w:rsid w:val="00881D64"/>
    <w:rsid w:val="00881D9F"/>
    <w:rsid w:val="00882C01"/>
    <w:rsid w:val="00882CC7"/>
    <w:rsid w:val="00882E02"/>
    <w:rsid w:val="008835FF"/>
    <w:rsid w:val="00883C16"/>
    <w:rsid w:val="00883D12"/>
    <w:rsid w:val="00883EFF"/>
    <w:rsid w:val="0088456B"/>
    <w:rsid w:val="00884919"/>
    <w:rsid w:val="008853EC"/>
    <w:rsid w:val="00885F19"/>
    <w:rsid w:val="008863EE"/>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73"/>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10B"/>
    <w:rsid w:val="008C5658"/>
    <w:rsid w:val="008C5DCA"/>
    <w:rsid w:val="008C6195"/>
    <w:rsid w:val="008C6338"/>
    <w:rsid w:val="008C6360"/>
    <w:rsid w:val="008C64B9"/>
    <w:rsid w:val="008D0ADE"/>
    <w:rsid w:val="008D0B21"/>
    <w:rsid w:val="008D0EE2"/>
    <w:rsid w:val="008D1233"/>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A9"/>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1D26"/>
    <w:rsid w:val="008F2554"/>
    <w:rsid w:val="008F2C23"/>
    <w:rsid w:val="008F2D02"/>
    <w:rsid w:val="008F3C6D"/>
    <w:rsid w:val="008F47DC"/>
    <w:rsid w:val="008F50E6"/>
    <w:rsid w:val="008F52B5"/>
    <w:rsid w:val="008F6187"/>
    <w:rsid w:val="008F635E"/>
    <w:rsid w:val="008F69A1"/>
    <w:rsid w:val="008F738E"/>
    <w:rsid w:val="008F7ACB"/>
    <w:rsid w:val="008F7F4D"/>
    <w:rsid w:val="00900075"/>
    <w:rsid w:val="009002CE"/>
    <w:rsid w:val="0090115A"/>
    <w:rsid w:val="0090120A"/>
    <w:rsid w:val="009025FB"/>
    <w:rsid w:val="009029DB"/>
    <w:rsid w:val="0090348A"/>
    <w:rsid w:val="009038A8"/>
    <w:rsid w:val="00903D1B"/>
    <w:rsid w:val="00904109"/>
    <w:rsid w:val="009042E8"/>
    <w:rsid w:val="00905409"/>
    <w:rsid w:val="00905C6E"/>
    <w:rsid w:val="0090753F"/>
    <w:rsid w:val="00907591"/>
    <w:rsid w:val="00907913"/>
    <w:rsid w:val="00907A8E"/>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1777E"/>
    <w:rsid w:val="009202A0"/>
    <w:rsid w:val="009202C9"/>
    <w:rsid w:val="00920835"/>
    <w:rsid w:val="00921287"/>
    <w:rsid w:val="0092131F"/>
    <w:rsid w:val="00921595"/>
    <w:rsid w:val="00922140"/>
    <w:rsid w:val="009249F3"/>
    <w:rsid w:val="009258D8"/>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5E4"/>
    <w:rsid w:val="00945CE6"/>
    <w:rsid w:val="009461AB"/>
    <w:rsid w:val="009464A3"/>
    <w:rsid w:val="00946522"/>
    <w:rsid w:val="00946796"/>
    <w:rsid w:val="0094742A"/>
    <w:rsid w:val="00947E3C"/>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6EE1"/>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62C"/>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997"/>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5123"/>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9B2"/>
    <w:rsid w:val="00A07CA6"/>
    <w:rsid w:val="00A07E4D"/>
    <w:rsid w:val="00A10FD5"/>
    <w:rsid w:val="00A110A7"/>
    <w:rsid w:val="00A11BDD"/>
    <w:rsid w:val="00A12981"/>
    <w:rsid w:val="00A12D9D"/>
    <w:rsid w:val="00A134B2"/>
    <w:rsid w:val="00A14320"/>
    <w:rsid w:val="00A14D2B"/>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198F"/>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6C9D"/>
    <w:rsid w:val="00A370D9"/>
    <w:rsid w:val="00A37321"/>
    <w:rsid w:val="00A40E66"/>
    <w:rsid w:val="00A40FB6"/>
    <w:rsid w:val="00A4179C"/>
    <w:rsid w:val="00A418DB"/>
    <w:rsid w:val="00A42629"/>
    <w:rsid w:val="00A42EBF"/>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5600A"/>
    <w:rsid w:val="00A569AE"/>
    <w:rsid w:val="00A606C1"/>
    <w:rsid w:val="00A60841"/>
    <w:rsid w:val="00A61A4E"/>
    <w:rsid w:val="00A6208A"/>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1C8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B7026"/>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726"/>
    <w:rsid w:val="00AC7896"/>
    <w:rsid w:val="00AD0E72"/>
    <w:rsid w:val="00AD104E"/>
    <w:rsid w:val="00AD124D"/>
    <w:rsid w:val="00AD1EAE"/>
    <w:rsid w:val="00AD2275"/>
    <w:rsid w:val="00AD2280"/>
    <w:rsid w:val="00AD26C0"/>
    <w:rsid w:val="00AD2B85"/>
    <w:rsid w:val="00AD3319"/>
    <w:rsid w:val="00AD3CC4"/>
    <w:rsid w:val="00AD453E"/>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5A3"/>
    <w:rsid w:val="00AF6B94"/>
    <w:rsid w:val="00B0026B"/>
    <w:rsid w:val="00B0036F"/>
    <w:rsid w:val="00B009ED"/>
    <w:rsid w:val="00B00A28"/>
    <w:rsid w:val="00B00C8E"/>
    <w:rsid w:val="00B02674"/>
    <w:rsid w:val="00B02AA5"/>
    <w:rsid w:val="00B045EC"/>
    <w:rsid w:val="00B04CB7"/>
    <w:rsid w:val="00B04DA9"/>
    <w:rsid w:val="00B04F50"/>
    <w:rsid w:val="00B05AE4"/>
    <w:rsid w:val="00B05CA6"/>
    <w:rsid w:val="00B066BF"/>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4BA"/>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46E4"/>
    <w:rsid w:val="00B367AA"/>
    <w:rsid w:val="00B36B86"/>
    <w:rsid w:val="00B36DA8"/>
    <w:rsid w:val="00B37176"/>
    <w:rsid w:val="00B373AA"/>
    <w:rsid w:val="00B37787"/>
    <w:rsid w:val="00B401F0"/>
    <w:rsid w:val="00B40823"/>
    <w:rsid w:val="00B40DF9"/>
    <w:rsid w:val="00B41B5F"/>
    <w:rsid w:val="00B42083"/>
    <w:rsid w:val="00B42270"/>
    <w:rsid w:val="00B427A9"/>
    <w:rsid w:val="00B42A26"/>
    <w:rsid w:val="00B433A2"/>
    <w:rsid w:val="00B43455"/>
    <w:rsid w:val="00B435F8"/>
    <w:rsid w:val="00B4373C"/>
    <w:rsid w:val="00B43890"/>
    <w:rsid w:val="00B4620E"/>
    <w:rsid w:val="00B46CB0"/>
    <w:rsid w:val="00B4725D"/>
    <w:rsid w:val="00B47408"/>
    <w:rsid w:val="00B4791F"/>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67FC0"/>
    <w:rsid w:val="00B71399"/>
    <w:rsid w:val="00B720DB"/>
    <w:rsid w:val="00B73DB6"/>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3F89"/>
    <w:rsid w:val="00B94B37"/>
    <w:rsid w:val="00B95178"/>
    <w:rsid w:val="00B9576A"/>
    <w:rsid w:val="00B962BB"/>
    <w:rsid w:val="00B967A7"/>
    <w:rsid w:val="00BA088E"/>
    <w:rsid w:val="00BA0A2D"/>
    <w:rsid w:val="00BA0D71"/>
    <w:rsid w:val="00BA152C"/>
    <w:rsid w:val="00BA21B2"/>
    <w:rsid w:val="00BA2861"/>
    <w:rsid w:val="00BA3873"/>
    <w:rsid w:val="00BA441E"/>
    <w:rsid w:val="00BA44CE"/>
    <w:rsid w:val="00BA5315"/>
    <w:rsid w:val="00BA636A"/>
    <w:rsid w:val="00BA6707"/>
    <w:rsid w:val="00BA7C0B"/>
    <w:rsid w:val="00BA7C85"/>
    <w:rsid w:val="00BB0F85"/>
    <w:rsid w:val="00BB1497"/>
    <w:rsid w:val="00BB14D1"/>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0A2C"/>
    <w:rsid w:val="00BC0F0B"/>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14"/>
    <w:rsid w:val="00BE0CEB"/>
    <w:rsid w:val="00BE1CF2"/>
    <w:rsid w:val="00BE1E12"/>
    <w:rsid w:val="00BE27FB"/>
    <w:rsid w:val="00BE2D09"/>
    <w:rsid w:val="00BE346A"/>
    <w:rsid w:val="00BE379D"/>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A12"/>
    <w:rsid w:val="00BF4B2D"/>
    <w:rsid w:val="00BF5945"/>
    <w:rsid w:val="00BF5C55"/>
    <w:rsid w:val="00BF5D6D"/>
    <w:rsid w:val="00BF5FB6"/>
    <w:rsid w:val="00BF6362"/>
    <w:rsid w:val="00BF715E"/>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638"/>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1CAE"/>
    <w:rsid w:val="00C22169"/>
    <w:rsid w:val="00C226EB"/>
    <w:rsid w:val="00C233B3"/>
    <w:rsid w:val="00C234ED"/>
    <w:rsid w:val="00C235D5"/>
    <w:rsid w:val="00C238FB"/>
    <w:rsid w:val="00C23BF7"/>
    <w:rsid w:val="00C240FA"/>
    <w:rsid w:val="00C25B3F"/>
    <w:rsid w:val="00C2627B"/>
    <w:rsid w:val="00C266DC"/>
    <w:rsid w:val="00C27F6A"/>
    <w:rsid w:val="00C31080"/>
    <w:rsid w:val="00C31F37"/>
    <w:rsid w:val="00C3227B"/>
    <w:rsid w:val="00C32ACE"/>
    <w:rsid w:val="00C32F37"/>
    <w:rsid w:val="00C33352"/>
    <w:rsid w:val="00C33A26"/>
    <w:rsid w:val="00C34568"/>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2EB"/>
    <w:rsid w:val="00C55359"/>
    <w:rsid w:val="00C558A4"/>
    <w:rsid w:val="00C559CD"/>
    <w:rsid w:val="00C57E04"/>
    <w:rsid w:val="00C60388"/>
    <w:rsid w:val="00C6060E"/>
    <w:rsid w:val="00C606E2"/>
    <w:rsid w:val="00C60938"/>
    <w:rsid w:val="00C61818"/>
    <w:rsid w:val="00C61B06"/>
    <w:rsid w:val="00C61FEC"/>
    <w:rsid w:val="00C62B4F"/>
    <w:rsid w:val="00C62FC2"/>
    <w:rsid w:val="00C6512A"/>
    <w:rsid w:val="00C65918"/>
    <w:rsid w:val="00C65D61"/>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4ED5"/>
    <w:rsid w:val="00CD55DB"/>
    <w:rsid w:val="00CD63AD"/>
    <w:rsid w:val="00CE1045"/>
    <w:rsid w:val="00CE12F6"/>
    <w:rsid w:val="00CE167E"/>
    <w:rsid w:val="00CE185E"/>
    <w:rsid w:val="00CE1940"/>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1F6"/>
    <w:rsid w:val="00CF32A8"/>
    <w:rsid w:val="00CF33E8"/>
    <w:rsid w:val="00CF427E"/>
    <w:rsid w:val="00CF4606"/>
    <w:rsid w:val="00CF4664"/>
    <w:rsid w:val="00CF4BE7"/>
    <w:rsid w:val="00CF4CEF"/>
    <w:rsid w:val="00CF58DD"/>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076F4"/>
    <w:rsid w:val="00D10489"/>
    <w:rsid w:val="00D1132F"/>
    <w:rsid w:val="00D11A26"/>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6BE7"/>
    <w:rsid w:val="00D47E1F"/>
    <w:rsid w:val="00D50F44"/>
    <w:rsid w:val="00D52933"/>
    <w:rsid w:val="00D52C36"/>
    <w:rsid w:val="00D52FF0"/>
    <w:rsid w:val="00D53395"/>
    <w:rsid w:val="00D537E5"/>
    <w:rsid w:val="00D538C9"/>
    <w:rsid w:val="00D549DF"/>
    <w:rsid w:val="00D54ECB"/>
    <w:rsid w:val="00D5591C"/>
    <w:rsid w:val="00D563A4"/>
    <w:rsid w:val="00D56683"/>
    <w:rsid w:val="00D56AAB"/>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499"/>
    <w:rsid w:val="00D7495B"/>
    <w:rsid w:val="00D74E94"/>
    <w:rsid w:val="00D74F3E"/>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0B5"/>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4F81"/>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A7CB7"/>
    <w:rsid w:val="00DB0034"/>
    <w:rsid w:val="00DB0677"/>
    <w:rsid w:val="00DB08A2"/>
    <w:rsid w:val="00DB0D6D"/>
    <w:rsid w:val="00DB1035"/>
    <w:rsid w:val="00DB1F84"/>
    <w:rsid w:val="00DB2950"/>
    <w:rsid w:val="00DB2E38"/>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0E"/>
    <w:rsid w:val="00DC63B3"/>
    <w:rsid w:val="00DC6B6C"/>
    <w:rsid w:val="00DD2877"/>
    <w:rsid w:val="00DD29DC"/>
    <w:rsid w:val="00DD2EDE"/>
    <w:rsid w:val="00DD3144"/>
    <w:rsid w:val="00DD3886"/>
    <w:rsid w:val="00DD38A3"/>
    <w:rsid w:val="00DD3E53"/>
    <w:rsid w:val="00DD406B"/>
    <w:rsid w:val="00DD67AC"/>
    <w:rsid w:val="00DD7FD2"/>
    <w:rsid w:val="00DE0CF0"/>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6F73"/>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19F"/>
    <w:rsid w:val="00E10734"/>
    <w:rsid w:val="00E120FC"/>
    <w:rsid w:val="00E12997"/>
    <w:rsid w:val="00E12D07"/>
    <w:rsid w:val="00E145C0"/>
    <w:rsid w:val="00E14BA9"/>
    <w:rsid w:val="00E14CCB"/>
    <w:rsid w:val="00E14D96"/>
    <w:rsid w:val="00E1689A"/>
    <w:rsid w:val="00E1701F"/>
    <w:rsid w:val="00E1736D"/>
    <w:rsid w:val="00E1746A"/>
    <w:rsid w:val="00E207AC"/>
    <w:rsid w:val="00E2095F"/>
    <w:rsid w:val="00E212A3"/>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57C73"/>
    <w:rsid w:val="00E600CD"/>
    <w:rsid w:val="00E60219"/>
    <w:rsid w:val="00E61149"/>
    <w:rsid w:val="00E61239"/>
    <w:rsid w:val="00E6287B"/>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7E"/>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1EAB"/>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6E69"/>
    <w:rsid w:val="00EA737F"/>
    <w:rsid w:val="00EA7EA7"/>
    <w:rsid w:val="00EB0239"/>
    <w:rsid w:val="00EB0AFA"/>
    <w:rsid w:val="00EB0C68"/>
    <w:rsid w:val="00EB2AC5"/>
    <w:rsid w:val="00EB2BE8"/>
    <w:rsid w:val="00EB2F9B"/>
    <w:rsid w:val="00EB311C"/>
    <w:rsid w:val="00EB352A"/>
    <w:rsid w:val="00EB3FD5"/>
    <w:rsid w:val="00EB40B2"/>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1EA3"/>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6EBC"/>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B6"/>
    <w:rsid w:val="00EE575C"/>
    <w:rsid w:val="00EE5F95"/>
    <w:rsid w:val="00EE6B6F"/>
    <w:rsid w:val="00EE76B1"/>
    <w:rsid w:val="00EE7818"/>
    <w:rsid w:val="00EF0B59"/>
    <w:rsid w:val="00EF0F59"/>
    <w:rsid w:val="00EF1196"/>
    <w:rsid w:val="00EF1A5A"/>
    <w:rsid w:val="00EF20D2"/>
    <w:rsid w:val="00EF2A00"/>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158"/>
    <w:rsid w:val="00F274E9"/>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584"/>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3CD"/>
    <w:rsid w:val="00F56426"/>
    <w:rsid w:val="00F5643F"/>
    <w:rsid w:val="00F56CB4"/>
    <w:rsid w:val="00F6068A"/>
    <w:rsid w:val="00F61C7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6D72"/>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1B6"/>
    <w:rsid w:val="00FF1B40"/>
    <w:rsid w:val="00FF1B91"/>
    <w:rsid w:val="00FF28C3"/>
    <w:rsid w:val="00FF299D"/>
    <w:rsid w:val="00FF32F4"/>
    <w:rsid w:val="00FF35B6"/>
    <w:rsid w:val="00FF3E42"/>
    <w:rsid w:val="00FF40EB"/>
    <w:rsid w:val="00FF47CD"/>
    <w:rsid w:val="00FF485C"/>
    <w:rsid w:val="00FF48BE"/>
    <w:rsid w:val="00FF4CA5"/>
    <w:rsid w:val="00FF5344"/>
    <w:rsid w:val="00FF5532"/>
    <w:rsid w:val="00FF5DBD"/>
    <w:rsid w:val="00FF6225"/>
    <w:rsid w:val="00FF64AB"/>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C92F-514C-442E-A7C7-CCF005A8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7704</Words>
  <Characters>42377</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2025-02-24T18:18:00Z</dcterms:created>
  <dcterms:modified xsi:type="dcterms:W3CDTF">2025-03-10T23:53:00Z</dcterms:modified>
</cp:coreProperties>
</file>