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6E0E98" w14:textId="2735C2BA" w:rsidR="002D0127" w:rsidRPr="008D0443" w:rsidRDefault="00946B94">
      <w:pPr>
        <w:spacing w:before="240" w:after="240" w:line="360" w:lineRule="auto"/>
        <w:jc w:val="both"/>
        <w:rPr>
          <w:rFonts w:ascii="Palatino Linotype" w:eastAsia="Palatino Linotype" w:hAnsi="Palatino Linotype" w:cs="Palatino Linotype"/>
          <w:sz w:val="22"/>
          <w:szCs w:val="22"/>
        </w:rPr>
      </w:pPr>
      <w:bookmarkStart w:id="0" w:name="_heading=h.3rdcrjn" w:colFirst="0" w:colLast="0"/>
      <w:bookmarkStart w:id="1" w:name="_GoBack"/>
      <w:bookmarkEnd w:id="0"/>
      <w:bookmarkEnd w:id="1"/>
      <w:r w:rsidRPr="008D0443">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DB3220" w:rsidRPr="008D0443">
        <w:rPr>
          <w:rFonts w:ascii="Palatino Linotype" w:eastAsia="Palatino Linotype" w:hAnsi="Palatino Linotype" w:cs="Palatino Linotype"/>
          <w:sz w:val="22"/>
          <w:szCs w:val="22"/>
        </w:rPr>
        <w:t xml:space="preserve">cinco </w:t>
      </w:r>
      <w:r w:rsidRPr="008D0443">
        <w:rPr>
          <w:rFonts w:ascii="Palatino Linotype" w:eastAsia="Palatino Linotype" w:hAnsi="Palatino Linotype" w:cs="Palatino Linotype"/>
          <w:sz w:val="22"/>
          <w:szCs w:val="22"/>
        </w:rPr>
        <w:t xml:space="preserve">de </w:t>
      </w:r>
      <w:r w:rsidR="00DB3220" w:rsidRPr="008D0443">
        <w:rPr>
          <w:rFonts w:ascii="Palatino Linotype" w:eastAsia="Palatino Linotype" w:hAnsi="Palatino Linotype" w:cs="Palatino Linotype"/>
          <w:sz w:val="22"/>
          <w:szCs w:val="22"/>
        </w:rPr>
        <w:t xml:space="preserve">noviembre </w:t>
      </w:r>
      <w:r w:rsidRPr="008D0443">
        <w:rPr>
          <w:rFonts w:ascii="Palatino Linotype" w:eastAsia="Palatino Linotype" w:hAnsi="Palatino Linotype" w:cs="Palatino Linotype"/>
          <w:sz w:val="22"/>
          <w:szCs w:val="22"/>
        </w:rPr>
        <w:t xml:space="preserve">de dos mil veinticinco. </w:t>
      </w:r>
    </w:p>
    <w:p w14:paraId="0932AC1F" w14:textId="77777777" w:rsidR="002D0127" w:rsidRPr="008D0443" w:rsidRDefault="00946B94">
      <w:pPr>
        <w:tabs>
          <w:tab w:val="left" w:pos="5812"/>
        </w:tabs>
        <w:spacing w:before="240" w:after="240" w:line="360" w:lineRule="auto"/>
        <w:jc w:val="both"/>
        <w:rPr>
          <w:rFonts w:ascii="Palatino Linotype" w:eastAsia="Palatino Linotype" w:hAnsi="Palatino Linotype" w:cs="Palatino Linotype"/>
          <w:sz w:val="22"/>
          <w:szCs w:val="22"/>
        </w:rPr>
      </w:pPr>
      <w:bookmarkStart w:id="2" w:name="_heading=h.daj3j2xo6q66" w:colFirst="0" w:colLast="0"/>
      <w:bookmarkEnd w:id="2"/>
      <w:r w:rsidRPr="008D0443">
        <w:rPr>
          <w:rFonts w:ascii="Palatino Linotype" w:eastAsia="Palatino Linotype" w:hAnsi="Palatino Linotype" w:cs="Palatino Linotype"/>
          <w:b/>
          <w:sz w:val="22"/>
          <w:szCs w:val="22"/>
        </w:rPr>
        <w:t>VISTO</w:t>
      </w:r>
      <w:r w:rsidRPr="008D0443">
        <w:rPr>
          <w:rFonts w:ascii="Palatino Linotype" w:eastAsia="Palatino Linotype" w:hAnsi="Palatino Linotype" w:cs="Palatino Linotype"/>
          <w:sz w:val="22"/>
          <w:szCs w:val="22"/>
        </w:rPr>
        <w:t xml:space="preserve"> el expediente formado con motivo del recurso de revisión </w:t>
      </w:r>
      <w:r w:rsidRPr="008D0443">
        <w:rPr>
          <w:rFonts w:ascii="Palatino Linotype" w:eastAsia="Palatino Linotype" w:hAnsi="Palatino Linotype" w:cs="Palatino Linotype"/>
          <w:b/>
          <w:sz w:val="22"/>
          <w:szCs w:val="22"/>
        </w:rPr>
        <w:t>08204/INFOEM/IP/RR/2025</w:t>
      </w:r>
      <w:r w:rsidRPr="008D0443">
        <w:rPr>
          <w:rFonts w:ascii="Palatino Linotype" w:eastAsia="Palatino Linotype" w:hAnsi="Palatino Linotype" w:cs="Palatino Linotype"/>
          <w:sz w:val="22"/>
          <w:szCs w:val="22"/>
        </w:rPr>
        <w:t>, interpuesto por</w:t>
      </w:r>
      <w:r w:rsidRPr="008D0443">
        <w:rPr>
          <w:rFonts w:ascii="Palatino Linotype" w:eastAsia="Palatino Linotype" w:hAnsi="Palatino Linotype" w:cs="Palatino Linotype"/>
          <w:b/>
          <w:sz w:val="22"/>
          <w:szCs w:val="22"/>
        </w:rPr>
        <w:t xml:space="preserve"> una persona que no proporcionó nombre o seudónimo,</w:t>
      </w:r>
      <w:r w:rsidRPr="008D0443">
        <w:rPr>
          <w:rFonts w:ascii="Palatino Linotype" w:eastAsia="Palatino Linotype" w:hAnsi="Palatino Linotype" w:cs="Palatino Linotype"/>
          <w:sz w:val="22"/>
          <w:szCs w:val="22"/>
        </w:rPr>
        <w:t xml:space="preserve"> en lo sucesivo</w:t>
      </w:r>
      <w:r w:rsidRPr="008D0443">
        <w:rPr>
          <w:rFonts w:ascii="Palatino Linotype" w:eastAsia="Palatino Linotype" w:hAnsi="Palatino Linotype" w:cs="Palatino Linotype"/>
          <w:b/>
          <w:sz w:val="22"/>
          <w:szCs w:val="22"/>
        </w:rPr>
        <w:t xml:space="preserve"> </w:t>
      </w:r>
      <w:r w:rsidRPr="008D0443">
        <w:rPr>
          <w:rFonts w:ascii="Palatino Linotype" w:eastAsia="Palatino Linotype" w:hAnsi="Palatino Linotype" w:cs="Palatino Linotype"/>
          <w:sz w:val="22"/>
          <w:szCs w:val="22"/>
        </w:rPr>
        <w:t xml:space="preserve">la parte </w:t>
      </w:r>
      <w:r w:rsidRPr="008D0443">
        <w:rPr>
          <w:rFonts w:ascii="Palatino Linotype" w:eastAsia="Palatino Linotype" w:hAnsi="Palatino Linotype" w:cs="Palatino Linotype"/>
          <w:b/>
          <w:sz w:val="22"/>
          <w:szCs w:val="22"/>
        </w:rPr>
        <w:t>Recurrente,</w:t>
      </w:r>
      <w:r w:rsidRPr="008D0443">
        <w:rPr>
          <w:rFonts w:ascii="Palatino Linotype" w:eastAsia="Palatino Linotype" w:hAnsi="Palatino Linotype" w:cs="Palatino Linotype"/>
          <w:sz w:val="22"/>
          <w:szCs w:val="22"/>
        </w:rPr>
        <w:t xml:space="preserve"> en contra de la respuesta a la solicitud de información con número de folio</w:t>
      </w:r>
      <w:r w:rsidRPr="008D0443">
        <w:rPr>
          <w:rFonts w:ascii="Palatino Linotype" w:eastAsia="Palatino Linotype" w:hAnsi="Palatino Linotype" w:cs="Palatino Linotype"/>
          <w:b/>
          <w:sz w:val="22"/>
          <w:szCs w:val="22"/>
        </w:rPr>
        <w:t xml:space="preserve"> 00149/OPDTEOLOYUCAN/IP/2025, </w:t>
      </w:r>
      <w:r w:rsidRPr="008D0443">
        <w:rPr>
          <w:rFonts w:ascii="Palatino Linotype" w:eastAsia="Palatino Linotype" w:hAnsi="Palatino Linotype" w:cs="Palatino Linotype"/>
          <w:sz w:val="22"/>
          <w:szCs w:val="22"/>
        </w:rPr>
        <w:t xml:space="preserve">por parte del </w:t>
      </w:r>
      <w:r w:rsidRPr="008D0443">
        <w:rPr>
          <w:rFonts w:ascii="Palatino Linotype" w:eastAsia="Palatino Linotype" w:hAnsi="Palatino Linotype" w:cs="Palatino Linotype"/>
          <w:b/>
          <w:sz w:val="22"/>
          <w:szCs w:val="22"/>
        </w:rPr>
        <w:t xml:space="preserve">Organismo Público Descentralizado para la Prestación de los Servicios de Agua Potable, Alcantarillado y Saneamiento de Teoloyucan, </w:t>
      </w:r>
      <w:r w:rsidRPr="008D0443">
        <w:rPr>
          <w:rFonts w:ascii="Palatino Linotype" w:eastAsia="Palatino Linotype" w:hAnsi="Palatino Linotype" w:cs="Palatino Linotype"/>
          <w:sz w:val="22"/>
          <w:szCs w:val="22"/>
        </w:rPr>
        <w:t xml:space="preserve">en lo sucesivo el </w:t>
      </w:r>
      <w:r w:rsidRPr="008D0443">
        <w:rPr>
          <w:rFonts w:ascii="Palatino Linotype" w:eastAsia="Palatino Linotype" w:hAnsi="Palatino Linotype" w:cs="Palatino Linotype"/>
          <w:b/>
          <w:sz w:val="22"/>
          <w:szCs w:val="22"/>
        </w:rPr>
        <w:t xml:space="preserve">Sujeto Obligado, </w:t>
      </w:r>
      <w:r w:rsidRPr="008D0443">
        <w:rPr>
          <w:rFonts w:ascii="Palatino Linotype" w:eastAsia="Palatino Linotype" w:hAnsi="Palatino Linotype" w:cs="Palatino Linotype"/>
          <w:sz w:val="22"/>
          <w:szCs w:val="22"/>
        </w:rPr>
        <w:t xml:space="preserve">se procede a dictar la presente resolución con base en los siguientes: </w:t>
      </w:r>
    </w:p>
    <w:p w14:paraId="7801DF00" w14:textId="77777777" w:rsidR="002D0127" w:rsidRPr="008D0443" w:rsidRDefault="00946B94">
      <w:pPr>
        <w:spacing w:before="240" w:after="240" w:line="360" w:lineRule="auto"/>
        <w:jc w:val="center"/>
        <w:rPr>
          <w:rFonts w:ascii="Palatino Linotype" w:eastAsia="Palatino Linotype" w:hAnsi="Palatino Linotype" w:cs="Palatino Linotype"/>
          <w:b/>
          <w:sz w:val="22"/>
          <w:szCs w:val="22"/>
        </w:rPr>
      </w:pPr>
      <w:r w:rsidRPr="008D0443">
        <w:rPr>
          <w:rFonts w:ascii="Palatino Linotype" w:eastAsia="Palatino Linotype" w:hAnsi="Palatino Linotype" w:cs="Palatino Linotype"/>
          <w:b/>
          <w:sz w:val="22"/>
          <w:szCs w:val="22"/>
        </w:rPr>
        <w:t>I. A N T E C E D E N T E S</w:t>
      </w:r>
    </w:p>
    <w:p w14:paraId="7AD4F69C" w14:textId="77777777" w:rsidR="002D0127" w:rsidRPr="008D0443" w:rsidRDefault="00946B94">
      <w:pPr>
        <w:spacing w:before="240" w:after="240" w:line="360" w:lineRule="auto"/>
        <w:jc w:val="both"/>
        <w:rPr>
          <w:rFonts w:ascii="Palatino Linotype" w:eastAsia="Palatino Linotype" w:hAnsi="Palatino Linotype" w:cs="Palatino Linotype"/>
          <w:sz w:val="22"/>
          <w:szCs w:val="22"/>
        </w:rPr>
      </w:pPr>
      <w:bookmarkStart w:id="3" w:name="_heading=h.gjdgxs" w:colFirst="0" w:colLast="0"/>
      <w:bookmarkEnd w:id="3"/>
      <w:r w:rsidRPr="008D0443">
        <w:rPr>
          <w:rFonts w:ascii="Palatino Linotype" w:eastAsia="Palatino Linotype" w:hAnsi="Palatino Linotype" w:cs="Palatino Linotype"/>
          <w:b/>
          <w:sz w:val="22"/>
          <w:szCs w:val="22"/>
        </w:rPr>
        <w:t>1. Solicitud de acceso a la información.</w:t>
      </w:r>
      <w:r w:rsidRPr="008D0443">
        <w:rPr>
          <w:rFonts w:ascii="Palatino Linotype" w:eastAsia="Palatino Linotype" w:hAnsi="Palatino Linotype" w:cs="Palatino Linotype"/>
          <w:sz w:val="22"/>
          <w:szCs w:val="22"/>
        </w:rPr>
        <w:t xml:space="preserve"> El </w:t>
      </w:r>
      <w:r w:rsidRPr="008D0443">
        <w:rPr>
          <w:rFonts w:ascii="Palatino Linotype" w:eastAsia="Palatino Linotype" w:hAnsi="Palatino Linotype" w:cs="Palatino Linotype"/>
          <w:b/>
          <w:sz w:val="22"/>
          <w:szCs w:val="22"/>
        </w:rPr>
        <w:t>dieciséis de junio de dos mil veinticinco,</w:t>
      </w:r>
      <w:r w:rsidRPr="008D0443">
        <w:rPr>
          <w:rFonts w:ascii="Palatino Linotype" w:eastAsia="Palatino Linotype" w:hAnsi="Palatino Linotype" w:cs="Palatino Linotype"/>
          <w:sz w:val="22"/>
          <w:szCs w:val="22"/>
        </w:rPr>
        <w:t xml:space="preserve"> la parte </w:t>
      </w:r>
      <w:r w:rsidRPr="008D0443">
        <w:rPr>
          <w:rFonts w:ascii="Palatino Linotype" w:eastAsia="Palatino Linotype" w:hAnsi="Palatino Linotype" w:cs="Palatino Linotype"/>
          <w:b/>
          <w:sz w:val="22"/>
          <w:szCs w:val="22"/>
        </w:rPr>
        <w:t xml:space="preserve">Recurrente </w:t>
      </w:r>
      <w:r w:rsidRPr="008D0443">
        <w:rPr>
          <w:rFonts w:ascii="Palatino Linotype" w:eastAsia="Palatino Linotype" w:hAnsi="Palatino Linotype" w:cs="Palatino Linotype"/>
          <w:sz w:val="22"/>
          <w:szCs w:val="22"/>
        </w:rPr>
        <w:t xml:space="preserve">presentó la solicitud de acceso a la información pública ante el </w:t>
      </w:r>
      <w:r w:rsidRPr="008D0443">
        <w:rPr>
          <w:rFonts w:ascii="Palatino Linotype" w:eastAsia="Palatino Linotype" w:hAnsi="Palatino Linotype" w:cs="Palatino Linotype"/>
          <w:b/>
          <w:sz w:val="22"/>
          <w:szCs w:val="22"/>
        </w:rPr>
        <w:t>Sujeto Obligado</w:t>
      </w:r>
      <w:r w:rsidRPr="008D0443">
        <w:rPr>
          <w:rFonts w:ascii="Palatino Linotype" w:eastAsia="Palatino Linotype" w:hAnsi="Palatino Linotype" w:cs="Palatino Linotype"/>
          <w:sz w:val="22"/>
          <w:szCs w:val="22"/>
        </w:rPr>
        <w:t xml:space="preserve">, a través del Sistema de Acceso a la Información Mexiquense, en lo subsecuente el </w:t>
      </w:r>
      <w:r w:rsidRPr="008D0443">
        <w:rPr>
          <w:rFonts w:ascii="Palatino Linotype" w:eastAsia="Palatino Linotype" w:hAnsi="Palatino Linotype" w:cs="Palatino Linotype"/>
          <w:b/>
          <w:sz w:val="22"/>
          <w:szCs w:val="22"/>
        </w:rPr>
        <w:t>SAIMEX,</w:t>
      </w:r>
      <w:r w:rsidRPr="008D0443">
        <w:rPr>
          <w:rFonts w:ascii="Palatino Linotype" w:eastAsia="Palatino Linotype" w:hAnsi="Palatino Linotype" w:cs="Palatino Linotype"/>
          <w:sz w:val="22"/>
          <w:szCs w:val="22"/>
        </w:rPr>
        <w:t xml:space="preserve"> mediante la cual requirió lo siguiente:</w:t>
      </w:r>
    </w:p>
    <w:p w14:paraId="5705C95D" w14:textId="77777777" w:rsidR="002D0127" w:rsidRPr="008D0443" w:rsidRDefault="00946B94">
      <w:pPr>
        <w:spacing w:before="120" w:after="120"/>
        <w:ind w:left="851" w:right="902"/>
        <w:jc w:val="both"/>
        <w:rPr>
          <w:rFonts w:ascii="Palatino Linotype" w:eastAsia="Palatino Linotype" w:hAnsi="Palatino Linotype" w:cs="Palatino Linotype"/>
          <w:b/>
          <w:i/>
          <w:sz w:val="22"/>
          <w:szCs w:val="22"/>
        </w:rPr>
      </w:pPr>
      <w:r w:rsidRPr="008D0443">
        <w:rPr>
          <w:rFonts w:ascii="Palatino Linotype" w:eastAsia="Palatino Linotype" w:hAnsi="Palatino Linotype" w:cs="Palatino Linotype"/>
          <w:i/>
          <w:sz w:val="22"/>
          <w:szCs w:val="22"/>
        </w:rPr>
        <w:t xml:space="preserve"> “solisito las polizas de cheques del 2020</w:t>
      </w:r>
      <w:r w:rsidRPr="008D0443">
        <w:rPr>
          <w:rFonts w:ascii="Palatino Linotype" w:eastAsia="Palatino Linotype" w:hAnsi="Palatino Linotype" w:cs="Palatino Linotype"/>
          <w:b/>
          <w:i/>
          <w:sz w:val="22"/>
          <w:szCs w:val="22"/>
        </w:rPr>
        <w:t>”</w:t>
      </w:r>
      <w:r w:rsidRPr="008D0443">
        <w:rPr>
          <w:rFonts w:ascii="Palatino Linotype" w:eastAsia="Palatino Linotype" w:hAnsi="Palatino Linotype" w:cs="Palatino Linotype"/>
          <w:i/>
          <w:sz w:val="22"/>
          <w:szCs w:val="22"/>
        </w:rPr>
        <w:t xml:space="preserve"> (sic) </w:t>
      </w:r>
    </w:p>
    <w:p w14:paraId="140AD705" w14:textId="77777777" w:rsidR="002D0127" w:rsidRPr="008D0443" w:rsidRDefault="00946B94">
      <w:pPr>
        <w:spacing w:before="240" w:after="240" w:line="360" w:lineRule="auto"/>
        <w:jc w:val="both"/>
        <w:rPr>
          <w:rFonts w:ascii="Palatino Linotype" w:eastAsia="Palatino Linotype" w:hAnsi="Palatino Linotype" w:cs="Palatino Linotype"/>
          <w:sz w:val="22"/>
          <w:szCs w:val="22"/>
        </w:rPr>
      </w:pPr>
      <w:bookmarkStart w:id="4" w:name="_heading=h.3dy6vkm" w:colFirst="0" w:colLast="0"/>
      <w:bookmarkEnd w:id="4"/>
      <w:r w:rsidRPr="008D0443">
        <w:rPr>
          <w:rFonts w:ascii="Palatino Linotype" w:eastAsia="Palatino Linotype" w:hAnsi="Palatino Linotype" w:cs="Palatino Linotype"/>
          <w:b/>
          <w:sz w:val="22"/>
          <w:szCs w:val="22"/>
        </w:rPr>
        <w:t>Modalidad de Entrega:</w:t>
      </w:r>
      <w:r w:rsidRPr="008D0443">
        <w:rPr>
          <w:rFonts w:ascii="Palatino Linotype" w:eastAsia="Palatino Linotype" w:hAnsi="Palatino Linotype" w:cs="Palatino Linotype"/>
          <w:sz w:val="22"/>
          <w:szCs w:val="22"/>
        </w:rPr>
        <w:t xml:space="preserve"> a través del</w:t>
      </w:r>
      <w:r w:rsidRPr="008D0443">
        <w:rPr>
          <w:rFonts w:ascii="Palatino Linotype" w:eastAsia="Palatino Linotype" w:hAnsi="Palatino Linotype" w:cs="Palatino Linotype"/>
          <w:b/>
          <w:sz w:val="22"/>
          <w:szCs w:val="22"/>
        </w:rPr>
        <w:t xml:space="preserve"> SAIMEX.</w:t>
      </w:r>
    </w:p>
    <w:p w14:paraId="7EE7934F" w14:textId="77777777" w:rsidR="002D0127" w:rsidRPr="008D0443" w:rsidRDefault="00946B94">
      <w:pPr>
        <w:pBdr>
          <w:top w:val="nil"/>
          <w:left w:val="nil"/>
          <w:bottom w:val="nil"/>
          <w:right w:val="nil"/>
          <w:between w:val="nil"/>
        </w:pBdr>
        <w:tabs>
          <w:tab w:val="left" w:pos="3119"/>
        </w:tabs>
        <w:spacing w:before="240" w:after="24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b/>
          <w:sz w:val="22"/>
          <w:szCs w:val="22"/>
        </w:rPr>
        <w:t xml:space="preserve">2. Respuesta. </w:t>
      </w:r>
      <w:r w:rsidRPr="008D0443">
        <w:rPr>
          <w:rFonts w:ascii="Palatino Linotype" w:eastAsia="Palatino Linotype" w:hAnsi="Palatino Linotype" w:cs="Palatino Linotype"/>
          <w:sz w:val="22"/>
          <w:szCs w:val="22"/>
        </w:rPr>
        <w:t xml:space="preserve">El </w:t>
      </w:r>
      <w:r w:rsidRPr="008D0443">
        <w:rPr>
          <w:rFonts w:ascii="Palatino Linotype" w:eastAsia="Palatino Linotype" w:hAnsi="Palatino Linotype" w:cs="Palatino Linotype"/>
          <w:b/>
          <w:sz w:val="22"/>
          <w:szCs w:val="22"/>
        </w:rPr>
        <w:t>veintisiete de junio de dos mil veinticinco,</w:t>
      </w:r>
      <w:r w:rsidRPr="008D0443">
        <w:rPr>
          <w:rFonts w:ascii="Palatino Linotype" w:eastAsia="Palatino Linotype" w:hAnsi="Palatino Linotype" w:cs="Palatino Linotype"/>
          <w:sz w:val="22"/>
          <w:szCs w:val="22"/>
        </w:rPr>
        <w:t xml:space="preserve"> el </w:t>
      </w:r>
      <w:r w:rsidRPr="008D0443">
        <w:rPr>
          <w:rFonts w:ascii="Palatino Linotype" w:eastAsia="Palatino Linotype" w:hAnsi="Palatino Linotype" w:cs="Palatino Linotype"/>
          <w:b/>
          <w:sz w:val="22"/>
          <w:szCs w:val="22"/>
        </w:rPr>
        <w:t xml:space="preserve">Sujeto Obligado </w:t>
      </w:r>
      <w:r w:rsidRPr="008D0443">
        <w:rPr>
          <w:rFonts w:ascii="Palatino Linotype" w:eastAsia="Palatino Linotype" w:hAnsi="Palatino Linotype" w:cs="Palatino Linotype"/>
          <w:sz w:val="22"/>
          <w:szCs w:val="22"/>
        </w:rPr>
        <w:t xml:space="preserve">envió su respuesta a la solicitud de acceso a la información a través del SAIMEX, sustancialmente en los términos siguientes:   </w:t>
      </w:r>
    </w:p>
    <w:p w14:paraId="150B3C42" w14:textId="77777777" w:rsidR="002D0127" w:rsidRPr="008D0443" w:rsidRDefault="00946B94">
      <w:pPr>
        <w:spacing w:before="240" w:after="24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i/>
          <w:sz w:val="22"/>
          <w:szCs w:val="22"/>
        </w:rPr>
        <w:lastRenderedPageBreak/>
        <w:t>“…Con fundamento en el artículo 163 de la Ley de Transparencia y Acceso a la Información Pública del Estado de México y Municipios, le contestamos que: SE REMITE RESPUESTA DEL ÁREA GENERADORA DE LA INFORMACIÓN...” (sic)</w:t>
      </w:r>
    </w:p>
    <w:p w14:paraId="6B135B82" w14:textId="77777777" w:rsidR="002D0127" w:rsidRPr="008D0443" w:rsidRDefault="00946B94">
      <w:pPr>
        <w:spacing w:before="240" w:after="240" w:line="360" w:lineRule="auto"/>
        <w:ind w:right="49"/>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 xml:space="preserve">El </w:t>
      </w:r>
      <w:r w:rsidRPr="008D0443">
        <w:rPr>
          <w:rFonts w:ascii="Palatino Linotype" w:eastAsia="Palatino Linotype" w:hAnsi="Palatino Linotype" w:cs="Palatino Linotype"/>
          <w:b/>
          <w:sz w:val="22"/>
          <w:szCs w:val="22"/>
        </w:rPr>
        <w:t xml:space="preserve">Sujeto Obligado </w:t>
      </w:r>
      <w:r w:rsidRPr="008D0443">
        <w:rPr>
          <w:rFonts w:ascii="Palatino Linotype" w:eastAsia="Palatino Linotype" w:hAnsi="Palatino Linotype" w:cs="Palatino Linotype"/>
          <w:sz w:val="22"/>
          <w:szCs w:val="22"/>
        </w:rPr>
        <w:t>adjuntó el oficio número ADMONFNZAS/OPD/AVC/076/2025, mediante el cual el Subdirector de Administración y Finanzas refirió que luego de una búsqueda exhaustiva consistente en la revisión de las bases de datos, sistemas de registro y actas de entrega-recepción que se llevan a cabo en la oficina a su cargo, no se encontró la información solicitada, razón por la cual manifestó que se encuentra imposibilitado para atender el requerimiento de información.</w:t>
      </w:r>
    </w:p>
    <w:p w14:paraId="60AA7885" w14:textId="77777777" w:rsidR="002D0127" w:rsidRPr="008D0443" w:rsidRDefault="00946B94">
      <w:pPr>
        <w:spacing w:before="240" w:after="240" w:line="360" w:lineRule="auto"/>
        <w:ind w:right="49"/>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b/>
          <w:sz w:val="22"/>
          <w:szCs w:val="22"/>
        </w:rPr>
        <w:t xml:space="preserve">3. Interposición del recurso de revisión. </w:t>
      </w:r>
      <w:r w:rsidRPr="008D0443">
        <w:rPr>
          <w:rFonts w:ascii="Palatino Linotype" w:eastAsia="Palatino Linotype" w:hAnsi="Palatino Linotype" w:cs="Palatino Linotype"/>
          <w:sz w:val="22"/>
          <w:szCs w:val="22"/>
        </w:rPr>
        <w:t xml:space="preserve">Inconforme con los términos de la respuesta emitida por parte del </w:t>
      </w:r>
      <w:r w:rsidRPr="008D0443">
        <w:rPr>
          <w:rFonts w:ascii="Palatino Linotype" w:eastAsia="Palatino Linotype" w:hAnsi="Palatino Linotype" w:cs="Palatino Linotype"/>
          <w:b/>
          <w:sz w:val="22"/>
          <w:szCs w:val="22"/>
        </w:rPr>
        <w:t>Sujeto Obligado</w:t>
      </w:r>
      <w:r w:rsidRPr="008D0443">
        <w:rPr>
          <w:rFonts w:ascii="Palatino Linotype" w:eastAsia="Palatino Linotype" w:hAnsi="Palatino Linotype" w:cs="Palatino Linotype"/>
          <w:sz w:val="22"/>
          <w:szCs w:val="22"/>
        </w:rPr>
        <w:t xml:space="preserve">, el </w:t>
      </w:r>
      <w:r w:rsidRPr="008D0443">
        <w:rPr>
          <w:rFonts w:ascii="Palatino Linotype" w:eastAsia="Palatino Linotype" w:hAnsi="Palatino Linotype" w:cs="Palatino Linotype"/>
          <w:b/>
          <w:sz w:val="22"/>
          <w:szCs w:val="22"/>
        </w:rPr>
        <w:t>seis de julio de dos mil veinticinco,</w:t>
      </w:r>
      <w:r w:rsidRPr="008D0443">
        <w:rPr>
          <w:rFonts w:ascii="Palatino Linotype" w:eastAsia="Palatino Linotype" w:hAnsi="Palatino Linotype" w:cs="Palatino Linotype"/>
          <w:sz w:val="22"/>
          <w:szCs w:val="22"/>
        </w:rPr>
        <w:t xml:space="preserve"> la parte </w:t>
      </w:r>
      <w:r w:rsidRPr="008D0443">
        <w:rPr>
          <w:rFonts w:ascii="Palatino Linotype" w:eastAsia="Palatino Linotype" w:hAnsi="Palatino Linotype" w:cs="Palatino Linotype"/>
          <w:b/>
          <w:sz w:val="22"/>
          <w:szCs w:val="22"/>
        </w:rPr>
        <w:t>Recurrente</w:t>
      </w:r>
      <w:r w:rsidRPr="008D0443">
        <w:rPr>
          <w:rFonts w:ascii="Palatino Linotype" w:eastAsia="Palatino Linotype" w:hAnsi="Palatino Linotype" w:cs="Palatino Linotype"/>
          <w:sz w:val="22"/>
          <w:szCs w:val="22"/>
        </w:rPr>
        <w:t xml:space="preserve"> interpuso el recurso de revisión a través de </w:t>
      </w:r>
      <w:r w:rsidRPr="008D0443">
        <w:rPr>
          <w:rFonts w:ascii="Palatino Linotype" w:eastAsia="Palatino Linotype" w:hAnsi="Palatino Linotype" w:cs="Palatino Linotype"/>
          <w:b/>
          <w:sz w:val="22"/>
          <w:szCs w:val="22"/>
        </w:rPr>
        <w:t xml:space="preserve">SAIMEX, </w:t>
      </w:r>
      <w:r w:rsidRPr="008D0443">
        <w:rPr>
          <w:rFonts w:ascii="Palatino Linotype" w:eastAsia="Palatino Linotype" w:hAnsi="Palatino Linotype" w:cs="Palatino Linotype"/>
          <w:sz w:val="22"/>
          <w:szCs w:val="22"/>
        </w:rPr>
        <w:t xml:space="preserve">sin embargo, al corresponder a un día inhábil se tuvo por presentado el día </w:t>
      </w:r>
      <w:r w:rsidRPr="008D0443">
        <w:rPr>
          <w:rFonts w:ascii="Palatino Linotype" w:eastAsia="Palatino Linotype" w:hAnsi="Palatino Linotype" w:cs="Palatino Linotype"/>
          <w:b/>
          <w:sz w:val="22"/>
          <w:szCs w:val="22"/>
        </w:rPr>
        <w:t xml:space="preserve">siete de julio de dos mil veinticinco, </w:t>
      </w:r>
      <w:r w:rsidRPr="008D0443">
        <w:rPr>
          <w:rFonts w:ascii="Palatino Linotype" w:eastAsia="Palatino Linotype" w:hAnsi="Palatino Linotype" w:cs="Palatino Linotype"/>
          <w:sz w:val="22"/>
          <w:szCs w:val="22"/>
        </w:rPr>
        <w:t>en donde se manifestó de la siguiente manera:</w:t>
      </w:r>
    </w:p>
    <w:p w14:paraId="06DE6E8C" w14:textId="77777777" w:rsidR="002D0127" w:rsidRPr="008D0443" w:rsidRDefault="00946B94">
      <w:pPr>
        <w:spacing w:before="240" w:after="240" w:line="360" w:lineRule="auto"/>
        <w:ind w:right="49"/>
        <w:jc w:val="both"/>
        <w:rPr>
          <w:rFonts w:ascii="Palatino Linotype" w:eastAsia="Palatino Linotype" w:hAnsi="Palatino Linotype" w:cs="Palatino Linotype"/>
          <w:b/>
          <w:sz w:val="22"/>
          <w:szCs w:val="22"/>
        </w:rPr>
      </w:pPr>
      <w:r w:rsidRPr="008D0443">
        <w:rPr>
          <w:rFonts w:ascii="Palatino Linotype" w:eastAsia="Palatino Linotype" w:hAnsi="Palatino Linotype" w:cs="Palatino Linotype"/>
          <w:b/>
          <w:sz w:val="22"/>
          <w:szCs w:val="22"/>
        </w:rPr>
        <w:t xml:space="preserve">Acto impugnado: </w:t>
      </w:r>
    </w:p>
    <w:p w14:paraId="1E439760" w14:textId="77777777" w:rsidR="002D0127" w:rsidRPr="008D0443" w:rsidRDefault="00946B94">
      <w:pPr>
        <w:tabs>
          <w:tab w:val="left" w:pos="2745"/>
        </w:tabs>
        <w:spacing w:before="240" w:after="240"/>
        <w:ind w:left="851" w:right="900"/>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i/>
          <w:sz w:val="22"/>
          <w:szCs w:val="22"/>
        </w:rPr>
        <w:t>“si me gustaria que lo fundaran y motivaran y se siguieran los prosedimientos correctos” (sic)</w:t>
      </w:r>
    </w:p>
    <w:p w14:paraId="2212FF4A" w14:textId="77777777" w:rsidR="002D0127" w:rsidRPr="008D0443" w:rsidRDefault="00946B94">
      <w:pPr>
        <w:spacing w:line="360" w:lineRule="auto"/>
        <w:jc w:val="both"/>
        <w:rPr>
          <w:rFonts w:ascii="Palatino Linotype" w:eastAsia="Palatino Linotype" w:hAnsi="Palatino Linotype" w:cs="Palatino Linotype"/>
          <w:sz w:val="22"/>
          <w:szCs w:val="22"/>
        </w:rPr>
      </w:pPr>
      <w:bookmarkStart w:id="5" w:name="_heading=h.30j0zll" w:colFirst="0" w:colLast="0"/>
      <w:bookmarkEnd w:id="5"/>
      <w:r w:rsidRPr="008D0443">
        <w:rPr>
          <w:rFonts w:ascii="Palatino Linotype" w:eastAsia="Palatino Linotype" w:hAnsi="Palatino Linotype" w:cs="Palatino Linotype"/>
          <w:b/>
          <w:sz w:val="22"/>
          <w:szCs w:val="22"/>
        </w:rPr>
        <w:t>Y, Razones o motivos de inconformidad</w:t>
      </w:r>
      <w:r w:rsidRPr="008D0443">
        <w:rPr>
          <w:rFonts w:ascii="Palatino Linotype" w:eastAsia="Palatino Linotype" w:hAnsi="Palatino Linotype" w:cs="Palatino Linotype"/>
          <w:sz w:val="22"/>
          <w:szCs w:val="22"/>
        </w:rPr>
        <w:t>:</w:t>
      </w:r>
    </w:p>
    <w:p w14:paraId="4DD88350" w14:textId="77777777" w:rsidR="002D0127" w:rsidRPr="008D0443" w:rsidRDefault="00946B94">
      <w:pPr>
        <w:tabs>
          <w:tab w:val="left" w:pos="2745"/>
        </w:tabs>
        <w:spacing w:before="240" w:after="240"/>
        <w:ind w:left="851" w:right="900"/>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i/>
          <w:sz w:val="22"/>
          <w:szCs w:val="22"/>
        </w:rPr>
        <w:t>“solo disen que no la tienen si esa informasion es publica y que si deberia de existir” (sic)</w:t>
      </w:r>
    </w:p>
    <w:p w14:paraId="06326E35" w14:textId="77777777" w:rsidR="002D0127" w:rsidRPr="008D0443" w:rsidRDefault="00946B94">
      <w:pPr>
        <w:spacing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b/>
          <w:sz w:val="22"/>
          <w:szCs w:val="22"/>
        </w:rPr>
        <w:t xml:space="preserve">4. Turno. </w:t>
      </w:r>
      <w:r w:rsidRPr="008D0443">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w:t>
      </w:r>
      <w:r w:rsidRPr="008D0443">
        <w:rPr>
          <w:rFonts w:ascii="Palatino Linotype" w:eastAsia="Palatino Linotype" w:hAnsi="Palatino Linotype" w:cs="Palatino Linotype"/>
          <w:sz w:val="22"/>
          <w:szCs w:val="22"/>
        </w:rPr>
        <w:lastRenderedPageBreak/>
        <w:t xml:space="preserve">revisión se turnó por el sistema electrónico del Instituto de Transparencia, Acceso a la Información Pública y Protección de Datos Personales del Estado de México y Municipios, a la Comisionada </w:t>
      </w:r>
      <w:r w:rsidRPr="008D0443">
        <w:rPr>
          <w:rFonts w:ascii="Palatino Linotype" w:eastAsia="Palatino Linotype" w:hAnsi="Palatino Linotype" w:cs="Palatino Linotype"/>
          <w:b/>
          <w:sz w:val="22"/>
          <w:szCs w:val="22"/>
        </w:rPr>
        <w:t xml:space="preserve">Guadalupe Ramírez Peña, </w:t>
      </w:r>
      <w:r w:rsidRPr="008D0443">
        <w:rPr>
          <w:rFonts w:ascii="Palatino Linotype" w:eastAsia="Palatino Linotype" w:hAnsi="Palatino Linotype" w:cs="Palatino Linotype"/>
          <w:sz w:val="22"/>
          <w:szCs w:val="22"/>
        </w:rPr>
        <w:t>a efecto de que analizara sobre su admisión o su desechamiento.</w:t>
      </w:r>
    </w:p>
    <w:p w14:paraId="57BA8812" w14:textId="77777777" w:rsidR="002D0127" w:rsidRPr="008D0443" w:rsidRDefault="00946B94">
      <w:pPr>
        <w:spacing w:before="240" w:after="240" w:line="360" w:lineRule="auto"/>
        <w:jc w:val="both"/>
        <w:rPr>
          <w:rFonts w:ascii="Palatino Linotype" w:eastAsia="Palatino Linotype" w:hAnsi="Palatino Linotype" w:cs="Palatino Linotype"/>
          <w:b/>
          <w:sz w:val="22"/>
          <w:szCs w:val="22"/>
        </w:rPr>
      </w:pPr>
      <w:r w:rsidRPr="008D0443">
        <w:rPr>
          <w:rFonts w:ascii="Palatino Linotype" w:eastAsia="Palatino Linotype" w:hAnsi="Palatino Linotype" w:cs="Palatino Linotype"/>
          <w:b/>
          <w:sz w:val="22"/>
          <w:szCs w:val="22"/>
        </w:rPr>
        <w:t>5. Admisión del Recurso de revisión.</w:t>
      </w:r>
      <w:r w:rsidRPr="008D0443">
        <w:rPr>
          <w:rFonts w:ascii="Palatino Linotype" w:eastAsia="Palatino Linotype" w:hAnsi="Palatino Linotype" w:cs="Palatino Linotype"/>
          <w:sz w:val="22"/>
          <w:szCs w:val="22"/>
        </w:rPr>
        <w:t xml:space="preserve"> El</w:t>
      </w:r>
      <w:r w:rsidRPr="008D0443">
        <w:rPr>
          <w:rFonts w:ascii="Palatino Linotype" w:eastAsia="Palatino Linotype" w:hAnsi="Palatino Linotype" w:cs="Palatino Linotype"/>
          <w:b/>
          <w:sz w:val="22"/>
          <w:szCs w:val="22"/>
        </w:rPr>
        <w:t xml:space="preserve"> diez de julio de dos mil veinticinco, </w:t>
      </w:r>
      <w:r w:rsidRPr="008D0443">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8D0443">
        <w:rPr>
          <w:rFonts w:ascii="Palatino Linotype" w:eastAsia="Palatino Linotype" w:hAnsi="Palatino Linotype" w:cs="Palatino Linotype"/>
          <w:b/>
          <w:sz w:val="22"/>
          <w:szCs w:val="22"/>
        </w:rPr>
        <w:t xml:space="preserve">Sujeto Obligado </w:t>
      </w:r>
      <w:r w:rsidRPr="008D0443">
        <w:rPr>
          <w:rFonts w:ascii="Palatino Linotype" w:eastAsia="Palatino Linotype" w:hAnsi="Palatino Linotype" w:cs="Palatino Linotype"/>
          <w:sz w:val="22"/>
          <w:szCs w:val="22"/>
        </w:rPr>
        <w:t>presentara su informe justificado.</w:t>
      </w:r>
    </w:p>
    <w:p w14:paraId="2A0309CF" w14:textId="77777777" w:rsidR="002D0127" w:rsidRPr="008D0443" w:rsidRDefault="00946B94">
      <w:pPr>
        <w:spacing w:before="240" w:after="240" w:line="360" w:lineRule="auto"/>
        <w:jc w:val="both"/>
        <w:rPr>
          <w:rFonts w:ascii="Palatino Linotype" w:eastAsia="Palatino Linotype" w:hAnsi="Palatino Linotype" w:cs="Palatino Linotype"/>
          <w:sz w:val="22"/>
          <w:szCs w:val="22"/>
        </w:rPr>
      </w:pPr>
      <w:bookmarkStart w:id="6" w:name="_heading=h.2s8eyo1" w:colFirst="0" w:colLast="0"/>
      <w:bookmarkEnd w:id="6"/>
      <w:r w:rsidRPr="008D0443">
        <w:rPr>
          <w:rFonts w:ascii="Palatino Linotype" w:eastAsia="Palatino Linotype" w:hAnsi="Palatino Linotype" w:cs="Palatino Linotype"/>
          <w:b/>
          <w:sz w:val="22"/>
          <w:szCs w:val="22"/>
        </w:rPr>
        <w:t>6. Manifestaciones</w:t>
      </w:r>
      <w:r w:rsidRPr="008D0443">
        <w:rPr>
          <w:rFonts w:ascii="Palatino Linotype" w:eastAsia="Palatino Linotype" w:hAnsi="Palatino Linotype" w:cs="Palatino Linotype"/>
          <w:sz w:val="22"/>
          <w:szCs w:val="22"/>
        </w:rPr>
        <w:t xml:space="preserve">. El </w:t>
      </w:r>
      <w:r w:rsidRPr="008D0443">
        <w:rPr>
          <w:rFonts w:ascii="Palatino Linotype" w:eastAsia="Palatino Linotype" w:hAnsi="Palatino Linotype" w:cs="Palatino Linotype"/>
          <w:b/>
          <w:sz w:val="22"/>
          <w:szCs w:val="22"/>
        </w:rPr>
        <w:t>diecisiete de julio de dos mil veinticinco</w:t>
      </w:r>
      <w:r w:rsidRPr="008D0443">
        <w:rPr>
          <w:rFonts w:ascii="Palatino Linotype" w:eastAsia="Palatino Linotype" w:hAnsi="Palatino Linotype" w:cs="Palatino Linotype"/>
          <w:sz w:val="22"/>
          <w:szCs w:val="22"/>
        </w:rPr>
        <w:t xml:space="preserve">, el </w:t>
      </w:r>
      <w:r w:rsidRPr="008D0443">
        <w:rPr>
          <w:rFonts w:ascii="Palatino Linotype" w:eastAsia="Palatino Linotype" w:hAnsi="Palatino Linotype" w:cs="Palatino Linotype"/>
          <w:b/>
          <w:sz w:val="22"/>
          <w:szCs w:val="22"/>
        </w:rPr>
        <w:t>Sujeto Obligado</w:t>
      </w:r>
      <w:r w:rsidRPr="008D0443">
        <w:rPr>
          <w:rFonts w:ascii="Palatino Linotype" w:eastAsia="Palatino Linotype" w:hAnsi="Palatino Linotype" w:cs="Palatino Linotype"/>
          <w:sz w:val="22"/>
          <w:szCs w:val="22"/>
        </w:rPr>
        <w:t xml:space="preserve"> remitió, a través del SAIMEX, lo siguiente:</w:t>
      </w:r>
    </w:p>
    <w:p w14:paraId="519C19EC" w14:textId="77777777" w:rsidR="002D0127" w:rsidRPr="008D0443" w:rsidRDefault="00946B94">
      <w:pPr>
        <w:spacing w:before="240" w:after="24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 xml:space="preserve">- Oficio número ADMONFNZAS/OPD/AVC/096/2025, mediante el cual el Subdirector de Administración y Finanzas, en atención a los motivos de inconformidad alegados por la parte </w:t>
      </w:r>
      <w:r w:rsidRPr="008D0443">
        <w:rPr>
          <w:rFonts w:ascii="Palatino Linotype" w:eastAsia="Palatino Linotype" w:hAnsi="Palatino Linotype" w:cs="Palatino Linotype"/>
          <w:b/>
          <w:sz w:val="22"/>
          <w:szCs w:val="22"/>
        </w:rPr>
        <w:t xml:space="preserve">Recurrente, </w:t>
      </w:r>
      <w:r w:rsidRPr="008D0443">
        <w:rPr>
          <w:rFonts w:ascii="Palatino Linotype" w:eastAsia="Palatino Linotype" w:hAnsi="Palatino Linotype" w:cs="Palatino Linotype"/>
          <w:sz w:val="22"/>
          <w:szCs w:val="22"/>
        </w:rPr>
        <w:t>refirió que no se negó la entrega de la información, asimismo, reiteró que luego de la búsqueda exhaustiva consistente en la revisión de las bases de datos, sistemas de registro y actas de entrega-recepción que se llevan en la oficina a su cargo, no se encontró la información solicitada, cuya inexistencia pretendió acreditar con evidencias del Sistema Integral de Contabilidad Gubernamental, razón por la cual se encuentra imposibilitado para atender el requerimiento.</w:t>
      </w:r>
    </w:p>
    <w:p w14:paraId="6C9B56C3" w14:textId="77777777" w:rsidR="002D0127" w:rsidRPr="008D0443" w:rsidRDefault="00946B94">
      <w:pPr>
        <w:spacing w:before="240" w:after="24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 Capturas de pantalla del Sistema Integral de Contabilidad Gubernamental del ejercicio 2020, de los meses de 01, 06, y 12.</w:t>
      </w:r>
    </w:p>
    <w:p w14:paraId="1E5C637D" w14:textId="77777777" w:rsidR="002D0127" w:rsidRPr="008D0443" w:rsidRDefault="00946B94">
      <w:pPr>
        <w:spacing w:before="240" w:after="24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 xml:space="preserve">- Oficio número TRANS/OPD/KICR/242/2025, mediante el cual la Unidad de Transparencia manifestó que no existía negativa injustificada del acceso a la información, sino </w:t>
      </w:r>
      <w:r w:rsidRPr="008D0443">
        <w:rPr>
          <w:rFonts w:ascii="Palatino Linotype" w:eastAsia="Palatino Linotype" w:hAnsi="Palatino Linotype" w:cs="Palatino Linotype"/>
          <w:b/>
          <w:sz w:val="22"/>
          <w:szCs w:val="22"/>
        </w:rPr>
        <w:t>ausencia de la información solicitada</w:t>
      </w:r>
      <w:r w:rsidRPr="008D0443">
        <w:rPr>
          <w:rFonts w:ascii="Palatino Linotype" w:eastAsia="Palatino Linotype" w:hAnsi="Palatino Linotype" w:cs="Palatino Linotype"/>
          <w:sz w:val="22"/>
          <w:szCs w:val="22"/>
        </w:rPr>
        <w:t>, lo cual no implica la falta de cumplimiento, sino que, en ese año en específico, la administración que se encontraba en curso, no generó pólizas de cheques, lo cual puede deberse a múltiples factores administrativos.</w:t>
      </w:r>
    </w:p>
    <w:p w14:paraId="59617492" w14:textId="77777777" w:rsidR="002D0127" w:rsidRPr="008D0443" w:rsidRDefault="00946B94">
      <w:pPr>
        <w:spacing w:before="240" w:after="24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Una vez analizada la información, se hizo del conocimiento de la persona solicitante a efecto de que manifestara lo que a su derecho estimara conveniente, siendo omisa en ejercer dicha prerrogativa.</w:t>
      </w:r>
    </w:p>
    <w:p w14:paraId="0AC1EDCB" w14:textId="77777777" w:rsidR="002D0127" w:rsidRPr="008D0443" w:rsidRDefault="00946B94">
      <w:pPr>
        <w:spacing w:before="240" w:after="24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b/>
          <w:sz w:val="22"/>
          <w:szCs w:val="22"/>
        </w:rPr>
        <w:t xml:space="preserve">7. Cierre de instrucción. </w:t>
      </w:r>
      <w:r w:rsidRPr="008D0443">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8D0443">
        <w:rPr>
          <w:rFonts w:ascii="Palatino Linotype" w:eastAsia="Palatino Linotype" w:hAnsi="Palatino Linotype" w:cs="Palatino Linotype"/>
          <w:b/>
          <w:sz w:val="22"/>
          <w:szCs w:val="22"/>
        </w:rPr>
        <w:t>veintidós de octubre</w:t>
      </w:r>
      <w:r w:rsidRPr="008D0443">
        <w:rPr>
          <w:rFonts w:ascii="Palatino Linotype" w:eastAsia="Palatino Linotype" w:hAnsi="Palatino Linotype" w:cs="Palatino Linotype"/>
          <w:sz w:val="22"/>
          <w:szCs w:val="22"/>
        </w:rPr>
        <w:t xml:space="preserve"> d</w:t>
      </w:r>
      <w:r w:rsidRPr="008D0443">
        <w:rPr>
          <w:rFonts w:ascii="Palatino Linotype" w:eastAsia="Palatino Linotype" w:hAnsi="Palatino Linotype" w:cs="Palatino Linotype"/>
          <w:b/>
          <w:sz w:val="22"/>
          <w:szCs w:val="22"/>
        </w:rPr>
        <w:t>e dos mil veinticinco</w:t>
      </w:r>
      <w:r w:rsidRPr="008D0443">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CCC35AC" w14:textId="77777777" w:rsidR="002D0127" w:rsidRPr="008D0443" w:rsidRDefault="00946B94">
      <w:pPr>
        <w:spacing w:before="240" w:after="240" w:line="360" w:lineRule="auto"/>
        <w:jc w:val="both"/>
        <w:rPr>
          <w:rFonts w:ascii="Palatino Linotype" w:eastAsia="Palatino Linotype" w:hAnsi="Palatino Linotype" w:cs="Palatino Linotype"/>
          <w:b/>
          <w:sz w:val="22"/>
          <w:szCs w:val="22"/>
        </w:rPr>
      </w:pPr>
      <w:r w:rsidRPr="008D0443">
        <w:rPr>
          <w:rFonts w:ascii="Palatino Linotype" w:eastAsia="Palatino Linotype" w:hAnsi="Palatino Linotype" w:cs="Palatino Linotype"/>
          <w:b/>
          <w:sz w:val="22"/>
          <w:szCs w:val="22"/>
        </w:rPr>
        <w:t>8</w:t>
      </w:r>
      <w:r w:rsidRPr="008D0443">
        <w:rPr>
          <w:rFonts w:ascii="Palatino Linotype" w:eastAsia="Palatino Linotype" w:hAnsi="Palatino Linotype" w:cs="Palatino Linotype"/>
          <w:sz w:val="22"/>
          <w:szCs w:val="22"/>
        </w:rPr>
        <w:t xml:space="preserve">. </w:t>
      </w:r>
      <w:r w:rsidRPr="008D0443">
        <w:rPr>
          <w:rFonts w:ascii="Palatino Linotype" w:eastAsia="Palatino Linotype" w:hAnsi="Palatino Linotype" w:cs="Palatino Linotype"/>
          <w:b/>
          <w:sz w:val="22"/>
          <w:szCs w:val="22"/>
        </w:rPr>
        <w:t>Ampliación del término para resolver</w:t>
      </w:r>
      <w:r w:rsidRPr="008D0443">
        <w:rPr>
          <w:rFonts w:ascii="Palatino Linotype" w:eastAsia="Palatino Linotype" w:hAnsi="Palatino Linotype" w:cs="Palatino Linotype"/>
          <w:sz w:val="22"/>
          <w:szCs w:val="22"/>
        </w:rPr>
        <w:t xml:space="preserve">. El </w:t>
      </w:r>
      <w:r w:rsidRPr="008D0443">
        <w:rPr>
          <w:rFonts w:ascii="Palatino Linotype" w:eastAsia="Palatino Linotype" w:hAnsi="Palatino Linotype" w:cs="Palatino Linotype"/>
          <w:b/>
          <w:sz w:val="22"/>
          <w:szCs w:val="22"/>
        </w:rPr>
        <w:t>veintidós de octubre</w:t>
      </w:r>
      <w:r w:rsidRPr="008D0443">
        <w:rPr>
          <w:rFonts w:ascii="Palatino Linotype" w:eastAsia="Palatino Linotype" w:hAnsi="Palatino Linotype" w:cs="Palatino Linotype"/>
          <w:sz w:val="22"/>
          <w:szCs w:val="22"/>
        </w:rPr>
        <w:t xml:space="preserve"> </w:t>
      </w:r>
      <w:r w:rsidRPr="008D0443">
        <w:rPr>
          <w:rFonts w:ascii="Palatino Linotype" w:eastAsia="Palatino Linotype" w:hAnsi="Palatino Linotype" w:cs="Palatino Linotype"/>
          <w:b/>
          <w:sz w:val="22"/>
          <w:szCs w:val="22"/>
        </w:rPr>
        <w:t>de dos mil veinticinco</w:t>
      </w:r>
      <w:r w:rsidRPr="008D0443">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5133F8C6" w14:textId="77777777" w:rsidR="002D0127" w:rsidRPr="008D0443" w:rsidRDefault="00946B94">
      <w:pPr>
        <w:spacing w:before="240" w:after="24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65FED564" w14:textId="77777777" w:rsidR="006871AD" w:rsidRPr="008D0443" w:rsidRDefault="006871AD">
      <w:pPr>
        <w:spacing w:before="240" w:after="240" w:line="360" w:lineRule="auto"/>
        <w:jc w:val="both"/>
        <w:rPr>
          <w:rFonts w:ascii="Palatino Linotype" w:eastAsia="Palatino Linotype" w:hAnsi="Palatino Linotype" w:cs="Palatino Linotype"/>
          <w:sz w:val="22"/>
          <w:szCs w:val="22"/>
        </w:rPr>
      </w:pPr>
    </w:p>
    <w:p w14:paraId="51DBB658" w14:textId="77777777" w:rsidR="002D0127" w:rsidRPr="008D0443" w:rsidRDefault="00946B94">
      <w:pPr>
        <w:widowControl w:val="0"/>
        <w:spacing w:before="240" w:after="240" w:line="360" w:lineRule="auto"/>
        <w:jc w:val="center"/>
        <w:rPr>
          <w:rFonts w:ascii="Palatino Linotype" w:eastAsia="Palatino Linotype" w:hAnsi="Palatino Linotype" w:cs="Palatino Linotype"/>
          <w:b/>
          <w:sz w:val="22"/>
          <w:szCs w:val="22"/>
        </w:rPr>
      </w:pPr>
      <w:r w:rsidRPr="008D0443">
        <w:rPr>
          <w:rFonts w:ascii="Palatino Linotype" w:eastAsia="Palatino Linotype" w:hAnsi="Palatino Linotype" w:cs="Palatino Linotype"/>
          <w:b/>
          <w:sz w:val="22"/>
          <w:szCs w:val="22"/>
        </w:rPr>
        <w:t>II. C O N S I D E R A N D O S</w:t>
      </w:r>
    </w:p>
    <w:p w14:paraId="74EF35D1" w14:textId="41A22B3B" w:rsidR="002D0127" w:rsidRPr="008D0443" w:rsidRDefault="00946B94">
      <w:pPr>
        <w:spacing w:before="240" w:after="24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b/>
          <w:sz w:val="22"/>
          <w:szCs w:val="22"/>
        </w:rPr>
        <w:t>Primero. Competencia.</w:t>
      </w:r>
      <w:r w:rsidRPr="008D0443">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305749" w:rsidRPr="008D0443">
        <w:rPr>
          <w:rFonts w:ascii="Palatino Linotype" w:eastAsia="Palatino Linotype" w:hAnsi="Palatino Linotype" w:cs="Palatino Linotype"/>
          <w:sz w:val="22"/>
          <w:szCs w:val="22"/>
        </w:rPr>
        <w:t>5 párrafos cuadragésimo cuarto, cuadragésimo quinto y cuadragésimo sexto, fracciones IV y V de la Constitución Política del Estado Libre y Soberano de México; transitorio Cuarto del Decreto número 198 de la “LXII” Legislatura del Estado de México</w:t>
      </w:r>
      <w:r w:rsidRPr="008D0443">
        <w:rPr>
          <w:rFonts w:ascii="Palatino Linotype" w:eastAsia="Palatino Linotype" w:hAnsi="Palatino Linotype" w:cs="Palatino Linotype"/>
          <w:sz w:val="22"/>
          <w:szCs w:val="22"/>
        </w:rPr>
        <w:t>;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7F089B1" w14:textId="77777777" w:rsidR="002D0127" w:rsidRPr="008D0443" w:rsidRDefault="00946B94">
      <w:pPr>
        <w:spacing w:before="240" w:after="240" w:line="360" w:lineRule="auto"/>
        <w:jc w:val="both"/>
        <w:rPr>
          <w:rFonts w:ascii="Palatino Linotype" w:eastAsia="Palatino Linotype" w:hAnsi="Palatino Linotype" w:cs="Palatino Linotype"/>
          <w:sz w:val="22"/>
          <w:szCs w:val="22"/>
        </w:rPr>
      </w:pPr>
      <w:bookmarkStart w:id="7" w:name="_heading=h.tyjcwt" w:colFirst="0" w:colLast="0"/>
      <w:bookmarkEnd w:id="7"/>
      <w:r w:rsidRPr="008D0443">
        <w:rPr>
          <w:rFonts w:ascii="Palatino Linotype" w:eastAsia="Palatino Linotype" w:hAnsi="Palatino Linotype" w:cs="Palatino Linotype"/>
          <w:b/>
          <w:sz w:val="22"/>
          <w:szCs w:val="22"/>
        </w:rPr>
        <w:t>Segundo. Oportunidad y Procedibilidad del Recurso de Revisión</w:t>
      </w:r>
      <w:r w:rsidRPr="008D0443">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1DEFB09" w14:textId="77777777" w:rsidR="002D0127" w:rsidRPr="008D0443" w:rsidRDefault="00946B94">
      <w:pPr>
        <w:spacing w:before="240" w:after="24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8D0443">
        <w:rPr>
          <w:rFonts w:ascii="Palatino Linotype" w:eastAsia="Palatino Linotype" w:hAnsi="Palatino Linotype" w:cs="Palatino Linotype"/>
          <w:b/>
          <w:sz w:val="22"/>
          <w:szCs w:val="22"/>
        </w:rPr>
        <w:t xml:space="preserve">Sujeto Obligado </w:t>
      </w:r>
      <w:r w:rsidRPr="008D0443">
        <w:rPr>
          <w:rFonts w:ascii="Palatino Linotype" w:eastAsia="Palatino Linotype" w:hAnsi="Palatino Linotype" w:cs="Palatino Linotype"/>
          <w:sz w:val="22"/>
          <w:szCs w:val="22"/>
        </w:rPr>
        <w:t xml:space="preserve">remitió la respuesta a la solicitud de información el día </w:t>
      </w:r>
      <w:r w:rsidRPr="008D0443">
        <w:rPr>
          <w:rFonts w:ascii="Palatino Linotype" w:eastAsia="Palatino Linotype" w:hAnsi="Palatino Linotype" w:cs="Palatino Linotype"/>
          <w:b/>
          <w:sz w:val="22"/>
          <w:szCs w:val="22"/>
        </w:rPr>
        <w:t xml:space="preserve">veintisiete de junio de dos mil veinticinco, </w:t>
      </w:r>
      <w:r w:rsidRPr="008D0443">
        <w:rPr>
          <w:rFonts w:ascii="Palatino Linotype" w:eastAsia="Palatino Linotype" w:hAnsi="Palatino Linotype" w:cs="Palatino Linotype"/>
          <w:sz w:val="22"/>
          <w:szCs w:val="22"/>
        </w:rPr>
        <w:t xml:space="preserve">mientras que el recurso de revisión interpuesto por la parte </w:t>
      </w:r>
      <w:r w:rsidRPr="008D0443">
        <w:rPr>
          <w:rFonts w:ascii="Palatino Linotype" w:eastAsia="Palatino Linotype" w:hAnsi="Palatino Linotype" w:cs="Palatino Linotype"/>
          <w:b/>
          <w:sz w:val="22"/>
          <w:szCs w:val="22"/>
        </w:rPr>
        <w:t xml:space="preserve">Recurrente, </w:t>
      </w:r>
      <w:r w:rsidRPr="008D0443">
        <w:rPr>
          <w:rFonts w:ascii="Palatino Linotype" w:eastAsia="Palatino Linotype" w:hAnsi="Palatino Linotype" w:cs="Palatino Linotype"/>
          <w:sz w:val="22"/>
          <w:szCs w:val="22"/>
        </w:rPr>
        <w:t>se tuvo por presentado el día</w:t>
      </w:r>
      <w:r w:rsidRPr="008D0443">
        <w:rPr>
          <w:rFonts w:ascii="Palatino Linotype" w:eastAsia="Palatino Linotype" w:hAnsi="Palatino Linotype" w:cs="Palatino Linotype"/>
          <w:b/>
          <w:sz w:val="22"/>
          <w:szCs w:val="22"/>
        </w:rPr>
        <w:t xml:space="preserve"> siete de julio de dos mil veinticinco, </w:t>
      </w:r>
      <w:r w:rsidRPr="008D0443">
        <w:rPr>
          <w:rFonts w:ascii="Palatino Linotype" w:eastAsia="Palatino Linotype" w:hAnsi="Palatino Linotype" w:cs="Palatino Linotype"/>
          <w:sz w:val="22"/>
          <w:szCs w:val="22"/>
        </w:rPr>
        <w:t>esto es, al sexto día hábil posterior a aquel en el que tuvo conocimiento de la respuesta impugnada. En este sentido, se concluye que el presente recurso de revisión se encuentra dentro de los márgenes temporales previstos en las disposiciones legales referidas.</w:t>
      </w:r>
    </w:p>
    <w:p w14:paraId="6251306E" w14:textId="77777777" w:rsidR="002D0127" w:rsidRPr="008D0443" w:rsidRDefault="00946B94">
      <w:pPr>
        <w:spacing w:line="360" w:lineRule="auto"/>
        <w:jc w:val="both"/>
        <w:rPr>
          <w:rFonts w:ascii="Palatino Linotype" w:eastAsia="Palatino Linotype" w:hAnsi="Palatino Linotype" w:cs="Palatino Linotype"/>
          <w:sz w:val="22"/>
          <w:szCs w:val="22"/>
        </w:rPr>
      </w:pPr>
      <w:bookmarkStart w:id="8" w:name="_heading=h.3znysh7" w:colFirst="0" w:colLast="0"/>
      <w:bookmarkEnd w:id="8"/>
      <w:r w:rsidRPr="008D0443">
        <w:rPr>
          <w:rFonts w:ascii="Palatino Linotype" w:eastAsia="Palatino Linotype" w:hAnsi="Palatino Linotype" w:cs="Palatino Linotype"/>
          <w:sz w:val="22"/>
          <w:szCs w:val="22"/>
        </w:rPr>
        <w:t>Además, por cuanto hace a la procedibilidad del recurso de revisión, es de suma importancia señalar que la parte</w:t>
      </w:r>
      <w:r w:rsidRPr="008D0443">
        <w:rPr>
          <w:rFonts w:ascii="Palatino Linotype" w:eastAsia="Palatino Linotype" w:hAnsi="Palatino Linotype" w:cs="Palatino Linotype"/>
          <w:b/>
          <w:sz w:val="22"/>
          <w:szCs w:val="22"/>
        </w:rPr>
        <w:t xml:space="preserve"> Recurrente</w:t>
      </w:r>
      <w:r w:rsidRPr="008D0443">
        <w:rPr>
          <w:rFonts w:ascii="Palatino Linotype" w:eastAsia="Palatino Linotype" w:hAnsi="Palatino Linotype" w:cs="Palatino Linotype"/>
          <w:sz w:val="22"/>
          <w:szCs w:val="22"/>
        </w:rPr>
        <w:t xml:space="preserve">, no señaló </w:t>
      </w:r>
      <w:r w:rsidRPr="008D0443">
        <w:rPr>
          <w:rFonts w:ascii="Palatino Linotype" w:eastAsia="Palatino Linotype" w:hAnsi="Palatino Linotype" w:cs="Palatino Linotype"/>
          <w:b/>
          <w:sz w:val="22"/>
          <w:szCs w:val="22"/>
        </w:rPr>
        <w:t>nombre,</w:t>
      </w:r>
      <w:r w:rsidRPr="008D0443">
        <w:rPr>
          <w:rFonts w:ascii="Palatino Linotype" w:eastAsia="Palatino Linotype" w:hAnsi="Palatino Linotype" w:cs="Palatino Linotype"/>
          <w:sz w:val="22"/>
          <w:szCs w:val="22"/>
        </w:rPr>
        <w:t xml:space="preserve">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FBBD396" w14:textId="77777777" w:rsidR="002D0127" w:rsidRPr="008D0443" w:rsidRDefault="00946B94">
      <w:pP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i/>
          <w:sz w:val="22"/>
          <w:szCs w:val="22"/>
        </w:rPr>
        <w:t>"</w:t>
      </w:r>
      <w:r w:rsidRPr="008D0443">
        <w:rPr>
          <w:rFonts w:ascii="Palatino Linotype" w:eastAsia="Palatino Linotype" w:hAnsi="Palatino Linotype" w:cs="Palatino Linotype"/>
          <w:b/>
          <w:i/>
          <w:sz w:val="22"/>
          <w:szCs w:val="22"/>
        </w:rPr>
        <w:t>Las solicitudes anónimas</w:t>
      </w:r>
      <w:r w:rsidRPr="008D0443">
        <w:rPr>
          <w:rFonts w:ascii="Palatino Linotype" w:eastAsia="Palatino Linotype" w:hAnsi="Palatino Linotype" w:cs="Palatino Linotype"/>
          <w:i/>
          <w:sz w:val="22"/>
          <w:szCs w:val="22"/>
        </w:rPr>
        <w:t xml:space="preserve">, con nombre incompleto o </w:t>
      </w:r>
      <w:r w:rsidRPr="008D0443">
        <w:rPr>
          <w:rFonts w:ascii="Palatino Linotype" w:eastAsia="Palatino Linotype" w:hAnsi="Palatino Linotype" w:cs="Palatino Linotype"/>
          <w:b/>
          <w:i/>
          <w:sz w:val="22"/>
          <w:szCs w:val="22"/>
        </w:rPr>
        <w:t>seudónimo</w:t>
      </w:r>
      <w:r w:rsidRPr="008D0443">
        <w:rPr>
          <w:rFonts w:ascii="Palatino Linotype" w:eastAsia="Palatino Linotype" w:hAnsi="Palatino Linotype" w:cs="Palatino Linotype"/>
          <w:i/>
          <w:sz w:val="22"/>
          <w:szCs w:val="22"/>
        </w:rPr>
        <w:t xml:space="preserve"> serán procedentes para su trámite por parte del sujeto obligado ante quien se presente. No podrá requerirse información adicional con motivo del nombre proporcionado por el solicitante."</w:t>
      </w:r>
    </w:p>
    <w:p w14:paraId="43B11A5A" w14:textId="77777777" w:rsidR="002D0127" w:rsidRPr="008D0443" w:rsidRDefault="00946B94">
      <w:pPr>
        <w:spacing w:before="240" w:after="240" w:line="360" w:lineRule="auto"/>
        <w:jc w:val="both"/>
        <w:rPr>
          <w:rFonts w:ascii="Palatino Linotype" w:eastAsia="Palatino Linotype" w:hAnsi="Palatino Linotype" w:cs="Palatino Linotype"/>
          <w:b/>
          <w:sz w:val="22"/>
          <w:szCs w:val="22"/>
        </w:rPr>
      </w:pPr>
      <w:r w:rsidRPr="008D0443">
        <w:rPr>
          <w:rFonts w:ascii="Palatino Linotype" w:eastAsia="Palatino Linotype" w:hAnsi="Palatino Linotype" w:cs="Palatino Linotype"/>
          <w:sz w:val="22"/>
          <w:szCs w:val="22"/>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8D0443">
        <w:rPr>
          <w:rFonts w:ascii="Palatino Linotype" w:eastAsia="Palatino Linotype" w:hAnsi="Palatino Linotype" w:cs="Palatino Linotype"/>
          <w:b/>
          <w:sz w:val="22"/>
          <w:szCs w:val="22"/>
        </w:rPr>
        <w:t xml:space="preserve"> SAIMEX.</w:t>
      </w:r>
    </w:p>
    <w:p w14:paraId="7C4CC802" w14:textId="77777777" w:rsidR="002D0127" w:rsidRPr="008D0443" w:rsidRDefault="00946B94">
      <w:pPr>
        <w:spacing w:before="240" w:after="24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8D0443">
        <w:rPr>
          <w:rFonts w:ascii="Palatino Linotype" w:eastAsia="Palatino Linotype" w:hAnsi="Palatino Linotype" w:cs="Palatino Linotype"/>
          <w:b/>
          <w:sz w:val="22"/>
          <w:szCs w:val="22"/>
        </w:rPr>
        <w:t>Recurrente</w:t>
      </w:r>
      <w:r w:rsidRPr="008D0443">
        <w:rPr>
          <w:rFonts w:ascii="Palatino Linotype" w:eastAsia="Palatino Linotype" w:hAnsi="Palatino Linotype" w:cs="Palatino Linotype"/>
          <w:sz w:val="22"/>
          <w:szCs w:val="22"/>
        </w:rPr>
        <w:t xml:space="preserve"> en sus motivos de inconformidad, de acuerdo al artículo 179, fracciones I y III del ordenamiento legal citado, que a la letra dice: </w:t>
      </w:r>
    </w:p>
    <w:p w14:paraId="28A1E259" w14:textId="77777777" w:rsidR="002D0127" w:rsidRPr="008D0443" w:rsidRDefault="00946B94">
      <w:pPr>
        <w:tabs>
          <w:tab w:val="left" w:pos="7938"/>
        </w:tabs>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i/>
          <w:sz w:val="22"/>
          <w:szCs w:val="22"/>
        </w:rPr>
        <w:t>“</w:t>
      </w:r>
      <w:r w:rsidRPr="008D0443">
        <w:rPr>
          <w:rFonts w:ascii="Palatino Linotype" w:eastAsia="Palatino Linotype" w:hAnsi="Palatino Linotype" w:cs="Palatino Linotype"/>
          <w:b/>
          <w:i/>
          <w:sz w:val="22"/>
          <w:szCs w:val="22"/>
        </w:rPr>
        <w:t>Artículo 179.</w:t>
      </w:r>
      <w:r w:rsidRPr="008D0443">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65754047" w14:textId="77777777" w:rsidR="002D0127" w:rsidRPr="008D0443" w:rsidRDefault="00946B94">
      <w:pPr>
        <w:tabs>
          <w:tab w:val="left" w:pos="7938"/>
        </w:tabs>
        <w:spacing w:before="120" w:after="120"/>
        <w:ind w:left="1134" w:right="900"/>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I.</w:t>
      </w:r>
      <w:r w:rsidRPr="008D0443">
        <w:rPr>
          <w:rFonts w:ascii="Palatino Linotype" w:eastAsia="Palatino Linotype" w:hAnsi="Palatino Linotype" w:cs="Palatino Linotype"/>
          <w:i/>
          <w:sz w:val="22"/>
          <w:szCs w:val="22"/>
        </w:rPr>
        <w:t xml:space="preserve"> La negativa a la información solicitada;</w:t>
      </w:r>
    </w:p>
    <w:p w14:paraId="5E2FDCBA" w14:textId="77777777" w:rsidR="002D0127" w:rsidRPr="008D0443" w:rsidRDefault="00946B94">
      <w:pPr>
        <w:tabs>
          <w:tab w:val="left" w:pos="7938"/>
        </w:tabs>
        <w:spacing w:before="120" w:after="120"/>
        <w:ind w:left="1134" w:right="900"/>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w:t>
      </w:r>
      <w:r w:rsidRPr="008D0443">
        <w:rPr>
          <w:rFonts w:ascii="Palatino Linotype" w:eastAsia="Palatino Linotype" w:hAnsi="Palatino Linotype" w:cs="Palatino Linotype"/>
          <w:i/>
          <w:sz w:val="22"/>
          <w:szCs w:val="22"/>
        </w:rPr>
        <w:t>..</w:t>
      </w:r>
    </w:p>
    <w:p w14:paraId="6D33ABDA" w14:textId="77777777" w:rsidR="002D0127" w:rsidRPr="008D0443" w:rsidRDefault="00946B94">
      <w:pPr>
        <w:tabs>
          <w:tab w:val="left" w:pos="7938"/>
        </w:tabs>
        <w:spacing w:before="120" w:after="120"/>
        <w:ind w:left="1134" w:right="900"/>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III.</w:t>
      </w:r>
      <w:r w:rsidRPr="008D0443">
        <w:rPr>
          <w:rFonts w:ascii="Palatino Linotype" w:eastAsia="Palatino Linotype" w:hAnsi="Palatino Linotype" w:cs="Palatino Linotype"/>
          <w:i/>
          <w:sz w:val="22"/>
          <w:szCs w:val="22"/>
        </w:rPr>
        <w:t xml:space="preserve"> La declaración de inexistencia de la información;”</w:t>
      </w:r>
    </w:p>
    <w:p w14:paraId="7254B3B1" w14:textId="77777777" w:rsidR="002D0127" w:rsidRPr="008D0443" w:rsidRDefault="00946B94">
      <w:pPr>
        <w:spacing w:before="240" w:after="240" w:line="360" w:lineRule="auto"/>
        <w:jc w:val="both"/>
        <w:rPr>
          <w:rFonts w:ascii="Palatino Linotype" w:eastAsia="Palatino Linotype" w:hAnsi="Palatino Linotype" w:cs="Palatino Linotype"/>
          <w:b/>
          <w:sz w:val="22"/>
          <w:szCs w:val="22"/>
        </w:rPr>
      </w:pPr>
      <w:r w:rsidRPr="008D0443">
        <w:rPr>
          <w:rFonts w:ascii="Palatino Linotype" w:eastAsia="Palatino Linotype" w:hAnsi="Palatino Linotype" w:cs="Palatino Linotype"/>
          <w:b/>
          <w:sz w:val="22"/>
          <w:szCs w:val="22"/>
        </w:rPr>
        <w:t xml:space="preserve">Tercero. Materia de la revisión. </w:t>
      </w:r>
      <w:r w:rsidRPr="008D0443">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8D0443">
        <w:rPr>
          <w:rFonts w:ascii="Palatino Linotype" w:eastAsia="Palatino Linotype" w:hAnsi="Palatino Linotype" w:cs="Palatino Linotype"/>
          <w:b/>
          <w:sz w:val="22"/>
          <w:szCs w:val="22"/>
        </w:rPr>
        <w:t xml:space="preserve">verificar si la información proporcionada por el Sujeto Obligado es adecuada y suficiente para satisfacer el derecho de acceso a la información pública </w:t>
      </w:r>
      <w:r w:rsidRPr="008D0443">
        <w:rPr>
          <w:rFonts w:ascii="Palatino Linotype" w:eastAsia="Palatino Linotype" w:hAnsi="Palatino Linotype" w:cs="Palatino Linotype"/>
          <w:sz w:val="22"/>
          <w:szCs w:val="22"/>
        </w:rPr>
        <w:t xml:space="preserve">de la parte </w:t>
      </w:r>
      <w:r w:rsidRPr="008D0443">
        <w:rPr>
          <w:rFonts w:ascii="Palatino Linotype" w:eastAsia="Palatino Linotype" w:hAnsi="Palatino Linotype" w:cs="Palatino Linotype"/>
          <w:b/>
          <w:sz w:val="22"/>
          <w:szCs w:val="22"/>
        </w:rPr>
        <w:t>Recurrente</w:t>
      </w:r>
      <w:r w:rsidRPr="008D0443">
        <w:rPr>
          <w:rFonts w:ascii="Palatino Linotype" w:eastAsia="Palatino Linotype" w:hAnsi="Palatino Linotype" w:cs="Palatino Linotype"/>
          <w:sz w:val="22"/>
          <w:szCs w:val="22"/>
        </w:rPr>
        <w:t>, o en su defecto, en caso de ser procedente, ordenar la entrega de información.</w:t>
      </w:r>
    </w:p>
    <w:p w14:paraId="367E83EA" w14:textId="77777777" w:rsidR="002D0127" w:rsidRPr="008D0443" w:rsidRDefault="00946B94">
      <w:pPr>
        <w:spacing w:before="240" w:after="240" w:line="360" w:lineRule="auto"/>
        <w:jc w:val="both"/>
        <w:rPr>
          <w:rFonts w:ascii="Palatino Linotype" w:eastAsia="Palatino Linotype" w:hAnsi="Palatino Linotype" w:cs="Palatino Linotype"/>
          <w:sz w:val="22"/>
          <w:szCs w:val="22"/>
        </w:rPr>
      </w:pPr>
      <w:bookmarkStart w:id="9" w:name="_heading=h.2et92p0" w:colFirst="0" w:colLast="0"/>
      <w:bookmarkEnd w:id="9"/>
      <w:r w:rsidRPr="008D0443">
        <w:rPr>
          <w:rFonts w:ascii="Palatino Linotype" w:eastAsia="Palatino Linotype" w:hAnsi="Palatino Linotype" w:cs="Palatino Linotype"/>
          <w:b/>
          <w:sz w:val="22"/>
          <w:szCs w:val="22"/>
        </w:rPr>
        <w:t xml:space="preserve">Cuarto. Estudio del asunto. </w:t>
      </w:r>
      <w:r w:rsidRPr="008D0443">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E97702A" w14:textId="77777777" w:rsidR="002D0127" w:rsidRPr="008D0443" w:rsidRDefault="00946B94">
      <w:pP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i/>
          <w:sz w:val="22"/>
          <w:szCs w:val="22"/>
        </w:rPr>
        <w:t>“</w:t>
      </w:r>
      <w:r w:rsidRPr="008D0443">
        <w:rPr>
          <w:rFonts w:ascii="Palatino Linotype" w:eastAsia="Palatino Linotype" w:hAnsi="Palatino Linotype" w:cs="Palatino Linotype"/>
          <w:b/>
          <w:i/>
          <w:sz w:val="22"/>
          <w:szCs w:val="22"/>
        </w:rPr>
        <w:t>Artículo 4</w:t>
      </w:r>
      <w:r w:rsidRPr="008D0443">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2B6D207" w14:textId="77777777" w:rsidR="002D0127" w:rsidRPr="008D0443" w:rsidRDefault="00946B94">
      <w:pP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8D0443">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AA4170F" w14:textId="77777777" w:rsidR="002D0127" w:rsidRPr="008D0443" w:rsidRDefault="00946B94">
      <w:pP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8D0443">
        <w:rPr>
          <w:rFonts w:ascii="Palatino Linotype" w:eastAsia="Palatino Linotype" w:hAnsi="Palatino Linotype" w:cs="Palatino Linotype"/>
          <w:i/>
          <w:sz w:val="22"/>
          <w:szCs w:val="22"/>
        </w:rPr>
        <w:t>.”</w:t>
      </w:r>
    </w:p>
    <w:p w14:paraId="44155CFD" w14:textId="77777777" w:rsidR="002D0127" w:rsidRPr="008D0443" w:rsidRDefault="00946B94">
      <w:pPr>
        <w:spacing w:before="240" w:after="24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29D2BC8" w14:textId="77777777" w:rsidR="002D0127" w:rsidRPr="008D0443" w:rsidRDefault="00946B94">
      <w:pP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“Artículo 12.-</w:t>
      </w:r>
      <w:r w:rsidRPr="008D0443">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2A55146" w14:textId="77777777" w:rsidR="002D0127" w:rsidRPr="008D0443" w:rsidRDefault="00946B94">
      <w:pP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8D0443">
        <w:rPr>
          <w:rFonts w:ascii="Palatino Linotype" w:eastAsia="Palatino Linotype" w:hAnsi="Palatino Linotype" w:cs="Palatino Linotype"/>
          <w:i/>
          <w:sz w:val="22"/>
          <w:szCs w:val="22"/>
        </w:rPr>
        <w:t xml:space="preserve">. </w:t>
      </w:r>
      <w:r w:rsidRPr="008D0443">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7B2BDE6B" w14:textId="77777777" w:rsidR="002D0127" w:rsidRPr="008D0443" w:rsidRDefault="00946B94">
      <w:pPr>
        <w:spacing w:before="240" w:after="240" w:line="360" w:lineRule="auto"/>
        <w:ind w:right="-93"/>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5D00A69B" w14:textId="77777777" w:rsidR="002D0127" w:rsidRPr="008D0443" w:rsidRDefault="00946B94">
      <w:pPr>
        <w:spacing w:before="240" w:after="240" w:line="360" w:lineRule="auto"/>
        <w:jc w:val="both"/>
        <w:rPr>
          <w:rFonts w:ascii="Palatino Linotype" w:eastAsia="Palatino Linotype" w:hAnsi="Palatino Linotype" w:cs="Palatino Linotype"/>
          <w:b/>
          <w:sz w:val="22"/>
          <w:szCs w:val="22"/>
        </w:rPr>
      </w:pPr>
      <w:r w:rsidRPr="008D0443">
        <w:rPr>
          <w:rFonts w:ascii="Palatino Linotype" w:eastAsia="Palatino Linotype" w:hAnsi="Palatino Linotype" w:cs="Palatino Linotype"/>
          <w:sz w:val="22"/>
          <w:szCs w:val="22"/>
        </w:rPr>
        <w:t>Sirve de apoyo a lo anterior, el criterio orientador con clave de control SO/003/2017, emitido por el entonces Instituto Nacional de Transparencia, Acceso a la Información y Protección de Datos Personales, que, por rubro y texto, dispone lo siguiente:</w:t>
      </w:r>
      <w:r w:rsidRPr="008D0443">
        <w:rPr>
          <w:rFonts w:ascii="Palatino Linotype" w:eastAsia="Palatino Linotype" w:hAnsi="Palatino Linotype" w:cs="Palatino Linotype"/>
          <w:b/>
          <w:sz w:val="22"/>
          <w:szCs w:val="22"/>
        </w:rPr>
        <w:t xml:space="preserve"> </w:t>
      </w:r>
    </w:p>
    <w:p w14:paraId="7D046C56" w14:textId="77777777" w:rsidR="002D0127" w:rsidRPr="008D0443" w:rsidRDefault="00946B94">
      <w:pPr>
        <w:spacing w:before="120" w:after="120"/>
        <w:ind w:left="1134"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i/>
          <w:sz w:val="22"/>
          <w:szCs w:val="22"/>
        </w:rPr>
        <w:t xml:space="preserve"> “</w:t>
      </w:r>
      <w:r w:rsidRPr="008D0443">
        <w:rPr>
          <w:rFonts w:ascii="Palatino Linotype" w:eastAsia="Palatino Linotype" w:hAnsi="Palatino Linotype" w:cs="Palatino Linotype"/>
          <w:b/>
          <w:i/>
          <w:sz w:val="22"/>
          <w:szCs w:val="22"/>
        </w:rPr>
        <w:t>No existe obligación de elaborar documentos ad hoc para atender las solicitudes de acceso a la información.</w:t>
      </w:r>
      <w:r w:rsidRPr="008D0443">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DBD0BE4" w14:textId="77777777" w:rsidR="002D0127" w:rsidRPr="008D0443" w:rsidRDefault="00946B94">
      <w:pPr>
        <w:spacing w:before="120" w:after="12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87DEBFD" w14:textId="77777777" w:rsidR="002D0127" w:rsidRPr="008D0443" w:rsidRDefault="00946B94">
      <w:pPr>
        <w:spacing w:before="120" w:after="12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1D331A9" w14:textId="77777777" w:rsidR="002D0127" w:rsidRPr="008D0443" w:rsidRDefault="00946B94">
      <w:pP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i/>
          <w:sz w:val="22"/>
          <w:szCs w:val="22"/>
        </w:rPr>
        <w:t>“</w:t>
      </w:r>
      <w:r w:rsidRPr="008D0443">
        <w:rPr>
          <w:rFonts w:ascii="Palatino Linotype" w:eastAsia="Palatino Linotype" w:hAnsi="Palatino Linotype" w:cs="Palatino Linotype"/>
          <w:b/>
          <w:i/>
          <w:sz w:val="22"/>
          <w:szCs w:val="22"/>
        </w:rPr>
        <w:t xml:space="preserve">Artículo 3. </w:t>
      </w:r>
      <w:r w:rsidRPr="008D0443">
        <w:rPr>
          <w:rFonts w:ascii="Palatino Linotype" w:eastAsia="Palatino Linotype" w:hAnsi="Palatino Linotype" w:cs="Palatino Linotype"/>
          <w:i/>
          <w:sz w:val="22"/>
          <w:szCs w:val="22"/>
        </w:rPr>
        <w:t>Para los efectos de la presente Ley se entenderá por:</w:t>
      </w:r>
    </w:p>
    <w:p w14:paraId="3E24F7B0" w14:textId="77777777" w:rsidR="002D0127" w:rsidRPr="008D0443" w:rsidRDefault="00946B94">
      <w:pP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i/>
          <w:sz w:val="22"/>
          <w:szCs w:val="22"/>
        </w:rPr>
        <w:t>…</w:t>
      </w:r>
    </w:p>
    <w:p w14:paraId="2B3EE5DE" w14:textId="77777777" w:rsidR="002D0127" w:rsidRPr="008D0443" w:rsidRDefault="00946B94">
      <w:pP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XI. Documento:</w:t>
      </w:r>
      <w:r w:rsidRPr="008D0443">
        <w:rPr>
          <w:rFonts w:ascii="Palatino Linotype" w:eastAsia="Palatino Linotype" w:hAnsi="Palatino Linotype" w:cs="Palatino Linotype"/>
          <w:i/>
          <w:sz w:val="22"/>
          <w:szCs w:val="22"/>
        </w:rPr>
        <w:t xml:space="preserve"> Los expedientes, reportes, estudios, actas</w:t>
      </w:r>
      <w:r w:rsidRPr="008D0443">
        <w:rPr>
          <w:rFonts w:ascii="Palatino Linotype" w:eastAsia="Palatino Linotype" w:hAnsi="Palatino Linotype" w:cs="Palatino Linotype"/>
          <w:b/>
          <w:i/>
          <w:sz w:val="22"/>
          <w:szCs w:val="22"/>
        </w:rPr>
        <w:t>,</w:t>
      </w:r>
      <w:r w:rsidRPr="008D0443">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270541B4" w14:textId="77777777" w:rsidR="002D0127" w:rsidRPr="008D0443" w:rsidRDefault="00946B94">
      <w:pPr>
        <w:spacing w:before="240" w:after="24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FB657E2" w14:textId="77777777" w:rsidR="002D0127" w:rsidRPr="008D0443" w:rsidRDefault="00946B94">
      <w:pP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sz w:val="22"/>
          <w:szCs w:val="22"/>
        </w:rPr>
        <w:t>“</w:t>
      </w:r>
      <w:r w:rsidRPr="008D0443">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8D0443">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1562322" w14:textId="77777777" w:rsidR="002D0127" w:rsidRPr="008D0443" w:rsidRDefault="00946B94">
      <w:pP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08ECBBC" w14:textId="77777777" w:rsidR="002D0127" w:rsidRPr="008D0443" w:rsidRDefault="00946B94">
      <w:pPr>
        <w:spacing w:before="120" w:after="120"/>
        <w:ind w:left="1134"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412AB2DB" w14:textId="77777777" w:rsidR="002D0127" w:rsidRPr="008D0443" w:rsidRDefault="00946B94">
      <w:pPr>
        <w:spacing w:before="120" w:after="120"/>
        <w:ind w:left="1134"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1E1C40F2" w14:textId="77777777" w:rsidR="002D0127" w:rsidRPr="008D0443" w:rsidRDefault="00946B94">
      <w:pPr>
        <w:spacing w:before="120" w:after="120"/>
        <w:ind w:left="1134"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3CF43F08" w14:textId="77777777" w:rsidR="002D0127" w:rsidRPr="008D0443" w:rsidRDefault="00946B94">
      <w:pPr>
        <w:spacing w:before="240" w:after="240" w:line="360" w:lineRule="auto"/>
        <w:ind w:right="51"/>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122FBD0" w14:textId="77777777" w:rsidR="002D0127" w:rsidRPr="008D0443" w:rsidRDefault="00946B94">
      <w:pPr>
        <w:spacing w:before="240" w:after="24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36230F3D" w14:textId="77777777" w:rsidR="002D0127" w:rsidRPr="008D0443" w:rsidRDefault="00946B94">
      <w:pPr>
        <w:spacing w:before="240" w:after="240" w:line="360" w:lineRule="auto"/>
        <w:ind w:right="51"/>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8D0443">
        <w:rPr>
          <w:rFonts w:ascii="Palatino Linotype" w:eastAsia="Palatino Linotype" w:hAnsi="Palatino Linotype" w:cs="Palatino Linotype"/>
          <w:b/>
          <w:sz w:val="22"/>
          <w:szCs w:val="22"/>
        </w:rPr>
        <w:t>Recurrente</w:t>
      </w:r>
      <w:r w:rsidRPr="008D0443">
        <w:rPr>
          <w:rFonts w:ascii="Palatino Linotype" w:eastAsia="Palatino Linotype" w:hAnsi="Palatino Linotype" w:cs="Palatino Linotype"/>
          <w:sz w:val="22"/>
          <w:szCs w:val="22"/>
        </w:rPr>
        <w:t xml:space="preserve"> requirió al </w:t>
      </w:r>
      <w:r w:rsidRPr="008D0443">
        <w:rPr>
          <w:rFonts w:ascii="Palatino Linotype" w:eastAsia="Palatino Linotype" w:hAnsi="Palatino Linotype" w:cs="Palatino Linotype"/>
          <w:b/>
          <w:sz w:val="22"/>
          <w:szCs w:val="22"/>
        </w:rPr>
        <w:t xml:space="preserve">Sujeto Obligado </w:t>
      </w:r>
      <w:r w:rsidRPr="008D0443">
        <w:rPr>
          <w:rFonts w:ascii="Palatino Linotype" w:eastAsia="Palatino Linotype" w:hAnsi="Palatino Linotype" w:cs="Palatino Linotype"/>
          <w:sz w:val="22"/>
          <w:szCs w:val="22"/>
        </w:rPr>
        <w:t>le proporcione, información consistente en lo siguiente:</w:t>
      </w:r>
    </w:p>
    <w:p w14:paraId="7A0C653C" w14:textId="77777777" w:rsidR="002D0127" w:rsidRPr="008D0443" w:rsidRDefault="00946B94">
      <w:pPr>
        <w:spacing w:before="240" w:after="240" w:line="360" w:lineRule="auto"/>
        <w:ind w:left="284" w:right="51"/>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 xml:space="preserve">1. Las pólizas de cheques del año 2020. </w:t>
      </w:r>
    </w:p>
    <w:p w14:paraId="48949E71" w14:textId="77777777" w:rsidR="002D0127" w:rsidRPr="008D0443" w:rsidRDefault="00946B94">
      <w:pPr>
        <w:spacing w:before="240" w:after="240" w:line="360" w:lineRule="auto"/>
        <w:ind w:right="49"/>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En este tenor, en principio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088F2168" w14:textId="77777777" w:rsidR="002D0127" w:rsidRPr="008D0443" w:rsidRDefault="00946B94">
      <w:pPr>
        <w:spacing w:before="240" w:after="24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760149C7" w14:textId="77777777" w:rsidR="002D0127" w:rsidRPr="008D0443" w:rsidRDefault="00946B94">
      <w:pPr>
        <w:spacing w:before="240" w:after="240" w:line="360" w:lineRule="auto"/>
        <w:ind w:right="51"/>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14:paraId="2A783D92" w14:textId="77777777" w:rsidR="002D0127" w:rsidRPr="008D0443" w:rsidRDefault="00946B94">
      <w:pPr>
        <w:spacing w:before="240" w:after="24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61DEE1A1" w14:textId="77777777" w:rsidR="002D0127" w:rsidRPr="008D0443" w:rsidRDefault="00946B94">
      <w:pPr>
        <w:spacing w:before="240" w:after="240" w:line="360" w:lineRule="auto"/>
        <w:ind w:right="49"/>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En esta línea de pensamiento, derivado del análisis de las constancias que obran en el expediente electrónico en el que se actúa, se advirtió que la Unidad de Transparencia turnó la solicitud de información para su atención a la Subdirección de Administración y Finanzas, como la dependencia competente para conocer de la información que es del interés de la persona solicitante.</w:t>
      </w:r>
    </w:p>
    <w:p w14:paraId="3E82C44A" w14:textId="77777777" w:rsidR="002D0127" w:rsidRPr="008D0443" w:rsidRDefault="00946B94">
      <w:pPr>
        <w:spacing w:before="240" w:after="240" w:line="360" w:lineRule="auto"/>
        <w:ind w:right="49"/>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Como sustento a lo anterior, es oportuno mencionar que de conformidad con el artículo 46 del Reglamento Interno del Organismo Público Descentralizado para la Prestación de los Servicios de Agua Potable, Alcantarillado y Saneamiento de Teoloyucan vigente, la Subdirección de Administración y Finanzas tiene conferidas las siguientes atribuciones en su parte conducente:</w:t>
      </w:r>
    </w:p>
    <w:p w14:paraId="39B12CD1" w14:textId="77777777" w:rsidR="002D0127" w:rsidRPr="008D0443" w:rsidRDefault="00946B94">
      <w:pPr>
        <w:spacing w:before="240" w:after="240" w:line="360" w:lineRule="auto"/>
        <w:ind w:left="284" w:right="49"/>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 Conducir de manera eficiente las actividades relacionadas con la administración de los recursos materiales, servicios generales, financieros, humanos del Organismo.</w:t>
      </w:r>
    </w:p>
    <w:p w14:paraId="5D1110E9" w14:textId="77777777" w:rsidR="002D0127" w:rsidRPr="008D0443" w:rsidRDefault="00946B94">
      <w:pPr>
        <w:spacing w:before="240" w:after="240" w:line="360" w:lineRule="auto"/>
        <w:ind w:left="284" w:right="49"/>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 Dirigir la programación, presupuestación, registro, seguimiento y control contable y presupuestal de los recursos financieros del Organismo para la elaboración y autorización de la documentación contable presupuestal.</w:t>
      </w:r>
    </w:p>
    <w:p w14:paraId="72C2A351" w14:textId="77777777" w:rsidR="002D0127" w:rsidRPr="008D0443" w:rsidRDefault="00946B94">
      <w:pPr>
        <w:spacing w:before="240" w:after="240" w:line="360" w:lineRule="auto"/>
        <w:ind w:left="284" w:right="49"/>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 Presentar a la Dirección General para su aprobación del Consejo Directivo, la Cuenta Pública del ejercicio anterior al OSFEM,</w:t>
      </w:r>
    </w:p>
    <w:p w14:paraId="3000511D" w14:textId="77777777" w:rsidR="002D0127" w:rsidRPr="008D0443" w:rsidRDefault="00946B94">
      <w:pPr>
        <w:spacing w:before="240" w:after="240" w:line="360" w:lineRule="auto"/>
        <w:ind w:left="284" w:right="49"/>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 Coordinar la formulación y entrega de los informes mensuales ante el Órganos Superior de Fiscalización del Estado de México;</w:t>
      </w:r>
    </w:p>
    <w:p w14:paraId="17349496" w14:textId="77777777" w:rsidR="002D0127" w:rsidRPr="008D0443" w:rsidRDefault="00946B94">
      <w:pPr>
        <w:spacing w:before="240" w:after="240" w:line="360" w:lineRule="auto"/>
        <w:ind w:left="284" w:right="49"/>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 Contestar oportunamente los pliegos de observaciones y cédulas de hallazgos que emita el Órgano Superior de Fiscalización del Estado de México, respecto a sus atribuciones y responsabilidades;</w:t>
      </w:r>
    </w:p>
    <w:p w14:paraId="57350A2B" w14:textId="77777777" w:rsidR="002D0127" w:rsidRPr="008D0443" w:rsidRDefault="00946B94">
      <w:pPr>
        <w:spacing w:before="240" w:after="240" w:line="360" w:lineRule="auto"/>
        <w:ind w:left="284" w:right="49"/>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 Integrar y custodiar la documentación comprobatoria de los registros y controles contables y presupuestales para la integración de los informes financieros trimestrales y de las cuentas públicas anuales;</w:t>
      </w:r>
    </w:p>
    <w:p w14:paraId="28D3FEFF" w14:textId="77777777" w:rsidR="002D0127" w:rsidRPr="008D0443" w:rsidRDefault="00946B94">
      <w:pPr>
        <w:spacing w:before="240" w:after="240" w:line="360" w:lineRule="auto"/>
        <w:ind w:left="284" w:right="49"/>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 Vigilar la programación de los pagos a cargo del Organismo;</w:t>
      </w:r>
    </w:p>
    <w:p w14:paraId="67EA3B46" w14:textId="77777777" w:rsidR="002D0127" w:rsidRPr="008D0443" w:rsidRDefault="00946B94">
      <w:pPr>
        <w:spacing w:before="240" w:after="240" w:line="360" w:lineRule="auto"/>
        <w:ind w:right="49"/>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Para el desempeño de sus funciones, la Subdirección de Administración y Finanzas se auxilia de la Jefatura de Contabilidad, cuyas atribuciones se encuentran enmarcadas en el artículo 47 del referido Reglamento, a saber:</w:t>
      </w:r>
    </w:p>
    <w:p w14:paraId="1FF0E6F1" w14:textId="77777777" w:rsidR="002D0127" w:rsidRPr="008D0443" w:rsidRDefault="00946B94">
      <w:pPr>
        <w:spacing w:before="240" w:after="240" w:line="360" w:lineRule="auto"/>
        <w:ind w:left="284" w:right="49"/>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 Elaborar, integrar y remitir mensualmente los estados financieros, de acuerdo con lo establecido por la Ley General de Contabilidad Gubernamental y disposiciones del OSFEM;</w:t>
      </w:r>
    </w:p>
    <w:p w14:paraId="77D85E59" w14:textId="77777777" w:rsidR="002D0127" w:rsidRPr="008D0443" w:rsidRDefault="00946B94">
      <w:pPr>
        <w:spacing w:before="240" w:after="240" w:line="360" w:lineRule="auto"/>
        <w:ind w:left="284" w:right="49"/>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 Elaborar e integrar los Informes Financieros Mensuales y de la Cuenta Pública Anual, para su entrega;</w:t>
      </w:r>
    </w:p>
    <w:p w14:paraId="42A88261" w14:textId="77777777" w:rsidR="002D0127" w:rsidRPr="008D0443" w:rsidRDefault="00946B94">
      <w:pPr>
        <w:spacing w:before="240" w:after="240" w:line="360" w:lineRule="auto"/>
        <w:ind w:left="284" w:right="49"/>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 Elaborar, integrar, registrar y aprobar los registros contables de las operaciones de las cuentas de activo, pasivo, deuda pública, patrimonio, ingresos y de orden;</w:t>
      </w:r>
    </w:p>
    <w:p w14:paraId="559E9B6E" w14:textId="77777777" w:rsidR="002D0127" w:rsidRPr="008D0443" w:rsidRDefault="00946B94">
      <w:pPr>
        <w:spacing w:before="240" w:after="240" w:line="360" w:lineRule="auto"/>
        <w:ind w:left="284" w:right="49"/>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 Mantener la depuración constante de las cuentas de los estados financieros y en general los registros contables;</w:t>
      </w:r>
    </w:p>
    <w:p w14:paraId="40BD9CC8" w14:textId="77777777" w:rsidR="002D0127" w:rsidRPr="008D0443" w:rsidRDefault="00946B94">
      <w:pPr>
        <w:tabs>
          <w:tab w:val="left" w:pos="3544"/>
        </w:tabs>
        <w:spacing w:before="240" w:after="240" w:line="360" w:lineRule="auto"/>
        <w:ind w:right="49"/>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 xml:space="preserve">La Jefatura de Contabilidad, tiene bajo su cargo a </w:t>
      </w:r>
      <w:r w:rsidRPr="008D0443">
        <w:rPr>
          <w:rFonts w:ascii="Palatino Linotype" w:eastAsia="Palatino Linotype" w:hAnsi="Palatino Linotype" w:cs="Palatino Linotype"/>
          <w:b/>
          <w:sz w:val="22"/>
          <w:szCs w:val="22"/>
        </w:rPr>
        <w:t>la Coordinación de Ingresos y Egresos</w:t>
      </w:r>
      <w:r w:rsidRPr="008D0443">
        <w:rPr>
          <w:rFonts w:ascii="Palatino Linotype" w:eastAsia="Palatino Linotype" w:hAnsi="Palatino Linotype" w:cs="Palatino Linotype"/>
          <w:sz w:val="22"/>
          <w:szCs w:val="22"/>
        </w:rPr>
        <w:t xml:space="preserve">, instancia que es responsable de verificar que </w:t>
      </w:r>
      <w:r w:rsidRPr="008D0443">
        <w:rPr>
          <w:rFonts w:ascii="Palatino Linotype" w:eastAsia="Palatino Linotype" w:hAnsi="Palatino Linotype" w:cs="Palatino Linotype"/>
          <w:b/>
          <w:sz w:val="22"/>
          <w:szCs w:val="22"/>
        </w:rPr>
        <w:t>los cheques no utilizados</w:t>
      </w:r>
      <w:r w:rsidRPr="008D0443">
        <w:rPr>
          <w:rFonts w:ascii="Palatino Linotype" w:eastAsia="Palatino Linotype" w:hAnsi="Palatino Linotype" w:cs="Palatino Linotype"/>
          <w:sz w:val="22"/>
          <w:szCs w:val="22"/>
        </w:rPr>
        <w:t xml:space="preserve"> cuenten con la cancelación correspondiente y en los términos que la legislación aplicable señale, de conformidad con la fracción XXVI del artículo 48 del Reglamento Interno.</w:t>
      </w:r>
    </w:p>
    <w:p w14:paraId="45348BFB" w14:textId="77777777" w:rsidR="002D0127" w:rsidRPr="008D0443" w:rsidRDefault="00946B94">
      <w:pPr>
        <w:tabs>
          <w:tab w:val="left" w:pos="3544"/>
        </w:tabs>
        <w:spacing w:before="240" w:after="240" w:line="360" w:lineRule="auto"/>
        <w:ind w:right="49"/>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 xml:space="preserve">Atento a lo anterior, se colige que la Subdirección de Administración y Finanzas cuenta con atribuciones para conocer de la información solicitada por la parte </w:t>
      </w:r>
      <w:r w:rsidRPr="008D0443">
        <w:rPr>
          <w:rFonts w:ascii="Palatino Linotype" w:eastAsia="Palatino Linotype" w:hAnsi="Palatino Linotype" w:cs="Palatino Linotype"/>
          <w:b/>
          <w:sz w:val="22"/>
          <w:szCs w:val="22"/>
        </w:rPr>
        <w:t>Recurrente</w:t>
      </w:r>
      <w:r w:rsidRPr="008D0443">
        <w:rPr>
          <w:rFonts w:ascii="Palatino Linotype" w:eastAsia="Palatino Linotype" w:hAnsi="Palatino Linotype" w:cs="Palatino Linotype"/>
          <w:sz w:val="22"/>
          <w:szCs w:val="22"/>
        </w:rPr>
        <w:t>, por lo tanto, la Unidad de Transparencia cumplió el procedimiento de búsqueda,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este derecho.</w:t>
      </w:r>
    </w:p>
    <w:p w14:paraId="0BEB0889" w14:textId="77777777" w:rsidR="002D0127" w:rsidRPr="008D0443" w:rsidRDefault="00946B94">
      <w:pPr>
        <w:spacing w:before="240" w:after="240" w:line="360" w:lineRule="auto"/>
        <w:ind w:right="49"/>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En este tenor, en respuesta a la solicitud, la persona servidora pública habilitada refirió que luego de una búsqueda exhaustiva consistente en la revisión de las bases de datos, sistemas de registro y actas de entrega-recepción que se llevan a cabo en la oficina a su cargo, no se encontró la información solicitada, por lo que se encuentra imposibilitado para atender el requerimiento de información.</w:t>
      </w:r>
    </w:p>
    <w:p w14:paraId="52B315E8" w14:textId="77777777" w:rsidR="002D0127" w:rsidRPr="008D0443" w:rsidRDefault="00946B94">
      <w:pPr>
        <w:spacing w:before="240" w:after="240" w:line="360" w:lineRule="auto"/>
        <w:ind w:right="49"/>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 xml:space="preserve">No obstante, la parte </w:t>
      </w:r>
      <w:r w:rsidRPr="008D0443">
        <w:rPr>
          <w:rFonts w:ascii="Palatino Linotype" w:eastAsia="Palatino Linotype" w:hAnsi="Palatino Linotype" w:cs="Palatino Linotype"/>
          <w:b/>
          <w:sz w:val="22"/>
          <w:szCs w:val="22"/>
        </w:rPr>
        <w:t xml:space="preserve">Recurrente </w:t>
      </w:r>
      <w:r w:rsidRPr="008D0443">
        <w:rPr>
          <w:rFonts w:ascii="Palatino Linotype" w:eastAsia="Palatino Linotype" w:hAnsi="Palatino Linotype" w:cs="Palatino Linotype"/>
          <w:sz w:val="22"/>
          <w:szCs w:val="22"/>
        </w:rPr>
        <w:t>interpuso el recurso de revisión que nos ocupa, donde manifestó en lo medular que se no se hizo entrega de la información que es pública, por lo que a su consideración debe existir.</w:t>
      </w:r>
    </w:p>
    <w:p w14:paraId="3B5C5094" w14:textId="77777777" w:rsidR="002D0127" w:rsidRPr="008D0443" w:rsidRDefault="00946B94">
      <w:pPr>
        <w:spacing w:before="240" w:after="24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 xml:space="preserve">Durante el periodo de manifestaciones el </w:t>
      </w:r>
      <w:r w:rsidRPr="008D0443">
        <w:rPr>
          <w:rFonts w:ascii="Palatino Linotype" w:eastAsia="Palatino Linotype" w:hAnsi="Palatino Linotype" w:cs="Palatino Linotype"/>
          <w:b/>
          <w:sz w:val="22"/>
          <w:szCs w:val="22"/>
        </w:rPr>
        <w:t xml:space="preserve">Sujeto Obligado </w:t>
      </w:r>
      <w:r w:rsidRPr="008D0443">
        <w:rPr>
          <w:rFonts w:ascii="Palatino Linotype" w:eastAsia="Palatino Linotype" w:hAnsi="Palatino Linotype" w:cs="Palatino Linotype"/>
          <w:sz w:val="22"/>
          <w:szCs w:val="22"/>
        </w:rPr>
        <w:t xml:space="preserve">ratificó en lo sustancial la respuesta proporcionada en primera instancia, y la parte </w:t>
      </w:r>
      <w:r w:rsidRPr="008D0443">
        <w:rPr>
          <w:rFonts w:ascii="Palatino Linotype" w:eastAsia="Palatino Linotype" w:hAnsi="Palatino Linotype" w:cs="Palatino Linotype"/>
          <w:b/>
          <w:sz w:val="22"/>
          <w:szCs w:val="22"/>
        </w:rPr>
        <w:t xml:space="preserve">Recurrente </w:t>
      </w:r>
      <w:r w:rsidRPr="008D0443">
        <w:rPr>
          <w:rFonts w:ascii="Palatino Linotype" w:eastAsia="Palatino Linotype" w:hAnsi="Palatino Linotype" w:cs="Palatino Linotype"/>
          <w:sz w:val="22"/>
          <w:szCs w:val="22"/>
        </w:rPr>
        <w:t>fue omisa en hacer valer manifestaciones o rendir alegatos que conforme a derecho resultaran procedentes, por lo tanto, se tiene por precluido su derecho.</w:t>
      </w:r>
    </w:p>
    <w:p w14:paraId="5F8C1BCD" w14:textId="77777777" w:rsidR="002D0127" w:rsidRPr="008D0443" w:rsidRDefault="00946B94">
      <w:pPr>
        <w:spacing w:before="280" w:after="28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 xml:space="preserve">Una vez establecidas las posturas de las partes, se procede al análisis de los requerimientos de información, así como la información proporcionada por el </w:t>
      </w:r>
      <w:r w:rsidRPr="008D0443">
        <w:rPr>
          <w:rFonts w:ascii="Palatino Linotype" w:eastAsia="Palatino Linotype" w:hAnsi="Palatino Linotype" w:cs="Palatino Linotype"/>
          <w:b/>
          <w:sz w:val="22"/>
          <w:szCs w:val="22"/>
        </w:rPr>
        <w:t xml:space="preserve">Sujeto Obligado, </w:t>
      </w:r>
      <w:r w:rsidRPr="008D0443">
        <w:rPr>
          <w:rFonts w:ascii="Palatino Linotype" w:eastAsia="Palatino Linotype" w:hAnsi="Palatino Linotype" w:cs="Palatino Linotype"/>
          <w:sz w:val="22"/>
          <w:szCs w:val="22"/>
        </w:rPr>
        <w:t xml:space="preserve">en contraposición con el motivo de inconformidad alegado por la parte </w:t>
      </w:r>
      <w:r w:rsidRPr="008D0443">
        <w:rPr>
          <w:rFonts w:ascii="Palatino Linotype" w:eastAsia="Palatino Linotype" w:hAnsi="Palatino Linotype" w:cs="Palatino Linotype"/>
          <w:b/>
          <w:sz w:val="22"/>
          <w:szCs w:val="22"/>
        </w:rPr>
        <w:t xml:space="preserve">Recurrente, </w:t>
      </w:r>
      <w:r w:rsidRPr="008D0443">
        <w:rPr>
          <w:rFonts w:ascii="Palatino Linotype" w:eastAsia="Palatino Linotype" w:hAnsi="Palatino Linotype" w:cs="Palatino Linotype"/>
          <w:sz w:val="22"/>
          <w:szCs w:val="22"/>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1D135FBE" w14:textId="77777777" w:rsidR="002D0127" w:rsidRPr="008D0443" w:rsidRDefault="00946B94">
      <w:pPr>
        <w:spacing w:before="240" w:after="240" w:line="360" w:lineRule="auto"/>
        <w:ind w:right="49"/>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En tal contexto, por lo que se refiere a la materia de la solicitud, se debe partir de lo dispuesto en los artículos 342, 343, 344 y 345 del Código Financiero del Estado de México y Municipios, los cuales disponen el sistema y las políticas que deben seguirse para llevar el registro contable y presupuestal de las operaciones financieras, en los siguientes términos:</w:t>
      </w:r>
    </w:p>
    <w:p w14:paraId="0B4CAE74" w14:textId="77777777" w:rsidR="002D0127" w:rsidRPr="008D0443" w:rsidRDefault="00946B94">
      <w:pPr>
        <w:spacing w:before="120" w:after="120"/>
        <w:ind w:left="862" w:right="86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i/>
          <w:sz w:val="22"/>
          <w:szCs w:val="22"/>
        </w:rPr>
        <w:t>“</w:t>
      </w:r>
      <w:r w:rsidRPr="008D0443">
        <w:rPr>
          <w:rFonts w:ascii="Palatino Linotype" w:eastAsia="Palatino Linotype" w:hAnsi="Palatino Linotype" w:cs="Palatino Linotype"/>
          <w:b/>
          <w:i/>
          <w:sz w:val="22"/>
          <w:szCs w:val="22"/>
        </w:rPr>
        <w:t>Artículo 342.-</w:t>
      </w:r>
      <w:r w:rsidRPr="008D0443">
        <w:rPr>
          <w:rFonts w:ascii="Palatino Linotype" w:eastAsia="Palatino Linotype" w:hAnsi="Palatino Linotype" w:cs="Palatino Linotype"/>
          <w:i/>
          <w:sz w:val="22"/>
          <w:szCs w:val="22"/>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17CD54FC" w14:textId="77777777" w:rsidR="002D0127" w:rsidRPr="008D0443" w:rsidRDefault="00946B94">
      <w:pPr>
        <w:spacing w:before="120" w:after="120"/>
        <w:ind w:left="862" w:right="86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En el caso de los municipios,</w:t>
      </w:r>
      <w:r w:rsidRPr="008D0443">
        <w:rPr>
          <w:rFonts w:ascii="Palatino Linotype" w:eastAsia="Palatino Linotype" w:hAnsi="Palatino Linotype" w:cs="Palatino Linotype"/>
          <w:i/>
          <w:sz w:val="22"/>
          <w:szCs w:val="22"/>
        </w:rPr>
        <w:t xml:space="preserve"> el registro a que se refiere el párrafo anterior, se realizará conforme al sistema y a las disposiciones en materia de </w:t>
      </w:r>
      <w:r w:rsidRPr="008D0443">
        <w:rPr>
          <w:rFonts w:ascii="Palatino Linotype" w:eastAsia="Palatino Linotype" w:hAnsi="Palatino Linotype" w:cs="Palatino Linotype"/>
          <w:b/>
          <w:i/>
          <w:sz w:val="22"/>
          <w:szCs w:val="22"/>
        </w:rPr>
        <w:t>planeación, programación, presupuestación, evaluación y contabilidad gubernamental</w:t>
      </w:r>
      <w:r w:rsidRPr="008D0443">
        <w:rPr>
          <w:rFonts w:ascii="Palatino Linotype" w:eastAsia="Palatino Linotype" w:hAnsi="Palatino Linotype" w:cs="Palatino Linotype"/>
          <w:i/>
          <w:sz w:val="22"/>
          <w:szCs w:val="22"/>
        </w:rPr>
        <w:t>, que se aprueben en el marco del Sistema de Coordinación Hacendaria del Estado de México.</w:t>
      </w:r>
    </w:p>
    <w:p w14:paraId="3B420DE8" w14:textId="77777777" w:rsidR="002D0127" w:rsidRPr="008D0443" w:rsidRDefault="00946B94">
      <w:pPr>
        <w:spacing w:before="120" w:after="120"/>
        <w:ind w:left="862" w:right="86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Artículo 343.-</w:t>
      </w:r>
      <w:r w:rsidRPr="008D0443">
        <w:rPr>
          <w:rFonts w:ascii="Palatino Linotype" w:eastAsia="Palatino Linotype" w:hAnsi="Palatino Linotype" w:cs="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701C4642" w14:textId="77777777" w:rsidR="002D0127" w:rsidRPr="008D0443" w:rsidRDefault="00946B94">
      <w:pPr>
        <w:spacing w:before="120" w:after="120"/>
        <w:ind w:left="862" w:right="86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i/>
          <w:sz w:val="22"/>
          <w:szCs w:val="22"/>
        </w:rPr>
        <w:t>El sistema de contabilidad sobre base acumulativa total, se sustentará en las normas emitidas por el Consejo Nacional de Armonización Contable.</w:t>
      </w:r>
    </w:p>
    <w:p w14:paraId="07C04F09" w14:textId="77777777" w:rsidR="002D0127" w:rsidRPr="008D0443" w:rsidRDefault="00946B94">
      <w:pPr>
        <w:spacing w:before="120" w:after="120"/>
        <w:ind w:left="862" w:right="862"/>
        <w:jc w:val="both"/>
        <w:rPr>
          <w:rFonts w:ascii="Palatino Linotype" w:eastAsia="Palatino Linotype" w:hAnsi="Palatino Linotype" w:cs="Palatino Linotype"/>
          <w:b/>
          <w:i/>
          <w:sz w:val="22"/>
          <w:szCs w:val="22"/>
        </w:rPr>
      </w:pPr>
      <w:r w:rsidRPr="008D0443">
        <w:rPr>
          <w:rFonts w:ascii="Palatino Linotype" w:eastAsia="Palatino Linotype" w:hAnsi="Palatino Linotype" w:cs="Palatino Linotype"/>
          <w:b/>
          <w:i/>
          <w:sz w:val="22"/>
          <w:szCs w:val="22"/>
        </w:rPr>
        <w:t xml:space="preserve">Artículo 344.- Los Entes Públicos, a través de cualquiera de sus unidades administrativas, de acuerdo con su naturaleza jurídica y según corresponda, </w:t>
      </w:r>
      <w:r w:rsidRPr="008D0443">
        <w:rPr>
          <w:rFonts w:ascii="Palatino Linotype" w:eastAsia="Palatino Linotype" w:hAnsi="Palatino Linotype" w:cs="Palatino Linotype"/>
          <w:b/>
          <w:i/>
          <w:sz w:val="22"/>
          <w:szCs w:val="22"/>
          <w:u w:val="single"/>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8D0443">
        <w:rPr>
          <w:rFonts w:ascii="Palatino Linotype" w:eastAsia="Palatino Linotype" w:hAnsi="Palatino Linotype" w:cs="Palatino Linotype"/>
          <w:b/>
          <w:i/>
          <w:sz w:val="22"/>
          <w:szCs w:val="22"/>
        </w:rPr>
        <w:t>.</w:t>
      </w:r>
    </w:p>
    <w:p w14:paraId="77A4C5E3" w14:textId="77777777" w:rsidR="002D0127" w:rsidRPr="008D0443" w:rsidRDefault="00946B94">
      <w:pPr>
        <w:spacing w:before="120" w:after="120"/>
        <w:ind w:left="862" w:right="86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 xml:space="preserve">Todo registro contable y presupuestal </w:t>
      </w:r>
      <w:r w:rsidRPr="008D0443">
        <w:rPr>
          <w:rFonts w:ascii="Palatino Linotype" w:eastAsia="Palatino Linotype" w:hAnsi="Palatino Linotype" w:cs="Palatino Linotype"/>
          <w:b/>
          <w:i/>
          <w:sz w:val="22"/>
          <w:szCs w:val="22"/>
          <w:u w:val="single"/>
        </w:rPr>
        <w:t>deberá estar soportado con los documentos de registro, justificativos y comprobatorios originales, en copias certificadas o en medios electrónicos, según corresponda</w:t>
      </w:r>
      <w:r w:rsidRPr="008D0443">
        <w:rPr>
          <w:rFonts w:ascii="Palatino Linotype" w:eastAsia="Palatino Linotype" w:hAnsi="Palatino Linotype" w:cs="Palatino Linotype"/>
          <w:b/>
          <w:i/>
          <w:sz w:val="22"/>
          <w:szCs w:val="22"/>
        </w:rPr>
        <w:t xml:space="preserve">, los que deberán </w:t>
      </w:r>
      <w:r w:rsidRPr="008D0443">
        <w:rPr>
          <w:rFonts w:ascii="Palatino Linotype" w:eastAsia="Palatino Linotype" w:hAnsi="Palatino Linotype" w:cs="Palatino Linotype"/>
          <w:b/>
          <w:i/>
          <w:sz w:val="22"/>
          <w:szCs w:val="22"/>
          <w:u w:val="single"/>
        </w:rPr>
        <w:t>permanecer en custodia y conservación</w:t>
      </w:r>
      <w:r w:rsidRPr="008D0443">
        <w:rPr>
          <w:rFonts w:ascii="Palatino Linotype" w:eastAsia="Palatino Linotype" w:hAnsi="Palatino Linotype" w:cs="Palatino Linotype"/>
          <w:b/>
          <w:i/>
          <w:sz w:val="22"/>
          <w:szCs w:val="22"/>
        </w:rPr>
        <w:t xml:space="preserve"> de los Entes Públicos ejecutores del gasto a </w:t>
      </w:r>
      <w:r w:rsidRPr="008D0443">
        <w:rPr>
          <w:rFonts w:ascii="Palatino Linotype" w:eastAsia="Palatino Linotype" w:hAnsi="Palatino Linotype" w:cs="Palatino Linotype"/>
          <w:b/>
          <w:i/>
          <w:sz w:val="22"/>
          <w:szCs w:val="22"/>
          <w:u w:val="single"/>
        </w:rPr>
        <w:t>través de las unidades administrativas correspondientes de conformidad con las disposiciones aplicables y a disposición de los Órganos de Fiscalización locales y federales</w:t>
      </w:r>
      <w:r w:rsidRPr="008D0443">
        <w:rPr>
          <w:rFonts w:ascii="Palatino Linotype" w:eastAsia="Palatino Linotype" w:hAnsi="Palatino Linotype" w:cs="Palatino Linotype"/>
          <w:b/>
          <w:i/>
          <w:sz w:val="22"/>
          <w:szCs w:val="22"/>
        </w:rPr>
        <w:t xml:space="preserve">, de acuerdo a su naturaleza, </w:t>
      </w:r>
      <w:r w:rsidRPr="008D0443">
        <w:rPr>
          <w:rFonts w:ascii="Palatino Linotype" w:eastAsia="Palatino Linotype" w:hAnsi="Palatino Linotype" w:cs="Palatino Linotype"/>
          <w:b/>
          <w:i/>
          <w:sz w:val="22"/>
          <w:szCs w:val="22"/>
          <w:u w:val="single"/>
        </w:rPr>
        <w:t>así como de los órganos internos de control</w:t>
      </w:r>
      <w:r w:rsidRPr="008D0443">
        <w:rPr>
          <w:rFonts w:ascii="Palatino Linotype" w:eastAsia="Palatino Linotype" w:hAnsi="Palatino Linotype" w:cs="Palatino Linotype"/>
          <w:b/>
          <w:i/>
          <w:sz w:val="22"/>
          <w:szCs w:val="22"/>
        </w:rPr>
        <w:t>;</w:t>
      </w:r>
      <w:r w:rsidRPr="008D0443">
        <w:rPr>
          <w:rFonts w:ascii="Palatino Linotype" w:eastAsia="Palatino Linotype" w:hAnsi="Palatino Linotype" w:cs="Palatino Linotype"/>
          <w:i/>
          <w:sz w:val="22"/>
          <w:szCs w:val="22"/>
        </w:rPr>
        <w:t xml:space="preserve"> </w:t>
      </w:r>
      <w:r w:rsidRPr="008D0443">
        <w:rPr>
          <w:rFonts w:ascii="Palatino Linotype" w:eastAsia="Palatino Linotype" w:hAnsi="Palatino Linotype" w:cs="Palatino Linotype"/>
          <w:b/>
          <w:i/>
          <w:sz w:val="22"/>
          <w:szCs w:val="22"/>
          <w:u w:val="single"/>
        </w:rPr>
        <w:t>por un término de 6 años</w:t>
      </w:r>
      <w:r w:rsidRPr="008D0443">
        <w:rPr>
          <w:rFonts w:ascii="Palatino Linotype" w:eastAsia="Palatino Linotype" w:hAnsi="Palatino Linotype" w:cs="Palatino Linotype"/>
          <w:b/>
          <w:i/>
          <w:sz w:val="22"/>
          <w:szCs w:val="22"/>
        </w:rPr>
        <w:t>,</w:t>
      </w:r>
      <w:r w:rsidRPr="008D0443">
        <w:rPr>
          <w:rFonts w:ascii="Palatino Linotype" w:eastAsia="Palatino Linotype" w:hAnsi="Palatino Linotype" w:cs="Palatino Linotype"/>
          <w:i/>
          <w:sz w:val="22"/>
          <w:szCs w:val="22"/>
        </w:rPr>
        <w:t xml:space="preserve"> </w:t>
      </w:r>
      <w:r w:rsidRPr="008D0443">
        <w:rPr>
          <w:rFonts w:ascii="Palatino Linotype" w:eastAsia="Palatino Linotype" w:hAnsi="Palatino Linotype" w:cs="Palatino Linotype"/>
          <w:b/>
          <w:i/>
          <w:sz w:val="22"/>
          <w:szCs w:val="22"/>
          <w:u w:val="single"/>
        </w:rPr>
        <w:t>contados a partir del ejercicio presupuestal siguiente al que corresponda</w:t>
      </w:r>
      <w:r w:rsidRPr="008D0443">
        <w:rPr>
          <w:rFonts w:ascii="Palatino Linotype" w:eastAsia="Palatino Linotype" w:hAnsi="Palatino Linotype" w:cs="Palatino Linotype"/>
          <w:i/>
          <w:sz w:val="22"/>
          <w:szCs w:val="22"/>
        </w:rPr>
        <w:t>,</w:t>
      </w:r>
      <w:r w:rsidRPr="008D0443">
        <w:rPr>
          <w:rFonts w:ascii="Palatino Linotype" w:eastAsia="Palatino Linotype" w:hAnsi="Palatino Linotype" w:cs="Palatino Linotype"/>
          <w:b/>
          <w:i/>
          <w:sz w:val="22"/>
          <w:szCs w:val="22"/>
        </w:rPr>
        <w:t xml:space="preserve"> </w:t>
      </w:r>
      <w:r w:rsidRPr="008D0443">
        <w:rPr>
          <w:rFonts w:ascii="Palatino Linotype" w:eastAsia="Palatino Linotype" w:hAnsi="Palatino Linotype" w:cs="Palatino Linotype"/>
          <w:i/>
          <w:sz w:val="22"/>
          <w:szCs w:val="22"/>
        </w:rPr>
        <w:t>en el caso de los Municipios, dicha obligación corresponderá a la Tesorería.</w:t>
      </w:r>
    </w:p>
    <w:p w14:paraId="07488975" w14:textId="77777777" w:rsidR="002D0127" w:rsidRPr="008D0443" w:rsidRDefault="00946B94">
      <w:pPr>
        <w:spacing w:before="120" w:after="120"/>
        <w:ind w:left="862" w:right="86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i/>
          <w:sz w:val="22"/>
          <w:szCs w:val="22"/>
        </w:rPr>
        <w:t>Tratándose de documentos de carácter histórico, se estará a lo dispuesto por la legislación de la materia.</w:t>
      </w:r>
    </w:p>
    <w:p w14:paraId="04CE07E1" w14:textId="77777777" w:rsidR="002D0127" w:rsidRPr="008D0443" w:rsidRDefault="00946B94">
      <w:pPr>
        <w:spacing w:before="120" w:after="120"/>
        <w:ind w:left="862" w:right="86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i/>
          <w:sz w:val="22"/>
          <w:szCs w:val="22"/>
        </w:rPr>
        <w:t>…</w:t>
      </w:r>
    </w:p>
    <w:p w14:paraId="6F10E2F4" w14:textId="77777777" w:rsidR="002D0127" w:rsidRPr="008D0443" w:rsidRDefault="00946B94">
      <w:pPr>
        <w:spacing w:before="120" w:after="120"/>
        <w:ind w:left="862" w:right="862"/>
        <w:jc w:val="both"/>
        <w:rPr>
          <w:rFonts w:ascii="Palatino Linotype" w:eastAsia="Palatino Linotype" w:hAnsi="Palatino Linotype" w:cs="Palatino Linotype"/>
          <w:b/>
          <w:i/>
          <w:sz w:val="22"/>
          <w:szCs w:val="22"/>
        </w:rPr>
      </w:pPr>
      <w:r w:rsidRPr="008D0443">
        <w:rPr>
          <w:rFonts w:ascii="Palatino Linotype" w:eastAsia="Palatino Linotype" w:hAnsi="Palatino Linotype" w:cs="Palatino Linotype"/>
          <w:b/>
          <w:i/>
          <w:sz w:val="22"/>
          <w:szCs w:val="22"/>
        </w:rPr>
        <w:t>Artículo 345.-</w:t>
      </w:r>
      <w:r w:rsidRPr="008D0443">
        <w:rPr>
          <w:rFonts w:ascii="Palatino Linotype" w:eastAsia="Palatino Linotype" w:hAnsi="Palatino Linotype" w:cs="Palatino Linotype"/>
          <w:i/>
          <w:sz w:val="22"/>
          <w:szCs w:val="22"/>
        </w:rPr>
        <w:t xml:space="preserve"> </w:t>
      </w:r>
      <w:r w:rsidRPr="008D0443">
        <w:rPr>
          <w:rFonts w:ascii="Palatino Linotype" w:eastAsia="Palatino Linotype" w:hAnsi="Palatino Linotype" w:cs="Palatino Linotype"/>
          <w:b/>
          <w:i/>
          <w:sz w:val="22"/>
          <w:szCs w:val="22"/>
        </w:rPr>
        <w:t>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registro contable.</w:t>
      </w:r>
    </w:p>
    <w:p w14:paraId="75DFAEE3" w14:textId="77777777" w:rsidR="002D0127" w:rsidRPr="008D0443" w:rsidRDefault="00946B94">
      <w:pPr>
        <w:spacing w:before="120" w:after="120"/>
        <w:ind w:left="862" w:right="86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i/>
          <w:sz w:val="22"/>
          <w:szCs w:val="22"/>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RPr="008D0443">
        <w:rPr>
          <w:rFonts w:ascii="Palatino Linotype" w:eastAsia="Palatino Linotype" w:hAnsi="Palatino Linotype" w:cs="Palatino Linotype"/>
          <w:b/>
          <w:i/>
          <w:sz w:val="22"/>
          <w:szCs w:val="22"/>
        </w:rPr>
        <w:t>deberán estar agregados en forma electrónica a cada póliza de registro contable</w:t>
      </w:r>
      <w:r w:rsidRPr="008D0443">
        <w:rPr>
          <w:rFonts w:ascii="Palatino Linotype" w:eastAsia="Palatino Linotype" w:hAnsi="Palatino Linotype" w:cs="Palatino Linotype"/>
          <w:i/>
          <w:sz w:val="22"/>
          <w:szCs w:val="22"/>
        </w:rPr>
        <w:t>.</w:t>
      </w:r>
    </w:p>
    <w:p w14:paraId="21452B3C" w14:textId="77777777" w:rsidR="002D0127" w:rsidRPr="008D0443" w:rsidRDefault="00946B94">
      <w:pPr>
        <w:spacing w:before="120" w:after="120"/>
        <w:ind w:left="862" w:right="862"/>
        <w:jc w:val="both"/>
        <w:rPr>
          <w:rFonts w:ascii="Palatino Linotype" w:eastAsia="Palatino Linotype" w:hAnsi="Palatino Linotype" w:cs="Palatino Linotype"/>
          <w:b/>
          <w:i/>
          <w:sz w:val="22"/>
          <w:szCs w:val="22"/>
        </w:rPr>
      </w:pPr>
      <w:r w:rsidRPr="008D0443">
        <w:rPr>
          <w:rFonts w:ascii="Palatino Linotype" w:eastAsia="Palatino Linotype" w:hAnsi="Palatino Linotype" w:cs="Palatino Linotype"/>
          <w:i/>
          <w:sz w:val="22"/>
          <w:szCs w:val="22"/>
        </w:rPr>
        <w:t>El plazo señalado en este artículo empezará a contar a partir de la publicación en el Periódico Oficial, del decreto correspondiente.</w:t>
      </w:r>
      <w:r w:rsidRPr="008D0443">
        <w:rPr>
          <w:rFonts w:ascii="Palatino Linotype" w:eastAsia="Palatino Linotype" w:hAnsi="Palatino Linotype" w:cs="Palatino Linotype"/>
          <w:b/>
          <w:i/>
          <w:sz w:val="22"/>
          <w:szCs w:val="22"/>
        </w:rPr>
        <w:t>”</w:t>
      </w:r>
    </w:p>
    <w:p w14:paraId="75985E82" w14:textId="77777777" w:rsidR="002D0127" w:rsidRPr="008D0443" w:rsidRDefault="00946B94">
      <w:pPr>
        <w:spacing w:before="240" w:after="24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716E8687" w14:textId="77777777" w:rsidR="002D0127" w:rsidRPr="008D0443" w:rsidRDefault="00946B94">
      <w:pPr>
        <w:spacing w:before="240" w:after="24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 xml:space="preserve">Asimismo, que los entes públicos tiene la obligación de registrarán contablemente el efecto patrimonial y presupuestal de las operaciones financieras que realicen, en el momento en que ocurran, por lo que </w:t>
      </w:r>
      <w:r w:rsidRPr="008D0443">
        <w:rPr>
          <w:rFonts w:ascii="Palatino Linotype" w:eastAsia="Palatino Linotype" w:hAnsi="Palatino Linotype" w:cs="Palatino Linotype"/>
          <w:b/>
          <w:sz w:val="22"/>
          <w:szCs w:val="22"/>
        </w:rPr>
        <w:t>todo registro contable y presupuestal deberá estar soportado con los documentos comprobatorios originales o en medios electrónicos</w:t>
      </w:r>
      <w:r w:rsidRPr="008D0443">
        <w:rPr>
          <w:rFonts w:ascii="Palatino Linotype" w:eastAsia="Palatino Linotype" w:hAnsi="Palatino Linotype" w:cs="Palatino Linotype"/>
          <w:sz w:val="22"/>
          <w:szCs w:val="22"/>
        </w:rPr>
        <w:t xml:space="preserve">, los que </w:t>
      </w:r>
      <w:r w:rsidRPr="008D0443">
        <w:rPr>
          <w:rFonts w:ascii="Palatino Linotype" w:eastAsia="Palatino Linotype" w:hAnsi="Palatino Linotype" w:cs="Palatino Linotype"/>
          <w:b/>
          <w:sz w:val="22"/>
          <w:szCs w:val="22"/>
          <w:u w:val="single"/>
        </w:rPr>
        <w:t>deberán permanecer en custodia y conservación</w:t>
      </w:r>
      <w:r w:rsidRPr="008D0443">
        <w:rPr>
          <w:rFonts w:ascii="Palatino Linotype" w:eastAsia="Palatino Linotype" w:hAnsi="Palatino Linotype" w:cs="Palatino Linotype"/>
          <w:sz w:val="22"/>
          <w:szCs w:val="22"/>
        </w:rPr>
        <w:t xml:space="preserve"> de los Entes Públicos a través de las unidades administrativas que ejercieron el gasto y a disposición de los Órganos de Fiscalización y de los órganos internos de control </w:t>
      </w:r>
      <w:r w:rsidRPr="008D0443">
        <w:rPr>
          <w:rFonts w:ascii="Palatino Linotype" w:eastAsia="Palatino Linotype" w:hAnsi="Palatino Linotype" w:cs="Palatino Linotype"/>
          <w:b/>
          <w:sz w:val="22"/>
          <w:szCs w:val="22"/>
          <w:u w:val="single"/>
        </w:rPr>
        <w:t>por un término de seis años</w:t>
      </w:r>
      <w:r w:rsidRPr="008D0443">
        <w:rPr>
          <w:rFonts w:ascii="Palatino Linotype" w:eastAsia="Palatino Linotype" w:hAnsi="Palatino Linotype" w:cs="Palatino Linotype"/>
          <w:sz w:val="22"/>
          <w:szCs w:val="22"/>
        </w:rPr>
        <w:t>, los cuales se cuentan a partir del ejercicio presupuestal siguiente al que corresponda. Dicha obligación corresponde a las tesorerías o a las áreas equivalentes.</w:t>
      </w:r>
    </w:p>
    <w:p w14:paraId="382BD910" w14:textId="77777777" w:rsidR="002D0127" w:rsidRPr="008D0443" w:rsidRDefault="00946B94">
      <w:pPr>
        <w:spacing w:before="240" w:after="24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Por otro lado,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Presupuestación y Evaluación en la Administración Pública”</w:t>
      </w:r>
      <w:r w:rsidRPr="008D0443">
        <w:rPr>
          <w:rFonts w:ascii="Palatino Linotype" w:eastAsia="Palatino Linotype" w:hAnsi="Palatino Linotype" w:cs="Palatino Linotype"/>
          <w:sz w:val="22"/>
          <w:szCs w:val="22"/>
          <w:vertAlign w:val="superscript"/>
        </w:rPr>
        <w:footnoteReference w:id="1"/>
      </w:r>
      <w:r w:rsidRPr="008D0443">
        <w:rPr>
          <w:rFonts w:ascii="Palatino Linotype" w:eastAsia="Palatino Linotype" w:hAnsi="Palatino Linotype" w:cs="Palatino Linotype"/>
          <w:sz w:val="22"/>
          <w:szCs w:val="22"/>
        </w:rPr>
        <w:t>,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05330392" w14:textId="77777777" w:rsidR="002D0127" w:rsidRPr="008D0443" w:rsidRDefault="00946B94">
      <w:pPr>
        <w:spacing w:before="120" w:after="120"/>
        <w:ind w:left="850" w:right="902" w:hanging="10"/>
        <w:jc w:val="both"/>
        <w:rPr>
          <w:rFonts w:ascii="Palatino Linotype" w:eastAsia="Palatino Linotype" w:hAnsi="Palatino Linotype" w:cs="Palatino Linotype"/>
          <w:b/>
          <w:i/>
          <w:sz w:val="22"/>
          <w:szCs w:val="22"/>
        </w:rPr>
      </w:pPr>
      <w:r w:rsidRPr="008D0443">
        <w:rPr>
          <w:rFonts w:ascii="Palatino Linotype" w:eastAsia="Palatino Linotype" w:hAnsi="Palatino Linotype" w:cs="Palatino Linotype"/>
          <w:b/>
          <w:i/>
          <w:sz w:val="22"/>
          <w:szCs w:val="22"/>
        </w:rPr>
        <w:t>“REGISTRO CONTABLE</w:t>
      </w:r>
    </w:p>
    <w:p w14:paraId="111CB9D4" w14:textId="77777777" w:rsidR="002D0127" w:rsidRPr="008D0443" w:rsidRDefault="00946B94">
      <w:pPr>
        <w:spacing w:before="120" w:after="120"/>
        <w:ind w:left="850" w:right="902" w:hanging="10"/>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i/>
          <w:sz w:val="22"/>
          <w:szCs w:val="22"/>
        </w:rPr>
        <w:t>Asiento que se realiza en los libros de contabilidad de las actividades relacionadas con el ingreso y egresos de un ente económico.”</w:t>
      </w:r>
    </w:p>
    <w:p w14:paraId="1611BFED" w14:textId="77777777" w:rsidR="002D0127" w:rsidRPr="008D0443" w:rsidRDefault="00946B94">
      <w:pPr>
        <w:spacing w:before="120" w:after="120"/>
        <w:ind w:left="850" w:right="902" w:hanging="10"/>
        <w:jc w:val="both"/>
        <w:rPr>
          <w:rFonts w:ascii="Palatino Linotype" w:eastAsia="Palatino Linotype" w:hAnsi="Palatino Linotype" w:cs="Palatino Linotype"/>
          <w:b/>
          <w:i/>
          <w:sz w:val="22"/>
          <w:szCs w:val="22"/>
        </w:rPr>
      </w:pPr>
      <w:r w:rsidRPr="008D0443">
        <w:rPr>
          <w:rFonts w:ascii="Palatino Linotype" w:eastAsia="Palatino Linotype" w:hAnsi="Palatino Linotype" w:cs="Palatino Linotype"/>
          <w:b/>
          <w:i/>
          <w:sz w:val="22"/>
          <w:szCs w:val="22"/>
        </w:rPr>
        <w:t>“REGISTRO PRESUPUESTARIO</w:t>
      </w:r>
    </w:p>
    <w:p w14:paraId="41FCACA2" w14:textId="77777777" w:rsidR="002D0127" w:rsidRPr="008D0443" w:rsidRDefault="00946B94">
      <w:pPr>
        <w:spacing w:before="120" w:after="120"/>
        <w:ind w:left="850" w:right="902" w:hanging="10"/>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i/>
          <w:sz w:val="22"/>
          <w:szCs w:val="22"/>
        </w:rPr>
        <w:t>Asiento contable de las erogaciones realizadas por las dependencias y entidades con relación a la asignación, modificación y ejercicio de los recursos presupuestarios que se les hayan autorizado.”</w:t>
      </w:r>
    </w:p>
    <w:p w14:paraId="15778BE9" w14:textId="77777777" w:rsidR="002D0127" w:rsidRPr="008D0443" w:rsidRDefault="00946B94">
      <w:pPr>
        <w:spacing w:before="240" w:after="240" w:line="360" w:lineRule="auto"/>
        <w:ind w:right="51"/>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Como bien se desprende de las definiciones, los registros contables y presupuestarios son asientos o anotaciones contables que se realizan tanto de los ingresos como de los egresos, a decir se trata de un control financiero en el que se reconoce la obligación del Tesorero de llevar dicho registro.</w:t>
      </w:r>
    </w:p>
    <w:p w14:paraId="263F20F2" w14:textId="77777777" w:rsidR="002D0127" w:rsidRPr="008D0443" w:rsidRDefault="00946B94">
      <w:pPr>
        <w:spacing w:before="240" w:after="24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Por otra parte, se establece que el sistema de contabilidad sobre base acumulativa total se sustentará en los principios de contabilidad gubernamental.</w:t>
      </w:r>
    </w:p>
    <w:p w14:paraId="5EDF9956" w14:textId="77777777" w:rsidR="002D0127" w:rsidRPr="008D0443" w:rsidRDefault="00946B94">
      <w:pPr>
        <w:spacing w:before="240" w:after="24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430A65A3" w14:textId="77777777" w:rsidR="002D0127" w:rsidRPr="008D0443" w:rsidRDefault="00946B94">
      <w:pPr>
        <w:spacing w:before="240" w:after="24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 xml:space="preserve">Correlativo a lo anterior, es preciso referir una definición de </w:t>
      </w:r>
      <w:r w:rsidRPr="008D0443">
        <w:rPr>
          <w:rFonts w:ascii="Palatino Linotype" w:eastAsia="Palatino Linotype" w:hAnsi="Palatino Linotype" w:cs="Palatino Linotype"/>
          <w:i/>
          <w:sz w:val="22"/>
          <w:szCs w:val="22"/>
        </w:rPr>
        <w:t>póliza contable</w:t>
      </w:r>
      <w:r w:rsidRPr="008D0443">
        <w:rPr>
          <w:rFonts w:ascii="Palatino Linotype" w:eastAsia="Palatino Linotype" w:hAnsi="Palatino Linotype" w:cs="Palatino Linotype"/>
          <w:sz w:val="22"/>
          <w:szCs w:val="22"/>
        </w:rPr>
        <w:t>, la cual, primeramente, no está definida en el Código Financiero del Estado de México y Municipios; no obstante, el ya mencionado Glosario la define como:</w:t>
      </w:r>
    </w:p>
    <w:p w14:paraId="00E9FF8D" w14:textId="77777777" w:rsidR="002D0127" w:rsidRPr="008D0443" w:rsidRDefault="00946B94">
      <w:pPr>
        <w:spacing w:before="120" w:after="120"/>
        <w:ind w:left="862" w:right="902"/>
        <w:jc w:val="both"/>
        <w:rPr>
          <w:rFonts w:ascii="Palatino Linotype" w:eastAsia="Palatino Linotype" w:hAnsi="Palatino Linotype" w:cs="Palatino Linotype"/>
          <w:b/>
          <w:i/>
          <w:sz w:val="22"/>
          <w:szCs w:val="22"/>
        </w:rPr>
      </w:pPr>
      <w:r w:rsidRPr="008D0443">
        <w:rPr>
          <w:rFonts w:ascii="Palatino Linotype" w:eastAsia="Palatino Linotype" w:hAnsi="Palatino Linotype" w:cs="Palatino Linotype"/>
          <w:i/>
          <w:sz w:val="22"/>
          <w:szCs w:val="22"/>
        </w:rPr>
        <w:t>“</w:t>
      </w:r>
      <w:r w:rsidRPr="008D0443">
        <w:rPr>
          <w:rFonts w:ascii="Palatino Linotype" w:eastAsia="Palatino Linotype" w:hAnsi="Palatino Linotype" w:cs="Palatino Linotype"/>
          <w:b/>
          <w:i/>
          <w:sz w:val="22"/>
          <w:szCs w:val="22"/>
        </w:rPr>
        <w:t>PÓLIZA CONTABLE</w:t>
      </w:r>
    </w:p>
    <w:p w14:paraId="2BFD75D4" w14:textId="77777777" w:rsidR="002D0127" w:rsidRPr="008D0443" w:rsidRDefault="00946B94">
      <w:pPr>
        <w:spacing w:before="120" w:after="120"/>
        <w:ind w:left="862"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i/>
          <w:sz w:val="22"/>
          <w:szCs w:val="22"/>
        </w:rPr>
        <w:t xml:space="preserve">Documento en el cual se asientan en forma individual todas y cada una de las operaciones desarrolladas por una institución, así como la información necesaria para la identificación de dichas operaciones.” </w:t>
      </w:r>
    </w:p>
    <w:p w14:paraId="359E02EF" w14:textId="77777777" w:rsidR="002D0127" w:rsidRPr="008D0443" w:rsidRDefault="00946B94">
      <w:pPr>
        <w:spacing w:before="240" w:after="240" w:line="360" w:lineRule="auto"/>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sz w:val="22"/>
          <w:szCs w:val="22"/>
        </w:rPr>
        <w:t xml:space="preserve">Así, se advierte que la </w:t>
      </w:r>
      <w:r w:rsidRPr="008D0443">
        <w:rPr>
          <w:rFonts w:ascii="Palatino Linotype" w:eastAsia="Palatino Linotype" w:hAnsi="Palatino Linotype" w:cs="Palatino Linotype"/>
          <w:i/>
          <w:sz w:val="22"/>
          <w:szCs w:val="22"/>
        </w:rPr>
        <w:t>póliza contable</w:t>
      </w:r>
      <w:r w:rsidRPr="008D0443">
        <w:rPr>
          <w:rFonts w:ascii="Palatino Linotype" w:eastAsia="Palatino Linotype" w:hAnsi="Palatino Linotype" w:cs="Palatino Linotype"/>
          <w:sz w:val="22"/>
          <w:szCs w:val="22"/>
        </w:rPr>
        <w:t xml:space="preserve"> constituye un registro contable y presupuestal con el que cuentan los Municipios para el registro de operaciones relacionadas con </w:t>
      </w:r>
      <w:r w:rsidRPr="008D0443">
        <w:rPr>
          <w:rFonts w:ascii="Palatino Linotype" w:eastAsia="Palatino Linotype" w:hAnsi="Palatino Linotype" w:cs="Palatino Linotype"/>
          <w:sz w:val="22"/>
          <w:szCs w:val="22"/>
          <w:u w:val="single"/>
        </w:rPr>
        <w:t>ingresos y egresos</w:t>
      </w:r>
      <w:r w:rsidRPr="008D0443">
        <w:rPr>
          <w:rFonts w:ascii="Palatino Linotype" w:eastAsia="Palatino Linotype" w:hAnsi="Palatino Linotype" w:cs="Palatino Linotype"/>
          <w:sz w:val="22"/>
          <w:szCs w:val="22"/>
        </w:rPr>
        <w:t xml:space="preserve"> y se anexan los documentos o comprobantes que justifiquen las anotaciones y cantidades en ellas registradas, lo que permite la identificación plena de dichas operaciones.</w:t>
      </w:r>
    </w:p>
    <w:p w14:paraId="09E363A8" w14:textId="3BE2CB0E" w:rsidR="002D0127" w:rsidRPr="008D0443" w:rsidRDefault="00946B94">
      <w:pPr>
        <w:spacing w:before="240" w:after="240" w:line="360" w:lineRule="auto"/>
        <w:ind w:right="-232"/>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 xml:space="preserve">En este sentido, existen diversos tipos de pólizas contables de acuerdo a las operaciones realizadas, dentro de las cuales, encontramos las </w:t>
      </w:r>
      <w:r w:rsidRPr="008D0443">
        <w:rPr>
          <w:rFonts w:ascii="Palatino Linotype" w:eastAsia="Palatino Linotype" w:hAnsi="Palatino Linotype" w:cs="Palatino Linotype"/>
          <w:i/>
          <w:sz w:val="22"/>
          <w:szCs w:val="22"/>
        </w:rPr>
        <w:t xml:space="preserve">pólizas de ingresos y egresos. </w:t>
      </w:r>
      <w:r w:rsidRPr="008D0443">
        <w:rPr>
          <w:rFonts w:ascii="Palatino Linotype" w:eastAsia="Palatino Linotype" w:hAnsi="Palatino Linotype" w:cs="Palatino Linotype"/>
          <w:b/>
          <w:sz w:val="22"/>
          <w:szCs w:val="22"/>
          <w:u w:val="single"/>
        </w:rPr>
        <w:t>Las primeras</w:t>
      </w:r>
      <w:r w:rsidRPr="008D0443">
        <w:rPr>
          <w:rFonts w:ascii="Palatino Linotype" w:eastAsia="Palatino Linotype" w:hAnsi="Palatino Linotype" w:cs="Palatino Linotype"/>
          <w:b/>
          <w:sz w:val="22"/>
          <w:szCs w:val="22"/>
        </w:rPr>
        <w:t xml:space="preserve"> registran todas la</w:t>
      </w:r>
      <w:r w:rsidR="006871AD" w:rsidRPr="008D0443">
        <w:rPr>
          <w:rFonts w:ascii="Palatino Linotype" w:eastAsia="Palatino Linotype" w:hAnsi="Palatino Linotype" w:cs="Palatino Linotype"/>
          <w:b/>
          <w:sz w:val="22"/>
          <w:szCs w:val="22"/>
        </w:rPr>
        <w:t>s</w:t>
      </w:r>
      <w:r w:rsidRPr="008D0443">
        <w:rPr>
          <w:rFonts w:ascii="Palatino Linotype" w:eastAsia="Palatino Linotype" w:hAnsi="Palatino Linotype" w:cs="Palatino Linotype"/>
          <w:b/>
          <w:sz w:val="22"/>
          <w:szCs w:val="22"/>
        </w:rPr>
        <w:t xml:space="preserve"> entradas de dinero, </w:t>
      </w:r>
      <w:r w:rsidRPr="008D0443">
        <w:rPr>
          <w:rFonts w:ascii="Palatino Linotype" w:eastAsia="Palatino Linotype" w:hAnsi="Palatino Linotype" w:cs="Palatino Linotype"/>
          <w:sz w:val="22"/>
          <w:szCs w:val="22"/>
        </w:rPr>
        <w:t xml:space="preserve">mientras que </w:t>
      </w:r>
      <w:r w:rsidRPr="008D0443">
        <w:rPr>
          <w:rFonts w:ascii="Palatino Linotype" w:eastAsia="Palatino Linotype" w:hAnsi="Palatino Linotype" w:cs="Palatino Linotype"/>
          <w:b/>
          <w:sz w:val="22"/>
          <w:szCs w:val="22"/>
          <w:u w:val="single"/>
        </w:rPr>
        <w:t>las segundas</w:t>
      </w:r>
      <w:r w:rsidRPr="008D0443">
        <w:rPr>
          <w:rFonts w:ascii="Palatino Linotype" w:eastAsia="Palatino Linotype" w:hAnsi="Palatino Linotype" w:cs="Palatino Linotype"/>
          <w:sz w:val="22"/>
          <w:szCs w:val="22"/>
        </w:rPr>
        <w:t xml:space="preserve"> </w:t>
      </w:r>
      <w:r w:rsidRPr="008D0443">
        <w:rPr>
          <w:rFonts w:ascii="Palatino Linotype" w:eastAsia="Palatino Linotype" w:hAnsi="Palatino Linotype" w:cs="Palatino Linotype"/>
          <w:b/>
          <w:sz w:val="22"/>
          <w:szCs w:val="22"/>
        </w:rPr>
        <w:t>son aquellas en las cuales se anotan diariamente las operaciones que representan gastos, es decir, salidas de dinero</w:t>
      </w:r>
      <w:r w:rsidRPr="008D0443">
        <w:rPr>
          <w:rFonts w:ascii="Palatino Linotype" w:eastAsia="Palatino Linotype" w:hAnsi="Palatino Linotype" w:cs="Palatino Linotype"/>
          <w:sz w:val="22"/>
          <w:szCs w:val="22"/>
        </w:rPr>
        <w:t xml:space="preserve"> las que además, </w:t>
      </w:r>
      <w:r w:rsidRPr="008D0443">
        <w:rPr>
          <w:rFonts w:ascii="Palatino Linotype" w:eastAsia="Palatino Linotype" w:hAnsi="Palatino Linotype" w:cs="Palatino Linotype"/>
          <w:b/>
          <w:sz w:val="22"/>
          <w:szCs w:val="22"/>
        </w:rPr>
        <w:t xml:space="preserve">deben encontrarse acompañadas de las documentales que sirven de soporte de dicho movimiento; </w:t>
      </w:r>
      <w:r w:rsidRPr="008D0443">
        <w:rPr>
          <w:rFonts w:ascii="Palatino Linotype" w:eastAsia="Palatino Linotype" w:hAnsi="Palatino Linotype" w:cs="Palatino Linotype"/>
          <w:sz w:val="22"/>
          <w:szCs w:val="22"/>
        </w:rPr>
        <w:t xml:space="preserve">lo anterior </w:t>
      </w:r>
      <w:r w:rsidRPr="008D0443">
        <w:rPr>
          <w:rFonts w:ascii="Palatino Linotype" w:eastAsia="Palatino Linotype" w:hAnsi="Palatino Linotype" w:cs="Palatino Linotype"/>
          <w:b/>
          <w:sz w:val="22"/>
          <w:szCs w:val="22"/>
        </w:rPr>
        <w:t>independientemente de la modalidad</w:t>
      </w:r>
      <w:r w:rsidRPr="008D0443">
        <w:rPr>
          <w:rFonts w:ascii="Palatino Linotype" w:eastAsia="Palatino Linotype" w:hAnsi="Palatino Linotype" w:cs="Palatino Linotype"/>
          <w:sz w:val="22"/>
          <w:szCs w:val="22"/>
        </w:rPr>
        <w:t xml:space="preserve"> ya sea en efectivo, transferencia, cheque o pagaré.</w:t>
      </w:r>
    </w:p>
    <w:p w14:paraId="7372D123" w14:textId="77777777" w:rsidR="002D0127" w:rsidRPr="008D0443" w:rsidRDefault="00946B94">
      <w:pPr>
        <w:spacing w:before="240" w:after="24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 xml:space="preserve">En este contexto, debe decirse que de conformidad con los </w:t>
      </w:r>
      <w:r w:rsidRPr="008D0443">
        <w:rPr>
          <w:rFonts w:ascii="Palatino Linotype" w:eastAsia="Palatino Linotype" w:hAnsi="Palatino Linotype" w:cs="Palatino Linotype"/>
          <w:i/>
          <w:sz w:val="22"/>
          <w:szCs w:val="22"/>
        </w:rPr>
        <w:t xml:space="preserve">Lineamientos para la elaboración y presentación del Informe Mensual Municipal, </w:t>
      </w:r>
      <w:r w:rsidRPr="008D0443">
        <w:rPr>
          <w:rFonts w:ascii="Palatino Linotype" w:eastAsia="Palatino Linotype" w:hAnsi="Palatino Linotype" w:cs="Palatino Linotype"/>
          <w:sz w:val="22"/>
          <w:szCs w:val="22"/>
        </w:rPr>
        <w:t xml:space="preserve">emitidos por el Órgano Superior de Fiscalización del Estado de México en el ejercicio fiscal 2020, los cuales definían los criterios, los formatos y la documentación necesaria para presentar los informes mensuales, contemplaban la entrega de las </w:t>
      </w:r>
      <w:r w:rsidRPr="008D0443">
        <w:rPr>
          <w:rFonts w:ascii="Palatino Linotype" w:eastAsia="Palatino Linotype" w:hAnsi="Palatino Linotype" w:cs="Palatino Linotype"/>
          <w:i/>
          <w:sz w:val="22"/>
          <w:szCs w:val="22"/>
        </w:rPr>
        <w:t xml:space="preserve">Pólizas de Cheques con los documentos comprobatorios, </w:t>
      </w:r>
      <w:r w:rsidRPr="008D0443">
        <w:rPr>
          <w:rFonts w:ascii="Palatino Linotype" w:eastAsia="Palatino Linotype" w:hAnsi="Palatino Linotype" w:cs="Palatino Linotype"/>
          <w:sz w:val="22"/>
          <w:szCs w:val="22"/>
        </w:rPr>
        <w:t xml:space="preserve">específicamente en el numeral 4 del Disco 5 </w:t>
      </w:r>
      <w:r w:rsidRPr="008D0443">
        <w:rPr>
          <w:rFonts w:ascii="Palatino Linotype" w:eastAsia="Palatino Linotype" w:hAnsi="Palatino Linotype" w:cs="Palatino Linotype"/>
          <w:i/>
          <w:sz w:val="22"/>
          <w:szCs w:val="22"/>
        </w:rPr>
        <w:t>Imágenes Digitalizadas</w:t>
      </w:r>
      <w:r w:rsidRPr="008D0443">
        <w:rPr>
          <w:rFonts w:ascii="Palatino Linotype" w:eastAsia="Palatino Linotype" w:hAnsi="Palatino Linotype" w:cs="Palatino Linotype"/>
          <w:sz w:val="22"/>
          <w:szCs w:val="22"/>
        </w:rPr>
        <w:t>:</w:t>
      </w:r>
    </w:p>
    <w:p w14:paraId="16CE12E5" w14:textId="77777777" w:rsidR="002D0127" w:rsidRPr="008D0443" w:rsidRDefault="00946B94">
      <w:pPr>
        <w:spacing w:before="240" w:after="240" w:line="360" w:lineRule="auto"/>
        <w:jc w:val="center"/>
        <w:rPr>
          <w:rFonts w:ascii="Palatino Linotype" w:eastAsia="Palatino Linotype" w:hAnsi="Palatino Linotype" w:cs="Palatino Linotype"/>
          <w:sz w:val="22"/>
          <w:szCs w:val="22"/>
        </w:rPr>
      </w:pPr>
      <w:r w:rsidRPr="008D0443">
        <w:rPr>
          <w:rFonts w:ascii="Palatino Linotype" w:eastAsia="Palatino Linotype" w:hAnsi="Palatino Linotype" w:cs="Palatino Linotype"/>
          <w:noProof/>
          <w:sz w:val="22"/>
          <w:szCs w:val="22"/>
        </w:rPr>
        <w:drawing>
          <wp:inline distT="0" distB="0" distL="0" distR="0" wp14:anchorId="6B7500C8" wp14:editId="02ABFB7C">
            <wp:extent cx="4360993" cy="2016000"/>
            <wp:effectExtent l="0" t="0" r="0" b="0"/>
            <wp:docPr id="21401318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360993" cy="2016000"/>
                    </a:xfrm>
                    <a:prstGeom prst="rect">
                      <a:avLst/>
                    </a:prstGeom>
                    <a:ln/>
                  </pic:spPr>
                </pic:pic>
              </a:graphicData>
            </a:graphic>
          </wp:inline>
        </w:drawing>
      </w:r>
      <w:r w:rsidRPr="008D0443">
        <w:rPr>
          <w:noProof/>
        </w:rPr>
        <mc:AlternateContent>
          <mc:Choice Requires="wps">
            <w:drawing>
              <wp:anchor distT="0" distB="0" distL="114300" distR="114300" simplePos="0" relativeHeight="251658240" behindDoc="0" locked="0" layoutInCell="1" hidden="0" allowOverlap="1" wp14:anchorId="1ADB7D38" wp14:editId="715F9786">
                <wp:simplePos x="0" y="0"/>
                <wp:positionH relativeFrom="column">
                  <wp:posOffset>701039</wp:posOffset>
                </wp:positionH>
                <wp:positionV relativeFrom="paragraph">
                  <wp:posOffset>1349375</wp:posOffset>
                </wp:positionV>
                <wp:extent cx="4200525" cy="298939"/>
                <wp:effectExtent l="0" t="0" r="0" b="0"/>
                <wp:wrapNone/>
                <wp:docPr id="2140131844" name="Rectángulo 2140131844"/>
                <wp:cNvGraphicFramePr/>
                <a:graphic xmlns:a="http://schemas.openxmlformats.org/drawingml/2006/main">
                  <a:graphicData uri="http://schemas.microsoft.com/office/word/2010/wordprocessingShape">
                    <wps:wsp>
                      <wps:cNvSpPr/>
                      <wps:spPr>
                        <a:xfrm>
                          <a:off x="3264788" y="3649581"/>
                          <a:ext cx="4162425" cy="260839"/>
                        </a:xfrm>
                        <a:prstGeom prst="rect">
                          <a:avLst/>
                        </a:prstGeom>
                        <a:noFill/>
                        <a:ln w="38100" cap="flat" cmpd="sng">
                          <a:solidFill>
                            <a:srgbClr val="C00000"/>
                          </a:solidFill>
                          <a:prstDash val="solid"/>
                          <a:round/>
                          <a:headEnd type="none" w="sm" len="sm"/>
                          <a:tailEnd type="none" w="sm" len="sm"/>
                        </a:ln>
                      </wps:spPr>
                      <wps:txbx>
                        <w:txbxContent>
                          <w:p w14:paraId="7FF0D0FA" w14:textId="77777777" w:rsidR="002D0127" w:rsidRDefault="002D0127">
                            <w:pPr>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ADB7D38" id="Rectángulo 2140131844" o:spid="_x0000_s1026" style="position:absolute;left:0;text-align:left;margin-left:55.2pt;margin-top:106.25pt;width:330.75pt;height:23.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" filled="f" strokecolor="#c00000" strokeweight="3pt">
                <v:stroke startarrowwidth="narrow" startarrowlength="short" endarrowwidth="narrow" endarrowlength="short" joinstyle="round"/>
                <v:textbox inset="2.53958mm,2.53958mm,2.53958mm,2.53958mm">
                  <w:txbxContent>
                    <w:p w14:paraId="7FF0D0FA" w14:textId="77777777" w:rsidR="002D0127" w:rsidRDefault="002D0127">
                      <w:pPr>
                        <w:textDirection w:val="btLr"/>
                      </w:pPr>
                    </w:p>
                  </w:txbxContent>
                </v:textbox>
              </v:rect>
            </w:pict>
          </mc:Fallback>
        </mc:AlternateContent>
      </w:r>
    </w:p>
    <w:p w14:paraId="7AB7934F" w14:textId="77777777" w:rsidR="002D0127" w:rsidRPr="008D0443" w:rsidRDefault="00946B94">
      <w:p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rPr>
      </w:pPr>
      <w:r w:rsidRPr="008D0443">
        <w:rPr>
          <w:rFonts w:ascii="Palatino Linotype" w:eastAsia="Palatino Linotype" w:hAnsi="Palatino Linotype" w:cs="Palatino Linotype"/>
          <w:sz w:val="22"/>
          <w:szCs w:val="22"/>
        </w:rPr>
        <w:t>Aunado a lo anterior, el Instructivo de llenado de las pólizas de cheques</w:t>
      </w:r>
      <w:r w:rsidRPr="008D0443">
        <w:rPr>
          <w:rFonts w:ascii="Palatino Linotype" w:eastAsia="Palatino Linotype" w:hAnsi="Palatino Linotype" w:cs="Palatino Linotype"/>
          <w:i/>
          <w:sz w:val="22"/>
          <w:szCs w:val="22"/>
        </w:rPr>
        <w:t xml:space="preserve"> </w:t>
      </w:r>
      <w:r w:rsidRPr="008D0443">
        <w:rPr>
          <w:rFonts w:ascii="Palatino Linotype" w:eastAsia="Palatino Linotype" w:hAnsi="Palatino Linotype" w:cs="Palatino Linotype"/>
          <w:sz w:val="22"/>
          <w:szCs w:val="22"/>
        </w:rPr>
        <w:t xml:space="preserve">a que hace referencia la persona solicitante, establecen que </w:t>
      </w:r>
      <w:r w:rsidRPr="008D0443">
        <w:rPr>
          <w:rFonts w:ascii="Palatino Linotype" w:eastAsia="Palatino Linotype" w:hAnsi="Palatino Linotype" w:cs="Palatino Linotype"/>
          <w:b/>
          <w:sz w:val="22"/>
          <w:szCs w:val="22"/>
        </w:rPr>
        <w:t xml:space="preserve">este tipo de póliza </w:t>
      </w:r>
      <w:r w:rsidRPr="008D0443">
        <w:rPr>
          <w:rFonts w:ascii="Palatino Linotype" w:eastAsia="Palatino Linotype" w:hAnsi="Palatino Linotype" w:cs="Palatino Linotype"/>
          <w:b/>
          <w:sz w:val="22"/>
          <w:szCs w:val="22"/>
          <w:u w:val="single"/>
        </w:rPr>
        <w:t>se utiliza en caso de erogaciones</w:t>
      </w:r>
      <w:r w:rsidRPr="008D0443">
        <w:rPr>
          <w:rFonts w:ascii="Palatino Linotype" w:eastAsia="Palatino Linotype" w:hAnsi="Palatino Linotype" w:cs="Palatino Linotype"/>
          <w:b/>
          <w:sz w:val="22"/>
          <w:szCs w:val="22"/>
        </w:rPr>
        <w:t xml:space="preserve"> realizadas </w:t>
      </w:r>
      <w:r w:rsidRPr="008D0443">
        <w:rPr>
          <w:rFonts w:ascii="Palatino Linotype" w:eastAsia="Palatino Linotype" w:hAnsi="Palatino Linotype" w:cs="Palatino Linotype"/>
          <w:b/>
          <w:sz w:val="22"/>
          <w:szCs w:val="22"/>
          <w:u w:val="single"/>
        </w:rPr>
        <w:t>a través de un cheque</w:t>
      </w:r>
      <w:r w:rsidRPr="008D0443">
        <w:rPr>
          <w:rFonts w:ascii="Palatino Linotype" w:eastAsia="Palatino Linotype" w:hAnsi="Palatino Linotype" w:cs="Palatino Linotype"/>
          <w:b/>
          <w:sz w:val="22"/>
          <w:szCs w:val="22"/>
        </w:rPr>
        <w:t>.</w:t>
      </w:r>
    </w:p>
    <w:p w14:paraId="6F9B3FC6" w14:textId="5060D780" w:rsidR="002D0127" w:rsidRPr="008D0443" w:rsidRDefault="00946B9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Con base en lo previo, se estima que si bien la solicitud que nos ocupa fue atendida por el área competente, la respuesta proporcionada no brinda certeza sobre la inexistencia de la información, ello en virtud de que</w:t>
      </w:r>
      <w:r w:rsidR="006871AD" w:rsidRPr="008D0443">
        <w:rPr>
          <w:rFonts w:ascii="Palatino Linotype" w:eastAsia="Palatino Linotype" w:hAnsi="Palatino Linotype" w:cs="Palatino Linotype"/>
          <w:sz w:val="22"/>
          <w:szCs w:val="22"/>
        </w:rPr>
        <w:t xml:space="preserve"> </w:t>
      </w:r>
      <w:r w:rsidRPr="008D0443">
        <w:rPr>
          <w:rFonts w:ascii="Palatino Linotype" w:eastAsia="Palatino Linotype" w:hAnsi="Palatino Linotype" w:cs="Palatino Linotype"/>
          <w:sz w:val="22"/>
          <w:szCs w:val="22"/>
        </w:rPr>
        <w:t>pretendió acreditar dicha situación con la captura del Sistema Integral de Contabilidad Gubernamental del ejercicio 2020, no se logra advertir de manera clara el criterio de búsqueda utilizado, esto es: Cuentas por pagar, Diario, Egresos o Ingresos, como se ilustra a continuación para un mejor entendimiento:</w:t>
      </w:r>
    </w:p>
    <w:p w14:paraId="31EA755C" w14:textId="77777777" w:rsidR="002D0127" w:rsidRPr="008D0443" w:rsidRDefault="00946B9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noProof/>
          <w:sz w:val="22"/>
          <w:szCs w:val="22"/>
        </w:rPr>
        <w:drawing>
          <wp:inline distT="0" distB="0" distL="0" distR="0" wp14:anchorId="7B44D9C6" wp14:editId="1B6388ED">
            <wp:extent cx="5612130" cy="1558290"/>
            <wp:effectExtent l="0" t="0" r="0" b="0"/>
            <wp:docPr id="21401318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612130" cy="1558290"/>
                    </a:xfrm>
                    <a:prstGeom prst="rect">
                      <a:avLst/>
                    </a:prstGeom>
                    <a:ln/>
                  </pic:spPr>
                </pic:pic>
              </a:graphicData>
            </a:graphic>
          </wp:inline>
        </w:drawing>
      </w:r>
    </w:p>
    <w:p w14:paraId="0AA50997" w14:textId="77777777" w:rsidR="002D0127" w:rsidRPr="008D0443" w:rsidRDefault="00946B9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noProof/>
          <w:sz w:val="22"/>
          <w:szCs w:val="22"/>
        </w:rPr>
        <w:drawing>
          <wp:inline distT="0" distB="0" distL="0" distR="0" wp14:anchorId="5488B9A6" wp14:editId="1C46EF12">
            <wp:extent cx="5612130" cy="1582420"/>
            <wp:effectExtent l="0" t="0" r="0" b="0"/>
            <wp:docPr id="21401318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612130" cy="1582420"/>
                    </a:xfrm>
                    <a:prstGeom prst="rect">
                      <a:avLst/>
                    </a:prstGeom>
                    <a:ln/>
                  </pic:spPr>
                </pic:pic>
              </a:graphicData>
            </a:graphic>
          </wp:inline>
        </w:drawing>
      </w:r>
    </w:p>
    <w:p w14:paraId="786D9E0C" w14:textId="2E382836" w:rsidR="002D0127" w:rsidRPr="008D0443" w:rsidRDefault="00946B9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Ante lo cual se reitera que</w:t>
      </w:r>
      <w:r w:rsidR="006871AD" w:rsidRPr="008D0443">
        <w:rPr>
          <w:rFonts w:ascii="Palatino Linotype" w:eastAsia="Palatino Linotype" w:hAnsi="Palatino Linotype" w:cs="Palatino Linotype"/>
          <w:sz w:val="22"/>
          <w:szCs w:val="22"/>
        </w:rPr>
        <w:t>,</w:t>
      </w:r>
      <w:r w:rsidRPr="008D0443">
        <w:rPr>
          <w:rFonts w:ascii="Palatino Linotype" w:eastAsia="Palatino Linotype" w:hAnsi="Palatino Linotype" w:cs="Palatino Linotype"/>
          <w:sz w:val="22"/>
          <w:szCs w:val="22"/>
        </w:rPr>
        <w:t xml:space="preserve"> de conformidad con el instructivo de llenado de la Póliza de cheques, dicho documento </w:t>
      </w:r>
      <w:r w:rsidRPr="008D0443">
        <w:rPr>
          <w:rFonts w:ascii="Palatino Linotype" w:eastAsia="Palatino Linotype" w:hAnsi="Palatino Linotype" w:cs="Palatino Linotype"/>
          <w:b/>
          <w:sz w:val="22"/>
          <w:szCs w:val="22"/>
          <w:u w:val="single"/>
        </w:rPr>
        <w:t>se utiliza en caso de erogaciones</w:t>
      </w:r>
      <w:r w:rsidRPr="008D0443">
        <w:rPr>
          <w:rFonts w:ascii="Palatino Linotype" w:eastAsia="Palatino Linotype" w:hAnsi="Palatino Linotype" w:cs="Palatino Linotype"/>
          <w:b/>
          <w:sz w:val="22"/>
          <w:szCs w:val="22"/>
        </w:rPr>
        <w:t xml:space="preserve"> </w:t>
      </w:r>
      <w:r w:rsidRPr="008D0443">
        <w:rPr>
          <w:rFonts w:ascii="Palatino Linotype" w:eastAsia="Palatino Linotype" w:hAnsi="Palatino Linotype" w:cs="Palatino Linotype"/>
          <w:sz w:val="22"/>
          <w:szCs w:val="22"/>
        </w:rPr>
        <w:t xml:space="preserve">realizadas a través de un cheque, es decir, </w:t>
      </w:r>
      <w:r w:rsidRPr="008D0443">
        <w:rPr>
          <w:rFonts w:ascii="Palatino Linotype" w:eastAsia="Palatino Linotype" w:hAnsi="Palatino Linotype" w:cs="Palatino Linotype"/>
          <w:b/>
          <w:sz w:val="22"/>
          <w:szCs w:val="22"/>
          <w:u w:val="single"/>
        </w:rPr>
        <w:t>en caso de egresos</w:t>
      </w:r>
      <w:r w:rsidRPr="008D0443">
        <w:rPr>
          <w:rFonts w:ascii="Palatino Linotype" w:eastAsia="Palatino Linotype" w:hAnsi="Palatino Linotype" w:cs="Palatino Linotype"/>
          <w:sz w:val="22"/>
          <w:szCs w:val="22"/>
        </w:rPr>
        <w:t>.</w:t>
      </w:r>
    </w:p>
    <w:p w14:paraId="20553B68" w14:textId="3BE6F7EB" w:rsidR="002D0127" w:rsidRPr="008D0443" w:rsidRDefault="00946B9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 xml:space="preserve">Además, no debe </w:t>
      </w:r>
      <w:r w:rsidR="006871AD" w:rsidRPr="008D0443">
        <w:rPr>
          <w:rFonts w:ascii="Palatino Linotype" w:eastAsia="Palatino Linotype" w:hAnsi="Palatino Linotype" w:cs="Palatino Linotype"/>
          <w:sz w:val="22"/>
          <w:szCs w:val="22"/>
        </w:rPr>
        <w:t>olvidarse</w:t>
      </w:r>
      <w:r w:rsidRPr="008D0443">
        <w:rPr>
          <w:rFonts w:ascii="Palatino Linotype" w:eastAsia="Palatino Linotype" w:hAnsi="Palatino Linotype" w:cs="Palatino Linotype"/>
          <w:sz w:val="22"/>
          <w:szCs w:val="22"/>
        </w:rPr>
        <w:t xml:space="preserve"> que de conformidad con el párrafo segundo del artículo 344  del Código Financiero del Estado de México y Municipios</w:t>
      </w:r>
      <w:r w:rsidRPr="008D0443">
        <w:rPr>
          <w:rFonts w:ascii="Palatino Linotype" w:eastAsia="Palatino Linotype" w:hAnsi="Palatino Linotype" w:cs="Palatino Linotype"/>
          <w:b/>
          <w:sz w:val="22"/>
          <w:szCs w:val="22"/>
        </w:rPr>
        <w:t>, los entes ejecutores del gasto cuentan con la obligación de custodiar y conservar</w:t>
      </w:r>
      <w:r w:rsidRPr="008D0443">
        <w:rPr>
          <w:rFonts w:ascii="Palatino Linotype" w:eastAsia="Palatino Linotype" w:hAnsi="Palatino Linotype" w:cs="Palatino Linotype"/>
          <w:sz w:val="22"/>
          <w:szCs w:val="22"/>
        </w:rPr>
        <w:t xml:space="preserve">, a través de las unidades administrativas correspondientes, </w:t>
      </w:r>
      <w:r w:rsidRPr="008D0443">
        <w:rPr>
          <w:rFonts w:ascii="Palatino Linotype" w:eastAsia="Palatino Linotype" w:hAnsi="Palatino Linotype" w:cs="Palatino Linotype"/>
          <w:b/>
          <w:sz w:val="22"/>
          <w:szCs w:val="22"/>
        </w:rPr>
        <w:t>los registros contables y presupuestales</w:t>
      </w:r>
      <w:r w:rsidRPr="008D0443">
        <w:rPr>
          <w:rFonts w:ascii="Palatino Linotype" w:eastAsia="Palatino Linotype" w:hAnsi="Palatino Linotype" w:cs="Palatino Linotype"/>
          <w:sz w:val="22"/>
          <w:szCs w:val="22"/>
        </w:rPr>
        <w:t xml:space="preserve"> los cuales deben estar soportados con los documentos de registro, justificativos y comprobatorios originales, en copias certificadas o en medios electrónicos, según corresponda </w:t>
      </w:r>
      <w:r w:rsidRPr="008D0443">
        <w:rPr>
          <w:rFonts w:ascii="Palatino Linotype" w:eastAsia="Palatino Linotype" w:hAnsi="Palatino Linotype" w:cs="Palatino Linotype"/>
          <w:b/>
          <w:sz w:val="22"/>
          <w:szCs w:val="22"/>
        </w:rPr>
        <w:t xml:space="preserve">por un término de 6 años, </w:t>
      </w:r>
      <w:r w:rsidRPr="008D0443">
        <w:rPr>
          <w:rFonts w:ascii="Palatino Linotype" w:eastAsia="Palatino Linotype" w:hAnsi="Palatino Linotype" w:cs="Palatino Linotype"/>
          <w:sz w:val="22"/>
          <w:szCs w:val="22"/>
        </w:rPr>
        <w:t>contados a partir del ejercicio presupuestal siguiente al que corresponda.</w:t>
      </w:r>
    </w:p>
    <w:p w14:paraId="00D4C0CE" w14:textId="65B813B8" w:rsidR="002D0127" w:rsidRPr="008D0443" w:rsidRDefault="00946B9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 xml:space="preserve">En el caso particular, el servidor público habilitado se limitó a referir que no se encontró la información solicitada derivado de la búsqueda en las bases de datos, sistemas de registro y actas de entrega-recepción, sin señalar de manera clara las razones por las cuales no se encontró la información, esto es, si se generó o no, o si se generó pero ya no obra en los archivos, además de no indicar si la búsqueda realizada comprendió los archivos físicos localizados en el archivo de trámite, así como </w:t>
      </w:r>
      <w:r w:rsidR="00DB3220" w:rsidRPr="008D0443">
        <w:rPr>
          <w:rFonts w:ascii="Palatino Linotype" w:eastAsia="Palatino Linotype" w:hAnsi="Palatino Linotype" w:cs="Palatino Linotype"/>
          <w:sz w:val="22"/>
          <w:szCs w:val="22"/>
        </w:rPr>
        <w:t xml:space="preserve">los archivos físicos y electrónicos </w:t>
      </w:r>
      <w:r w:rsidRPr="008D0443">
        <w:rPr>
          <w:rFonts w:ascii="Palatino Linotype" w:eastAsia="Palatino Linotype" w:hAnsi="Palatino Linotype" w:cs="Palatino Linotype"/>
          <w:sz w:val="22"/>
          <w:szCs w:val="22"/>
        </w:rPr>
        <w:t>en el archivo de concentración, a cargo de la Subdirección de Administración y Finanzas.</w:t>
      </w:r>
    </w:p>
    <w:p w14:paraId="7834F4EB" w14:textId="61D95614" w:rsidR="0065346D" w:rsidRPr="008D0443" w:rsidRDefault="0065346D" w:rsidP="0065346D">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Por otro lado</w:t>
      </w:r>
      <w:r w:rsidR="00DB3220" w:rsidRPr="008D0443">
        <w:rPr>
          <w:rFonts w:ascii="Palatino Linotype" w:eastAsia="Palatino Linotype" w:hAnsi="Palatino Linotype" w:cs="Palatino Linotype"/>
          <w:sz w:val="22"/>
          <w:szCs w:val="22"/>
        </w:rPr>
        <w:t xml:space="preserve">, </w:t>
      </w:r>
      <w:r w:rsidRPr="008D0443">
        <w:rPr>
          <w:rFonts w:ascii="Palatino Linotype" w:eastAsia="Palatino Linotype" w:hAnsi="Palatino Linotype" w:cs="Palatino Linotype"/>
          <w:sz w:val="22"/>
          <w:szCs w:val="22"/>
        </w:rPr>
        <w:t xml:space="preserve">si bien </w:t>
      </w:r>
      <w:r w:rsidR="00DB3220" w:rsidRPr="008D0443">
        <w:rPr>
          <w:rFonts w:ascii="Palatino Linotype" w:eastAsia="Palatino Linotype" w:hAnsi="Palatino Linotype" w:cs="Palatino Linotype"/>
          <w:sz w:val="22"/>
          <w:szCs w:val="22"/>
        </w:rPr>
        <w:t>es cierto que</w:t>
      </w:r>
      <w:r w:rsidRPr="008D0443">
        <w:rPr>
          <w:rFonts w:ascii="Palatino Linotype" w:eastAsia="Palatino Linotype" w:hAnsi="Palatino Linotype" w:cs="Palatino Linotype"/>
          <w:sz w:val="22"/>
          <w:szCs w:val="22"/>
        </w:rPr>
        <w:t xml:space="preserve"> en informe justificado </w:t>
      </w:r>
      <w:r w:rsidR="00DB3220" w:rsidRPr="008D0443">
        <w:rPr>
          <w:rFonts w:ascii="Palatino Linotype" w:eastAsia="Palatino Linotype" w:hAnsi="Palatino Linotype" w:cs="Palatino Linotype"/>
          <w:sz w:val="22"/>
          <w:szCs w:val="22"/>
        </w:rPr>
        <w:t xml:space="preserve">el </w:t>
      </w:r>
      <w:r w:rsidR="00DB3220" w:rsidRPr="008D0443">
        <w:rPr>
          <w:rFonts w:ascii="Palatino Linotype" w:eastAsia="Palatino Linotype" w:hAnsi="Palatino Linotype" w:cs="Palatino Linotype"/>
          <w:b/>
          <w:bCs/>
          <w:sz w:val="22"/>
          <w:szCs w:val="22"/>
        </w:rPr>
        <w:t xml:space="preserve">Sujeto Obligado </w:t>
      </w:r>
      <w:r w:rsidR="00DB3220" w:rsidRPr="008D0443">
        <w:rPr>
          <w:rFonts w:ascii="Palatino Linotype" w:eastAsia="Palatino Linotype" w:hAnsi="Palatino Linotype" w:cs="Palatino Linotype"/>
          <w:sz w:val="22"/>
          <w:szCs w:val="22"/>
        </w:rPr>
        <w:t xml:space="preserve">señaló </w:t>
      </w:r>
      <w:r w:rsidRPr="008D0443">
        <w:rPr>
          <w:rFonts w:ascii="Palatino Linotype" w:eastAsia="Palatino Linotype" w:hAnsi="Palatino Linotype" w:cs="Palatino Linotype"/>
          <w:sz w:val="22"/>
          <w:szCs w:val="22"/>
        </w:rPr>
        <w:t xml:space="preserve">que no existía negativa injustificada del acceso a la información, sino </w:t>
      </w:r>
      <w:r w:rsidRPr="008D0443">
        <w:rPr>
          <w:rFonts w:ascii="Palatino Linotype" w:eastAsia="Palatino Linotype" w:hAnsi="Palatino Linotype" w:cs="Palatino Linotype"/>
          <w:b/>
          <w:sz w:val="22"/>
          <w:szCs w:val="22"/>
        </w:rPr>
        <w:t>ausencia de la información solicitada</w:t>
      </w:r>
      <w:r w:rsidRPr="008D0443">
        <w:rPr>
          <w:rFonts w:ascii="Palatino Linotype" w:eastAsia="Palatino Linotype" w:hAnsi="Palatino Linotype" w:cs="Palatino Linotype"/>
          <w:sz w:val="22"/>
          <w:szCs w:val="22"/>
        </w:rPr>
        <w:t xml:space="preserve">, lo cual no implica la falta de cumplimiento, sino que, </w:t>
      </w:r>
      <w:r w:rsidRPr="008D0443">
        <w:rPr>
          <w:rFonts w:ascii="Palatino Linotype" w:eastAsia="Palatino Linotype" w:hAnsi="Palatino Linotype" w:cs="Palatino Linotype"/>
          <w:b/>
          <w:bCs/>
          <w:sz w:val="22"/>
          <w:szCs w:val="22"/>
          <w:u w:val="single"/>
        </w:rPr>
        <w:t>en ese año en específico, la administración que se encontraba en curso, no generó pólizas de cheques</w:t>
      </w:r>
      <w:r w:rsidRPr="008D0443">
        <w:rPr>
          <w:rFonts w:ascii="Palatino Linotype" w:eastAsia="Palatino Linotype" w:hAnsi="Palatino Linotype" w:cs="Palatino Linotype"/>
          <w:sz w:val="22"/>
          <w:szCs w:val="22"/>
        </w:rPr>
        <w:t xml:space="preserve">, </w:t>
      </w:r>
      <w:r w:rsidR="00DB3220" w:rsidRPr="008D0443">
        <w:rPr>
          <w:rFonts w:ascii="Palatino Linotype" w:eastAsia="Palatino Linotype" w:hAnsi="Palatino Linotype" w:cs="Palatino Linotype"/>
          <w:sz w:val="22"/>
          <w:szCs w:val="22"/>
        </w:rPr>
        <w:t>no pasa inadvertido que dicho pronunciamiento NO</w:t>
      </w:r>
      <w:r w:rsidRPr="008D0443">
        <w:rPr>
          <w:rFonts w:ascii="Palatino Linotype" w:eastAsia="Palatino Linotype" w:hAnsi="Palatino Linotype" w:cs="Palatino Linotype"/>
          <w:sz w:val="22"/>
          <w:szCs w:val="22"/>
        </w:rPr>
        <w:t xml:space="preserve"> fue emitido por el servidor público habilitado</w:t>
      </w:r>
      <w:r w:rsidR="00DB3220" w:rsidRPr="008D0443">
        <w:rPr>
          <w:rFonts w:ascii="Palatino Linotype" w:eastAsia="Palatino Linotype" w:hAnsi="Palatino Linotype" w:cs="Palatino Linotype"/>
          <w:sz w:val="22"/>
          <w:szCs w:val="22"/>
        </w:rPr>
        <w:t xml:space="preserve"> competente</w:t>
      </w:r>
      <w:r w:rsidRPr="008D0443">
        <w:rPr>
          <w:rFonts w:ascii="Palatino Linotype" w:eastAsia="Palatino Linotype" w:hAnsi="Palatino Linotype" w:cs="Palatino Linotype"/>
          <w:sz w:val="22"/>
          <w:szCs w:val="22"/>
        </w:rPr>
        <w:t>, sino por l</w:t>
      </w:r>
      <w:r w:rsidR="00DB3220" w:rsidRPr="008D0443">
        <w:rPr>
          <w:rFonts w:ascii="Palatino Linotype" w:eastAsia="Palatino Linotype" w:hAnsi="Palatino Linotype" w:cs="Palatino Linotype"/>
          <w:sz w:val="22"/>
          <w:szCs w:val="22"/>
        </w:rPr>
        <w:t>a</w:t>
      </w:r>
      <w:r w:rsidRPr="008D0443">
        <w:rPr>
          <w:rFonts w:ascii="Palatino Linotype" w:eastAsia="Palatino Linotype" w:hAnsi="Palatino Linotype" w:cs="Palatino Linotype"/>
          <w:sz w:val="22"/>
          <w:szCs w:val="22"/>
        </w:rPr>
        <w:t xml:space="preserve"> la Unidad de Transparencia</w:t>
      </w:r>
      <w:r w:rsidR="00DB3220" w:rsidRPr="008D0443">
        <w:rPr>
          <w:rFonts w:ascii="Palatino Linotype" w:eastAsia="Palatino Linotype" w:hAnsi="Palatino Linotype" w:cs="Palatino Linotype"/>
          <w:sz w:val="22"/>
          <w:szCs w:val="22"/>
        </w:rPr>
        <w:t>, razón por la cual no puede tenerse por valido.</w:t>
      </w:r>
      <w:r w:rsidRPr="008D0443">
        <w:rPr>
          <w:rFonts w:ascii="Palatino Linotype" w:eastAsia="Palatino Linotype" w:hAnsi="Palatino Linotype" w:cs="Palatino Linotype"/>
          <w:sz w:val="22"/>
          <w:szCs w:val="22"/>
        </w:rPr>
        <w:t xml:space="preserve"> </w:t>
      </w:r>
    </w:p>
    <w:p w14:paraId="7CF53EE7" w14:textId="77777777" w:rsidR="002D0127" w:rsidRPr="008D0443" w:rsidRDefault="00946B9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Bajo las consideraciones expuestas se estima necesario ordenar que previa búsqueda exhaustiva y razonable, se haga entrega de las pólizas de cheques correspondientes al ejercicio 2020, en versión pública de ser procedente, de conformidad con el considerando siguiente.</w:t>
      </w:r>
    </w:p>
    <w:p w14:paraId="677B1A3B" w14:textId="77777777" w:rsidR="002D0127" w:rsidRPr="008D0443" w:rsidRDefault="00946B94">
      <w:pPr>
        <w:spacing w:before="240" w:after="24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No obstante, si derivado de la búsqueda que se ordena no se llegara a localizar información por no haberse generado en el periodo referido,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78AA279E" w14:textId="77777777" w:rsidR="002D0127" w:rsidRPr="008D0443" w:rsidRDefault="00946B94">
      <w:pP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i/>
          <w:sz w:val="22"/>
          <w:szCs w:val="22"/>
        </w:rPr>
        <w:t>“</w:t>
      </w:r>
      <w:r w:rsidRPr="008D0443">
        <w:rPr>
          <w:rFonts w:ascii="Palatino Linotype" w:eastAsia="Palatino Linotype" w:hAnsi="Palatino Linotype" w:cs="Palatino Linotype"/>
          <w:b/>
          <w:i/>
          <w:sz w:val="22"/>
          <w:szCs w:val="22"/>
        </w:rPr>
        <w:t>Artículo 19</w:t>
      </w:r>
      <w:r w:rsidRPr="008D0443">
        <w:rPr>
          <w:rFonts w:ascii="Palatino Linotype" w:eastAsia="Palatino Linotype" w:hAnsi="Palatino Linotype" w:cs="Palatino Linotype"/>
          <w:i/>
          <w:sz w:val="22"/>
          <w:szCs w:val="22"/>
        </w:rPr>
        <w:t>…</w:t>
      </w:r>
    </w:p>
    <w:p w14:paraId="32BEBE9A" w14:textId="77777777" w:rsidR="002D0127" w:rsidRPr="008D0443" w:rsidRDefault="00946B94">
      <w:pP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5AA2EA7E" w14:textId="77777777" w:rsidR="002D0127" w:rsidRPr="008D0443" w:rsidRDefault="00946B9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D0443">
        <w:rPr>
          <w:rFonts w:ascii="Palatino Linotype" w:eastAsia="Palatino Linotype" w:hAnsi="Palatino Linotype" w:cs="Palatino Linotype"/>
        </w:rPr>
        <w:t xml:space="preserve">De lo hasta aquí expuesto, se concluye que los motivos de inconformidad de la parte </w:t>
      </w:r>
      <w:r w:rsidRPr="008D0443">
        <w:rPr>
          <w:rFonts w:ascii="Palatino Linotype" w:eastAsia="Palatino Linotype" w:hAnsi="Palatino Linotype" w:cs="Palatino Linotype"/>
          <w:b/>
        </w:rPr>
        <w:t xml:space="preserve">Recurrente </w:t>
      </w:r>
      <w:r w:rsidRPr="008D0443">
        <w:rPr>
          <w:rFonts w:ascii="Palatino Linotype" w:eastAsia="Palatino Linotype" w:hAnsi="Palatino Linotype" w:cs="Palatino Linotype"/>
        </w:rPr>
        <w:t xml:space="preserve">devienen fundados, siendo procedente </w:t>
      </w:r>
      <w:r w:rsidRPr="008D0443">
        <w:rPr>
          <w:rFonts w:ascii="Palatino Linotype" w:eastAsia="Palatino Linotype" w:hAnsi="Palatino Linotype" w:cs="Palatino Linotype"/>
          <w:i/>
        </w:rPr>
        <w:t xml:space="preserve">Revocar </w:t>
      </w:r>
      <w:r w:rsidRPr="008D0443">
        <w:rPr>
          <w:rFonts w:ascii="Palatino Linotype" w:eastAsia="Palatino Linotype" w:hAnsi="Palatino Linotype" w:cs="Palatino Linotype"/>
        </w:rPr>
        <w:t xml:space="preserve">la respuesta proporcionada por el </w:t>
      </w:r>
      <w:r w:rsidRPr="008D0443">
        <w:rPr>
          <w:rFonts w:ascii="Palatino Linotype" w:eastAsia="Palatino Linotype" w:hAnsi="Palatino Linotype" w:cs="Palatino Linotype"/>
          <w:b/>
        </w:rPr>
        <w:t xml:space="preserve">Sujeto Obligado </w:t>
      </w:r>
      <w:r w:rsidRPr="008D0443">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370AC7BB" w14:textId="77777777" w:rsidR="002D0127" w:rsidRPr="008D0443" w:rsidRDefault="00946B94">
      <w:pPr>
        <w:spacing w:before="240" w:after="240" w:line="360" w:lineRule="auto"/>
        <w:ind w:right="51"/>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b/>
          <w:sz w:val="22"/>
          <w:szCs w:val="22"/>
        </w:rPr>
        <w:t xml:space="preserve">Quinto. Versión Pública. </w:t>
      </w:r>
      <w:r w:rsidRPr="008D0443">
        <w:rPr>
          <w:rFonts w:ascii="Palatino Linotype" w:eastAsia="Palatino Linotype" w:hAnsi="Palatino Linotype" w:cs="Palatino Linotype"/>
          <w:sz w:val="22"/>
          <w:szCs w:val="22"/>
        </w:rPr>
        <w:t>Como fue debidamente apuntado, el </w:t>
      </w:r>
      <w:r w:rsidRPr="008D0443">
        <w:rPr>
          <w:rFonts w:ascii="Palatino Linotype" w:eastAsia="Palatino Linotype" w:hAnsi="Palatino Linotype" w:cs="Palatino Linotype"/>
          <w:b/>
          <w:sz w:val="22"/>
          <w:szCs w:val="22"/>
        </w:rPr>
        <w:t>Sujeto Obligado</w:t>
      </w:r>
      <w:r w:rsidRPr="008D0443">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339D1040" w14:textId="77777777" w:rsidR="002D0127" w:rsidRPr="008D0443" w:rsidRDefault="00946B94">
      <w:pPr>
        <w:spacing w:before="240" w:after="240" w:line="360" w:lineRule="auto"/>
        <w:ind w:right="49"/>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2B852D62" w14:textId="77777777" w:rsidR="002D0127" w:rsidRPr="008D0443" w:rsidRDefault="00946B94">
      <w:pPr>
        <w:spacing w:before="240" w:after="240" w:line="360" w:lineRule="auto"/>
        <w:ind w:right="49"/>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2F2AE30B" w14:textId="77777777" w:rsidR="002D0127" w:rsidRPr="008D0443" w:rsidRDefault="00946B94">
      <w:pPr>
        <w:spacing w:before="240" w:after="240" w:line="360" w:lineRule="auto"/>
        <w:ind w:right="49"/>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establecen:</w:t>
      </w:r>
    </w:p>
    <w:p w14:paraId="1B54D9B1" w14:textId="77777777" w:rsidR="002D0127" w:rsidRPr="008D0443" w:rsidRDefault="00946B94">
      <w:pP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sz w:val="22"/>
          <w:szCs w:val="22"/>
        </w:rPr>
        <w:t> </w:t>
      </w:r>
      <w:r w:rsidRPr="008D0443">
        <w:rPr>
          <w:rFonts w:ascii="Palatino Linotype" w:eastAsia="Palatino Linotype" w:hAnsi="Palatino Linotype" w:cs="Palatino Linotype"/>
          <w:i/>
          <w:sz w:val="22"/>
          <w:szCs w:val="22"/>
        </w:rPr>
        <w:t>“</w:t>
      </w:r>
      <w:r w:rsidRPr="008D0443">
        <w:rPr>
          <w:rFonts w:ascii="Palatino Linotype" w:eastAsia="Palatino Linotype" w:hAnsi="Palatino Linotype" w:cs="Palatino Linotype"/>
          <w:b/>
          <w:i/>
          <w:sz w:val="22"/>
          <w:szCs w:val="22"/>
        </w:rPr>
        <w:t>Artículo 3.</w:t>
      </w:r>
      <w:r w:rsidRPr="008D0443">
        <w:rPr>
          <w:rFonts w:ascii="Palatino Linotype" w:eastAsia="Palatino Linotype" w:hAnsi="Palatino Linotype" w:cs="Palatino Linotype"/>
          <w:i/>
          <w:sz w:val="22"/>
          <w:szCs w:val="22"/>
        </w:rPr>
        <w:t xml:space="preserve"> Para los efectos de la presente Ley se entenderá por:</w:t>
      </w:r>
    </w:p>
    <w:p w14:paraId="213013B9" w14:textId="77777777" w:rsidR="002D0127" w:rsidRPr="008D0443" w:rsidRDefault="00946B94">
      <w:pPr>
        <w:tabs>
          <w:tab w:val="left" w:pos="1276"/>
        </w:tabs>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i/>
          <w:sz w:val="22"/>
          <w:szCs w:val="22"/>
        </w:rPr>
        <w:t>…</w:t>
      </w:r>
    </w:p>
    <w:p w14:paraId="4C71716E" w14:textId="77777777" w:rsidR="002D0127" w:rsidRPr="008D0443" w:rsidRDefault="00946B94">
      <w:pPr>
        <w:tabs>
          <w:tab w:val="left" w:pos="1276"/>
        </w:tabs>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IX. Datos personales</w:t>
      </w:r>
      <w:r w:rsidRPr="008D0443">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37195EE8" w14:textId="77777777" w:rsidR="002D0127" w:rsidRPr="008D0443" w:rsidRDefault="00946B94">
      <w:pPr>
        <w:tabs>
          <w:tab w:val="left" w:pos="1276"/>
        </w:tabs>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i/>
          <w:sz w:val="22"/>
          <w:szCs w:val="22"/>
        </w:rPr>
        <w:t>…</w:t>
      </w:r>
    </w:p>
    <w:p w14:paraId="635AAADE" w14:textId="77777777" w:rsidR="002D0127" w:rsidRPr="008D0443" w:rsidRDefault="00946B94">
      <w:pPr>
        <w:tabs>
          <w:tab w:val="left" w:pos="1276"/>
        </w:tabs>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XX. Información clasificada</w:t>
      </w:r>
      <w:r w:rsidRPr="008D0443">
        <w:rPr>
          <w:rFonts w:ascii="Palatino Linotype" w:eastAsia="Palatino Linotype" w:hAnsi="Palatino Linotype" w:cs="Palatino Linotype"/>
          <w:i/>
          <w:sz w:val="22"/>
          <w:szCs w:val="22"/>
        </w:rPr>
        <w:t>: Aquella considerada por la presente Ley como reservada o confidencial;</w:t>
      </w:r>
    </w:p>
    <w:p w14:paraId="2859F685" w14:textId="77777777" w:rsidR="002D0127" w:rsidRPr="008D0443" w:rsidRDefault="00946B94">
      <w:pPr>
        <w:tabs>
          <w:tab w:val="left" w:pos="1276"/>
        </w:tabs>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XXI. Información confidencial</w:t>
      </w:r>
      <w:r w:rsidRPr="008D0443">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E530710" w14:textId="77777777" w:rsidR="002D0127" w:rsidRPr="008D0443" w:rsidRDefault="00946B94">
      <w:pPr>
        <w:tabs>
          <w:tab w:val="left" w:pos="1276"/>
        </w:tabs>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i/>
          <w:sz w:val="22"/>
          <w:szCs w:val="22"/>
        </w:rPr>
        <w:t>…</w:t>
      </w:r>
    </w:p>
    <w:p w14:paraId="7242B3DF" w14:textId="77777777" w:rsidR="002D0127" w:rsidRPr="008D0443" w:rsidRDefault="00946B94">
      <w:pPr>
        <w:tabs>
          <w:tab w:val="left" w:pos="1276"/>
        </w:tabs>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XXXII. Protección de Datos Personales</w:t>
      </w:r>
      <w:r w:rsidRPr="008D0443">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03FB61A9" w14:textId="77777777" w:rsidR="002D0127" w:rsidRPr="008D0443" w:rsidRDefault="00946B94">
      <w:pPr>
        <w:tabs>
          <w:tab w:val="left" w:pos="1276"/>
        </w:tabs>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i/>
          <w:sz w:val="22"/>
          <w:szCs w:val="22"/>
        </w:rPr>
        <w:t>…</w:t>
      </w:r>
    </w:p>
    <w:p w14:paraId="5DDE3662" w14:textId="77777777" w:rsidR="002D0127" w:rsidRPr="008D0443" w:rsidRDefault="00946B94">
      <w:pPr>
        <w:tabs>
          <w:tab w:val="left" w:pos="1276"/>
        </w:tabs>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XLV. Versión pública</w:t>
      </w:r>
      <w:r w:rsidRPr="008D0443">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30D92AF7" w14:textId="77777777" w:rsidR="002D0127" w:rsidRPr="008D0443" w:rsidRDefault="00946B94">
      <w:pP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 Artículo 6</w:t>
      </w:r>
      <w:r w:rsidRPr="008D0443">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65205A6" w14:textId="77777777" w:rsidR="002D0127" w:rsidRPr="008D0443" w:rsidRDefault="00946B94">
      <w:pP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i/>
          <w:sz w:val="22"/>
          <w:szCs w:val="22"/>
        </w:rPr>
        <w:t>…</w:t>
      </w:r>
    </w:p>
    <w:p w14:paraId="63AF6275" w14:textId="77777777" w:rsidR="002D0127" w:rsidRPr="008D0443" w:rsidRDefault="00946B94">
      <w:pP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Artículo 91.</w:t>
      </w:r>
      <w:r w:rsidRPr="008D0443">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8D0443">
        <w:rPr>
          <w:rFonts w:ascii="Palatino Linotype" w:eastAsia="Palatino Linotype" w:hAnsi="Palatino Linotype" w:cs="Palatino Linotype"/>
          <w:i/>
          <w:sz w:val="22"/>
          <w:szCs w:val="22"/>
        </w:rPr>
        <w:br/>
        <w:t>…</w:t>
      </w:r>
    </w:p>
    <w:p w14:paraId="5A610256" w14:textId="77777777" w:rsidR="002D0127" w:rsidRPr="008D0443" w:rsidRDefault="00946B94">
      <w:pP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Artículo 132.</w:t>
      </w:r>
      <w:r w:rsidRPr="008D0443">
        <w:rPr>
          <w:rFonts w:ascii="Palatino Linotype" w:eastAsia="Palatino Linotype" w:hAnsi="Palatino Linotype" w:cs="Palatino Linotype"/>
          <w:i/>
          <w:sz w:val="22"/>
          <w:szCs w:val="22"/>
        </w:rPr>
        <w:t xml:space="preserve"> La clasificación de la información se llevará a cabo en el momento en que:</w:t>
      </w:r>
    </w:p>
    <w:p w14:paraId="56A3834B" w14:textId="77777777" w:rsidR="002D0127" w:rsidRPr="008D0443" w:rsidRDefault="00946B94">
      <w:pP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I</w:t>
      </w:r>
      <w:r w:rsidRPr="008D0443">
        <w:rPr>
          <w:rFonts w:ascii="Palatino Linotype" w:eastAsia="Palatino Linotype" w:hAnsi="Palatino Linotype" w:cs="Palatino Linotype"/>
          <w:i/>
          <w:sz w:val="22"/>
          <w:szCs w:val="22"/>
        </w:rPr>
        <w:t>. Se reciba una solicitud de acceso a la información;</w:t>
      </w:r>
    </w:p>
    <w:p w14:paraId="59F0BD38" w14:textId="77777777" w:rsidR="002D0127" w:rsidRPr="008D0443" w:rsidRDefault="00946B94">
      <w:pP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II.</w:t>
      </w:r>
      <w:r w:rsidRPr="008D0443">
        <w:rPr>
          <w:rFonts w:ascii="Palatino Linotype" w:eastAsia="Palatino Linotype" w:hAnsi="Palatino Linotype" w:cs="Palatino Linotype"/>
          <w:i/>
          <w:sz w:val="22"/>
          <w:szCs w:val="22"/>
        </w:rPr>
        <w:t xml:space="preserve"> Se determine mediante resolución de autoridad competente; o</w:t>
      </w:r>
    </w:p>
    <w:p w14:paraId="0397F98B" w14:textId="77777777" w:rsidR="002D0127" w:rsidRPr="008D0443" w:rsidRDefault="00946B94">
      <w:pP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III.</w:t>
      </w:r>
      <w:r w:rsidRPr="008D0443">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784D080F" w14:textId="77777777" w:rsidR="002D0127" w:rsidRPr="008D0443" w:rsidRDefault="00946B94">
      <w:pP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w:t>
      </w:r>
    </w:p>
    <w:p w14:paraId="3E3B1AFD" w14:textId="77777777" w:rsidR="002D0127" w:rsidRPr="008D0443" w:rsidRDefault="00946B94">
      <w:pP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Artículo 137.</w:t>
      </w:r>
      <w:r w:rsidRPr="008D0443">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C873958" w14:textId="77777777" w:rsidR="002D0127" w:rsidRPr="008D0443" w:rsidRDefault="00946B94">
      <w:pP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 Artículo 143.</w:t>
      </w:r>
      <w:r w:rsidRPr="008D0443">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6AAFD236" w14:textId="77777777" w:rsidR="002D0127" w:rsidRPr="008D0443" w:rsidRDefault="00946B94">
      <w:pP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I.</w:t>
      </w:r>
      <w:r w:rsidRPr="008D0443">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76205B86" w14:textId="77777777" w:rsidR="002D0127" w:rsidRPr="008D0443" w:rsidRDefault="00946B94">
      <w:pPr>
        <w:spacing w:before="240" w:after="240" w:line="360" w:lineRule="auto"/>
        <w:ind w:right="50"/>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8D0443">
        <w:rPr>
          <w:rFonts w:ascii="Palatino Linotype" w:eastAsia="Palatino Linotype" w:hAnsi="Palatino Linotype" w:cs="Palatino Linotype"/>
          <w:b/>
          <w:sz w:val="22"/>
          <w:szCs w:val="22"/>
        </w:rPr>
        <w:t>Sujeto Obligado</w:t>
      </w:r>
      <w:r w:rsidRPr="008D0443">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526411D3" w14:textId="77777777" w:rsidR="002D0127" w:rsidRPr="008D0443" w:rsidRDefault="00946B94">
      <w:pPr>
        <w:spacing w:before="240" w:after="240" w:line="360" w:lineRule="auto"/>
        <w:ind w:right="50"/>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40CA617" w14:textId="77777777" w:rsidR="002D0127" w:rsidRPr="008D0443" w:rsidRDefault="00946B94">
      <w:pPr>
        <w:spacing w:before="240" w:after="24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De esta manera, la información que se ordena pudiera contener, entre otros datos, información de los predios colindantes, es decir, de los predios contiguos o que limitan con determinado bien inmueble; como lo es de manera enunciativa, más no limitativa, el nombre de los propietarios.</w:t>
      </w:r>
    </w:p>
    <w:p w14:paraId="544CA369" w14:textId="77777777" w:rsidR="002D0127" w:rsidRPr="008D0443" w:rsidRDefault="00946B94">
      <w:pPr>
        <w:spacing w:before="240" w:after="24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En tal sentido, para el caso de que los documentos mediante los cuales se dará cumplimiento a la presente resolución contengan el nombre de personas físicas identificadas o identificables, en su carácter de propietarias de predios colindantes con bienes inmuebles de las instituciones públicas, así como de los bienes de dominio público, dicho dato deberá ser clasificado como confidencial.</w:t>
      </w:r>
    </w:p>
    <w:p w14:paraId="1B25D1EE" w14:textId="77777777" w:rsidR="002D0127" w:rsidRPr="008D0443" w:rsidRDefault="00946B94">
      <w:pPr>
        <w:spacing w:before="240" w:after="24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Al respecto, es conveniente señalar que el nombre de una persona física, al ser uno de los atributos de la personalidad y la manifestación principal del derecho subjetivo a la identidad, es un dato personal que, por regla general, debe considerarse como un dato confidencial en términos del artículo 143, fracción I de la Ley de Transparencia y Acceso a la Información Pública del Estado de México y Municipios, cuando esta no se desempeña en la función pública, o bien, no celebra actos en el ámbito del derecho público, ya que por sí solo es un dato que identifica a su titular o lo hace identificable, por lo que con su publicidad se vulneraría su ámbito de privacidad.</w:t>
      </w:r>
    </w:p>
    <w:p w14:paraId="14F368B0" w14:textId="77777777" w:rsidR="002D0127" w:rsidRPr="008D0443" w:rsidRDefault="00946B94">
      <w:pPr>
        <w:spacing w:before="240" w:after="24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Asimismo, cabe señalar que las medidas y colindancias de los bienes inmuebles, en sí, no corren la misma suerte que el nombre de sus propietarios, toda vez que la finalidad de dichos datos, basados generalmente en los puntos cardinales, consiste únicamente en delimitar el área de determinado predio, esto es, su extensión y límites o linderos, respecto de los predios contiguos o adyacentes al mismo, por lo que no son propiamente datos personales susceptibles de ser clasificados de conformidad con las leyes de la materia.</w:t>
      </w:r>
    </w:p>
    <w:p w14:paraId="5903D784" w14:textId="77777777" w:rsidR="002D0127" w:rsidRPr="008D0443" w:rsidRDefault="00946B94">
      <w:pPr>
        <w:spacing w:before="240" w:after="240" w:line="360" w:lineRule="auto"/>
        <w:ind w:right="50"/>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036FC9E9" w14:textId="77777777" w:rsidR="002D0127" w:rsidRPr="008D0443" w:rsidRDefault="00946B94">
      <w:pP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“Artículo 49.</w:t>
      </w:r>
      <w:r w:rsidRPr="008D0443">
        <w:rPr>
          <w:rFonts w:ascii="Palatino Linotype" w:eastAsia="Palatino Linotype" w:hAnsi="Palatino Linotype" w:cs="Palatino Linotype"/>
          <w:i/>
          <w:sz w:val="22"/>
          <w:szCs w:val="22"/>
        </w:rPr>
        <w:t xml:space="preserve"> </w:t>
      </w:r>
      <w:r w:rsidRPr="008D0443">
        <w:rPr>
          <w:rFonts w:ascii="Palatino Linotype" w:eastAsia="Palatino Linotype" w:hAnsi="Palatino Linotype" w:cs="Palatino Linotype"/>
          <w:b/>
          <w:i/>
          <w:sz w:val="22"/>
          <w:szCs w:val="22"/>
        </w:rPr>
        <w:t>Los Comités de Transparencia</w:t>
      </w:r>
      <w:r w:rsidRPr="008D0443">
        <w:rPr>
          <w:rFonts w:ascii="Palatino Linotype" w:eastAsia="Palatino Linotype" w:hAnsi="Palatino Linotype" w:cs="Palatino Linotype"/>
          <w:i/>
          <w:sz w:val="22"/>
          <w:szCs w:val="22"/>
        </w:rPr>
        <w:t xml:space="preserve"> tendrán las siguientes atribuciones:</w:t>
      </w:r>
    </w:p>
    <w:p w14:paraId="72A192C8" w14:textId="77777777" w:rsidR="002D0127" w:rsidRPr="008D0443" w:rsidRDefault="00946B94">
      <w:pP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VIII. Aprobar, modificar o revocar la clasificación de la información</w:t>
      </w:r>
      <w:r w:rsidRPr="008D0443">
        <w:rPr>
          <w:rFonts w:ascii="Palatino Linotype" w:eastAsia="Palatino Linotype" w:hAnsi="Palatino Linotype" w:cs="Palatino Linotype"/>
          <w:i/>
          <w:sz w:val="22"/>
          <w:szCs w:val="22"/>
        </w:rPr>
        <w:t>…”</w:t>
      </w:r>
    </w:p>
    <w:p w14:paraId="3B890A21" w14:textId="77777777" w:rsidR="002D0127" w:rsidRPr="008D0443" w:rsidRDefault="00946B94">
      <w:pP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i/>
          <w:sz w:val="22"/>
          <w:szCs w:val="22"/>
        </w:rPr>
        <w:t>“</w:t>
      </w:r>
      <w:r w:rsidRPr="008D0443">
        <w:rPr>
          <w:rFonts w:ascii="Palatino Linotype" w:eastAsia="Palatino Linotype" w:hAnsi="Palatino Linotype" w:cs="Palatino Linotype"/>
          <w:b/>
          <w:i/>
          <w:sz w:val="22"/>
          <w:szCs w:val="22"/>
        </w:rPr>
        <w:t>Artículo 53.</w:t>
      </w:r>
      <w:r w:rsidRPr="008D0443">
        <w:rPr>
          <w:rFonts w:ascii="Palatino Linotype" w:eastAsia="Palatino Linotype" w:hAnsi="Palatino Linotype" w:cs="Palatino Linotype"/>
          <w:i/>
          <w:sz w:val="22"/>
          <w:szCs w:val="22"/>
        </w:rPr>
        <w:t xml:space="preserve"> Las </w:t>
      </w:r>
      <w:r w:rsidRPr="008D0443">
        <w:rPr>
          <w:rFonts w:ascii="Palatino Linotype" w:eastAsia="Palatino Linotype" w:hAnsi="Palatino Linotype" w:cs="Palatino Linotype"/>
          <w:b/>
          <w:i/>
          <w:sz w:val="22"/>
          <w:szCs w:val="22"/>
        </w:rPr>
        <w:t>Unidades de Transparencia</w:t>
      </w:r>
      <w:r w:rsidRPr="008D0443">
        <w:rPr>
          <w:rFonts w:ascii="Palatino Linotype" w:eastAsia="Palatino Linotype" w:hAnsi="Palatino Linotype" w:cs="Palatino Linotype"/>
          <w:i/>
          <w:sz w:val="22"/>
          <w:szCs w:val="22"/>
        </w:rPr>
        <w:t xml:space="preserve"> tendrán las siguientes </w:t>
      </w:r>
      <w:r w:rsidRPr="008D0443">
        <w:rPr>
          <w:rFonts w:ascii="Palatino Linotype" w:eastAsia="Palatino Linotype" w:hAnsi="Palatino Linotype" w:cs="Palatino Linotype"/>
          <w:b/>
          <w:i/>
          <w:sz w:val="22"/>
          <w:szCs w:val="22"/>
        </w:rPr>
        <w:t>funciones</w:t>
      </w:r>
      <w:r w:rsidRPr="008D0443">
        <w:rPr>
          <w:rFonts w:ascii="Palatino Linotype" w:eastAsia="Palatino Linotype" w:hAnsi="Palatino Linotype" w:cs="Palatino Linotype"/>
          <w:i/>
          <w:sz w:val="22"/>
          <w:szCs w:val="22"/>
        </w:rPr>
        <w:t>:</w:t>
      </w:r>
    </w:p>
    <w:p w14:paraId="1356570D" w14:textId="77777777" w:rsidR="002D0127" w:rsidRPr="008D0443" w:rsidRDefault="00946B94">
      <w:pP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X. Presentar ante el Comité, el proyecto de clasificación de información</w:t>
      </w:r>
      <w:r w:rsidRPr="008D0443">
        <w:rPr>
          <w:rFonts w:ascii="Palatino Linotype" w:eastAsia="Palatino Linotype" w:hAnsi="Palatino Linotype" w:cs="Palatino Linotype"/>
          <w:i/>
          <w:sz w:val="22"/>
          <w:szCs w:val="22"/>
        </w:rPr>
        <w:t xml:space="preserve">…” </w:t>
      </w:r>
    </w:p>
    <w:p w14:paraId="72565700" w14:textId="77777777" w:rsidR="002D0127" w:rsidRPr="008D0443" w:rsidRDefault="00946B94">
      <w:pP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“Artículo 59.</w:t>
      </w:r>
      <w:r w:rsidRPr="008D0443">
        <w:rPr>
          <w:rFonts w:ascii="Palatino Linotype" w:eastAsia="Palatino Linotype" w:hAnsi="Palatino Linotype" w:cs="Palatino Linotype"/>
          <w:i/>
          <w:sz w:val="22"/>
          <w:szCs w:val="22"/>
        </w:rPr>
        <w:t xml:space="preserve"> Los </w:t>
      </w:r>
      <w:r w:rsidRPr="008D0443">
        <w:rPr>
          <w:rFonts w:ascii="Palatino Linotype" w:eastAsia="Palatino Linotype" w:hAnsi="Palatino Linotype" w:cs="Palatino Linotype"/>
          <w:b/>
          <w:i/>
          <w:sz w:val="22"/>
          <w:szCs w:val="22"/>
        </w:rPr>
        <w:t>servidores públicos habilitados</w:t>
      </w:r>
      <w:r w:rsidRPr="008D0443">
        <w:rPr>
          <w:rFonts w:ascii="Palatino Linotype" w:eastAsia="Palatino Linotype" w:hAnsi="Palatino Linotype" w:cs="Palatino Linotype"/>
          <w:i/>
          <w:sz w:val="22"/>
          <w:szCs w:val="22"/>
        </w:rPr>
        <w:t xml:space="preserve"> tendrán las </w:t>
      </w:r>
      <w:r w:rsidRPr="008D0443">
        <w:rPr>
          <w:rFonts w:ascii="Palatino Linotype" w:eastAsia="Palatino Linotype" w:hAnsi="Palatino Linotype" w:cs="Palatino Linotype"/>
          <w:b/>
          <w:i/>
          <w:sz w:val="22"/>
          <w:szCs w:val="22"/>
        </w:rPr>
        <w:t>funciones</w:t>
      </w:r>
      <w:r w:rsidRPr="008D0443">
        <w:rPr>
          <w:rFonts w:ascii="Palatino Linotype" w:eastAsia="Palatino Linotype" w:hAnsi="Palatino Linotype" w:cs="Palatino Linotype"/>
          <w:i/>
          <w:sz w:val="22"/>
          <w:szCs w:val="22"/>
        </w:rPr>
        <w:t xml:space="preserve"> siguientes:</w:t>
      </w:r>
    </w:p>
    <w:p w14:paraId="75548D90" w14:textId="77777777" w:rsidR="002D0127" w:rsidRPr="008D0443" w:rsidRDefault="00946B94">
      <w:pP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8D0443">
        <w:rPr>
          <w:rFonts w:ascii="Palatino Linotype" w:eastAsia="Palatino Linotype" w:hAnsi="Palatino Linotype" w:cs="Palatino Linotype"/>
          <w:i/>
          <w:sz w:val="22"/>
          <w:szCs w:val="22"/>
        </w:rPr>
        <w:t>, la cual tendrá los fundamentos y argumentos en que se basa dicha propuesta…”</w:t>
      </w:r>
    </w:p>
    <w:p w14:paraId="47C7C32D" w14:textId="77777777" w:rsidR="002D0127" w:rsidRPr="008D0443" w:rsidRDefault="00946B94">
      <w:pPr>
        <w:spacing w:before="240" w:after="24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597648C" w14:textId="77777777" w:rsidR="002D0127" w:rsidRPr="008D0443" w:rsidRDefault="00946B94">
      <w:pPr>
        <w:spacing w:before="240" w:after="24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2BF9287A" w14:textId="77777777" w:rsidR="002D0127" w:rsidRPr="008D0443" w:rsidRDefault="00946B94">
      <w:pP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i/>
          <w:sz w:val="22"/>
          <w:szCs w:val="22"/>
        </w:rPr>
        <w:t>“</w:t>
      </w:r>
      <w:r w:rsidRPr="008D0443">
        <w:rPr>
          <w:rFonts w:ascii="Palatino Linotype" w:eastAsia="Palatino Linotype" w:hAnsi="Palatino Linotype" w:cs="Palatino Linotype"/>
          <w:b/>
          <w:i/>
          <w:sz w:val="22"/>
          <w:szCs w:val="22"/>
        </w:rPr>
        <w:t>Artículo 149.</w:t>
      </w:r>
      <w:r w:rsidRPr="008D0443">
        <w:rPr>
          <w:rFonts w:ascii="Palatino Linotype" w:eastAsia="Palatino Linotype" w:hAnsi="Palatino Linotype" w:cs="Palatino Linotype"/>
          <w:i/>
          <w:sz w:val="22"/>
          <w:szCs w:val="22"/>
        </w:rPr>
        <w:t xml:space="preserve"> El </w:t>
      </w:r>
      <w:r w:rsidRPr="008D0443">
        <w:rPr>
          <w:rFonts w:ascii="Palatino Linotype" w:eastAsia="Palatino Linotype" w:hAnsi="Palatino Linotype" w:cs="Palatino Linotype"/>
          <w:b/>
          <w:i/>
          <w:sz w:val="22"/>
          <w:szCs w:val="22"/>
        </w:rPr>
        <w:t>acuerdo que clasifique la información como confidencial</w:t>
      </w:r>
      <w:r w:rsidRPr="008D0443">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10928D17" w14:textId="77777777" w:rsidR="002D0127" w:rsidRPr="008D0443" w:rsidRDefault="00946B94">
      <w:pPr>
        <w:spacing w:before="240" w:after="240" w:line="360" w:lineRule="auto"/>
        <w:ind w:right="51"/>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 xml:space="preserve">Es decir, el </w:t>
      </w:r>
      <w:r w:rsidRPr="008D0443">
        <w:rPr>
          <w:rFonts w:ascii="Palatino Linotype" w:eastAsia="Palatino Linotype" w:hAnsi="Palatino Linotype" w:cs="Palatino Linotype"/>
          <w:b/>
          <w:sz w:val="22"/>
          <w:szCs w:val="22"/>
        </w:rPr>
        <w:t>Sujeto Obligado</w:t>
      </w:r>
      <w:r w:rsidRPr="008D0443">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613B6ABE" w14:textId="77777777" w:rsidR="002D0127" w:rsidRPr="008D0443" w:rsidRDefault="00946B94">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8D0443">
        <w:rPr>
          <w:rFonts w:ascii="Palatino Linotype" w:eastAsia="Palatino Linotype" w:hAnsi="Palatino Linotype" w:cs="Palatino Linotype"/>
          <w:b/>
          <w:sz w:val="22"/>
          <w:szCs w:val="22"/>
        </w:rPr>
        <w:t>Sujeto Obligado</w:t>
      </w:r>
      <w:r w:rsidRPr="008D0443">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3F7AEE7D" w14:textId="77777777" w:rsidR="002D0127" w:rsidRPr="008D0443" w:rsidRDefault="00946B94">
      <w:pP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 xml:space="preserve"> “Quincuagésimo. </w:t>
      </w:r>
      <w:r w:rsidRPr="008D0443">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6A1C07BA" w14:textId="77777777" w:rsidR="002D0127" w:rsidRPr="008D0443" w:rsidRDefault="00946B9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 xml:space="preserve">Quincuagésimo primero. </w:t>
      </w:r>
      <w:r w:rsidRPr="008D0443">
        <w:rPr>
          <w:rFonts w:ascii="Palatino Linotype" w:eastAsia="Palatino Linotype" w:hAnsi="Palatino Linotype" w:cs="Palatino Linotype"/>
          <w:i/>
          <w:sz w:val="22"/>
          <w:szCs w:val="22"/>
        </w:rPr>
        <w:t xml:space="preserve">Toda acta del Comité de Transparencia deberá contener: </w:t>
      </w:r>
    </w:p>
    <w:p w14:paraId="50614E00" w14:textId="77777777" w:rsidR="002D0127" w:rsidRPr="008D0443" w:rsidRDefault="00946B9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I.</w:t>
      </w:r>
      <w:r w:rsidRPr="008D0443">
        <w:rPr>
          <w:rFonts w:ascii="Palatino Linotype" w:eastAsia="Palatino Linotype" w:hAnsi="Palatino Linotype" w:cs="Palatino Linotype"/>
          <w:i/>
          <w:sz w:val="22"/>
          <w:szCs w:val="22"/>
        </w:rPr>
        <w:t xml:space="preserve"> El número de sesión y fecha; </w:t>
      </w:r>
    </w:p>
    <w:p w14:paraId="3FFA3143" w14:textId="77777777" w:rsidR="002D0127" w:rsidRPr="008D0443" w:rsidRDefault="00946B9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II</w:t>
      </w:r>
      <w:r w:rsidRPr="008D0443">
        <w:rPr>
          <w:rFonts w:ascii="Palatino Linotype" w:eastAsia="Palatino Linotype" w:hAnsi="Palatino Linotype" w:cs="Palatino Linotype"/>
          <w:i/>
          <w:sz w:val="22"/>
          <w:szCs w:val="22"/>
        </w:rPr>
        <w:t xml:space="preserve">. El nombre del área que solicitó la clasificación de información; </w:t>
      </w:r>
    </w:p>
    <w:p w14:paraId="7C40BA51" w14:textId="77777777" w:rsidR="002D0127" w:rsidRPr="008D0443" w:rsidRDefault="00946B9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III</w:t>
      </w:r>
      <w:r w:rsidRPr="008D0443">
        <w:rPr>
          <w:rFonts w:ascii="Palatino Linotype" w:eastAsia="Palatino Linotype" w:hAnsi="Palatino Linotype" w:cs="Palatino Linotype"/>
          <w:i/>
          <w:sz w:val="22"/>
          <w:szCs w:val="22"/>
        </w:rPr>
        <w:t xml:space="preserve">. La fundamentación legal y motivación correspondiente; </w:t>
      </w:r>
    </w:p>
    <w:p w14:paraId="5A38B39B" w14:textId="77777777" w:rsidR="002D0127" w:rsidRPr="008D0443" w:rsidRDefault="00946B9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IV</w:t>
      </w:r>
      <w:r w:rsidRPr="008D0443">
        <w:rPr>
          <w:rFonts w:ascii="Palatino Linotype" w:eastAsia="Palatino Linotype" w:hAnsi="Palatino Linotype" w:cs="Palatino Linotype"/>
          <w:i/>
          <w:sz w:val="22"/>
          <w:szCs w:val="22"/>
        </w:rPr>
        <w:t xml:space="preserve">. La resolución o resoluciones aprobadas; y </w:t>
      </w:r>
    </w:p>
    <w:p w14:paraId="4C4F16A7" w14:textId="77777777" w:rsidR="002D0127" w:rsidRPr="008D0443" w:rsidRDefault="00946B9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V</w:t>
      </w:r>
      <w:r w:rsidRPr="008D0443">
        <w:rPr>
          <w:rFonts w:ascii="Palatino Linotype" w:eastAsia="Palatino Linotype" w:hAnsi="Palatino Linotype" w:cs="Palatino Linotype"/>
          <w:i/>
          <w:sz w:val="22"/>
          <w:szCs w:val="22"/>
        </w:rPr>
        <w:t xml:space="preserve">. La rúbrica o firma digital de cada integrante del Comité de Transparencia. </w:t>
      </w:r>
    </w:p>
    <w:p w14:paraId="1124DA3D" w14:textId="77777777" w:rsidR="002D0127" w:rsidRPr="008D0443" w:rsidRDefault="00946B9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4DD51A45" w14:textId="77777777" w:rsidR="002D0127" w:rsidRPr="008D0443" w:rsidRDefault="00946B9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I.</w:t>
      </w:r>
      <w:r w:rsidRPr="008D0443">
        <w:rPr>
          <w:rFonts w:ascii="Palatino Linotype" w:eastAsia="Palatino Linotype" w:hAnsi="Palatino Linotype" w:cs="Palatino Linotype"/>
          <w:i/>
          <w:sz w:val="22"/>
          <w:szCs w:val="22"/>
        </w:rPr>
        <w:t xml:space="preserve"> Los motivos y razonamientos que sustenten la confirmación o modificación de la prueba de daño;</w:t>
      </w:r>
    </w:p>
    <w:p w14:paraId="035DA72E" w14:textId="77777777" w:rsidR="002D0127" w:rsidRPr="008D0443" w:rsidRDefault="00946B94">
      <w:pPr>
        <w:pBdr>
          <w:top w:val="nil"/>
          <w:left w:val="nil"/>
          <w:bottom w:val="nil"/>
          <w:right w:val="nil"/>
          <w:between w:val="nil"/>
        </w:pBdr>
        <w:spacing w:before="120" w:after="120"/>
        <w:ind w:left="851" w:right="902"/>
        <w:jc w:val="both"/>
        <w:rPr>
          <w:rFonts w:ascii="Palatino Linotype" w:eastAsia="Palatino Linotype" w:hAnsi="Palatino Linotype" w:cs="Palatino Linotype"/>
          <w:b/>
          <w:i/>
          <w:sz w:val="22"/>
          <w:szCs w:val="22"/>
        </w:rPr>
      </w:pPr>
      <w:r w:rsidRPr="008D0443">
        <w:rPr>
          <w:rFonts w:ascii="Palatino Linotype" w:eastAsia="Palatino Linotype" w:hAnsi="Palatino Linotype" w:cs="Palatino Linotype"/>
          <w:b/>
          <w:i/>
          <w:sz w:val="22"/>
          <w:szCs w:val="22"/>
        </w:rPr>
        <w:t>II</w:t>
      </w:r>
      <w:r w:rsidRPr="008D0443">
        <w:rPr>
          <w:rFonts w:ascii="Palatino Linotype" w:eastAsia="Palatino Linotype" w:hAnsi="Palatino Linotype" w:cs="Palatino Linotype"/>
          <w:i/>
          <w:sz w:val="22"/>
          <w:szCs w:val="22"/>
        </w:rPr>
        <w:t>. Descripción de las partes o secciones reservadas, en caso de clasificación parcial</w:t>
      </w:r>
      <w:r w:rsidRPr="008D0443">
        <w:rPr>
          <w:rFonts w:ascii="Palatino Linotype" w:eastAsia="Palatino Linotype" w:hAnsi="Palatino Linotype" w:cs="Palatino Linotype"/>
          <w:b/>
          <w:i/>
          <w:sz w:val="22"/>
          <w:szCs w:val="22"/>
        </w:rPr>
        <w:t xml:space="preserve">; </w:t>
      </w:r>
    </w:p>
    <w:p w14:paraId="3AE34895" w14:textId="77777777" w:rsidR="002D0127" w:rsidRPr="008D0443" w:rsidRDefault="00946B9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III.</w:t>
      </w:r>
      <w:r w:rsidRPr="008D0443">
        <w:rPr>
          <w:rFonts w:ascii="Palatino Linotype" w:eastAsia="Palatino Linotype" w:hAnsi="Palatino Linotype" w:cs="Palatino Linotype"/>
          <w:i/>
          <w:sz w:val="22"/>
          <w:szCs w:val="22"/>
        </w:rPr>
        <w:t xml:space="preserve"> El periodo por el que mantendrá su clasificación y fecha de expiración; y </w:t>
      </w:r>
    </w:p>
    <w:p w14:paraId="3C6450CC" w14:textId="77777777" w:rsidR="002D0127" w:rsidRPr="008D0443" w:rsidRDefault="00946B9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IV.</w:t>
      </w:r>
      <w:r w:rsidRPr="008D0443">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6F7C85B0" w14:textId="77777777" w:rsidR="002D0127" w:rsidRPr="008D0443" w:rsidRDefault="00946B9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17219A24" w14:textId="77777777" w:rsidR="002D0127" w:rsidRPr="008D0443" w:rsidRDefault="00946B9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7F230B73" w14:textId="77777777" w:rsidR="002D0127" w:rsidRPr="008D0443" w:rsidRDefault="00946B94">
      <w:pPr>
        <w:spacing w:before="240" w:after="24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Asimismo, 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7E7B39B4" w14:textId="77777777" w:rsidR="002D0127" w:rsidRPr="008D0443" w:rsidRDefault="00946B94">
      <w:pPr>
        <w:spacing w:before="120" w:after="120"/>
        <w:ind w:left="851" w:right="900"/>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i/>
          <w:sz w:val="22"/>
          <w:szCs w:val="22"/>
        </w:rPr>
        <w:t>“</w:t>
      </w:r>
      <w:r w:rsidRPr="008D0443">
        <w:rPr>
          <w:rFonts w:ascii="Palatino Linotype" w:eastAsia="Palatino Linotype" w:hAnsi="Palatino Linotype" w:cs="Palatino Linotype"/>
          <w:b/>
          <w:i/>
          <w:sz w:val="22"/>
          <w:szCs w:val="22"/>
        </w:rPr>
        <w:t>Quincuagésimo segundo</w:t>
      </w:r>
      <w:r w:rsidRPr="008D0443">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861A334" w14:textId="77777777" w:rsidR="002D0127" w:rsidRPr="008D0443" w:rsidRDefault="00946B94">
      <w:pPr>
        <w:spacing w:before="120" w:after="120"/>
        <w:ind w:left="851" w:right="900"/>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34BEE2A0" w14:textId="77777777" w:rsidR="002D0127" w:rsidRPr="008D0443" w:rsidRDefault="00946B94">
      <w:pPr>
        <w:spacing w:before="120" w:after="120"/>
        <w:ind w:left="851" w:right="900"/>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I.</w:t>
      </w:r>
      <w:r w:rsidRPr="008D0443">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1A08DAB6" w14:textId="77777777" w:rsidR="002D0127" w:rsidRPr="008D0443" w:rsidRDefault="00946B94">
      <w:pPr>
        <w:spacing w:before="120" w:after="120"/>
        <w:ind w:left="851" w:right="900"/>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II.</w:t>
      </w:r>
      <w:r w:rsidRPr="008D0443">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60BB2FA3" w14:textId="77777777" w:rsidR="002D0127" w:rsidRPr="008D0443" w:rsidRDefault="00946B94">
      <w:pPr>
        <w:spacing w:before="120" w:after="120"/>
        <w:ind w:left="851" w:right="900"/>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III.</w:t>
      </w:r>
      <w:r w:rsidRPr="008D0443">
        <w:rPr>
          <w:rFonts w:ascii="Palatino Linotype" w:eastAsia="Palatino Linotype" w:hAnsi="Palatino Linotype" w:cs="Palatino Linotype"/>
          <w:i/>
          <w:sz w:val="22"/>
          <w:szCs w:val="22"/>
        </w:rPr>
        <w:t xml:space="preserve"> Señalar las personas o instancias autorizadas a acceder a la información clasificada.</w:t>
      </w:r>
    </w:p>
    <w:p w14:paraId="081F70E9" w14:textId="77777777" w:rsidR="002D0127" w:rsidRPr="008D0443" w:rsidRDefault="00946B94">
      <w:pPr>
        <w:spacing w:before="120" w:after="120"/>
        <w:ind w:left="851" w:right="900"/>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393B5550" w14:textId="77777777" w:rsidR="002D0127" w:rsidRPr="008D0443" w:rsidRDefault="00946B94">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i/>
          <w:sz w:val="22"/>
          <w:szCs w:val="22"/>
        </w:rPr>
        <w:t>…</w:t>
      </w:r>
    </w:p>
    <w:p w14:paraId="3444C085" w14:textId="77777777" w:rsidR="002D0127" w:rsidRPr="008D0443" w:rsidRDefault="00946B94">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8D0443">
        <w:rPr>
          <w:rFonts w:ascii="Palatino Linotype" w:eastAsia="Palatino Linotype" w:hAnsi="Palatino Linotype" w:cs="Palatino Linotype"/>
          <w:b/>
          <w:i/>
          <w:sz w:val="22"/>
          <w:szCs w:val="22"/>
        </w:rPr>
        <w:t xml:space="preserve">Quincuagésimo cuarto. </w:t>
      </w:r>
      <w:r w:rsidRPr="008D0443">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8D0443">
        <w:rPr>
          <w:rFonts w:ascii="Palatino Linotype" w:eastAsia="Palatino Linotype" w:hAnsi="Palatino Linotype" w:cs="Palatino Linotype"/>
          <w:b/>
          <w:i/>
          <w:sz w:val="22"/>
          <w:szCs w:val="22"/>
        </w:rPr>
        <w:t xml:space="preserve"> </w:t>
      </w:r>
    </w:p>
    <w:p w14:paraId="4C9A7BB8" w14:textId="77777777" w:rsidR="002D0127" w:rsidRPr="008D0443" w:rsidRDefault="00946B94">
      <w:pP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 xml:space="preserve">Quincuagésimo quinto. </w:t>
      </w:r>
      <w:r w:rsidRPr="008D0443">
        <w:rPr>
          <w:rFonts w:ascii="Palatino Linotype" w:eastAsia="Palatino Linotype" w:hAnsi="Palatino Linotype" w:cs="Palatino Linotype"/>
          <w:i/>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5D890DAB" w14:textId="77777777" w:rsidR="002D0127" w:rsidRPr="008D0443" w:rsidRDefault="00946B94">
      <w:pPr>
        <w:spacing w:before="120" w:after="120"/>
        <w:ind w:left="851" w:right="902"/>
        <w:jc w:val="both"/>
        <w:rPr>
          <w:rFonts w:ascii="Palatino Linotype" w:eastAsia="Palatino Linotype" w:hAnsi="Palatino Linotype" w:cs="Palatino Linotype"/>
          <w:b/>
          <w:i/>
          <w:sz w:val="22"/>
          <w:szCs w:val="22"/>
        </w:rPr>
      </w:pPr>
      <w:r w:rsidRPr="008D0443">
        <w:rPr>
          <w:rFonts w:ascii="Palatino Linotype" w:eastAsia="Palatino Linotype" w:hAnsi="Palatino Linotype" w:cs="Palatino Linotype"/>
          <w:b/>
          <w:i/>
          <w:sz w:val="22"/>
          <w:szCs w:val="22"/>
        </w:rPr>
        <w:t>...</w:t>
      </w:r>
    </w:p>
    <w:p w14:paraId="6DDE526D" w14:textId="77777777" w:rsidR="002D0127" w:rsidRPr="008D0443" w:rsidRDefault="00946B94">
      <w:pP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Quincuagésimo séptimo</w:t>
      </w:r>
      <w:r w:rsidRPr="008D0443">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050D22BA" w14:textId="77777777" w:rsidR="002D0127" w:rsidRPr="008D0443" w:rsidRDefault="00946B94">
      <w:pP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I</w:t>
      </w:r>
      <w:r w:rsidRPr="008D0443">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63F9E840" w14:textId="77777777" w:rsidR="002D0127" w:rsidRPr="008D0443" w:rsidRDefault="00946B94">
      <w:pP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II.</w:t>
      </w:r>
      <w:r w:rsidRPr="008D0443">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054FBF50" w14:textId="77777777" w:rsidR="002D0127" w:rsidRPr="008D0443" w:rsidRDefault="00946B94">
      <w:pP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III</w:t>
      </w:r>
      <w:r w:rsidRPr="008D0443">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5F6B0E4B" w14:textId="77777777" w:rsidR="002D0127" w:rsidRPr="008D0443" w:rsidRDefault="00946B94">
      <w:pP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29102FDC" w14:textId="77777777" w:rsidR="002D0127" w:rsidRPr="008D0443" w:rsidRDefault="00946B94">
      <w:pPr>
        <w:spacing w:before="120" w:after="120"/>
        <w:ind w:left="851" w:right="902"/>
        <w:jc w:val="both"/>
        <w:rPr>
          <w:rFonts w:ascii="Palatino Linotype" w:eastAsia="Palatino Linotype" w:hAnsi="Palatino Linotype" w:cs="Palatino Linotype"/>
          <w:i/>
          <w:sz w:val="22"/>
          <w:szCs w:val="22"/>
        </w:rPr>
      </w:pPr>
      <w:r w:rsidRPr="008D0443">
        <w:rPr>
          <w:rFonts w:ascii="Palatino Linotype" w:eastAsia="Palatino Linotype" w:hAnsi="Palatino Linotype" w:cs="Palatino Linotype"/>
          <w:b/>
          <w:i/>
          <w:sz w:val="22"/>
          <w:szCs w:val="22"/>
        </w:rPr>
        <w:t>Quincuagésimo octavo</w:t>
      </w:r>
      <w:r w:rsidRPr="008D0443">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6D08D1E0" w14:textId="73C52E3F" w:rsidR="002D0127" w:rsidRPr="008D0443" w:rsidRDefault="00946B94">
      <w:pPr>
        <w:spacing w:before="240" w:after="240" w:line="360" w:lineRule="auto"/>
        <w:jc w:val="both"/>
        <w:rPr>
          <w:rFonts w:ascii="Palatino Linotype" w:eastAsia="Palatino Linotype" w:hAnsi="Palatino Linotype" w:cs="Palatino Linotype"/>
        </w:rPr>
      </w:pPr>
      <w:r w:rsidRPr="008D0443">
        <w:rPr>
          <w:rFonts w:ascii="Palatino Linotype" w:eastAsia="Palatino Linotype" w:hAnsi="Palatino Linotype" w:cs="Palatino Linotype"/>
        </w:rPr>
        <w:t xml:space="preserve">Así, con fundamento en lo prescrito en los artículos </w:t>
      </w:r>
      <w:r w:rsidR="00305749" w:rsidRPr="008D0443">
        <w:rPr>
          <w:rFonts w:ascii="Palatino Linotype" w:eastAsia="Palatino Linotype" w:hAnsi="Palatino Linotype" w:cs="Palatino Linotype"/>
        </w:rPr>
        <w:t>5 párrafos cuadragésimo cuarto, cuadragésimo quinto y cuadragésimo sexto, fracciones IV y V de la Constitución Política del Estado Libre y Soberano de México; transitorio Cuarto del Decreto número 198 de la “LXII” Legislatura del Estado de México</w:t>
      </w:r>
      <w:r w:rsidRPr="008D0443">
        <w:rPr>
          <w:rFonts w:ascii="Palatino Linotype" w:eastAsia="Palatino Linotype" w:hAnsi="Palatino Linotype" w:cs="Palatino Linotype"/>
        </w:rPr>
        <w:t>; 2, fracción II; 29, 36 fracciones I y II; 176, 178, 181, 185 y 186 fracción II de la Ley de Transparencia y Acceso a la Información Pública del Estado de México y Municipios, este Pleno:</w:t>
      </w:r>
    </w:p>
    <w:p w14:paraId="06687F1B" w14:textId="77777777" w:rsidR="002D0127" w:rsidRPr="008D0443" w:rsidRDefault="00946B94">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8D0443">
        <w:rPr>
          <w:rFonts w:ascii="Palatino Linotype" w:eastAsia="Palatino Linotype" w:hAnsi="Palatino Linotype" w:cs="Palatino Linotype"/>
          <w:b/>
        </w:rPr>
        <w:t>III. R E S U E L V E</w:t>
      </w:r>
    </w:p>
    <w:p w14:paraId="71E0E4AE" w14:textId="77777777" w:rsidR="002D0127" w:rsidRPr="008D0443" w:rsidRDefault="00946B94">
      <w:pPr>
        <w:spacing w:before="240" w:after="240" w:line="360" w:lineRule="auto"/>
        <w:jc w:val="both"/>
        <w:rPr>
          <w:rFonts w:ascii="Palatino Linotype" w:eastAsia="Palatino Linotype" w:hAnsi="Palatino Linotype" w:cs="Palatino Linotype"/>
        </w:rPr>
      </w:pPr>
      <w:bookmarkStart w:id="10" w:name="_heading=h.1t3h5sf" w:colFirst="0" w:colLast="0"/>
      <w:bookmarkEnd w:id="10"/>
      <w:r w:rsidRPr="008D0443">
        <w:rPr>
          <w:rFonts w:ascii="Palatino Linotype" w:eastAsia="Palatino Linotype" w:hAnsi="Palatino Linotype" w:cs="Palatino Linotype"/>
          <w:b/>
        </w:rPr>
        <w:t xml:space="preserve">Primero. </w:t>
      </w:r>
      <w:r w:rsidRPr="008D0443">
        <w:rPr>
          <w:rFonts w:ascii="Palatino Linotype" w:eastAsia="Palatino Linotype" w:hAnsi="Palatino Linotype" w:cs="Palatino Linotype"/>
        </w:rPr>
        <w:t>Resultan</w:t>
      </w:r>
      <w:r w:rsidRPr="008D0443">
        <w:rPr>
          <w:rFonts w:ascii="Palatino Linotype" w:eastAsia="Palatino Linotype" w:hAnsi="Palatino Linotype" w:cs="Palatino Linotype"/>
          <w:b/>
        </w:rPr>
        <w:t xml:space="preserve"> fundadas</w:t>
      </w:r>
      <w:r w:rsidRPr="008D0443">
        <w:rPr>
          <w:rFonts w:ascii="Palatino Linotype" w:eastAsia="Palatino Linotype" w:hAnsi="Palatino Linotype" w:cs="Palatino Linotype"/>
        </w:rPr>
        <w:t xml:space="preserve"> las razones o motivos de inconformidad hechos valer por la parte</w:t>
      </w:r>
      <w:r w:rsidRPr="008D0443">
        <w:rPr>
          <w:rFonts w:ascii="Palatino Linotype" w:eastAsia="Palatino Linotype" w:hAnsi="Palatino Linotype" w:cs="Palatino Linotype"/>
          <w:b/>
        </w:rPr>
        <w:t xml:space="preserve"> Recurrente</w:t>
      </w:r>
      <w:r w:rsidRPr="008D0443">
        <w:rPr>
          <w:rFonts w:ascii="Palatino Linotype" w:eastAsia="Palatino Linotype" w:hAnsi="Palatino Linotype" w:cs="Palatino Linotype"/>
        </w:rPr>
        <w:t xml:space="preserve"> en el recurso de revisión </w:t>
      </w:r>
      <w:r w:rsidRPr="008D0443">
        <w:rPr>
          <w:rFonts w:ascii="Palatino Linotype" w:eastAsia="Palatino Linotype" w:hAnsi="Palatino Linotype" w:cs="Palatino Linotype"/>
          <w:b/>
        </w:rPr>
        <w:t>08204/INFOEM/IP/RR/2025</w:t>
      </w:r>
      <w:r w:rsidRPr="008D0443">
        <w:rPr>
          <w:rFonts w:ascii="Palatino Linotype" w:eastAsia="Palatino Linotype" w:hAnsi="Palatino Linotype" w:cs="Palatino Linotype"/>
        </w:rPr>
        <w:t xml:space="preserve">; por lo que, en términos del </w:t>
      </w:r>
      <w:r w:rsidRPr="008D0443">
        <w:rPr>
          <w:rFonts w:ascii="Palatino Linotype" w:eastAsia="Palatino Linotype" w:hAnsi="Palatino Linotype" w:cs="Palatino Linotype"/>
          <w:b/>
        </w:rPr>
        <w:t>Considerando</w:t>
      </w:r>
      <w:r w:rsidRPr="008D0443">
        <w:rPr>
          <w:rFonts w:ascii="Palatino Linotype" w:eastAsia="Palatino Linotype" w:hAnsi="Palatino Linotype" w:cs="Palatino Linotype"/>
        </w:rPr>
        <w:t xml:space="preserve"> </w:t>
      </w:r>
      <w:r w:rsidRPr="008D0443">
        <w:rPr>
          <w:rFonts w:ascii="Palatino Linotype" w:eastAsia="Palatino Linotype" w:hAnsi="Palatino Linotype" w:cs="Palatino Linotype"/>
          <w:b/>
        </w:rPr>
        <w:t xml:space="preserve">Cuarto </w:t>
      </w:r>
      <w:r w:rsidRPr="008D0443">
        <w:rPr>
          <w:rFonts w:ascii="Palatino Linotype" w:eastAsia="Palatino Linotype" w:hAnsi="Palatino Linotype" w:cs="Palatino Linotype"/>
        </w:rPr>
        <w:t xml:space="preserve">de esta resolución, se </w:t>
      </w:r>
      <w:r w:rsidRPr="008D0443">
        <w:rPr>
          <w:rFonts w:ascii="Palatino Linotype" w:eastAsia="Palatino Linotype" w:hAnsi="Palatino Linotype" w:cs="Palatino Linotype"/>
          <w:b/>
        </w:rPr>
        <w:t xml:space="preserve">Revoca </w:t>
      </w:r>
      <w:r w:rsidRPr="008D0443">
        <w:rPr>
          <w:rFonts w:ascii="Palatino Linotype" w:eastAsia="Palatino Linotype" w:hAnsi="Palatino Linotype" w:cs="Palatino Linotype"/>
        </w:rPr>
        <w:t xml:space="preserve">la respuesta emitida por el </w:t>
      </w:r>
      <w:r w:rsidRPr="008D0443">
        <w:rPr>
          <w:rFonts w:ascii="Palatino Linotype" w:eastAsia="Palatino Linotype" w:hAnsi="Palatino Linotype" w:cs="Palatino Linotype"/>
          <w:b/>
        </w:rPr>
        <w:t xml:space="preserve">Sujeto Obligado. </w:t>
      </w:r>
    </w:p>
    <w:p w14:paraId="5BB1D80D" w14:textId="77777777" w:rsidR="002D0127" w:rsidRPr="008D0443" w:rsidRDefault="00946B94">
      <w:pPr>
        <w:spacing w:before="240" w:after="240" w:line="360" w:lineRule="auto"/>
        <w:ind w:right="49"/>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b/>
          <w:sz w:val="22"/>
          <w:szCs w:val="22"/>
        </w:rPr>
        <w:t xml:space="preserve">Segundo. </w:t>
      </w:r>
      <w:r w:rsidRPr="008D0443">
        <w:rPr>
          <w:rFonts w:ascii="Palatino Linotype" w:eastAsia="Palatino Linotype" w:hAnsi="Palatino Linotype" w:cs="Palatino Linotype"/>
          <w:sz w:val="22"/>
          <w:szCs w:val="22"/>
        </w:rPr>
        <w:t xml:space="preserve">Se </w:t>
      </w:r>
      <w:r w:rsidRPr="008D0443">
        <w:rPr>
          <w:rFonts w:ascii="Palatino Linotype" w:eastAsia="Palatino Linotype" w:hAnsi="Palatino Linotype" w:cs="Palatino Linotype"/>
          <w:b/>
          <w:sz w:val="22"/>
          <w:szCs w:val="22"/>
        </w:rPr>
        <w:t xml:space="preserve">Ordena </w:t>
      </w:r>
      <w:r w:rsidRPr="008D0443">
        <w:rPr>
          <w:rFonts w:ascii="Palatino Linotype" w:eastAsia="Palatino Linotype" w:hAnsi="Palatino Linotype" w:cs="Palatino Linotype"/>
          <w:sz w:val="22"/>
          <w:szCs w:val="22"/>
        </w:rPr>
        <w:t xml:space="preserve">al </w:t>
      </w:r>
      <w:r w:rsidRPr="008D0443">
        <w:rPr>
          <w:rFonts w:ascii="Palatino Linotype" w:eastAsia="Palatino Linotype" w:hAnsi="Palatino Linotype" w:cs="Palatino Linotype"/>
          <w:b/>
          <w:sz w:val="22"/>
          <w:szCs w:val="22"/>
        </w:rPr>
        <w:t xml:space="preserve">Sujeto Obligado, </w:t>
      </w:r>
      <w:r w:rsidRPr="008D0443">
        <w:rPr>
          <w:rFonts w:ascii="Palatino Linotype" w:eastAsia="Palatino Linotype" w:hAnsi="Palatino Linotype" w:cs="Palatino Linotype"/>
          <w:sz w:val="22"/>
          <w:szCs w:val="22"/>
        </w:rPr>
        <w:t xml:space="preserve">en términos de los </w:t>
      </w:r>
      <w:r w:rsidRPr="008D0443">
        <w:rPr>
          <w:rFonts w:ascii="Palatino Linotype" w:eastAsia="Palatino Linotype" w:hAnsi="Palatino Linotype" w:cs="Palatino Linotype"/>
          <w:b/>
          <w:sz w:val="22"/>
          <w:szCs w:val="22"/>
        </w:rPr>
        <w:t>Considerandos</w:t>
      </w:r>
      <w:r w:rsidRPr="008D0443">
        <w:rPr>
          <w:rFonts w:ascii="Palatino Linotype" w:eastAsia="Palatino Linotype" w:hAnsi="Palatino Linotype" w:cs="Palatino Linotype"/>
          <w:sz w:val="22"/>
          <w:szCs w:val="22"/>
        </w:rPr>
        <w:t xml:space="preserve"> </w:t>
      </w:r>
      <w:r w:rsidRPr="008D0443">
        <w:rPr>
          <w:rFonts w:ascii="Palatino Linotype" w:eastAsia="Palatino Linotype" w:hAnsi="Palatino Linotype" w:cs="Palatino Linotype"/>
          <w:b/>
          <w:sz w:val="22"/>
          <w:szCs w:val="22"/>
        </w:rPr>
        <w:t xml:space="preserve">Cuarto </w:t>
      </w:r>
      <w:r w:rsidRPr="008D0443">
        <w:rPr>
          <w:rFonts w:ascii="Palatino Linotype" w:eastAsia="Palatino Linotype" w:hAnsi="Palatino Linotype" w:cs="Palatino Linotype"/>
          <w:sz w:val="22"/>
          <w:szCs w:val="22"/>
        </w:rPr>
        <w:t xml:space="preserve">y </w:t>
      </w:r>
      <w:r w:rsidRPr="008D0443">
        <w:rPr>
          <w:rFonts w:ascii="Palatino Linotype" w:eastAsia="Palatino Linotype" w:hAnsi="Palatino Linotype" w:cs="Palatino Linotype"/>
          <w:b/>
          <w:sz w:val="22"/>
          <w:szCs w:val="22"/>
        </w:rPr>
        <w:t>Quinto</w:t>
      </w:r>
      <w:r w:rsidRPr="008D0443">
        <w:rPr>
          <w:rFonts w:ascii="Palatino Linotype" w:eastAsia="Palatino Linotype" w:hAnsi="Palatino Linotype" w:cs="Palatino Linotype"/>
          <w:sz w:val="22"/>
          <w:szCs w:val="22"/>
        </w:rPr>
        <w:t xml:space="preserve"> de esta resolución, haga entrega, vía </w:t>
      </w:r>
      <w:r w:rsidRPr="008D0443">
        <w:rPr>
          <w:rFonts w:ascii="Palatino Linotype" w:eastAsia="Palatino Linotype" w:hAnsi="Palatino Linotype" w:cs="Palatino Linotype"/>
          <w:b/>
          <w:sz w:val="22"/>
          <w:szCs w:val="22"/>
        </w:rPr>
        <w:t>SAIMEX</w:t>
      </w:r>
      <w:r w:rsidRPr="008D0443">
        <w:rPr>
          <w:rFonts w:ascii="Palatino Linotype" w:eastAsia="Palatino Linotype" w:hAnsi="Palatino Linotype" w:cs="Palatino Linotype"/>
          <w:sz w:val="22"/>
          <w:szCs w:val="22"/>
        </w:rPr>
        <w:t>, previa búsqueda exhaustiva y razonable, en versión pública de ser procedente, de lo siguiente:</w:t>
      </w:r>
    </w:p>
    <w:p w14:paraId="50BA59D7" w14:textId="77777777" w:rsidR="002D0127" w:rsidRPr="008D0443" w:rsidRDefault="00946B94">
      <w:pPr>
        <w:numPr>
          <w:ilvl w:val="0"/>
          <w:numId w:val="1"/>
        </w:numPr>
        <w:pBdr>
          <w:top w:val="nil"/>
          <w:left w:val="nil"/>
          <w:bottom w:val="nil"/>
          <w:right w:val="nil"/>
          <w:between w:val="nil"/>
        </w:pBdr>
        <w:spacing w:line="360" w:lineRule="auto"/>
        <w:ind w:hanging="360"/>
        <w:jc w:val="both"/>
        <w:rPr>
          <w:rFonts w:ascii="Palatino Linotype" w:eastAsia="Palatino Linotype" w:hAnsi="Palatino Linotype" w:cs="Palatino Linotype"/>
        </w:rPr>
      </w:pPr>
      <w:r w:rsidRPr="008D0443">
        <w:rPr>
          <w:rFonts w:ascii="Palatino Linotype" w:eastAsia="Palatino Linotype" w:hAnsi="Palatino Linotype" w:cs="Palatino Linotype"/>
        </w:rPr>
        <w:t>Pólizas de cheques del ejercicio 2020.</w:t>
      </w:r>
    </w:p>
    <w:p w14:paraId="18157542" w14:textId="77777777" w:rsidR="002D0127" w:rsidRPr="008D0443" w:rsidRDefault="00946B94">
      <w:pPr>
        <w:spacing w:before="120" w:after="120"/>
        <w:ind w:left="284" w:right="49"/>
        <w:jc w:val="both"/>
        <w:rPr>
          <w:rFonts w:ascii="Palatino Linotype" w:eastAsia="Palatino Linotype" w:hAnsi="Palatino Linotype" w:cs="Palatino Linotype"/>
          <w:i/>
          <w:sz w:val="20"/>
          <w:szCs w:val="20"/>
        </w:rPr>
      </w:pPr>
      <w:bookmarkStart w:id="11" w:name="_heading=h.1fob9te" w:colFirst="0" w:colLast="0"/>
      <w:bookmarkEnd w:id="11"/>
      <w:r w:rsidRPr="008D0443">
        <w:rPr>
          <w:rFonts w:ascii="Palatino Linotype" w:eastAsia="Palatino Linotype" w:hAnsi="Palatino Linotype" w:cs="Palatino Linotype"/>
          <w:i/>
          <w:sz w:val="20"/>
          <w:szCs w:val="20"/>
        </w:rPr>
        <w:t>De ser necesaria la versión pública, se deberán proporcionar junto con el Acuerdo de Clasificación donde el Comité de Transparencia, confirme la eliminación de los datos clasificados como confidenciales, de conformidad con los artículos 49, fracciones II y VIII, 132, fracción II, 143, fracción I y 149 de la Ley de Transparencia y Acceso a la Información Pública del Estado de México y Municipios.</w:t>
      </w:r>
    </w:p>
    <w:p w14:paraId="0A402AE3" w14:textId="77777777" w:rsidR="002D0127" w:rsidRPr="008D0443" w:rsidRDefault="00946B94">
      <w:pPr>
        <w:spacing w:before="120" w:after="120"/>
        <w:ind w:left="284"/>
        <w:jc w:val="both"/>
        <w:rPr>
          <w:rFonts w:ascii="Palatino Linotype" w:eastAsia="Palatino Linotype" w:hAnsi="Palatino Linotype" w:cs="Palatino Linotype"/>
          <w:i/>
          <w:sz w:val="20"/>
          <w:szCs w:val="20"/>
        </w:rPr>
      </w:pPr>
      <w:bookmarkStart w:id="12" w:name="_heading=h.58dhzz8y2x6j" w:colFirst="0" w:colLast="0"/>
      <w:bookmarkEnd w:id="12"/>
      <w:r w:rsidRPr="008D0443">
        <w:rPr>
          <w:rFonts w:ascii="Palatino Linotype" w:eastAsia="Palatino Linotype" w:hAnsi="Palatino Linotype" w:cs="Palatino Linotype"/>
          <w:i/>
          <w:sz w:val="20"/>
          <w:szCs w:val="20"/>
        </w:rPr>
        <w:t xml:space="preserve">En el supuesto que la información ordenada, no obre en los archivos del </w:t>
      </w:r>
      <w:r w:rsidRPr="008D0443">
        <w:rPr>
          <w:rFonts w:ascii="Palatino Linotype" w:eastAsia="Palatino Linotype" w:hAnsi="Palatino Linotype" w:cs="Palatino Linotype"/>
          <w:b/>
          <w:i/>
          <w:sz w:val="20"/>
          <w:szCs w:val="20"/>
        </w:rPr>
        <w:t xml:space="preserve">Sujeto Obligado </w:t>
      </w:r>
      <w:r w:rsidRPr="008D0443">
        <w:rPr>
          <w:rFonts w:ascii="Palatino Linotype" w:eastAsia="Palatino Linotype" w:hAnsi="Palatino Linotype" w:cs="Palatino Linotype"/>
          <w:i/>
          <w:sz w:val="20"/>
          <w:szCs w:val="20"/>
        </w:rPr>
        <w:t>por no haberse generado, bastará con que así lo haga del conocimiento de la parte Recurrente, en términos del artículo 19, párrafo segundo de la Ley de Transparencia y Acceso a la Información Pública del Estado de México y Municipios, para tener por colmado el requerimiento de información.</w:t>
      </w:r>
    </w:p>
    <w:p w14:paraId="5ABA0BFF" w14:textId="77777777" w:rsidR="002D0127" w:rsidRPr="008D0443" w:rsidRDefault="00946B94">
      <w:pPr>
        <w:spacing w:before="240" w:after="24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b/>
          <w:sz w:val="22"/>
          <w:szCs w:val="22"/>
        </w:rPr>
        <w:t xml:space="preserve">Tercero. Notifíquese, </w:t>
      </w:r>
      <w:r w:rsidRPr="008D0443">
        <w:rPr>
          <w:rFonts w:ascii="Palatino Linotype" w:eastAsia="Palatino Linotype" w:hAnsi="Palatino Linotype" w:cs="Palatino Linotype"/>
          <w:sz w:val="22"/>
          <w:szCs w:val="22"/>
        </w:rPr>
        <w:t xml:space="preserve">vía </w:t>
      </w:r>
      <w:r w:rsidRPr="008D0443">
        <w:rPr>
          <w:rFonts w:ascii="Palatino Linotype" w:eastAsia="Palatino Linotype" w:hAnsi="Palatino Linotype" w:cs="Palatino Linotype"/>
          <w:b/>
          <w:sz w:val="22"/>
          <w:szCs w:val="22"/>
        </w:rPr>
        <w:t>SAIMEX</w:t>
      </w:r>
      <w:r w:rsidRPr="008D0443">
        <w:rPr>
          <w:rFonts w:ascii="Palatino Linotype" w:eastAsia="Palatino Linotype" w:hAnsi="Palatino Linotype" w:cs="Palatino Linotype"/>
          <w:sz w:val="22"/>
          <w:szCs w:val="22"/>
        </w:rPr>
        <w:t xml:space="preserve">, al Titular de la Unidad de Transparencia del </w:t>
      </w:r>
      <w:r w:rsidRPr="008D0443">
        <w:rPr>
          <w:rFonts w:ascii="Palatino Linotype" w:eastAsia="Palatino Linotype" w:hAnsi="Palatino Linotype" w:cs="Palatino Linotype"/>
          <w:b/>
          <w:sz w:val="22"/>
          <w:szCs w:val="22"/>
        </w:rPr>
        <w:t>Sujeto Obligado,</w:t>
      </w:r>
      <w:r w:rsidRPr="008D0443">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E6B250E" w14:textId="77777777" w:rsidR="002D0127" w:rsidRPr="008D0443" w:rsidRDefault="00946B94">
      <w:pPr>
        <w:spacing w:before="240" w:after="240" w:line="360" w:lineRule="auto"/>
        <w:jc w:val="both"/>
        <w:rPr>
          <w:rFonts w:ascii="Palatino Linotype" w:eastAsia="Palatino Linotype" w:hAnsi="Palatino Linotype" w:cs="Palatino Linotype"/>
          <w:sz w:val="22"/>
          <w:szCs w:val="22"/>
        </w:rPr>
      </w:pPr>
      <w:r w:rsidRPr="008D0443">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8D0443">
        <w:rPr>
          <w:rFonts w:ascii="Palatino Linotype" w:eastAsia="Palatino Linotype" w:hAnsi="Palatino Linotype" w:cs="Palatino Linotype"/>
          <w:b/>
          <w:sz w:val="22"/>
          <w:szCs w:val="22"/>
        </w:rPr>
        <w:t>Sujeto Obligado</w:t>
      </w:r>
      <w:r w:rsidRPr="008D0443">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5F7967BF" w14:textId="77777777" w:rsidR="002D0127" w:rsidRPr="008D0443" w:rsidRDefault="00946B94">
      <w:pPr>
        <w:spacing w:before="240" w:after="240" w:line="360" w:lineRule="auto"/>
        <w:jc w:val="both"/>
        <w:rPr>
          <w:rFonts w:ascii="Palatino Linotype" w:eastAsia="Palatino Linotype" w:hAnsi="Palatino Linotype" w:cs="Palatino Linotype"/>
          <w:sz w:val="22"/>
          <w:szCs w:val="22"/>
        </w:rPr>
      </w:pPr>
      <w:bookmarkStart w:id="13" w:name="_heading=h.ot3qq6vxa08f" w:colFirst="0" w:colLast="0"/>
      <w:bookmarkEnd w:id="13"/>
      <w:r w:rsidRPr="008D0443">
        <w:rPr>
          <w:rFonts w:ascii="Palatino Linotype" w:eastAsia="Palatino Linotype" w:hAnsi="Palatino Linotype" w:cs="Palatino Linotype"/>
          <w:b/>
          <w:sz w:val="22"/>
          <w:szCs w:val="22"/>
        </w:rPr>
        <w:t xml:space="preserve">Cuarto.  Notifíquese, </w:t>
      </w:r>
      <w:r w:rsidRPr="008D0443">
        <w:rPr>
          <w:rFonts w:ascii="Palatino Linotype" w:eastAsia="Palatino Linotype" w:hAnsi="Palatino Linotype" w:cs="Palatino Linotype"/>
          <w:sz w:val="22"/>
          <w:szCs w:val="22"/>
        </w:rPr>
        <w:t xml:space="preserve">vía </w:t>
      </w:r>
      <w:r w:rsidRPr="008D0443">
        <w:rPr>
          <w:rFonts w:ascii="Palatino Linotype" w:eastAsia="Palatino Linotype" w:hAnsi="Palatino Linotype" w:cs="Palatino Linotype"/>
          <w:b/>
          <w:sz w:val="22"/>
          <w:szCs w:val="22"/>
        </w:rPr>
        <w:t>SAIMEX</w:t>
      </w:r>
      <w:r w:rsidRPr="008D0443">
        <w:rPr>
          <w:rFonts w:ascii="Palatino Linotype" w:eastAsia="Palatino Linotype" w:hAnsi="Palatino Linotype" w:cs="Palatino Linotype"/>
          <w:sz w:val="22"/>
          <w:szCs w:val="22"/>
        </w:rPr>
        <w:t xml:space="preserve"> a la parte </w:t>
      </w:r>
      <w:r w:rsidRPr="008D0443">
        <w:rPr>
          <w:rFonts w:ascii="Palatino Linotype" w:eastAsia="Palatino Linotype" w:hAnsi="Palatino Linotype" w:cs="Palatino Linotype"/>
          <w:b/>
          <w:sz w:val="22"/>
          <w:szCs w:val="22"/>
        </w:rPr>
        <w:t>Recurrente</w:t>
      </w:r>
      <w:r w:rsidRPr="008D0443">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2A285192" w14:textId="72CFA750" w:rsidR="002D0127" w:rsidRPr="000F5017" w:rsidRDefault="00946B94" w:rsidP="00675505">
      <w:pPr>
        <w:tabs>
          <w:tab w:val="left" w:pos="8647"/>
        </w:tabs>
        <w:spacing w:before="240" w:after="240" w:line="360" w:lineRule="auto"/>
        <w:ind w:right="51"/>
        <w:jc w:val="both"/>
        <w:rPr>
          <w:rFonts w:ascii="Palatino Linotype" w:eastAsia="Palatino Linotype" w:hAnsi="Palatino Linotype" w:cs="Palatino Linotype"/>
        </w:rPr>
      </w:pPr>
      <w:bookmarkStart w:id="14" w:name="_heading=h.lnxbz9" w:colFirst="0" w:colLast="0"/>
      <w:bookmarkEnd w:id="14"/>
      <w:r w:rsidRPr="008D0443">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305749" w:rsidRPr="008D0443">
        <w:rPr>
          <w:rFonts w:ascii="Palatino Linotype" w:eastAsia="Palatino Linotype" w:hAnsi="Palatino Linotype" w:cs="Palatino Linotype"/>
          <w:sz w:val="22"/>
          <w:szCs w:val="22"/>
        </w:rPr>
        <w:t xml:space="preserve"> (AUSENCIA JUSTIFICADA)</w:t>
      </w:r>
      <w:r w:rsidRPr="008D0443">
        <w:rPr>
          <w:rFonts w:ascii="Palatino Linotype" w:eastAsia="Palatino Linotype" w:hAnsi="Palatino Linotype" w:cs="Palatino Linotype"/>
          <w:sz w:val="22"/>
          <w:szCs w:val="22"/>
        </w:rPr>
        <w:t xml:space="preserve">, SHARON CRISTINA MORALES MARTÍNEZ, LUIS GUSTAVO PARRA NORIEGA, Y GUADALUPE RAMÍREZ PEÑA, EN LA TRIGÉSIMA NOVENA SESIÓN ORDINARIA CELEBRADA EL </w:t>
      </w:r>
      <w:r w:rsidR="00DB3220" w:rsidRPr="008D0443">
        <w:rPr>
          <w:rFonts w:ascii="Palatino Linotype" w:eastAsia="Palatino Linotype" w:hAnsi="Palatino Linotype" w:cs="Palatino Linotype"/>
          <w:sz w:val="22"/>
          <w:szCs w:val="22"/>
        </w:rPr>
        <w:t>CINCO DE NOVIEMBRE</w:t>
      </w:r>
      <w:r w:rsidRPr="008D0443">
        <w:rPr>
          <w:rFonts w:ascii="Palatino Linotype" w:eastAsia="Palatino Linotype" w:hAnsi="Palatino Linotype" w:cs="Palatino Linotype"/>
          <w:sz w:val="22"/>
          <w:szCs w:val="22"/>
        </w:rPr>
        <w:t xml:space="preserve"> DE DOS MIL VEINTICINCO, ANTE EL SECRETARIO TÉCNICO DEL PLENO ALEXIS TAPIA RAMÍREZ.</w:t>
      </w:r>
    </w:p>
    <w:p w14:paraId="67CE2601" w14:textId="77777777" w:rsidR="002D0127" w:rsidRPr="000F5017" w:rsidRDefault="002D0127">
      <w:pPr>
        <w:spacing w:line="360" w:lineRule="auto"/>
        <w:jc w:val="both"/>
        <w:rPr>
          <w:rFonts w:ascii="Palatino Linotype" w:eastAsia="Palatino Linotype" w:hAnsi="Palatino Linotype" w:cs="Palatino Linotype"/>
        </w:rPr>
      </w:pPr>
    </w:p>
    <w:p w14:paraId="6A94D7A4" w14:textId="77777777" w:rsidR="002D0127" w:rsidRPr="000F5017" w:rsidRDefault="002D0127">
      <w:pPr>
        <w:spacing w:line="360" w:lineRule="auto"/>
        <w:jc w:val="both"/>
        <w:rPr>
          <w:rFonts w:ascii="Palatino Linotype" w:eastAsia="Palatino Linotype" w:hAnsi="Palatino Linotype" w:cs="Palatino Linotype"/>
        </w:rPr>
      </w:pPr>
    </w:p>
    <w:p w14:paraId="6B21A244" w14:textId="77777777" w:rsidR="002D0127" w:rsidRPr="000F5017" w:rsidRDefault="002D0127">
      <w:pPr>
        <w:spacing w:line="360" w:lineRule="auto"/>
        <w:jc w:val="both"/>
        <w:rPr>
          <w:rFonts w:ascii="Palatino Linotype" w:eastAsia="Palatino Linotype" w:hAnsi="Palatino Linotype" w:cs="Palatino Linotype"/>
        </w:rPr>
      </w:pPr>
    </w:p>
    <w:p w14:paraId="045AF5EE" w14:textId="77777777" w:rsidR="002D0127" w:rsidRPr="000F5017" w:rsidRDefault="002D0127">
      <w:pPr>
        <w:spacing w:line="360" w:lineRule="auto"/>
        <w:jc w:val="both"/>
        <w:rPr>
          <w:rFonts w:ascii="Palatino Linotype" w:eastAsia="Palatino Linotype" w:hAnsi="Palatino Linotype" w:cs="Palatino Linotype"/>
        </w:rPr>
      </w:pPr>
    </w:p>
    <w:p w14:paraId="30995C3E" w14:textId="77777777" w:rsidR="002D0127" w:rsidRPr="000F5017" w:rsidRDefault="002D0127">
      <w:pPr>
        <w:spacing w:line="360" w:lineRule="auto"/>
        <w:jc w:val="both"/>
        <w:rPr>
          <w:rFonts w:ascii="Palatino Linotype" w:eastAsia="Palatino Linotype" w:hAnsi="Palatino Linotype" w:cs="Palatino Linotype"/>
        </w:rPr>
      </w:pPr>
    </w:p>
    <w:p w14:paraId="06747385" w14:textId="77777777" w:rsidR="002D0127" w:rsidRPr="000F5017" w:rsidRDefault="002D0127">
      <w:pPr>
        <w:spacing w:line="360" w:lineRule="auto"/>
        <w:jc w:val="both"/>
        <w:rPr>
          <w:rFonts w:ascii="Palatino Linotype" w:eastAsia="Palatino Linotype" w:hAnsi="Palatino Linotype" w:cs="Palatino Linotype"/>
        </w:rPr>
      </w:pPr>
    </w:p>
    <w:p w14:paraId="3C80633F" w14:textId="77777777" w:rsidR="002D0127" w:rsidRPr="000F5017" w:rsidRDefault="002D0127">
      <w:pPr>
        <w:spacing w:line="360" w:lineRule="auto"/>
        <w:jc w:val="both"/>
        <w:rPr>
          <w:rFonts w:ascii="Palatino Linotype" w:eastAsia="Palatino Linotype" w:hAnsi="Palatino Linotype" w:cs="Palatino Linotype"/>
        </w:rPr>
      </w:pPr>
    </w:p>
    <w:p w14:paraId="246C4EFD" w14:textId="77777777" w:rsidR="002D0127" w:rsidRPr="000F5017" w:rsidRDefault="002D0127">
      <w:pPr>
        <w:spacing w:line="360" w:lineRule="auto"/>
        <w:jc w:val="both"/>
        <w:rPr>
          <w:rFonts w:ascii="Palatino Linotype" w:eastAsia="Palatino Linotype" w:hAnsi="Palatino Linotype" w:cs="Palatino Linotype"/>
        </w:rPr>
      </w:pPr>
    </w:p>
    <w:p w14:paraId="6A1F1759" w14:textId="77777777" w:rsidR="002D0127" w:rsidRPr="000F5017" w:rsidRDefault="002D0127">
      <w:pPr>
        <w:spacing w:line="360" w:lineRule="auto"/>
        <w:jc w:val="both"/>
        <w:rPr>
          <w:rFonts w:ascii="Palatino Linotype" w:eastAsia="Palatino Linotype" w:hAnsi="Palatino Linotype" w:cs="Palatino Linotype"/>
        </w:rPr>
      </w:pPr>
    </w:p>
    <w:p w14:paraId="45CFB08F" w14:textId="77777777" w:rsidR="002D0127" w:rsidRPr="000F5017" w:rsidRDefault="002D0127">
      <w:pPr>
        <w:spacing w:line="360" w:lineRule="auto"/>
        <w:jc w:val="both"/>
        <w:rPr>
          <w:rFonts w:ascii="Palatino Linotype" w:eastAsia="Palatino Linotype" w:hAnsi="Palatino Linotype" w:cs="Palatino Linotype"/>
        </w:rPr>
      </w:pPr>
    </w:p>
    <w:p w14:paraId="4BB5481F" w14:textId="77777777" w:rsidR="002D0127" w:rsidRPr="000F5017" w:rsidRDefault="002D0127">
      <w:pPr>
        <w:spacing w:line="360" w:lineRule="auto"/>
        <w:jc w:val="both"/>
        <w:rPr>
          <w:rFonts w:ascii="Palatino Linotype" w:eastAsia="Palatino Linotype" w:hAnsi="Palatino Linotype" w:cs="Palatino Linotype"/>
        </w:rPr>
      </w:pPr>
    </w:p>
    <w:p w14:paraId="049CB5DE" w14:textId="77777777" w:rsidR="002D0127" w:rsidRPr="000F5017" w:rsidRDefault="002D0127">
      <w:pPr>
        <w:spacing w:line="360" w:lineRule="auto"/>
        <w:jc w:val="both"/>
        <w:rPr>
          <w:rFonts w:ascii="Palatino Linotype" w:eastAsia="Palatino Linotype" w:hAnsi="Palatino Linotype" w:cs="Palatino Linotype"/>
        </w:rPr>
      </w:pPr>
    </w:p>
    <w:p w14:paraId="0AF9A8A5" w14:textId="77777777" w:rsidR="002D0127" w:rsidRPr="000F5017" w:rsidRDefault="002D0127">
      <w:pPr>
        <w:spacing w:line="360" w:lineRule="auto"/>
        <w:jc w:val="both"/>
        <w:rPr>
          <w:rFonts w:ascii="Palatino Linotype" w:eastAsia="Palatino Linotype" w:hAnsi="Palatino Linotype" w:cs="Palatino Linotype"/>
        </w:rPr>
      </w:pPr>
    </w:p>
    <w:p w14:paraId="26C76EC0" w14:textId="77777777" w:rsidR="002D0127" w:rsidRPr="000F5017" w:rsidRDefault="002D0127">
      <w:pPr>
        <w:spacing w:line="360" w:lineRule="auto"/>
        <w:jc w:val="both"/>
        <w:rPr>
          <w:rFonts w:ascii="Palatino Linotype" w:eastAsia="Palatino Linotype" w:hAnsi="Palatino Linotype" w:cs="Palatino Linotype"/>
        </w:rPr>
      </w:pPr>
    </w:p>
    <w:p w14:paraId="4BF0870D" w14:textId="77777777" w:rsidR="002D0127" w:rsidRPr="000F5017" w:rsidRDefault="002D0127">
      <w:pPr>
        <w:spacing w:line="360" w:lineRule="auto"/>
        <w:jc w:val="both"/>
        <w:rPr>
          <w:rFonts w:ascii="Palatino Linotype" w:eastAsia="Palatino Linotype" w:hAnsi="Palatino Linotype" w:cs="Palatino Linotype"/>
        </w:rPr>
      </w:pPr>
    </w:p>
    <w:p w14:paraId="6579EC9D" w14:textId="77777777" w:rsidR="002D0127" w:rsidRPr="000F5017" w:rsidRDefault="002D0127">
      <w:pPr>
        <w:spacing w:line="360" w:lineRule="auto"/>
        <w:jc w:val="both"/>
        <w:rPr>
          <w:rFonts w:ascii="Palatino Linotype" w:eastAsia="Palatino Linotype" w:hAnsi="Palatino Linotype" w:cs="Palatino Linotype"/>
        </w:rPr>
      </w:pPr>
    </w:p>
    <w:p w14:paraId="11773CA6" w14:textId="77777777" w:rsidR="002D0127" w:rsidRPr="000F5017" w:rsidRDefault="002D0127">
      <w:pPr>
        <w:spacing w:line="360" w:lineRule="auto"/>
        <w:jc w:val="both"/>
        <w:rPr>
          <w:rFonts w:ascii="Palatino Linotype" w:eastAsia="Palatino Linotype" w:hAnsi="Palatino Linotype" w:cs="Palatino Linotype"/>
        </w:rPr>
      </w:pPr>
    </w:p>
    <w:p w14:paraId="265E5837" w14:textId="77777777" w:rsidR="002D0127" w:rsidRPr="000F5017" w:rsidRDefault="002D0127">
      <w:pPr>
        <w:spacing w:line="360" w:lineRule="auto"/>
        <w:jc w:val="both"/>
        <w:rPr>
          <w:rFonts w:ascii="Palatino Linotype" w:eastAsia="Palatino Linotype" w:hAnsi="Palatino Linotype" w:cs="Palatino Linotype"/>
        </w:rPr>
      </w:pPr>
    </w:p>
    <w:p w14:paraId="0C6AFA65" w14:textId="77777777" w:rsidR="002D0127" w:rsidRPr="000F5017" w:rsidRDefault="002D0127">
      <w:pPr>
        <w:spacing w:line="360" w:lineRule="auto"/>
        <w:jc w:val="both"/>
        <w:rPr>
          <w:rFonts w:ascii="Palatino Linotype" w:eastAsia="Palatino Linotype" w:hAnsi="Palatino Linotype" w:cs="Palatino Linotype"/>
        </w:rPr>
      </w:pPr>
    </w:p>
    <w:p w14:paraId="7F14A1F2" w14:textId="77777777" w:rsidR="002D0127" w:rsidRPr="000F5017" w:rsidRDefault="002D0127">
      <w:pPr>
        <w:spacing w:line="360" w:lineRule="auto"/>
        <w:jc w:val="both"/>
        <w:rPr>
          <w:rFonts w:ascii="Palatino Linotype" w:eastAsia="Palatino Linotype" w:hAnsi="Palatino Linotype" w:cs="Palatino Linotype"/>
        </w:rPr>
      </w:pPr>
    </w:p>
    <w:p w14:paraId="5595B607" w14:textId="77777777" w:rsidR="002D0127" w:rsidRPr="000F5017" w:rsidRDefault="002D0127">
      <w:pPr>
        <w:spacing w:line="360" w:lineRule="auto"/>
        <w:jc w:val="both"/>
        <w:rPr>
          <w:rFonts w:ascii="Palatino Linotype" w:eastAsia="Palatino Linotype" w:hAnsi="Palatino Linotype" w:cs="Palatino Linotype"/>
        </w:rPr>
      </w:pPr>
    </w:p>
    <w:sectPr w:rsidR="002D0127" w:rsidRPr="000F5017">
      <w:headerReference w:type="default" r:id="rId11"/>
      <w:footerReference w:type="default" r:id="rId12"/>
      <w:headerReference w:type="first" r:id="rId13"/>
      <w:footerReference w:type="first" r:id="rId1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07D4D0" w14:textId="77777777" w:rsidR="0066122D" w:rsidRDefault="0066122D">
      <w:r>
        <w:separator/>
      </w:r>
    </w:p>
  </w:endnote>
  <w:endnote w:type="continuationSeparator" w:id="0">
    <w:p w14:paraId="03CFD0A4" w14:textId="77777777" w:rsidR="0066122D" w:rsidRDefault="00661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BEF4D" w14:textId="19F53E64" w:rsidR="002D0127" w:rsidRDefault="00946B9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7640D">
      <w:rPr>
        <w:rFonts w:ascii="Palatino Linotype" w:eastAsia="Palatino Linotype" w:hAnsi="Palatino Linotype" w:cs="Palatino Linotype"/>
        <w:b/>
        <w:noProof/>
        <w:color w:val="000000"/>
        <w:sz w:val="20"/>
        <w:szCs w:val="20"/>
      </w:rPr>
      <w:t>36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7640D">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p>
  <w:p w14:paraId="3C283337" w14:textId="77777777" w:rsidR="002D0127" w:rsidRDefault="002D012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DA91C" w14:textId="62D57C21" w:rsidR="002D0127" w:rsidRDefault="00946B9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7640D">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7640D">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p>
  <w:p w14:paraId="693D8949" w14:textId="77777777" w:rsidR="002D0127" w:rsidRDefault="002D012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D9E9B8" w14:textId="77777777" w:rsidR="0066122D" w:rsidRDefault="0066122D">
      <w:r>
        <w:separator/>
      </w:r>
    </w:p>
  </w:footnote>
  <w:footnote w:type="continuationSeparator" w:id="0">
    <w:p w14:paraId="1E441A13" w14:textId="77777777" w:rsidR="0066122D" w:rsidRDefault="0066122D">
      <w:r>
        <w:continuationSeparator/>
      </w:r>
    </w:p>
  </w:footnote>
  <w:footnote w:id="1">
    <w:p w14:paraId="74D2121A" w14:textId="77777777" w:rsidR="002D0127" w:rsidRDefault="00946B9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Consultable en: </w:t>
      </w:r>
    </w:p>
    <w:p w14:paraId="3A0D78B7" w14:textId="77777777" w:rsidR="002D0127" w:rsidRDefault="0087640D">
      <w:pPr>
        <w:pBdr>
          <w:top w:val="nil"/>
          <w:left w:val="nil"/>
          <w:bottom w:val="nil"/>
          <w:right w:val="nil"/>
          <w:between w:val="nil"/>
        </w:pBdr>
        <w:jc w:val="both"/>
        <w:rPr>
          <w:rFonts w:ascii="Palatino Linotype" w:eastAsia="Palatino Linotype" w:hAnsi="Palatino Linotype" w:cs="Palatino Linotype"/>
          <w:color w:val="000000"/>
          <w:sz w:val="16"/>
          <w:szCs w:val="16"/>
        </w:rPr>
      </w:pPr>
      <w:hyperlink r:id="rId1">
        <w:r w:rsidR="00946B94">
          <w:rPr>
            <w:rFonts w:ascii="Palatino Linotype" w:eastAsia="Palatino Linotype" w:hAnsi="Palatino Linotype" w:cs="Palatino Linotype"/>
            <w:color w:val="0000FF"/>
            <w:sz w:val="16"/>
            <w:szCs w:val="16"/>
            <w:u w:val="single"/>
          </w:rPr>
          <w:t>https://www.indetec.gob.mx/delivery?srv=0&amp;sl=3&amp;path=/biblioteca/Especiales/386_Glosario_Terminos_Proceso_Planeacion.pdf</w:t>
        </w:r>
      </w:hyperlink>
      <w:r w:rsidR="00946B94">
        <w:rPr>
          <w:rFonts w:ascii="Palatino Linotype" w:eastAsia="Palatino Linotype" w:hAnsi="Palatino Linotype" w:cs="Palatino Linotype"/>
          <w:color w:val="000000"/>
          <w:sz w:val="16"/>
          <w:szCs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A4544" w14:textId="77777777" w:rsidR="002D0127" w:rsidRDefault="00946B94">
    <w:pPr>
      <w:rPr>
        <w:rFonts w:ascii="Cambria" w:eastAsia="Cambria" w:hAnsi="Cambria" w:cs="Cambria"/>
        <w:color w:val="000000"/>
      </w:rPr>
    </w:pPr>
    <w:r>
      <w:rPr>
        <w:noProof/>
      </w:rPr>
      <w:drawing>
        <wp:anchor distT="0" distB="0" distL="0" distR="0" simplePos="0" relativeHeight="251658240" behindDoc="1" locked="0" layoutInCell="1" hidden="0" allowOverlap="1" wp14:anchorId="5AB94A6E" wp14:editId="11693A93">
          <wp:simplePos x="0" y="0"/>
          <wp:positionH relativeFrom="column">
            <wp:posOffset>-1080131</wp:posOffset>
          </wp:positionH>
          <wp:positionV relativeFrom="paragraph">
            <wp:posOffset>-488257</wp:posOffset>
          </wp:positionV>
          <wp:extent cx="7809865" cy="10165715"/>
          <wp:effectExtent l="0" t="0" r="0" b="0"/>
          <wp:wrapNone/>
          <wp:docPr id="21401318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0"/>
      <w:tblW w:w="6095" w:type="dxa"/>
      <w:tblInd w:w="3261" w:type="dxa"/>
      <w:tblLayout w:type="fixed"/>
      <w:tblLook w:val="0400" w:firstRow="0" w:lastRow="0" w:firstColumn="0" w:lastColumn="0" w:noHBand="0" w:noVBand="1"/>
    </w:tblPr>
    <w:tblGrid>
      <w:gridCol w:w="2489"/>
      <w:gridCol w:w="3606"/>
    </w:tblGrid>
    <w:tr w:rsidR="002D0127" w14:paraId="2E8A1549" w14:textId="77777777">
      <w:tc>
        <w:tcPr>
          <w:tcW w:w="2489" w:type="dxa"/>
        </w:tcPr>
        <w:p w14:paraId="14802702" w14:textId="77777777" w:rsidR="002D0127" w:rsidRDefault="00946B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06" w:type="dxa"/>
          <w:vAlign w:val="center"/>
        </w:tcPr>
        <w:p w14:paraId="13654162" w14:textId="77777777" w:rsidR="002D0127" w:rsidRDefault="00946B9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08204/INFOEM/IP/RR/2025</w:t>
          </w:r>
        </w:p>
      </w:tc>
    </w:tr>
    <w:tr w:rsidR="002D0127" w14:paraId="34C78561" w14:textId="77777777">
      <w:trPr>
        <w:trHeight w:val="228"/>
      </w:trPr>
      <w:tc>
        <w:tcPr>
          <w:tcW w:w="2489" w:type="dxa"/>
          <w:vAlign w:val="center"/>
        </w:tcPr>
        <w:p w14:paraId="025F4C58" w14:textId="77777777" w:rsidR="002D0127" w:rsidRDefault="00946B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06" w:type="dxa"/>
          <w:vAlign w:val="center"/>
        </w:tcPr>
        <w:p w14:paraId="1D006FA3" w14:textId="77777777" w:rsidR="002D0127" w:rsidRDefault="00946B94">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Público Descentralizado para la Prestación de los Servicios de Agua Potable, Alcantarillado y Saneamiento de Teoloyucan</w:t>
          </w:r>
        </w:p>
      </w:tc>
    </w:tr>
    <w:tr w:rsidR="002D0127" w14:paraId="2022B259" w14:textId="77777777">
      <w:tc>
        <w:tcPr>
          <w:tcW w:w="2489" w:type="dxa"/>
          <w:vAlign w:val="center"/>
        </w:tcPr>
        <w:p w14:paraId="65549774" w14:textId="77777777" w:rsidR="002D0127" w:rsidRDefault="00946B94">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06" w:type="dxa"/>
          <w:vAlign w:val="center"/>
        </w:tcPr>
        <w:p w14:paraId="79432656" w14:textId="77777777" w:rsidR="002D0127" w:rsidRDefault="00946B9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E20B29B" w14:textId="77777777" w:rsidR="002D0127" w:rsidRDefault="00946B94">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B4B70" w14:textId="77777777" w:rsidR="002D0127" w:rsidRDefault="00946B9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0CF8E05D" wp14:editId="42C403C9">
          <wp:simplePos x="0" y="0"/>
          <wp:positionH relativeFrom="column">
            <wp:posOffset>-1080130</wp:posOffset>
          </wp:positionH>
          <wp:positionV relativeFrom="paragraph">
            <wp:posOffset>-369889</wp:posOffset>
          </wp:positionV>
          <wp:extent cx="7809865" cy="10165715"/>
          <wp:effectExtent l="0" t="0" r="0" b="0"/>
          <wp:wrapNone/>
          <wp:docPr id="21401318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1"/>
      <w:tblW w:w="6095" w:type="dxa"/>
      <w:tblInd w:w="3119" w:type="dxa"/>
      <w:tblLayout w:type="fixed"/>
      <w:tblLook w:val="0400" w:firstRow="0" w:lastRow="0" w:firstColumn="0" w:lastColumn="0" w:noHBand="0" w:noVBand="1"/>
    </w:tblPr>
    <w:tblGrid>
      <w:gridCol w:w="2551"/>
      <w:gridCol w:w="3544"/>
    </w:tblGrid>
    <w:tr w:rsidR="002D0127" w14:paraId="035151F4" w14:textId="77777777">
      <w:tc>
        <w:tcPr>
          <w:tcW w:w="2551" w:type="dxa"/>
        </w:tcPr>
        <w:p w14:paraId="3CE9C401" w14:textId="77777777" w:rsidR="002D0127" w:rsidRDefault="00946B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4" w:type="dxa"/>
          <w:vAlign w:val="center"/>
        </w:tcPr>
        <w:p w14:paraId="6F113CAB" w14:textId="77777777" w:rsidR="002D0127" w:rsidRDefault="00946B9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08204/INFOEM/IP/RR/2025</w:t>
          </w:r>
        </w:p>
      </w:tc>
    </w:tr>
    <w:tr w:rsidR="002D0127" w14:paraId="15266ABE" w14:textId="77777777">
      <w:tc>
        <w:tcPr>
          <w:tcW w:w="2551" w:type="dxa"/>
        </w:tcPr>
        <w:p w14:paraId="61C1AB6C" w14:textId="77777777" w:rsidR="002D0127" w:rsidRDefault="00946B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544" w:type="dxa"/>
          <w:vAlign w:val="center"/>
        </w:tcPr>
        <w:p w14:paraId="5DDA2766" w14:textId="77777777" w:rsidR="002D0127" w:rsidRDefault="002D0127">
          <w:pPr>
            <w:ind w:right="175"/>
            <w:jc w:val="both"/>
            <w:rPr>
              <w:rFonts w:ascii="Palatino Linotype" w:eastAsia="Palatino Linotype" w:hAnsi="Palatino Linotype" w:cs="Palatino Linotype"/>
              <w:b/>
              <w:color w:val="FF0000"/>
              <w:sz w:val="22"/>
              <w:szCs w:val="22"/>
              <w:highlight w:val="yellow"/>
            </w:rPr>
          </w:pPr>
        </w:p>
      </w:tc>
    </w:tr>
    <w:tr w:rsidR="002D0127" w14:paraId="124B474A" w14:textId="77777777">
      <w:trPr>
        <w:trHeight w:val="228"/>
      </w:trPr>
      <w:tc>
        <w:tcPr>
          <w:tcW w:w="2551" w:type="dxa"/>
          <w:vAlign w:val="center"/>
        </w:tcPr>
        <w:p w14:paraId="7DD9CA12" w14:textId="77777777" w:rsidR="002D0127" w:rsidRDefault="00946B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4" w:type="dxa"/>
          <w:vAlign w:val="center"/>
        </w:tcPr>
        <w:p w14:paraId="272A0695" w14:textId="77777777" w:rsidR="002D0127" w:rsidRDefault="00946B94">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Público Descentralizado para la Prestación de los Servicios de Agua Potable, Alcantarillado y Saneamiento de Teoloyucan</w:t>
          </w:r>
        </w:p>
      </w:tc>
    </w:tr>
    <w:tr w:rsidR="002D0127" w14:paraId="70A14F8D" w14:textId="77777777">
      <w:tc>
        <w:tcPr>
          <w:tcW w:w="2551" w:type="dxa"/>
          <w:vAlign w:val="center"/>
        </w:tcPr>
        <w:p w14:paraId="6CFAAE75" w14:textId="77777777" w:rsidR="002D0127" w:rsidRDefault="00946B94">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4" w:type="dxa"/>
          <w:vAlign w:val="center"/>
        </w:tcPr>
        <w:p w14:paraId="6803B0C4" w14:textId="77777777" w:rsidR="002D0127" w:rsidRDefault="00946B9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775DA31" w14:textId="77777777" w:rsidR="002D0127" w:rsidRDefault="002D012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241D2"/>
    <w:multiLevelType w:val="multilevel"/>
    <w:tmpl w:val="C06A1642"/>
    <w:lvl w:ilvl="0">
      <w:start w:val="1"/>
      <w:numFmt w:val="decimal"/>
      <w:pStyle w:val="Listaconvietas3"/>
      <w:lvlText w:val="%1."/>
      <w:lvlJc w:val="left"/>
      <w:pPr>
        <w:ind w:left="644" w:hanging="359"/>
      </w:pPr>
      <w:rPr>
        <w:sz w:val="22"/>
        <w:szCs w:val="22"/>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127"/>
    <w:rsid w:val="000F5017"/>
    <w:rsid w:val="002D0127"/>
    <w:rsid w:val="00305749"/>
    <w:rsid w:val="004F662B"/>
    <w:rsid w:val="005D2646"/>
    <w:rsid w:val="0065346D"/>
    <w:rsid w:val="0065666B"/>
    <w:rsid w:val="0066122D"/>
    <w:rsid w:val="00675505"/>
    <w:rsid w:val="006871AD"/>
    <w:rsid w:val="007C02EE"/>
    <w:rsid w:val="00867542"/>
    <w:rsid w:val="0087640D"/>
    <w:rsid w:val="008D0443"/>
    <w:rsid w:val="00946B94"/>
    <w:rsid w:val="00D618CB"/>
    <w:rsid w:val="00DB3220"/>
    <w:rsid w:val="00EC17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D0C0A"/>
  <w15:docId w15:val="{67E7286C-C589-476E-BA34-BD4BBC924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a">
    <w:basedOn w:val="TableNormalf4"/>
    <w:tblPr>
      <w:tblStyleRowBandSize w:val="1"/>
      <w:tblStyleColBandSize w:val="1"/>
      <w:tblCellMar>
        <w:left w:w="115" w:type="dxa"/>
        <w:right w:w="115" w:type="dxa"/>
      </w:tblCellMar>
    </w:tblPr>
  </w:style>
  <w:style w:type="table" w:customStyle="1" w:styleId="a0">
    <w:basedOn w:val="TableNormalf4"/>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4"/>
    <w:tblPr>
      <w:tblStyleRowBandSize w:val="1"/>
      <w:tblStyleColBandSize w:val="1"/>
      <w:tblCellMar>
        <w:left w:w="115" w:type="dxa"/>
        <w:right w:w="115" w:type="dxa"/>
      </w:tblCellMar>
    </w:tblPr>
  </w:style>
  <w:style w:type="table" w:customStyle="1" w:styleId="a2">
    <w:basedOn w:val="TableNormalf4"/>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3"/>
    <w:tblPr>
      <w:tblStyleRowBandSize w:val="1"/>
      <w:tblStyleColBandSize w:val="1"/>
      <w:tblCellMar>
        <w:left w:w="115" w:type="dxa"/>
        <w:right w:w="115" w:type="dxa"/>
      </w:tblCellMar>
    </w:tblPr>
  </w:style>
  <w:style w:type="table" w:customStyle="1" w:styleId="a4">
    <w:basedOn w:val="TableNormalf3"/>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2"/>
    <w:tblPr>
      <w:tblStyleRowBandSize w:val="1"/>
      <w:tblStyleColBandSize w:val="1"/>
      <w:tblCellMar>
        <w:left w:w="108" w:type="dxa"/>
        <w:right w:w="108" w:type="dxa"/>
      </w:tblCellMar>
    </w:tblPr>
  </w:style>
  <w:style w:type="table" w:customStyle="1" w:styleId="a6">
    <w:basedOn w:val="TableNormalf2"/>
    <w:tblPr>
      <w:tblStyleRowBandSize w:val="1"/>
      <w:tblStyleColBandSize w:val="1"/>
      <w:tblCellMar>
        <w:left w:w="108" w:type="dxa"/>
        <w:right w:w="108" w:type="dxa"/>
      </w:tblCellMar>
    </w:tblPr>
  </w:style>
  <w:style w:type="table" w:customStyle="1" w:styleId="a7">
    <w:basedOn w:val="TableNormalf2"/>
    <w:tblPr>
      <w:tblStyleRowBandSize w:val="1"/>
      <w:tblStyleColBandSize w:val="1"/>
      <w:tblCellMar>
        <w:left w:w="108" w:type="dxa"/>
        <w:right w:w="108" w:type="dxa"/>
      </w:tblCellMar>
    </w:tblPr>
  </w:style>
  <w:style w:type="table" w:customStyle="1" w:styleId="a8">
    <w:basedOn w:val="TableNormalf2"/>
    <w:tblPr>
      <w:tblStyleRowBandSize w:val="1"/>
      <w:tblStyleColBandSize w:val="1"/>
      <w:tblCellMar>
        <w:left w:w="108" w:type="dxa"/>
        <w:right w:w="108" w:type="dxa"/>
      </w:tblCellMar>
    </w:tblPr>
  </w:style>
  <w:style w:type="table" w:customStyle="1" w:styleId="a9">
    <w:basedOn w:val="TableNormalf2"/>
    <w:tblPr>
      <w:tblStyleRowBandSize w:val="1"/>
      <w:tblStyleColBandSize w:val="1"/>
      <w:tblCellMar>
        <w:left w:w="108" w:type="dxa"/>
        <w:right w:w="108" w:type="dxa"/>
      </w:tblCellMar>
    </w:tblPr>
  </w:style>
  <w:style w:type="table" w:customStyle="1" w:styleId="aa">
    <w:basedOn w:val="TableNormalf2"/>
    <w:tblPr>
      <w:tblStyleRowBandSize w:val="1"/>
      <w:tblStyleColBandSize w:val="1"/>
      <w:tblCellMar>
        <w:left w:w="115" w:type="dxa"/>
        <w:right w:w="115" w:type="dxa"/>
      </w:tblCellMar>
    </w:tblPr>
  </w:style>
  <w:style w:type="table" w:customStyle="1" w:styleId="ab">
    <w:basedOn w:val="TableNormalf2"/>
    <w:tblPr>
      <w:tblStyleRowBandSize w:val="1"/>
      <w:tblStyleColBandSize w:val="1"/>
      <w:tblCellMar>
        <w:left w:w="115" w:type="dxa"/>
        <w:right w:w="115" w:type="dxa"/>
      </w:tblCellMar>
    </w:tblPr>
  </w:style>
  <w:style w:type="table" w:customStyle="1" w:styleId="ac">
    <w:basedOn w:val="TableNormalf1"/>
    <w:tblPr>
      <w:tblStyleRowBandSize w:val="1"/>
      <w:tblStyleColBandSize w:val="1"/>
      <w:tblCellMar>
        <w:left w:w="108" w:type="dxa"/>
        <w:right w:w="108" w:type="dxa"/>
      </w:tblCellMar>
    </w:tblPr>
  </w:style>
  <w:style w:type="table" w:customStyle="1" w:styleId="ad">
    <w:basedOn w:val="TableNormalf1"/>
    <w:tblPr>
      <w:tblStyleRowBandSize w:val="1"/>
      <w:tblStyleColBandSize w:val="1"/>
      <w:tblCellMar>
        <w:left w:w="115" w:type="dxa"/>
        <w:right w:w="115" w:type="dxa"/>
      </w:tblCellMar>
    </w:tblPr>
  </w:style>
  <w:style w:type="table" w:customStyle="1" w:styleId="ae">
    <w:basedOn w:val="TableNormalf1"/>
    <w:tblPr>
      <w:tblStyleRowBandSize w:val="1"/>
      <w:tblStyleColBandSize w:val="1"/>
      <w:tblCellMar>
        <w:left w:w="115" w:type="dxa"/>
        <w:right w:w="115" w:type="dxa"/>
      </w:tblCellMar>
    </w:tblPr>
  </w:style>
  <w:style w:type="table" w:customStyle="1" w:styleId="af">
    <w:basedOn w:val="TableNormalf0"/>
    <w:tblPr>
      <w:tblStyleRowBandSize w:val="1"/>
      <w:tblStyleColBandSize w:val="1"/>
      <w:tblCellMar>
        <w:left w:w="115" w:type="dxa"/>
        <w:right w:w="115" w:type="dxa"/>
      </w:tblCellMar>
    </w:tblPr>
  </w:style>
  <w:style w:type="table" w:customStyle="1" w:styleId="af0">
    <w:basedOn w:val="TableNormalf0"/>
    <w:tblPr>
      <w:tblStyleRowBandSize w:val="1"/>
      <w:tblStyleColBandSize w:val="1"/>
      <w:tblCellMar>
        <w:left w:w="115" w:type="dxa"/>
        <w:right w:w="115" w:type="dxa"/>
      </w:tblCellMar>
    </w:tblPr>
  </w:style>
  <w:style w:type="table" w:customStyle="1" w:styleId="af1">
    <w:basedOn w:val="TableNormalf0"/>
    <w:tblPr>
      <w:tblStyleRowBandSize w:val="1"/>
      <w:tblStyleColBandSize w:val="1"/>
      <w:tblCellMar>
        <w:left w:w="115" w:type="dxa"/>
        <w:right w:w="115" w:type="dxa"/>
      </w:tblCellMar>
    </w:tblPr>
  </w:style>
  <w:style w:type="table" w:customStyle="1" w:styleId="af2">
    <w:basedOn w:val="TableNormalf"/>
    <w:tblPr>
      <w:tblStyleRowBandSize w:val="1"/>
      <w:tblStyleColBandSize w:val="1"/>
      <w:tblCellMar>
        <w:left w:w="115" w:type="dxa"/>
        <w:right w:w="115" w:type="dxa"/>
      </w:tblCellMar>
    </w:tblPr>
  </w:style>
  <w:style w:type="table" w:customStyle="1" w:styleId="af3">
    <w:basedOn w:val="TableNormalf"/>
    <w:tblPr>
      <w:tblStyleRowBandSize w:val="1"/>
      <w:tblStyleColBandSize w:val="1"/>
      <w:tblCellMar>
        <w:left w:w="115" w:type="dxa"/>
        <w:right w:w="115" w:type="dxa"/>
      </w:tblCellMar>
    </w:tblPr>
  </w:style>
  <w:style w:type="table" w:customStyle="1" w:styleId="af4">
    <w:basedOn w:val="TableNormale"/>
    <w:tblPr>
      <w:tblStyleRowBandSize w:val="1"/>
      <w:tblStyleColBandSize w:val="1"/>
      <w:tblCellMar>
        <w:left w:w="115" w:type="dxa"/>
        <w:right w:w="115" w:type="dxa"/>
      </w:tblCellMar>
    </w:tblPr>
  </w:style>
  <w:style w:type="table" w:customStyle="1" w:styleId="af5">
    <w:basedOn w:val="TableNormale"/>
    <w:tblPr>
      <w:tblStyleRowBandSize w:val="1"/>
      <w:tblStyleColBandSize w:val="1"/>
      <w:tblCellMar>
        <w:left w:w="115" w:type="dxa"/>
        <w:right w:w="115" w:type="dxa"/>
      </w:tblCellMar>
    </w:tblPr>
  </w:style>
  <w:style w:type="table" w:customStyle="1" w:styleId="af6">
    <w:basedOn w:val="TableNormald"/>
    <w:tblPr>
      <w:tblStyleRowBandSize w:val="1"/>
      <w:tblStyleColBandSize w:val="1"/>
      <w:tblCellMar>
        <w:left w:w="115" w:type="dxa"/>
        <w:right w:w="115" w:type="dxa"/>
      </w:tblCellMar>
    </w:tblPr>
  </w:style>
  <w:style w:type="table" w:customStyle="1" w:styleId="af7">
    <w:basedOn w:val="TableNormald"/>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c"/>
    <w:tblPr>
      <w:tblStyleRowBandSize w:val="1"/>
      <w:tblStyleColBandSize w:val="1"/>
      <w:tblCellMar>
        <w:left w:w="115" w:type="dxa"/>
        <w:right w:w="115" w:type="dxa"/>
      </w:tblCellMar>
    </w:tblPr>
  </w:style>
  <w:style w:type="table" w:customStyle="1" w:styleId="af9">
    <w:basedOn w:val="TableNormalc"/>
    <w:tblPr>
      <w:tblStyleRowBandSize w:val="1"/>
      <w:tblStyleColBandSize w:val="1"/>
      <w:tblCellMar>
        <w:left w:w="115" w:type="dxa"/>
        <w:right w:w="115" w:type="dxa"/>
      </w:tblCellMar>
    </w:tblPr>
  </w:style>
  <w:style w:type="table" w:customStyle="1" w:styleId="afa">
    <w:basedOn w:val="TableNormalb"/>
    <w:tblPr>
      <w:tblStyleRowBandSize w:val="1"/>
      <w:tblStyleColBandSize w:val="1"/>
      <w:tblCellMar>
        <w:left w:w="115" w:type="dxa"/>
        <w:right w:w="115" w:type="dxa"/>
      </w:tblCellMar>
    </w:tblPr>
  </w:style>
  <w:style w:type="table" w:customStyle="1" w:styleId="afb">
    <w:basedOn w:val="TableNormalb"/>
    <w:tblPr>
      <w:tblStyleRowBandSize w:val="1"/>
      <w:tblStyleColBandSize w:val="1"/>
      <w:tblCellMar>
        <w:left w:w="115" w:type="dxa"/>
        <w:right w:w="115" w:type="dxa"/>
      </w:tblCellMar>
    </w:tblPr>
  </w:style>
  <w:style w:type="table" w:customStyle="1" w:styleId="afc">
    <w:basedOn w:val="TableNormala"/>
    <w:tblPr>
      <w:tblStyleRowBandSize w:val="1"/>
      <w:tblStyleColBandSize w:val="1"/>
      <w:tblCellMar>
        <w:left w:w="115" w:type="dxa"/>
        <w:right w:w="115" w:type="dxa"/>
      </w:tblCellMar>
    </w:tblPr>
  </w:style>
  <w:style w:type="table" w:customStyle="1" w:styleId="afd">
    <w:basedOn w:val="TableNormala"/>
    <w:tblPr>
      <w:tblStyleRowBandSize w:val="1"/>
      <w:tblStyleColBandSize w:val="1"/>
      <w:tblCellMar>
        <w:left w:w="115" w:type="dxa"/>
        <w:right w:w="115" w:type="dxa"/>
      </w:tblCellMar>
    </w:tblPr>
  </w:style>
  <w:style w:type="table" w:customStyle="1" w:styleId="afe">
    <w:basedOn w:val="TableNormal9"/>
    <w:tblPr>
      <w:tblStyleRowBandSize w:val="1"/>
      <w:tblStyleColBandSize w:val="1"/>
      <w:tblCellMar>
        <w:left w:w="115" w:type="dxa"/>
        <w:right w:w="115" w:type="dxa"/>
      </w:tblCellMar>
    </w:tblPr>
  </w:style>
  <w:style w:type="table" w:customStyle="1" w:styleId="aff">
    <w:basedOn w:val="TableNormal9"/>
    <w:tblPr>
      <w:tblStyleRowBandSize w:val="1"/>
      <w:tblStyleColBandSize w:val="1"/>
      <w:tblCellMar>
        <w:left w:w="115" w:type="dxa"/>
        <w:right w:w="115" w:type="dxa"/>
      </w:tblCellMar>
    </w:tblPr>
  </w:style>
  <w:style w:type="table" w:customStyle="1" w:styleId="aff0">
    <w:basedOn w:val="TableNormal8"/>
    <w:tblPr>
      <w:tblStyleRowBandSize w:val="1"/>
      <w:tblStyleColBandSize w:val="1"/>
      <w:tblCellMar>
        <w:left w:w="115" w:type="dxa"/>
        <w:right w:w="115" w:type="dxa"/>
      </w:tblCellMar>
    </w:tblPr>
  </w:style>
  <w:style w:type="table" w:customStyle="1" w:styleId="aff1">
    <w:basedOn w:val="TableNormal8"/>
    <w:tblPr>
      <w:tblStyleRowBandSize w:val="1"/>
      <w:tblStyleColBandSize w:val="1"/>
      <w:tblCellMar>
        <w:left w:w="115" w:type="dxa"/>
        <w:right w:w="115" w:type="dxa"/>
      </w:tblCellMar>
    </w:tblPr>
  </w:style>
  <w:style w:type="table" w:customStyle="1" w:styleId="aff2">
    <w:basedOn w:val="TableNormal7"/>
    <w:tblPr>
      <w:tblStyleRowBandSize w:val="1"/>
      <w:tblStyleColBandSize w:val="1"/>
      <w:tblCellMar>
        <w:left w:w="115" w:type="dxa"/>
        <w:right w:w="115" w:type="dxa"/>
      </w:tblCellMar>
    </w:tblPr>
  </w:style>
  <w:style w:type="table" w:customStyle="1" w:styleId="aff3">
    <w:basedOn w:val="TableNormal7"/>
    <w:tblPr>
      <w:tblStyleRowBandSize w:val="1"/>
      <w:tblStyleColBandSize w:val="1"/>
      <w:tblCellMar>
        <w:left w:w="115" w:type="dxa"/>
        <w:right w:w="115" w:type="dxa"/>
      </w:tblCellMar>
    </w:tblPr>
  </w:style>
  <w:style w:type="table" w:customStyle="1" w:styleId="aff4">
    <w:basedOn w:val="TableNormal6"/>
    <w:tblPr>
      <w:tblStyleRowBandSize w:val="1"/>
      <w:tblStyleColBandSize w:val="1"/>
      <w:tblCellMar>
        <w:left w:w="115" w:type="dxa"/>
        <w:right w:w="115" w:type="dxa"/>
      </w:tblCellMar>
    </w:tblPr>
  </w:style>
  <w:style w:type="table" w:customStyle="1" w:styleId="aff5">
    <w:basedOn w:val="TableNormal6"/>
    <w:tblPr>
      <w:tblStyleRowBandSize w:val="1"/>
      <w:tblStyleColBandSize w:val="1"/>
      <w:tblCellMar>
        <w:left w:w="115" w:type="dxa"/>
        <w:right w:w="115" w:type="dxa"/>
      </w:tblCellMar>
    </w:tblPr>
  </w:style>
  <w:style w:type="table" w:customStyle="1" w:styleId="aff6">
    <w:basedOn w:val="TableNormal5"/>
    <w:tblPr>
      <w:tblStyleRowBandSize w:val="1"/>
      <w:tblStyleColBandSize w:val="1"/>
      <w:tblCellMar>
        <w:left w:w="115" w:type="dxa"/>
        <w:right w:w="115" w:type="dxa"/>
      </w:tblCellMar>
    </w:tblPr>
  </w:style>
  <w:style w:type="table" w:customStyle="1" w:styleId="aff7">
    <w:basedOn w:val="TableNormal5"/>
    <w:tblPr>
      <w:tblStyleRowBandSize w:val="1"/>
      <w:tblStyleColBandSize w:val="1"/>
      <w:tblCellMar>
        <w:left w:w="115" w:type="dxa"/>
        <w:right w:w="115" w:type="dxa"/>
      </w:tblCellMar>
    </w:tblPr>
  </w:style>
  <w:style w:type="table" w:customStyle="1" w:styleId="aff8">
    <w:basedOn w:val="TableNormal4"/>
    <w:tblPr>
      <w:tblStyleRowBandSize w:val="1"/>
      <w:tblStyleColBandSize w:val="1"/>
      <w:tblCellMar>
        <w:left w:w="115" w:type="dxa"/>
        <w:right w:w="115" w:type="dxa"/>
      </w:tblCellMar>
    </w:tblPr>
  </w:style>
  <w:style w:type="table" w:customStyle="1" w:styleId="aff9">
    <w:basedOn w:val="TableNormal4"/>
    <w:tblPr>
      <w:tblStyleRowBandSize w:val="1"/>
      <w:tblStyleColBandSize w:val="1"/>
      <w:tblCellMar>
        <w:left w:w="115" w:type="dxa"/>
        <w:right w:w="115" w:type="dxa"/>
      </w:tblCellMar>
    </w:tblPr>
  </w:style>
  <w:style w:type="table" w:customStyle="1" w:styleId="affa">
    <w:basedOn w:val="TableNormal3"/>
    <w:tblPr>
      <w:tblStyleRowBandSize w:val="1"/>
      <w:tblStyleColBandSize w:val="1"/>
      <w:tblCellMar>
        <w:left w:w="115" w:type="dxa"/>
        <w:right w:w="115" w:type="dxa"/>
      </w:tblCellMar>
    </w:tblPr>
  </w:style>
  <w:style w:type="table" w:customStyle="1" w:styleId="affb">
    <w:basedOn w:val="TableNormal3"/>
    <w:tblPr>
      <w:tblStyleRowBandSize w:val="1"/>
      <w:tblStyleColBandSize w:val="1"/>
      <w:tblCellMar>
        <w:left w:w="115" w:type="dxa"/>
        <w:right w:w="115" w:type="dxa"/>
      </w:tblCellMar>
    </w:tblPr>
  </w:style>
  <w:style w:type="table" w:customStyle="1" w:styleId="affc">
    <w:basedOn w:val="TableNormal2"/>
    <w:tblPr>
      <w:tblStyleRowBandSize w:val="1"/>
      <w:tblStyleColBandSize w:val="1"/>
      <w:tblCellMar>
        <w:left w:w="115" w:type="dxa"/>
        <w:right w:w="115" w:type="dxa"/>
      </w:tblCellMar>
    </w:tblPr>
  </w:style>
  <w:style w:type="table" w:customStyle="1" w:styleId="affd">
    <w:basedOn w:val="TableNormal2"/>
    <w:tblPr>
      <w:tblStyleRowBandSize w:val="1"/>
      <w:tblStyleColBandSize w:val="1"/>
      <w:tblCellMar>
        <w:left w:w="115" w:type="dxa"/>
        <w:right w:w="115" w:type="dxa"/>
      </w:tblCellMar>
    </w:tblPr>
  </w:style>
  <w:style w:type="table" w:customStyle="1" w:styleId="affe">
    <w:basedOn w:val="TableNormal1"/>
    <w:tblPr>
      <w:tblStyleRowBandSize w:val="1"/>
      <w:tblStyleColBandSize w:val="1"/>
      <w:tblCellMar>
        <w:left w:w="115" w:type="dxa"/>
        <w:right w:w="115" w:type="dxa"/>
      </w:tblCellMar>
    </w:tblPr>
  </w:style>
  <w:style w:type="table" w:customStyle="1" w:styleId="afff">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0">
    <w:basedOn w:val="TableNormal0"/>
    <w:tblPr>
      <w:tblStyleRowBandSize w:val="1"/>
      <w:tblStyleColBandSize w:val="1"/>
      <w:tblCellMar>
        <w:top w:w="0" w:type="dxa"/>
        <w:left w:w="115" w:type="dxa"/>
        <w:bottom w:w="0" w:type="dxa"/>
        <w:right w:w="115" w:type="dxa"/>
      </w:tblCellMar>
    </w:tblPr>
  </w:style>
  <w:style w:type="table" w:customStyle="1" w:styleId="afff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indetec.gob.mx/delivery?srv=0&amp;sl=3&amp;path=/biblioteca/Especiales/386_Glosario_Terminos_Proceso_Planeac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askFtroMsINCx8VQXW6XiHhJ+A==">CgMxLjAyCWguM3JkY3JqbjIOaC5kYWozajJ4bzZxNjYyCGguZ2pkZ3hzMgloLjNkeTZ2a20yCWguMzBqMHpsbDIJaC4yczhleW8xMghoLnR5amN3dDIJaC4zem55c2g3MgloLjJldDkycDAyCWguMXQzaDVzZjIJaC4xZm9iOXRlMg5oLjU4ZGh6ejh5Mng2ajIOaC5vdDNxcTZ2eGEwOGYyCGgubG54Yno5OAByITF6X253blllVjg3NE1QMVlZRlpKbWpzWnFaRDN1ZFBV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9183</Words>
  <Characters>50508</Characters>
  <Application>Microsoft Office Word</Application>
  <DocSecurity>0</DocSecurity>
  <Lines>420</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2025-11-07T17:04:00Z</cp:lastPrinted>
  <dcterms:created xsi:type="dcterms:W3CDTF">2025-12-08T17:35:00Z</dcterms:created>
  <dcterms:modified xsi:type="dcterms:W3CDTF">2025-12-08T17:35:00Z</dcterms:modified>
</cp:coreProperties>
</file>