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D42E"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2D5F96">
        <w:rPr>
          <w:rFonts w:ascii="Palatino Linotype" w:eastAsia="Palatino Linotype" w:hAnsi="Palatino Linotype" w:cs="Palatino Linotype"/>
          <w:b/>
          <w:sz w:val="22"/>
          <w:szCs w:val="22"/>
        </w:rPr>
        <w:t>catorce de mayo de dos mil veinticinco</w:t>
      </w:r>
      <w:r w:rsidRPr="002D5F96">
        <w:rPr>
          <w:rFonts w:ascii="Palatino Linotype" w:eastAsia="Palatino Linotype" w:hAnsi="Palatino Linotype" w:cs="Palatino Linotype"/>
          <w:sz w:val="22"/>
          <w:szCs w:val="22"/>
        </w:rPr>
        <w:t xml:space="preserve">. </w:t>
      </w:r>
    </w:p>
    <w:p w14:paraId="226BA089" w14:textId="77777777" w:rsidR="0049429D" w:rsidRPr="002D5F96" w:rsidRDefault="00311CBA">
      <w:pPr>
        <w:spacing w:before="240" w:after="240" w:line="360" w:lineRule="auto"/>
        <w:jc w:val="both"/>
        <w:rPr>
          <w:rFonts w:ascii="Palatino Linotype" w:eastAsia="Palatino Linotype" w:hAnsi="Palatino Linotype" w:cs="Palatino Linotype"/>
          <w:sz w:val="20"/>
          <w:szCs w:val="20"/>
        </w:rPr>
      </w:pPr>
      <w:r w:rsidRPr="002D5F96">
        <w:rPr>
          <w:rFonts w:ascii="Palatino Linotype" w:eastAsia="Palatino Linotype" w:hAnsi="Palatino Linotype" w:cs="Palatino Linotype"/>
          <w:b/>
          <w:sz w:val="22"/>
          <w:szCs w:val="22"/>
        </w:rPr>
        <w:t>Visto</w:t>
      </w:r>
      <w:r w:rsidRPr="002D5F96">
        <w:rPr>
          <w:rFonts w:ascii="Palatino Linotype" w:eastAsia="Palatino Linotype" w:hAnsi="Palatino Linotype" w:cs="Palatino Linotype"/>
          <w:sz w:val="22"/>
          <w:szCs w:val="22"/>
        </w:rPr>
        <w:t xml:space="preserve"> el expediente formado con motivo del recurso de revisión </w:t>
      </w:r>
      <w:r w:rsidR="004B3829" w:rsidRPr="002D5F96">
        <w:rPr>
          <w:rFonts w:ascii="Palatino Linotype" w:eastAsia="Palatino Linotype" w:hAnsi="Palatino Linotype" w:cs="Palatino Linotype"/>
          <w:b/>
          <w:sz w:val="22"/>
          <w:szCs w:val="22"/>
        </w:rPr>
        <w:t>02779/INFOEM/IP/RR/2025</w:t>
      </w:r>
      <w:r w:rsidRPr="002D5F96">
        <w:rPr>
          <w:rFonts w:ascii="Palatino Linotype" w:eastAsia="Palatino Linotype" w:hAnsi="Palatino Linotype" w:cs="Palatino Linotype"/>
          <w:sz w:val="22"/>
          <w:szCs w:val="22"/>
        </w:rPr>
        <w:t>, interpuesto por</w:t>
      </w:r>
      <w:r w:rsidRPr="002D5F96">
        <w:rPr>
          <w:rFonts w:ascii="Palatino Linotype" w:eastAsia="Palatino Linotype" w:hAnsi="Palatino Linotype" w:cs="Palatino Linotype"/>
          <w:b/>
          <w:sz w:val="22"/>
          <w:szCs w:val="22"/>
        </w:rPr>
        <w:t xml:space="preserve"> un particular de manera anónima,</w:t>
      </w:r>
      <w:r w:rsidRPr="002D5F96">
        <w:rPr>
          <w:rFonts w:ascii="Palatino Linotype" w:eastAsia="Palatino Linotype" w:hAnsi="Palatino Linotype" w:cs="Palatino Linotype"/>
          <w:sz w:val="22"/>
          <w:szCs w:val="22"/>
        </w:rPr>
        <w:t xml:space="preserve"> en lo sucesivo</w:t>
      </w:r>
      <w:r w:rsidRPr="002D5F96">
        <w:rPr>
          <w:rFonts w:ascii="Palatino Linotype" w:eastAsia="Palatino Linotype" w:hAnsi="Palatino Linotype" w:cs="Palatino Linotype"/>
          <w:b/>
          <w:sz w:val="22"/>
          <w:szCs w:val="22"/>
        </w:rPr>
        <w:t xml:space="preserve"> 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xml:space="preserve"> en contra de la respuesta a su solicitud por parte del </w:t>
      </w:r>
      <w:r w:rsidR="004B3829" w:rsidRPr="002D5F96">
        <w:rPr>
          <w:rFonts w:ascii="Palatino Linotype" w:eastAsia="Palatino Linotype" w:hAnsi="Palatino Linotype" w:cs="Palatino Linotype"/>
          <w:b/>
          <w:sz w:val="22"/>
          <w:szCs w:val="22"/>
        </w:rPr>
        <w:t>Sistema Municipal para el Desarrollo Integral de la Familia de Cocotitlán</w:t>
      </w:r>
      <w:r w:rsidRPr="002D5F96">
        <w:rPr>
          <w:rFonts w:ascii="Palatino Linotype" w:eastAsia="Palatino Linotype" w:hAnsi="Palatino Linotype" w:cs="Palatino Linotype"/>
          <w:b/>
          <w:sz w:val="22"/>
          <w:szCs w:val="22"/>
        </w:rPr>
        <w:t xml:space="preserve">, </w:t>
      </w:r>
      <w:r w:rsidRPr="002D5F96">
        <w:rPr>
          <w:rFonts w:ascii="Palatino Linotype" w:eastAsia="Palatino Linotype" w:hAnsi="Palatino Linotype" w:cs="Palatino Linotype"/>
          <w:sz w:val="22"/>
          <w:szCs w:val="22"/>
        </w:rPr>
        <w:t xml:space="preserve">en lo sucesivo el </w:t>
      </w:r>
      <w:r w:rsidRPr="002D5F96">
        <w:rPr>
          <w:rFonts w:ascii="Palatino Linotype" w:eastAsia="Palatino Linotype" w:hAnsi="Palatino Linotype" w:cs="Palatino Linotype"/>
          <w:b/>
          <w:sz w:val="22"/>
          <w:szCs w:val="22"/>
        </w:rPr>
        <w:t xml:space="preserve">Sujeto Obligado, </w:t>
      </w:r>
      <w:r w:rsidRPr="002D5F96">
        <w:rPr>
          <w:rFonts w:ascii="Palatino Linotype" w:eastAsia="Palatino Linotype" w:hAnsi="Palatino Linotype" w:cs="Palatino Linotype"/>
          <w:sz w:val="22"/>
          <w:szCs w:val="22"/>
        </w:rPr>
        <w:t xml:space="preserve">se procede a dictar la presente resolución con base en los siguientes: </w:t>
      </w:r>
    </w:p>
    <w:p w14:paraId="15FA679D" w14:textId="77777777" w:rsidR="0049429D" w:rsidRPr="002D5F96" w:rsidRDefault="00311CBA">
      <w:pPr>
        <w:spacing w:before="240" w:after="240" w:line="360" w:lineRule="auto"/>
        <w:jc w:val="center"/>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I. A N T E C E D E N T E S</w:t>
      </w:r>
    </w:p>
    <w:p w14:paraId="42659C38"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1. Solicitud de acceso a la información.</w:t>
      </w:r>
      <w:r w:rsidRPr="002D5F96">
        <w:rPr>
          <w:rFonts w:ascii="Palatino Linotype" w:eastAsia="Palatino Linotype" w:hAnsi="Palatino Linotype" w:cs="Palatino Linotype"/>
          <w:sz w:val="22"/>
          <w:szCs w:val="22"/>
        </w:rPr>
        <w:t xml:space="preserve"> El </w:t>
      </w:r>
      <w:r w:rsidR="004B3829" w:rsidRPr="002D5F96">
        <w:rPr>
          <w:rFonts w:ascii="Palatino Linotype" w:eastAsia="Palatino Linotype" w:hAnsi="Palatino Linotype" w:cs="Palatino Linotype"/>
          <w:b/>
          <w:sz w:val="22"/>
          <w:szCs w:val="22"/>
        </w:rPr>
        <w:t>diecisiete</w:t>
      </w:r>
      <w:r w:rsidRPr="002D5F96">
        <w:rPr>
          <w:rFonts w:ascii="Palatino Linotype" w:eastAsia="Palatino Linotype" w:hAnsi="Palatino Linotype" w:cs="Palatino Linotype"/>
          <w:b/>
          <w:sz w:val="22"/>
          <w:szCs w:val="22"/>
        </w:rPr>
        <w:t xml:space="preserve"> de febrero de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dos mil veinticinco,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 xml:space="preserve">Recurrente </w:t>
      </w:r>
      <w:r w:rsidRPr="002D5F96">
        <w:rPr>
          <w:rFonts w:ascii="Palatino Linotype" w:eastAsia="Palatino Linotype" w:hAnsi="Palatino Linotype" w:cs="Palatino Linotype"/>
          <w:sz w:val="22"/>
          <w:szCs w:val="22"/>
        </w:rPr>
        <w:t xml:space="preserve">presentó, a través del Sistema de Acceso a la Información Mexiquense, en lo subsecuente el </w:t>
      </w:r>
      <w:r w:rsidRPr="002D5F96">
        <w:rPr>
          <w:rFonts w:ascii="Palatino Linotype" w:eastAsia="Palatino Linotype" w:hAnsi="Palatino Linotype" w:cs="Palatino Linotype"/>
          <w:b/>
          <w:sz w:val="22"/>
          <w:szCs w:val="22"/>
        </w:rPr>
        <w:t>SAIMEX,</w:t>
      </w:r>
      <w:r w:rsidRPr="002D5F96">
        <w:rPr>
          <w:rFonts w:ascii="Palatino Linotype" w:eastAsia="Palatino Linotype" w:hAnsi="Palatino Linotype" w:cs="Palatino Linotype"/>
          <w:sz w:val="22"/>
          <w:szCs w:val="22"/>
        </w:rPr>
        <w:t xml:space="preserve"> ante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la solicitud de acceso a la información pública, a la que se le asignó el número</w:t>
      </w:r>
      <w:r w:rsidRPr="002D5F96">
        <w:rPr>
          <w:rFonts w:ascii="Palatino Linotype" w:eastAsia="Palatino Linotype" w:hAnsi="Palatino Linotype" w:cs="Palatino Linotype"/>
          <w:b/>
          <w:sz w:val="22"/>
          <w:szCs w:val="22"/>
        </w:rPr>
        <w:t xml:space="preserve"> </w:t>
      </w:r>
      <w:r w:rsidR="004B3829" w:rsidRPr="002D5F96">
        <w:rPr>
          <w:rFonts w:ascii="Palatino Linotype" w:eastAsia="Palatino Linotype" w:hAnsi="Palatino Linotype" w:cs="Palatino Linotype"/>
          <w:b/>
          <w:sz w:val="22"/>
          <w:szCs w:val="22"/>
        </w:rPr>
        <w:t>00014/DIFCOCOTITLAN/IP/2025</w:t>
      </w:r>
      <w:r w:rsidRPr="002D5F96">
        <w:rPr>
          <w:rFonts w:ascii="Palatino Linotype" w:eastAsia="Palatino Linotype" w:hAnsi="Palatino Linotype" w:cs="Palatino Linotype"/>
          <w:b/>
          <w:sz w:val="22"/>
          <w:szCs w:val="22"/>
        </w:rPr>
        <w:t xml:space="preserve">, </w:t>
      </w:r>
      <w:r w:rsidRPr="002D5F96">
        <w:rPr>
          <w:rFonts w:ascii="Palatino Linotype" w:eastAsia="Palatino Linotype" w:hAnsi="Palatino Linotype" w:cs="Palatino Linotype"/>
          <w:sz w:val="22"/>
          <w:szCs w:val="22"/>
        </w:rPr>
        <w:t xml:space="preserve">mediante la cual requirió la información siguiente: </w:t>
      </w:r>
    </w:p>
    <w:p w14:paraId="4F26F44C" w14:textId="77777777" w:rsidR="0049429D" w:rsidRPr="002D5F96" w:rsidRDefault="00311CBA">
      <w:pPr>
        <w:spacing w:before="240" w:after="240"/>
        <w:ind w:left="567" w:right="902"/>
        <w:jc w:val="both"/>
        <w:rPr>
          <w:rFonts w:ascii="Palatino Linotype" w:eastAsia="Palatino Linotype" w:hAnsi="Palatino Linotype" w:cs="Palatino Linotype"/>
          <w:i/>
          <w:sz w:val="22"/>
          <w:szCs w:val="22"/>
        </w:rPr>
      </w:pPr>
      <w:bookmarkStart w:id="0" w:name="_heading=h.gjdgxs" w:colFirst="0" w:colLast="0"/>
      <w:bookmarkEnd w:id="0"/>
      <w:r w:rsidRPr="002D5F96">
        <w:rPr>
          <w:rFonts w:ascii="Palatino Linotype" w:eastAsia="Palatino Linotype" w:hAnsi="Palatino Linotype" w:cs="Palatino Linotype"/>
          <w:i/>
          <w:sz w:val="22"/>
          <w:szCs w:val="22"/>
        </w:rPr>
        <w:t>“</w:t>
      </w:r>
      <w:r w:rsidR="004B3829" w:rsidRPr="002D5F96">
        <w:rPr>
          <w:rFonts w:ascii="Palatino Linotype" w:eastAsia="Palatino Linotype" w:hAnsi="Palatino Linotype" w:cs="Palatino Linotype"/>
          <w:i/>
          <w:sz w:val="22"/>
          <w:szCs w:val="22"/>
        </w:rPr>
        <w:t xml:space="preserve">Caratula de asignación de presupuesto asignado para este año 2025 del </w:t>
      </w:r>
      <w:proofErr w:type="spellStart"/>
      <w:r w:rsidR="004B3829" w:rsidRPr="002D5F96">
        <w:rPr>
          <w:rFonts w:ascii="Palatino Linotype" w:eastAsia="Palatino Linotype" w:hAnsi="Palatino Linotype" w:cs="Palatino Linotype"/>
          <w:i/>
          <w:sz w:val="22"/>
          <w:szCs w:val="22"/>
        </w:rPr>
        <w:t>dif</w:t>
      </w:r>
      <w:proofErr w:type="spellEnd"/>
      <w:r w:rsidR="004B3829" w:rsidRPr="002D5F96">
        <w:rPr>
          <w:rFonts w:ascii="Palatino Linotype" w:eastAsia="Palatino Linotype" w:hAnsi="Palatino Linotype" w:cs="Palatino Linotype"/>
          <w:i/>
          <w:sz w:val="22"/>
          <w:szCs w:val="22"/>
        </w:rPr>
        <w:t xml:space="preserve"> municipal de Cocotitlán 2025-2027, </w:t>
      </w:r>
      <w:proofErr w:type="spellStart"/>
      <w:r w:rsidR="004B3829" w:rsidRPr="002D5F96">
        <w:rPr>
          <w:rFonts w:ascii="Palatino Linotype" w:eastAsia="Palatino Linotype" w:hAnsi="Palatino Linotype" w:cs="Palatino Linotype"/>
          <w:i/>
          <w:sz w:val="22"/>
          <w:szCs w:val="22"/>
        </w:rPr>
        <w:t>asi</w:t>
      </w:r>
      <w:proofErr w:type="spellEnd"/>
      <w:r w:rsidR="004B3829" w:rsidRPr="002D5F96">
        <w:rPr>
          <w:rFonts w:ascii="Palatino Linotype" w:eastAsia="Palatino Linotype" w:hAnsi="Palatino Linotype" w:cs="Palatino Linotype"/>
          <w:i/>
          <w:sz w:val="22"/>
          <w:szCs w:val="22"/>
        </w:rPr>
        <w:t xml:space="preserve"> como un </w:t>
      </w:r>
      <w:proofErr w:type="spellStart"/>
      <w:r w:rsidR="004B3829" w:rsidRPr="002D5F96">
        <w:rPr>
          <w:rFonts w:ascii="Palatino Linotype" w:eastAsia="Palatino Linotype" w:hAnsi="Palatino Linotype" w:cs="Palatino Linotype"/>
          <w:i/>
          <w:sz w:val="22"/>
          <w:szCs w:val="22"/>
        </w:rPr>
        <w:t>desaglose</w:t>
      </w:r>
      <w:proofErr w:type="spellEnd"/>
      <w:r w:rsidR="004B3829" w:rsidRPr="002D5F96">
        <w:rPr>
          <w:rFonts w:ascii="Palatino Linotype" w:eastAsia="Palatino Linotype" w:hAnsi="Palatino Linotype" w:cs="Palatino Linotype"/>
          <w:i/>
          <w:sz w:val="22"/>
          <w:szCs w:val="22"/>
        </w:rPr>
        <w:t xml:space="preserve"> de los gastos que se han erogado del 1 de enero a la fecha de la presente solicitud.</w:t>
      </w:r>
      <w:r w:rsidRPr="002D5F96">
        <w:rPr>
          <w:rFonts w:ascii="Palatino Linotype" w:eastAsia="Palatino Linotype" w:hAnsi="Palatino Linotype" w:cs="Palatino Linotype"/>
          <w:i/>
          <w:sz w:val="22"/>
          <w:szCs w:val="22"/>
        </w:rPr>
        <w:t xml:space="preserve">” (Sic) </w:t>
      </w:r>
    </w:p>
    <w:p w14:paraId="2476ED4A" w14:textId="77777777" w:rsidR="0049429D" w:rsidRPr="002D5F96" w:rsidRDefault="00311CBA">
      <w:pPr>
        <w:spacing w:before="240" w:after="240" w:line="360" w:lineRule="auto"/>
        <w:ind w:right="49"/>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Modalidad de Entrega:</w:t>
      </w:r>
      <w:r w:rsidRPr="002D5F96">
        <w:rPr>
          <w:rFonts w:ascii="Palatino Linotype" w:eastAsia="Palatino Linotype" w:hAnsi="Palatino Linotype" w:cs="Palatino Linotype"/>
          <w:sz w:val="22"/>
          <w:szCs w:val="22"/>
        </w:rPr>
        <w:t xml:space="preserve"> a través </w:t>
      </w:r>
      <w:r w:rsidRPr="002D5F96">
        <w:rPr>
          <w:rFonts w:ascii="Palatino Linotype" w:eastAsia="Palatino Linotype" w:hAnsi="Palatino Linotype" w:cs="Palatino Linotype"/>
          <w:b/>
          <w:sz w:val="22"/>
          <w:szCs w:val="22"/>
        </w:rPr>
        <w:t>del SAIMEX.</w:t>
      </w:r>
    </w:p>
    <w:p w14:paraId="0179F605" w14:textId="77777777" w:rsidR="0049429D" w:rsidRPr="002D5F96" w:rsidRDefault="00311CBA">
      <w:pPr>
        <w:spacing w:before="240" w:after="240" w:line="360" w:lineRule="auto"/>
        <w:jc w:val="both"/>
        <w:rPr>
          <w:rFonts w:ascii="Palatino Linotype" w:eastAsia="Palatino Linotype" w:hAnsi="Palatino Linotype" w:cs="Palatino Linotype"/>
          <w:b/>
          <w:sz w:val="22"/>
          <w:szCs w:val="22"/>
        </w:rPr>
      </w:pPr>
      <w:bookmarkStart w:id="1" w:name="_heading=h.3dy6vkm" w:colFirst="0" w:colLast="0"/>
      <w:bookmarkEnd w:id="1"/>
      <w:r w:rsidRPr="002D5F96">
        <w:rPr>
          <w:rFonts w:ascii="Palatino Linotype" w:eastAsia="Palatino Linotype" w:hAnsi="Palatino Linotype" w:cs="Palatino Linotype"/>
          <w:b/>
          <w:sz w:val="22"/>
          <w:szCs w:val="22"/>
        </w:rPr>
        <w:t xml:space="preserve">2. Respuesta. </w:t>
      </w:r>
      <w:r w:rsidRPr="002D5F96">
        <w:rPr>
          <w:rFonts w:ascii="Palatino Linotype" w:eastAsia="Palatino Linotype" w:hAnsi="Palatino Linotype" w:cs="Palatino Linotype"/>
          <w:sz w:val="22"/>
          <w:szCs w:val="22"/>
        </w:rPr>
        <w:t xml:space="preserve">El </w:t>
      </w:r>
      <w:r w:rsidR="004B3829" w:rsidRPr="002D5F96">
        <w:rPr>
          <w:rFonts w:ascii="Palatino Linotype" w:eastAsia="Palatino Linotype" w:hAnsi="Palatino Linotype" w:cs="Palatino Linotype"/>
          <w:b/>
          <w:sz w:val="22"/>
          <w:szCs w:val="22"/>
        </w:rPr>
        <w:t>once</w:t>
      </w:r>
      <w:r w:rsidRPr="002D5F96">
        <w:rPr>
          <w:rFonts w:ascii="Palatino Linotype" w:eastAsia="Palatino Linotype" w:hAnsi="Palatino Linotype" w:cs="Palatino Linotype"/>
          <w:b/>
          <w:sz w:val="22"/>
          <w:szCs w:val="22"/>
        </w:rPr>
        <w:t xml:space="preserve"> de marzo de dos mil veinticinco</w:t>
      </w:r>
      <w:r w:rsidRPr="002D5F96">
        <w:rPr>
          <w:rFonts w:ascii="Palatino Linotype" w:eastAsia="Palatino Linotype" w:hAnsi="Palatino Linotype" w:cs="Palatino Linotype"/>
          <w:sz w:val="22"/>
          <w:szCs w:val="22"/>
        </w:rPr>
        <w:t xml:space="preserve">, el </w:t>
      </w:r>
      <w:r w:rsidRPr="002D5F96">
        <w:rPr>
          <w:rFonts w:ascii="Palatino Linotype" w:eastAsia="Palatino Linotype" w:hAnsi="Palatino Linotype" w:cs="Palatino Linotype"/>
          <w:b/>
          <w:sz w:val="22"/>
          <w:szCs w:val="22"/>
        </w:rPr>
        <w:t xml:space="preserve">Sujeto Obligado </w:t>
      </w:r>
      <w:r w:rsidRPr="002D5F96">
        <w:rPr>
          <w:rFonts w:ascii="Palatino Linotype" w:eastAsia="Palatino Linotype" w:hAnsi="Palatino Linotype" w:cs="Palatino Linotype"/>
          <w:sz w:val="22"/>
          <w:szCs w:val="22"/>
        </w:rPr>
        <w:t xml:space="preserve">declaró su incompetencia para atender la solicitud de acceso a la información a través de SAIMEX, sustancialmente en los términos siguientes:   </w:t>
      </w:r>
    </w:p>
    <w:p w14:paraId="3EDFD1E4" w14:textId="77777777" w:rsidR="004B3829" w:rsidRPr="002D5F96" w:rsidRDefault="00311CBA" w:rsidP="004B3829">
      <w:pPr>
        <w:spacing w:before="240" w:after="240"/>
        <w:ind w:left="567" w:right="902"/>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lastRenderedPageBreak/>
        <w:t>“</w:t>
      </w:r>
      <w:r w:rsidR="004B3829" w:rsidRPr="002D5F96">
        <w:rPr>
          <w:rFonts w:ascii="Palatino Linotype" w:eastAsia="Palatino Linotype" w:hAnsi="Palatino Linotype" w:cs="Palatino Linotype"/>
          <w:i/>
          <w:sz w:val="22"/>
          <w:szCs w:val="22"/>
        </w:rPr>
        <w:t>Con fundamento en los artículos 150, 151, 152 y 160 de la Ley de Transparencia y Acceso a la Información Pública del Estado de México y Municipios, me permito adjuntar a este el catálogo de servicios y sus costos, para el cotejo del solicitante. De la misma manera, le recordamos que usted dispone de un plazo de 15 días hábiles, contados a partir de que le fue notificada esta respuesta, para interponer un Recurso de Revisión en términos del Artículo 176° de la Ley de Transparencia y Acceso a la Información Pública del Estado de México y Municipios.</w:t>
      </w:r>
    </w:p>
    <w:p w14:paraId="2B83FAE3" w14:textId="77777777" w:rsidR="0049429D" w:rsidRPr="002D5F96" w:rsidRDefault="004B3829" w:rsidP="004B3829">
      <w:pPr>
        <w:spacing w:before="240" w:after="240"/>
        <w:ind w:left="567" w:right="902"/>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ATENTAMENTE</w:t>
      </w:r>
      <w:r w:rsidR="00311CBA" w:rsidRPr="002D5F96">
        <w:rPr>
          <w:rFonts w:ascii="Palatino Linotype" w:eastAsia="Palatino Linotype" w:hAnsi="Palatino Linotype" w:cs="Palatino Linotype"/>
          <w:i/>
          <w:sz w:val="22"/>
          <w:szCs w:val="22"/>
        </w:rPr>
        <w:t>” (Sic)</w:t>
      </w:r>
    </w:p>
    <w:p w14:paraId="013C9A5B" w14:textId="77777777" w:rsidR="0049429D" w:rsidRPr="002D5F96" w:rsidRDefault="00311CBA">
      <w:pPr>
        <w:spacing w:before="240" w:after="240"/>
        <w:ind w:left="567" w:right="902"/>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Archivos adjuntos:</w:t>
      </w:r>
    </w:p>
    <w:p w14:paraId="0CFA37E7" w14:textId="77777777" w:rsidR="0049429D" w:rsidRPr="002D5F96" w:rsidRDefault="00311CBA" w:rsidP="004B3829">
      <w:pPr>
        <w:spacing w:before="240" w:after="240" w:line="360" w:lineRule="auto"/>
        <w:ind w:left="567" w:right="902"/>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i/>
          <w:sz w:val="22"/>
          <w:szCs w:val="22"/>
        </w:rPr>
        <w:t>“</w:t>
      </w:r>
      <w:r w:rsidR="004B3829" w:rsidRPr="002D5F96">
        <w:rPr>
          <w:rFonts w:ascii="Palatino Linotype" w:eastAsia="Palatino Linotype" w:hAnsi="Palatino Linotype" w:cs="Palatino Linotype"/>
          <w:b/>
          <w:i/>
          <w:sz w:val="22"/>
          <w:szCs w:val="22"/>
        </w:rPr>
        <w:t>14-25.pdf</w:t>
      </w:r>
      <w:r w:rsidRPr="002D5F96">
        <w:rPr>
          <w:rFonts w:ascii="Palatino Linotype" w:eastAsia="Palatino Linotype" w:hAnsi="Palatino Linotype" w:cs="Palatino Linotype"/>
          <w:b/>
          <w:i/>
          <w:sz w:val="22"/>
          <w:szCs w:val="22"/>
        </w:rPr>
        <w:t xml:space="preserve">”: </w:t>
      </w:r>
      <w:r w:rsidR="004B3829" w:rsidRPr="002D5F96">
        <w:rPr>
          <w:rFonts w:ascii="Palatino Linotype" w:eastAsia="Palatino Linotype" w:hAnsi="Palatino Linotype" w:cs="Palatino Linotype"/>
          <w:sz w:val="22"/>
          <w:szCs w:val="22"/>
        </w:rPr>
        <w:t>Documento de tres hojas que contiene lo siguiente:</w:t>
      </w:r>
    </w:p>
    <w:p w14:paraId="763F5E26" w14:textId="77777777" w:rsidR="004B3829" w:rsidRPr="002D5F96" w:rsidRDefault="004B3829" w:rsidP="004B3829">
      <w:pPr>
        <w:pStyle w:val="Prrafodelista"/>
        <w:numPr>
          <w:ilvl w:val="0"/>
          <w:numId w:val="8"/>
        </w:numPr>
        <w:spacing w:before="240" w:after="240" w:line="360" w:lineRule="auto"/>
        <w:ind w:right="902"/>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lang w:val="es-MX"/>
        </w:rPr>
        <w:t xml:space="preserve">Oficio suscrito por la Titular de la Unidad de Transparencia, dirigido a la persona solicitante de información, en el que hace de su conocimiento que </w:t>
      </w:r>
      <w:r w:rsidR="007A0563" w:rsidRPr="002D5F96">
        <w:rPr>
          <w:rFonts w:ascii="Palatino Linotype" w:eastAsia="Palatino Linotype" w:hAnsi="Palatino Linotype" w:cs="Palatino Linotype"/>
          <w:sz w:val="22"/>
          <w:szCs w:val="22"/>
          <w:lang w:val="es-MX"/>
        </w:rPr>
        <w:t>adjunta la información solicitada, otorgada por el área de Dirección General.</w:t>
      </w:r>
    </w:p>
    <w:p w14:paraId="780BDD36" w14:textId="77777777" w:rsidR="007A0563" w:rsidRPr="002D5F96" w:rsidRDefault="007A0563" w:rsidP="007A0563">
      <w:pPr>
        <w:pStyle w:val="Prrafodelista"/>
        <w:numPr>
          <w:ilvl w:val="0"/>
          <w:numId w:val="8"/>
        </w:numPr>
        <w:spacing w:before="240" w:after="240" w:line="360" w:lineRule="auto"/>
        <w:ind w:right="902"/>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Oficio DIF/DIRECCION/0025/2025, suscrito por la Directora del Sistema Municipal para el Desarrollo Integral de la Familia de Cocotitlán, en el que refiere que anexa la carátula del presupuesto presentada al OSFEM como carátula del presupuesto 2025.</w:t>
      </w:r>
    </w:p>
    <w:p w14:paraId="7A325D85" w14:textId="77777777" w:rsidR="007A0563" w:rsidRPr="002D5F96" w:rsidRDefault="007A0563" w:rsidP="007A0563">
      <w:pPr>
        <w:pStyle w:val="Prrafodelista"/>
        <w:numPr>
          <w:ilvl w:val="0"/>
          <w:numId w:val="8"/>
        </w:numPr>
        <w:spacing w:before="240" w:after="240" w:line="360" w:lineRule="auto"/>
        <w:ind w:right="902"/>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Carátula del presupuesto de egresos 2025.</w:t>
      </w:r>
    </w:p>
    <w:p w14:paraId="793AAFB9" w14:textId="77777777" w:rsidR="0049429D" w:rsidRPr="002D5F96" w:rsidRDefault="00311CBA">
      <w:pPr>
        <w:spacing w:before="240" w:after="240" w:line="360" w:lineRule="auto"/>
        <w:ind w:right="49"/>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 xml:space="preserve">3. Interposición del recurso de revisión. </w:t>
      </w:r>
      <w:r w:rsidRPr="002D5F96">
        <w:rPr>
          <w:rFonts w:ascii="Palatino Linotype" w:eastAsia="Palatino Linotype" w:hAnsi="Palatino Linotype" w:cs="Palatino Linotype"/>
          <w:sz w:val="22"/>
          <w:szCs w:val="22"/>
        </w:rPr>
        <w:t xml:space="preserve">Inconforme con los términos de la respuesta emitida por parte del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el</w:t>
      </w:r>
      <w:r w:rsidR="007A0563" w:rsidRPr="002D5F96">
        <w:rPr>
          <w:rFonts w:ascii="Palatino Linotype" w:eastAsia="Palatino Linotype" w:hAnsi="Palatino Linotype" w:cs="Palatino Linotype"/>
          <w:b/>
          <w:sz w:val="22"/>
          <w:szCs w:val="22"/>
        </w:rPr>
        <w:t xml:space="preserve"> once</w:t>
      </w:r>
      <w:r w:rsidRPr="002D5F96">
        <w:rPr>
          <w:rFonts w:ascii="Palatino Linotype" w:eastAsia="Palatino Linotype" w:hAnsi="Palatino Linotype" w:cs="Palatino Linotype"/>
          <w:b/>
          <w:sz w:val="22"/>
          <w:szCs w:val="22"/>
        </w:rPr>
        <w:t xml:space="preserve"> de marzo de dos mil veinticinco,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xml:space="preserve"> interpuso el recurso de revisión a través de </w:t>
      </w:r>
      <w:r w:rsidRPr="002D5F96">
        <w:rPr>
          <w:rFonts w:ascii="Palatino Linotype" w:eastAsia="Palatino Linotype" w:hAnsi="Palatino Linotype" w:cs="Palatino Linotype"/>
          <w:b/>
          <w:sz w:val="22"/>
          <w:szCs w:val="22"/>
        </w:rPr>
        <w:t xml:space="preserve">SAIMEX, </w:t>
      </w:r>
      <w:r w:rsidRPr="002D5F96">
        <w:rPr>
          <w:rFonts w:ascii="Palatino Linotype" w:eastAsia="Palatino Linotype" w:hAnsi="Palatino Linotype" w:cs="Palatino Linotype"/>
          <w:sz w:val="22"/>
          <w:szCs w:val="22"/>
        </w:rPr>
        <w:t>en donde se manifestó de la siguiente manera:</w:t>
      </w:r>
    </w:p>
    <w:p w14:paraId="5B744883" w14:textId="77777777" w:rsidR="0049429D" w:rsidRPr="002D5F96" w:rsidRDefault="00311CBA">
      <w:pPr>
        <w:tabs>
          <w:tab w:val="left" w:pos="2745"/>
        </w:tabs>
        <w:spacing w:before="240" w:after="240"/>
        <w:ind w:left="567" w:right="900"/>
        <w:jc w:val="both"/>
        <w:rPr>
          <w:rFonts w:ascii="Palatino Linotype" w:eastAsia="Palatino Linotype" w:hAnsi="Palatino Linotype" w:cs="Palatino Linotype"/>
          <w:b/>
        </w:rPr>
      </w:pPr>
      <w:r w:rsidRPr="002D5F96">
        <w:rPr>
          <w:rFonts w:ascii="Palatino Linotype" w:eastAsia="Palatino Linotype" w:hAnsi="Palatino Linotype" w:cs="Palatino Linotype"/>
          <w:b/>
          <w:sz w:val="22"/>
          <w:szCs w:val="22"/>
        </w:rPr>
        <w:t xml:space="preserve">a) Acto impugnado: </w:t>
      </w:r>
      <w:r w:rsidRPr="002D5F96">
        <w:rPr>
          <w:rFonts w:ascii="Palatino Linotype" w:eastAsia="Palatino Linotype" w:hAnsi="Palatino Linotype" w:cs="Palatino Linotype"/>
          <w:i/>
          <w:sz w:val="22"/>
          <w:szCs w:val="22"/>
        </w:rPr>
        <w:t>“</w:t>
      </w:r>
      <w:r w:rsidR="007A0563" w:rsidRPr="002D5F96">
        <w:rPr>
          <w:rFonts w:ascii="Palatino Linotype" w:eastAsia="Palatino Linotype" w:hAnsi="Palatino Linotype" w:cs="Palatino Linotype"/>
          <w:i/>
          <w:sz w:val="22"/>
          <w:szCs w:val="22"/>
        </w:rPr>
        <w:t>no hay información que se solicitó</w:t>
      </w:r>
      <w:r w:rsidRPr="002D5F96">
        <w:rPr>
          <w:rFonts w:ascii="Palatino Linotype" w:eastAsia="Palatino Linotype" w:hAnsi="Palatino Linotype" w:cs="Palatino Linotype"/>
          <w:i/>
          <w:sz w:val="22"/>
          <w:szCs w:val="22"/>
        </w:rPr>
        <w:t>” (Sic)</w:t>
      </w:r>
    </w:p>
    <w:p w14:paraId="170EB09E" w14:textId="77777777" w:rsidR="0049429D" w:rsidRPr="002D5F96" w:rsidRDefault="00311CBA">
      <w:pPr>
        <w:spacing w:line="276" w:lineRule="auto"/>
        <w:ind w:left="567" w:right="900"/>
        <w:jc w:val="both"/>
        <w:rPr>
          <w:rFonts w:ascii="Palatino Linotype" w:eastAsia="Palatino Linotype" w:hAnsi="Palatino Linotype" w:cs="Palatino Linotype"/>
          <w:i/>
          <w:sz w:val="22"/>
          <w:szCs w:val="22"/>
        </w:rPr>
      </w:pPr>
      <w:bookmarkStart w:id="2" w:name="_heading=h.30j0zll" w:colFirst="0" w:colLast="0"/>
      <w:bookmarkEnd w:id="2"/>
      <w:r w:rsidRPr="002D5F96">
        <w:rPr>
          <w:rFonts w:ascii="Palatino Linotype" w:eastAsia="Palatino Linotype" w:hAnsi="Palatino Linotype" w:cs="Palatino Linotype"/>
          <w:b/>
          <w:sz w:val="22"/>
          <w:szCs w:val="22"/>
        </w:rPr>
        <w:lastRenderedPageBreak/>
        <w:t>b) Razones o motivos de inconformidad</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i/>
          <w:sz w:val="22"/>
          <w:szCs w:val="22"/>
        </w:rPr>
        <w:t>“</w:t>
      </w:r>
      <w:r w:rsidR="007A0563" w:rsidRPr="002D5F96">
        <w:rPr>
          <w:rFonts w:ascii="Palatino Linotype" w:eastAsia="Palatino Linotype" w:hAnsi="Palatino Linotype" w:cs="Palatino Linotype"/>
          <w:i/>
          <w:sz w:val="22"/>
          <w:szCs w:val="22"/>
        </w:rPr>
        <w:t>el sujeto obligado no remitió información</w:t>
      </w:r>
      <w:r w:rsidRPr="002D5F96">
        <w:rPr>
          <w:rFonts w:ascii="Palatino Linotype" w:eastAsia="Palatino Linotype" w:hAnsi="Palatino Linotype" w:cs="Palatino Linotype"/>
          <w:i/>
          <w:sz w:val="22"/>
          <w:szCs w:val="22"/>
        </w:rPr>
        <w:t>” (Sic)</w:t>
      </w:r>
    </w:p>
    <w:p w14:paraId="299A6DE0" w14:textId="77777777" w:rsidR="0049429D" w:rsidRPr="002D5F96" w:rsidRDefault="00311CBA">
      <w:pPr>
        <w:spacing w:before="240" w:after="240" w:line="360" w:lineRule="auto"/>
        <w:ind w:right="51"/>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 xml:space="preserve">4. Turno. </w:t>
      </w:r>
      <w:r w:rsidRPr="002D5F9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D5F96">
        <w:rPr>
          <w:rFonts w:ascii="Palatino Linotype" w:eastAsia="Palatino Linotype" w:hAnsi="Palatino Linotype" w:cs="Palatino Linotype"/>
          <w:b/>
          <w:sz w:val="22"/>
          <w:szCs w:val="22"/>
        </w:rPr>
        <w:t xml:space="preserve">Guadalupe Ramírez Peña, </w:t>
      </w:r>
      <w:r w:rsidRPr="002D5F96">
        <w:rPr>
          <w:rFonts w:ascii="Palatino Linotype" w:eastAsia="Palatino Linotype" w:hAnsi="Palatino Linotype" w:cs="Palatino Linotype"/>
          <w:sz w:val="22"/>
          <w:szCs w:val="22"/>
        </w:rPr>
        <w:t xml:space="preserve">a efecto de que analizara sobre su admisión o su </w:t>
      </w:r>
      <w:proofErr w:type="spellStart"/>
      <w:r w:rsidRPr="002D5F96">
        <w:rPr>
          <w:rFonts w:ascii="Palatino Linotype" w:eastAsia="Palatino Linotype" w:hAnsi="Palatino Linotype" w:cs="Palatino Linotype"/>
          <w:sz w:val="22"/>
          <w:szCs w:val="22"/>
        </w:rPr>
        <w:t>desechamiento</w:t>
      </w:r>
      <w:proofErr w:type="spellEnd"/>
      <w:r w:rsidRPr="002D5F96">
        <w:rPr>
          <w:rFonts w:ascii="Palatino Linotype" w:eastAsia="Palatino Linotype" w:hAnsi="Palatino Linotype" w:cs="Palatino Linotype"/>
          <w:sz w:val="22"/>
          <w:szCs w:val="22"/>
        </w:rPr>
        <w:t>.</w:t>
      </w:r>
    </w:p>
    <w:p w14:paraId="2475E100"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5. Admisión del Recurso de revisión.</w:t>
      </w:r>
      <w:r w:rsidRPr="002D5F96">
        <w:rPr>
          <w:rFonts w:ascii="Palatino Linotype" w:eastAsia="Palatino Linotype" w:hAnsi="Palatino Linotype" w:cs="Palatino Linotype"/>
          <w:sz w:val="22"/>
          <w:szCs w:val="22"/>
        </w:rPr>
        <w:t xml:space="preserve"> El </w:t>
      </w:r>
      <w:r w:rsidR="007A0563" w:rsidRPr="002D5F96">
        <w:rPr>
          <w:rFonts w:ascii="Palatino Linotype" w:eastAsia="Palatino Linotype" w:hAnsi="Palatino Linotype" w:cs="Palatino Linotype"/>
          <w:b/>
          <w:sz w:val="22"/>
          <w:szCs w:val="22"/>
        </w:rPr>
        <w:t>catorce</w:t>
      </w:r>
      <w:r w:rsidRPr="002D5F96">
        <w:rPr>
          <w:rFonts w:ascii="Palatino Linotype" w:eastAsia="Palatino Linotype" w:hAnsi="Palatino Linotype" w:cs="Palatino Linotype"/>
          <w:b/>
          <w:sz w:val="22"/>
          <w:szCs w:val="22"/>
        </w:rPr>
        <w:t xml:space="preserve"> de marzo de dos mil veinticinco, </w:t>
      </w:r>
      <w:r w:rsidRPr="002D5F9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2D5F96">
        <w:rPr>
          <w:rFonts w:ascii="Palatino Linotype" w:eastAsia="Palatino Linotype" w:hAnsi="Palatino Linotype" w:cs="Palatino Linotype"/>
          <w:b/>
          <w:sz w:val="22"/>
          <w:szCs w:val="22"/>
        </w:rPr>
        <w:t>la parte Recurrente</w:t>
      </w:r>
      <w:r w:rsidRPr="002D5F96">
        <w:rPr>
          <w:rFonts w:ascii="Palatino Linotype" w:eastAsia="Palatino Linotype" w:hAnsi="Palatino Linotype" w:cs="Palatino Linotype"/>
          <w:sz w:val="22"/>
          <w:szCs w:val="22"/>
        </w:rPr>
        <w:t xml:space="preserve"> manifestaran lo que a su derecho resultara conveniente, ofrecieran pruebas, formularan alegatos y el </w:t>
      </w:r>
      <w:r w:rsidRPr="002D5F96">
        <w:rPr>
          <w:rFonts w:ascii="Palatino Linotype" w:eastAsia="Palatino Linotype" w:hAnsi="Palatino Linotype" w:cs="Palatino Linotype"/>
          <w:b/>
          <w:sz w:val="22"/>
          <w:szCs w:val="22"/>
        </w:rPr>
        <w:t xml:space="preserve">Sujeto Obligado </w:t>
      </w:r>
      <w:r w:rsidRPr="002D5F96">
        <w:rPr>
          <w:rFonts w:ascii="Palatino Linotype" w:eastAsia="Palatino Linotype" w:hAnsi="Palatino Linotype" w:cs="Palatino Linotype"/>
          <w:sz w:val="22"/>
          <w:szCs w:val="22"/>
        </w:rPr>
        <w:t>presentara su informe justificado.</w:t>
      </w:r>
    </w:p>
    <w:p w14:paraId="5945806F" w14:textId="77777777" w:rsidR="007A0563" w:rsidRPr="002D5F96" w:rsidRDefault="00311CB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2D5F96">
        <w:rPr>
          <w:rFonts w:ascii="Palatino Linotype" w:eastAsia="Palatino Linotype" w:hAnsi="Palatino Linotype" w:cs="Palatino Linotype"/>
          <w:b/>
          <w:sz w:val="22"/>
          <w:szCs w:val="22"/>
        </w:rPr>
        <w:t>6. Manifestaciones e Informe Justificado</w:t>
      </w:r>
      <w:r w:rsidRPr="002D5F96">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justificado, </w:t>
      </w:r>
      <w:r w:rsidR="007A0563" w:rsidRPr="002D5F96">
        <w:rPr>
          <w:rFonts w:ascii="Palatino Linotype" w:eastAsia="Palatino Linotype" w:hAnsi="Palatino Linotype" w:cs="Palatino Linotype"/>
          <w:sz w:val="22"/>
          <w:szCs w:val="22"/>
        </w:rPr>
        <w:t xml:space="preserve">las partes </w:t>
      </w:r>
      <w:r w:rsidRPr="002D5F96">
        <w:rPr>
          <w:rFonts w:ascii="Palatino Linotype" w:eastAsia="Palatino Linotype" w:hAnsi="Palatino Linotype" w:cs="Palatino Linotype"/>
          <w:sz w:val="22"/>
          <w:szCs w:val="22"/>
        </w:rPr>
        <w:t>fue</w:t>
      </w:r>
      <w:r w:rsidR="007A0563" w:rsidRPr="002D5F96">
        <w:rPr>
          <w:rFonts w:ascii="Palatino Linotype" w:eastAsia="Palatino Linotype" w:hAnsi="Palatino Linotype" w:cs="Palatino Linotype"/>
          <w:sz w:val="22"/>
          <w:szCs w:val="22"/>
        </w:rPr>
        <w:t>ron</w:t>
      </w:r>
      <w:r w:rsidRPr="002D5F96">
        <w:rPr>
          <w:rFonts w:ascii="Palatino Linotype" w:eastAsia="Palatino Linotype" w:hAnsi="Palatino Linotype" w:cs="Palatino Linotype"/>
          <w:sz w:val="22"/>
          <w:szCs w:val="22"/>
        </w:rPr>
        <w:t xml:space="preserve"> omisa</w:t>
      </w:r>
      <w:r w:rsidR="007A0563" w:rsidRPr="002D5F96">
        <w:rPr>
          <w:rFonts w:ascii="Palatino Linotype" w:eastAsia="Palatino Linotype" w:hAnsi="Palatino Linotype" w:cs="Palatino Linotype"/>
          <w:sz w:val="22"/>
          <w:szCs w:val="22"/>
        </w:rPr>
        <w:t>s</w:t>
      </w:r>
      <w:r w:rsidRPr="002D5F96">
        <w:rPr>
          <w:rFonts w:ascii="Palatino Linotype" w:eastAsia="Palatino Linotype" w:hAnsi="Palatino Linotype" w:cs="Palatino Linotype"/>
          <w:sz w:val="22"/>
          <w:szCs w:val="22"/>
        </w:rPr>
        <w:t xml:space="preserve"> en pronunciarse durante este término,</w:t>
      </w:r>
      <w:r w:rsidRPr="002D5F96">
        <w:rPr>
          <w:rFonts w:ascii="Palatino Linotype" w:eastAsia="Palatino Linotype" w:hAnsi="Palatino Linotype" w:cs="Palatino Linotype"/>
          <w:b/>
          <w:sz w:val="22"/>
          <w:szCs w:val="22"/>
        </w:rPr>
        <w:t xml:space="preserve"> </w:t>
      </w:r>
      <w:r w:rsidRPr="002D5F96">
        <w:rPr>
          <w:rFonts w:ascii="Palatino Linotype" w:eastAsia="Palatino Linotype" w:hAnsi="Palatino Linotype" w:cs="Palatino Linotype"/>
          <w:sz w:val="22"/>
          <w:szCs w:val="22"/>
        </w:rPr>
        <w:t>por lo que se tiene por precluido su derecho para tal efecto.</w:t>
      </w:r>
    </w:p>
    <w:p w14:paraId="5A5D0E72" w14:textId="77777777" w:rsidR="0049429D" w:rsidRPr="002D5F96" w:rsidRDefault="007A0563" w:rsidP="007A0563">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rPr>
      </w:pPr>
      <w:r w:rsidRPr="002D5F96">
        <w:rPr>
          <w:rFonts w:ascii="Palatino Linotype" w:eastAsia="Palatino Linotype" w:hAnsi="Palatino Linotype" w:cs="Palatino Linotype"/>
          <w:b/>
          <w:noProof/>
          <w:sz w:val="22"/>
          <w:szCs w:val="22"/>
        </w:rPr>
        <w:drawing>
          <wp:inline distT="0" distB="0" distL="0" distR="0" wp14:anchorId="7648E941" wp14:editId="66296776">
            <wp:extent cx="5678313" cy="1362075"/>
            <wp:effectExtent l="19050" t="19050" r="1778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1887" cy="1379723"/>
                    </a:xfrm>
                    <a:prstGeom prst="rect">
                      <a:avLst/>
                    </a:prstGeom>
                    <a:ln>
                      <a:solidFill>
                        <a:schemeClr val="tx1"/>
                      </a:solidFill>
                    </a:ln>
                  </pic:spPr>
                </pic:pic>
              </a:graphicData>
            </a:graphic>
          </wp:inline>
        </w:drawing>
      </w:r>
    </w:p>
    <w:p w14:paraId="3F000960" w14:textId="77777777" w:rsidR="0049429D" w:rsidRPr="002D5F96" w:rsidRDefault="0049429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F74792B" w14:textId="77777777" w:rsidR="0049429D" w:rsidRPr="002D5F96" w:rsidRDefault="00311CBA">
      <w:pPr>
        <w:spacing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lastRenderedPageBreak/>
        <w:t xml:space="preserve">7. Ampliación de plazo para resolver. </w:t>
      </w:r>
      <w:r w:rsidRPr="002D5F96">
        <w:rPr>
          <w:rFonts w:ascii="Palatino Linotype" w:eastAsia="Palatino Linotype" w:hAnsi="Palatino Linotype" w:cs="Palatino Linotype"/>
          <w:sz w:val="22"/>
          <w:szCs w:val="22"/>
        </w:rPr>
        <w:t>El</w:t>
      </w:r>
      <w:r w:rsidRPr="002D5F96">
        <w:rPr>
          <w:rFonts w:ascii="Palatino Linotype" w:eastAsia="Palatino Linotype" w:hAnsi="Palatino Linotype" w:cs="Palatino Linotype"/>
          <w:b/>
          <w:sz w:val="22"/>
          <w:szCs w:val="22"/>
        </w:rPr>
        <w:t xml:space="preserve"> treinta de abril de dos mil veinticinco, </w:t>
      </w:r>
      <w:r w:rsidRPr="002D5F96">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325969E6" w14:textId="77777777" w:rsidR="0049429D" w:rsidRPr="002D5F96" w:rsidRDefault="00311CBA">
      <w:pPr>
        <w:spacing w:after="240" w:line="360" w:lineRule="auto"/>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 xml:space="preserve">8. Cierre de instrucción. </w:t>
      </w:r>
      <w:r w:rsidRPr="002D5F9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7A0563" w:rsidRPr="002D5F96">
        <w:rPr>
          <w:rFonts w:ascii="Palatino Linotype" w:eastAsia="Palatino Linotype" w:hAnsi="Palatino Linotype" w:cs="Palatino Linotype"/>
          <w:b/>
          <w:sz w:val="22"/>
          <w:szCs w:val="22"/>
        </w:rPr>
        <w:t>treinta de abril</w:t>
      </w:r>
      <w:r w:rsidRPr="002D5F96">
        <w:rPr>
          <w:rFonts w:ascii="Palatino Linotype" w:eastAsia="Palatino Linotype" w:hAnsi="Palatino Linotype" w:cs="Palatino Linotype"/>
          <w:b/>
          <w:sz w:val="22"/>
          <w:szCs w:val="22"/>
        </w:rPr>
        <w:t xml:space="preserve"> de dos mil veinticinco,</w:t>
      </w:r>
      <w:r w:rsidRPr="002D5F9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B405906"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EA4050F" w14:textId="77777777" w:rsidR="0049429D" w:rsidRPr="002D5F96" w:rsidRDefault="00311CBA">
      <w:pPr>
        <w:widowControl w:val="0"/>
        <w:spacing w:before="240" w:after="240" w:line="360" w:lineRule="auto"/>
        <w:jc w:val="center"/>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II. C O N S I D E R A N D O S</w:t>
      </w:r>
    </w:p>
    <w:p w14:paraId="5562EE09"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Primero. Competencia.</w:t>
      </w:r>
      <w:r w:rsidRPr="002D5F9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2D5F96">
        <w:rPr>
          <w:rFonts w:ascii="Palatino Linotype" w:eastAsia="Palatino Linotype" w:hAnsi="Palatino Linotype" w:cs="Palatino Linotype"/>
          <w:b/>
          <w:sz w:val="22"/>
          <w:szCs w:val="22"/>
        </w:rPr>
        <w:t>la parte Recurrente</w:t>
      </w:r>
      <w:r w:rsidRPr="002D5F96">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52A416"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2D5F96">
        <w:rPr>
          <w:rFonts w:ascii="Palatino Linotype" w:eastAsia="Palatino Linotype" w:hAnsi="Palatino Linotype" w:cs="Palatino Linotype"/>
          <w:b/>
          <w:sz w:val="22"/>
          <w:szCs w:val="22"/>
        </w:rPr>
        <w:lastRenderedPageBreak/>
        <w:t>Segundo. Oportunidad y Procedibilidad del Recurso de Revisión</w:t>
      </w:r>
      <w:r w:rsidRPr="002D5F9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06DD183"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D5F96">
        <w:rPr>
          <w:rFonts w:ascii="Palatino Linotype" w:eastAsia="Palatino Linotype" w:hAnsi="Palatino Linotype" w:cs="Palatino Linotype"/>
          <w:b/>
          <w:sz w:val="22"/>
          <w:szCs w:val="22"/>
        </w:rPr>
        <w:t xml:space="preserve">Sujeto Obligado </w:t>
      </w:r>
      <w:r w:rsidRPr="002D5F96">
        <w:rPr>
          <w:rFonts w:ascii="Palatino Linotype" w:eastAsia="Palatino Linotype" w:hAnsi="Palatino Linotype" w:cs="Palatino Linotype"/>
          <w:sz w:val="22"/>
          <w:szCs w:val="22"/>
        </w:rPr>
        <w:t xml:space="preserve">otorgó respuesta a la solicitud de información el </w:t>
      </w:r>
      <w:r w:rsidR="007A0563" w:rsidRPr="002D5F96">
        <w:rPr>
          <w:rFonts w:ascii="Palatino Linotype" w:eastAsia="Palatino Linotype" w:hAnsi="Palatino Linotype" w:cs="Palatino Linotype"/>
          <w:b/>
          <w:sz w:val="22"/>
          <w:szCs w:val="22"/>
        </w:rPr>
        <w:t>once</w:t>
      </w:r>
      <w:r w:rsidRPr="002D5F96">
        <w:rPr>
          <w:rFonts w:ascii="Palatino Linotype" w:eastAsia="Palatino Linotype" w:hAnsi="Palatino Linotype" w:cs="Palatino Linotype"/>
          <w:b/>
          <w:sz w:val="22"/>
          <w:szCs w:val="22"/>
        </w:rPr>
        <w:t xml:space="preserve"> de marzo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 xml:space="preserve">de dos mil veinticinco, </w:t>
      </w:r>
      <w:r w:rsidRPr="002D5F96">
        <w:rPr>
          <w:rFonts w:ascii="Palatino Linotype" w:eastAsia="Palatino Linotype" w:hAnsi="Palatino Linotype" w:cs="Palatino Linotype"/>
          <w:sz w:val="22"/>
          <w:szCs w:val="22"/>
        </w:rPr>
        <w:t xml:space="preserve">mientras que el recurso de revisión interpuesto por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xml:space="preserve">, se tuvo por presentado el día </w:t>
      </w:r>
      <w:r w:rsidR="007A0563" w:rsidRPr="002D5F96">
        <w:rPr>
          <w:rFonts w:ascii="Palatino Linotype" w:eastAsia="Palatino Linotype" w:hAnsi="Palatino Linotype" w:cs="Palatino Linotype"/>
          <w:b/>
          <w:sz w:val="22"/>
          <w:szCs w:val="22"/>
        </w:rPr>
        <w:t>once</w:t>
      </w:r>
      <w:r w:rsidRPr="002D5F96">
        <w:rPr>
          <w:rFonts w:ascii="Palatino Linotype" w:eastAsia="Palatino Linotype" w:hAnsi="Palatino Linotype" w:cs="Palatino Linotype"/>
          <w:b/>
          <w:sz w:val="22"/>
          <w:szCs w:val="22"/>
        </w:rPr>
        <w:t xml:space="preserve"> de marzo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 xml:space="preserve">de dos mil veinticinco, </w:t>
      </w:r>
      <w:r w:rsidRPr="002D5F96">
        <w:rPr>
          <w:rFonts w:ascii="Palatino Linotype" w:eastAsia="Palatino Linotype" w:hAnsi="Palatino Linotype" w:cs="Palatino Linotype"/>
          <w:sz w:val="22"/>
          <w:szCs w:val="22"/>
        </w:rPr>
        <w:t xml:space="preserve">esto es, el </w:t>
      </w:r>
      <w:r w:rsidR="007A0563" w:rsidRPr="002D5F96">
        <w:rPr>
          <w:rFonts w:ascii="Palatino Linotype" w:eastAsia="Palatino Linotype" w:hAnsi="Palatino Linotype" w:cs="Palatino Linotype"/>
          <w:b/>
          <w:sz w:val="22"/>
          <w:szCs w:val="22"/>
        </w:rPr>
        <w:t>mismo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día hábil en el que tuvo conocimiento de la respuesta impugnada.</w:t>
      </w:r>
      <w:r w:rsidRPr="002D5F96">
        <w:rPr>
          <w:rFonts w:ascii="Palatino Linotype" w:eastAsia="Palatino Linotype" w:hAnsi="Palatino Linotype" w:cs="Palatino Linotype"/>
          <w:sz w:val="22"/>
          <w:szCs w:val="22"/>
        </w:rPr>
        <w:t xml:space="preserve"> </w:t>
      </w:r>
    </w:p>
    <w:p w14:paraId="000B4930" w14:textId="77777777" w:rsidR="007A0563" w:rsidRPr="002D5F96" w:rsidRDefault="007A0563" w:rsidP="007A0563">
      <w:pPr>
        <w:pStyle w:val="NormalWeb"/>
        <w:spacing w:before="240" w:beforeAutospacing="0" w:after="240" w:afterAutospacing="0" w:line="360" w:lineRule="auto"/>
        <w:jc w:val="both"/>
        <w:rPr>
          <w:sz w:val="22"/>
        </w:rPr>
      </w:pPr>
      <w:r w:rsidRPr="002D5F96">
        <w:rPr>
          <w:rFonts w:ascii="Palatino Linotype" w:hAnsi="Palatino Linotype"/>
          <w:sz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C036B90" w14:textId="77777777" w:rsidR="007A0563" w:rsidRPr="002D5F96" w:rsidRDefault="007A0563" w:rsidP="007A0563">
      <w:pPr>
        <w:pStyle w:val="NormalWeb"/>
        <w:spacing w:before="120" w:beforeAutospacing="0" w:after="120" w:afterAutospacing="0"/>
        <w:ind w:left="860" w:right="900"/>
        <w:jc w:val="both"/>
      </w:pPr>
      <w:r w:rsidRPr="002D5F96">
        <w:rPr>
          <w:rFonts w:ascii="Palatino Linotype" w:hAnsi="Palatino Linotype"/>
          <w:b/>
          <w:bCs/>
          <w:i/>
          <w:iCs/>
          <w:sz w:val="22"/>
          <w:szCs w:val="22"/>
        </w:rPr>
        <w:t>“RECURSO DE RECLAMACIÓN. SU INTERPOSICIÓN NO ES EXTEMPORÁNEA SI SE REALIZA ANTES DE QUE INICIE EL PLAZO PARA HACERLO</w:t>
      </w:r>
      <w:r w:rsidRPr="002D5F96">
        <w:rPr>
          <w:rFonts w:ascii="Palatino Linotype" w:hAnsi="Palatino Linotype"/>
          <w:i/>
          <w:iCs/>
          <w:sz w:val="22"/>
          <w:szCs w:val="22"/>
        </w:rPr>
        <w:t>.</w:t>
      </w:r>
    </w:p>
    <w:p w14:paraId="3A4244D6" w14:textId="77777777" w:rsidR="007A0563" w:rsidRPr="002D5F96" w:rsidRDefault="007A0563" w:rsidP="007A0563">
      <w:pPr>
        <w:pStyle w:val="NormalWeb"/>
        <w:spacing w:before="120" w:beforeAutospacing="0" w:after="120" w:afterAutospacing="0"/>
        <w:ind w:left="860" w:right="900"/>
        <w:jc w:val="both"/>
      </w:pPr>
      <w:r w:rsidRPr="002D5F96">
        <w:rPr>
          <w:rFonts w:ascii="Palatino Linotype" w:hAnsi="Palatino Linotype"/>
          <w:i/>
          <w:iCs/>
          <w:sz w:val="22"/>
          <w:szCs w:val="22"/>
        </w:rPr>
        <w:t xml:space="preserve">“Conforme al artículo 104, párrafo segundo, de la Ley de Amparo, el recurso de reclamación podrá interponerse por cualquiera de las partes, por escrito, dentro </w:t>
      </w:r>
      <w:r w:rsidRPr="002D5F96">
        <w:rPr>
          <w:rFonts w:ascii="Palatino Linotype" w:hAnsi="Palatino Linotype"/>
          <w:i/>
          <w:iCs/>
          <w:sz w:val="22"/>
          <w:szCs w:val="22"/>
        </w:rPr>
        <w:lastRenderedPageBreak/>
        <w:t>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579ED6" w14:textId="77777777" w:rsidR="0049429D" w:rsidRPr="002D5F96" w:rsidRDefault="00311CBA">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2D5F96">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752A19" w14:textId="77777777" w:rsidR="0049429D" w:rsidRPr="002D5F96" w:rsidRDefault="00311CBA">
      <w:pPr>
        <w:spacing w:before="240" w:after="240"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u w:val="single"/>
        </w:rPr>
        <w:t>no proporcionó nombre o seudónimo</w:t>
      </w:r>
      <w:r w:rsidRPr="002D5F96">
        <w:rPr>
          <w:rFonts w:ascii="Palatino Linotype" w:eastAsia="Palatino Linotype" w:hAnsi="Palatino Linotype" w:cs="Palatino Linotype"/>
          <w:sz w:val="22"/>
          <w:szCs w:val="22"/>
        </w:rPr>
        <w:t xml:space="preserve"> con el que desea que se le identifique</w:t>
      </w:r>
      <w:r w:rsidRPr="002D5F96">
        <w:rPr>
          <w:rFonts w:ascii="Palatino Linotype" w:eastAsia="Palatino Linotype" w:hAnsi="Palatino Linotype" w:cs="Palatino Linotype"/>
          <w:b/>
          <w:sz w:val="22"/>
          <w:szCs w:val="22"/>
        </w:rPr>
        <w:t>,</w:t>
      </w:r>
      <w:r w:rsidRPr="002D5F96">
        <w:rPr>
          <w:rFonts w:ascii="Palatino Linotype" w:eastAsia="Palatino Linotype" w:hAnsi="Palatino Linotype" w:cs="Palatino Linotype"/>
          <w:sz w:val="22"/>
          <w:szCs w:val="22"/>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8DCB6F5" w14:textId="77777777" w:rsidR="0049429D" w:rsidRPr="002D5F96" w:rsidRDefault="00311CBA">
      <w:pPr>
        <w:spacing w:before="240" w:after="240" w:line="276" w:lineRule="auto"/>
        <w:ind w:left="851" w:right="902"/>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 xml:space="preserve">Las solicitudes </w:t>
      </w:r>
      <w:r w:rsidRPr="002D5F96">
        <w:rPr>
          <w:rFonts w:ascii="Palatino Linotype" w:eastAsia="Palatino Linotype" w:hAnsi="Palatino Linotype" w:cs="Palatino Linotype"/>
          <w:i/>
          <w:sz w:val="22"/>
          <w:szCs w:val="22"/>
        </w:rPr>
        <w:t xml:space="preserve">anónimas, con </w:t>
      </w:r>
      <w:r w:rsidRPr="002D5F96">
        <w:rPr>
          <w:rFonts w:ascii="Palatino Linotype" w:eastAsia="Palatino Linotype" w:hAnsi="Palatino Linotype" w:cs="Palatino Linotype"/>
          <w:b/>
          <w:i/>
          <w:sz w:val="22"/>
          <w:szCs w:val="22"/>
        </w:rPr>
        <w:t>nombre incompleto o seudónimo</w:t>
      </w:r>
      <w:r w:rsidRPr="002D5F96">
        <w:rPr>
          <w:rFonts w:ascii="Palatino Linotype" w:eastAsia="Palatino Linotype" w:hAnsi="Palatino Linotype" w:cs="Palatino Linotype"/>
          <w:i/>
          <w:sz w:val="22"/>
          <w:szCs w:val="22"/>
        </w:rPr>
        <w:t xml:space="preserve"> </w:t>
      </w:r>
      <w:r w:rsidRPr="002D5F96">
        <w:rPr>
          <w:rFonts w:ascii="Palatino Linotype" w:eastAsia="Palatino Linotype" w:hAnsi="Palatino Linotype" w:cs="Palatino Linotype"/>
          <w:b/>
          <w:i/>
          <w:sz w:val="22"/>
          <w:szCs w:val="22"/>
        </w:rPr>
        <w:t>serán procedentes para su trámite por parte del sujeto obligado ante quien se presente</w:t>
      </w:r>
      <w:r w:rsidRPr="002D5F96">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36639F7C"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26EA20A7" w14:textId="77777777" w:rsidR="0049429D" w:rsidRPr="002D5F96" w:rsidRDefault="00311CBA">
      <w:pPr>
        <w:spacing w:before="120" w:after="120"/>
        <w:ind w:left="567" w:right="902"/>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lastRenderedPageBreak/>
        <w:t>“</w:t>
      </w:r>
      <w:r w:rsidRPr="002D5F96">
        <w:rPr>
          <w:rFonts w:ascii="Palatino Linotype" w:eastAsia="Palatino Linotype" w:hAnsi="Palatino Linotype" w:cs="Palatino Linotype"/>
          <w:b/>
          <w:i/>
          <w:sz w:val="22"/>
          <w:szCs w:val="22"/>
        </w:rPr>
        <w:t>Artículo 179.</w:t>
      </w:r>
      <w:r w:rsidRPr="002D5F9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EF380E1" w14:textId="77777777" w:rsidR="0049429D" w:rsidRPr="002D5F96" w:rsidRDefault="00311CBA">
      <w:pPr>
        <w:spacing w:before="120" w:after="120"/>
        <w:ind w:left="567" w:right="902"/>
        <w:jc w:val="both"/>
        <w:rPr>
          <w:rFonts w:ascii="Palatino Linotype" w:eastAsia="Palatino Linotype" w:hAnsi="Palatino Linotype" w:cs="Palatino Linotype"/>
          <w:b/>
          <w:i/>
          <w:sz w:val="22"/>
          <w:szCs w:val="22"/>
          <w:u w:val="single"/>
        </w:rPr>
      </w:pPr>
      <w:r w:rsidRPr="002D5F96">
        <w:rPr>
          <w:rFonts w:ascii="Palatino Linotype" w:eastAsia="Palatino Linotype" w:hAnsi="Palatino Linotype" w:cs="Palatino Linotype"/>
          <w:b/>
          <w:i/>
          <w:sz w:val="22"/>
          <w:szCs w:val="22"/>
          <w:u w:val="single"/>
        </w:rPr>
        <w:t>I. La negativa a la información solicitada;</w:t>
      </w:r>
      <w:r w:rsidRPr="002D5F96">
        <w:rPr>
          <w:rFonts w:ascii="Palatino Linotype" w:eastAsia="Palatino Linotype" w:hAnsi="Palatino Linotype" w:cs="Palatino Linotype"/>
          <w:b/>
          <w:i/>
          <w:sz w:val="22"/>
          <w:szCs w:val="22"/>
        </w:rPr>
        <w:t xml:space="preserve">” </w:t>
      </w:r>
      <w:r w:rsidRPr="002D5F96">
        <w:rPr>
          <w:rFonts w:ascii="Palatino Linotype" w:eastAsia="Palatino Linotype" w:hAnsi="Palatino Linotype" w:cs="Palatino Linotype"/>
          <w:i/>
          <w:sz w:val="22"/>
          <w:szCs w:val="22"/>
        </w:rPr>
        <w:t>(Énfasis añadido)</w:t>
      </w:r>
    </w:p>
    <w:p w14:paraId="5EA42C40" w14:textId="77777777" w:rsidR="0049429D" w:rsidRPr="002D5F96" w:rsidRDefault="00311CBA">
      <w:pPr>
        <w:spacing w:before="240" w:after="240" w:line="360" w:lineRule="auto"/>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 xml:space="preserve">Tercero. Materia de la revisión. </w:t>
      </w:r>
      <w:r w:rsidRPr="002D5F9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D5F96">
        <w:rPr>
          <w:rFonts w:ascii="Palatino Linotype" w:eastAsia="Palatino Linotype" w:hAnsi="Palatino Linotype" w:cs="Palatino Linotype"/>
          <w:b/>
          <w:sz w:val="22"/>
          <w:szCs w:val="22"/>
        </w:rPr>
        <w:t xml:space="preserve">verificar si la respuesta </w:t>
      </w:r>
      <w:r w:rsidR="007A0563" w:rsidRPr="002D5F96">
        <w:rPr>
          <w:rFonts w:ascii="Palatino Linotype" w:eastAsia="Palatino Linotype" w:hAnsi="Palatino Linotype" w:cs="Palatino Linotype"/>
          <w:b/>
          <w:sz w:val="22"/>
          <w:szCs w:val="22"/>
        </w:rPr>
        <w:t>otorgada por el Sujeto Obligado es adecuada y suficiente</w:t>
      </w:r>
      <w:r w:rsidRPr="002D5F96">
        <w:rPr>
          <w:rFonts w:ascii="Palatino Linotype" w:eastAsia="Palatino Linotype" w:hAnsi="Palatino Linotype" w:cs="Palatino Linotype"/>
          <w:b/>
          <w:sz w:val="22"/>
          <w:szCs w:val="22"/>
        </w:rPr>
        <w:t xml:space="preserve"> para satisfacer el derecho de acceso a la información pública </w:t>
      </w:r>
      <w:r w:rsidRPr="002D5F96">
        <w:rPr>
          <w:rFonts w:ascii="Palatino Linotype" w:eastAsia="Palatino Linotype" w:hAnsi="Palatino Linotype" w:cs="Palatino Linotype"/>
          <w:sz w:val="22"/>
          <w:szCs w:val="22"/>
        </w:rPr>
        <w:t xml:space="preserve">de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o en su defecto, en caso de ser procedente, ordenar la entrega de información.</w:t>
      </w:r>
    </w:p>
    <w:p w14:paraId="5B427E79" w14:textId="77777777" w:rsidR="0049429D" w:rsidRPr="002D5F96" w:rsidRDefault="00311CBA">
      <w:pPr>
        <w:pBdr>
          <w:top w:val="nil"/>
          <w:left w:val="nil"/>
          <w:bottom w:val="nil"/>
          <w:right w:val="nil"/>
          <w:between w:val="nil"/>
        </w:pBdr>
        <w:spacing w:before="240" w:after="240" w:line="360" w:lineRule="auto"/>
        <w:jc w:val="both"/>
        <w:rPr>
          <w:sz w:val="22"/>
          <w:szCs w:val="22"/>
        </w:rPr>
      </w:pPr>
      <w:bookmarkStart w:id="6" w:name="_heading=h.2et92p0" w:colFirst="0" w:colLast="0"/>
      <w:bookmarkEnd w:id="6"/>
      <w:r w:rsidRPr="002D5F96">
        <w:rPr>
          <w:rFonts w:ascii="Palatino Linotype" w:eastAsia="Palatino Linotype" w:hAnsi="Palatino Linotype" w:cs="Palatino Linotype"/>
          <w:b/>
          <w:sz w:val="22"/>
          <w:szCs w:val="22"/>
        </w:rPr>
        <w:t xml:space="preserve">Cuarto. Estudio del asunto </w:t>
      </w:r>
      <w:r w:rsidRPr="002D5F96">
        <w:rPr>
          <w:rFonts w:ascii="Palatino Linotype" w:eastAsia="Palatino Linotype" w:hAnsi="Palatino Linotype" w:cs="Palatino Linotype"/>
          <w:sz w:val="22"/>
          <w:szCs w:val="22"/>
        </w:rPr>
        <w:t xml:space="preserve">Antes de entrar al análisis de los pronunciamientos del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FABF07" w14:textId="77777777" w:rsidR="0049429D" w:rsidRPr="002D5F96" w:rsidRDefault="00311CBA">
      <w:pPr>
        <w:pBdr>
          <w:top w:val="nil"/>
          <w:left w:val="nil"/>
          <w:bottom w:val="nil"/>
          <w:right w:val="nil"/>
          <w:between w:val="nil"/>
        </w:pBdr>
        <w:spacing w:before="240" w:after="240"/>
        <w:ind w:left="851" w:right="850"/>
        <w:jc w:val="both"/>
      </w:pPr>
      <w:r w:rsidRPr="002D5F9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D5F9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E7F2591" w14:textId="77777777" w:rsidR="0049429D" w:rsidRPr="002D5F96" w:rsidRDefault="00311CBA">
      <w:pPr>
        <w:pBdr>
          <w:top w:val="nil"/>
          <w:left w:val="nil"/>
          <w:bottom w:val="nil"/>
          <w:right w:val="nil"/>
          <w:between w:val="nil"/>
        </w:pBdr>
        <w:spacing w:before="240" w:after="240"/>
        <w:ind w:left="851" w:right="850"/>
        <w:jc w:val="both"/>
      </w:pPr>
      <w:r w:rsidRPr="002D5F9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ED10416" w14:textId="77777777" w:rsidR="0049429D" w:rsidRPr="002D5F96" w:rsidRDefault="00311CBA">
      <w:pPr>
        <w:pBdr>
          <w:top w:val="nil"/>
          <w:left w:val="nil"/>
          <w:bottom w:val="nil"/>
          <w:right w:val="nil"/>
          <w:between w:val="nil"/>
        </w:pBdr>
        <w:spacing w:before="240" w:after="240"/>
        <w:ind w:left="851" w:right="850"/>
        <w:jc w:val="both"/>
      </w:pPr>
      <w:r w:rsidRPr="002D5F96">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2D5F9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396CD15" w14:textId="77777777" w:rsidR="0049429D" w:rsidRPr="002D5F96" w:rsidRDefault="00311CBA">
      <w:pPr>
        <w:pBdr>
          <w:top w:val="nil"/>
          <w:left w:val="nil"/>
          <w:bottom w:val="nil"/>
          <w:right w:val="nil"/>
          <w:between w:val="nil"/>
        </w:pBdr>
        <w:spacing w:before="240" w:after="240"/>
        <w:ind w:left="851" w:right="850"/>
        <w:jc w:val="both"/>
      </w:pPr>
      <w:r w:rsidRPr="002D5F96">
        <w:rPr>
          <w:rFonts w:ascii="Palatino Linotype" w:eastAsia="Palatino Linotype" w:hAnsi="Palatino Linotype" w:cs="Palatino Linotype"/>
          <w:i/>
          <w:sz w:val="22"/>
          <w:szCs w:val="22"/>
        </w:rPr>
        <w:t>[…]</w:t>
      </w:r>
    </w:p>
    <w:p w14:paraId="3B4679AB" w14:textId="77777777" w:rsidR="0049429D" w:rsidRPr="002D5F96" w:rsidRDefault="00311CBA">
      <w:pPr>
        <w:pBdr>
          <w:top w:val="nil"/>
          <w:left w:val="nil"/>
          <w:bottom w:val="nil"/>
          <w:right w:val="nil"/>
          <w:between w:val="nil"/>
        </w:pBdr>
        <w:spacing w:before="240" w:after="240"/>
        <w:ind w:left="851" w:right="901"/>
        <w:jc w:val="both"/>
      </w:pPr>
      <w:r w:rsidRPr="002D5F96">
        <w:rPr>
          <w:rFonts w:ascii="Palatino Linotype" w:eastAsia="Palatino Linotype" w:hAnsi="Palatino Linotype" w:cs="Palatino Linotype"/>
          <w:b/>
          <w:i/>
          <w:sz w:val="22"/>
          <w:szCs w:val="22"/>
        </w:rPr>
        <w:t>“Artículo 6o.</w:t>
      </w:r>
    </w:p>
    <w:p w14:paraId="19B66333" w14:textId="77777777" w:rsidR="0049429D" w:rsidRPr="002D5F96" w:rsidRDefault="00311CBA">
      <w:pPr>
        <w:pBdr>
          <w:top w:val="nil"/>
          <w:left w:val="nil"/>
          <w:bottom w:val="nil"/>
          <w:right w:val="nil"/>
          <w:between w:val="nil"/>
        </w:pBdr>
        <w:spacing w:before="240" w:after="240"/>
        <w:ind w:left="851" w:right="901"/>
        <w:jc w:val="both"/>
      </w:pPr>
      <w:r w:rsidRPr="002D5F96">
        <w:rPr>
          <w:rFonts w:ascii="Palatino Linotype" w:eastAsia="Palatino Linotype" w:hAnsi="Palatino Linotype" w:cs="Palatino Linotype"/>
          <w:i/>
          <w:sz w:val="22"/>
          <w:szCs w:val="22"/>
        </w:rPr>
        <w:t>[...]</w:t>
      </w:r>
    </w:p>
    <w:p w14:paraId="05085959" w14:textId="77777777" w:rsidR="0049429D" w:rsidRPr="002D5F96" w:rsidRDefault="00311CB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b/>
          <w:i/>
          <w:sz w:val="22"/>
          <w:szCs w:val="22"/>
        </w:rPr>
        <w:t xml:space="preserve">A. Para el ejercicio del derecho de acceso a la información, la Federación y </w:t>
      </w:r>
      <w:r w:rsidRPr="002D5F96">
        <w:rPr>
          <w:rFonts w:ascii="Palatino Linotype" w:eastAsia="Palatino Linotype" w:hAnsi="Palatino Linotype" w:cs="Palatino Linotype"/>
          <w:b/>
          <w:i/>
          <w:sz w:val="22"/>
          <w:szCs w:val="22"/>
          <w:u w:val="single"/>
        </w:rPr>
        <w:t>las entidades federativas</w:t>
      </w:r>
      <w:r w:rsidRPr="002D5F96">
        <w:rPr>
          <w:rFonts w:ascii="Palatino Linotype" w:eastAsia="Palatino Linotype" w:hAnsi="Palatino Linotype" w:cs="Palatino Linotype"/>
          <w:b/>
          <w:i/>
          <w:sz w:val="22"/>
          <w:szCs w:val="22"/>
        </w:rPr>
        <w:t>,</w:t>
      </w:r>
      <w:r w:rsidRPr="002D5F96">
        <w:rPr>
          <w:rFonts w:ascii="Palatino Linotype" w:eastAsia="Palatino Linotype" w:hAnsi="Palatino Linotype" w:cs="Palatino Linotype"/>
          <w:i/>
          <w:sz w:val="22"/>
          <w:szCs w:val="22"/>
        </w:rPr>
        <w:t xml:space="preserve"> en el ámbito de sus respectivas competencias, se regirán por los siguientes principios y bases:</w:t>
      </w:r>
    </w:p>
    <w:p w14:paraId="2C585931" w14:textId="77777777" w:rsidR="0049429D" w:rsidRPr="002D5F96" w:rsidRDefault="00311CB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w:t>
      </w:r>
      <w:r w:rsidRPr="002D5F96">
        <w:rPr>
          <w:rFonts w:ascii="Palatino Linotype" w:eastAsia="Palatino Linotype" w:hAnsi="Palatino Linotype" w:cs="Palatino Linotype"/>
          <w:b/>
          <w:i/>
          <w:sz w:val="22"/>
          <w:szCs w:val="22"/>
        </w:rPr>
        <w:t xml:space="preserve">I. </w:t>
      </w:r>
      <w:r w:rsidRPr="002D5F9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D5F96">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D5F96">
        <w:rPr>
          <w:rFonts w:ascii="Palatino Linotype" w:eastAsia="Palatino Linotype" w:hAnsi="Palatino Linotype" w:cs="Palatino Linotype"/>
          <w:b/>
          <w:i/>
          <w:sz w:val="22"/>
          <w:szCs w:val="22"/>
        </w:rPr>
        <w:t>es pública y sólo podrá ser reservada temporalmente por razones de interés público y seguridad nacional,</w:t>
      </w:r>
      <w:r w:rsidRPr="002D5F9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4626692" w14:textId="77777777" w:rsidR="0049429D" w:rsidRPr="002D5F96" w:rsidRDefault="00311CBA">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E05CA9A" w14:textId="77777777" w:rsidR="0049429D" w:rsidRPr="002D5F96" w:rsidRDefault="00311CB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w:t>
      </w:r>
      <w:r w:rsidRPr="002D5F96">
        <w:rPr>
          <w:rFonts w:ascii="Palatino Linotype" w:eastAsia="Palatino Linotype" w:hAnsi="Palatino Linotype" w:cs="Palatino Linotype"/>
          <w:b/>
          <w:i/>
          <w:sz w:val="22"/>
          <w:szCs w:val="22"/>
        </w:rPr>
        <w:t xml:space="preserve">III. </w:t>
      </w:r>
      <w:r w:rsidRPr="002D5F9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D5F96">
        <w:rPr>
          <w:rFonts w:ascii="Palatino Linotype" w:eastAsia="Palatino Linotype" w:hAnsi="Palatino Linotype" w:cs="Palatino Linotype"/>
          <w:i/>
          <w:sz w:val="22"/>
          <w:szCs w:val="22"/>
        </w:rPr>
        <w:t xml:space="preserve"> a sus datos personales o a la rectificación de éstos.</w:t>
      </w:r>
    </w:p>
    <w:p w14:paraId="1F3A4E70" w14:textId="77777777" w:rsidR="0049429D" w:rsidRPr="002D5F96" w:rsidRDefault="00311CBA">
      <w:pPr>
        <w:pBdr>
          <w:top w:val="nil"/>
          <w:left w:val="nil"/>
          <w:bottom w:val="nil"/>
          <w:right w:val="nil"/>
          <w:between w:val="nil"/>
        </w:pBdr>
        <w:spacing w:before="240" w:after="240"/>
        <w:ind w:left="851" w:right="851"/>
        <w:jc w:val="both"/>
      </w:pPr>
      <w:r w:rsidRPr="002D5F96">
        <w:rPr>
          <w:rFonts w:ascii="Palatino Linotype" w:eastAsia="Palatino Linotype" w:hAnsi="Palatino Linotype" w:cs="Palatino Linotype"/>
          <w:b/>
          <w:i/>
          <w:sz w:val="22"/>
          <w:szCs w:val="22"/>
        </w:rPr>
        <w:t>…</w:t>
      </w:r>
    </w:p>
    <w:p w14:paraId="1ADFE606" w14:textId="77777777" w:rsidR="0049429D" w:rsidRPr="002D5F96" w:rsidRDefault="00311CB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b/>
          <w:i/>
          <w:sz w:val="22"/>
          <w:szCs w:val="22"/>
        </w:rPr>
        <w:lastRenderedPageBreak/>
        <w:t>IV.</w:t>
      </w:r>
      <w:r w:rsidRPr="002D5F9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A8824A9" w14:textId="77777777" w:rsidR="0049429D" w:rsidRPr="002D5F96" w:rsidRDefault="00311CBA">
      <w:pPr>
        <w:pBdr>
          <w:top w:val="nil"/>
          <w:left w:val="nil"/>
          <w:bottom w:val="nil"/>
          <w:right w:val="nil"/>
          <w:between w:val="nil"/>
        </w:pBdr>
        <w:spacing w:before="240" w:after="240"/>
        <w:ind w:left="851" w:right="851"/>
        <w:jc w:val="both"/>
      </w:pPr>
      <w:r w:rsidRPr="002D5F96">
        <w:rPr>
          <w:rFonts w:ascii="Palatino Linotype" w:eastAsia="Palatino Linotype" w:hAnsi="Palatino Linotype" w:cs="Palatino Linotype"/>
          <w:b/>
          <w:i/>
          <w:sz w:val="22"/>
          <w:szCs w:val="22"/>
        </w:rPr>
        <w:t xml:space="preserve">V. </w:t>
      </w:r>
      <w:r w:rsidRPr="002D5F9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3F32EE0" w14:textId="77777777" w:rsidR="0049429D" w:rsidRPr="002D5F96" w:rsidRDefault="00311CBA">
      <w:pPr>
        <w:pBdr>
          <w:top w:val="nil"/>
          <w:left w:val="nil"/>
          <w:bottom w:val="nil"/>
          <w:right w:val="nil"/>
          <w:between w:val="nil"/>
        </w:pBdr>
        <w:spacing w:before="240" w:after="240"/>
        <w:ind w:left="851" w:right="851"/>
        <w:jc w:val="both"/>
      </w:pPr>
      <w:r w:rsidRPr="002D5F96">
        <w:rPr>
          <w:rFonts w:ascii="Palatino Linotype" w:eastAsia="Palatino Linotype" w:hAnsi="Palatino Linotype" w:cs="Palatino Linotype"/>
          <w:i/>
          <w:sz w:val="22"/>
          <w:szCs w:val="22"/>
        </w:rPr>
        <w:t> </w:t>
      </w:r>
      <w:r w:rsidRPr="002D5F96">
        <w:rPr>
          <w:rFonts w:ascii="Palatino Linotype" w:eastAsia="Palatino Linotype" w:hAnsi="Palatino Linotype" w:cs="Palatino Linotype"/>
          <w:b/>
          <w:i/>
          <w:sz w:val="22"/>
          <w:szCs w:val="22"/>
        </w:rPr>
        <w:t xml:space="preserve">VI. </w:t>
      </w:r>
      <w:r w:rsidRPr="002D5F9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35A2C27" w14:textId="77777777" w:rsidR="0049429D" w:rsidRPr="002D5F96" w:rsidRDefault="00311CBA">
      <w:pPr>
        <w:pBdr>
          <w:top w:val="nil"/>
          <w:left w:val="nil"/>
          <w:bottom w:val="nil"/>
          <w:right w:val="nil"/>
          <w:between w:val="nil"/>
        </w:pBdr>
        <w:spacing w:before="240" w:after="240"/>
        <w:ind w:left="851" w:right="851"/>
        <w:jc w:val="both"/>
      </w:pPr>
      <w:r w:rsidRPr="002D5F96">
        <w:rPr>
          <w:rFonts w:ascii="Palatino Linotype" w:eastAsia="Palatino Linotype" w:hAnsi="Palatino Linotype" w:cs="Palatino Linotype"/>
          <w:i/>
          <w:sz w:val="22"/>
          <w:szCs w:val="22"/>
        </w:rPr>
        <w:t> </w:t>
      </w:r>
      <w:r w:rsidRPr="002D5F96">
        <w:rPr>
          <w:rFonts w:ascii="Palatino Linotype" w:eastAsia="Palatino Linotype" w:hAnsi="Palatino Linotype" w:cs="Palatino Linotype"/>
          <w:b/>
          <w:i/>
          <w:sz w:val="22"/>
          <w:szCs w:val="22"/>
        </w:rPr>
        <w:t xml:space="preserve">VII. </w:t>
      </w:r>
      <w:r w:rsidRPr="002D5F9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55CB9D8" w14:textId="77777777" w:rsidR="0049429D" w:rsidRPr="002D5F96" w:rsidRDefault="00311CBA">
      <w:pPr>
        <w:pBdr>
          <w:top w:val="nil"/>
          <w:left w:val="nil"/>
          <w:bottom w:val="nil"/>
          <w:right w:val="nil"/>
          <w:between w:val="nil"/>
        </w:pBdr>
        <w:spacing w:before="240" w:after="240" w:line="360" w:lineRule="auto"/>
        <w:jc w:val="both"/>
        <w:rPr>
          <w:sz w:val="22"/>
          <w:szCs w:val="22"/>
        </w:rPr>
      </w:pPr>
      <w:r w:rsidRPr="002D5F96">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1527FF8" w14:textId="77777777" w:rsidR="0049429D" w:rsidRPr="002D5F96" w:rsidRDefault="00311CBA">
      <w:pPr>
        <w:pBdr>
          <w:top w:val="nil"/>
          <w:left w:val="nil"/>
          <w:bottom w:val="nil"/>
          <w:right w:val="nil"/>
          <w:between w:val="nil"/>
        </w:pBdr>
        <w:spacing w:before="240" w:after="240"/>
        <w:ind w:left="709" w:right="760"/>
        <w:jc w:val="both"/>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Artículo 4</w:t>
      </w:r>
      <w:r w:rsidRPr="002D5F96">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2504012C" w14:textId="77777777" w:rsidR="0049429D" w:rsidRPr="002D5F96" w:rsidRDefault="00311CBA">
      <w:pPr>
        <w:pBdr>
          <w:top w:val="nil"/>
          <w:left w:val="nil"/>
          <w:bottom w:val="nil"/>
          <w:right w:val="nil"/>
          <w:between w:val="nil"/>
        </w:pBdr>
        <w:spacing w:before="240" w:after="240"/>
        <w:ind w:left="709" w:right="760"/>
        <w:jc w:val="both"/>
      </w:pPr>
      <w:r w:rsidRPr="002D5F96">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D5F96">
        <w:rPr>
          <w:rFonts w:ascii="Palatino Linotype" w:eastAsia="Palatino Linotype" w:hAnsi="Palatino Linotype" w:cs="Palatino Linotype"/>
          <w:b/>
          <w:i/>
          <w:sz w:val="22"/>
          <w:szCs w:val="22"/>
        </w:rPr>
        <w:lastRenderedPageBreak/>
        <w:t>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5ADB1AE" w14:textId="77777777" w:rsidR="0049429D" w:rsidRPr="002D5F96" w:rsidRDefault="00311CBA">
      <w:pPr>
        <w:pBdr>
          <w:top w:val="nil"/>
          <w:left w:val="nil"/>
          <w:bottom w:val="nil"/>
          <w:right w:val="nil"/>
          <w:between w:val="nil"/>
        </w:pBdr>
        <w:spacing w:before="240" w:after="240"/>
        <w:ind w:left="709" w:right="760"/>
        <w:jc w:val="both"/>
      </w:pPr>
      <w:r w:rsidRPr="002D5F9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38618A3" w14:textId="77777777" w:rsidR="0049429D" w:rsidRPr="002D5F96" w:rsidRDefault="00311CBA">
      <w:pPr>
        <w:pBdr>
          <w:top w:val="nil"/>
          <w:left w:val="nil"/>
          <w:bottom w:val="nil"/>
          <w:right w:val="nil"/>
          <w:between w:val="nil"/>
        </w:pBdr>
        <w:spacing w:before="240" w:after="240" w:line="360" w:lineRule="auto"/>
        <w:jc w:val="both"/>
        <w:rPr>
          <w:sz w:val="22"/>
          <w:szCs w:val="22"/>
        </w:rPr>
      </w:pPr>
      <w:r w:rsidRPr="002D5F96">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A6BD014" w14:textId="77777777" w:rsidR="0049429D" w:rsidRPr="002D5F96" w:rsidRDefault="00311CBA">
      <w:pPr>
        <w:pBdr>
          <w:top w:val="nil"/>
          <w:left w:val="nil"/>
          <w:bottom w:val="nil"/>
          <w:right w:val="nil"/>
          <w:between w:val="nil"/>
        </w:pBdr>
        <w:spacing w:before="240" w:after="240"/>
        <w:ind w:left="567" w:right="758"/>
        <w:jc w:val="both"/>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Artículo 12</w:t>
      </w:r>
      <w:r w:rsidRPr="002D5F96">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51A3ED9" w14:textId="77777777" w:rsidR="0049429D" w:rsidRPr="002D5F96" w:rsidRDefault="00311CBA">
      <w:pPr>
        <w:pBdr>
          <w:top w:val="nil"/>
          <w:left w:val="nil"/>
          <w:bottom w:val="nil"/>
          <w:right w:val="nil"/>
          <w:between w:val="nil"/>
        </w:pBdr>
        <w:spacing w:before="240" w:after="240"/>
        <w:ind w:left="567" w:right="758"/>
        <w:jc w:val="both"/>
      </w:pPr>
      <w:r w:rsidRPr="002D5F9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AE9CB6B" w14:textId="77777777" w:rsidR="0049429D" w:rsidRPr="002D5F96" w:rsidRDefault="00311CBA">
      <w:pPr>
        <w:pBdr>
          <w:top w:val="nil"/>
          <w:left w:val="nil"/>
          <w:bottom w:val="nil"/>
          <w:right w:val="nil"/>
          <w:between w:val="nil"/>
        </w:pBdr>
        <w:spacing w:before="240" w:after="240" w:line="360" w:lineRule="auto"/>
        <w:jc w:val="both"/>
        <w:rPr>
          <w:sz w:val="22"/>
          <w:szCs w:val="22"/>
        </w:rPr>
      </w:pPr>
      <w:r w:rsidRPr="002D5F96">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2D5F96">
        <w:rPr>
          <w:rFonts w:ascii="Palatino Linotype" w:eastAsia="Palatino Linotype" w:hAnsi="Palatino Linotype" w:cs="Palatino Linotype"/>
          <w:b/>
          <w:sz w:val="22"/>
          <w:szCs w:val="22"/>
        </w:rPr>
        <w:t xml:space="preserve"> </w:t>
      </w:r>
      <w:r w:rsidRPr="002D5F96">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2D5F96">
        <w:rPr>
          <w:rFonts w:ascii="Palatino Linotype" w:eastAsia="Palatino Linotype" w:hAnsi="Palatino Linotype" w:cs="Palatino Linotype"/>
          <w:i/>
          <w:sz w:val="22"/>
          <w:szCs w:val="22"/>
        </w:rPr>
        <w:t>ad hoc</w:t>
      </w:r>
      <w:r w:rsidRPr="002D5F96">
        <w:rPr>
          <w:rFonts w:ascii="Palatino Linotype" w:eastAsia="Palatino Linotype" w:hAnsi="Palatino Linotype" w:cs="Palatino Linotype"/>
          <w:sz w:val="22"/>
          <w:szCs w:val="22"/>
        </w:rPr>
        <w:t xml:space="preserve">, para satisfacer el derecho de acceso a la información pública, como así lo establece el criterio </w:t>
      </w:r>
      <w:r w:rsidRPr="002D5F96">
        <w:rPr>
          <w:rFonts w:ascii="Palatino Linotype" w:eastAsia="Palatino Linotype" w:hAnsi="Palatino Linotype" w:cs="Palatino Linotype"/>
          <w:sz w:val="22"/>
          <w:szCs w:val="22"/>
        </w:rPr>
        <w:lastRenderedPageBreak/>
        <w:t>orientador 03/17 emitido por el entonces Instituto Nacional de Transparencia, Acceso a la Información Pública y Protección de Datos Personales, el cual señala lo siguiente:</w:t>
      </w:r>
    </w:p>
    <w:p w14:paraId="062DB7BE" w14:textId="77777777" w:rsidR="0049429D" w:rsidRPr="002D5F96" w:rsidRDefault="00311CBA">
      <w:pPr>
        <w:pBdr>
          <w:top w:val="nil"/>
          <w:left w:val="nil"/>
          <w:bottom w:val="nil"/>
          <w:right w:val="nil"/>
          <w:between w:val="nil"/>
        </w:pBdr>
        <w:spacing w:before="240" w:after="240"/>
        <w:ind w:left="567" w:right="900"/>
        <w:jc w:val="both"/>
      </w:pPr>
      <w:r w:rsidRPr="002D5F96">
        <w:rPr>
          <w:rFonts w:ascii="Palatino Linotype" w:eastAsia="Palatino Linotype" w:hAnsi="Palatino Linotype" w:cs="Palatino Linotype"/>
          <w:b/>
          <w:i/>
          <w:sz w:val="22"/>
          <w:szCs w:val="22"/>
        </w:rPr>
        <w:t>03/17</w:t>
      </w:r>
    </w:p>
    <w:p w14:paraId="22EEAEC5" w14:textId="77777777" w:rsidR="0049429D" w:rsidRPr="002D5F96" w:rsidRDefault="00311CBA">
      <w:pPr>
        <w:pBdr>
          <w:top w:val="nil"/>
          <w:left w:val="nil"/>
          <w:bottom w:val="nil"/>
          <w:right w:val="nil"/>
          <w:between w:val="nil"/>
        </w:pBdr>
        <w:spacing w:before="240" w:after="240"/>
        <w:ind w:left="567" w:right="900"/>
        <w:jc w:val="both"/>
      </w:pPr>
      <w:r w:rsidRPr="002D5F96">
        <w:rPr>
          <w:rFonts w:ascii="Palatino Linotype" w:eastAsia="Palatino Linotype" w:hAnsi="Palatino Linotype" w:cs="Palatino Linotype"/>
          <w:b/>
          <w:i/>
          <w:sz w:val="22"/>
          <w:szCs w:val="22"/>
        </w:rPr>
        <w:t>“NO EXISTE OBLIGACIÓN DE ELABORAR DOCUMENTOS AD HOC PARA ATENDER LAS SOLICITUDES DE ACCESO A LA INFORMACIÓN.</w:t>
      </w:r>
    </w:p>
    <w:p w14:paraId="39B37EA1" w14:textId="77777777" w:rsidR="0049429D" w:rsidRPr="002D5F96" w:rsidRDefault="00311CBA">
      <w:pPr>
        <w:pBdr>
          <w:top w:val="nil"/>
          <w:left w:val="nil"/>
          <w:bottom w:val="nil"/>
          <w:right w:val="nil"/>
          <w:between w:val="nil"/>
        </w:pBdr>
        <w:spacing w:before="240" w:after="240"/>
        <w:ind w:left="567" w:right="900"/>
        <w:jc w:val="both"/>
      </w:pPr>
      <w:r w:rsidRPr="002D5F9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0DAFC5" w14:textId="77777777" w:rsidR="0049429D" w:rsidRPr="002D5F96" w:rsidRDefault="00311CBA">
      <w:pPr>
        <w:pBdr>
          <w:top w:val="nil"/>
          <w:left w:val="nil"/>
          <w:bottom w:val="nil"/>
          <w:right w:val="nil"/>
          <w:between w:val="nil"/>
        </w:pBdr>
        <w:spacing w:before="240" w:after="240" w:line="360" w:lineRule="auto"/>
        <w:jc w:val="both"/>
        <w:rPr>
          <w:sz w:val="22"/>
          <w:szCs w:val="22"/>
        </w:rPr>
      </w:pPr>
      <w:r w:rsidRPr="002D5F96">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61CE4C5" w14:textId="77777777" w:rsidR="0049429D" w:rsidRPr="002D5F96" w:rsidRDefault="00311CBA">
      <w:pPr>
        <w:pBdr>
          <w:top w:val="nil"/>
          <w:left w:val="nil"/>
          <w:bottom w:val="nil"/>
          <w:right w:val="nil"/>
          <w:between w:val="nil"/>
        </w:pBdr>
        <w:spacing w:before="240" w:after="240" w:line="360" w:lineRule="auto"/>
        <w:ind w:right="49"/>
        <w:jc w:val="both"/>
        <w:rPr>
          <w:sz w:val="22"/>
          <w:szCs w:val="22"/>
        </w:rPr>
      </w:pPr>
      <w:r w:rsidRPr="002D5F9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8128FD" w14:textId="77777777" w:rsidR="0049429D" w:rsidRPr="002D5F96" w:rsidRDefault="00311CB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F0E606E" w14:textId="77777777" w:rsidR="0049429D" w:rsidRPr="002D5F96" w:rsidRDefault="00311CBA">
      <w:pPr>
        <w:pBdr>
          <w:top w:val="nil"/>
          <w:left w:val="nil"/>
          <w:bottom w:val="nil"/>
          <w:right w:val="nil"/>
          <w:between w:val="nil"/>
        </w:pBdr>
        <w:spacing w:before="240" w:after="240"/>
        <w:ind w:left="567" w:right="567"/>
        <w:jc w:val="both"/>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 xml:space="preserve">Artículo 3. </w:t>
      </w:r>
      <w:r w:rsidRPr="002D5F96">
        <w:rPr>
          <w:rFonts w:ascii="Palatino Linotype" w:eastAsia="Palatino Linotype" w:hAnsi="Palatino Linotype" w:cs="Palatino Linotype"/>
          <w:i/>
          <w:sz w:val="22"/>
          <w:szCs w:val="22"/>
        </w:rPr>
        <w:t>Para los efectos de la presente Ley se entenderá por:</w:t>
      </w:r>
    </w:p>
    <w:p w14:paraId="259632BB" w14:textId="77777777" w:rsidR="0049429D" w:rsidRPr="002D5F96" w:rsidRDefault="00311CBA">
      <w:pPr>
        <w:pBdr>
          <w:top w:val="nil"/>
          <w:left w:val="nil"/>
          <w:bottom w:val="nil"/>
          <w:right w:val="nil"/>
          <w:between w:val="nil"/>
        </w:pBdr>
        <w:spacing w:before="240" w:after="240"/>
        <w:ind w:left="567" w:right="567"/>
        <w:jc w:val="both"/>
      </w:pPr>
      <w:r w:rsidRPr="002D5F96">
        <w:rPr>
          <w:rFonts w:ascii="Palatino Linotype" w:eastAsia="Palatino Linotype" w:hAnsi="Palatino Linotype" w:cs="Palatino Linotype"/>
          <w:i/>
          <w:sz w:val="22"/>
          <w:szCs w:val="22"/>
        </w:rPr>
        <w:t>…</w:t>
      </w:r>
    </w:p>
    <w:p w14:paraId="0E24F073" w14:textId="77777777" w:rsidR="0049429D" w:rsidRPr="002D5F96" w:rsidRDefault="00311CBA">
      <w:pPr>
        <w:pBdr>
          <w:top w:val="nil"/>
          <w:left w:val="nil"/>
          <w:bottom w:val="nil"/>
          <w:right w:val="nil"/>
          <w:between w:val="nil"/>
        </w:pBdr>
        <w:spacing w:before="240" w:after="240"/>
        <w:ind w:left="567" w:right="567"/>
        <w:jc w:val="both"/>
      </w:pPr>
      <w:r w:rsidRPr="002D5F96">
        <w:rPr>
          <w:rFonts w:ascii="Palatino Linotype" w:eastAsia="Palatino Linotype" w:hAnsi="Palatino Linotype" w:cs="Palatino Linotype"/>
          <w:b/>
          <w:i/>
          <w:sz w:val="22"/>
          <w:szCs w:val="22"/>
        </w:rPr>
        <w:t>XI. Documento:</w:t>
      </w:r>
      <w:r w:rsidRPr="002D5F9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D5F96">
        <w:rPr>
          <w:rFonts w:ascii="Palatino Linotype" w:eastAsia="Palatino Linotype" w:hAnsi="Palatino Linotype" w:cs="Palatino Linotype"/>
          <w:b/>
          <w:i/>
          <w:sz w:val="22"/>
          <w:szCs w:val="22"/>
        </w:rPr>
        <w:t>…</w:t>
      </w:r>
      <w:r w:rsidRPr="002D5F96">
        <w:rPr>
          <w:rFonts w:ascii="Palatino Linotype" w:eastAsia="Palatino Linotype" w:hAnsi="Palatino Linotype" w:cs="Palatino Linotype"/>
          <w:i/>
          <w:sz w:val="22"/>
          <w:szCs w:val="22"/>
        </w:rPr>
        <w:t>”</w:t>
      </w:r>
    </w:p>
    <w:p w14:paraId="3A292E50" w14:textId="77777777" w:rsidR="0049429D" w:rsidRPr="002D5F96" w:rsidRDefault="00311CBA">
      <w:pPr>
        <w:pBdr>
          <w:top w:val="nil"/>
          <w:left w:val="nil"/>
          <w:bottom w:val="nil"/>
          <w:right w:val="nil"/>
          <w:between w:val="nil"/>
        </w:pBdr>
        <w:spacing w:before="240" w:after="240" w:line="360" w:lineRule="auto"/>
        <w:jc w:val="both"/>
        <w:rPr>
          <w:sz w:val="22"/>
          <w:szCs w:val="22"/>
        </w:rPr>
      </w:pPr>
      <w:r w:rsidRPr="002D5F9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E2984A" w14:textId="77777777" w:rsidR="0049429D" w:rsidRPr="002D5F96" w:rsidRDefault="00311CBA">
      <w:pPr>
        <w:pBdr>
          <w:top w:val="nil"/>
          <w:left w:val="nil"/>
          <w:bottom w:val="nil"/>
          <w:right w:val="nil"/>
          <w:between w:val="nil"/>
        </w:pBdr>
        <w:spacing w:before="240" w:after="240"/>
        <w:ind w:left="567" w:right="567"/>
        <w:jc w:val="both"/>
      </w:pPr>
      <w:r w:rsidRPr="002D5F96">
        <w:rPr>
          <w:rFonts w:ascii="Palatino Linotype" w:eastAsia="Palatino Linotype" w:hAnsi="Palatino Linotype" w:cs="Palatino Linotype"/>
          <w:b/>
          <w:sz w:val="22"/>
          <w:szCs w:val="22"/>
        </w:rPr>
        <w:t>“</w:t>
      </w:r>
      <w:r w:rsidRPr="002D5F96">
        <w:rPr>
          <w:rFonts w:ascii="Palatino Linotype" w:eastAsia="Palatino Linotype" w:hAnsi="Palatino Linotype" w:cs="Palatino Linotype"/>
          <w:b/>
          <w:i/>
          <w:sz w:val="22"/>
          <w:szCs w:val="22"/>
        </w:rPr>
        <w:t>CRITERIO 0002-11</w:t>
      </w:r>
    </w:p>
    <w:p w14:paraId="07F937F0" w14:textId="77777777" w:rsidR="0049429D" w:rsidRPr="002D5F96" w:rsidRDefault="00311CBA">
      <w:pPr>
        <w:pBdr>
          <w:top w:val="nil"/>
          <w:left w:val="nil"/>
          <w:bottom w:val="nil"/>
          <w:right w:val="nil"/>
          <w:between w:val="nil"/>
        </w:pBdr>
        <w:spacing w:before="240" w:after="240"/>
        <w:ind w:left="567" w:right="567"/>
        <w:jc w:val="both"/>
      </w:pPr>
      <w:r w:rsidRPr="002D5F9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D5F96">
        <w:rPr>
          <w:rFonts w:ascii="Palatino Linotype" w:eastAsia="Palatino Linotype" w:hAnsi="Palatino Linotype" w:cs="Palatino Linotype"/>
          <w:i/>
          <w:sz w:val="22"/>
          <w:szCs w:val="22"/>
        </w:rPr>
        <w:t xml:space="preserve"> De conformidad con los artículos antes referidos, el derecho de acceso a la información pública, se define en </w:t>
      </w:r>
      <w:r w:rsidRPr="002D5F96">
        <w:rPr>
          <w:rFonts w:ascii="Palatino Linotype" w:eastAsia="Palatino Linotype" w:hAnsi="Palatino Linotype" w:cs="Palatino Linotype"/>
          <w:i/>
          <w:sz w:val="22"/>
          <w:szCs w:val="22"/>
        </w:rPr>
        <w:lastRenderedPageBreak/>
        <w:t>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E3989F" w14:textId="77777777" w:rsidR="0049429D" w:rsidRPr="002D5F96" w:rsidRDefault="00311CBA">
      <w:pPr>
        <w:pBdr>
          <w:top w:val="nil"/>
          <w:left w:val="nil"/>
          <w:bottom w:val="nil"/>
          <w:right w:val="nil"/>
          <w:between w:val="nil"/>
        </w:pBdr>
        <w:spacing w:before="240" w:after="240"/>
        <w:ind w:left="567" w:right="567"/>
        <w:jc w:val="both"/>
      </w:pPr>
      <w:r w:rsidRPr="002D5F9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6312EE" w14:textId="77777777" w:rsidR="0049429D" w:rsidRPr="002D5F96" w:rsidRDefault="00311CBA">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FDA285F" w14:textId="77777777" w:rsidR="0049429D" w:rsidRPr="002D5F96" w:rsidRDefault="00311CBA">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F4BC4B6" w14:textId="77777777" w:rsidR="0049429D" w:rsidRPr="002D5F96" w:rsidRDefault="00311CBA">
      <w:pPr>
        <w:pBdr>
          <w:top w:val="nil"/>
          <w:left w:val="nil"/>
          <w:bottom w:val="nil"/>
          <w:right w:val="nil"/>
          <w:between w:val="nil"/>
        </w:pBdr>
        <w:spacing w:before="240" w:after="240"/>
        <w:ind w:left="567" w:right="567" w:hanging="284"/>
        <w:jc w:val="both"/>
      </w:pPr>
      <w:r w:rsidRPr="002D5F96">
        <w:rPr>
          <w:rFonts w:ascii="Palatino Linotype" w:eastAsia="Palatino Linotype" w:hAnsi="Palatino Linotype" w:cs="Palatino Linotype"/>
          <w:i/>
          <w:sz w:val="22"/>
          <w:szCs w:val="22"/>
        </w:rPr>
        <w:t xml:space="preserve">3. </w:t>
      </w:r>
      <w:r w:rsidRPr="002D5F96">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2D5F96">
        <w:rPr>
          <w:rFonts w:ascii="Palatino Linotype" w:eastAsia="Palatino Linotype" w:hAnsi="Palatino Linotype" w:cs="Palatino Linotype"/>
          <w:i/>
          <w:sz w:val="22"/>
          <w:szCs w:val="22"/>
        </w:rPr>
        <w:t>(Énfasis añadido)</w:t>
      </w:r>
    </w:p>
    <w:p w14:paraId="48C6723A" w14:textId="77777777" w:rsidR="0049429D" w:rsidRPr="002D5F96" w:rsidRDefault="00311CB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De ahí que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018FB82" w14:textId="77777777" w:rsidR="0049429D" w:rsidRPr="002D5F96" w:rsidRDefault="00311CB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le proporcionara lo siguiente:</w:t>
      </w:r>
    </w:p>
    <w:p w14:paraId="597554EF" w14:textId="77777777" w:rsidR="007566F0" w:rsidRPr="002D5F96" w:rsidRDefault="007566F0" w:rsidP="00070B88">
      <w:pPr>
        <w:pStyle w:val="Prrafodelista"/>
        <w:numPr>
          <w:ilvl w:val="0"/>
          <w:numId w:val="9"/>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sz w:val="22"/>
          <w:szCs w:val="22"/>
        </w:rPr>
        <w:t>C</w:t>
      </w:r>
      <w:r w:rsidRPr="002D5F96">
        <w:rPr>
          <w:rFonts w:ascii="Palatino Linotype" w:eastAsia="Palatino Linotype" w:hAnsi="Palatino Linotype" w:cs="Palatino Linotype"/>
          <w:b/>
          <w:sz w:val="22"/>
          <w:szCs w:val="22"/>
        </w:rPr>
        <w:t>aratula de asignación de presupuesto para el año 2025 del DIF Municipal de Cocotitlán 2025-2027.</w:t>
      </w:r>
    </w:p>
    <w:p w14:paraId="05484333" w14:textId="77777777" w:rsidR="007566F0" w:rsidRPr="002D5F96" w:rsidRDefault="007566F0" w:rsidP="007566F0">
      <w:pPr>
        <w:pStyle w:val="Prrafodelista"/>
        <w:numPr>
          <w:ilvl w:val="0"/>
          <w:numId w:val="9"/>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lastRenderedPageBreak/>
        <w:t xml:space="preserve">Desglose de los gastos que se han erogado del 1 de enero a la fecha de la solicitud, esto es, al 17 de febrero de 2025. </w:t>
      </w:r>
    </w:p>
    <w:p w14:paraId="4046ABA2" w14:textId="77777777" w:rsidR="007566F0" w:rsidRPr="002D5F96" w:rsidRDefault="00311CBA" w:rsidP="007566F0">
      <w:pPr>
        <w:spacing w:before="240" w:after="240"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En respuesta a este requerimiento de información, el</w:t>
      </w:r>
      <w:r w:rsidRPr="002D5F96">
        <w:rPr>
          <w:rFonts w:ascii="Palatino Linotype" w:eastAsia="Palatino Linotype" w:hAnsi="Palatino Linotype" w:cs="Palatino Linotype"/>
          <w:b/>
          <w:sz w:val="22"/>
          <w:szCs w:val="22"/>
        </w:rPr>
        <w:t xml:space="preserve"> Sujeto Obligado </w:t>
      </w:r>
      <w:r w:rsidRPr="002D5F96">
        <w:rPr>
          <w:rFonts w:ascii="Palatino Linotype" w:eastAsia="Palatino Linotype" w:hAnsi="Palatino Linotype" w:cs="Palatino Linotype"/>
          <w:sz w:val="22"/>
          <w:szCs w:val="22"/>
        </w:rPr>
        <w:t xml:space="preserve">se pronunció por conducto de la </w:t>
      </w:r>
      <w:r w:rsidR="007566F0" w:rsidRPr="002D5F96">
        <w:rPr>
          <w:rFonts w:ascii="Palatino Linotype" w:eastAsia="Palatino Linotype" w:hAnsi="Palatino Linotype" w:cs="Palatino Linotype"/>
          <w:sz w:val="22"/>
          <w:szCs w:val="22"/>
        </w:rPr>
        <w:t>Directora del Sistema Municipal para el Desarrollo Integral de la Familia de Cocotitlán, quien anexó la carátula del presupuesto de egresos 2025.</w:t>
      </w:r>
    </w:p>
    <w:p w14:paraId="723330DA" w14:textId="77777777" w:rsidR="0049429D" w:rsidRPr="002D5F96" w:rsidRDefault="00311CBA">
      <w:pPr>
        <w:spacing w:before="240" w:after="240"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En esta tesitura, una vez conocida la respuesta emitida por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la parte Recurrente</w:t>
      </w:r>
      <w:r w:rsidRPr="002D5F96">
        <w:rPr>
          <w:rFonts w:ascii="Palatino Linotype" w:eastAsia="Palatino Linotype" w:hAnsi="Palatino Linotype" w:cs="Palatino Linotype"/>
          <w:sz w:val="22"/>
          <w:szCs w:val="22"/>
        </w:rPr>
        <w:t>, al no estar conforme con los términos de la misma, interpuso el recurso de revisión que nos ocupa, inconformándose medularmente por la negativa a entregar la información solicitada.</w:t>
      </w:r>
    </w:p>
    <w:p w14:paraId="30E61495" w14:textId="77777777" w:rsidR="0049429D" w:rsidRPr="002D5F96" w:rsidRDefault="00311CB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Así las cosas, durante la etapa de manifestaciones e informe justificado, se tiene que </w:t>
      </w:r>
      <w:r w:rsidR="007566F0" w:rsidRPr="002D5F96">
        <w:rPr>
          <w:rFonts w:ascii="Palatino Linotype" w:eastAsia="Palatino Linotype" w:hAnsi="Palatino Linotype" w:cs="Palatino Linotype"/>
          <w:sz w:val="22"/>
          <w:szCs w:val="22"/>
        </w:rPr>
        <w:t xml:space="preserve">las partes </w:t>
      </w:r>
      <w:r w:rsidRPr="002D5F96">
        <w:rPr>
          <w:rFonts w:ascii="Palatino Linotype" w:eastAsia="Palatino Linotype" w:hAnsi="Palatino Linotype" w:cs="Palatino Linotype"/>
          <w:sz w:val="22"/>
          <w:szCs w:val="22"/>
        </w:rPr>
        <w:t>fue</w:t>
      </w:r>
      <w:r w:rsidR="007566F0" w:rsidRPr="002D5F96">
        <w:rPr>
          <w:rFonts w:ascii="Palatino Linotype" w:eastAsia="Palatino Linotype" w:hAnsi="Palatino Linotype" w:cs="Palatino Linotype"/>
          <w:sz w:val="22"/>
          <w:szCs w:val="22"/>
        </w:rPr>
        <w:t>ron</w:t>
      </w:r>
      <w:r w:rsidRPr="002D5F96">
        <w:rPr>
          <w:rFonts w:ascii="Palatino Linotype" w:eastAsia="Palatino Linotype" w:hAnsi="Palatino Linotype" w:cs="Palatino Linotype"/>
          <w:sz w:val="22"/>
          <w:szCs w:val="22"/>
        </w:rPr>
        <w:t xml:space="preserve"> omisa</w:t>
      </w:r>
      <w:r w:rsidR="007566F0" w:rsidRPr="002D5F96">
        <w:rPr>
          <w:rFonts w:ascii="Palatino Linotype" w:eastAsia="Palatino Linotype" w:hAnsi="Palatino Linotype" w:cs="Palatino Linotype"/>
          <w:sz w:val="22"/>
          <w:szCs w:val="22"/>
        </w:rPr>
        <w:t>s</w:t>
      </w:r>
      <w:r w:rsidRPr="002D5F96">
        <w:rPr>
          <w:rFonts w:ascii="Palatino Linotype" w:eastAsia="Palatino Linotype" w:hAnsi="Palatino Linotype" w:cs="Palatino Linotype"/>
          <w:sz w:val="22"/>
          <w:szCs w:val="22"/>
        </w:rPr>
        <w:t xml:space="preserve"> en pronunciarse, por lo que se tuvo por precluido su derecho para tal efecto, y al tener todas las etapas procesales substanciadas, se procede en este acto a emitir la resolución que </w:t>
      </w:r>
      <w:r w:rsidR="00EA281C" w:rsidRPr="002D5F96">
        <w:rPr>
          <w:rFonts w:ascii="Palatino Linotype" w:eastAsia="Palatino Linotype" w:hAnsi="Palatino Linotype" w:cs="Palatino Linotype"/>
          <w:sz w:val="22"/>
          <w:szCs w:val="22"/>
        </w:rPr>
        <w:t>conforme a derecho corresponda</w:t>
      </w:r>
      <w:r w:rsidRPr="002D5F96">
        <w:rPr>
          <w:rFonts w:ascii="Palatino Linotype" w:eastAsia="Palatino Linotype" w:hAnsi="Palatino Linotype" w:cs="Palatino Linotype"/>
          <w:sz w:val="22"/>
          <w:szCs w:val="22"/>
        </w:rPr>
        <w:t>.</w:t>
      </w:r>
    </w:p>
    <w:p w14:paraId="05B05580" w14:textId="77777777" w:rsidR="00EA281C" w:rsidRPr="002D5F96" w:rsidRDefault="00EA28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8CCB9E9" w14:textId="77777777" w:rsidR="00EA281C" w:rsidRPr="002D5F96" w:rsidRDefault="00EA28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Para tal efecto, se procede a analizar las constancias que conforman el expediente electrónico, mediante los dos siguientes apartados</w:t>
      </w:r>
      <w:r w:rsidR="00893C16" w:rsidRPr="002D5F96">
        <w:rPr>
          <w:rFonts w:ascii="Palatino Linotype" w:eastAsia="Palatino Linotype" w:hAnsi="Palatino Linotype" w:cs="Palatino Linotype"/>
          <w:sz w:val="22"/>
          <w:szCs w:val="22"/>
        </w:rPr>
        <w:t>:</w:t>
      </w:r>
    </w:p>
    <w:p w14:paraId="4104F224" w14:textId="77777777" w:rsidR="00EA281C" w:rsidRPr="002D5F96" w:rsidRDefault="00EA28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5CA2864" w14:textId="77777777" w:rsidR="00893C16" w:rsidRPr="002D5F96" w:rsidRDefault="00893C16" w:rsidP="00893C1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1. Carátula de asignación de presupuesto para el año 2025 del DIF Municipal de Cocotitlán 2025-2027.</w:t>
      </w:r>
    </w:p>
    <w:p w14:paraId="677C71F2" w14:textId="77777777" w:rsidR="00893C16" w:rsidRPr="002D5F96" w:rsidRDefault="00893C16" w:rsidP="00893C16">
      <w:pPr>
        <w:pBdr>
          <w:top w:val="nil"/>
          <w:left w:val="nil"/>
          <w:bottom w:val="nil"/>
          <w:right w:val="nil"/>
          <w:between w:val="nil"/>
        </w:pBdr>
        <w:tabs>
          <w:tab w:val="left" w:pos="284"/>
        </w:tabs>
        <w:spacing w:line="360" w:lineRule="auto"/>
        <w:ind w:right="900"/>
        <w:jc w:val="both"/>
        <w:rPr>
          <w:rFonts w:ascii="Palatino Linotype" w:eastAsia="Palatino Linotype" w:hAnsi="Palatino Linotype" w:cs="Palatino Linotype"/>
          <w:b/>
          <w:sz w:val="22"/>
          <w:szCs w:val="22"/>
        </w:rPr>
      </w:pPr>
    </w:p>
    <w:p w14:paraId="2C2C473A" w14:textId="77777777" w:rsidR="00893C16" w:rsidRPr="002D5F96" w:rsidRDefault="00893C16" w:rsidP="002411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En lo tocante a este punto, tenemos </w:t>
      </w:r>
      <w:r w:rsidR="00FB04C8" w:rsidRPr="002D5F96">
        <w:rPr>
          <w:rFonts w:ascii="Palatino Linotype" w:eastAsia="Palatino Linotype" w:hAnsi="Palatino Linotype" w:cs="Palatino Linotype"/>
          <w:sz w:val="22"/>
          <w:szCs w:val="22"/>
        </w:rPr>
        <w:t xml:space="preserve">que </w:t>
      </w:r>
      <w:r w:rsidR="0024119F" w:rsidRPr="002D5F96">
        <w:rPr>
          <w:rFonts w:ascii="Palatino Linotype" w:eastAsia="Palatino Linotype" w:hAnsi="Palatino Linotype" w:cs="Palatino Linotype"/>
          <w:sz w:val="22"/>
          <w:szCs w:val="22"/>
        </w:rPr>
        <w:t xml:space="preserve">desde la respuesta, el </w:t>
      </w:r>
      <w:r w:rsidR="0024119F" w:rsidRPr="002D5F96">
        <w:rPr>
          <w:rFonts w:ascii="Palatino Linotype" w:eastAsia="Palatino Linotype" w:hAnsi="Palatino Linotype" w:cs="Palatino Linotype"/>
          <w:b/>
          <w:sz w:val="22"/>
          <w:szCs w:val="22"/>
        </w:rPr>
        <w:t>Sujeto Obligado</w:t>
      </w:r>
      <w:r w:rsidR="0024119F" w:rsidRPr="002D5F96">
        <w:rPr>
          <w:rFonts w:ascii="Palatino Linotype" w:eastAsia="Palatino Linotype" w:hAnsi="Palatino Linotype" w:cs="Palatino Linotype"/>
          <w:sz w:val="22"/>
          <w:szCs w:val="22"/>
        </w:rPr>
        <w:t xml:space="preserve"> a través de la Directora del Sistema Municipal para el Desarrollo Integral de la Familia de Cocotitlán, anexó la carátula del presupuesto de egresos 2025, precisando que es la que se entregó al OSFEM como parte del presupuesto 2025.</w:t>
      </w:r>
    </w:p>
    <w:p w14:paraId="39B54EA4" w14:textId="77777777" w:rsidR="0024119F" w:rsidRPr="002D5F96" w:rsidRDefault="0024119F" w:rsidP="002411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noProof/>
          <w:sz w:val="22"/>
          <w:szCs w:val="22"/>
        </w:rPr>
        <w:lastRenderedPageBreak/>
        <w:drawing>
          <wp:inline distT="0" distB="0" distL="0" distR="0" wp14:anchorId="5D72F5A7" wp14:editId="1E46F511">
            <wp:extent cx="5612130" cy="4136390"/>
            <wp:effectExtent l="19050" t="19050" r="26670"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136390"/>
                    </a:xfrm>
                    <a:prstGeom prst="rect">
                      <a:avLst/>
                    </a:prstGeom>
                    <a:ln>
                      <a:solidFill>
                        <a:schemeClr val="tx1"/>
                      </a:solidFill>
                    </a:ln>
                  </pic:spPr>
                </pic:pic>
              </a:graphicData>
            </a:graphic>
          </wp:inline>
        </w:drawing>
      </w:r>
    </w:p>
    <w:p w14:paraId="7B96C9DC" w14:textId="77777777" w:rsidR="00AB25BE" w:rsidRPr="002D5F96" w:rsidRDefault="0024119F" w:rsidP="002411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En tal sentido, los Lineamientos para la integración, envío y recepción electrónica del Paquete Presupuestal Municipal 2025, aplicables a Municipios y sus Organismos Descentralizados del Estado de México, entre los que se encuentran: </w:t>
      </w:r>
      <w:r w:rsidRPr="002D5F96">
        <w:rPr>
          <w:rFonts w:ascii="Palatino Linotype" w:eastAsia="Palatino Linotype" w:hAnsi="Palatino Linotype" w:cs="Palatino Linotype"/>
          <w:b/>
          <w:sz w:val="22"/>
          <w:szCs w:val="22"/>
        </w:rPr>
        <w:t>Sistemas Municipales para el Desarrollo Integral de la Familia</w:t>
      </w:r>
      <w:r w:rsidRPr="002D5F96">
        <w:rPr>
          <w:rFonts w:ascii="Palatino Linotype" w:eastAsia="Palatino Linotype" w:hAnsi="Palatino Linotype" w:cs="Palatino Linotype"/>
          <w:sz w:val="22"/>
          <w:szCs w:val="22"/>
        </w:rPr>
        <w:t xml:space="preserve">, Organismos Operadores de Agua, Institutos Municipales de Cultura Física y Deporte, Organismo Público Descentralizado de Carácter Municipal para el  Mantenimiento de Vialidades de Cuautitlán Izcalli, Instituto Municipal de la Juventud e Instituto Municipal de la Mujer, así como de aquellos Organismos Descentralizados que se llegaran a crear o inicien operaciones durante el ejercicio  2025, establecen que </w:t>
      </w:r>
      <w:r w:rsidR="00AB25BE" w:rsidRPr="002D5F96">
        <w:rPr>
          <w:rFonts w:ascii="Palatino Linotype" w:eastAsia="Palatino Linotype" w:hAnsi="Palatino Linotype" w:cs="Palatino Linotype"/>
          <w:sz w:val="22"/>
          <w:szCs w:val="22"/>
        </w:rPr>
        <w:t xml:space="preserve">a más tardar el 25 de febrero de 2025, deben remitir toda la información consistente en el Paquete Presupuestal Municipal 2025 al Órgano Superior de Fiscalización </w:t>
      </w:r>
      <w:r w:rsidR="00AB25BE" w:rsidRPr="002D5F96">
        <w:rPr>
          <w:rFonts w:ascii="Palatino Linotype" w:eastAsia="Palatino Linotype" w:hAnsi="Palatino Linotype" w:cs="Palatino Linotype"/>
          <w:sz w:val="22"/>
          <w:szCs w:val="22"/>
        </w:rPr>
        <w:lastRenderedPageBreak/>
        <w:t>del Estado de México (OSFEM); es de precisar que dentro de esta documentación, se aprecia la carátula de presupuesto de egresos, en la cual consta el presupuesto asignado durante el ejercicio fiscal 2025, sirven de mayor referencia las siguientes impresiones de pantalla:</w:t>
      </w:r>
    </w:p>
    <w:p w14:paraId="62CAE66B" w14:textId="77777777" w:rsidR="00AB25BE" w:rsidRPr="002D5F96" w:rsidRDefault="00AB25BE" w:rsidP="002411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CF68D7C" w14:textId="77777777" w:rsidR="0024119F" w:rsidRPr="002D5F96" w:rsidRDefault="00AB25BE" w:rsidP="002411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sz w:val="22"/>
          <w:szCs w:val="22"/>
        </w:rPr>
        <w:t>Matriz de archivos y firma autógrafa del soporte documental aplicable para Organismos Descentralizados</w:t>
      </w:r>
    </w:p>
    <w:p w14:paraId="399E9621" w14:textId="77777777" w:rsidR="00AB25BE" w:rsidRPr="002D5F96" w:rsidRDefault="00AB25BE" w:rsidP="002411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noProof/>
          <w:sz w:val="22"/>
          <w:szCs w:val="22"/>
        </w:rPr>
        <w:drawing>
          <wp:inline distT="0" distB="0" distL="0" distR="0" wp14:anchorId="23344825" wp14:editId="27C08B69">
            <wp:extent cx="5612130" cy="2844165"/>
            <wp:effectExtent l="19050" t="19050" r="2667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844165"/>
                    </a:xfrm>
                    <a:prstGeom prst="rect">
                      <a:avLst/>
                    </a:prstGeom>
                    <a:ln>
                      <a:solidFill>
                        <a:schemeClr val="tx1"/>
                      </a:solidFill>
                    </a:ln>
                  </pic:spPr>
                </pic:pic>
              </a:graphicData>
            </a:graphic>
          </wp:inline>
        </w:drawing>
      </w:r>
    </w:p>
    <w:p w14:paraId="13F23FCA" w14:textId="77777777" w:rsidR="00893C16" w:rsidRPr="002D5F96" w:rsidRDefault="00893C16" w:rsidP="00893C16">
      <w:pPr>
        <w:pBdr>
          <w:top w:val="nil"/>
          <w:left w:val="nil"/>
          <w:bottom w:val="nil"/>
          <w:right w:val="nil"/>
          <w:between w:val="nil"/>
        </w:pBdr>
        <w:tabs>
          <w:tab w:val="left" w:pos="284"/>
        </w:tabs>
        <w:spacing w:line="360" w:lineRule="auto"/>
        <w:ind w:right="900"/>
        <w:jc w:val="both"/>
        <w:rPr>
          <w:rFonts w:ascii="Palatino Linotype" w:eastAsia="Palatino Linotype" w:hAnsi="Palatino Linotype" w:cs="Palatino Linotype"/>
          <w:b/>
          <w:sz w:val="22"/>
          <w:szCs w:val="22"/>
        </w:rPr>
      </w:pPr>
    </w:p>
    <w:p w14:paraId="4F85ED04" w14:textId="77777777" w:rsidR="00AB25BE" w:rsidRPr="002D5F96" w:rsidRDefault="00AB25BE" w:rsidP="00AB25BE">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xml:space="preserve">“El archivo Carátula de Presupuesto de Egresos (CPE00002025.txt) está integrado por 6 columnas las cuales consisten: </w:t>
      </w:r>
    </w:p>
    <w:p w14:paraId="5FE29AFA" w14:textId="77777777" w:rsidR="00AB25BE" w:rsidRPr="002D5F96" w:rsidRDefault="00AB25BE" w:rsidP="00AB25BE">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xml:space="preserve">Cuenta: </w:t>
      </w:r>
      <w:r w:rsidRPr="002D5F96">
        <w:rPr>
          <w:rFonts w:ascii="Palatino Linotype" w:eastAsia="Palatino Linotype" w:hAnsi="Palatino Linotype" w:cs="Palatino Linotype"/>
          <w:b/>
          <w:i/>
          <w:sz w:val="22"/>
          <w:szCs w:val="22"/>
          <w:u w:val="single"/>
        </w:rPr>
        <w:t>Anotar la cuenta del Presupuesto de Egresos Aprobado</w:t>
      </w:r>
      <w:r w:rsidRPr="002D5F96">
        <w:rPr>
          <w:rFonts w:ascii="Palatino Linotype" w:eastAsia="Palatino Linotype" w:hAnsi="Palatino Linotype" w:cs="Palatino Linotype"/>
          <w:i/>
          <w:sz w:val="22"/>
          <w:szCs w:val="22"/>
        </w:rPr>
        <w:t xml:space="preserve">, así como los capítulos del gasto conforme al  Clasificador por Objeto del Gasto Municipal 2025 establecido en el Manual Único de Contabilidad Gubernamental  para las Dependencias y Entidades Públicas del Gobierno y Municipios del Estado de México vigente (columna 1 a  2). </w:t>
      </w:r>
    </w:p>
    <w:p w14:paraId="13605193" w14:textId="77777777" w:rsidR="00AB25BE" w:rsidRPr="002D5F96" w:rsidRDefault="00AB25BE" w:rsidP="00AB25BE">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xml:space="preserve">Concepto: Anotar la denominación de la cuenta y de los capítulos del gasto (columna 3). </w:t>
      </w:r>
    </w:p>
    <w:p w14:paraId="71262554" w14:textId="77777777" w:rsidR="00AB25BE" w:rsidRPr="002D5F96" w:rsidRDefault="00AB25BE" w:rsidP="00AB25BE">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lastRenderedPageBreak/>
        <w:t xml:space="preserve">Presupuesto de Egresos Autorizado 2024: Anotar el egreso aprobado del ejercicio 2024 reportado en el presupuesto definitivo (columna 4). </w:t>
      </w:r>
    </w:p>
    <w:p w14:paraId="5F72F8CE" w14:textId="77777777" w:rsidR="00AB25BE" w:rsidRPr="002D5F96" w:rsidRDefault="00AB25BE" w:rsidP="00AB25BE">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xml:space="preserve">Presupuesto de Egresos Ejercido 2024: Anotar el egreso ejercido al término del ejercicio 2024 (columna 5). </w:t>
      </w:r>
    </w:p>
    <w:p w14:paraId="58BFE940" w14:textId="77777777" w:rsidR="00893C16" w:rsidRPr="002D5F96" w:rsidRDefault="00AB25BE" w:rsidP="00AB25BE">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b/>
          <w:i/>
          <w:sz w:val="22"/>
          <w:szCs w:val="22"/>
          <w:u w:val="single"/>
        </w:rPr>
        <w:t>Presupuesto de Egresos Aprobado o Autorizado 2025: Anotar el monto total que se estima ejercer para el ejercicio 2025 (columna 6).</w:t>
      </w:r>
      <w:r w:rsidRPr="002D5F96">
        <w:rPr>
          <w:rFonts w:ascii="Palatino Linotype" w:eastAsia="Palatino Linotype" w:hAnsi="Palatino Linotype" w:cs="Palatino Linotype"/>
          <w:i/>
          <w:sz w:val="22"/>
          <w:szCs w:val="22"/>
        </w:rPr>
        <w:t>” (Énfasis añadido)</w:t>
      </w:r>
    </w:p>
    <w:p w14:paraId="5564241A" w14:textId="77777777" w:rsidR="00893C16" w:rsidRPr="002D5F96" w:rsidRDefault="00893C16" w:rsidP="00893C16">
      <w:pPr>
        <w:pBdr>
          <w:top w:val="nil"/>
          <w:left w:val="nil"/>
          <w:bottom w:val="nil"/>
          <w:right w:val="nil"/>
          <w:between w:val="nil"/>
        </w:pBdr>
        <w:tabs>
          <w:tab w:val="left" w:pos="284"/>
        </w:tabs>
        <w:spacing w:line="360" w:lineRule="auto"/>
        <w:ind w:right="900"/>
        <w:jc w:val="both"/>
        <w:rPr>
          <w:rFonts w:ascii="Palatino Linotype" w:eastAsia="Palatino Linotype" w:hAnsi="Palatino Linotype" w:cs="Palatino Linotype"/>
          <w:b/>
          <w:sz w:val="22"/>
          <w:szCs w:val="22"/>
        </w:rPr>
      </w:pPr>
    </w:p>
    <w:p w14:paraId="7DC9C9D7" w14:textId="77777777" w:rsidR="00AB25BE" w:rsidRPr="002D5F96" w:rsidRDefault="00AB25BE" w:rsidP="006B0C1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Asimismo, el Manual para la Planeación, Programación y Presupuesto de Egresos Municipal para el ejercicio fiscal 2025, emitido para apoyar a apoyar a los Ayuntamientos y entidades públicas municipales, dispone que en el formato presentado en respuesta, es decir, el </w:t>
      </w:r>
      <w:proofErr w:type="spellStart"/>
      <w:r w:rsidRPr="002D5F96">
        <w:rPr>
          <w:rFonts w:ascii="Palatino Linotype" w:eastAsia="Palatino Linotype" w:hAnsi="Palatino Linotype" w:cs="Palatino Linotype"/>
          <w:sz w:val="22"/>
          <w:szCs w:val="22"/>
        </w:rPr>
        <w:t>PbRM</w:t>
      </w:r>
      <w:proofErr w:type="spellEnd"/>
      <w:r w:rsidRPr="002D5F96">
        <w:rPr>
          <w:rFonts w:ascii="Palatino Linotype" w:eastAsia="Palatino Linotype" w:hAnsi="Palatino Linotype" w:cs="Palatino Linotype"/>
          <w:sz w:val="22"/>
          <w:szCs w:val="22"/>
        </w:rPr>
        <w:t xml:space="preserve"> 04d, correspondiente a la carátula de presupuesto de egresos, da cuenta del presupuesto de egresos autorizado para tal entidad pública</w:t>
      </w:r>
      <w:r w:rsidR="006B0C12" w:rsidRPr="002D5F96">
        <w:rPr>
          <w:rFonts w:ascii="Palatino Linotype" w:eastAsia="Palatino Linotype" w:hAnsi="Palatino Linotype" w:cs="Palatino Linotype"/>
          <w:sz w:val="22"/>
          <w:szCs w:val="22"/>
        </w:rPr>
        <w:t>:</w:t>
      </w:r>
    </w:p>
    <w:p w14:paraId="4151397D" w14:textId="77777777" w:rsidR="00AB25BE" w:rsidRPr="002D5F96" w:rsidRDefault="00AB25BE" w:rsidP="00AB25BE">
      <w:pPr>
        <w:pBdr>
          <w:top w:val="nil"/>
          <w:left w:val="nil"/>
          <w:bottom w:val="nil"/>
          <w:right w:val="nil"/>
          <w:between w:val="nil"/>
        </w:pBdr>
        <w:tabs>
          <w:tab w:val="left" w:pos="284"/>
        </w:tabs>
        <w:spacing w:line="360" w:lineRule="auto"/>
        <w:ind w:right="900"/>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noProof/>
          <w:sz w:val="22"/>
          <w:szCs w:val="22"/>
        </w:rPr>
        <w:drawing>
          <wp:inline distT="0" distB="0" distL="0" distR="0" wp14:anchorId="20B0F810" wp14:editId="40294B24">
            <wp:extent cx="5612130" cy="3059430"/>
            <wp:effectExtent l="19050" t="19050" r="26670"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059430"/>
                    </a:xfrm>
                    <a:prstGeom prst="rect">
                      <a:avLst/>
                    </a:prstGeom>
                    <a:ln>
                      <a:solidFill>
                        <a:schemeClr val="tx1"/>
                      </a:solidFill>
                    </a:ln>
                  </pic:spPr>
                </pic:pic>
              </a:graphicData>
            </a:graphic>
          </wp:inline>
        </w:drawing>
      </w:r>
    </w:p>
    <w:p w14:paraId="641737F7" w14:textId="77777777" w:rsidR="006B0C12" w:rsidRPr="002D5F96" w:rsidRDefault="006B0C12" w:rsidP="00AB25BE">
      <w:pPr>
        <w:pBdr>
          <w:top w:val="nil"/>
          <w:left w:val="nil"/>
          <w:bottom w:val="nil"/>
          <w:right w:val="nil"/>
          <w:between w:val="nil"/>
        </w:pBdr>
        <w:tabs>
          <w:tab w:val="left" w:pos="284"/>
        </w:tabs>
        <w:spacing w:line="360" w:lineRule="auto"/>
        <w:ind w:right="900"/>
        <w:jc w:val="both"/>
        <w:rPr>
          <w:rFonts w:ascii="Palatino Linotype" w:eastAsia="Palatino Linotype" w:hAnsi="Palatino Linotype" w:cs="Palatino Linotype"/>
          <w:b/>
          <w:sz w:val="22"/>
          <w:szCs w:val="22"/>
        </w:rPr>
      </w:pPr>
    </w:p>
    <w:p w14:paraId="69CAEA7A" w14:textId="77777777" w:rsidR="006B0C12" w:rsidRPr="002D5F96" w:rsidRDefault="006B0C12" w:rsidP="006B0C1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Por consiguiente, se estima que con la entrega de este documento, se satisface esta parte del requerimiento de información, en razón de que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tuvo a bien, entregar la </w:t>
      </w:r>
      <w:r w:rsidRPr="002D5F96">
        <w:rPr>
          <w:rFonts w:ascii="Palatino Linotype" w:eastAsia="Palatino Linotype" w:hAnsi="Palatino Linotype" w:cs="Palatino Linotype"/>
          <w:sz w:val="22"/>
          <w:szCs w:val="22"/>
        </w:rPr>
        <w:lastRenderedPageBreak/>
        <w:t xml:space="preserve">carátula donde consta el presupuesto asignado al DIF Municipal de Cocotitlán para el ejercicio fiscal 2025. </w:t>
      </w:r>
    </w:p>
    <w:p w14:paraId="28922BCE" w14:textId="77777777" w:rsidR="006B0C12" w:rsidRPr="002D5F96" w:rsidRDefault="006B0C12" w:rsidP="006B0C12">
      <w:pPr>
        <w:pBdr>
          <w:top w:val="nil"/>
          <w:left w:val="nil"/>
          <w:bottom w:val="nil"/>
          <w:right w:val="nil"/>
          <w:between w:val="nil"/>
        </w:pBdr>
        <w:tabs>
          <w:tab w:val="left" w:pos="284"/>
        </w:tabs>
        <w:spacing w:line="360" w:lineRule="auto"/>
        <w:ind w:right="900"/>
        <w:jc w:val="both"/>
        <w:rPr>
          <w:rFonts w:ascii="Palatino Linotype" w:eastAsia="Palatino Linotype" w:hAnsi="Palatino Linotype" w:cs="Palatino Linotype"/>
          <w:b/>
          <w:sz w:val="22"/>
          <w:szCs w:val="22"/>
        </w:rPr>
      </w:pPr>
    </w:p>
    <w:p w14:paraId="0AA73D61" w14:textId="77777777" w:rsidR="00EA281C" w:rsidRPr="002D5F96" w:rsidRDefault="00893C1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2. Desglose de los gastos que se han erogado del 01 de enero a la fecha de la solicitud, esto es, al 17 de febrero de 2025.</w:t>
      </w:r>
    </w:p>
    <w:p w14:paraId="4CEA66EA" w14:textId="77777777" w:rsidR="006B0C12" w:rsidRPr="002D5F96" w:rsidRDefault="006B0C12" w:rsidP="006B0C12">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Por cuanto hace a este punto en cuestión, tenemos que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fue omiso en pronunciarse en todas las etapas que conforman el expediente electrónico, por lo tanto, a juicio de este Organismo Garante, es dable afirmar que no se observó el contenido del Criterio Orientador 02/2017 emitido por el entonces Instituto Nacional de Transparencia, Acceso a la Información y Protección de Datos Personales (INAI) el cual establece lo siguiente: </w:t>
      </w:r>
    </w:p>
    <w:p w14:paraId="577AED15" w14:textId="77777777" w:rsidR="006B0C12" w:rsidRPr="002D5F96" w:rsidRDefault="006B0C12" w:rsidP="006B0C12">
      <w:pPr>
        <w:pBdr>
          <w:top w:val="nil"/>
          <w:left w:val="nil"/>
          <w:bottom w:val="nil"/>
          <w:right w:val="nil"/>
          <w:between w:val="nil"/>
        </w:pBdr>
        <w:shd w:val="clear" w:color="auto" w:fill="FFFFFF"/>
        <w:spacing w:line="276" w:lineRule="auto"/>
        <w:ind w:left="567" w:right="567"/>
        <w:jc w:val="both"/>
      </w:pPr>
      <w:r w:rsidRPr="002D5F96">
        <w:rPr>
          <w:rFonts w:ascii="Palatino Linotype" w:eastAsia="Palatino Linotype" w:hAnsi="Palatino Linotype" w:cs="Palatino Linotype"/>
          <w:b/>
          <w:i/>
          <w:sz w:val="22"/>
          <w:szCs w:val="22"/>
        </w:rPr>
        <w:t xml:space="preserve">“Congruencia y exhaustividad. Sus alcances para garantizar el derecho de acceso a la información. </w:t>
      </w:r>
      <w:r w:rsidRPr="002D5F96">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1E622CF" w14:textId="77777777" w:rsidR="006B0C12" w:rsidRPr="002D5F96" w:rsidRDefault="006B0C12" w:rsidP="006B0C12">
      <w:pPr>
        <w:pBdr>
          <w:top w:val="nil"/>
          <w:left w:val="nil"/>
          <w:bottom w:val="nil"/>
          <w:right w:val="nil"/>
          <w:between w:val="nil"/>
        </w:pBdr>
        <w:shd w:val="clear" w:color="auto" w:fill="FFFFFF"/>
        <w:ind w:right="49"/>
        <w:jc w:val="both"/>
      </w:pPr>
    </w:p>
    <w:p w14:paraId="14D2336C" w14:textId="77777777" w:rsidR="006B0C12" w:rsidRPr="002D5F96" w:rsidRDefault="006B0C12" w:rsidP="006B0C12">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2D5F96">
        <w:rPr>
          <w:rFonts w:ascii="Palatino Linotype" w:eastAsia="Palatino Linotype" w:hAnsi="Palatino Linotype" w:cs="Palatino Linotype"/>
          <w:b/>
          <w:sz w:val="22"/>
          <w:szCs w:val="22"/>
        </w:rPr>
        <w:t xml:space="preserve">implica que exista concordancia entre el requerimiento formulado por el </w:t>
      </w:r>
      <w:r w:rsidRPr="002D5F96">
        <w:rPr>
          <w:rFonts w:ascii="Palatino Linotype" w:eastAsia="Palatino Linotype" w:hAnsi="Palatino Linotype" w:cs="Palatino Linotype"/>
          <w:b/>
          <w:sz w:val="22"/>
          <w:szCs w:val="22"/>
        </w:rPr>
        <w:lastRenderedPageBreak/>
        <w:t>particular y la respuesta proporcionada por el sujeto obligado</w:t>
      </w:r>
      <w:r w:rsidRPr="002D5F96">
        <w:rPr>
          <w:rFonts w:ascii="Palatino Linotype" w:eastAsia="Palatino Linotype" w:hAnsi="Palatino Linotype" w:cs="Palatino Linotype"/>
          <w:sz w:val="22"/>
          <w:szCs w:val="22"/>
        </w:rPr>
        <w:t xml:space="preserve">, mientras que la exhaustividad establece que el sujeto obligado </w:t>
      </w:r>
      <w:r w:rsidRPr="002D5F96">
        <w:rPr>
          <w:rFonts w:ascii="Palatino Linotype" w:eastAsia="Palatino Linotype" w:hAnsi="Palatino Linotype" w:cs="Palatino Linotype"/>
          <w:b/>
          <w:sz w:val="22"/>
          <w:szCs w:val="22"/>
        </w:rPr>
        <w:t>deberá atender de manera expresa cada uno de los puntos solicitados</w:t>
      </w:r>
      <w:r w:rsidRPr="002D5F96">
        <w:rPr>
          <w:rFonts w:ascii="Palatino Linotype" w:eastAsia="Palatino Linotype" w:hAnsi="Palatino Linotype" w:cs="Palatino Linotype"/>
          <w:sz w:val="22"/>
          <w:szCs w:val="22"/>
        </w:rPr>
        <w:t xml:space="preserve">, situación que en el presente caso </w:t>
      </w:r>
      <w:r w:rsidRPr="002D5F96">
        <w:rPr>
          <w:rFonts w:ascii="Palatino Linotype" w:eastAsia="Palatino Linotype" w:hAnsi="Palatino Linotype" w:cs="Palatino Linotype"/>
          <w:b/>
          <w:sz w:val="22"/>
          <w:szCs w:val="22"/>
          <w:u w:val="single"/>
        </w:rPr>
        <w:t>no aconteció</w:t>
      </w:r>
      <w:r w:rsidRPr="002D5F96">
        <w:rPr>
          <w:rFonts w:ascii="Palatino Linotype" w:eastAsia="Palatino Linotype" w:hAnsi="Palatino Linotype" w:cs="Palatino Linotype"/>
          <w:sz w:val="22"/>
          <w:szCs w:val="22"/>
        </w:rPr>
        <w:t xml:space="preserve">, pues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fue omiso en pronunciarse respecto de</w:t>
      </w:r>
      <w:r w:rsidRPr="002D5F96">
        <w:t xml:space="preserve"> </w:t>
      </w:r>
      <w:r w:rsidRPr="002D5F96">
        <w:rPr>
          <w:rFonts w:ascii="Palatino Linotype" w:eastAsia="Palatino Linotype" w:hAnsi="Palatino Linotype" w:cs="Palatino Linotype"/>
          <w:sz w:val="22"/>
          <w:szCs w:val="22"/>
        </w:rPr>
        <w:t>los gastos que se han erogado del 01 de enero a la fecha de la solicitud, esto es, al 17 de febrero de 2025.</w:t>
      </w:r>
    </w:p>
    <w:p w14:paraId="5F0B7001" w14:textId="77777777" w:rsidR="006B0C12" w:rsidRPr="002D5F96" w:rsidRDefault="00682874" w:rsidP="006B0C12">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Bajo este orden de ideas, </w:t>
      </w:r>
      <w:r w:rsidR="006B0C12" w:rsidRPr="002D5F96">
        <w:rPr>
          <w:rFonts w:ascii="Palatino Linotype" w:eastAsia="Palatino Linotype" w:hAnsi="Palatino Linotype" w:cs="Palatino Linotype"/>
          <w:sz w:val="22"/>
          <w:szCs w:val="22"/>
        </w:rPr>
        <w:t xml:space="preserve">es dable afirmar que no se realizó el turno correcto de la presente solicitud, es que se determina que estamos ante una vulneración al derecho de acceso a la información del particular, por lo que para otorgar mayor certeza jurídica al particular, deberá ordenarse que se efectúe una búsqueda exhaustiva y razonable, para ello, dicho requerimiento debió turnarse a su vez a la </w:t>
      </w:r>
      <w:r w:rsidRPr="002D5F96">
        <w:rPr>
          <w:rFonts w:ascii="Palatino Linotype" w:eastAsia="Palatino Linotype" w:hAnsi="Palatino Linotype" w:cs="Palatino Linotype"/>
          <w:b/>
          <w:sz w:val="22"/>
          <w:szCs w:val="22"/>
        </w:rPr>
        <w:t>Tesorería del Sistema Municipal para el Desarrollo Integral de la Familia de Cocotitlán</w:t>
      </w:r>
      <w:r w:rsidR="006B0C12" w:rsidRPr="002D5F96">
        <w:rPr>
          <w:rFonts w:ascii="Palatino Linotype" w:eastAsia="Palatino Linotype" w:hAnsi="Palatino Linotype" w:cs="Palatino Linotype"/>
          <w:b/>
          <w:sz w:val="22"/>
          <w:szCs w:val="22"/>
        </w:rPr>
        <w:t xml:space="preserve">, </w:t>
      </w:r>
      <w:r w:rsidR="006B0C12" w:rsidRPr="002D5F96">
        <w:rPr>
          <w:rFonts w:ascii="Palatino Linotype" w:eastAsia="Palatino Linotype" w:hAnsi="Palatino Linotype" w:cs="Palatino Linotype"/>
          <w:sz w:val="22"/>
          <w:szCs w:val="22"/>
        </w:rPr>
        <w:t>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54D4B1ED" w14:textId="77777777" w:rsidR="006B0C12" w:rsidRPr="002D5F96" w:rsidRDefault="006B0C12" w:rsidP="006B0C12">
      <w:pPr>
        <w:pBdr>
          <w:top w:val="nil"/>
          <w:left w:val="nil"/>
          <w:bottom w:val="nil"/>
          <w:right w:val="nil"/>
          <w:between w:val="nil"/>
        </w:pBdr>
        <w:spacing w:after="240" w:line="360" w:lineRule="auto"/>
        <w:jc w:val="both"/>
        <w:rPr>
          <w:sz w:val="22"/>
          <w:szCs w:val="22"/>
        </w:rPr>
      </w:pPr>
      <w:r w:rsidRPr="002D5F96">
        <w:rPr>
          <w:rFonts w:ascii="Palatino Linotype" w:eastAsia="Palatino Linotype" w:hAnsi="Palatino Linotype" w:cs="Palatino Linotype"/>
          <w:sz w:val="22"/>
          <w:szCs w:val="22"/>
        </w:rPr>
        <w:t>•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EBAA996" w14:textId="77777777" w:rsidR="006B0C12" w:rsidRPr="002D5F96" w:rsidRDefault="006B0C12" w:rsidP="006B0C12">
      <w:pPr>
        <w:pBdr>
          <w:top w:val="nil"/>
          <w:left w:val="nil"/>
          <w:bottom w:val="nil"/>
          <w:right w:val="nil"/>
          <w:between w:val="nil"/>
        </w:pBdr>
        <w:spacing w:after="240" w:line="360" w:lineRule="auto"/>
        <w:jc w:val="both"/>
        <w:rPr>
          <w:sz w:val="22"/>
          <w:szCs w:val="22"/>
        </w:rPr>
      </w:pPr>
      <w:r w:rsidRPr="002D5F96">
        <w:rPr>
          <w:rFonts w:ascii="Palatino Linotype" w:eastAsia="Palatino Linotype" w:hAnsi="Palatino Linotype" w:cs="Palatino Linotype"/>
          <w:sz w:val="22"/>
          <w:szCs w:val="22"/>
        </w:rPr>
        <w:t>• La respuesta a los requerimientos informativos, deberá notificarse al interesado en el menor tiempo posible, que no podrá exceder de quince días hábiles, contados a partir del día siguiente a la presentación de esta. </w:t>
      </w:r>
    </w:p>
    <w:p w14:paraId="5A08CD30" w14:textId="77777777" w:rsidR="006B0C12" w:rsidRPr="002D5F96" w:rsidRDefault="006B0C12" w:rsidP="006B0C12">
      <w:pPr>
        <w:pBdr>
          <w:top w:val="nil"/>
          <w:left w:val="nil"/>
          <w:bottom w:val="nil"/>
          <w:right w:val="nil"/>
          <w:between w:val="nil"/>
        </w:pBdr>
        <w:spacing w:after="240" w:line="360" w:lineRule="auto"/>
        <w:jc w:val="both"/>
        <w:rPr>
          <w:sz w:val="22"/>
          <w:szCs w:val="22"/>
        </w:rPr>
      </w:pPr>
      <w:r w:rsidRPr="002D5F96">
        <w:rPr>
          <w:rFonts w:ascii="Palatino Linotype" w:eastAsia="Palatino Linotype" w:hAnsi="Palatino Linotype" w:cs="Palatino Linotype"/>
          <w:sz w:val="22"/>
          <w:szCs w:val="22"/>
        </w:rPr>
        <w:lastRenderedPageBreak/>
        <w:t>Excepcionalmente, el plazo referido podrá ampliarse por siete días hábiles más, cuando existan razones fundadas y motivadas, a través del Comité de Transparencia; </w:t>
      </w:r>
    </w:p>
    <w:p w14:paraId="1EB48148" w14:textId="77777777" w:rsidR="006B0C12" w:rsidRPr="002D5F96" w:rsidRDefault="006B0C12" w:rsidP="006B0C12">
      <w:pPr>
        <w:pBdr>
          <w:top w:val="nil"/>
          <w:left w:val="nil"/>
          <w:bottom w:val="nil"/>
          <w:right w:val="nil"/>
          <w:between w:val="nil"/>
        </w:pBdr>
        <w:spacing w:after="240" w:line="360" w:lineRule="auto"/>
        <w:jc w:val="both"/>
        <w:rPr>
          <w:sz w:val="22"/>
          <w:szCs w:val="22"/>
        </w:rPr>
      </w:pPr>
      <w:r w:rsidRPr="002D5F96">
        <w:rPr>
          <w:rFonts w:ascii="Palatino Linotype" w:eastAsia="Palatino Linotype" w:hAnsi="Palatino Linotype" w:cs="Palatino Linotype"/>
          <w:sz w:val="22"/>
          <w:szCs w:val="22"/>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DD06EA4" w14:textId="77777777" w:rsidR="006B0C12" w:rsidRPr="002D5F96" w:rsidRDefault="006B0C12" w:rsidP="006B0C12">
      <w:pPr>
        <w:pBdr>
          <w:top w:val="nil"/>
          <w:left w:val="nil"/>
          <w:bottom w:val="nil"/>
          <w:right w:val="nil"/>
          <w:between w:val="nil"/>
        </w:pBdr>
        <w:spacing w:after="240" w:line="360" w:lineRule="auto"/>
        <w:jc w:val="both"/>
        <w:rPr>
          <w:sz w:val="22"/>
          <w:szCs w:val="22"/>
        </w:rPr>
      </w:pPr>
      <w:r w:rsidRPr="002D5F96">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deberá ofrecer otras; por lo cual, deberá fundar y motivar la necesidad de modificar el medio de entrega, y </w:t>
      </w:r>
    </w:p>
    <w:p w14:paraId="103147FF" w14:textId="77777777" w:rsidR="006B0C12" w:rsidRPr="002D5F96" w:rsidRDefault="006B0C12" w:rsidP="006B0C12">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4DA3C0E0" w14:textId="77777777" w:rsidR="006B0C12" w:rsidRPr="002D5F96" w:rsidRDefault="006B0C12" w:rsidP="006B0C12">
      <w:pPr>
        <w:spacing w:after="240"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Por lo insertado con anterioridad, se determina que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cuenta con la obligación de turnar a todas las áreas que se consideren competentes para que realicen una búsqueda exhaustiva y razonable de la información solicitada a fin de que esta sea entregada a los solicitantes.</w:t>
      </w:r>
    </w:p>
    <w:p w14:paraId="1E2B36E8" w14:textId="77777777" w:rsidR="006B0C12" w:rsidRPr="002D5F96" w:rsidRDefault="006B0C12" w:rsidP="006B0C12">
      <w:pPr>
        <w:spacing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Así, se debe entender que el trámite interno que se realice a las solicitudes de acceso a la información, es con el propósito de que se realice una búsqueda exhaustiva y razonable de </w:t>
      </w:r>
      <w:r w:rsidRPr="002D5F96">
        <w:rPr>
          <w:rFonts w:ascii="Palatino Linotype" w:eastAsia="Palatino Linotype" w:hAnsi="Palatino Linotype" w:cs="Palatino Linotype"/>
          <w:sz w:val="22"/>
          <w:szCs w:val="22"/>
        </w:rPr>
        <w:lastRenderedPageBreak/>
        <w:t>la información entre sus archivos y, en su caso, se entregue la información de interés para el particular.</w:t>
      </w:r>
    </w:p>
    <w:p w14:paraId="7AE61A79" w14:textId="77777777" w:rsidR="006B0C12" w:rsidRPr="002D5F96" w:rsidRDefault="006B0C12" w:rsidP="006B0C12">
      <w:pPr>
        <w:spacing w:line="360" w:lineRule="auto"/>
        <w:jc w:val="both"/>
        <w:rPr>
          <w:rFonts w:ascii="Palatino Linotype" w:eastAsia="Palatino Linotype" w:hAnsi="Palatino Linotype" w:cs="Palatino Linotype"/>
          <w:sz w:val="22"/>
          <w:szCs w:val="22"/>
        </w:rPr>
      </w:pPr>
    </w:p>
    <w:p w14:paraId="68929D00" w14:textId="77777777" w:rsidR="006B0C12" w:rsidRPr="002D5F96" w:rsidRDefault="006B0C12" w:rsidP="006B0C12">
      <w:pPr>
        <w:spacing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Es de precisar que dicho trámite se debe realizar ante el servidor público habilitado competente, el cual es conceptualizado por los artículos 3, 58 y </w:t>
      </w:r>
      <w:r w:rsidR="00682874" w:rsidRPr="002D5F96">
        <w:rPr>
          <w:rFonts w:ascii="Palatino Linotype" w:eastAsia="Palatino Linotype" w:hAnsi="Palatino Linotype" w:cs="Palatino Linotype"/>
          <w:sz w:val="22"/>
          <w:szCs w:val="22"/>
        </w:rPr>
        <w:t>59 de</w:t>
      </w:r>
      <w:r w:rsidRPr="002D5F96">
        <w:rPr>
          <w:rFonts w:ascii="Palatino Linotype" w:eastAsia="Palatino Linotype" w:hAnsi="Palatino Linotype" w:cs="Palatino Linotype"/>
          <w:sz w:val="22"/>
          <w:szCs w:val="22"/>
        </w:rPr>
        <w:t xml:space="preserve"> la Ley de Transparencia Local, mismos que se insertan a continuación:</w:t>
      </w:r>
    </w:p>
    <w:p w14:paraId="5B9DEB61" w14:textId="77777777" w:rsidR="006B0C12" w:rsidRPr="002D5F96" w:rsidRDefault="006B0C12" w:rsidP="006B0C12">
      <w:pPr>
        <w:spacing w:line="360" w:lineRule="auto"/>
        <w:jc w:val="both"/>
        <w:rPr>
          <w:rFonts w:ascii="Palatino Linotype" w:eastAsia="Palatino Linotype" w:hAnsi="Palatino Linotype" w:cs="Palatino Linotype"/>
          <w:sz w:val="22"/>
          <w:szCs w:val="22"/>
        </w:rPr>
      </w:pPr>
    </w:p>
    <w:p w14:paraId="545BD509"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b/>
          <w:i/>
          <w:sz w:val="22"/>
          <w:szCs w:val="22"/>
          <w:u w:val="single"/>
        </w:rPr>
      </w:pPr>
      <w:r w:rsidRPr="002D5F96">
        <w:rPr>
          <w:rFonts w:ascii="Palatino Linotype" w:eastAsia="Palatino Linotype" w:hAnsi="Palatino Linotype" w:cs="Palatino Linotype"/>
          <w:i/>
          <w:sz w:val="22"/>
          <w:szCs w:val="22"/>
        </w:rPr>
        <w:t>“</w:t>
      </w:r>
      <w:proofErr w:type="spellStart"/>
      <w:r w:rsidRPr="002D5F96">
        <w:rPr>
          <w:rFonts w:ascii="Palatino Linotype" w:eastAsia="Palatino Linotype" w:hAnsi="Palatino Linotype" w:cs="Palatino Linotype"/>
          <w:i/>
          <w:sz w:val="22"/>
          <w:szCs w:val="22"/>
        </w:rPr>
        <w:t>XXXIX.Servidor</w:t>
      </w:r>
      <w:proofErr w:type="spellEnd"/>
      <w:r w:rsidRPr="002D5F96">
        <w:rPr>
          <w:rFonts w:ascii="Palatino Linotype" w:eastAsia="Palatino Linotype" w:hAnsi="Palatino Linotype" w:cs="Palatino Linotype"/>
          <w:i/>
          <w:sz w:val="22"/>
          <w:szCs w:val="22"/>
        </w:rPr>
        <w:t xml:space="preserve"> público habilitado: </w:t>
      </w:r>
      <w:r w:rsidRPr="002D5F96">
        <w:rPr>
          <w:rFonts w:ascii="Palatino Linotype" w:eastAsia="Palatino Linotype" w:hAnsi="Palatino Linotype" w:cs="Palatino Linotype"/>
          <w:b/>
          <w:i/>
          <w:sz w:val="22"/>
          <w:szCs w:val="22"/>
          <w:u w:val="single"/>
        </w:rPr>
        <w:t>Persona encargada dentro de las diversas unidades administrativas o áreas del sujeto obligado, de apoyar, gestionar y entregar la información</w:t>
      </w:r>
      <w:r w:rsidRPr="002D5F96">
        <w:rPr>
          <w:rFonts w:ascii="Palatino Linotype" w:eastAsia="Palatino Linotype" w:hAnsi="Palatino Linotype" w:cs="Palatino Linotype"/>
          <w:i/>
          <w:sz w:val="22"/>
          <w:szCs w:val="22"/>
        </w:rPr>
        <w:t xml:space="preserve"> o datos personales </w:t>
      </w:r>
      <w:r w:rsidRPr="002D5F96">
        <w:rPr>
          <w:rFonts w:ascii="Palatino Linotype" w:eastAsia="Palatino Linotype" w:hAnsi="Palatino Linotype" w:cs="Palatino Linotype"/>
          <w:b/>
          <w:i/>
          <w:sz w:val="22"/>
          <w:szCs w:val="22"/>
          <w:u w:val="single"/>
        </w:rPr>
        <w:t>que se ubiquen en la misma, a sus respectivas unidades de transparencia; respecto de las solicitudes presentadas y aportar en primera instancia el fundamento y motivación de la clasificación de la información;</w:t>
      </w:r>
    </w:p>
    <w:p w14:paraId="62088A37"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w:t>
      </w:r>
    </w:p>
    <w:p w14:paraId="7CAB58E9"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sz w:val="22"/>
          <w:szCs w:val="22"/>
        </w:rPr>
        <w:t>Artículo 58. Los servidores públicos habilitados serán designados por el titular del sujeto obligado a propuesta del responsable de la Unidad de Transparencia.</w:t>
      </w:r>
    </w:p>
    <w:p w14:paraId="547EE94A"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sz w:val="22"/>
          <w:szCs w:val="22"/>
        </w:rPr>
        <w:t>Artículo 59. Los servidores públicos habilitados tendrán las funciones siguientes:</w:t>
      </w:r>
    </w:p>
    <w:p w14:paraId="23C8A575"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sz w:val="22"/>
          <w:szCs w:val="22"/>
        </w:rPr>
        <w:t>I. Localizar la información que le solicite la Unidad de Transparencia;</w:t>
      </w:r>
    </w:p>
    <w:p w14:paraId="638050B8"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b/>
          <w:i/>
          <w:sz w:val="22"/>
          <w:szCs w:val="22"/>
        </w:rPr>
      </w:pPr>
      <w:r w:rsidRPr="002D5F96">
        <w:rPr>
          <w:rFonts w:ascii="Palatino Linotype" w:eastAsia="Palatino Linotype" w:hAnsi="Palatino Linotype" w:cs="Palatino Linotype"/>
          <w:b/>
          <w:i/>
          <w:sz w:val="22"/>
          <w:szCs w:val="22"/>
        </w:rPr>
        <w:t>II. Proporcionar la información que obre en los archivos y que le sea solicitada por la Unidad de Transparencia;</w:t>
      </w:r>
    </w:p>
    <w:p w14:paraId="4CA58D2B"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III. Apoyar a la Unidad de Transparencia en lo que esta le solicite para el cumplimiento de sus funciones;</w:t>
      </w:r>
    </w:p>
    <w:p w14:paraId="06257ACC"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66E4A538"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lastRenderedPageBreak/>
        <w:t>V. Integrar y presentar al responsable de la Unidad de Transparencia la propuesta de clasificación de información, la cual tendrá los fundamentos y argumentos en que se basa dicha propuesta;</w:t>
      </w:r>
    </w:p>
    <w:p w14:paraId="6CA34FA0"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503297BF" w14:textId="77777777" w:rsidR="006B0C12" w:rsidRPr="002D5F96" w:rsidRDefault="006B0C12" w:rsidP="006B0C12">
      <w:pPr>
        <w:spacing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VII. Dar cuenta a la Unidad de Transparencia del vencimiento de los plazos de reserva.” (Énfasis añadido)</w:t>
      </w:r>
    </w:p>
    <w:p w14:paraId="3FF46682" w14:textId="77777777" w:rsidR="00893C16" w:rsidRPr="002D5F96" w:rsidRDefault="006B0C12" w:rsidP="00682874">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Determinado lo anterior, se tiene que en el presente caso, la unidad competente para conocer de esta solicitud de información es la </w:t>
      </w:r>
      <w:r w:rsidR="00682874" w:rsidRPr="002D5F96">
        <w:rPr>
          <w:rFonts w:ascii="Palatino Linotype" w:eastAsia="Palatino Linotype" w:hAnsi="Palatino Linotype" w:cs="Palatino Linotype"/>
          <w:b/>
          <w:sz w:val="22"/>
          <w:szCs w:val="22"/>
        </w:rPr>
        <w:t>Tesorería del Sistema Municipal para el Desarrollo Integral de la Familia de Cocotitlán</w:t>
      </w:r>
      <w:r w:rsidRPr="002D5F96">
        <w:rPr>
          <w:rFonts w:ascii="Palatino Linotype" w:eastAsia="Palatino Linotype" w:hAnsi="Palatino Linotype" w:cs="Palatino Linotype"/>
          <w:sz w:val="22"/>
          <w:szCs w:val="22"/>
        </w:rPr>
        <w:t>, ello en virtud de que</w:t>
      </w:r>
      <w:r w:rsidR="00682874" w:rsidRPr="002D5F96">
        <w:rPr>
          <w:rFonts w:ascii="Palatino Linotype" w:eastAsia="Palatino Linotype" w:hAnsi="Palatino Linotype" w:cs="Palatino Linotype"/>
          <w:sz w:val="22"/>
          <w:szCs w:val="22"/>
        </w:rPr>
        <w:t xml:space="preserve"> la Ley que crea los Organismos Públicos Descentralizados de Asistencia Social, de carácter municipal, denominados "Sistemas Municipales Para El Desarrollo Integral de la Familia", contempla que las atribuciones de la persona que funge como Tesorero, son las siguientes:</w:t>
      </w:r>
    </w:p>
    <w:p w14:paraId="1E0D6730" w14:textId="77777777" w:rsidR="00682874" w:rsidRPr="002D5F96" w:rsidRDefault="00682874" w:rsidP="00682874">
      <w:pPr>
        <w:spacing w:before="240"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xml:space="preserve">“Artículo 15.- </w:t>
      </w:r>
      <w:r w:rsidRPr="002D5F96">
        <w:rPr>
          <w:rFonts w:ascii="Palatino Linotype" w:eastAsia="Palatino Linotype" w:hAnsi="Palatino Linotype" w:cs="Palatino Linotype"/>
          <w:b/>
          <w:i/>
          <w:sz w:val="22"/>
          <w:szCs w:val="22"/>
        </w:rPr>
        <w:t>El Tesorero será el responsable del manejo del presupuesto del Sistema Municipal, y de la administración de los recursos que conforman el patrimonio del organismo</w:t>
      </w:r>
      <w:r w:rsidRPr="002D5F96">
        <w:rPr>
          <w:rFonts w:ascii="Palatino Linotype" w:eastAsia="Palatino Linotype" w:hAnsi="Palatino Linotype" w:cs="Palatino Linotype"/>
          <w:i/>
          <w:sz w:val="22"/>
          <w:szCs w:val="22"/>
        </w:rPr>
        <w:t xml:space="preserve">, lo cual hará en coordinación con el Director, debiendo informar los estados financieros mensualmente a la Junta de Gobierno o cuando ésta y la presidencia lo soliciten, además tendrá las siguientes atribuciones: </w:t>
      </w:r>
    </w:p>
    <w:p w14:paraId="033C6DBD" w14:textId="77777777" w:rsidR="00682874" w:rsidRPr="002D5F96" w:rsidRDefault="00682874" w:rsidP="00682874">
      <w:pPr>
        <w:spacing w:before="240" w:after="240" w:line="276" w:lineRule="auto"/>
        <w:ind w:left="567" w:right="900"/>
        <w:jc w:val="both"/>
        <w:rPr>
          <w:rFonts w:ascii="Palatino Linotype" w:eastAsia="Palatino Linotype" w:hAnsi="Palatino Linotype" w:cs="Palatino Linotype"/>
          <w:b/>
          <w:i/>
          <w:sz w:val="22"/>
          <w:szCs w:val="22"/>
          <w:u w:val="single"/>
        </w:rPr>
      </w:pPr>
      <w:r w:rsidRPr="002D5F96">
        <w:rPr>
          <w:rFonts w:ascii="Palatino Linotype" w:eastAsia="Palatino Linotype" w:hAnsi="Palatino Linotype" w:cs="Palatino Linotype"/>
          <w:b/>
          <w:i/>
          <w:sz w:val="22"/>
          <w:szCs w:val="22"/>
          <w:u w:val="single"/>
        </w:rPr>
        <w:t xml:space="preserve">I. Administrar los recursos que conforman el patrimonio del organismo de conformidad con lo establecido en las disposiciones legales aplicables; </w:t>
      </w:r>
    </w:p>
    <w:p w14:paraId="404AA235" w14:textId="77777777" w:rsidR="00682874" w:rsidRPr="002D5F96" w:rsidRDefault="00682874" w:rsidP="00682874">
      <w:pPr>
        <w:spacing w:before="240" w:after="24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b/>
          <w:i/>
          <w:sz w:val="22"/>
          <w:szCs w:val="22"/>
          <w:u w:val="single"/>
        </w:rPr>
        <w:t>II. Llevar los libros y registros contables, financieros y administrativos de los ingresos, egresos e inventarios</w:t>
      </w:r>
      <w:r w:rsidRPr="002D5F96">
        <w:rPr>
          <w:rFonts w:ascii="Palatino Linotype" w:eastAsia="Palatino Linotype" w:hAnsi="Palatino Linotype" w:cs="Palatino Linotype"/>
          <w:i/>
          <w:sz w:val="22"/>
          <w:szCs w:val="22"/>
        </w:rPr>
        <w:t>;” (Énfasis añadido)</w:t>
      </w:r>
    </w:p>
    <w:p w14:paraId="0A3DAE17" w14:textId="77777777" w:rsidR="00893C16" w:rsidRPr="002D5F96" w:rsidRDefault="00682874">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Por consiguiente, se estima que para dar atención a esta parte del requerimiento de info</w:t>
      </w:r>
      <w:r w:rsidR="00574BB0" w:rsidRPr="002D5F96">
        <w:rPr>
          <w:rFonts w:ascii="Palatino Linotype" w:eastAsia="Palatino Linotype" w:hAnsi="Palatino Linotype" w:cs="Palatino Linotype"/>
          <w:sz w:val="22"/>
          <w:szCs w:val="22"/>
        </w:rPr>
        <w:t xml:space="preserve">rmación, el Sujeto Obligado deberá turnar la solicitud de información a la Tesorería del </w:t>
      </w:r>
      <w:r w:rsidR="00574BB0" w:rsidRPr="002D5F96">
        <w:rPr>
          <w:rFonts w:ascii="Palatino Linotype" w:eastAsia="Palatino Linotype" w:hAnsi="Palatino Linotype" w:cs="Palatino Linotype"/>
          <w:sz w:val="22"/>
          <w:szCs w:val="22"/>
        </w:rPr>
        <w:lastRenderedPageBreak/>
        <w:t xml:space="preserve">Sistema Municipal para el Desarrollo Integral de la Familia de Cocotitlán para efecto de que haga entrega de la información solicitada. </w:t>
      </w:r>
    </w:p>
    <w:p w14:paraId="7B4C62DF" w14:textId="77777777" w:rsidR="00574BB0" w:rsidRPr="002D5F96" w:rsidRDefault="00574BB0" w:rsidP="00983563">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Ahora bien, debemos recordar que el particular solicitó un desglose de los gastos, sin embargo, es importante señalar que </w:t>
      </w:r>
      <w:r w:rsidRPr="002D5F96">
        <w:rPr>
          <w:rFonts w:ascii="Palatino Linotype" w:hAnsi="Palatino Linotype"/>
          <w:sz w:val="22"/>
          <w:szCs w:val="22"/>
        </w:rPr>
        <w:t xml:space="preserve">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cuando no es una obligación de las autoridades tal y como lo señala el Criterio </w:t>
      </w:r>
      <w:r w:rsidR="00983563" w:rsidRPr="002D5F96">
        <w:rPr>
          <w:rFonts w:ascii="Palatino Linotype" w:hAnsi="Palatino Linotype"/>
          <w:sz w:val="22"/>
          <w:szCs w:val="22"/>
        </w:rPr>
        <w:t>Orientador</w:t>
      </w:r>
      <w:r w:rsidRPr="002D5F96">
        <w:rPr>
          <w:rFonts w:ascii="Palatino Linotype" w:hAnsi="Palatino Linotype"/>
          <w:sz w:val="22"/>
          <w:szCs w:val="22"/>
        </w:rPr>
        <w:t xml:space="preserve"> 03/17, emitido por el Pleno del</w:t>
      </w:r>
      <w:r w:rsidR="00983563" w:rsidRPr="002D5F96">
        <w:rPr>
          <w:rFonts w:ascii="Palatino Linotype" w:hAnsi="Palatino Linotype"/>
          <w:sz w:val="22"/>
          <w:szCs w:val="22"/>
        </w:rPr>
        <w:t xml:space="preserve"> entonces</w:t>
      </w:r>
      <w:r w:rsidRPr="002D5F96">
        <w:rPr>
          <w:rFonts w:ascii="Palatino Linotype" w:hAnsi="Palatino Linotype"/>
          <w:sz w:val="22"/>
          <w:szCs w:val="22"/>
        </w:rPr>
        <w:t xml:space="preserve"> Instituto Nacional de Transparencia, Acceso a la Información y Protección de Datos Personales,  INAI, que dice: </w:t>
      </w:r>
    </w:p>
    <w:p w14:paraId="3C79FFE5" w14:textId="77777777" w:rsidR="00574BB0" w:rsidRPr="002D5F96" w:rsidRDefault="00574BB0" w:rsidP="00983563">
      <w:pPr>
        <w:pStyle w:val="NormalWeb"/>
        <w:spacing w:before="0" w:beforeAutospacing="0" w:after="160" w:afterAutospacing="0" w:line="276" w:lineRule="auto"/>
        <w:ind w:left="567" w:right="900"/>
        <w:jc w:val="both"/>
        <w:rPr>
          <w:sz w:val="22"/>
        </w:rPr>
      </w:pPr>
      <w:r w:rsidRPr="002D5F96">
        <w:rPr>
          <w:rFonts w:ascii="Palatino Linotype" w:hAnsi="Palatino Linotype"/>
          <w:i/>
          <w:iCs/>
          <w:sz w:val="22"/>
        </w:rPr>
        <w:t>“</w:t>
      </w:r>
      <w:r w:rsidRPr="002D5F96">
        <w:rPr>
          <w:rFonts w:ascii="Palatino Linotype" w:hAnsi="Palatino Linotype"/>
          <w:b/>
          <w:bCs/>
          <w:i/>
          <w:iCs/>
          <w:sz w:val="22"/>
        </w:rPr>
        <w:t xml:space="preserve">No existe obligación de elaborar documentos ad hoc para atender las solicitudes de acceso a la información. </w:t>
      </w:r>
      <w:r w:rsidRPr="002D5F96">
        <w:rPr>
          <w:rFonts w:ascii="Palatino Linotype" w:hAnsi="Palatino Linotype"/>
          <w:i/>
          <w:iCs/>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5AC9D6" w14:textId="77777777" w:rsidR="00574BB0" w:rsidRPr="002D5F96" w:rsidRDefault="00574BB0" w:rsidP="00983563">
      <w:pPr>
        <w:pStyle w:val="NormalWeb"/>
        <w:spacing w:before="0" w:beforeAutospacing="0" w:after="160" w:afterAutospacing="0" w:line="360" w:lineRule="auto"/>
        <w:jc w:val="both"/>
        <w:rPr>
          <w:rFonts w:ascii="Palatino Linotype" w:hAnsi="Palatino Linotype"/>
          <w:sz w:val="22"/>
        </w:rPr>
      </w:pPr>
      <w:r w:rsidRPr="002D5F96">
        <w:rPr>
          <w:rFonts w:ascii="Palatino Linotype" w:hAnsi="Palatino Linotype"/>
          <w:sz w:val="22"/>
        </w:rPr>
        <w:t xml:space="preserve">Entonces, dado a que el criterio en mención establece que las autoridades no están obligadas a generar documentos “ad hoc” en contrario sensu, dicho criterio se puede interpretar </w:t>
      </w:r>
      <w:r w:rsidRPr="002D5F96">
        <w:rPr>
          <w:rFonts w:ascii="Palatino Linotype" w:hAnsi="Palatino Linotype"/>
          <w:sz w:val="22"/>
        </w:rPr>
        <w:lastRenderedPageBreak/>
        <w:t>resultando que las autoridades no están impedidas a generar documentos “ad hoc”, esto, siempre que con dicho documento elaborado se dé cabal cumplimiento a los requerimientos planteados.</w:t>
      </w:r>
    </w:p>
    <w:p w14:paraId="48FDE1D2" w14:textId="77777777" w:rsidR="00C837BD" w:rsidRPr="002D5F96" w:rsidRDefault="00C837BD" w:rsidP="00C837BD">
      <w:pPr>
        <w:pStyle w:val="NormalWeb"/>
        <w:spacing w:before="0" w:beforeAutospacing="0" w:after="160" w:afterAutospacing="0" w:line="360" w:lineRule="auto"/>
        <w:jc w:val="both"/>
        <w:rPr>
          <w:rFonts w:ascii="Palatino Linotype" w:hAnsi="Palatino Linotype"/>
          <w:sz w:val="22"/>
        </w:rPr>
      </w:pPr>
      <w:r w:rsidRPr="002D5F96">
        <w:rPr>
          <w:rFonts w:ascii="Palatino Linotype" w:hAnsi="Palatino Linotype"/>
          <w:sz w:val="22"/>
        </w:rPr>
        <w:t xml:space="preserve">En tal tesitura, resulta pertinente traer a colación lo establecido en </w:t>
      </w:r>
      <w:r w:rsidRPr="002D5F96">
        <w:rPr>
          <w:rFonts w:ascii="Palatino Linotype" w:eastAsia="Palatino Linotype" w:hAnsi="Palatino Linotype" w:cs="Palatino Linotype"/>
          <w:sz w:val="22"/>
          <w:szCs w:val="22"/>
          <w:lang w:eastAsia="en-US"/>
        </w:rPr>
        <w:t>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4ECD0F47" w14:textId="77777777" w:rsidR="00C837BD" w:rsidRPr="002D5F96" w:rsidRDefault="00C837BD" w:rsidP="00C837BD">
      <w:pPr>
        <w:widowControl w:val="0"/>
        <w:spacing w:line="360" w:lineRule="auto"/>
        <w:jc w:val="both"/>
        <w:rPr>
          <w:rFonts w:ascii="Palatino Linotype" w:eastAsia="Palatino Linotype" w:hAnsi="Palatino Linotype" w:cs="Palatino Linotype"/>
          <w:sz w:val="22"/>
          <w:szCs w:val="22"/>
          <w:lang w:eastAsia="en-US"/>
        </w:rPr>
      </w:pPr>
    </w:p>
    <w:p w14:paraId="2BCFF667" w14:textId="77777777" w:rsidR="00C837BD" w:rsidRPr="002D5F96" w:rsidRDefault="00C837BD" w:rsidP="00C837BD">
      <w:pPr>
        <w:spacing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w:t>
      </w:r>
      <w:r w:rsidRPr="002D5F96">
        <w:rPr>
          <w:rFonts w:ascii="Palatino Linotype" w:eastAsia="Palatino Linotype" w:hAnsi="Palatino Linotype" w:cs="Palatino Linotype"/>
          <w:b/>
          <w:i/>
          <w:sz w:val="22"/>
          <w:szCs w:val="22"/>
          <w:lang w:eastAsia="en-US"/>
        </w:rPr>
        <w:t>Artículo 342.-</w:t>
      </w:r>
      <w:r w:rsidRPr="002D5F96">
        <w:rPr>
          <w:rFonts w:ascii="Palatino Linotype" w:eastAsia="Palatino Linotype" w:hAnsi="Palatino Linotype" w:cs="Palatino Linotype"/>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42C9E90"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b/>
          <w:i/>
          <w:sz w:val="22"/>
          <w:szCs w:val="22"/>
          <w:lang w:eastAsia="en-US"/>
        </w:rPr>
      </w:pPr>
      <w:r w:rsidRPr="002D5F96">
        <w:rPr>
          <w:rFonts w:ascii="Palatino Linotype" w:eastAsia="Palatino Linotype" w:hAnsi="Palatino Linotype" w:cs="Palatino Linotype"/>
          <w:b/>
          <w:i/>
          <w:sz w:val="22"/>
          <w:szCs w:val="22"/>
          <w:lang w:eastAsia="en-US"/>
        </w:rPr>
        <w:t>…</w:t>
      </w:r>
    </w:p>
    <w:p w14:paraId="1ECBEFA7"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b/>
          <w:i/>
          <w:sz w:val="22"/>
          <w:szCs w:val="22"/>
          <w:lang w:eastAsia="en-US"/>
        </w:rPr>
        <w:t>Artículo 343.-</w:t>
      </w:r>
      <w:r w:rsidRPr="002D5F96">
        <w:rPr>
          <w:rFonts w:ascii="Palatino Linotype" w:eastAsia="Palatino Linotype" w:hAnsi="Palatino Linotype" w:cs="Palatino Linotype"/>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0B59E61"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El sistema de contabilidad sobre base acumulativa total se sustentará en los postulados básicos y el marco conceptual de la contabilidad gubernamental. </w:t>
      </w:r>
    </w:p>
    <w:p w14:paraId="2289B85F"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b/>
          <w:i/>
          <w:sz w:val="22"/>
          <w:szCs w:val="22"/>
          <w:lang w:eastAsia="en-U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D5F96">
        <w:rPr>
          <w:rFonts w:ascii="Palatino Linotype" w:eastAsia="Palatino Linotype" w:hAnsi="Palatino Linotype" w:cs="Palatino Linotype"/>
          <w:i/>
          <w:sz w:val="22"/>
          <w:szCs w:val="22"/>
          <w:lang w:eastAsia="en-US"/>
        </w:rPr>
        <w:t xml:space="preserve">en el caso de los Municipios se hará por la Tesorería. </w:t>
      </w:r>
    </w:p>
    <w:p w14:paraId="1872D2C8" w14:textId="77777777" w:rsidR="00C837BD" w:rsidRPr="002D5F96" w:rsidRDefault="00C837BD" w:rsidP="00C837BD">
      <w:pPr>
        <w:spacing w:before="120" w:line="276" w:lineRule="auto"/>
        <w:ind w:left="851" w:right="51"/>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Derogado. </w:t>
      </w:r>
    </w:p>
    <w:p w14:paraId="080CF3F6"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b/>
          <w:i/>
          <w:sz w:val="22"/>
          <w:szCs w:val="22"/>
          <w:lang w:eastAsia="en-US"/>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D5F96">
        <w:rPr>
          <w:rFonts w:ascii="Palatino Linotype" w:eastAsia="Palatino Linotype" w:hAnsi="Palatino Linotype" w:cs="Palatino Linotype"/>
          <w:i/>
          <w:sz w:val="22"/>
          <w:szCs w:val="22"/>
          <w:lang w:eastAsia="en-US"/>
        </w:rPr>
        <w:t xml:space="preserve"> a partir del ejercicio presupuestal siguiente al que corresponda, en el caso de los municipios se hará por la Tesorería. </w:t>
      </w:r>
    </w:p>
    <w:p w14:paraId="73F7EBC5" w14:textId="77777777" w:rsidR="00C837BD" w:rsidRPr="002D5F96" w:rsidRDefault="00C837BD" w:rsidP="00C837BD">
      <w:pPr>
        <w:spacing w:before="120" w:line="276" w:lineRule="auto"/>
        <w:ind w:left="851" w:right="51"/>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w:t>
      </w:r>
    </w:p>
    <w:p w14:paraId="091CE8BE"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b/>
          <w:i/>
          <w:sz w:val="22"/>
          <w:szCs w:val="22"/>
          <w:lang w:eastAsia="en-US"/>
        </w:rPr>
        <w:t>Artículo 345.-</w:t>
      </w:r>
      <w:r w:rsidRPr="002D5F96">
        <w:rPr>
          <w:rFonts w:ascii="Palatino Linotype" w:eastAsia="Palatino Linotype" w:hAnsi="Palatino Linotype" w:cs="Palatino Linotype"/>
          <w:i/>
          <w:sz w:val="22"/>
          <w:szCs w:val="22"/>
          <w:lang w:eastAsia="en-US"/>
        </w:rPr>
        <w:t xml:space="preserve"> </w:t>
      </w:r>
      <w:r w:rsidRPr="002D5F96">
        <w:rPr>
          <w:rFonts w:ascii="Palatino Linotype" w:eastAsia="Palatino Linotype" w:hAnsi="Palatino Linotype" w:cs="Palatino Linotype"/>
          <w:b/>
          <w:i/>
          <w:sz w:val="22"/>
          <w:szCs w:val="22"/>
          <w:lang w:eastAsia="en-US"/>
        </w:rPr>
        <w:t>Las Dependencias, Entidades Públicas y unidades administrativas deberán conservar la documentación contable del año en curso y la de ejercicios anteriores cuyas cuentas públicas hayan sido revisadas y fiscalizadas por la Legislatura</w:t>
      </w:r>
      <w:r w:rsidRPr="002D5F96">
        <w:rPr>
          <w:rFonts w:ascii="Palatino Linotype" w:eastAsia="Palatino Linotype" w:hAnsi="Palatino Linotype" w:cs="Palatino Linotype"/>
          <w:i/>
          <w:sz w:val="22"/>
          <w:szCs w:val="22"/>
          <w:lang w:eastAsia="en-US"/>
        </w:rPr>
        <w:t xml:space="preserve">, la remitirán en un plazo que no excederá de seis meses al Archivo Contable Gubernamental. </w:t>
      </w:r>
      <w:r w:rsidRPr="002D5F96">
        <w:rPr>
          <w:rFonts w:ascii="Palatino Linotype" w:eastAsia="Palatino Linotype" w:hAnsi="Palatino Linotype" w:cs="Palatino Linotype"/>
          <w:b/>
          <w:i/>
          <w:sz w:val="22"/>
          <w:szCs w:val="22"/>
          <w:lang w:eastAsia="en-US"/>
        </w:rPr>
        <w:t>Tratándose de los comprobantes fiscales digitales, estos deberán estar agregados en forma electrónica en cada póliza de registro contable</w:t>
      </w:r>
      <w:r w:rsidRPr="002D5F96">
        <w:rPr>
          <w:rFonts w:ascii="Palatino Linotype" w:eastAsia="Palatino Linotype" w:hAnsi="Palatino Linotype" w:cs="Palatino Linotype"/>
          <w:i/>
          <w:sz w:val="22"/>
          <w:szCs w:val="22"/>
          <w:lang w:eastAsia="en-US"/>
        </w:rPr>
        <w:t xml:space="preserve">. </w:t>
      </w:r>
    </w:p>
    <w:p w14:paraId="35198463"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El plazo señalado en el párrafo anterior, empezará a contar a partir de la publicación en el Periódico Oficial, del decreto correspondiente. “</w:t>
      </w:r>
    </w:p>
    <w:p w14:paraId="2EF888C2" w14:textId="77777777" w:rsidR="00C837BD" w:rsidRPr="002D5F96" w:rsidRDefault="00C837BD" w:rsidP="00C837BD">
      <w:pPr>
        <w:spacing w:before="120" w:line="276" w:lineRule="auto"/>
        <w:ind w:left="851"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(Énfasis Añadido)</w:t>
      </w:r>
    </w:p>
    <w:p w14:paraId="0FA33633" w14:textId="77777777" w:rsidR="00C837BD" w:rsidRPr="002D5F96" w:rsidRDefault="00C837BD" w:rsidP="00C837BD">
      <w:pPr>
        <w:spacing w:before="120" w:after="120" w:line="276" w:lineRule="auto"/>
        <w:ind w:left="851" w:right="850"/>
        <w:jc w:val="both"/>
        <w:rPr>
          <w:rFonts w:ascii="Palatino Linotype" w:eastAsia="Palatino Linotype" w:hAnsi="Palatino Linotype" w:cs="Palatino Linotype"/>
          <w:i/>
          <w:sz w:val="22"/>
          <w:szCs w:val="22"/>
          <w:lang w:eastAsia="en-US"/>
        </w:rPr>
      </w:pPr>
    </w:p>
    <w:p w14:paraId="0362ED17" w14:textId="77777777" w:rsidR="00C837BD" w:rsidRPr="002D5F96" w:rsidRDefault="00C837BD" w:rsidP="00C837BD">
      <w:pPr>
        <w:spacing w:before="120"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52E456E"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5B2A37AB" w14:textId="77777777" w:rsidR="00C837BD" w:rsidRPr="002D5F96" w:rsidRDefault="00C837BD" w:rsidP="00C837BD">
      <w:pPr>
        <w:spacing w:line="360" w:lineRule="auto"/>
        <w:ind w:right="-232"/>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En ese sentido, conviene señalar que el documento que puede dar cuenta de los gastos erogados pueden constar de manera enunciativa más no limitativa las facturas emitidas en favor del proveedor, contratista o prestador de servicios, la cual se encuentra definida en el </w:t>
      </w:r>
      <w:r w:rsidRPr="002D5F96">
        <w:rPr>
          <w:rFonts w:ascii="Palatino Linotype" w:eastAsia="Palatino Linotype" w:hAnsi="Palatino Linotype" w:cs="Palatino Linotype"/>
          <w:sz w:val="22"/>
          <w:szCs w:val="22"/>
          <w:lang w:eastAsia="en-US"/>
        </w:rPr>
        <w:lastRenderedPageBreak/>
        <w:t>Glosario de Términos Hacendarios que emite el Instituto Hacendario del Estado de México, como:</w:t>
      </w:r>
    </w:p>
    <w:p w14:paraId="7DA6897D" w14:textId="77777777" w:rsidR="00C837BD" w:rsidRPr="002D5F96" w:rsidRDefault="00C837BD" w:rsidP="00C837BD">
      <w:pPr>
        <w:spacing w:after="120" w:line="276" w:lineRule="auto"/>
        <w:ind w:left="851" w:right="902"/>
        <w:jc w:val="both"/>
        <w:rPr>
          <w:rFonts w:ascii="Palatino Linotype" w:eastAsia="Palatino Linotype" w:hAnsi="Palatino Linotype" w:cs="Palatino Linotype"/>
          <w:b/>
          <w:i/>
          <w:sz w:val="22"/>
          <w:szCs w:val="22"/>
          <w:lang w:eastAsia="en-US"/>
        </w:rPr>
      </w:pPr>
      <w:r w:rsidRPr="002D5F96">
        <w:rPr>
          <w:rFonts w:ascii="Palatino Linotype" w:eastAsia="Palatino Linotype" w:hAnsi="Palatino Linotype" w:cs="Palatino Linotype"/>
          <w:i/>
          <w:sz w:val="22"/>
          <w:szCs w:val="22"/>
          <w:lang w:eastAsia="en-US"/>
        </w:rPr>
        <w:t>“</w:t>
      </w:r>
      <w:r w:rsidRPr="002D5F96">
        <w:rPr>
          <w:rFonts w:ascii="Palatino Linotype" w:eastAsia="Palatino Linotype" w:hAnsi="Palatino Linotype" w:cs="Palatino Linotype"/>
          <w:b/>
          <w:i/>
          <w:sz w:val="22"/>
          <w:szCs w:val="22"/>
          <w:lang w:eastAsia="en-US"/>
        </w:rPr>
        <w:t>FACTURA</w:t>
      </w:r>
    </w:p>
    <w:p w14:paraId="78F56F9A" w14:textId="77777777" w:rsidR="00C837BD" w:rsidRPr="002D5F96" w:rsidRDefault="00C837BD" w:rsidP="00C837BD">
      <w:pPr>
        <w:spacing w:before="120" w:after="120" w:line="276" w:lineRule="auto"/>
        <w:ind w:left="851" w:right="902"/>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Es el documento fiscal que emite la persona física o moral para comprobar la venta o adquisición de un bien y/o servicio.” </w:t>
      </w:r>
    </w:p>
    <w:p w14:paraId="7AC75610" w14:textId="77777777" w:rsidR="00C837BD" w:rsidRPr="002D5F96" w:rsidRDefault="00C837BD" w:rsidP="00C837BD">
      <w:pPr>
        <w:spacing w:before="120"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C3D8C0A"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70322895"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F4BCADF" w14:textId="77777777" w:rsidR="00C837BD" w:rsidRPr="002D5F96" w:rsidRDefault="00C837BD" w:rsidP="00C837BD">
      <w:pPr>
        <w:spacing w:after="120" w:line="276" w:lineRule="auto"/>
        <w:ind w:firstLine="708"/>
        <w:jc w:val="both"/>
        <w:rPr>
          <w:rFonts w:ascii="Palatino Linotype" w:eastAsia="Palatino Linotype" w:hAnsi="Palatino Linotype" w:cs="Palatino Linotype"/>
          <w:b/>
          <w:i/>
          <w:sz w:val="22"/>
          <w:szCs w:val="22"/>
          <w:lang w:eastAsia="en-US"/>
        </w:rPr>
      </w:pPr>
    </w:p>
    <w:p w14:paraId="29B2B8D6" w14:textId="77777777" w:rsidR="00C837BD" w:rsidRPr="002D5F96" w:rsidRDefault="00C837BD" w:rsidP="00C837BD">
      <w:pPr>
        <w:spacing w:after="120" w:line="276" w:lineRule="auto"/>
        <w:ind w:firstLine="708"/>
        <w:jc w:val="both"/>
        <w:rPr>
          <w:rFonts w:ascii="Palatino Linotype" w:eastAsia="Palatino Linotype" w:hAnsi="Palatino Linotype" w:cs="Palatino Linotype"/>
          <w:b/>
          <w:i/>
          <w:sz w:val="22"/>
          <w:szCs w:val="22"/>
          <w:lang w:eastAsia="en-US"/>
        </w:rPr>
      </w:pPr>
      <w:r w:rsidRPr="002D5F96">
        <w:rPr>
          <w:rFonts w:ascii="Palatino Linotype" w:eastAsia="Palatino Linotype" w:hAnsi="Palatino Linotype" w:cs="Palatino Linotype"/>
          <w:b/>
          <w:i/>
          <w:sz w:val="22"/>
          <w:szCs w:val="22"/>
          <w:lang w:eastAsia="en-US"/>
        </w:rPr>
        <w:t xml:space="preserve">“REGISTRO CONTABLE </w:t>
      </w:r>
    </w:p>
    <w:p w14:paraId="4869ABD4" w14:textId="77777777" w:rsidR="00C837BD" w:rsidRPr="002D5F96" w:rsidRDefault="00C837BD" w:rsidP="00C837BD">
      <w:pPr>
        <w:spacing w:before="120" w:after="120" w:line="276" w:lineRule="auto"/>
        <w:ind w:left="851" w:right="899"/>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lastRenderedPageBreak/>
        <w:t xml:space="preserve">Asiento que se realiza en los libros de contabilidad de las actividades relacionadas con el ingreso y egresos de un ente económico.” </w:t>
      </w:r>
    </w:p>
    <w:p w14:paraId="18F1C5CD" w14:textId="77777777" w:rsidR="00C837BD" w:rsidRPr="002D5F96" w:rsidRDefault="00C837BD" w:rsidP="00C837BD">
      <w:pPr>
        <w:spacing w:before="120" w:after="120" w:line="276" w:lineRule="auto"/>
        <w:ind w:right="899" w:firstLine="708"/>
        <w:jc w:val="both"/>
        <w:rPr>
          <w:rFonts w:ascii="Palatino Linotype" w:eastAsia="Palatino Linotype" w:hAnsi="Palatino Linotype" w:cs="Palatino Linotype"/>
          <w:b/>
          <w:i/>
          <w:sz w:val="22"/>
          <w:szCs w:val="22"/>
          <w:lang w:eastAsia="en-US"/>
        </w:rPr>
      </w:pPr>
      <w:r w:rsidRPr="002D5F96">
        <w:rPr>
          <w:rFonts w:ascii="Palatino Linotype" w:eastAsia="Palatino Linotype" w:hAnsi="Palatino Linotype" w:cs="Palatino Linotype"/>
          <w:b/>
          <w:i/>
          <w:sz w:val="22"/>
          <w:szCs w:val="22"/>
          <w:lang w:eastAsia="en-US"/>
        </w:rPr>
        <w:t>“REGISTRO PRESUPUESTARIO</w:t>
      </w:r>
    </w:p>
    <w:p w14:paraId="0E3DFE86" w14:textId="77777777" w:rsidR="00C837BD" w:rsidRPr="002D5F96" w:rsidRDefault="00C837BD" w:rsidP="00C837BD">
      <w:pPr>
        <w:spacing w:before="120" w:after="120" w:line="276" w:lineRule="auto"/>
        <w:ind w:left="708" w:right="899"/>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Asiento contable de las erogaciones realizadas por las dependencias y entidades con relación a la asignación, modificación y ejercicio de los recursos presupuestarios que se les hayan autorizado.” </w:t>
      </w:r>
    </w:p>
    <w:p w14:paraId="7B5A253B" w14:textId="77777777" w:rsidR="00C837BD" w:rsidRPr="002D5F96" w:rsidRDefault="00C837BD" w:rsidP="00C837BD">
      <w:pPr>
        <w:spacing w:before="120" w:line="360" w:lineRule="auto"/>
        <w:jc w:val="both"/>
        <w:rPr>
          <w:rFonts w:ascii="Palatino Linotype" w:eastAsia="Palatino Linotype" w:hAnsi="Palatino Linotype" w:cs="Palatino Linotype"/>
          <w:sz w:val="22"/>
          <w:szCs w:val="22"/>
          <w:lang w:eastAsia="en-US"/>
        </w:rPr>
      </w:pPr>
    </w:p>
    <w:p w14:paraId="4C533E5F"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Por otra parte, se establece que el sistema de contabilidad sobre base acumulativa total se sustentará en los principios de contabilidad gubernamental.</w:t>
      </w:r>
    </w:p>
    <w:p w14:paraId="308C98C1"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1CCD0094"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F9BE6C8"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1AF18FA1"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Correlativo a lo anterior, es preciso referir una definición de </w:t>
      </w:r>
      <w:r w:rsidRPr="002D5F96">
        <w:rPr>
          <w:rFonts w:ascii="Palatino Linotype" w:eastAsia="Palatino Linotype" w:hAnsi="Palatino Linotype" w:cs="Palatino Linotype"/>
          <w:i/>
          <w:sz w:val="22"/>
          <w:szCs w:val="22"/>
          <w:lang w:eastAsia="en-US"/>
        </w:rPr>
        <w:t>póliza contable</w:t>
      </w:r>
      <w:r w:rsidRPr="002D5F96">
        <w:rPr>
          <w:rFonts w:ascii="Palatino Linotype" w:eastAsia="Palatino Linotype" w:hAnsi="Palatino Linotype" w:cs="Palatino Linotype"/>
          <w:sz w:val="22"/>
          <w:szCs w:val="22"/>
          <w:lang w:eastAsia="en-US"/>
        </w:rPr>
        <w:t xml:space="preserve">, la cual, primeramente, no está definida en el Código Financiero del Estado de México y Municipios; no obstante, los ya mencionados Glosarios la definen como: </w:t>
      </w:r>
    </w:p>
    <w:p w14:paraId="401FC877"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1E5A40D1" w14:textId="77777777" w:rsidR="00C837BD" w:rsidRPr="002D5F96" w:rsidRDefault="00C837BD" w:rsidP="00C837BD">
      <w:pPr>
        <w:spacing w:line="276" w:lineRule="auto"/>
        <w:ind w:left="851" w:right="899"/>
        <w:jc w:val="both"/>
        <w:rPr>
          <w:rFonts w:ascii="Palatino Linotype" w:eastAsia="Palatino Linotype" w:hAnsi="Palatino Linotype" w:cs="Palatino Linotype"/>
          <w:b/>
          <w:i/>
          <w:sz w:val="22"/>
          <w:szCs w:val="22"/>
          <w:lang w:eastAsia="en-US"/>
        </w:rPr>
      </w:pPr>
      <w:r w:rsidRPr="002D5F96">
        <w:rPr>
          <w:rFonts w:ascii="Palatino Linotype" w:eastAsia="Palatino Linotype" w:hAnsi="Palatino Linotype" w:cs="Palatino Linotype"/>
          <w:i/>
          <w:sz w:val="22"/>
          <w:szCs w:val="22"/>
          <w:lang w:eastAsia="en-US"/>
        </w:rPr>
        <w:t>“</w:t>
      </w:r>
      <w:r w:rsidRPr="002D5F96">
        <w:rPr>
          <w:rFonts w:ascii="Palatino Linotype" w:eastAsia="Palatino Linotype" w:hAnsi="Palatino Linotype" w:cs="Palatino Linotype"/>
          <w:b/>
          <w:i/>
          <w:sz w:val="22"/>
          <w:szCs w:val="22"/>
          <w:lang w:eastAsia="en-US"/>
        </w:rPr>
        <w:t>PÓLIZA CONTABLE</w:t>
      </w:r>
    </w:p>
    <w:p w14:paraId="077565A0" w14:textId="77777777" w:rsidR="00C837BD" w:rsidRPr="002D5F96" w:rsidRDefault="00C837BD" w:rsidP="00C837BD">
      <w:pPr>
        <w:spacing w:before="120" w:line="276" w:lineRule="auto"/>
        <w:ind w:left="851" w:right="899"/>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Documento en el cual se asientan en forma individual todas y cada una de las operaciones desarrolladas por una institución, así como la información necesaria para la identificación de dichas operaciones.” </w:t>
      </w:r>
    </w:p>
    <w:p w14:paraId="3DC85A7B" w14:textId="77777777" w:rsidR="00C837BD" w:rsidRPr="002D5F96" w:rsidRDefault="00C837BD" w:rsidP="00C837BD">
      <w:pPr>
        <w:spacing w:before="120" w:after="120" w:line="276" w:lineRule="auto"/>
        <w:ind w:left="851" w:right="899"/>
        <w:jc w:val="both"/>
        <w:rPr>
          <w:rFonts w:ascii="Palatino Linotype" w:eastAsia="Palatino Linotype" w:hAnsi="Palatino Linotype" w:cs="Palatino Linotype"/>
          <w:i/>
          <w:sz w:val="22"/>
          <w:szCs w:val="22"/>
          <w:lang w:eastAsia="en-US"/>
        </w:rPr>
      </w:pPr>
    </w:p>
    <w:p w14:paraId="4A43F2BB" w14:textId="77777777" w:rsidR="00C837BD" w:rsidRPr="002D5F96" w:rsidRDefault="00C837BD" w:rsidP="00C837BD">
      <w:pPr>
        <w:spacing w:before="120"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Así, se advierte que la </w:t>
      </w:r>
      <w:r w:rsidRPr="002D5F96">
        <w:rPr>
          <w:rFonts w:ascii="Palatino Linotype" w:eastAsia="Palatino Linotype" w:hAnsi="Palatino Linotype" w:cs="Palatino Linotype"/>
          <w:i/>
          <w:sz w:val="22"/>
          <w:szCs w:val="22"/>
          <w:lang w:eastAsia="en-US"/>
        </w:rPr>
        <w:t>póliza contable</w:t>
      </w:r>
      <w:r w:rsidRPr="002D5F96">
        <w:rPr>
          <w:rFonts w:ascii="Palatino Linotype" w:eastAsia="Palatino Linotype" w:hAnsi="Palatino Linotype" w:cs="Palatino Linotype"/>
          <w:sz w:val="22"/>
          <w:szCs w:val="22"/>
          <w:lang w:eastAsia="en-US"/>
        </w:rPr>
        <w:t xml:space="preserve"> constituye un registro contable y presupuestal con el que cuentan los Municipios para el registro de sus operaciones relacionadas con sus ingresos </w:t>
      </w:r>
      <w:r w:rsidRPr="002D5F96">
        <w:rPr>
          <w:rFonts w:ascii="Palatino Linotype" w:eastAsia="Palatino Linotype" w:hAnsi="Palatino Linotype" w:cs="Palatino Linotype"/>
          <w:sz w:val="22"/>
          <w:szCs w:val="22"/>
          <w:lang w:eastAsia="en-US"/>
        </w:rPr>
        <w:lastRenderedPageBreak/>
        <w:t>y egresos y se anexan los documentos o comprobantes que justifiquen las anotaciones y cantidades en ellas registradas, lo que permite la identificación plena de dichas operaciones.</w:t>
      </w:r>
    </w:p>
    <w:p w14:paraId="2BC3C5CE"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10882976"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En este sentido, existen diversos tipos de pólizas contables de acuerdo a las operaciones realizadas, dentro de las cuales, encontramos las llamadas </w:t>
      </w:r>
      <w:r w:rsidRPr="002D5F96">
        <w:rPr>
          <w:rFonts w:ascii="Palatino Linotype" w:eastAsia="Palatino Linotype" w:hAnsi="Palatino Linotype" w:cs="Palatino Linotype"/>
          <w:i/>
          <w:sz w:val="22"/>
          <w:szCs w:val="22"/>
          <w:lang w:eastAsia="en-US"/>
        </w:rPr>
        <w:t>pólizas de egresos</w:t>
      </w:r>
      <w:r w:rsidRPr="002D5F96">
        <w:rPr>
          <w:rFonts w:ascii="Palatino Linotype" w:eastAsia="Palatino Linotype" w:hAnsi="Palatino Linotype" w:cs="Palatino Linotype"/>
          <w:sz w:val="22"/>
          <w:szCs w:val="22"/>
          <w:lang w:eastAsia="en-US"/>
        </w:rPr>
        <w:t xml:space="preserve">, son aquellas en las cuales se anotan diariamente las operaciones que representan gastos, es decir, salidas de dinero para el </w:t>
      </w:r>
      <w:r w:rsidRPr="002D5F96">
        <w:rPr>
          <w:rFonts w:ascii="Palatino Linotype" w:eastAsia="Palatino Linotype" w:hAnsi="Palatino Linotype" w:cs="Palatino Linotype"/>
          <w:b/>
          <w:sz w:val="22"/>
          <w:szCs w:val="22"/>
          <w:lang w:eastAsia="en-US"/>
        </w:rPr>
        <w:t>Sujeto Obligado</w:t>
      </w:r>
      <w:r w:rsidRPr="002D5F96">
        <w:rPr>
          <w:rFonts w:ascii="Palatino Linotype" w:eastAsia="Palatino Linotype" w:hAnsi="Palatino Linotype" w:cs="Palatino Linotype"/>
          <w:sz w:val="22"/>
          <w:szCs w:val="22"/>
          <w:lang w:eastAsia="en-US"/>
        </w:rPr>
        <w:t xml:space="preserve">, las que, además, deben encontrarse acompañadas de las documentales que sirven de soporte de dicho movimiento. </w:t>
      </w:r>
    </w:p>
    <w:p w14:paraId="52AB3B21"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0E0841B9" w14:textId="77777777" w:rsidR="00C837BD" w:rsidRPr="002D5F96" w:rsidRDefault="00C837BD" w:rsidP="00C837BD">
      <w:pPr>
        <w:spacing w:line="360" w:lineRule="auto"/>
        <w:ind w:right="50"/>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De este modo, </w:t>
      </w:r>
      <w:r w:rsidRPr="002D5F96">
        <w:rPr>
          <w:rFonts w:ascii="Palatino Linotype" w:eastAsia="Palatino Linotype" w:hAnsi="Palatino Linotype" w:cs="Palatino Linotype"/>
          <w:b/>
          <w:sz w:val="22"/>
          <w:szCs w:val="22"/>
          <w:lang w:eastAsia="en-US"/>
        </w:rPr>
        <w:t>el Sujeto Obligado</w:t>
      </w:r>
      <w:r w:rsidRPr="002D5F96">
        <w:rPr>
          <w:rFonts w:ascii="Palatino Linotype" w:eastAsia="Palatino Linotype" w:hAnsi="Palatino Linotype" w:cs="Palatino Linotype"/>
          <w:sz w:val="22"/>
          <w:szCs w:val="22"/>
          <w:lang w:eastAsia="en-US"/>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6DCE1CC9" w14:textId="77777777" w:rsidR="00C837BD" w:rsidRPr="002D5F96" w:rsidRDefault="00C837BD" w:rsidP="00C837BD">
      <w:pPr>
        <w:spacing w:line="360" w:lineRule="auto"/>
        <w:ind w:right="50"/>
        <w:jc w:val="both"/>
        <w:rPr>
          <w:rFonts w:ascii="Palatino Linotype" w:eastAsia="Palatino Linotype" w:hAnsi="Palatino Linotype" w:cs="Palatino Linotype"/>
          <w:sz w:val="22"/>
          <w:szCs w:val="22"/>
          <w:lang w:eastAsia="en-US"/>
        </w:rPr>
      </w:pPr>
    </w:p>
    <w:p w14:paraId="17334F45" w14:textId="77777777" w:rsidR="00C837BD" w:rsidRPr="002D5F96" w:rsidRDefault="00C837BD" w:rsidP="00C837BD">
      <w:pPr>
        <w:spacing w:line="360" w:lineRule="auto"/>
        <w:ind w:right="50"/>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2674D479" w14:textId="77777777" w:rsidR="00C837BD" w:rsidRPr="002D5F96" w:rsidRDefault="00C837BD" w:rsidP="00C837BD">
      <w:pPr>
        <w:spacing w:after="200" w:line="276" w:lineRule="auto"/>
        <w:ind w:right="50"/>
        <w:jc w:val="both"/>
        <w:rPr>
          <w:rFonts w:ascii="Palatino Linotype" w:eastAsia="Palatino Linotype" w:hAnsi="Palatino Linotype" w:cs="Palatino Linotype"/>
          <w:sz w:val="22"/>
          <w:szCs w:val="22"/>
          <w:lang w:eastAsia="en-US"/>
        </w:rPr>
      </w:pPr>
    </w:p>
    <w:p w14:paraId="6B07E798" w14:textId="77777777" w:rsidR="00C837BD" w:rsidRPr="002D5F96" w:rsidRDefault="00C837BD" w:rsidP="00C837BD">
      <w:pPr>
        <w:spacing w:line="276" w:lineRule="auto"/>
        <w:ind w:left="567" w:right="901"/>
        <w:jc w:val="both"/>
        <w:rPr>
          <w:rFonts w:ascii="Palatino Linotype" w:eastAsia="Palatino Linotype" w:hAnsi="Palatino Linotype" w:cs="Palatino Linotype"/>
          <w:b/>
          <w:i/>
          <w:sz w:val="22"/>
          <w:szCs w:val="22"/>
          <w:lang w:eastAsia="en-US"/>
        </w:rPr>
      </w:pPr>
      <w:r w:rsidRPr="002D5F96">
        <w:rPr>
          <w:rFonts w:ascii="Palatino Linotype" w:eastAsia="Palatino Linotype" w:hAnsi="Palatino Linotype" w:cs="Palatino Linotype"/>
          <w:b/>
          <w:i/>
          <w:sz w:val="22"/>
          <w:szCs w:val="22"/>
          <w:lang w:eastAsia="en-US"/>
        </w:rPr>
        <w:t>“Artículo 23…</w:t>
      </w:r>
    </w:p>
    <w:p w14:paraId="294C908E" w14:textId="77777777" w:rsidR="00C837BD" w:rsidRPr="002D5F96" w:rsidRDefault="00C837BD" w:rsidP="00C837BD">
      <w:pPr>
        <w:spacing w:line="276" w:lineRule="auto"/>
        <w:ind w:left="567" w:right="901"/>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Los sujetos obligados deberán hacer pública toda aquella información relativa a los montos y las personas a quienes entreguen, por cualquier motivo, recursos públicos, </w:t>
      </w:r>
      <w:r w:rsidRPr="002D5F96">
        <w:rPr>
          <w:rFonts w:ascii="Palatino Linotype" w:eastAsia="Palatino Linotype" w:hAnsi="Palatino Linotype" w:cs="Palatino Linotype"/>
          <w:i/>
          <w:sz w:val="22"/>
          <w:szCs w:val="22"/>
          <w:lang w:eastAsia="en-US"/>
        </w:rPr>
        <w:lastRenderedPageBreak/>
        <w:t>así como los informes que dichas personas les entreguen sobre el uso y destino de dichos recursos.</w:t>
      </w:r>
    </w:p>
    <w:p w14:paraId="7952656F" w14:textId="77777777" w:rsidR="00C837BD" w:rsidRPr="002D5F96" w:rsidRDefault="00C837BD" w:rsidP="00C837BD">
      <w:pPr>
        <w:spacing w:line="276" w:lineRule="auto"/>
        <w:ind w:left="567" w:right="850"/>
        <w:jc w:val="both"/>
        <w:rPr>
          <w:rFonts w:ascii="Palatino Linotype" w:eastAsia="Palatino Linotype" w:hAnsi="Palatino Linotype" w:cs="Palatino Linotype"/>
          <w:i/>
          <w:sz w:val="22"/>
          <w:szCs w:val="22"/>
          <w:lang w:eastAsia="en-US"/>
        </w:rPr>
      </w:pPr>
      <w:r w:rsidRPr="002D5F96">
        <w:rPr>
          <w:rFonts w:ascii="Palatino Linotype" w:eastAsia="Palatino Linotype" w:hAnsi="Palatino Linotype" w:cs="Palatino Linotype"/>
          <w:i/>
          <w:sz w:val="22"/>
          <w:szCs w:val="22"/>
          <w:lang w:eastAsia="en-US"/>
        </w:rPr>
        <w:t xml:space="preserve"> (…)”</w:t>
      </w:r>
    </w:p>
    <w:p w14:paraId="690A48F6" w14:textId="77777777" w:rsidR="00C837BD" w:rsidRPr="002D5F96" w:rsidRDefault="00C837BD" w:rsidP="00C837BD">
      <w:pPr>
        <w:spacing w:line="360" w:lineRule="auto"/>
        <w:ind w:left="851" w:right="850"/>
        <w:jc w:val="both"/>
        <w:rPr>
          <w:rFonts w:ascii="Palatino Linotype" w:eastAsia="Palatino Linotype" w:hAnsi="Palatino Linotype" w:cs="Palatino Linotype"/>
          <w:i/>
          <w:sz w:val="22"/>
          <w:szCs w:val="22"/>
          <w:lang w:eastAsia="en-US"/>
        </w:rPr>
      </w:pPr>
    </w:p>
    <w:p w14:paraId="4A9DE619"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En esta tesitura, se concluye que todos los datos en que consten gastos efectuados por </w:t>
      </w:r>
      <w:r w:rsidRPr="002D5F96">
        <w:rPr>
          <w:rFonts w:ascii="Palatino Linotype" w:eastAsia="Palatino Linotype" w:hAnsi="Palatino Linotype" w:cs="Palatino Linotype"/>
          <w:b/>
          <w:sz w:val="22"/>
          <w:szCs w:val="22"/>
          <w:lang w:eastAsia="en-US"/>
        </w:rPr>
        <w:t>el Sujeto Obligado</w:t>
      </w:r>
      <w:r w:rsidRPr="002D5F96">
        <w:rPr>
          <w:rFonts w:ascii="Palatino Linotype" w:eastAsia="Palatino Linotype" w:hAnsi="Palatino Linotype" w:cs="Palatino Linotype"/>
          <w:sz w:val="22"/>
          <w:szCs w:val="22"/>
          <w:lang w:eastAsia="en-US"/>
        </w:rPr>
        <w:t xml:space="preserve">, es información pública; por ende, los pagos realizados mediante pólizas de egresos son públicas y susceptibles de ser entregados si son solicitados en ejercicio del derecho de acceso a la información pública. </w:t>
      </w:r>
    </w:p>
    <w:p w14:paraId="26913A08"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p>
    <w:p w14:paraId="2C6BFC6E" w14:textId="77777777" w:rsidR="00C837BD" w:rsidRPr="002D5F96" w:rsidRDefault="00C837BD" w:rsidP="00C837BD">
      <w:pPr>
        <w:spacing w:line="360" w:lineRule="auto"/>
        <w:jc w:val="both"/>
        <w:rPr>
          <w:rFonts w:ascii="Palatino Linotype" w:eastAsia="Palatino Linotype" w:hAnsi="Palatino Linotype" w:cs="Palatino Linotype"/>
          <w:sz w:val="22"/>
          <w:szCs w:val="22"/>
          <w:lang w:eastAsia="en-US"/>
        </w:rPr>
      </w:pPr>
      <w:r w:rsidRPr="002D5F96">
        <w:rPr>
          <w:rFonts w:ascii="Palatino Linotype" w:eastAsia="Palatino Linotype" w:hAnsi="Palatino Linotype" w:cs="Palatino Linotype"/>
          <w:sz w:val="22"/>
          <w:szCs w:val="22"/>
          <w:lang w:eastAsia="en-US"/>
        </w:rPr>
        <w:t xml:space="preserve">Como ya se mencionó anteriormente </w:t>
      </w:r>
      <w:r w:rsidRPr="002D5F96">
        <w:rPr>
          <w:rFonts w:ascii="Palatino Linotype" w:eastAsia="Palatino Linotype" w:hAnsi="Palatino Linotype" w:cs="Palatino Linotype"/>
          <w:b/>
          <w:sz w:val="22"/>
          <w:szCs w:val="22"/>
          <w:lang w:eastAsia="en-US"/>
        </w:rPr>
        <w:t xml:space="preserve">el Sujeto Obligado </w:t>
      </w:r>
      <w:r w:rsidRPr="002D5F96">
        <w:rPr>
          <w:rFonts w:ascii="Palatino Linotype" w:eastAsia="Palatino Linotype" w:hAnsi="Palatino Linotype" w:cs="Palatino Linotype"/>
          <w:sz w:val="22"/>
          <w:szCs w:val="22"/>
          <w:lang w:eastAsia="en-US"/>
        </w:rPr>
        <w:t>tiene la obligatoriedad de registrar contablemente el efecto patrimonial y presupuestal de las operaciones financieras que realizan, en el momento en que ocurran.</w:t>
      </w:r>
    </w:p>
    <w:p w14:paraId="45BFD24A" w14:textId="77777777" w:rsidR="00C837BD" w:rsidRPr="002D5F96" w:rsidRDefault="00C837BD">
      <w:pPr>
        <w:spacing w:line="360" w:lineRule="auto"/>
        <w:jc w:val="both"/>
        <w:rPr>
          <w:rFonts w:ascii="Palatino Linotype" w:eastAsia="Palatino Linotype" w:hAnsi="Palatino Linotype" w:cs="Palatino Linotype"/>
          <w:sz w:val="22"/>
          <w:szCs w:val="22"/>
        </w:rPr>
      </w:pPr>
    </w:p>
    <w:p w14:paraId="6AF341EA" w14:textId="77777777" w:rsidR="0049429D" w:rsidRPr="002D5F96" w:rsidRDefault="00311CBA">
      <w:pPr>
        <w:spacing w:line="360" w:lineRule="auto"/>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sz w:val="22"/>
          <w:szCs w:val="22"/>
        </w:rPr>
        <w:t xml:space="preserve">En tal tesitura de lo expuesto a lo largo de estas líneas administrativas es que este Organismo Garante determina pertinente </w:t>
      </w:r>
      <w:r w:rsidRPr="002D5F96">
        <w:rPr>
          <w:rFonts w:ascii="Palatino Linotype" w:eastAsia="Palatino Linotype" w:hAnsi="Palatino Linotype" w:cs="Palatino Linotype"/>
          <w:b/>
          <w:sz w:val="22"/>
          <w:szCs w:val="22"/>
        </w:rPr>
        <w:t>MODIFICAR</w:t>
      </w:r>
      <w:r w:rsidRPr="002D5F96">
        <w:rPr>
          <w:rFonts w:ascii="Palatino Linotype" w:eastAsia="Palatino Linotype" w:hAnsi="Palatino Linotype" w:cs="Palatino Linotype"/>
          <w:sz w:val="22"/>
          <w:szCs w:val="22"/>
        </w:rPr>
        <w:t xml:space="preserve"> la respuesta y ordenar la entrega de </w:t>
      </w:r>
      <w:r w:rsidR="00CB55EA" w:rsidRPr="002D5F96">
        <w:rPr>
          <w:rFonts w:ascii="Palatino Linotype" w:eastAsia="Palatino Linotype" w:hAnsi="Palatino Linotype" w:cs="Palatino Linotype"/>
          <w:b/>
          <w:sz w:val="22"/>
          <w:szCs w:val="22"/>
        </w:rPr>
        <w:t>los documentos donde consten las erogaciones del gasto público realizadas del 01 de enero al 17 de febrero de 2025</w:t>
      </w:r>
      <w:r w:rsidRPr="002D5F96">
        <w:rPr>
          <w:rFonts w:ascii="Palatino Linotype" w:eastAsia="Palatino Linotype" w:hAnsi="Palatino Linotype" w:cs="Palatino Linotype"/>
          <w:sz w:val="22"/>
          <w:szCs w:val="22"/>
        </w:rPr>
        <w:t>, conforme al considerando siguiente.</w:t>
      </w:r>
    </w:p>
    <w:p w14:paraId="11349077" w14:textId="77777777" w:rsidR="0049429D" w:rsidRPr="002D5F96" w:rsidRDefault="00311CBA">
      <w:pPr>
        <w:pBdr>
          <w:top w:val="nil"/>
          <w:left w:val="nil"/>
          <w:bottom w:val="nil"/>
          <w:right w:val="nil"/>
          <w:between w:val="nil"/>
        </w:pBdr>
        <w:spacing w:before="240" w:after="240" w:line="360" w:lineRule="auto"/>
        <w:ind w:right="49"/>
        <w:jc w:val="both"/>
        <w:rPr>
          <w:sz w:val="22"/>
          <w:szCs w:val="22"/>
        </w:rPr>
      </w:pPr>
      <w:r w:rsidRPr="002D5F96">
        <w:rPr>
          <w:rFonts w:ascii="Palatino Linotype" w:eastAsia="Palatino Linotype" w:hAnsi="Palatino Linotype" w:cs="Palatino Linotype"/>
          <w:b/>
          <w:sz w:val="22"/>
          <w:szCs w:val="22"/>
        </w:rPr>
        <w:t xml:space="preserve">Quinto. Versión Pública. </w:t>
      </w:r>
      <w:r w:rsidRPr="002D5F96">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xml:space="preserve"> sin menoscabar el derecho a la protección de los datos personales de terceros.</w:t>
      </w:r>
    </w:p>
    <w:p w14:paraId="2896F2C8" w14:textId="77777777" w:rsidR="0049429D" w:rsidRPr="002D5F96" w:rsidRDefault="00311CBA">
      <w:pPr>
        <w:pBdr>
          <w:top w:val="nil"/>
          <w:left w:val="nil"/>
          <w:bottom w:val="nil"/>
          <w:right w:val="nil"/>
          <w:between w:val="nil"/>
        </w:pBdr>
        <w:spacing w:before="240" w:after="240" w:line="360" w:lineRule="auto"/>
        <w:ind w:right="49"/>
        <w:jc w:val="both"/>
        <w:rPr>
          <w:sz w:val="22"/>
          <w:szCs w:val="22"/>
        </w:rPr>
      </w:pPr>
      <w:r w:rsidRPr="002D5F96">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41ECBC6C"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 “Artículo 3. Para los efectos de la presente Ley se entenderá por:</w:t>
      </w:r>
    </w:p>
    <w:p w14:paraId="320545F0"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IX. Datos personales:</w:t>
      </w:r>
      <w:r w:rsidRPr="002D5F96">
        <w:rPr>
          <w:rFonts w:ascii="Palatino Linotype" w:eastAsia="Palatino Linotype" w:hAnsi="Palatino Linotype" w:cs="Palatino Linotype"/>
          <w:i/>
          <w:sz w:val="22"/>
          <w:szCs w:val="22"/>
        </w:rPr>
        <w:t xml:space="preserve"> </w:t>
      </w:r>
      <w:r w:rsidRPr="002D5F96">
        <w:rPr>
          <w:rFonts w:ascii="Palatino Linotype" w:eastAsia="Palatino Linotype" w:hAnsi="Palatino Linotype" w:cs="Palatino Linotype"/>
          <w:b/>
          <w:i/>
          <w:sz w:val="22"/>
          <w:szCs w:val="22"/>
        </w:rPr>
        <w:t>La información concerniente a una persona, identificada o identificable</w:t>
      </w:r>
      <w:r w:rsidRPr="002D5F96">
        <w:rPr>
          <w:rFonts w:ascii="Palatino Linotype" w:eastAsia="Palatino Linotype" w:hAnsi="Palatino Linotype" w:cs="Palatino Linotype"/>
          <w:i/>
          <w:sz w:val="22"/>
          <w:szCs w:val="22"/>
        </w:rPr>
        <w:t xml:space="preserve"> según lo dispuesto por la Ley de Protección de Datos Personales del Estado de México;</w:t>
      </w:r>
    </w:p>
    <w:p w14:paraId="0F58E5B4"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XX. Información clasificada:</w:t>
      </w:r>
      <w:r w:rsidRPr="002D5F96">
        <w:rPr>
          <w:rFonts w:ascii="Palatino Linotype" w:eastAsia="Palatino Linotype" w:hAnsi="Palatino Linotype" w:cs="Palatino Linotype"/>
          <w:i/>
          <w:sz w:val="22"/>
          <w:szCs w:val="22"/>
        </w:rPr>
        <w:t xml:space="preserve"> Aquella considerada por la presente Ley como reservada o confidencial;</w:t>
      </w:r>
    </w:p>
    <w:p w14:paraId="6070D1E0"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XXXII. Protección de Datos Personales:</w:t>
      </w:r>
      <w:r w:rsidRPr="002D5F96">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3307403"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XLV. Versión pública</w:t>
      </w:r>
      <w:r w:rsidRPr="002D5F9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4DF77AC" w14:textId="77777777" w:rsidR="0049429D" w:rsidRPr="002D5F96" w:rsidRDefault="0049429D">
      <w:pPr>
        <w:spacing w:line="276" w:lineRule="auto"/>
        <w:jc w:val="both"/>
        <w:rPr>
          <w:sz w:val="22"/>
          <w:szCs w:val="22"/>
        </w:rPr>
      </w:pPr>
    </w:p>
    <w:p w14:paraId="1BFEE07F"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“Artículo 6.</w:t>
      </w:r>
      <w:r w:rsidRPr="002D5F96">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BF727E7" w14:textId="77777777" w:rsidR="0049429D" w:rsidRPr="002D5F96" w:rsidRDefault="0049429D">
      <w:pPr>
        <w:spacing w:line="276" w:lineRule="auto"/>
        <w:jc w:val="both"/>
        <w:rPr>
          <w:sz w:val="22"/>
          <w:szCs w:val="22"/>
        </w:rPr>
      </w:pPr>
    </w:p>
    <w:p w14:paraId="73C2927F"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“Artículo 137.</w:t>
      </w:r>
      <w:r w:rsidRPr="002D5F9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A7AFA37" w14:textId="77777777" w:rsidR="0049429D" w:rsidRPr="002D5F96" w:rsidRDefault="0049429D">
      <w:pPr>
        <w:spacing w:line="276" w:lineRule="auto"/>
        <w:jc w:val="both"/>
        <w:rPr>
          <w:sz w:val="22"/>
          <w:szCs w:val="22"/>
        </w:rPr>
      </w:pPr>
    </w:p>
    <w:p w14:paraId="2ADDCEFF"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lastRenderedPageBreak/>
        <w:t>“Artículo 143</w:t>
      </w:r>
      <w:r w:rsidRPr="002D5F9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A5ADD43"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b/>
          <w:i/>
          <w:sz w:val="22"/>
          <w:szCs w:val="22"/>
        </w:rPr>
        <w:t>I.</w:t>
      </w:r>
      <w:r w:rsidRPr="002D5F96">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2AE717E7"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E8CB41C" w14:textId="77777777" w:rsidR="0049429D" w:rsidRPr="002D5F96" w:rsidRDefault="00311CBA">
      <w:pPr>
        <w:pBdr>
          <w:top w:val="nil"/>
          <w:left w:val="nil"/>
          <w:bottom w:val="nil"/>
          <w:right w:val="nil"/>
          <w:between w:val="nil"/>
        </w:pBdr>
        <w:spacing w:line="276" w:lineRule="auto"/>
        <w:ind w:left="993" w:right="1041"/>
        <w:jc w:val="both"/>
        <w:rPr>
          <w:sz w:val="22"/>
          <w:szCs w:val="22"/>
        </w:rPr>
      </w:pPr>
      <w:r w:rsidRPr="002D5F9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76E6830A" w14:textId="77777777" w:rsidR="0049429D" w:rsidRPr="002D5F96" w:rsidRDefault="0049429D">
      <w:pPr>
        <w:spacing w:line="360" w:lineRule="auto"/>
        <w:jc w:val="both"/>
        <w:rPr>
          <w:sz w:val="22"/>
          <w:szCs w:val="22"/>
        </w:rPr>
      </w:pPr>
    </w:p>
    <w:p w14:paraId="043E13FE" w14:textId="77777777" w:rsidR="0049429D" w:rsidRPr="002D5F96" w:rsidRDefault="00311CBA">
      <w:pPr>
        <w:pBdr>
          <w:top w:val="nil"/>
          <w:left w:val="nil"/>
          <w:bottom w:val="nil"/>
          <w:right w:val="nil"/>
          <w:between w:val="nil"/>
        </w:pBdr>
        <w:spacing w:line="360" w:lineRule="auto"/>
        <w:ind w:right="51"/>
        <w:jc w:val="both"/>
        <w:rPr>
          <w:sz w:val="22"/>
          <w:szCs w:val="22"/>
        </w:rPr>
      </w:pPr>
      <w:r w:rsidRPr="002D5F9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C91A667" w14:textId="77777777" w:rsidR="0049429D" w:rsidRPr="002D5F96" w:rsidRDefault="0049429D">
      <w:pPr>
        <w:spacing w:line="360" w:lineRule="auto"/>
        <w:jc w:val="both"/>
        <w:rPr>
          <w:sz w:val="22"/>
          <w:szCs w:val="22"/>
        </w:rPr>
      </w:pPr>
    </w:p>
    <w:p w14:paraId="5AA9A0EC" w14:textId="77777777" w:rsidR="0049429D" w:rsidRPr="002D5F96" w:rsidRDefault="00311CBA">
      <w:pPr>
        <w:pBdr>
          <w:top w:val="nil"/>
          <w:left w:val="nil"/>
          <w:bottom w:val="nil"/>
          <w:right w:val="nil"/>
          <w:between w:val="nil"/>
        </w:pBdr>
        <w:spacing w:line="360" w:lineRule="auto"/>
        <w:ind w:right="50"/>
        <w:jc w:val="both"/>
        <w:rPr>
          <w:sz w:val="22"/>
          <w:szCs w:val="22"/>
        </w:rPr>
      </w:pPr>
      <w:r w:rsidRPr="002D5F96">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w:t>
      </w:r>
      <w:r w:rsidRPr="002D5F96">
        <w:rPr>
          <w:rFonts w:ascii="Palatino Linotype" w:eastAsia="Palatino Linotype" w:hAnsi="Palatino Linotype" w:cs="Palatino Linotype"/>
          <w:sz w:val="22"/>
          <w:szCs w:val="22"/>
        </w:rPr>
        <w:lastRenderedPageBreak/>
        <w:t>y los Sujetos Obligados no deberán hacer entrega de los mismos a personas ajenas a su titular.</w:t>
      </w:r>
    </w:p>
    <w:p w14:paraId="388F5FF7" w14:textId="77777777" w:rsidR="0049429D" w:rsidRPr="002D5F96" w:rsidRDefault="0049429D">
      <w:pPr>
        <w:spacing w:line="360" w:lineRule="auto"/>
        <w:jc w:val="both"/>
        <w:rPr>
          <w:sz w:val="22"/>
          <w:szCs w:val="22"/>
        </w:rPr>
      </w:pPr>
    </w:p>
    <w:p w14:paraId="6F616596" w14:textId="77777777" w:rsidR="0049429D" w:rsidRPr="002D5F96" w:rsidRDefault="00311CBA">
      <w:pPr>
        <w:pBdr>
          <w:top w:val="nil"/>
          <w:left w:val="nil"/>
          <w:bottom w:val="nil"/>
          <w:right w:val="nil"/>
          <w:between w:val="nil"/>
        </w:pBdr>
        <w:spacing w:line="360" w:lineRule="auto"/>
        <w:ind w:right="51"/>
        <w:jc w:val="both"/>
        <w:rPr>
          <w:sz w:val="22"/>
          <w:szCs w:val="22"/>
        </w:rPr>
      </w:pPr>
      <w:r w:rsidRPr="002D5F96">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06832A0D" w14:textId="77777777" w:rsidR="0049429D" w:rsidRPr="002D5F96" w:rsidRDefault="0049429D">
      <w:pPr>
        <w:spacing w:line="360" w:lineRule="auto"/>
        <w:jc w:val="both"/>
        <w:rPr>
          <w:sz w:val="22"/>
          <w:szCs w:val="22"/>
        </w:rPr>
      </w:pPr>
    </w:p>
    <w:p w14:paraId="70F0E041" w14:textId="77777777" w:rsidR="0049429D" w:rsidRPr="002D5F96" w:rsidRDefault="00311CBA">
      <w:pPr>
        <w:pBdr>
          <w:top w:val="nil"/>
          <w:left w:val="nil"/>
          <w:bottom w:val="nil"/>
          <w:right w:val="nil"/>
          <w:between w:val="nil"/>
        </w:pBdr>
        <w:spacing w:line="276" w:lineRule="auto"/>
        <w:ind w:left="992" w:right="1043"/>
        <w:jc w:val="both"/>
        <w:rPr>
          <w:sz w:val="22"/>
          <w:szCs w:val="22"/>
        </w:rPr>
      </w:pPr>
      <w:r w:rsidRPr="002D5F96">
        <w:rPr>
          <w:rFonts w:ascii="Palatino Linotype" w:eastAsia="Palatino Linotype" w:hAnsi="Palatino Linotype" w:cs="Palatino Linotype"/>
          <w:b/>
          <w:i/>
          <w:sz w:val="22"/>
          <w:szCs w:val="22"/>
        </w:rPr>
        <w:t>“Artículo 49.</w:t>
      </w:r>
      <w:r w:rsidRPr="002D5F96">
        <w:rPr>
          <w:rFonts w:ascii="Palatino Linotype" w:eastAsia="Palatino Linotype" w:hAnsi="Palatino Linotype" w:cs="Palatino Linotype"/>
          <w:i/>
          <w:sz w:val="22"/>
          <w:szCs w:val="22"/>
        </w:rPr>
        <w:t xml:space="preserve"> </w:t>
      </w:r>
      <w:r w:rsidRPr="002D5F96">
        <w:rPr>
          <w:rFonts w:ascii="Palatino Linotype" w:eastAsia="Palatino Linotype" w:hAnsi="Palatino Linotype" w:cs="Palatino Linotype"/>
          <w:b/>
          <w:i/>
          <w:sz w:val="22"/>
          <w:szCs w:val="22"/>
        </w:rPr>
        <w:t>Los Comités de Transparencia</w:t>
      </w:r>
      <w:r w:rsidRPr="002D5F96">
        <w:rPr>
          <w:rFonts w:ascii="Palatino Linotype" w:eastAsia="Palatino Linotype" w:hAnsi="Palatino Linotype" w:cs="Palatino Linotype"/>
          <w:i/>
          <w:sz w:val="22"/>
          <w:szCs w:val="22"/>
        </w:rPr>
        <w:t xml:space="preserve"> tendrán las siguientes atribuciones:</w:t>
      </w:r>
    </w:p>
    <w:p w14:paraId="63D80BE8" w14:textId="77777777" w:rsidR="0049429D" w:rsidRPr="002D5F96" w:rsidRDefault="00311CBA">
      <w:pPr>
        <w:pBdr>
          <w:top w:val="nil"/>
          <w:left w:val="nil"/>
          <w:bottom w:val="nil"/>
          <w:right w:val="nil"/>
          <w:between w:val="nil"/>
        </w:pBdr>
        <w:spacing w:line="276" w:lineRule="auto"/>
        <w:ind w:left="992" w:right="1043"/>
        <w:jc w:val="both"/>
        <w:rPr>
          <w:sz w:val="22"/>
          <w:szCs w:val="22"/>
        </w:rPr>
      </w:pPr>
      <w:r w:rsidRPr="002D5F96">
        <w:rPr>
          <w:rFonts w:ascii="Palatino Linotype" w:eastAsia="Palatino Linotype" w:hAnsi="Palatino Linotype" w:cs="Palatino Linotype"/>
          <w:b/>
          <w:i/>
          <w:sz w:val="22"/>
          <w:szCs w:val="22"/>
        </w:rPr>
        <w:t>VIII. Aprobar, modificar o revocar la clasificación de la información</w:t>
      </w:r>
      <w:r w:rsidRPr="002D5F96">
        <w:rPr>
          <w:rFonts w:ascii="Palatino Linotype" w:eastAsia="Palatino Linotype" w:hAnsi="Palatino Linotype" w:cs="Palatino Linotype"/>
          <w:i/>
          <w:sz w:val="22"/>
          <w:szCs w:val="22"/>
        </w:rPr>
        <w:t>…”</w:t>
      </w:r>
    </w:p>
    <w:p w14:paraId="724DAB81" w14:textId="77777777" w:rsidR="0049429D" w:rsidRPr="002D5F96" w:rsidRDefault="00311CBA">
      <w:pPr>
        <w:pBdr>
          <w:top w:val="nil"/>
          <w:left w:val="nil"/>
          <w:bottom w:val="nil"/>
          <w:right w:val="nil"/>
          <w:between w:val="nil"/>
        </w:pBdr>
        <w:spacing w:line="276" w:lineRule="auto"/>
        <w:ind w:left="992" w:right="1043"/>
        <w:jc w:val="both"/>
        <w:rPr>
          <w:sz w:val="22"/>
          <w:szCs w:val="22"/>
        </w:rPr>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Artículo 53.</w:t>
      </w:r>
      <w:r w:rsidRPr="002D5F96">
        <w:rPr>
          <w:rFonts w:ascii="Palatino Linotype" w:eastAsia="Palatino Linotype" w:hAnsi="Palatino Linotype" w:cs="Palatino Linotype"/>
          <w:i/>
          <w:sz w:val="22"/>
          <w:szCs w:val="22"/>
        </w:rPr>
        <w:t xml:space="preserve"> Las </w:t>
      </w:r>
      <w:r w:rsidRPr="002D5F96">
        <w:rPr>
          <w:rFonts w:ascii="Palatino Linotype" w:eastAsia="Palatino Linotype" w:hAnsi="Palatino Linotype" w:cs="Palatino Linotype"/>
          <w:b/>
          <w:i/>
          <w:sz w:val="22"/>
          <w:szCs w:val="22"/>
        </w:rPr>
        <w:t>Unidades de Transparencia</w:t>
      </w:r>
      <w:r w:rsidRPr="002D5F96">
        <w:rPr>
          <w:rFonts w:ascii="Palatino Linotype" w:eastAsia="Palatino Linotype" w:hAnsi="Palatino Linotype" w:cs="Palatino Linotype"/>
          <w:i/>
          <w:sz w:val="22"/>
          <w:szCs w:val="22"/>
        </w:rPr>
        <w:t xml:space="preserve"> tendrán las siguientes </w:t>
      </w:r>
      <w:r w:rsidRPr="002D5F96">
        <w:rPr>
          <w:rFonts w:ascii="Palatino Linotype" w:eastAsia="Palatino Linotype" w:hAnsi="Palatino Linotype" w:cs="Palatino Linotype"/>
          <w:b/>
          <w:i/>
          <w:sz w:val="22"/>
          <w:szCs w:val="22"/>
        </w:rPr>
        <w:t>funciones</w:t>
      </w:r>
      <w:r w:rsidRPr="002D5F96">
        <w:rPr>
          <w:rFonts w:ascii="Palatino Linotype" w:eastAsia="Palatino Linotype" w:hAnsi="Palatino Linotype" w:cs="Palatino Linotype"/>
          <w:i/>
          <w:sz w:val="22"/>
          <w:szCs w:val="22"/>
        </w:rPr>
        <w:t>:</w:t>
      </w:r>
    </w:p>
    <w:p w14:paraId="28B9671B" w14:textId="77777777" w:rsidR="0049429D" w:rsidRPr="002D5F96" w:rsidRDefault="00311CBA">
      <w:pPr>
        <w:pBdr>
          <w:top w:val="nil"/>
          <w:left w:val="nil"/>
          <w:bottom w:val="nil"/>
          <w:right w:val="nil"/>
          <w:between w:val="nil"/>
        </w:pBdr>
        <w:spacing w:line="276" w:lineRule="auto"/>
        <w:ind w:left="992" w:right="1043"/>
        <w:jc w:val="both"/>
        <w:rPr>
          <w:sz w:val="22"/>
          <w:szCs w:val="22"/>
        </w:rPr>
      </w:pPr>
      <w:r w:rsidRPr="002D5F96">
        <w:rPr>
          <w:rFonts w:ascii="Palatino Linotype" w:eastAsia="Palatino Linotype" w:hAnsi="Palatino Linotype" w:cs="Palatino Linotype"/>
          <w:b/>
          <w:i/>
          <w:sz w:val="22"/>
          <w:szCs w:val="22"/>
        </w:rPr>
        <w:t>X. Presentar ante el Comité, el proyecto de clasificación de información</w:t>
      </w:r>
      <w:r w:rsidRPr="002D5F96">
        <w:rPr>
          <w:rFonts w:ascii="Palatino Linotype" w:eastAsia="Palatino Linotype" w:hAnsi="Palatino Linotype" w:cs="Palatino Linotype"/>
          <w:i/>
          <w:sz w:val="22"/>
          <w:szCs w:val="22"/>
        </w:rPr>
        <w:t>…” </w:t>
      </w:r>
    </w:p>
    <w:p w14:paraId="6BB5385E" w14:textId="77777777" w:rsidR="0049429D" w:rsidRPr="002D5F96" w:rsidRDefault="00311CBA">
      <w:pPr>
        <w:pBdr>
          <w:top w:val="nil"/>
          <w:left w:val="nil"/>
          <w:bottom w:val="nil"/>
          <w:right w:val="nil"/>
          <w:between w:val="nil"/>
        </w:pBdr>
        <w:spacing w:line="276" w:lineRule="auto"/>
        <w:ind w:left="992" w:right="1043"/>
        <w:jc w:val="both"/>
        <w:rPr>
          <w:sz w:val="22"/>
          <w:szCs w:val="22"/>
        </w:rPr>
      </w:pPr>
      <w:r w:rsidRPr="002D5F96">
        <w:rPr>
          <w:rFonts w:ascii="Palatino Linotype" w:eastAsia="Palatino Linotype" w:hAnsi="Palatino Linotype" w:cs="Palatino Linotype"/>
          <w:b/>
          <w:i/>
          <w:sz w:val="22"/>
          <w:szCs w:val="22"/>
        </w:rPr>
        <w:t>“Artículo 59.</w:t>
      </w:r>
      <w:r w:rsidRPr="002D5F96">
        <w:rPr>
          <w:rFonts w:ascii="Palatino Linotype" w:eastAsia="Palatino Linotype" w:hAnsi="Palatino Linotype" w:cs="Palatino Linotype"/>
          <w:i/>
          <w:sz w:val="22"/>
          <w:szCs w:val="22"/>
        </w:rPr>
        <w:t xml:space="preserve"> Los </w:t>
      </w:r>
      <w:r w:rsidRPr="002D5F96">
        <w:rPr>
          <w:rFonts w:ascii="Palatino Linotype" w:eastAsia="Palatino Linotype" w:hAnsi="Palatino Linotype" w:cs="Palatino Linotype"/>
          <w:b/>
          <w:i/>
          <w:sz w:val="22"/>
          <w:szCs w:val="22"/>
        </w:rPr>
        <w:t>servidores públicos habilitados</w:t>
      </w:r>
      <w:r w:rsidRPr="002D5F96">
        <w:rPr>
          <w:rFonts w:ascii="Palatino Linotype" w:eastAsia="Palatino Linotype" w:hAnsi="Palatino Linotype" w:cs="Palatino Linotype"/>
          <w:i/>
          <w:sz w:val="22"/>
          <w:szCs w:val="22"/>
        </w:rPr>
        <w:t xml:space="preserve"> tendrán las </w:t>
      </w:r>
      <w:r w:rsidRPr="002D5F96">
        <w:rPr>
          <w:rFonts w:ascii="Palatino Linotype" w:eastAsia="Palatino Linotype" w:hAnsi="Palatino Linotype" w:cs="Palatino Linotype"/>
          <w:b/>
          <w:i/>
          <w:sz w:val="22"/>
          <w:szCs w:val="22"/>
        </w:rPr>
        <w:t>funciones</w:t>
      </w:r>
      <w:r w:rsidRPr="002D5F96">
        <w:rPr>
          <w:rFonts w:ascii="Palatino Linotype" w:eastAsia="Palatino Linotype" w:hAnsi="Palatino Linotype" w:cs="Palatino Linotype"/>
          <w:i/>
          <w:sz w:val="22"/>
          <w:szCs w:val="22"/>
        </w:rPr>
        <w:t xml:space="preserve"> siguientes:</w:t>
      </w:r>
    </w:p>
    <w:p w14:paraId="22406BE1" w14:textId="77777777" w:rsidR="0049429D" w:rsidRPr="002D5F96" w:rsidRDefault="00311CBA">
      <w:pPr>
        <w:pBdr>
          <w:top w:val="nil"/>
          <w:left w:val="nil"/>
          <w:bottom w:val="nil"/>
          <w:right w:val="nil"/>
          <w:between w:val="nil"/>
        </w:pBdr>
        <w:spacing w:line="276" w:lineRule="auto"/>
        <w:ind w:left="992" w:right="1043"/>
        <w:jc w:val="both"/>
        <w:rPr>
          <w:sz w:val="22"/>
          <w:szCs w:val="22"/>
        </w:rPr>
      </w:pPr>
      <w:r w:rsidRPr="002D5F9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D5F96">
        <w:rPr>
          <w:rFonts w:ascii="Palatino Linotype" w:eastAsia="Palatino Linotype" w:hAnsi="Palatino Linotype" w:cs="Palatino Linotype"/>
          <w:i/>
          <w:sz w:val="22"/>
          <w:szCs w:val="22"/>
        </w:rPr>
        <w:t>, la cual tendrá los fundamentos y argumentos en que se basa dicha propuesta…” </w:t>
      </w:r>
    </w:p>
    <w:p w14:paraId="1C7768CA" w14:textId="77777777" w:rsidR="0049429D" w:rsidRPr="002D5F96" w:rsidRDefault="0049429D">
      <w:pPr>
        <w:spacing w:line="360" w:lineRule="auto"/>
        <w:jc w:val="both"/>
        <w:rPr>
          <w:sz w:val="22"/>
          <w:szCs w:val="22"/>
        </w:rPr>
      </w:pPr>
    </w:p>
    <w:p w14:paraId="2BFBBCE4" w14:textId="77777777" w:rsidR="0049429D" w:rsidRPr="002D5F96" w:rsidRDefault="00311CBA">
      <w:pPr>
        <w:pBdr>
          <w:top w:val="nil"/>
          <w:left w:val="nil"/>
          <w:bottom w:val="nil"/>
          <w:right w:val="nil"/>
          <w:between w:val="nil"/>
        </w:pBdr>
        <w:spacing w:line="360" w:lineRule="auto"/>
        <w:jc w:val="both"/>
        <w:rPr>
          <w:sz w:val="22"/>
          <w:szCs w:val="22"/>
        </w:rPr>
      </w:pPr>
      <w:r w:rsidRPr="002D5F96">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w:t>
      </w:r>
      <w:r w:rsidRPr="002D5F96">
        <w:rPr>
          <w:rFonts w:ascii="Palatino Linotype" w:eastAsia="Palatino Linotype" w:hAnsi="Palatino Linotype" w:cs="Palatino Linotype"/>
          <w:sz w:val="22"/>
          <w:szCs w:val="22"/>
        </w:rPr>
        <w:lastRenderedPageBreak/>
        <w:t>finalmente sea éste último quien apruebe, modifique o revoque la clasificación de la información solicitada.</w:t>
      </w:r>
    </w:p>
    <w:p w14:paraId="738A3072" w14:textId="77777777" w:rsidR="0049429D" w:rsidRPr="002D5F96" w:rsidRDefault="0049429D">
      <w:pPr>
        <w:spacing w:line="360" w:lineRule="auto"/>
        <w:jc w:val="both"/>
        <w:rPr>
          <w:sz w:val="22"/>
          <w:szCs w:val="22"/>
        </w:rPr>
      </w:pPr>
    </w:p>
    <w:p w14:paraId="17717968" w14:textId="77777777" w:rsidR="0049429D" w:rsidRPr="002D5F96" w:rsidRDefault="00311CBA">
      <w:pPr>
        <w:pBdr>
          <w:top w:val="nil"/>
          <w:left w:val="nil"/>
          <w:bottom w:val="nil"/>
          <w:right w:val="nil"/>
          <w:between w:val="nil"/>
        </w:pBdr>
        <w:spacing w:line="360" w:lineRule="auto"/>
        <w:jc w:val="both"/>
        <w:rPr>
          <w:sz w:val="22"/>
          <w:szCs w:val="22"/>
        </w:rPr>
      </w:pPr>
      <w:r w:rsidRPr="002D5F9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74B4526" w14:textId="77777777" w:rsidR="0049429D" w:rsidRPr="002D5F96" w:rsidRDefault="0049429D">
      <w:pPr>
        <w:spacing w:line="276" w:lineRule="auto"/>
        <w:jc w:val="both"/>
        <w:rPr>
          <w:sz w:val="22"/>
          <w:szCs w:val="22"/>
        </w:rPr>
      </w:pPr>
    </w:p>
    <w:p w14:paraId="1DA8AFC1" w14:textId="77777777" w:rsidR="0049429D" w:rsidRPr="002D5F96" w:rsidRDefault="00311CBA">
      <w:pPr>
        <w:pBdr>
          <w:top w:val="nil"/>
          <w:left w:val="nil"/>
          <w:bottom w:val="nil"/>
          <w:right w:val="nil"/>
          <w:between w:val="nil"/>
        </w:pBdr>
        <w:spacing w:after="240" w:line="276" w:lineRule="auto"/>
        <w:ind w:left="993" w:right="1041"/>
        <w:jc w:val="both"/>
        <w:rPr>
          <w:sz w:val="22"/>
          <w:szCs w:val="22"/>
        </w:rPr>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Artículo 149.</w:t>
      </w:r>
      <w:r w:rsidRPr="002D5F96">
        <w:rPr>
          <w:rFonts w:ascii="Palatino Linotype" w:eastAsia="Palatino Linotype" w:hAnsi="Palatino Linotype" w:cs="Palatino Linotype"/>
          <w:i/>
          <w:sz w:val="22"/>
          <w:szCs w:val="22"/>
        </w:rPr>
        <w:t xml:space="preserve"> El </w:t>
      </w:r>
      <w:r w:rsidRPr="002D5F96">
        <w:rPr>
          <w:rFonts w:ascii="Palatino Linotype" w:eastAsia="Palatino Linotype" w:hAnsi="Palatino Linotype" w:cs="Palatino Linotype"/>
          <w:b/>
          <w:i/>
          <w:sz w:val="22"/>
          <w:szCs w:val="22"/>
        </w:rPr>
        <w:t>acuerdo que clasifique la información como confidencial</w:t>
      </w:r>
      <w:r w:rsidRPr="002D5F9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B6B36C8" w14:textId="77777777" w:rsidR="0049429D" w:rsidRPr="002D5F96" w:rsidRDefault="00311CBA">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Es decir,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B21954A" w14:textId="77777777" w:rsidR="0049429D" w:rsidRPr="002D5F96" w:rsidRDefault="0049429D">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2268EA76" w14:textId="77777777" w:rsidR="0049429D" w:rsidRPr="002D5F96" w:rsidRDefault="00311CBA">
      <w:pPr>
        <w:pBdr>
          <w:top w:val="nil"/>
          <w:left w:val="nil"/>
          <w:bottom w:val="nil"/>
          <w:right w:val="nil"/>
          <w:between w:val="nil"/>
        </w:pBdr>
        <w:spacing w:line="360" w:lineRule="auto"/>
        <w:ind w:right="51"/>
        <w:jc w:val="both"/>
        <w:rPr>
          <w:sz w:val="22"/>
          <w:szCs w:val="22"/>
        </w:rPr>
      </w:pPr>
      <w:bookmarkStart w:id="7" w:name="_heading=h.b8zb6inxa54i" w:colFirst="0" w:colLast="0"/>
      <w:bookmarkEnd w:id="7"/>
      <w:r w:rsidRPr="002D5F96">
        <w:rPr>
          <w:rFonts w:ascii="Palatino Linotype" w:eastAsia="Palatino Linotype" w:hAnsi="Palatino Linotype" w:cs="Palatino Linotype"/>
          <w:sz w:val="22"/>
          <w:szCs w:val="22"/>
        </w:rPr>
        <w:t xml:space="preserve">Al respecto, se destaca que la versión pública que elabore el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D5F96">
        <w:rPr>
          <w:rFonts w:ascii="Palatino Linotype" w:eastAsia="Palatino Linotype" w:hAnsi="Palatino Linotype" w:cs="Palatino Linotype"/>
          <w:b/>
          <w:sz w:val="22"/>
          <w:szCs w:val="22"/>
        </w:rPr>
        <w:t xml:space="preserve">LINEAMIENTOS GENERALES EN MATERIA DE </w:t>
      </w:r>
      <w:r w:rsidRPr="002D5F96">
        <w:rPr>
          <w:rFonts w:ascii="Palatino Linotype" w:eastAsia="Palatino Linotype" w:hAnsi="Palatino Linotype" w:cs="Palatino Linotype"/>
          <w:b/>
          <w:sz w:val="22"/>
          <w:szCs w:val="22"/>
        </w:rPr>
        <w:lastRenderedPageBreak/>
        <w:t>CLASIFICACIÓN Y DESCLASIFICACIÓN DE LA INFORMACIÓN, ASÍ COMO PARA LA ELABORACIÓN DE VERSIONES PÚBLICAS</w:t>
      </w:r>
      <w:r w:rsidRPr="002D5F96">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2DF77BA6" w14:textId="77777777" w:rsidR="0049429D" w:rsidRPr="002D5F96" w:rsidRDefault="0049429D">
      <w:pPr>
        <w:spacing w:line="360" w:lineRule="auto"/>
        <w:jc w:val="both"/>
        <w:rPr>
          <w:sz w:val="22"/>
          <w:szCs w:val="22"/>
        </w:rPr>
      </w:pPr>
    </w:p>
    <w:p w14:paraId="0A4F4D6D"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F59F1F7"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t>“</w:t>
      </w:r>
      <w:r w:rsidRPr="002D5F96">
        <w:rPr>
          <w:rFonts w:ascii="Palatino Linotype" w:eastAsia="Palatino Linotype" w:hAnsi="Palatino Linotype" w:cs="Palatino Linotype"/>
          <w:b/>
          <w:i/>
          <w:sz w:val="22"/>
          <w:szCs w:val="22"/>
        </w:rPr>
        <w:t>Segundo.-</w:t>
      </w:r>
      <w:r w:rsidRPr="002D5F96">
        <w:rPr>
          <w:rFonts w:ascii="Palatino Linotype" w:eastAsia="Palatino Linotype" w:hAnsi="Palatino Linotype" w:cs="Palatino Linotype"/>
          <w:i/>
          <w:sz w:val="22"/>
          <w:szCs w:val="22"/>
        </w:rPr>
        <w:t xml:space="preserve"> Para efectos de los presentes Lineamientos Generales, se entenderá por:</w:t>
      </w:r>
    </w:p>
    <w:p w14:paraId="58A46061"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XVIII.</w:t>
      </w:r>
      <w:r w:rsidRPr="002D5F96">
        <w:rPr>
          <w:rFonts w:ascii="Palatino Linotype" w:eastAsia="Palatino Linotype" w:hAnsi="Palatino Linotype" w:cs="Palatino Linotype"/>
          <w:i/>
          <w:sz w:val="22"/>
          <w:szCs w:val="22"/>
        </w:rPr>
        <w:t xml:space="preserve"> </w:t>
      </w:r>
      <w:r w:rsidRPr="002D5F96">
        <w:rPr>
          <w:rFonts w:ascii="Palatino Linotype" w:eastAsia="Palatino Linotype" w:hAnsi="Palatino Linotype" w:cs="Palatino Linotype"/>
          <w:b/>
          <w:i/>
          <w:sz w:val="22"/>
          <w:szCs w:val="22"/>
        </w:rPr>
        <w:t>Versión pública:</w:t>
      </w:r>
      <w:r w:rsidRPr="002D5F9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5F96">
        <w:rPr>
          <w:rFonts w:ascii="Palatino Linotype" w:eastAsia="Palatino Linotype" w:hAnsi="Palatino Linotype" w:cs="Palatino Linotype"/>
          <w:b/>
          <w:i/>
          <w:sz w:val="22"/>
          <w:szCs w:val="22"/>
          <w:u w:val="single"/>
        </w:rPr>
        <w:t>fundando y motivando la</w:t>
      </w:r>
      <w:r w:rsidRPr="002D5F96">
        <w:rPr>
          <w:rFonts w:ascii="Palatino Linotype" w:eastAsia="Palatino Linotype" w:hAnsi="Palatino Linotype" w:cs="Palatino Linotype"/>
          <w:i/>
          <w:sz w:val="22"/>
          <w:szCs w:val="22"/>
        </w:rPr>
        <w:t xml:space="preserve"> reserva o </w:t>
      </w:r>
      <w:r w:rsidRPr="002D5F96">
        <w:rPr>
          <w:rFonts w:ascii="Palatino Linotype" w:eastAsia="Palatino Linotype" w:hAnsi="Palatino Linotype" w:cs="Palatino Linotype"/>
          <w:b/>
          <w:i/>
          <w:sz w:val="22"/>
          <w:szCs w:val="22"/>
          <w:u w:val="single"/>
        </w:rPr>
        <w:t>confidencialidad</w:t>
      </w:r>
      <w:r w:rsidRPr="002D5F96">
        <w:rPr>
          <w:rFonts w:ascii="Palatino Linotype" w:eastAsia="Palatino Linotype" w:hAnsi="Palatino Linotype" w:cs="Palatino Linotype"/>
          <w:i/>
          <w:sz w:val="22"/>
          <w:szCs w:val="22"/>
        </w:rPr>
        <w:t>, a través de la resolución que para tal efecto emita el Comité de Transparencia.</w:t>
      </w:r>
    </w:p>
    <w:p w14:paraId="3512464D"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Cuarto.</w:t>
      </w:r>
      <w:r w:rsidRPr="002D5F9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1FC261"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270C4DF"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Quinto.</w:t>
      </w:r>
      <w:r w:rsidRPr="002D5F9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3DA3B5"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w:t>
      </w:r>
    </w:p>
    <w:p w14:paraId="36BE4AF8"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lastRenderedPageBreak/>
        <w:t>Séptimo.</w:t>
      </w:r>
      <w:r w:rsidRPr="002D5F96">
        <w:rPr>
          <w:rFonts w:ascii="Palatino Linotype" w:eastAsia="Palatino Linotype" w:hAnsi="Palatino Linotype" w:cs="Palatino Linotype"/>
          <w:i/>
          <w:sz w:val="22"/>
          <w:szCs w:val="22"/>
        </w:rPr>
        <w:t xml:space="preserve"> La clasificación de la información se llevará a cabo en el momento en que:</w:t>
      </w:r>
    </w:p>
    <w:p w14:paraId="3D4EDB71"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I.</w:t>
      </w:r>
      <w:r w:rsidRPr="002D5F96">
        <w:rPr>
          <w:rFonts w:ascii="Palatino Linotype" w:eastAsia="Palatino Linotype" w:hAnsi="Palatino Linotype" w:cs="Palatino Linotype"/>
          <w:i/>
          <w:sz w:val="22"/>
          <w:szCs w:val="22"/>
        </w:rPr>
        <w:t xml:space="preserve"> Se reciba una solicitud de acceso a la información;</w:t>
      </w:r>
    </w:p>
    <w:p w14:paraId="1545659B"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II.</w:t>
      </w:r>
      <w:r w:rsidRPr="002D5F96">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2579FD6"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III.</w:t>
      </w:r>
      <w:r w:rsidRPr="002D5F9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69B94E2"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9AB6828"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Octavo.</w:t>
      </w:r>
      <w:r w:rsidRPr="002D5F9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C7C05D"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D2B96F6"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C4B39D9"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Noveno.</w:t>
      </w:r>
      <w:r w:rsidRPr="002D5F9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F73BE9"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Décimo.</w:t>
      </w:r>
      <w:r w:rsidRPr="002D5F9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3C219B5"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58611A35"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Décimo primero.</w:t>
      </w:r>
      <w:r w:rsidRPr="002D5F9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373AD9" w14:textId="77777777" w:rsidR="0049429D" w:rsidRPr="002D5F96" w:rsidRDefault="0049429D">
      <w:pPr>
        <w:spacing w:line="276" w:lineRule="auto"/>
        <w:jc w:val="both"/>
        <w:rPr>
          <w:sz w:val="22"/>
          <w:szCs w:val="22"/>
        </w:rPr>
      </w:pPr>
    </w:p>
    <w:p w14:paraId="01D95746"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i/>
          <w:sz w:val="22"/>
          <w:szCs w:val="22"/>
        </w:rPr>
        <w:t>[…]</w:t>
      </w:r>
    </w:p>
    <w:p w14:paraId="09F5D400" w14:textId="77777777" w:rsidR="0049429D" w:rsidRPr="002D5F96" w:rsidRDefault="00311CBA">
      <w:pPr>
        <w:pBdr>
          <w:top w:val="nil"/>
          <w:left w:val="nil"/>
          <w:bottom w:val="nil"/>
          <w:right w:val="nil"/>
          <w:between w:val="nil"/>
        </w:pBdr>
        <w:spacing w:line="276" w:lineRule="auto"/>
        <w:ind w:left="709" w:right="709"/>
        <w:jc w:val="both"/>
        <w:rPr>
          <w:sz w:val="22"/>
          <w:szCs w:val="22"/>
        </w:rPr>
      </w:pPr>
      <w:r w:rsidRPr="002D5F96">
        <w:rPr>
          <w:rFonts w:ascii="Palatino Linotype" w:eastAsia="Palatino Linotype" w:hAnsi="Palatino Linotype" w:cs="Palatino Linotype"/>
          <w:b/>
          <w:i/>
          <w:sz w:val="22"/>
          <w:szCs w:val="22"/>
        </w:rPr>
        <w:t>CAPÍTULO VIII</w:t>
      </w:r>
    </w:p>
    <w:p w14:paraId="36D2C6FD"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b/>
          <w:i/>
          <w:sz w:val="22"/>
          <w:szCs w:val="22"/>
        </w:rPr>
        <w:t>DE LOS ELEMENTOS PARA LA CLASIFICACIÓN</w:t>
      </w:r>
    </w:p>
    <w:p w14:paraId="4F28B137"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b/>
          <w:i/>
          <w:sz w:val="22"/>
          <w:szCs w:val="22"/>
        </w:rPr>
        <w:t>Quincuagésimo</w:t>
      </w:r>
      <w:r w:rsidRPr="002D5F96">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7236950"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b/>
          <w:i/>
          <w:sz w:val="22"/>
          <w:szCs w:val="22"/>
        </w:rPr>
        <w:t>Quincuagésimo primero</w:t>
      </w:r>
      <w:r w:rsidRPr="002D5F96">
        <w:rPr>
          <w:rFonts w:ascii="Palatino Linotype" w:eastAsia="Palatino Linotype" w:hAnsi="Palatino Linotype" w:cs="Palatino Linotype"/>
          <w:i/>
          <w:sz w:val="22"/>
          <w:szCs w:val="22"/>
        </w:rPr>
        <w:t>. Toda acta del Comité de Transparencia deberá contener:</w:t>
      </w:r>
    </w:p>
    <w:p w14:paraId="548C1633"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 El número de sesión y fecha; </w:t>
      </w:r>
    </w:p>
    <w:p w14:paraId="1D3C9133"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II. El nombre del área que solicitó la clasificación de información;</w:t>
      </w:r>
    </w:p>
    <w:p w14:paraId="379B0FDE"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III. La fundamentación legal y motivación correspondiente;</w:t>
      </w:r>
    </w:p>
    <w:p w14:paraId="52BC9648"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IV. La resolución o resoluciones aprobadas; y</w:t>
      </w:r>
    </w:p>
    <w:p w14:paraId="27DE31CF"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V. La rúbrica o firma digital de cada integrante del Comité de Transparencia. </w:t>
      </w:r>
    </w:p>
    <w:p w14:paraId="12298A06"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5EA0C804"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 Los motivos y razonamientos que sustenten la confirmación o modificación de la prueba de daño;</w:t>
      </w:r>
    </w:p>
    <w:p w14:paraId="5926385D"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II. Descripción de las partes o secciones reservadas, en caso de clasificación parcial;</w:t>
      </w:r>
    </w:p>
    <w:p w14:paraId="2A4D2BBE"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III. El periodo por el que mantendrá su clasificación y fecha de expiración; y</w:t>
      </w:r>
    </w:p>
    <w:p w14:paraId="6D93D756"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lastRenderedPageBreak/>
        <w:t>IV. El nombre del titular y área encargada de realizar la versión pública del documento, en su caso.</w:t>
      </w:r>
    </w:p>
    <w:p w14:paraId="5BB8EABD"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60122F19"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4A5B523"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b/>
          <w:i/>
          <w:sz w:val="22"/>
          <w:szCs w:val="22"/>
        </w:rPr>
        <w:t>Quincuagésimo segundo</w:t>
      </w:r>
      <w:r w:rsidRPr="002D5F9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422DE80"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8BEA5B9"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4E88027"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68918C3" w14:textId="77777777" w:rsidR="0049429D" w:rsidRPr="002D5F96" w:rsidRDefault="00311CBA">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III. Señalar las personas o instancias autorizadas a acceder a la información clasificada.</w:t>
      </w:r>
    </w:p>
    <w:p w14:paraId="548793FB"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w:t>
      </w:r>
    </w:p>
    <w:p w14:paraId="7044E54A"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E1D314F" w14:textId="77777777" w:rsidR="0049429D" w:rsidRPr="002D5F96" w:rsidRDefault="00311CBA">
      <w:pPr>
        <w:pBdr>
          <w:top w:val="nil"/>
          <w:left w:val="nil"/>
          <w:bottom w:val="nil"/>
          <w:right w:val="nil"/>
          <w:between w:val="nil"/>
        </w:pBdr>
        <w:spacing w:after="160" w:line="276" w:lineRule="auto"/>
        <w:ind w:left="709" w:right="709"/>
        <w:jc w:val="both"/>
        <w:rPr>
          <w:sz w:val="22"/>
          <w:szCs w:val="22"/>
        </w:rPr>
      </w:pPr>
      <w:r w:rsidRPr="002D5F96">
        <w:rPr>
          <w:rFonts w:ascii="Palatino Linotype" w:eastAsia="Palatino Linotype" w:hAnsi="Palatino Linotype" w:cs="Palatino Linotype"/>
          <w:i/>
          <w:sz w:val="22"/>
          <w:szCs w:val="22"/>
        </w:rPr>
        <w:lastRenderedPageBreak/>
        <w:t xml:space="preserve">Quincuagésimo quinto. Cada área del sujeto obligado podrá designar formalmente a una o más personas como responsables del </w:t>
      </w:r>
      <w:proofErr w:type="spellStart"/>
      <w:r w:rsidRPr="002D5F96">
        <w:rPr>
          <w:rFonts w:ascii="Palatino Linotype" w:eastAsia="Palatino Linotype" w:hAnsi="Palatino Linotype" w:cs="Palatino Linotype"/>
          <w:i/>
          <w:sz w:val="22"/>
          <w:szCs w:val="22"/>
        </w:rPr>
        <w:t>testado</w:t>
      </w:r>
      <w:proofErr w:type="spellEnd"/>
      <w:r w:rsidRPr="002D5F9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60F96D0D" w14:textId="77777777" w:rsidR="0049429D" w:rsidRPr="002D5F96" w:rsidRDefault="0049429D">
      <w:pPr>
        <w:spacing w:line="360" w:lineRule="auto"/>
        <w:jc w:val="both"/>
        <w:rPr>
          <w:sz w:val="22"/>
          <w:szCs w:val="22"/>
        </w:rPr>
      </w:pPr>
    </w:p>
    <w:p w14:paraId="5BD98541" w14:textId="77777777" w:rsidR="0049429D" w:rsidRPr="002D5F96" w:rsidRDefault="00311CBA">
      <w:pPr>
        <w:pBdr>
          <w:top w:val="nil"/>
          <w:left w:val="nil"/>
          <w:bottom w:val="nil"/>
          <w:right w:val="nil"/>
          <w:between w:val="nil"/>
        </w:pBdr>
        <w:spacing w:line="360" w:lineRule="auto"/>
        <w:jc w:val="both"/>
        <w:rPr>
          <w:sz w:val="22"/>
          <w:szCs w:val="22"/>
        </w:rPr>
      </w:pPr>
      <w:r w:rsidRPr="002D5F96">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2DA0048" w14:textId="77777777" w:rsidR="0049429D" w:rsidRPr="002D5F96" w:rsidRDefault="0049429D">
      <w:pPr>
        <w:spacing w:line="360" w:lineRule="auto"/>
        <w:jc w:val="both"/>
        <w:rPr>
          <w:sz w:val="22"/>
          <w:szCs w:val="22"/>
        </w:rPr>
      </w:pPr>
    </w:p>
    <w:p w14:paraId="404992B0" w14:textId="77777777" w:rsidR="0049429D" w:rsidRPr="002D5F96" w:rsidRDefault="00311CBA">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2D5F96">
        <w:rPr>
          <w:rFonts w:ascii="Palatino Linotype" w:eastAsia="Palatino Linotype" w:hAnsi="Palatino Linotype" w:cs="Palatino Linotype"/>
          <w:b/>
          <w:sz w:val="22"/>
          <w:szCs w:val="22"/>
        </w:rPr>
        <w:t>la parte</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Recurrente</w:t>
      </w:r>
      <w:r w:rsidRPr="002D5F96">
        <w:rPr>
          <w:rFonts w:ascii="Palatino Linotype" w:eastAsia="Palatino Linotype" w:hAnsi="Palatino Linotype" w:cs="Palatino Linotype"/>
          <w:sz w:val="22"/>
          <w:szCs w:val="22"/>
        </w:rPr>
        <w:t>.</w:t>
      </w:r>
    </w:p>
    <w:p w14:paraId="618D3D2E" w14:textId="77777777" w:rsidR="0049429D" w:rsidRPr="002D5F96" w:rsidRDefault="0049429D">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02710659" w14:textId="77777777" w:rsidR="0049429D" w:rsidRPr="002D5F96" w:rsidRDefault="00311CBA">
      <w:pPr>
        <w:spacing w:before="8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sz w:val="22"/>
          <w:szCs w:val="22"/>
        </w:rPr>
        <w:t>Así, con fundamento en lo prescrito en los</w:t>
      </w:r>
      <w:r w:rsidRPr="002D5F96">
        <w:rPr>
          <w:sz w:val="22"/>
          <w:szCs w:val="22"/>
        </w:rPr>
        <w:t xml:space="preserve"> </w:t>
      </w:r>
      <w:r w:rsidRPr="002D5F96">
        <w:rPr>
          <w:rFonts w:ascii="Palatino Linotype" w:eastAsia="Palatino Linotype" w:hAnsi="Palatino Linotype" w:cs="Palatino Linotype"/>
          <w:sz w:val="22"/>
          <w:szCs w:val="22"/>
        </w:rPr>
        <w:t>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50D48BE" w14:textId="77777777" w:rsidR="0049429D" w:rsidRPr="002D5F96" w:rsidRDefault="00311CBA">
      <w:pPr>
        <w:spacing w:line="259" w:lineRule="auto"/>
        <w:ind w:left="-142" w:right="49"/>
        <w:jc w:val="center"/>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lastRenderedPageBreak/>
        <w:t>R E S U E L V E:</w:t>
      </w:r>
    </w:p>
    <w:p w14:paraId="29AC74A6"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 xml:space="preserve">Primero. </w:t>
      </w:r>
      <w:r w:rsidRPr="002D5F96">
        <w:rPr>
          <w:rFonts w:ascii="Palatino Linotype" w:eastAsia="Palatino Linotype" w:hAnsi="Palatino Linotype" w:cs="Palatino Linotype"/>
          <w:sz w:val="22"/>
          <w:szCs w:val="22"/>
        </w:rPr>
        <w:t xml:space="preserve">Resultan </w:t>
      </w:r>
      <w:r w:rsidR="00EE3963" w:rsidRPr="002D5F96">
        <w:rPr>
          <w:rFonts w:ascii="Palatino Linotype" w:eastAsia="Palatino Linotype" w:hAnsi="Palatino Linotype" w:cs="Palatino Linotype"/>
          <w:b/>
          <w:sz w:val="22"/>
          <w:szCs w:val="22"/>
        </w:rPr>
        <w:t xml:space="preserve">parcialmente </w:t>
      </w:r>
      <w:r w:rsidRPr="002D5F96">
        <w:rPr>
          <w:rFonts w:ascii="Palatino Linotype" w:eastAsia="Palatino Linotype" w:hAnsi="Palatino Linotype" w:cs="Palatino Linotype"/>
          <w:b/>
          <w:sz w:val="22"/>
          <w:szCs w:val="22"/>
        </w:rPr>
        <w:t>fundadas</w:t>
      </w:r>
      <w:r w:rsidRPr="002D5F96">
        <w:rPr>
          <w:rFonts w:ascii="Palatino Linotype" w:eastAsia="Palatino Linotype" w:hAnsi="Palatino Linotype" w:cs="Palatino Linotype"/>
          <w:sz w:val="22"/>
          <w:szCs w:val="22"/>
        </w:rPr>
        <w:t xml:space="preserve"> las razones o motivos de inconformidad hechos valer por </w:t>
      </w:r>
      <w:r w:rsidRPr="002D5F96">
        <w:rPr>
          <w:rFonts w:ascii="Palatino Linotype" w:eastAsia="Palatino Linotype" w:hAnsi="Palatino Linotype" w:cs="Palatino Linotype"/>
          <w:b/>
          <w:sz w:val="22"/>
          <w:szCs w:val="22"/>
        </w:rPr>
        <w:t>la parte Recurrente</w:t>
      </w:r>
      <w:r w:rsidRPr="002D5F96">
        <w:rPr>
          <w:rFonts w:ascii="Palatino Linotype" w:eastAsia="Palatino Linotype" w:hAnsi="Palatino Linotype" w:cs="Palatino Linotype"/>
          <w:sz w:val="22"/>
          <w:szCs w:val="22"/>
        </w:rPr>
        <w:t xml:space="preserve"> en el recurso de revisión </w:t>
      </w:r>
      <w:r w:rsidR="00C837BD" w:rsidRPr="002D5F96">
        <w:rPr>
          <w:rFonts w:ascii="Palatino Linotype" w:eastAsia="Palatino Linotype" w:hAnsi="Palatino Linotype" w:cs="Palatino Linotype"/>
          <w:b/>
          <w:sz w:val="22"/>
          <w:szCs w:val="22"/>
        </w:rPr>
        <w:t>02779/INFOEM/IP/RR/2025</w:t>
      </w:r>
      <w:r w:rsidRPr="002D5F96">
        <w:rPr>
          <w:rFonts w:ascii="Palatino Linotype" w:eastAsia="Palatino Linotype" w:hAnsi="Palatino Linotype" w:cs="Palatino Linotype"/>
          <w:sz w:val="22"/>
          <w:szCs w:val="22"/>
        </w:rPr>
        <w:t xml:space="preserve">; por lo que, en términos del </w:t>
      </w:r>
      <w:r w:rsidRPr="002D5F96">
        <w:rPr>
          <w:rFonts w:ascii="Palatino Linotype" w:eastAsia="Palatino Linotype" w:hAnsi="Palatino Linotype" w:cs="Palatino Linotype"/>
          <w:b/>
          <w:sz w:val="22"/>
          <w:szCs w:val="22"/>
        </w:rPr>
        <w:t>Considerando</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 xml:space="preserve">Cuarto </w:t>
      </w:r>
      <w:r w:rsidRPr="002D5F96">
        <w:rPr>
          <w:rFonts w:ascii="Palatino Linotype" w:eastAsia="Palatino Linotype" w:hAnsi="Palatino Linotype" w:cs="Palatino Linotype"/>
          <w:sz w:val="22"/>
          <w:szCs w:val="22"/>
        </w:rPr>
        <w:t xml:space="preserve">de esta resolución, se </w:t>
      </w:r>
      <w:r w:rsidRPr="002D5F96">
        <w:rPr>
          <w:rFonts w:ascii="Palatino Linotype" w:eastAsia="Palatino Linotype" w:hAnsi="Palatino Linotype" w:cs="Palatino Linotype"/>
          <w:b/>
          <w:sz w:val="22"/>
          <w:szCs w:val="22"/>
        </w:rPr>
        <w:t xml:space="preserve">MODIFICA </w:t>
      </w:r>
      <w:r w:rsidRPr="002D5F96">
        <w:rPr>
          <w:rFonts w:ascii="Palatino Linotype" w:eastAsia="Palatino Linotype" w:hAnsi="Palatino Linotype" w:cs="Palatino Linotype"/>
          <w:sz w:val="22"/>
          <w:szCs w:val="22"/>
        </w:rPr>
        <w:t xml:space="preserve">la respuesta emitida por el </w:t>
      </w:r>
      <w:r w:rsidRPr="002D5F96">
        <w:rPr>
          <w:rFonts w:ascii="Palatino Linotype" w:eastAsia="Palatino Linotype" w:hAnsi="Palatino Linotype" w:cs="Palatino Linotype"/>
          <w:b/>
          <w:sz w:val="22"/>
          <w:szCs w:val="22"/>
        </w:rPr>
        <w:t xml:space="preserve">Sujeto Obligado. </w:t>
      </w:r>
    </w:p>
    <w:p w14:paraId="5803C3B1" w14:textId="77777777" w:rsidR="0049429D" w:rsidRPr="002D5F96" w:rsidRDefault="00311CBA">
      <w:pPr>
        <w:spacing w:before="240" w:after="240" w:line="360" w:lineRule="auto"/>
        <w:ind w:right="49"/>
        <w:jc w:val="both"/>
        <w:rPr>
          <w:rFonts w:ascii="Palatino Linotype" w:eastAsia="Palatino Linotype" w:hAnsi="Palatino Linotype" w:cs="Palatino Linotype"/>
          <w:b/>
          <w:sz w:val="22"/>
          <w:szCs w:val="22"/>
        </w:rPr>
      </w:pPr>
      <w:r w:rsidRPr="002D5F96">
        <w:rPr>
          <w:rFonts w:ascii="Palatino Linotype" w:eastAsia="Palatino Linotype" w:hAnsi="Palatino Linotype" w:cs="Palatino Linotype"/>
          <w:b/>
          <w:sz w:val="22"/>
          <w:szCs w:val="22"/>
        </w:rPr>
        <w:t xml:space="preserve">Segundo. </w:t>
      </w:r>
      <w:r w:rsidRPr="002D5F96">
        <w:rPr>
          <w:rFonts w:ascii="Palatino Linotype" w:eastAsia="Palatino Linotype" w:hAnsi="Palatino Linotype" w:cs="Palatino Linotype"/>
          <w:sz w:val="22"/>
          <w:szCs w:val="22"/>
        </w:rPr>
        <w:t xml:space="preserve">Se </w:t>
      </w:r>
      <w:r w:rsidRPr="002D5F96">
        <w:rPr>
          <w:rFonts w:ascii="Palatino Linotype" w:eastAsia="Palatino Linotype" w:hAnsi="Palatino Linotype" w:cs="Palatino Linotype"/>
          <w:b/>
          <w:sz w:val="22"/>
          <w:szCs w:val="22"/>
        </w:rPr>
        <w:t xml:space="preserve">Ordena </w:t>
      </w:r>
      <w:r w:rsidRPr="002D5F96">
        <w:rPr>
          <w:rFonts w:ascii="Palatino Linotype" w:eastAsia="Palatino Linotype" w:hAnsi="Palatino Linotype" w:cs="Palatino Linotype"/>
          <w:sz w:val="22"/>
          <w:szCs w:val="22"/>
        </w:rPr>
        <w:t xml:space="preserve">al </w:t>
      </w:r>
      <w:r w:rsidRPr="002D5F96">
        <w:rPr>
          <w:rFonts w:ascii="Palatino Linotype" w:eastAsia="Palatino Linotype" w:hAnsi="Palatino Linotype" w:cs="Palatino Linotype"/>
          <w:b/>
          <w:sz w:val="22"/>
          <w:szCs w:val="22"/>
        </w:rPr>
        <w:t>Sujeto Obligado</w:t>
      </w:r>
      <w:r w:rsidRPr="002D5F96">
        <w:rPr>
          <w:rFonts w:ascii="Palatino Linotype" w:eastAsia="Palatino Linotype" w:hAnsi="Palatino Linotype" w:cs="Palatino Linotype"/>
          <w:sz w:val="22"/>
          <w:szCs w:val="22"/>
        </w:rPr>
        <w:t xml:space="preserve"> haga entrega</w:t>
      </w:r>
      <w:r w:rsidRPr="002D5F96">
        <w:rPr>
          <w:rFonts w:ascii="Palatino Linotype" w:eastAsia="Palatino Linotype" w:hAnsi="Palatino Linotype" w:cs="Palatino Linotype"/>
          <w:b/>
          <w:sz w:val="22"/>
          <w:szCs w:val="22"/>
        </w:rPr>
        <w:t>,</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de ser procedente en</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versión pública</w:t>
      </w:r>
      <w:r w:rsidRPr="002D5F96">
        <w:rPr>
          <w:rFonts w:ascii="Palatino Linotype" w:eastAsia="Palatino Linotype" w:hAnsi="Palatino Linotype" w:cs="Palatino Linotype"/>
          <w:sz w:val="22"/>
          <w:szCs w:val="22"/>
        </w:rPr>
        <w:t xml:space="preserve"> a</w:t>
      </w:r>
      <w:r w:rsidRPr="002D5F96">
        <w:rPr>
          <w:rFonts w:ascii="Palatino Linotype" w:eastAsia="Palatino Linotype" w:hAnsi="Palatino Linotype" w:cs="Palatino Linotype"/>
          <w:b/>
          <w:sz w:val="22"/>
          <w:szCs w:val="22"/>
        </w:rPr>
        <w:t xml:space="preserve"> la parte Recurrente,</w:t>
      </w:r>
      <w:r w:rsidRPr="002D5F96">
        <w:rPr>
          <w:rFonts w:ascii="Palatino Linotype" w:eastAsia="Palatino Linotype" w:hAnsi="Palatino Linotype" w:cs="Palatino Linotype"/>
          <w:sz w:val="22"/>
          <w:szCs w:val="22"/>
        </w:rPr>
        <w:t xml:space="preserve"> vía </w:t>
      </w:r>
      <w:r w:rsidRPr="002D5F96">
        <w:rPr>
          <w:rFonts w:ascii="Palatino Linotype" w:eastAsia="Palatino Linotype" w:hAnsi="Palatino Linotype" w:cs="Palatino Linotype"/>
          <w:b/>
          <w:sz w:val="22"/>
          <w:szCs w:val="22"/>
        </w:rPr>
        <w:t xml:space="preserve">SAIMEX, </w:t>
      </w:r>
      <w:r w:rsidRPr="002D5F96">
        <w:rPr>
          <w:rFonts w:ascii="Palatino Linotype" w:eastAsia="Palatino Linotype" w:hAnsi="Palatino Linotype" w:cs="Palatino Linotype"/>
          <w:sz w:val="22"/>
          <w:szCs w:val="22"/>
        </w:rPr>
        <w:t xml:space="preserve">en términos de los </w:t>
      </w:r>
      <w:r w:rsidRPr="002D5F96">
        <w:rPr>
          <w:rFonts w:ascii="Palatino Linotype" w:eastAsia="Palatino Linotype" w:hAnsi="Palatino Linotype" w:cs="Palatino Linotype"/>
          <w:b/>
          <w:sz w:val="22"/>
          <w:szCs w:val="22"/>
        </w:rPr>
        <w:t>Considerandos</w:t>
      </w:r>
      <w:r w:rsidRPr="002D5F96">
        <w:rPr>
          <w:rFonts w:ascii="Palatino Linotype" w:eastAsia="Palatino Linotype" w:hAnsi="Palatino Linotype" w:cs="Palatino Linotype"/>
          <w:sz w:val="22"/>
          <w:szCs w:val="22"/>
        </w:rPr>
        <w:t xml:space="preserve"> </w:t>
      </w:r>
      <w:r w:rsidRPr="002D5F96">
        <w:rPr>
          <w:rFonts w:ascii="Palatino Linotype" w:eastAsia="Palatino Linotype" w:hAnsi="Palatino Linotype" w:cs="Palatino Linotype"/>
          <w:b/>
          <w:sz w:val="22"/>
          <w:szCs w:val="22"/>
        </w:rPr>
        <w:t xml:space="preserve">Cuarto y Quinto, </w:t>
      </w:r>
      <w:r w:rsidR="00C837BD" w:rsidRPr="002D5F96">
        <w:rPr>
          <w:rFonts w:ascii="Palatino Linotype" w:eastAsia="Palatino Linotype" w:hAnsi="Palatino Linotype" w:cs="Palatino Linotype"/>
          <w:b/>
          <w:sz w:val="22"/>
          <w:szCs w:val="22"/>
        </w:rPr>
        <w:t xml:space="preserve">previa búsqueda exhaustiva y razonable, </w:t>
      </w:r>
      <w:r w:rsidRPr="002D5F96">
        <w:rPr>
          <w:rFonts w:ascii="Palatino Linotype" w:eastAsia="Palatino Linotype" w:hAnsi="Palatino Linotype" w:cs="Palatino Linotype"/>
          <w:sz w:val="22"/>
          <w:szCs w:val="22"/>
        </w:rPr>
        <w:t>de lo siguiente</w:t>
      </w:r>
      <w:r w:rsidRPr="002D5F96">
        <w:rPr>
          <w:rFonts w:ascii="Palatino Linotype" w:eastAsia="Palatino Linotype" w:hAnsi="Palatino Linotype" w:cs="Palatino Linotype"/>
          <w:b/>
          <w:i/>
          <w:sz w:val="22"/>
          <w:szCs w:val="22"/>
        </w:rPr>
        <w:t>:</w:t>
      </w:r>
    </w:p>
    <w:p w14:paraId="237750C4" w14:textId="77777777" w:rsidR="00C837BD" w:rsidRPr="002D5F96" w:rsidRDefault="00C837BD" w:rsidP="00C837BD">
      <w:pPr>
        <w:pStyle w:val="Prrafodelista"/>
        <w:numPr>
          <w:ilvl w:val="0"/>
          <w:numId w:val="10"/>
        </w:numPr>
        <w:pBdr>
          <w:top w:val="nil"/>
          <w:left w:val="nil"/>
          <w:bottom w:val="nil"/>
          <w:right w:val="nil"/>
          <w:between w:val="nil"/>
        </w:pBdr>
        <w:spacing w:before="240" w:after="120" w:line="276" w:lineRule="auto"/>
        <w:ind w:left="567" w:right="900" w:hanging="141"/>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b/>
          <w:i/>
          <w:sz w:val="22"/>
          <w:szCs w:val="22"/>
        </w:rPr>
        <w:t>Los documentos donde consten</w:t>
      </w:r>
      <w:r w:rsidR="005D5B59" w:rsidRPr="002D5F96">
        <w:rPr>
          <w:rFonts w:ascii="Palatino Linotype" w:eastAsia="Palatino Linotype" w:hAnsi="Palatino Linotype" w:cs="Palatino Linotype"/>
          <w:b/>
          <w:i/>
          <w:sz w:val="22"/>
          <w:szCs w:val="22"/>
        </w:rPr>
        <w:t xml:space="preserve"> las</w:t>
      </w:r>
      <w:r w:rsidRPr="002D5F96">
        <w:rPr>
          <w:rFonts w:ascii="Palatino Linotype" w:eastAsia="Palatino Linotype" w:hAnsi="Palatino Linotype" w:cs="Palatino Linotype"/>
          <w:b/>
          <w:i/>
          <w:sz w:val="22"/>
          <w:szCs w:val="22"/>
        </w:rPr>
        <w:t xml:space="preserve"> </w:t>
      </w:r>
      <w:r w:rsidR="005D5B59" w:rsidRPr="002D5F96">
        <w:rPr>
          <w:rFonts w:ascii="Palatino Linotype" w:eastAsia="Palatino Linotype" w:hAnsi="Palatino Linotype" w:cs="Palatino Linotype"/>
          <w:b/>
          <w:i/>
          <w:sz w:val="22"/>
          <w:szCs w:val="22"/>
        </w:rPr>
        <w:t>erogaciones del gasto público realizadas</w:t>
      </w:r>
      <w:r w:rsidRPr="002D5F96">
        <w:rPr>
          <w:rFonts w:ascii="Palatino Linotype" w:eastAsia="Palatino Linotype" w:hAnsi="Palatino Linotype" w:cs="Palatino Linotype"/>
          <w:b/>
          <w:i/>
          <w:sz w:val="22"/>
          <w:szCs w:val="22"/>
        </w:rPr>
        <w:t xml:space="preserve"> del 01 de enero al 17 de febrero de 2025.</w:t>
      </w:r>
    </w:p>
    <w:p w14:paraId="33624586" w14:textId="77777777" w:rsidR="005D5B59" w:rsidRPr="002D5F96" w:rsidRDefault="005D5B59" w:rsidP="005D5B59">
      <w:pPr>
        <w:pStyle w:val="Prrafodelista"/>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p>
    <w:p w14:paraId="5C11E2BF" w14:textId="77777777" w:rsidR="0049429D" w:rsidRPr="002D5F96" w:rsidRDefault="00311CBA" w:rsidP="00C837BD">
      <w:pPr>
        <w:pStyle w:val="Prrafodelista"/>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r w:rsidRPr="002D5F96">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2D5F96">
        <w:rPr>
          <w:rFonts w:ascii="Palatino Linotype" w:eastAsia="Palatino Linotype" w:hAnsi="Palatino Linotype" w:cs="Palatino Linotype"/>
          <w:b/>
          <w:i/>
          <w:sz w:val="22"/>
          <w:szCs w:val="22"/>
        </w:rPr>
        <w:t>Recurrente</w:t>
      </w:r>
      <w:r w:rsidRPr="002D5F96">
        <w:rPr>
          <w:rFonts w:ascii="Palatino Linotype" w:eastAsia="Palatino Linotype" w:hAnsi="Palatino Linotype" w:cs="Palatino Linotype"/>
          <w:i/>
          <w:sz w:val="22"/>
          <w:szCs w:val="22"/>
        </w:rPr>
        <w:t>.</w:t>
      </w:r>
    </w:p>
    <w:p w14:paraId="353494A6" w14:textId="77777777" w:rsidR="0049429D" w:rsidRPr="002D5F96" w:rsidRDefault="00311CBA">
      <w:pPr>
        <w:spacing w:before="240" w:after="240" w:line="360" w:lineRule="auto"/>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 xml:space="preserve">Tercero.  Notifíquese vía SAIMEX, </w:t>
      </w:r>
      <w:r w:rsidRPr="002D5F96">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378749" w14:textId="77777777" w:rsidR="0049429D" w:rsidRPr="002D5F96" w:rsidRDefault="00311CBA">
      <w:pPr>
        <w:spacing w:before="240" w:after="240"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lastRenderedPageBreak/>
        <w:t>Cuarto. Notifíquese, vía SAIMEX</w:t>
      </w:r>
      <w:r w:rsidRPr="002D5F96">
        <w:rPr>
          <w:rFonts w:ascii="Palatino Linotype" w:eastAsia="Palatino Linotype" w:hAnsi="Palatino Linotype" w:cs="Palatino Linotype"/>
          <w:sz w:val="22"/>
          <w:szCs w:val="22"/>
        </w:rPr>
        <w:t>, al Titular de la Unidad de Transparencia que</w:t>
      </w:r>
      <w:r w:rsidRPr="002D5F96">
        <w:rPr>
          <w:rFonts w:ascii="Palatino Linotype" w:eastAsia="Palatino Linotype" w:hAnsi="Palatino Linotype" w:cs="Palatino Linotype"/>
          <w:b/>
          <w:sz w:val="22"/>
          <w:szCs w:val="22"/>
        </w:rPr>
        <w:t xml:space="preserve"> </w:t>
      </w:r>
      <w:r w:rsidRPr="002D5F96">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4DD357" w14:textId="77777777" w:rsidR="0049429D" w:rsidRPr="002D5F96" w:rsidRDefault="00311CBA">
      <w:pPr>
        <w:spacing w:before="240" w:after="240" w:line="360" w:lineRule="auto"/>
        <w:ind w:right="49"/>
        <w:jc w:val="both"/>
        <w:rPr>
          <w:rFonts w:ascii="Palatino Linotype" w:eastAsia="Palatino Linotype" w:hAnsi="Palatino Linotype" w:cs="Palatino Linotype"/>
          <w:sz w:val="22"/>
          <w:szCs w:val="22"/>
        </w:rPr>
      </w:pPr>
      <w:r w:rsidRPr="002D5F96">
        <w:rPr>
          <w:rFonts w:ascii="Palatino Linotype" w:eastAsia="Palatino Linotype" w:hAnsi="Palatino Linotype" w:cs="Palatino Linotype"/>
          <w:b/>
          <w:sz w:val="22"/>
          <w:szCs w:val="22"/>
        </w:rPr>
        <w:t xml:space="preserve">Quinto. Notifíquese vía SAIMEX, </w:t>
      </w:r>
      <w:r w:rsidRPr="002D5F96">
        <w:rPr>
          <w:rFonts w:ascii="Palatino Linotype" w:eastAsia="Palatino Linotype" w:hAnsi="Palatino Linotype" w:cs="Palatino Linotype"/>
          <w:sz w:val="22"/>
          <w:szCs w:val="22"/>
        </w:rPr>
        <w:t>a</w:t>
      </w:r>
      <w:r w:rsidRPr="002D5F96">
        <w:rPr>
          <w:rFonts w:ascii="Palatino Linotype" w:eastAsia="Palatino Linotype" w:hAnsi="Palatino Linotype" w:cs="Palatino Linotype"/>
          <w:b/>
          <w:sz w:val="22"/>
          <w:szCs w:val="22"/>
        </w:rPr>
        <w:t xml:space="preserve"> la parte Recurrente</w:t>
      </w:r>
      <w:r w:rsidRPr="002D5F96">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42B15F96" w14:textId="77777777" w:rsidR="0049429D" w:rsidRPr="004E2313" w:rsidRDefault="00311CBA">
      <w:pPr>
        <w:spacing w:line="360" w:lineRule="auto"/>
        <w:jc w:val="both"/>
        <w:rPr>
          <w:rFonts w:ascii="Palatino Linotype" w:eastAsia="Palatino Linotype" w:hAnsi="Palatino Linotype" w:cs="Palatino Linotype"/>
        </w:rPr>
      </w:pPr>
      <w:bookmarkStart w:id="8" w:name="_heading=h.huxfd74zy0n4" w:colFirst="0" w:colLast="0"/>
      <w:bookmarkEnd w:id="8"/>
      <w:r w:rsidRPr="002D5F9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4E2313">
        <w:rPr>
          <w:rFonts w:ascii="Palatino Linotype" w:eastAsia="Palatino Linotype" w:hAnsi="Palatino Linotype" w:cs="Palatino Linotype"/>
        </w:rPr>
        <w:t xml:space="preserve"> </w:t>
      </w:r>
    </w:p>
    <w:p w14:paraId="29ACD310" w14:textId="77777777" w:rsidR="0049429D" w:rsidRPr="004E2313" w:rsidRDefault="0049429D">
      <w:pPr>
        <w:rPr>
          <w:rFonts w:ascii="Palatino Linotype" w:eastAsia="Palatino Linotype" w:hAnsi="Palatino Linotype" w:cs="Palatino Linotype"/>
        </w:rPr>
      </w:pPr>
    </w:p>
    <w:p w14:paraId="6629D0EC" w14:textId="77777777" w:rsidR="0049429D" w:rsidRPr="004E2313" w:rsidRDefault="0049429D">
      <w:pPr>
        <w:rPr>
          <w:rFonts w:ascii="Palatino Linotype" w:eastAsia="Palatino Linotype" w:hAnsi="Palatino Linotype" w:cs="Palatino Linotype"/>
        </w:rPr>
      </w:pPr>
    </w:p>
    <w:p w14:paraId="6D40CBD8" w14:textId="77777777" w:rsidR="0049429D" w:rsidRPr="004E2313" w:rsidRDefault="0049429D">
      <w:pPr>
        <w:spacing w:line="360" w:lineRule="auto"/>
        <w:jc w:val="both"/>
        <w:rPr>
          <w:rFonts w:ascii="Palatino Linotype" w:eastAsia="Palatino Linotype" w:hAnsi="Palatino Linotype" w:cs="Palatino Linotype"/>
        </w:rPr>
      </w:pPr>
      <w:bookmarkStart w:id="9" w:name="_heading=h.3rdcrjn" w:colFirst="0" w:colLast="0"/>
      <w:bookmarkEnd w:id="9"/>
    </w:p>
    <w:p w14:paraId="69D8FCB3" w14:textId="77777777" w:rsidR="0049429D" w:rsidRPr="004E2313" w:rsidRDefault="0049429D">
      <w:pPr>
        <w:spacing w:line="360" w:lineRule="auto"/>
        <w:jc w:val="both"/>
        <w:rPr>
          <w:rFonts w:ascii="Palatino Linotype" w:eastAsia="Palatino Linotype" w:hAnsi="Palatino Linotype" w:cs="Palatino Linotype"/>
        </w:rPr>
      </w:pPr>
    </w:p>
    <w:p w14:paraId="44635A22" w14:textId="77777777" w:rsidR="0049429D" w:rsidRPr="004E2313" w:rsidRDefault="0049429D">
      <w:pPr>
        <w:spacing w:line="360" w:lineRule="auto"/>
        <w:jc w:val="both"/>
        <w:rPr>
          <w:rFonts w:ascii="Palatino Linotype" w:eastAsia="Palatino Linotype" w:hAnsi="Palatino Linotype" w:cs="Palatino Linotype"/>
        </w:rPr>
      </w:pPr>
    </w:p>
    <w:p w14:paraId="3285B4E7" w14:textId="77777777" w:rsidR="0049429D" w:rsidRPr="004E2313" w:rsidRDefault="0049429D">
      <w:pPr>
        <w:spacing w:line="360" w:lineRule="auto"/>
        <w:jc w:val="both"/>
        <w:rPr>
          <w:rFonts w:ascii="Palatino Linotype" w:eastAsia="Palatino Linotype" w:hAnsi="Palatino Linotype" w:cs="Palatino Linotype"/>
        </w:rPr>
      </w:pPr>
      <w:bookmarkStart w:id="10" w:name="_heading=h.1t3h5sf" w:colFirst="0" w:colLast="0"/>
      <w:bookmarkEnd w:id="10"/>
    </w:p>
    <w:p w14:paraId="4E79C0A2" w14:textId="77777777" w:rsidR="0049429D" w:rsidRPr="004E2313" w:rsidRDefault="0049429D">
      <w:pPr>
        <w:spacing w:line="360" w:lineRule="auto"/>
        <w:jc w:val="both"/>
        <w:rPr>
          <w:rFonts w:ascii="Palatino Linotype" w:eastAsia="Palatino Linotype" w:hAnsi="Palatino Linotype" w:cs="Palatino Linotype"/>
        </w:rPr>
      </w:pPr>
    </w:p>
    <w:p w14:paraId="2FDFE1F7" w14:textId="77777777" w:rsidR="0049429D" w:rsidRPr="004E2313" w:rsidRDefault="0049429D">
      <w:pPr>
        <w:spacing w:line="360" w:lineRule="auto"/>
        <w:jc w:val="both"/>
        <w:rPr>
          <w:rFonts w:ascii="Palatino Linotype" w:eastAsia="Palatino Linotype" w:hAnsi="Palatino Linotype" w:cs="Palatino Linotype"/>
        </w:rPr>
      </w:pPr>
    </w:p>
    <w:p w14:paraId="3AEC95C6" w14:textId="77777777" w:rsidR="0049429D" w:rsidRPr="004E2313" w:rsidRDefault="0049429D">
      <w:pPr>
        <w:spacing w:line="360" w:lineRule="auto"/>
        <w:jc w:val="both"/>
        <w:rPr>
          <w:rFonts w:ascii="Palatino Linotype" w:eastAsia="Palatino Linotype" w:hAnsi="Palatino Linotype" w:cs="Palatino Linotype"/>
        </w:rPr>
      </w:pPr>
    </w:p>
    <w:p w14:paraId="213AACFD" w14:textId="77777777" w:rsidR="0049429D" w:rsidRPr="004E2313" w:rsidRDefault="0049429D">
      <w:pPr>
        <w:spacing w:line="360" w:lineRule="auto"/>
        <w:jc w:val="both"/>
        <w:rPr>
          <w:rFonts w:ascii="Palatino Linotype" w:eastAsia="Palatino Linotype" w:hAnsi="Palatino Linotype" w:cs="Palatino Linotype"/>
        </w:rPr>
      </w:pPr>
    </w:p>
    <w:p w14:paraId="630B3A81" w14:textId="77777777" w:rsidR="0049429D" w:rsidRPr="004E2313" w:rsidRDefault="0049429D">
      <w:pPr>
        <w:spacing w:line="360" w:lineRule="auto"/>
        <w:jc w:val="both"/>
        <w:rPr>
          <w:rFonts w:ascii="Palatino Linotype" w:eastAsia="Palatino Linotype" w:hAnsi="Palatino Linotype" w:cs="Palatino Linotype"/>
        </w:rPr>
      </w:pPr>
    </w:p>
    <w:p w14:paraId="40D0437A" w14:textId="77777777" w:rsidR="0049429D" w:rsidRPr="004E2313" w:rsidRDefault="0049429D">
      <w:pPr>
        <w:spacing w:line="360" w:lineRule="auto"/>
        <w:jc w:val="both"/>
        <w:rPr>
          <w:rFonts w:ascii="Palatino Linotype" w:eastAsia="Palatino Linotype" w:hAnsi="Palatino Linotype" w:cs="Palatino Linotype"/>
        </w:rPr>
      </w:pPr>
    </w:p>
    <w:p w14:paraId="10B96648" w14:textId="77777777" w:rsidR="0049429D" w:rsidRPr="004E2313" w:rsidRDefault="0049429D">
      <w:pPr>
        <w:spacing w:line="360" w:lineRule="auto"/>
        <w:jc w:val="both"/>
        <w:rPr>
          <w:rFonts w:ascii="Palatino Linotype" w:eastAsia="Palatino Linotype" w:hAnsi="Palatino Linotype" w:cs="Palatino Linotype"/>
        </w:rPr>
      </w:pPr>
    </w:p>
    <w:p w14:paraId="33958C28" w14:textId="77777777" w:rsidR="0049429D" w:rsidRPr="004E2313" w:rsidRDefault="0049429D">
      <w:pPr>
        <w:spacing w:line="360" w:lineRule="auto"/>
        <w:jc w:val="both"/>
        <w:rPr>
          <w:rFonts w:ascii="Palatino Linotype" w:eastAsia="Palatino Linotype" w:hAnsi="Palatino Linotype" w:cs="Palatino Linotype"/>
        </w:rPr>
      </w:pPr>
    </w:p>
    <w:p w14:paraId="0B2EB69F" w14:textId="77777777" w:rsidR="0049429D" w:rsidRPr="004E2313" w:rsidRDefault="0049429D">
      <w:pPr>
        <w:spacing w:line="360" w:lineRule="auto"/>
        <w:jc w:val="both"/>
        <w:rPr>
          <w:rFonts w:ascii="Palatino Linotype" w:eastAsia="Palatino Linotype" w:hAnsi="Palatino Linotype" w:cs="Palatino Linotype"/>
        </w:rPr>
      </w:pPr>
    </w:p>
    <w:p w14:paraId="1A20AE4E" w14:textId="77777777" w:rsidR="0049429D" w:rsidRPr="004E2313" w:rsidRDefault="0049429D">
      <w:pPr>
        <w:spacing w:line="360" w:lineRule="auto"/>
        <w:jc w:val="both"/>
        <w:rPr>
          <w:rFonts w:ascii="Palatino Linotype" w:eastAsia="Palatino Linotype" w:hAnsi="Palatino Linotype" w:cs="Palatino Linotype"/>
        </w:rPr>
      </w:pPr>
    </w:p>
    <w:p w14:paraId="72CBB72E" w14:textId="77777777" w:rsidR="0049429D" w:rsidRPr="004E2313" w:rsidRDefault="0049429D">
      <w:pPr>
        <w:spacing w:line="360" w:lineRule="auto"/>
        <w:jc w:val="both"/>
        <w:rPr>
          <w:rFonts w:ascii="Palatino Linotype" w:eastAsia="Palatino Linotype" w:hAnsi="Palatino Linotype" w:cs="Palatino Linotype"/>
        </w:rPr>
      </w:pPr>
    </w:p>
    <w:p w14:paraId="0C3F5F8B" w14:textId="77777777" w:rsidR="0049429D" w:rsidRPr="004E2313" w:rsidRDefault="0049429D">
      <w:pPr>
        <w:spacing w:line="360" w:lineRule="auto"/>
        <w:jc w:val="both"/>
        <w:rPr>
          <w:rFonts w:ascii="Palatino Linotype" w:eastAsia="Palatino Linotype" w:hAnsi="Palatino Linotype" w:cs="Palatino Linotype"/>
        </w:rPr>
      </w:pPr>
    </w:p>
    <w:p w14:paraId="76410679" w14:textId="77777777" w:rsidR="0049429D" w:rsidRPr="004E2313" w:rsidRDefault="0049429D">
      <w:pPr>
        <w:spacing w:line="360" w:lineRule="auto"/>
        <w:jc w:val="both"/>
        <w:rPr>
          <w:rFonts w:ascii="Palatino Linotype" w:eastAsia="Palatino Linotype" w:hAnsi="Palatino Linotype" w:cs="Palatino Linotype"/>
        </w:rPr>
      </w:pPr>
    </w:p>
    <w:p w14:paraId="37A24BE4" w14:textId="77777777" w:rsidR="0049429D" w:rsidRPr="004E2313" w:rsidRDefault="0049429D">
      <w:pPr>
        <w:spacing w:line="360" w:lineRule="auto"/>
        <w:jc w:val="both"/>
        <w:rPr>
          <w:rFonts w:ascii="Palatino Linotype" w:eastAsia="Palatino Linotype" w:hAnsi="Palatino Linotype" w:cs="Palatino Linotype"/>
        </w:rPr>
      </w:pPr>
    </w:p>
    <w:p w14:paraId="68462E16" w14:textId="77777777" w:rsidR="0049429D" w:rsidRPr="004E2313" w:rsidRDefault="0049429D">
      <w:pPr>
        <w:spacing w:line="360" w:lineRule="auto"/>
        <w:jc w:val="both"/>
        <w:rPr>
          <w:rFonts w:ascii="Palatino Linotype" w:eastAsia="Palatino Linotype" w:hAnsi="Palatino Linotype" w:cs="Palatino Linotype"/>
        </w:rPr>
      </w:pPr>
    </w:p>
    <w:p w14:paraId="6762EE09" w14:textId="77777777" w:rsidR="0049429D" w:rsidRPr="004E2313" w:rsidRDefault="0049429D">
      <w:pPr>
        <w:spacing w:line="360" w:lineRule="auto"/>
        <w:jc w:val="both"/>
        <w:rPr>
          <w:rFonts w:ascii="Palatino Linotype" w:eastAsia="Palatino Linotype" w:hAnsi="Palatino Linotype" w:cs="Palatino Linotype"/>
        </w:rPr>
      </w:pPr>
    </w:p>
    <w:p w14:paraId="5952CCA0" w14:textId="77777777" w:rsidR="0049429D" w:rsidRPr="004E2313" w:rsidRDefault="0049429D">
      <w:pPr>
        <w:spacing w:line="360" w:lineRule="auto"/>
        <w:jc w:val="both"/>
        <w:rPr>
          <w:rFonts w:ascii="Palatino Linotype" w:eastAsia="Palatino Linotype" w:hAnsi="Palatino Linotype" w:cs="Palatino Linotype"/>
        </w:rPr>
      </w:pPr>
    </w:p>
    <w:p w14:paraId="5880EB8B" w14:textId="77777777" w:rsidR="0049429D" w:rsidRPr="004E2313" w:rsidRDefault="0049429D">
      <w:pPr>
        <w:spacing w:line="360" w:lineRule="auto"/>
        <w:jc w:val="both"/>
        <w:rPr>
          <w:rFonts w:ascii="Palatino Linotype" w:eastAsia="Palatino Linotype" w:hAnsi="Palatino Linotype" w:cs="Palatino Linotype"/>
        </w:rPr>
      </w:pPr>
    </w:p>
    <w:p w14:paraId="64D91008" w14:textId="77777777" w:rsidR="0049429D" w:rsidRPr="004E2313" w:rsidRDefault="0049429D">
      <w:pPr>
        <w:spacing w:line="360" w:lineRule="auto"/>
        <w:jc w:val="both"/>
        <w:rPr>
          <w:rFonts w:ascii="Palatino Linotype" w:eastAsia="Palatino Linotype" w:hAnsi="Palatino Linotype" w:cs="Palatino Linotype"/>
        </w:rPr>
      </w:pPr>
    </w:p>
    <w:sectPr w:rsidR="0049429D" w:rsidRPr="004E2313">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5DF0" w14:textId="77777777" w:rsidR="00F0734D" w:rsidRDefault="00F0734D">
      <w:r>
        <w:separator/>
      </w:r>
    </w:p>
  </w:endnote>
  <w:endnote w:type="continuationSeparator" w:id="0">
    <w:p w14:paraId="55D451C4" w14:textId="77777777" w:rsidR="00F0734D" w:rsidRDefault="00F0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CAD" w14:textId="77777777" w:rsidR="006B0C12" w:rsidRDefault="006B0C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5F9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5F96">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A54CA60" w14:textId="77777777" w:rsidR="006B0C12" w:rsidRDefault="006B0C1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CB52" w14:textId="77777777" w:rsidR="006B0C12" w:rsidRDefault="006B0C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5F9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5F96">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4483D78A" w14:textId="77777777" w:rsidR="006B0C12" w:rsidRDefault="006B0C1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D34B" w14:textId="77777777" w:rsidR="00F0734D" w:rsidRDefault="00F0734D">
      <w:r>
        <w:separator/>
      </w:r>
    </w:p>
  </w:footnote>
  <w:footnote w:type="continuationSeparator" w:id="0">
    <w:p w14:paraId="400A7AAF" w14:textId="77777777" w:rsidR="00F0734D" w:rsidRDefault="00F0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28CF" w14:textId="77777777" w:rsidR="006B0C12" w:rsidRDefault="006B0C12">
    <w:pPr>
      <w:rPr>
        <w:rFonts w:ascii="Cambria" w:eastAsia="Cambria" w:hAnsi="Cambria" w:cs="Cambria"/>
        <w:color w:val="000000"/>
      </w:rPr>
    </w:pPr>
    <w:r>
      <w:rPr>
        <w:noProof/>
      </w:rPr>
      <w:drawing>
        <wp:anchor distT="0" distB="0" distL="0" distR="0" simplePos="0" relativeHeight="251658240" behindDoc="1" locked="0" layoutInCell="1" hidden="0" allowOverlap="1" wp14:anchorId="246312BD" wp14:editId="07D29888">
          <wp:simplePos x="0" y="0"/>
          <wp:positionH relativeFrom="column">
            <wp:posOffset>-1080106</wp:posOffset>
          </wp:positionH>
          <wp:positionV relativeFrom="paragraph">
            <wp:posOffset>-488281</wp:posOffset>
          </wp:positionV>
          <wp:extent cx="7809865" cy="10165715"/>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7087" w:type="dxa"/>
      <w:tblInd w:w="3261" w:type="dxa"/>
      <w:tblLayout w:type="fixed"/>
      <w:tblLook w:val="0400" w:firstRow="0" w:lastRow="0" w:firstColumn="0" w:lastColumn="0" w:noHBand="0" w:noVBand="1"/>
    </w:tblPr>
    <w:tblGrid>
      <w:gridCol w:w="2489"/>
      <w:gridCol w:w="4598"/>
    </w:tblGrid>
    <w:tr w:rsidR="006B0C12" w14:paraId="6289765F" w14:textId="77777777">
      <w:tc>
        <w:tcPr>
          <w:tcW w:w="2489" w:type="dxa"/>
          <w:shd w:val="clear" w:color="auto" w:fill="auto"/>
        </w:tcPr>
        <w:p w14:paraId="408C5368" w14:textId="77777777" w:rsidR="006B0C12" w:rsidRDefault="006B0C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2689E30" w14:textId="77777777" w:rsidR="006B0C12" w:rsidRDefault="006B0C12">
          <w:pPr>
            <w:ind w:right="175"/>
            <w:jc w:val="both"/>
            <w:rPr>
              <w:rFonts w:ascii="Palatino Linotype" w:eastAsia="Palatino Linotype" w:hAnsi="Palatino Linotype" w:cs="Palatino Linotype"/>
              <w:b/>
              <w:sz w:val="22"/>
              <w:szCs w:val="22"/>
            </w:rPr>
          </w:pPr>
          <w:r w:rsidRPr="004B3829">
            <w:rPr>
              <w:rFonts w:ascii="Palatino Linotype" w:eastAsia="Palatino Linotype" w:hAnsi="Palatino Linotype" w:cs="Palatino Linotype"/>
              <w:b/>
              <w:sz w:val="22"/>
              <w:szCs w:val="22"/>
            </w:rPr>
            <w:t>02779/INFOEM/IP/RR/2025</w:t>
          </w:r>
        </w:p>
      </w:tc>
    </w:tr>
    <w:tr w:rsidR="006B0C12" w14:paraId="352637C7" w14:textId="77777777">
      <w:trPr>
        <w:trHeight w:val="228"/>
      </w:trPr>
      <w:tc>
        <w:tcPr>
          <w:tcW w:w="2489" w:type="dxa"/>
          <w:shd w:val="clear" w:color="auto" w:fill="auto"/>
          <w:vAlign w:val="center"/>
        </w:tcPr>
        <w:p w14:paraId="4E8EF9AC" w14:textId="77777777" w:rsidR="006B0C12" w:rsidRDefault="006B0C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E0D092F" w14:textId="77777777" w:rsidR="006B0C12" w:rsidRDefault="006B0C12">
          <w:pPr>
            <w:ind w:left="-45" w:right="1586"/>
            <w:jc w:val="both"/>
            <w:rPr>
              <w:rFonts w:ascii="Palatino Linotype" w:eastAsia="Palatino Linotype" w:hAnsi="Palatino Linotype" w:cs="Palatino Linotype"/>
              <w:b/>
              <w:sz w:val="22"/>
              <w:szCs w:val="22"/>
            </w:rPr>
          </w:pPr>
          <w:r w:rsidRPr="007A0563">
            <w:rPr>
              <w:rFonts w:ascii="Palatino Linotype" w:eastAsia="Palatino Linotype" w:hAnsi="Palatino Linotype" w:cs="Palatino Linotype"/>
              <w:b/>
              <w:sz w:val="22"/>
              <w:szCs w:val="22"/>
            </w:rPr>
            <w:t>Sistema Municipal para el Desarrollo Integral de la Familia de Cocotitlán</w:t>
          </w:r>
        </w:p>
      </w:tc>
    </w:tr>
    <w:tr w:rsidR="006B0C12" w14:paraId="16AED2AF" w14:textId="77777777">
      <w:tc>
        <w:tcPr>
          <w:tcW w:w="2489" w:type="dxa"/>
          <w:shd w:val="clear" w:color="auto" w:fill="auto"/>
          <w:vAlign w:val="center"/>
        </w:tcPr>
        <w:p w14:paraId="16368FC2" w14:textId="77777777" w:rsidR="006B0C12" w:rsidRDefault="006B0C1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635BD5F" w14:textId="77777777" w:rsidR="006B0C12" w:rsidRDefault="006B0C1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D55000" w14:textId="77777777" w:rsidR="006B0C12" w:rsidRDefault="006B0C1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7FE3" w14:textId="77777777" w:rsidR="006B0C12" w:rsidRDefault="006B0C1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53251E7" wp14:editId="667CE31B">
          <wp:simplePos x="0" y="0"/>
          <wp:positionH relativeFrom="column">
            <wp:posOffset>-1079485</wp:posOffset>
          </wp:positionH>
          <wp:positionV relativeFrom="paragraph">
            <wp:posOffset>-328913</wp:posOffset>
          </wp:positionV>
          <wp:extent cx="7809865" cy="10165715"/>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6945" w:type="dxa"/>
      <w:tblInd w:w="3261" w:type="dxa"/>
      <w:tblLayout w:type="fixed"/>
      <w:tblLook w:val="0400" w:firstRow="0" w:lastRow="0" w:firstColumn="0" w:lastColumn="0" w:noHBand="0" w:noVBand="1"/>
    </w:tblPr>
    <w:tblGrid>
      <w:gridCol w:w="2551"/>
      <w:gridCol w:w="4394"/>
    </w:tblGrid>
    <w:tr w:rsidR="006B0C12" w14:paraId="6CF14646" w14:textId="77777777">
      <w:tc>
        <w:tcPr>
          <w:tcW w:w="2551" w:type="dxa"/>
          <w:shd w:val="clear" w:color="auto" w:fill="auto"/>
          <w:vAlign w:val="center"/>
        </w:tcPr>
        <w:p w14:paraId="601EEBF3" w14:textId="77777777" w:rsidR="006B0C12" w:rsidRDefault="006B0C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D4EA3DE" w14:textId="77777777" w:rsidR="006B0C12" w:rsidRDefault="006B0C12">
          <w:pPr>
            <w:tabs>
              <w:tab w:val="left" w:pos="3153"/>
            </w:tabs>
            <w:ind w:left="-45"/>
            <w:jc w:val="both"/>
            <w:rPr>
              <w:rFonts w:ascii="Palatino Linotype" w:eastAsia="Palatino Linotype" w:hAnsi="Palatino Linotype" w:cs="Palatino Linotype"/>
              <w:b/>
              <w:sz w:val="22"/>
              <w:szCs w:val="22"/>
            </w:rPr>
          </w:pPr>
          <w:r w:rsidRPr="004B3829">
            <w:rPr>
              <w:rFonts w:ascii="Palatino Linotype" w:eastAsia="Palatino Linotype" w:hAnsi="Palatino Linotype" w:cs="Palatino Linotype"/>
              <w:b/>
              <w:sz w:val="22"/>
              <w:szCs w:val="22"/>
            </w:rPr>
            <w:t>02779/INFOEM/IP/RR/2025</w:t>
          </w:r>
        </w:p>
      </w:tc>
    </w:tr>
    <w:tr w:rsidR="006B0C12" w14:paraId="3633D5D4" w14:textId="77777777">
      <w:trPr>
        <w:trHeight w:val="265"/>
      </w:trPr>
      <w:tc>
        <w:tcPr>
          <w:tcW w:w="2551" w:type="dxa"/>
          <w:shd w:val="clear" w:color="auto" w:fill="auto"/>
          <w:vAlign w:val="center"/>
        </w:tcPr>
        <w:p w14:paraId="7F21E855" w14:textId="77777777" w:rsidR="006B0C12" w:rsidRDefault="006B0C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52DAFD4A" w14:textId="77777777" w:rsidR="006B0C12" w:rsidRDefault="006B0C12">
          <w:pPr>
            <w:ind w:left="-45"/>
            <w:jc w:val="both"/>
            <w:rPr>
              <w:rFonts w:ascii="Palatino Linotype" w:eastAsia="Palatino Linotype" w:hAnsi="Palatino Linotype" w:cs="Palatino Linotype"/>
              <w:b/>
              <w:sz w:val="22"/>
              <w:szCs w:val="22"/>
            </w:rPr>
          </w:pPr>
        </w:p>
      </w:tc>
    </w:tr>
    <w:tr w:rsidR="006B0C12" w14:paraId="5B43B9BE" w14:textId="77777777">
      <w:trPr>
        <w:trHeight w:val="228"/>
      </w:trPr>
      <w:tc>
        <w:tcPr>
          <w:tcW w:w="2551" w:type="dxa"/>
          <w:shd w:val="clear" w:color="auto" w:fill="auto"/>
          <w:vAlign w:val="center"/>
        </w:tcPr>
        <w:p w14:paraId="7D9EE69A" w14:textId="77777777" w:rsidR="006B0C12" w:rsidRDefault="006B0C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40191D0" w14:textId="77777777" w:rsidR="006B0C12" w:rsidRDefault="006B0C12">
          <w:pPr>
            <w:ind w:left="-45" w:right="1444"/>
            <w:jc w:val="both"/>
            <w:rPr>
              <w:rFonts w:ascii="Palatino Linotype" w:eastAsia="Palatino Linotype" w:hAnsi="Palatino Linotype" w:cs="Palatino Linotype"/>
              <w:b/>
              <w:sz w:val="22"/>
              <w:szCs w:val="22"/>
            </w:rPr>
          </w:pPr>
          <w:r w:rsidRPr="004B3829">
            <w:rPr>
              <w:rFonts w:ascii="Palatino Linotype" w:eastAsia="Palatino Linotype" w:hAnsi="Palatino Linotype" w:cs="Palatino Linotype"/>
              <w:b/>
              <w:sz w:val="22"/>
              <w:szCs w:val="22"/>
            </w:rPr>
            <w:t>Sistema Municipal para el Desarrollo Integral de la Familia de Cocotitlán</w:t>
          </w:r>
        </w:p>
      </w:tc>
    </w:tr>
    <w:tr w:rsidR="006B0C12" w14:paraId="23FBE37C" w14:textId="77777777">
      <w:tc>
        <w:tcPr>
          <w:tcW w:w="2551" w:type="dxa"/>
          <w:shd w:val="clear" w:color="auto" w:fill="auto"/>
          <w:vAlign w:val="center"/>
        </w:tcPr>
        <w:p w14:paraId="50399E6A" w14:textId="77777777" w:rsidR="006B0C12" w:rsidRDefault="006B0C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D7F3408" w14:textId="77777777" w:rsidR="006B0C12" w:rsidRDefault="006B0C1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52D7F4" w14:textId="77777777" w:rsidR="006B0C12" w:rsidRDefault="006B0C12">
    <w:pPr>
      <w:pBdr>
        <w:top w:val="nil"/>
        <w:left w:val="nil"/>
        <w:bottom w:val="nil"/>
        <w:right w:val="nil"/>
        <w:between w:val="nil"/>
      </w:pBdr>
      <w:tabs>
        <w:tab w:val="center" w:pos="4252"/>
        <w:tab w:val="right" w:pos="8504"/>
      </w:tabs>
      <w:rPr>
        <w:rFonts w:ascii="Cambria" w:eastAsia="Cambria" w:hAnsi="Cambria" w:cs="Cambria"/>
        <w:color w:val="000000"/>
      </w:rPr>
    </w:pPr>
  </w:p>
  <w:p w14:paraId="32335F31" w14:textId="77777777" w:rsidR="006B0C12" w:rsidRDefault="006B0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C47"/>
    <w:multiLevelType w:val="multilevel"/>
    <w:tmpl w:val="912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15B8D"/>
    <w:multiLevelType w:val="multilevel"/>
    <w:tmpl w:val="E4AE9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B463CC"/>
    <w:multiLevelType w:val="multilevel"/>
    <w:tmpl w:val="CBA03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D7373D"/>
    <w:multiLevelType w:val="multilevel"/>
    <w:tmpl w:val="BDBED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5E5ACE"/>
    <w:multiLevelType w:val="hybridMultilevel"/>
    <w:tmpl w:val="A0266B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C06699"/>
    <w:multiLevelType w:val="multilevel"/>
    <w:tmpl w:val="83E2F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434114"/>
    <w:multiLevelType w:val="hybridMultilevel"/>
    <w:tmpl w:val="74F2C596"/>
    <w:lvl w:ilvl="0" w:tplc="F320BB7E">
      <w:start w:val="2"/>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5A717397"/>
    <w:multiLevelType w:val="multilevel"/>
    <w:tmpl w:val="4B92B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E94B80"/>
    <w:multiLevelType w:val="hybridMultilevel"/>
    <w:tmpl w:val="664C08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7CB803C9"/>
    <w:multiLevelType w:val="multilevel"/>
    <w:tmpl w:val="EF82D6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9"/>
  </w:num>
  <w:num w:numId="3">
    <w:abstractNumId w:val="7"/>
  </w:num>
  <w:num w:numId="4">
    <w:abstractNumId w:val="2"/>
  </w:num>
  <w:num w:numId="5">
    <w:abstractNumId w:val="0"/>
  </w:num>
  <w:num w:numId="6">
    <w:abstractNumId w:val="5"/>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9D"/>
    <w:rsid w:val="00070B88"/>
    <w:rsid w:val="0024119F"/>
    <w:rsid w:val="002D5F96"/>
    <w:rsid w:val="00311CBA"/>
    <w:rsid w:val="0049429D"/>
    <w:rsid w:val="004B3829"/>
    <w:rsid w:val="004E2313"/>
    <w:rsid w:val="0052319C"/>
    <w:rsid w:val="005529CF"/>
    <w:rsid w:val="00574BB0"/>
    <w:rsid w:val="005D5B59"/>
    <w:rsid w:val="00682874"/>
    <w:rsid w:val="006B0C12"/>
    <w:rsid w:val="007566F0"/>
    <w:rsid w:val="007A0563"/>
    <w:rsid w:val="007D24EF"/>
    <w:rsid w:val="007E0AC7"/>
    <w:rsid w:val="00893C16"/>
    <w:rsid w:val="00922B03"/>
    <w:rsid w:val="00983563"/>
    <w:rsid w:val="00AB25BE"/>
    <w:rsid w:val="00AF3CCE"/>
    <w:rsid w:val="00B66D40"/>
    <w:rsid w:val="00C1791F"/>
    <w:rsid w:val="00C837BD"/>
    <w:rsid w:val="00CB55EA"/>
    <w:rsid w:val="00EA281C"/>
    <w:rsid w:val="00EE3963"/>
    <w:rsid w:val="00F0734D"/>
    <w:rsid w:val="00FB0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4999"/>
  <w15:docId w15:val="{6B846F71-150C-4097-A89B-CB12D685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2115">
      <w:bodyDiv w:val="1"/>
      <w:marLeft w:val="0"/>
      <w:marRight w:val="0"/>
      <w:marTop w:val="0"/>
      <w:marBottom w:val="0"/>
      <w:divBdr>
        <w:top w:val="none" w:sz="0" w:space="0" w:color="auto"/>
        <w:left w:val="none" w:sz="0" w:space="0" w:color="auto"/>
        <w:bottom w:val="none" w:sz="0" w:space="0" w:color="auto"/>
        <w:right w:val="none" w:sz="0" w:space="0" w:color="auto"/>
      </w:divBdr>
    </w:div>
    <w:div w:id="194360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MY0VH4D4FGqry9+9LiVwrMuOg==">CgMxLjAyCGguZ2pkZ3hzMgloLjNkeTZ2a20yCWguMzBqMHpsbDIJaC4yczhleW8xMghoLnR5amN3dDIJaC4zem55c2g3MgloLjJldDkycDAyDmguNTA2MGxhaTRycjg3Mg5oLmI4emI2aW54YTU0aTIOaC5odXhmZDc0enkwbjQyCWguM3JkY3JqbjIJaC4xdDNoNXNmOAByITFQdEJiam0ycS1veUJtaGkxaFEtSnBoZHNOLUItenVnNQ==</go:docsCustomData>
</go:gDocsCustomXmlDataStorage>
</file>

<file path=customXml/itemProps1.xml><?xml version="1.0" encoding="utf-8"?>
<ds:datastoreItem xmlns:ds="http://schemas.openxmlformats.org/officeDocument/2006/customXml" ds:itemID="{294D8C16-52B6-4C60-A21B-CA424619F4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10717</Words>
  <Characters>58944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2025-05-16T19:55:00Z</cp:lastPrinted>
  <dcterms:created xsi:type="dcterms:W3CDTF">2025-06-03T18:49:00Z</dcterms:created>
  <dcterms:modified xsi:type="dcterms:W3CDTF">2025-06-03T18:49:00Z</dcterms:modified>
</cp:coreProperties>
</file>