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BBA" w:rsidRPr="00B51571" w:rsidRDefault="009D32C8">
      <w:pPr>
        <w:spacing w:line="360" w:lineRule="auto"/>
        <w:ind w:right="-28"/>
        <w:jc w:val="both"/>
        <w:rPr>
          <w:rFonts w:ascii="Palatino Linotype" w:eastAsia="Palatino Linotype" w:hAnsi="Palatino Linotype" w:cs="Palatino Linotype"/>
        </w:rPr>
      </w:pPr>
      <w:bookmarkStart w:id="0" w:name="_heading=h.1fob9te" w:colFirst="0" w:colLast="0"/>
      <w:bookmarkEnd w:id="0"/>
      <w:r w:rsidRPr="00B5157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veintiséis (26) de febrero de dos mil veinticinco. </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spacing w:line="360" w:lineRule="auto"/>
        <w:ind w:right="-28"/>
        <w:jc w:val="both"/>
        <w:rPr>
          <w:rFonts w:ascii="Palatino Linotype" w:eastAsia="Palatino Linotype" w:hAnsi="Palatino Linotype" w:cs="Palatino Linotype"/>
          <w:b/>
        </w:rPr>
      </w:pPr>
      <w:r w:rsidRPr="00B51571">
        <w:rPr>
          <w:rFonts w:ascii="Palatino Linotype" w:eastAsia="Palatino Linotype" w:hAnsi="Palatino Linotype" w:cs="Palatino Linotype"/>
          <w:b/>
        </w:rPr>
        <w:t>VISTO</w:t>
      </w:r>
      <w:r w:rsidRPr="00B51571">
        <w:rPr>
          <w:rFonts w:ascii="Palatino Linotype" w:eastAsia="Palatino Linotype" w:hAnsi="Palatino Linotype" w:cs="Palatino Linotype"/>
        </w:rPr>
        <w:t xml:space="preserve"> el expediente electrónico formado con motivo del Recurso de Revisión </w:t>
      </w:r>
      <w:r w:rsidRPr="00B51571">
        <w:rPr>
          <w:rFonts w:ascii="Palatino Linotype" w:eastAsia="Palatino Linotype" w:hAnsi="Palatino Linotype" w:cs="Palatino Linotype"/>
          <w:b/>
        </w:rPr>
        <w:t xml:space="preserve">04537/INFOEM/IP/RR/2024, </w:t>
      </w:r>
      <w:r w:rsidRPr="00B51571">
        <w:rPr>
          <w:rFonts w:ascii="Palatino Linotype" w:eastAsia="Palatino Linotype" w:hAnsi="Palatino Linotype" w:cs="Palatino Linotype"/>
        </w:rPr>
        <w:t xml:space="preserve">promovido por </w:t>
      </w:r>
      <w:r w:rsidRPr="00B51571">
        <w:rPr>
          <w:rFonts w:ascii="Palatino Linotype" w:eastAsia="Palatino Linotype" w:hAnsi="Palatino Linotype" w:cs="Palatino Linotype"/>
          <w:b/>
        </w:rPr>
        <w:t xml:space="preserve">un usuario que no registró nombre alguno, </w:t>
      </w:r>
      <w:r w:rsidRPr="00B51571">
        <w:rPr>
          <w:rFonts w:ascii="Palatino Linotype" w:eastAsia="Palatino Linotype" w:hAnsi="Palatino Linotype" w:cs="Palatino Linotype"/>
        </w:rPr>
        <w:t xml:space="preserve">a quien en lo sucesivo se le denominará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en contra de la respuesta del </w:t>
      </w:r>
      <w:r w:rsidRPr="00B51571">
        <w:rPr>
          <w:rFonts w:ascii="Palatino Linotype" w:eastAsia="Palatino Linotype" w:hAnsi="Palatino Linotype" w:cs="Palatino Linotype"/>
          <w:b/>
          <w:color w:val="000000"/>
        </w:rPr>
        <w:t>Ayuntamiento de Tlalnepantla de Baz</w:t>
      </w:r>
      <w:r w:rsidRPr="00B51571">
        <w:rPr>
          <w:rFonts w:ascii="Palatino Linotype" w:eastAsia="Palatino Linotype" w:hAnsi="Palatino Linotype" w:cs="Palatino Linotype"/>
          <w:b/>
        </w:rPr>
        <w:t>,</w:t>
      </w:r>
      <w:r w:rsidRPr="00B51571">
        <w:rPr>
          <w:rFonts w:ascii="Palatino Linotype" w:eastAsia="Palatino Linotype" w:hAnsi="Palatino Linotype" w:cs="Palatino Linotype"/>
        </w:rPr>
        <w:t xml:space="preserve"> en adelante el</w:t>
      </w:r>
      <w:r w:rsidRPr="00B51571">
        <w:rPr>
          <w:rFonts w:ascii="Palatino Linotype" w:eastAsia="Palatino Linotype" w:hAnsi="Palatino Linotype" w:cs="Palatino Linotype"/>
          <w:b/>
        </w:rPr>
        <w:t xml:space="preserve"> SUJETO OBLIGADO</w:t>
      </w:r>
      <w:r w:rsidRPr="00B51571">
        <w:rPr>
          <w:rFonts w:ascii="Palatino Linotype" w:eastAsia="Palatino Linotype" w:hAnsi="Palatino Linotype" w:cs="Palatino Linotype"/>
        </w:rPr>
        <w:t xml:space="preserve">, por lo que se procede a dictar la presente resolución, con base en los siguientes: </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keepNext/>
        <w:keepLines/>
        <w:spacing w:line="360" w:lineRule="auto"/>
        <w:ind w:right="-28"/>
        <w:jc w:val="center"/>
        <w:rPr>
          <w:rFonts w:ascii="Palatino Linotype" w:eastAsia="Palatino Linotype" w:hAnsi="Palatino Linotype" w:cs="Palatino Linotype"/>
          <w:b/>
        </w:rPr>
      </w:pPr>
      <w:bookmarkStart w:id="1" w:name="_heading=h.gjdgxs" w:colFirst="0" w:colLast="0"/>
      <w:bookmarkEnd w:id="1"/>
      <w:r w:rsidRPr="00B51571">
        <w:rPr>
          <w:rFonts w:ascii="Palatino Linotype" w:eastAsia="Palatino Linotype" w:hAnsi="Palatino Linotype" w:cs="Palatino Linotype"/>
          <w:b/>
        </w:rPr>
        <w:t>A N T E C E D E N T E S</w:t>
      </w:r>
    </w:p>
    <w:p w:rsidR="00B91BBA" w:rsidRPr="00B51571" w:rsidRDefault="00B91BBA">
      <w:pPr>
        <w:spacing w:line="360" w:lineRule="auto"/>
        <w:ind w:right="-28"/>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El veintiuno de junio de dos mil veinticuatro, el</w:t>
      </w:r>
      <w:r w:rsidRPr="00B51571">
        <w:rPr>
          <w:rFonts w:ascii="Palatino Linotype" w:eastAsia="Palatino Linotype" w:hAnsi="Palatino Linotype" w:cs="Palatino Linotype"/>
          <w:b/>
        </w:rPr>
        <w:t xml:space="preserve"> RECURRENTE </w:t>
      </w:r>
      <w:r w:rsidRPr="00B51571">
        <w:rPr>
          <w:rFonts w:ascii="Palatino Linotype" w:eastAsia="Palatino Linotype" w:hAnsi="Palatino Linotype" w:cs="Palatino Linotype"/>
        </w:rPr>
        <w:t xml:space="preserve">presentó </w:t>
      </w:r>
      <w:r w:rsidRPr="00B51571">
        <w:rPr>
          <w:rFonts w:ascii="Palatino Linotype" w:eastAsia="Palatino Linotype" w:hAnsi="Palatino Linotype" w:cs="Palatino Linotype"/>
          <w:color w:val="000000"/>
        </w:rPr>
        <w:t xml:space="preserve">mediante el Sistema de Acceso a la Información Mexiquense (SAIMEX), solicitud de información registrada con el número de </w:t>
      </w:r>
      <w:r w:rsidRPr="00B51571">
        <w:rPr>
          <w:rFonts w:ascii="Palatino Linotype" w:eastAsia="Palatino Linotype" w:hAnsi="Palatino Linotype" w:cs="Palatino Linotype"/>
        </w:rPr>
        <w:t>expediente</w:t>
      </w:r>
      <w:r w:rsidRPr="00B51571">
        <w:rPr>
          <w:rFonts w:ascii="Verdana" w:eastAsia="Verdana" w:hAnsi="Verdana" w:cs="Verdana"/>
          <w:b/>
          <w:color w:val="FF0000"/>
        </w:rPr>
        <w:t> </w:t>
      </w:r>
      <w:r w:rsidRPr="00B51571">
        <w:rPr>
          <w:color w:val="000000"/>
        </w:rPr>
        <w:t> </w:t>
      </w:r>
      <w:r w:rsidRPr="00B51571">
        <w:rPr>
          <w:rFonts w:ascii="Palatino Linotype" w:eastAsia="Palatino Linotype" w:hAnsi="Palatino Linotype" w:cs="Palatino Linotype"/>
          <w:b/>
        </w:rPr>
        <w:t xml:space="preserve"> 00692/TLALNEPA/IP/2024</w:t>
      </w:r>
      <w:r w:rsidRPr="00B51571">
        <w:rPr>
          <w:rFonts w:ascii="Palatino Linotype" w:eastAsia="Palatino Linotype" w:hAnsi="Palatino Linotype" w:cs="Palatino Linotype"/>
        </w:rPr>
        <w:t>, en la que se solicitó:</w:t>
      </w:r>
    </w:p>
    <w:p w:rsidR="00B91BBA" w:rsidRPr="00B51571" w:rsidRDefault="00B91BBA">
      <w:pPr>
        <w:ind w:right="-28"/>
        <w:jc w:val="both"/>
        <w:rPr>
          <w:rFonts w:ascii="Palatino Linotype" w:eastAsia="Palatino Linotype" w:hAnsi="Palatino Linotype" w:cs="Palatino Linotype"/>
          <w:i/>
        </w:rPr>
      </w:pPr>
    </w:p>
    <w:p w:rsidR="00B91BBA" w:rsidRPr="00B51571" w:rsidRDefault="009D32C8">
      <w:pPr>
        <w:pBdr>
          <w:top w:val="nil"/>
          <w:left w:val="nil"/>
          <w:bottom w:val="nil"/>
          <w:right w:val="nil"/>
          <w:between w:val="nil"/>
        </w:pBdr>
        <w:ind w:left="709" w:right="680"/>
        <w:jc w:val="both"/>
        <w:rPr>
          <w:rFonts w:ascii="Palatino Linotype" w:eastAsia="Palatino Linotype" w:hAnsi="Palatino Linotype" w:cs="Palatino Linotype"/>
          <w:i/>
          <w:color w:val="000000"/>
        </w:rPr>
      </w:pPr>
      <w:r w:rsidRPr="00B51571">
        <w:rPr>
          <w:rFonts w:ascii="Palatino Linotype" w:eastAsia="Palatino Linotype" w:hAnsi="Palatino Linotype" w:cs="Palatino Linotype"/>
          <w:i/>
          <w:color w:val="000000"/>
        </w:rPr>
        <w:t xml:space="preserve">“REQUIERO EL EXPEDIENTE DE LA SOLICITUD 003/DIFTLALNE/IP/2024 TODO EL EXPEDIENTE ESCANEADO EN PDF NO DESCARGADO DEL SISTEMA, DESDE LA ADMINISIÓN DE LA SOLICITUD HASTA SU CONCLUSIÓN) (Sic) </w:t>
      </w:r>
    </w:p>
    <w:p w:rsidR="00B91BBA" w:rsidRPr="00B51571" w:rsidRDefault="00B91BBA">
      <w:pPr>
        <w:pBdr>
          <w:top w:val="nil"/>
          <w:left w:val="nil"/>
          <w:bottom w:val="nil"/>
          <w:right w:val="nil"/>
          <w:between w:val="nil"/>
        </w:pBdr>
        <w:ind w:left="567" w:right="539"/>
        <w:jc w:val="both"/>
        <w:rPr>
          <w:rFonts w:ascii="Palatino Linotype" w:eastAsia="Palatino Linotype" w:hAnsi="Palatino Linotype" w:cs="Palatino Linotype"/>
          <w:i/>
          <w:color w:val="000000"/>
        </w:rPr>
      </w:pPr>
    </w:p>
    <w:p w:rsidR="00B31789" w:rsidRPr="00B51571" w:rsidRDefault="00B31789">
      <w:pPr>
        <w:pBdr>
          <w:top w:val="nil"/>
          <w:left w:val="nil"/>
          <w:bottom w:val="nil"/>
          <w:right w:val="nil"/>
          <w:between w:val="nil"/>
        </w:pBdr>
        <w:ind w:left="567" w:right="539"/>
        <w:jc w:val="both"/>
        <w:rPr>
          <w:rFonts w:ascii="Palatino Linotype" w:eastAsia="Palatino Linotype" w:hAnsi="Palatino Linotype" w:cs="Palatino Linotype"/>
          <w:i/>
          <w:color w:val="000000"/>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Se hace constar que se señaló como modalidad de entrega de la información a través del </w:t>
      </w:r>
      <w:r w:rsidRPr="00B51571">
        <w:rPr>
          <w:rFonts w:ascii="Palatino Linotype" w:eastAsia="Palatino Linotype" w:hAnsi="Palatino Linotype" w:cs="Palatino Linotype"/>
          <w:b/>
        </w:rPr>
        <w:t>SAIMEX.</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El once de julio de dos mil veinticuatro,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b/>
          <w:i/>
        </w:rPr>
        <w:t xml:space="preserve"> </w:t>
      </w:r>
      <w:r w:rsidRPr="00B51571">
        <w:rPr>
          <w:rFonts w:ascii="Palatino Linotype" w:eastAsia="Palatino Linotype" w:hAnsi="Palatino Linotype" w:cs="Palatino Linotype"/>
        </w:rPr>
        <w:t>dio respuesta a la solicitud de información, en los siguientes términos:</w:t>
      </w:r>
    </w:p>
    <w:p w:rsidR="00B91BBA" w:rsidRPr="00B51571" w:rsidRDefault="009D32C8">
      <w:pPr>
        <w:ind w:left="709" w:right="963"/>
        <w:jc w:val="both"/>
        <w:rPr>
          <w:rFonts w:ascii="Palatino Linotype" w:eastAsia="Palatino Linotype" w:hAnsi="Palatino Linotype" w:cs="Palatino Linotype"/>
          <w:i/>
          <w:color w:val="000000"/>
          <w:sz w:val="22"/>
          <w:szCs w:val="22"/>
        </w:rPr>
      </w:pPr>
      <w:r w:rsidRPr="00B51571">
        <w:rPr>
          <w:rFonts w:ascii="Verdana" w:eastAsia="Verdana" w:hAnsi="Verdana" w:cs="Verdana"/>
          <w:color w:val="000000"/>
          <w:sz w:val="22"/>
          <w:szCs w:val="22"/>
        </w:rPr>
        <w:lastRenderedPageBreak/>
        <w:t>“</w:t>
      </w:r>
      <w:r w:rsidRPr="00B51571">
        <w:rPr>
          <w:rFonts w:ascii="Palatino Linotype" w:eastAsia="Palatino Linotype" w:hAnsi="Palatino Linotype" w:cs="Palatino Linotype"/>
          <w:i/>
          <w:color w:val="000000"/>
          <w:sz w:val="22"/>
          <w:szCs w:val="22"/>
        </w:rPr>
        <w:t>ENVIO RESPUESTA A LA SOLICITUD DE INFORMACION” (Sic)</w:t>
      </w:r>
    </w:p>
    <w:p w:rsidR="00B91BBA" w:rsidRPr="00B51571" w:rsidRDefault="00B91BBA">
      <w:pPr>
        <w:ind w:left="567" w:right="963"/>
        <w:jc w:val="both"/>
        <w:rPr>
          <w:rFonts w:ascii="Palatino Linotype" w:eastAsia="Palatino Linotype" w:hAnsi="Palatino Linotype" w:cs="Palatino Linotype"/>
          <w:i/>
          <w:sz w:val="22"/>
          <w:szCs w:val="22"/>
        </w:rPr>
      </w:pPr>
    </w:p>
    <w:p w:rsidR="00B91BBA" w:rsidRPr="00B51571" w:rsidRDefault="009D32C8">
      <w:pPr>
        <w:ind w:left="567"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 xml:space="preserve">Adjuntó el archivo electrónico denominado </w:t>
      </w:r>
      <w:hyperlink r:id="rId8">
        <w:r w:rsidRPr="00B51571">
          <w:rPr>
            <w:rFonts w:ascii="Palatino Linotype" w:eastAsia="Palatino Linotype" w:hAnsi="Palatino Linotype" w:cs="Palatino Linotype"/>
            <w:b/>
            <w:color w:val="000000"/>
            <w:sz w:val="22"/>
            <w:szCs w:val="22"/>
          </w:rPr>
          <w:t>RESP_SAIMEX 00692.pdf</w:t>
        </w:r>
      </w:hyperlink>
      <w:r w:rsidRPr="00B51571">
        <w:rPr>
          <w:rFonts w:ascii="Palatino Linotype" w:eastAsia="Palatino Linotype" w:hAnsi="Palatino Linotype" w:cs="Palatino Linotype"/>
          <w:color w:val="000000"/>
          <w:sz w:val="22"/>
          <w:szCs w:val="22"/>
        </w:rPr>
        <w:t xml:space="preserve">, consistente en el Acuerdo de Incompetencia de la solicitud de información pública número 00692/TLALNEPA/IP/2024, manifestando sustancialmente, lo siguiente: </w:t>
      </w:r>
    </w:p>
    <w:p w:rsidR="00B91BBA" w:rsidRPr="00B51571" w:rsidRDefault="00B91BBA">
      <w:pPr>
        <w:ind w:left="567" w:right="963"/>
        <w:jc w:val="both"/>
        <w:rPr>
          <w:rFonts w:ascii="Palatino Linotype" w:eastAsia="Palatino Linotype" w:hAnsi="Palatino Linotype" w:cs="Palatino Linotype"/>
          <w:color w:val="000000"/>
          <w:sz w:val="22"/>
          <w:szCs w:val="22"/>
        </w:rPr>
      </w:pPr>
    </w:p>
    <w:p w:rsidR="00B91BBA" w:rsidRPr="00B51571" w:rsidRDefault="009D32C8">
      <w:pPr>
        <w:ind w:left="567" w:right="963"/>
        <w:jc w:val="both"/>
        <w:rPr>
          <w:rFonts w:ascii="Palatino Linotype" w:eastAsia="Palatino Linotype" w:hAnsi="Palatino Linotype" w:cs="Palatino Linotype"/>
          <w:i/>
          <w:color w:val="000000"/>
          <w:sz w:val="22"/>
          <w:szCs w:val="22"/>
        </w:rPr>
      </w:pPr>
      <w:r w:rsidRPr="00B51571">
        <w:rPr>
          <w:rFonts w:ascii="Palatino Linotype" w:eastAsia="Palatino Linotype" w:hAnsi="Palatino Linotype" w:cs="Palatino Linotype"/>
          <w:i/>
          <w:color w:val="000000"/>
          <w:sz w:val="22"/>
          <w:szCs w:val="22"/>
        </w:rPr>
        <w:t>“… con fundamento en el artículo 167 de la Ley de Transparencia y Acceso a la Información Pública del Estado de México y Municipios se le sugiere realizar su consulta a la Unidad de Transparencia del Sistema Municipal para el Desarrollo Integral de la Familia (DIF) Tlalnepantla de Baz, México, quién podría ser el sujeto obligado competente para atender su solicitud de información…”</w:t>
      </w:r>
    </w:p>
    <w:p w:rsidR="00B91BBA" w:rsidRPr="00B51571" w:rsidRDefault="00B91BBA">
      <w:pPr>
        <w:ind w:right="-28"/>
        <w:jc w:val="both"/>
        <w:rPr>
          <w:rFonts w:ascii="Palatino Linotype" w:eastAsia="Palatino Linotype" w:hAnsi="Palatino Linotype" w:cs="Palatino Linotype"/>
          <w:b/>
          <w:i/>
          <w:sz w:val="22"/>
          <w:szCs w:val="22"/>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Inconforme con la respuesta emitida por el Sujeto Obligado, el quince de julio de dos mil veinticuatro,</w:t>
      </w:r>
      <w:r w:rsidRPr="00B51571">
        <w:rPr>
          <w:rFonts w:ascii="Palatino Linotype" w:eastAsia="Palatino Linotype" w:hAnsi="Palatino Linotype" w:cs="Palatino Linotype"/>
          <w:b/>
        </w:rPr>
        <w:t xml:space="preserve"> </w:t>
      </w:r>
      <w:r w:rsidRPr="00B51571">
        <w:rPr>
          <w:rFonts w:ascii="Palatino Linotype" w:eastAsia="Palatino Linotype" w:hAnsi="Palatino Linotype" w:cs="Palatino Linotype"/>
        </w:rPr>
        <w:t xml:space="preserve">el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interpuso Recurso de Revisión, </w:t>
      </w:r>
      <w:r w:rsidRPr="00B51571">
        <w:rPr>
          <w:rFonts w:ascii="Palatino Linotype" w:eastAsia="Palatino Linotype" w:hAnsi="Palatino Linotype" w:cs="Palatino Linotype"/>
          <w:color w:val="000000"/>
        </w:rPr>
        <w:t xml:space="preserve">el cual se registró con el número de expediente: </w:t>
      </w:r>
      <w:r w:rsidRPr="00B51571">
        <w:rPr>
          <w:rFonts w:ascii="Palatino Linotype" w:eastAsia="Palatino Linotype" w:hAnsi="Palatino Linotype" w:cs="Palatino Linotype"/>
          <w:b/>
          <w:color w:val="000000"/>
        </w:rPr>
        <w:t>04537/INFOEM/IP/RR/2024</w:t>
      </w:r>
      <w:r w:rsidRPr="00B51571">
        <w:rPr>
          <w:rFonts w:ascii="Palatino Linotype" w:eastAsia="Palatino Linotype" w:hAnsi="Palatino Linotype" w:cs="Palatino Linotype"/>
        </w:rPr>
        <w:t xml:space="preserve">, señalando como </w:t>
      </w:r>
    </w:p>
    <w:p w:rsidR="00B91BBA" w:rsidRPr="00B51571" w:rsidRDefault="009D32C8">
      <w:pPr>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b/>
        </w:rPr>
        <w:t xml:space="preserve">          Acto impugnado</w:t>
      </w:r>
      <w:r w:rsidRPr="00B51571">
        <w:rPr>
          <w:rFonts w:ascii="Palatino Linotype" w:eastAsia="Palatino Linotype" w:hAnsi="Palatino Linotype" w:cs="Palatino Linotype"/>
        </w:rPr>
        <w:t>:</w:t>
      </w:r>
    </w:p>
    <w:p w:rsidR="00B91BBA" w:rsidRPr="00B51571" w:rsidRDefault="009D32C8">
      <w:pPr>
        <w:ind w:left="567" w:right="963"/>
        <w:jc w:val="both"/>
        <w:rPr>
          <w:rFonts w:ascii="Palatino Linotype" w:eastAsia="Palatino Linotype" w:hAnsi="Palatino Linotype" w:cs="Palatino Linotype"/>
          <w:i/>
          <w:color w:val="000000"/>
          <w:sz w:val="22"/>
          <w:szCs w:val="22"/>
        </w:rPr>
      </w:pPr>
      <w:r w:rsidRPr="00B51571">
        <w:rPr>
          <w:rFonts w:ascii="Palatino Linotype" w:eastAsia="Palatino Linotype" w:hAnsi="Palatino Linotype" w:cs="Palatino Linotype"/>
          <w:i/>
          <w:color w:val="000000"/>
          <w:sz w:val="22"/>
          <w:szCs w:val="22"/>
        </w:rPr>
        <w:t>“LA INFORMACIÓN NO SE DA COMO SE SOLICITA, LA FALTA DE CONOCIMIENTO DE LA COORDINADOR</w:t>
      </w:r>
      <w:r w:rsidRPr="00B51571">
        <w:rPr>
          <w:rFonts w:ascii="Palatino Linotype" w:eastAsia="Palatino Linotype" w:hAnsi="Palatino Linotype" w:cs="Palatino Linotype"/>
          <w:color w:val="000000"/>
          <w:sz w:val="22"/>
          <w:szCs w:val="22"/>
        </w:rPr>
        <w:t>A</w:t>
      </w:r>
      <w:r w:rsidRPr="00B51571">
        <w:rPr>
          <w:rFonts w:ascii="Palatino Linotype" w:eastAsia="Palatino Linotype" w:hAnsi="Palatino Linotype" w:cs="Palatino Linotype"/>
          <w:i/>
          <w:color w:val="000000"/>
          <w:sz w:val="22"/>
          <w:szCs w:val="22"/>
        </w:rPr>
        <w:t xml:space="preserve">” (Sic) </w:t>
      </w:r>
    </w:p>
    <w:p w:rsidR="00B91BBA" w:rsidRPr="00B51571" w:rsidRDefault="00B91BBA">
      <w:pPr>
        <w:ind w:left="567" w:right="963"/>
        <w:jc w:val="both"/>
        <w:rPr>
          <w:rFonts w:ascii="Palatino Linotype" w:eastAsia="Palatino Linotype" w:hAnsi="Palatino Linotype" w:cs="Palatino Linotype"/>
          <w:i/>
          <w:sz w:val="22"/>
          <w:szCs w:val="22"/>
        </w:rPr>
      </w:pPr>
    </w:p>
    <w:p w:rsidR="00B91BBA" w:rsidRPr="00B51571" w:rsidRDefault="009D32C8">
      <w:pPr>
        <w:ind w:left="567" w:right="963"/>
        <w:jc w:val="both"/>
        <w:rPr>
          <w:rFonts w:ascii="Palatino Linotype" w:eastAsia="Palatino Linotype" w:hAnsi="Palatino Linotype" w:cs="Palatino Linotype"/>
          <w:b/>
          <w:sz w:val="22"/>
          <w:szCs w:val="22"/>
        </w:rPr>
      </w:pPr>
      <w:r w:rsidRPr="00B51571">
        <w:rPr>
          <w:rFonts w:ascii="Palatino Linotype" w:eastAsia="Palatino Linotype" w:hAnsi="Palatino Linotype" w:cs="Palatino Linotype"/>
          <w:b/>
          <w:sz w:val="22"/>
          <w:szCs w:val="22"/>
        </w:rPr>
        <w:t>Razones o motivos de la inconformidad:</w:t>
      </w:r>
    </w:p>
    <w:p w:rsidR="00B91BBA" w:rsidRPr="00B51571" w:rsidRDefault="00B91BBA">
      <w:pPr>
        <w:ind w:left="709" w:right="963"/>
        <w:jc w:val="both"/>
        <w:rPr>
          <w:rFonts w:ascii="Palatino Linotype" w:eastAsia="Palatino Linotype" w:hAnsi="Palatino Linotype" w:cs="Palatino Linotype"/>
          <w:b/>
          <w:i/>
          <w:sz w:val="22"/>
          <w:szCs w:val="22"/>
        </w:rPr>
      </w:pPr>
    </w:p>
    <w:p w:rsidR="00B91BBA" w:rsidRPr="00B51571" w:rsidRDefault="009D32C8">
      <w:pPr>
        <w:ind w:left="709"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color w:val="000000"/>
          <w:sz w:val="22"/>
          <w:szCs w:val="22"/>
        </w:rPr>
        <w:t>“LA INFORMACIÓN NO SE DA COMO SE SOLICITA, LA FALTA DE CONOCIMIENTO DE LA COORDINADORA</w:t>
      </w:r>
      <w:proofErr w:type="gramStart"/>
      <w:r w:rsidRPr="00B51571">
        <w:rPr>
          <w:rFonts w:ascii="Palatino Linotype" w:eastAsia="Palatino Linotype" w:hAnsi="Palatino Linotype" w:cs="Palatino Linotype"/>
          <w:i/>
          <w:color w:val="000000"/>
          <w:sz w:val="22"/>
          <w:szCs w:val="22"/>
        </w:rPr>
        <w:t>”(</w:t>
      </w:r>
      <w:proofErr w:type="gramEnd"/>
      <w:r w:rsidRPr="00B51571">
        <w:rPr>
          <w:rFonts w:ascii="Palatino Linotype" w:eastAsia="Palatino Linotype" w:hAnsi="Palatino Linotype" w:cs="Palatino Linotype"/>
          <w:i/>
          <w:color w:val="000000"/>
          <w:sz w:val="22"/>
          <w:szCs w:val="22"/>
        </w:rPr>
        <w:t>Sic)</w:t>
      </w:r>
    </w:p>
    <w:p w:rsidR="00B91BBA" w:rsidRPr="00B51571" w:rsidRDefault="00B91BBA">
      <w:pPr>
        <w:ind w:right="963"/>
        <w:jc w:val="both"/>
        <w:rPr>
          <w:rFonts w:ascii="Palatino Linotype" w:eastAsia="Palatino Linotype" w:hAnsi="Palatino Linotype" w:cs="Palatino Linotype"/>
        </w:rPr>
      </w:pPr>
    </w:p>
    <w:p w:rsidR="00B91BBA" w:rsidRPr="00B51571" w:rsidRDefault="00B91BBA">
      <w:pPr>
        <w:ind w:right="539"/>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rPr>
        <w:t xml:space="preserve">Posteriormente, la Comisionada Ponente con fundamento en lo dispuesto por el artículo 185, fracción II, de la Ley de la materia, a través del acuerdo de admisión de fecha dieciséis de julio de dos mil veinticuatro, puso a disposición de las partes el expediente electrónico vía </w:t>
      </w:r>
      <w:r w:rsidRPr="00B51571">
        <w:rPr>
          <w:rFonts w:ascii="Palatino Linotype" w:eastAsia="Palatino Linotype" w:hAnsi="Palatino Linotype" w:cs="Palatino Linotype"/>
          <w:b/>
        </w:rPr>
        <w:t xml:space="preserve">SAIMEX </w:t>
      </w:r>
      <w:r w:rsidRPr="00B51571">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presentará el informe justificado procedente. </w:t>
      </w:r>
    </w:p>
    <w:p w:rsidR="00B91BBA" w:rsidRPr="00B51571" w:rsidRDefault="00B91BBA">
      <w:pPr>
        <w:ind w:right="-28"/>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b/>
        </w:rPr>
      </w:pPr>
      <w:r w:rsidRPr="00B51571">
        <w:rPr>
          <w:rFonts w:ascii="Palatino Linotype" w:eastAsia="Palatino Linotype" w:hAnsi="Palatino Linotype" w:cs="Palatino Linotype"/>
        </w:rPr>
        <w:lastRenderedPageBreak/>
        <w:t xml:space="preserve">El siete de agosto de dos mil veinticuatro,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emitió el informe justificado correspondiente, a través del archivo electrónico denominado </w:t>
      </w:r>
      <w:r w:rsidRPr="00B51571">
        <w:rPr>
          <w:rFonts w:ascii="Palatino Linotype" w:eastAsia="Palatino Linotype" w:hAnsi="Palatino Linotype" w:cs="Palatino Linotype"/>
          <w:b/>
        </w:rPr>
        <w:t xml:space="preserve">“MANIFESTACIONE S.zip”, </w:t>
      </w:r>
      <w:r w:rsidRPr="00B51571">
        <w:rPr>
          <w:rFonts w:ascii="Palatino Linotype" w:eastAsia="Palatino Linotype" w:hAnsi="Palatino Linotype" w:cs="Palatino Linotype"/>
        </w:rPr>
        <w:t>que consta de dos archivos, mismos que se describen a continuación:</w:t>
      </w:r>
    </w:p>
    <w:p w:rsidR="00B91BBA" w:rsidRPr="00B51571" w:rsidRDefault="009D32C8">
      <w:pPr>
        <w:numPr>
          <w:ilvl w:val="0"/>
          <w:numId w:val="3"/>
        </w:numPr>
        <w:pBdr>
          <w:top w:val="nil"/>
          <w:left w:val="nil"/>
          <w:bottom w:val="nil"/>
          <w:right w:val="nil"/>
          <w:between w:val="nil"/>
        </w:pBdr>
        <w:spacing w:line="360" w:lineRule="auto"/>
        <w:ind w:left="993" w:right="963"/>
        <w:jc w:val="both"/>
        <w:rPr>
          <w:rFonts w:ascii="Palatino Linotype" w:eastAsia="Palatino Linotype" w:hAnsi="Palatino Linotype" w:cs="Palatino Linotype"/>
          <w:i/>
          <w:color w:val="000000"/>
        </w:rPr>
      </w:pPr>
      <w:r w:rsidRPr="00B51571">
        <w:rPr>
          <w:rFonts w:ascii="Palatino Linotype" w:eastAsia="Palatino Linotype" w:hAnsi="Palatino Linotype" w:cs="Palatino Linotype"/>
          <w:b/>
          <w:color w:val="000000"/>
        </w:rPr>
        <w:t>0</w:t>
      </w:r>
      <w:r w:rsidRPr="00B51571">
        <w:rPr>
          <w:rFonts w:ascii="Palatino Linotype" w:eastAsia="Palatino Linotype" w:hAnsi="Palatino Linotype" w:cs="Palatino Linotype"/>
          <w:b/>
          <w:color w:val="000000"/>
          <w:sz w:val="22"/>
          <w:szCs w:val="22"/>
        </w:rPr>
        <w:t xml:space="preserve">3 ACUERDO 29 ORD UTAIM INCOMPETENCIA; </w:t>
      </w:r>
      <w:r w:rsidRPr="00B51571">
        <w:rPr>
          <w:rFonts w:ascii="Palatino Linotype" w:eastAsia="Palatino Linotype" w:hAnsi="Palatino Linotype" w:cs="Palatino Linotype"/>
          <w:color w:val="000000"/>
          <w:sz w:val="22"/>
          <w:szCs w:val="22"/>
        </w:rPr>
        <w:t xml:space="preserve">en donde el Comité de Transparencia del Municipio de Tlalnepantla de Baz, Estado de México, aprobó en su vigésima novena sesión ordinaria la incompetencia total del </w:t>
      </w:r>
      <w:r w:rsidRPr="00B51571">
        <w:rPr>
          <w:rFonts w:ascii="Palatino Linotype" w:eastAsia="Palatino Linotype" w:hAnsi="Palatino Linotype" w:cs="Palatino Linotype"/>
          <w:i/>
          <w:color w:val="000000"/>
          <w:sz w:val="22"/>
          <w:szCs w:val="22"/>
        </w:rPr>
        <w:t>“…EXPEDIENTE DE LA SOLICITUD 003/DIFTLALNE/IP/2024”…”(SIC)</w:t>
      </w:r>
    </w:p>
    <w:p w:rsidR="00B91BBA" w:rsidRPr="00B51571" w:rsidRDefault="00B91BBA">
      <w:pPr>
        <w:pBdr>
          <w:top w:val="nil"/>
          <w:left w:val="nil"/>
          <w:bottom w:val="nil"/>
          <w:right w:val="nil"/>
          <w:between w:val="nil"/>
        </w:pBdr>
        <w:spacing w:line="360" w:lineRule="auto"/>
        <w:ind w:left="993" w:right="963"/>
        <w:jc w:val="both"/>
        <w:rPr>
          <w:rFonts w:ascii="Palatino Linotype" w:eastAsia="Palatino Linotype" w:hAnsi="Palatino Linotype" w:cs="Palatino Linotype"/>
          <w:i/>
          <w:color w:val="000000"/>
          <w:sz w:val="22"/>
          <w:szCs w:val="22"/>
        </w:rPr>
      </w:pPr>
    </w:p>
    <w:p w:rsidR="00B91BBA" w:rsidRPr="00B51571" w:rsidRDefault="009D32C8">
      <w:pPr>
        <w:numPr>
          <w:ilvl w:val="0"/>
          <w:numId w:val="3"/>
        </w:numPr>
        <w:pBdr>
          <w:top w:val="nil"/>
          <w:left w:val="nil"/>
          <w:bottom w:val="nil"/>
          <w:right w:val="nil"/>
          <w:between w:val="nil"/>
        </w:pBdr>
        <w:spacing w:line="360" w:lineRule="auto"/>
        <w:ind w:left="993"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b/>
          <w:color w:val="000000"/>
          <w:sz w:val="22"/>
          <w:szCs w:val="22"/>
        </w:rPr>
        <w:t xml:space="preserve">OFICIO; </w:t>
      </w:r>
      <w:r w:rsidRPr="00B51571">
        <w:rPr>
          <w:rFonts w:ascii="Palatino Linotype" w:eastAsia="Palatino Linotype" w:hAnsi="Palatino Linotype" w:cs="Palatino Linotype"/>
          <w:color w:val="000000"/>
          <w:sz w:val="22"/>
          <w:szCs w:val="22"/>
        </w:rPr>
        <w:t xml:space="preserve">documento suscrito por el D.A.P. Salvador Alejandro Saldívar Vélez, Titular de la Unidad de Transparencia y Acceso a la Información Pública Municipal, de fecha siete de agosto de dos mil veinticuatro con </w:t>
      </w:r>
      <w:r w:rsidRPr="00B51571">
        <w:rPr>
          <w:rFonts w:ascii="Palatino Linotype" w:eastAsia="Palatino Linotype" w:hAnsi="Palatino Linotype" w:cs="Palatino Linotype"/>
          <w:sz w:val="22"/>
          <w:szCs w:val="22"/>
        </w:rPr>
        <w:t>número</w:t>
      </w:r>
      <w:r w:rsidRPr="00B51571">
        <w:rPr>
          <w:rFonts w:ascii="Palatino Linotype" w:eastAsia="Palatino Linotype" w:hAnsi="Palatino Linotype" w:cs="Palatino Linotype"/>
          <w:color w:val="000000"/>
          <w:sz w:val="22"/>
          <w:szCs w:val="22"/>
        </w:rPr>
        <w:t xml:space="preserve"> de oficio UTAIM/02150/2023, por medio del cual,</w:t>
      </w:r>
      <w:r w:rsidRPr="00B51571">
        <w:rPr>
          <w:rFonts w:ascii="Palatino Linotype" w:eastAsia="Palatino Linotype" w:hAnsi="Palatino Linotype" w:cs="Palatino Linotype"/>
          <w:b/>
          <w:color w:val="000000"/>
          <w:sz w:val="22"/>
          <w:szCs w:val="22"/>
        </w:rPr>
        <w:t xml:space="preserve"> ratificó en todos sus extremos la respuesta.</w:t>
      </w:r>
    </w:p>
    <w:p w:rsidR="00B91BBA" w:rsidRPr="00B51571" w:rsidRDefault="00B91BBA">
      <w:pPr>
        <w:pBdr>
          <w:top w:val="nil"/>
          <w:left w:val="nil"/>
          <w:bottom w:val="nil"/>
          <w:right w:val="nil"/>
          <w:between w:val="nil"/>
        </w:pBdr>
        <w:ind w:left="720"/>
        <w:rPr>
          <w:rFonts w:ascii="Palatino Linotype" w:eastAsia="Palatino Linotype" w:hAnsi="Palatino Linotype" w:cs="Palatino Linotype"/>
          <w:color w:val="000000"/>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Por su parte, el </w:t>
      </w:r>
      <w:r w:rsidRPr="00B51571">
        <w:rPr>
          <w:rFonts w:ascii="Palatino Linotype" w:eastAsia="Palatino Linotype" w:hAnsi="Palatino Linotype" w:cs="Palatino Linotype"/>
          <w:b/>
        </w:rPr>
        <w:t xml:space="preserve">RECURRENTE </w:t>
      </w:r>
      <w:r w:rsidRPr="00B51571">
        <w:rPr>
          <w:rFonts w:ascii="Palatino Linotype" w:eastAsia="Palatino Linotype" w:hAnsi="Palatino Linotype" w:cs="Palatino Linotype"/>
        </w:rPr>
        <w:t>no realizó manifestaciones, ni ofreció pruebas o alegatos que a su derecho conviniera.</w:t>
      </w:r>
    </w:p>
    <w:p w:rsidR="00B91BBA" w:rsidRPr="00B51571" w:rsidRDefault="00B91BBA" w:rsidP="00B31789">
      <w:pPr>
        <w:shd w:val="clear" w:color="auto" w:fill="FFFFFF" w:themeFill="background1"/>
        <w:spacing w:line="360" w:lineRule="auto"/>
        <w:ind w:right="-28"/>
        <w:jc w:val="both"/>
        <w:rPr>
          <w:rFonts w:ascii="Palatino Linotype" w:eastAsia="Palatino Linotype" w:hAnsi="Palatino Linotype" w:cs="Palatino Linotype"/>
        </w:rPr>
      </w:pPr>
    </w:p>
    <w:p w:rsidR="00B91BBA" w:rsidRPr="00B51571" w:rsidRDefault="009D32C8" w:rsidP="00B31789">
      <w:pPr>
        <w:numPr>
          <w:ilvl w:val="0"/>
          <w:numId w:val="2"/>
        </w:numPr>
        <w:pBdr>
          <w:top w:val="nil"/>
          <w:left w:val="nil"/>
          <w:bottom w:val="nil"/>
          <w:right w:val="nil"/>
          <w:between w:val="nil"/>
        </w:pBdr>
        <w:shd w:val="clear" w:color="auto" w:fill="FFFFFF" w:themeFill="background1"/>
        <w:tabs>
          <w:tab w:val="left" w:pos="426"/>
        </w:tabs>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El veinticinco de septiembre de dos mil veinticuatro, se notificó el acuerdo mediante el cual se amplió el plazo para emitir resolución por un periodo de quince días hábiles.</w:t>
      </w:r>
    </w:p>
    <w:p w:rsidR="00B91BBA" w:rsidRPr="00B51571" w:rsidRDefault="00B91BBA" w:rsidP="00B31789">
      <w:pPr>
        <w:pBdr>
          <w:top w:val="nil"/>
          <w:left w:val="nil"/>
          <w:bottom w:val="nil"/>
          <w:right w:val="nil"/>
          <w:between w:val="nil"/>
        </w:pBdr>
        <w:shd w:val="clear" w:color="auto" w:fill="FFFFFF" w:themeFill="background1"/>
        <w:tabs>
          <w:tab w:val="left" w:pos="426"/>
        </w:tabs>
        <w:spacing w:line="360" w:lineRule="auto"/>
        <w:ind w:right="-28"/>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tabs>
          <w:tab w:val="left" w:pos="426"/>
        </w:tabs>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B91BBA" w:rsidRPr="00B51571" w:rsidRDefault="00B91BBA">
      <w:pPr>
        <w:pBdr>
          <w:top w:val="nil"/>
          <w:left w:val="nil"/>
          <w:bottom w:val="nil"/>
          <w:right w:val="nil"/>
          <w:between w:val="nil"/>
        </w:pBdr>
        <w:spacing w:line="360" w:lineRule="auto"/>
        <w:ind w:right="-28"/>
        <w:rPr>
          <w:rFonts w:ascii="Palatino Linotype" w:eastAsia="Palatino Linotype" w:hAnsi="Palatino Linotype" w:cs="Palatino Linotype"/>
          <w:b/>
          <w:color w:val="000000"/>
          <w:u w:val="single"/>
        </w:rPr>
      </w:pPr>
    </w:p>
    <w:p w:rsidR="00B91BBA" w:rsidRPr="00B51571" w:rsidRDefault="009D32C8">
      <w:pPr>
        <w:numPr>
          <w:ilvl w:val="0"/>
          <w:numId w:val="2"/>
        </w:numPr>
        <w:pBdr>
          <w:top w:val="nil"/>
          <w:left w:val="nil"/>
          <w:bottom w:val="nil"/>
          <w:right w:val="nil"/>
          <w:between w:val="nil"/>
        </w:pBdr>
        <w:spacing w:line="360" w:lineRule="auto"/>
        <w:ind w:left="0" w:right="-28" w:hanging="11"/>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lastRenderedPageBreak/>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B91BBA" w:rsidRPr="00B51571" w:rsidRDefault="00B91BBA">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B91BBA" w:rsidRPr="00B51571" w:rsidRDefault="00B91BBA">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Por ello, excepcionalmente, si un asunto es resuelto con posterioridad a los plazos señalados por la norma debe analizarse la razonabilidad del tiempo necesario para su resolución, atentos a los siguientes criterios:</w:t>
      </w:r>
    </w:p>
    <w:p w:rsidR="00B91BBA" w:rsidRPr="00B51571" w:rsidRDefault="009D32C8">
      <w:pPr>
        <w:pBdr>
          <w:top w:val="nil"/>
          <w:left w:val="nil"/>
          <w:bottom w:val="nil"/>
          <w:right w:val="nil"/>
          <w:between w:val="nil"/>
        </w:pBdr>
        <w:ind w:left="567"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rsidR="00B91BBA" w:rsidRPr="00B51571" w:rsidRDefault="009D32C8">
      <w:pPr>
        <w:pBdr>
          <w:top w:val="nil"/>
          <w:left w:val="nil"/>
          <w:bottom w:val="nil"/>
          <w:right w:val="nil"/>
          <w:between w:val="nil"/>
        </w:pBdr>
        <w:ind w:left="567"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b) Actividad Procesal del interesado: Acciones u omisiones del interesado.</w:t>
      </w:r>
    </w:p>
    <w:p w:rsidR="00B91BBA" w:rsidRPr="00B51571" w:rsidRDefault="009D32C8">
      <w:pPr>
        <w:pBdr>
          <w:top w:val="nil"/>
          <w:left w:val="nil"/>
          <w:bottom w:val="nil"/>
          <w:right w:val="nil"/>
          <w:between w:val="nil"/>
        </w:pBdr>
        <w:ind w:left="567"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rsidR="00B91BBA" w:rsidRPr="00B51571" w:rsidRDefault="009D32C8">
      <w:pPr>
        <w:pBdr>
          <w:top w:val="nil"/>
          <w:left w:val="nil"/>
          <w:bottom w:val="nil"/>
          <w:right w:val="nil"/>
          <w:between w:val="nil"/>
        </w:pBdr>
        <w:ind w:left="567" w:right="963"/>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rsidR="00B91BBA" w:rsidRPr="00B51571" w:rsidRDefault="00B91BBA">
      <w:pPr>
        <w:pBdr>
          <w:top w:val="nil"/>
          <w:left w:val="nil"/>
          <w:bottom w:val="nil"/>
          <w:right w:val="nil"/>
          <w:between w:val="nil"/>
        </w:pBdr>
        <w:spacing w:line="360" w:lineRule="auto"/>
        <w:ind w:right="-28"/>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 xml:space="preserve">De modo que, cuando se trate de un asunto excepcional, por alguna o todas las características mencionadas o bien, cuando el ingreso de asuntos al órgano jurisdiccional o </w:t>
      </w:r>
      <w:r w:rsidRPr="00B51571">
        <w:rPr>
          <w:rFonts w:ascii="Palatino Linotype" w:eastAsia="Palatino Linotype" w:hAnsi="Palatino Linotype" w:cs="Palatino Linotype"/>
          <w:color w:val="000000"/>
        </w:rPr>
        <w:lastRenderedPageBreak/>
        <w:t xml:space="preserve">cuasi jurisdiccional respectivo supere notoriamente al que podría considerarse normal, debe concluirse que es una excluyente de responsabilidad en relación con la actuación del funcionario, como ha acontecido en el caso que nos ocupa.  Argumento que encuentra sustento en la jurisprudencia </w:t>
      </w:r>
      <w:r w:rsidRPr="00B51571">
        <w:rPr>
          <w:rFonts w:ascii="Palatino Linotype" w:eastAsia="Palatino Linotype" w:hAnsi="Palatino Linotype" w:cs="Palatino Linotype"/>
          <w:b/>
          <w:color w:val="000000"/>
        </w:rPr>
        <w:t>P</w:t>
      </w:r>
      <w:proofErr w:type="gramStart"/>
      <w:r w:rsidRPr="00B51571">
        <w:rPr>
          <w:rFonts w:ascii="Palatino Linotype" w:eastAsia="Palatino Linotype" w:hAnsi="Palatino Linotype" w:cs="Palatino Linotype"/>
          <w:b/>
          <w:color w:val="000000"/>
        </w:rPr>
        <w:t>./</w:t>
      </w:r>
      <w:proofErr w:type="gramEnd"/>
      <w:r w:rsidRPr="00B51571">
        <w:rPr>
          <w:rFonts w:ascii="Palatino Linotype" w:eastAsia="Palatino Linotype" w:hAnsi="Palatino Linotype" w:cs="Palatino Linotype"/>
          <w:b/>
          <w:color w:val="000000"/>
        </w:rPr>
        <w:t xml:space="preserve">J. 32/92 emitida por el Pleno de la Suprema Corte de Justicia de la Nación </w:t>
      </w:r>
      <w:r w:rsidRPr="00B51571">
        <w:rPr>
          <w:rFonts w:ascii="Palatino Linotype" w:eastAsia="Palatino Linotype" w:hAnsi="Palatino Linotype" w:cs="Palatino Linotype"/>
          <w:b/>
        </w:rPr>
        <w:t>del rubro</w:t>
      </w:r>
      <w:r w:rsidRPr="00B51571">
        <w:rPr>
          <w:rFonts w:ascii="Palatino Linotype" w:eastAsia="Palatino Linotype" w:hAnsi="Palatino Linotype" w:cs="Palatino Linotype"/>
          <w:b/>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B51571">
        <w:rPr>
          <w:rFonts w:ascii="Palatino Linotype" w:eastAsia="Palatino Linotype" w:hAnsi="Palatino Linotype" w:cs="Palatino Linotype"/>
          <w:b/>
        </w:rPr>
        <w:t>Semanario</w:t>
      </w:r>
      <w:r w:rsidRPr="00B51571">
        <w:rPr>
          <w:rFonts w:ascii="Palatino Linotype" w:eastAsia="Palatino Linotype" w:hAnsi="Palatino Linotype" w:cs="Palatino Linotype"/>
          <w:b/>
          <w:color w:val="000000"/>
        </w:rPr>
        <w:t xml:space="preserve"> Judicial de la Federación con el registro digital 205635</w:t>
      </w:r>
      <w:r w:rsidRPr="00B51571">
        <w:rPr>
          <w:rFonts w:ascii="Palatino Linotype" w:eastAsia="Palatino Linotype" w:hAnsi="Palatino Linotype" w:cs="Palatino Linotype"/>
          <w:color w:val="000000"/>
        </w:rPr>
        <w:t>.</w:t>
      </w:r>
    </w:p>
    <w:p w:rsidR="00B91BBA" w:rsidRPr="00B51571" w:rsidRDefault="00B91BBA">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91BBA" w:rsidRPr="00B51571" w:rsidRDefault="00B91BBA">
      <w:pPr>
        <w:pBdr>
          <w:top w:val="nil"/>
          <w:left w:val="nil"/>
          <w:bottom w:val="nil"/>
          <w:right w:val="nil"/>
          <w:between w:val="nil"/>
        </w:pBdr>
        <w:spacing w:line="360" w:lineRule="auto"/>
        <w:ind w:right="-28"/>
        <w:jc w:val="both"/>
        <w:rPr>
          <w:rFonts w:ascii="Palatino Linotype" w:eastAsia="Palatino Linotype" w:hAnsi="Palatino Linotype" w:cs="Palatino Linotype"/>
          <w:color w:val="000000"/>
        </w:rPr>
      </w:pPr>
    </w:p>
    <w:p w:rsidR="00B91BBA" w:rsidRPr="00B51571" w:rsidRDefault="009D32C8">
      <w:pPr>
        <w:numPr>
          <w:ilvl w:val="0"/>
          <w:numId w:val="2"/>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color w:val="000000"/>
        </w:rPr>
      </w:pPr>
      <w:r w:rsidRPr="00B51571">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91BBA" w:rsidRPr="00B51571" w:rsidRDefault="009D32C8">
      <w:pPr>
        <w:pBdr>
          <w:top w:val="nil"/>
          <w:left w:val="nil"/>
          <w:bottom w:val="nil"/>
          <w:right w:val="nil"/>
          <w:between w:val="nil"/>
        </w:pBdr>
        <w:ind w:left="567" w:right="539"/>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lastRenderedPageBreak/>
        <w:t>“PLAZO RAZONABLE PARA RESOLVER. DIMENSIÓN Y EFECTOS DE ESTE CONCEPTO CUANDO SE ADUCE EXCESIVA CARGA DE TRABAJO.” consultable en el Sem</w:t>
      </w:r>
      <w:r w:rsidRPr="00B51571">
        <w:rPr>
          <w:rFonts w:ascii="Palatino Linotype" w:eastAsia="Palatino Linotype" w:hAnsi="Palatino Linotype" w:cs="Palatino Linotype"/>
          <w:sz w:val="22"/>
          <w:szCs w:val="22"/>
        </w:rPr>
        <w:t>a</w:t>
      </w:r>
      <w:r w:rsidRPr="00B51571">
        <w:rPr>
          <w:rFonts w:ascii="Palatino Linotype" w:eastAsia="Palatino Linotype" w:hAnsi="Palatino Linotype" w:cs="Palatino Linotype"/>
          <w:color w:val="000000"/>
          <w:sz w:val="22"/>
          <w:szCs w:val="22"/>
        </w:rPr>
        <w:t>nario Judicial de la Federación y su gaceta, con el registro digital 2002351.</w:t>
      </w:r>
    </w:p>
    <w:p w:rsidR="00B91BBA" w:rsidRPr="00B51571" w:rsidRDefault="00B91BBA">
      <w:pPr>
        <w:pBdr>
          <w:top w:val="nil"/>
          <w:left w:val="nil"/>
          <w:bottom w:val="nil"/>
          <w:right w:val="nil"/>
          <w:between w:val="nil"/>
        </w:pBdr>
        <w:ind w:left="567" w:right="539"/>
        <w:jc w:val="both"/>
        <w:rPr>
          <w:rFonts w:ascii="Palatino Linotype" w:eastAsia="Palatino Linotype" w:hAnsi="Palatino Linotype" w:cs="Palatino Linotype"/>
          <w:color w:val="000000"/>
          <w:sz w:val="22"/>
          <w:szCs w:val="22"/>
        </w:rPr>
      </w:pPr>
    </w:p>
    <w:p w:rsidR="00B91BBA" w:rsidRPr="00B51571" w:rsidRDefault="009D32C8">
      <w:pPr>
        <w:pBdr>
          <w:top w:val="nil"/>
          <w:left w:val="nil"/>
          <w:bottom w:val="nil"/>
          <w:right w:val="nil"/>
          <w:between w:val="nil"/>
        </w:pBdr>
        <w:spacing w:after="240"/>
        <w:ind w:left="567" w:right="539"/>
        <w:jc w:val="both"/>
        <w:rPr>
          <w:rFonts w:ascii="Palatino Linotype" w:eastAsia="Palatino Linotype" w:hAnsi="Palatino Linotype" w:cs="Palatino Linotype"/>
          <w:color w:val="000000"/>
          <w:sz w:val="22"/>
          <w:szCs w:val="22"/>
        </w:rPr>
      </w:pPr>
      <w:r w:rsidRPr="00B51571">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w:t>
      </w:r>
      <w:r w:rsidRPr="00B51571">
        <w:rPr>
          <w:rFonts w:ascii="Palatino Linotype" w:eastAsia="Palatino Linotype" w:hAnsi="Palatino Linotype" w:cs="Palatino Linotype"/>
          <w:sz w:val="22"/>
          <w:szCs w:val="22"/>
        </w:rPr>
        <w:t>a</w:t>
      </w:r>
      <w:r w:rsidRPr="00B51571">
        <w:rPr>
          <w:rFonts w:ascii="Palatino Linotype" w:eastAsia="Palatino Linotype" w:hAnsi="Palatino Linotype" w:cs="Palatino Linotype"/>
          <w:color w:val="000000"/>
          <w:sz w:val="22"/>
          <w:szCs w:val="22"/>
        </w:rPr>
        <w:t>nario Judicial de la Federación y su gaceta, con el registro digital 2002350.”</w:t>
      </w:r>
    </w:p>
    <w:p w:rsidR="00B91BBA" w:rsidRPr="00B51571" w:rsidRDefault="00B91BBA">
      <w:pPr>
        <w:spacing w:before="240" w:after="240"/>
        <w:ind w:right="-28"/>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Por ello, este Organismo Garante comprometido con la tutela de los derechos humanos confiados, señala que este exceso de plazo legal para resolver el presente asunto resulta de carácter excepcional.</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La Comisionada Ponente decretó el cierre de instrucción mediante el acuerdo del veintiséis de febrero de dos mil veinticinco. </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keepNext/>
        <w:keepLines/>
        <w:spacing w:line="360" w:lineRule="auto"/>
        <w:ind w:right="-28"/>
        <w:jc w:val="center"/>
        <w:rPr>
          <w:rFonts w:ascii="Palatino Linotype" w:eastAsia="Palatino Linotype" w:hAnsi="Palatino Linotype" w:cs="Palatino Linotype"/>
        </w:rPr>
      </w:pPr>
      <w:r w:rsidRPr="00B51571">
        <w:rPr>
          <w:rFonts w:ascii="Palatino Linotype" w:eastAsia="Palatino Linotype" w:hAnsi="Palatino Linotype" w:cs="Palatino Linotype"/>
          <w:b/>
        </w:rPr>
        <w:t xml:space="preserve">C O N S I D E R A N D O </w:t>
      </w:r>
    </w:p>
    <w:p w:rsidR="00B91BBA" w:rsidRPr="00B51571" w:rsidRDefault="00B91BBA">
      <w:pPr>
        <w:spacing w:line="360" w:lineRule="auto"/>
        <w:ind w:right="-28"/>
        <w:rPr>
          <w:rFonts w:ascii="Palatino Linotype" w:eastAsia="Palatino Linotype" w:hAnsi="Palatino Linotype" w:cs="Palatino Linotype"/>
        </w:rPr>
      </w:pPr>
    </w:p>
    <w:p w:rsidR="00B91BBA" w:rsidRPr="00B51571" w:rsidRDefault="009D32C8">
      <w:pPr>
        <w:keepNext/>
        <w:keepLines/>
        <w:spacing w:line="360" w:lineRule="auto"/>
        <w:ind w:right="-28"/>
        <w:rPr>
          <w:rFonts w:ascii="Palatino Linotype" w:eastAsia="Palatino Linotype" w:hAnsi="Palatino Linotype" w:cs="Palatino Linotype"/>
          <w:b/>
        </w:rPr>
      </w:pPr>
      <w:bookmarkStart w:id="2" w:name="_heading=h.3znysh7" w:colFirst="0" w:colLast="0"/>
      <w:bookmarkEnd w:id="2"/>
      <w:r w:rsidRPr="00B51571">
        <w:rPr>
          <w:rFonts w:ascii="Palatino Linotype" w:eastAsia="Palatino Linotype" w:hAnsi="Palatino Linotype" w:cs="Palatino Linotype"/>
          <w:b/>
        </w:rPr>
        <w:t>PRIMERO. De la competencia.</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w:t>
      </w:r>
      <w:r w:rsidRPr="00B51571">
        <w:rPr>
          <w:rFonts w:ascii="Palatino Linotype" w:eastAsia="Palatino Linotype" w:hAnsi="Palatino Linotype" w:cs="Palatino Linotype"/>
        </w:rPr>
        <w:lastRenderedPageBreak/>
        <w:t>XXIV, y 11 del Reglamento Interior del Instituto de Transparencia, Acceso a la Información Pública y Protección de Datos Personales del Estado de México y Municipios.</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keepNext/>
        <w:keepLines/>
        <w:spacing w:line="360" w:lineRule="auto"/>
        <w:ind w:right="-28"/>
        <w:rPr>
          <w:rFonts w:ascii="Palatino Linotype" w:eastAsia="Palatino Linotype" w:hAnsi="Palatino Linotype" w:cs="Palatino Linotype"/>
          <w:b/>
        </w:rPr>
      </w:pPr>
      <w:bookmarkStart w:id="3" w:name="_heading=h.2et92p0" w:colFirst="0" w:colLast="0"/>
      <w:bookmarkEnd w:id="3"/>
      <w:r w:rsidRPr="00B51571">
        <w:rPr>
          <w:rFonts w:ascii="Palatino Linotype" w:eastAsia="Palatino Linotype" w:hAnsi="Palatino Linotype" w:cs="Palatino Linotype"/>
          <w:b/>
        </w:rPr>
        <w:t>SEGUNDO. De la oportunidad y procedencia.</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El medio de impugnación fue presentado a través del </w:t>
      </w:r>
      <w:r w:rsidRPr="00B51571">
        <w:rPr>
          <w:rFonts w:ascii="Palatino Linotype" w:eastAsia="Palatino Linotype" w:hAnsi="Palatino Linotype" w:cs="Palatino Linotype"/>
          <w:b/>
        </w:rPr>
        <w:t>SAIMEX,</w:t>
      </w:r>
      <w:r w:rsidRPr="00B51571">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entregó respuesta el once de julio de dos mil veinticuatro, de tal forma que el plazo para interponer el recurso de revisión transcurrió del doce de julio al quince de agosto de dos mil veinticuatro; lo anterior en razón de que, del veintidós de julio al dos de agosto de dos mil veinticuatro fue periodo vacacional para este Instituto de Transparencia, Acceso a la Información Pública y Protección de Datos Personales del Estado de México y Municipios; en consecuencia, presentó su inconformidad el quince de julio de dos mil veinticuatro, por lo que se encuentra dentro de los márgenes temporales previstos en el artículo 178 de la </w:t>
      </w:r>
      <w:r w:rsidRPr="00B51571">
        <w:rPr>
          <w:rFonts w:ascii="Palatino Linotype" w:eastAsia="Palatino Linotype" w:hAnsi="Palatino Linotype" w:cs="Palatino Linotype"/>
          <w:b/>
        </w:rPr>
        <w:t xml:space="preserve">Ley de Transparencia y Acceso a la Información Pública del Estado de México y Municipios </w:t>
      </w:r>
      <w:r w:rsidRPr="00B51571">
        <w:rPr>
          <w:rFonts w:ascii="Palatino Linotype" w:eastAsia="Palatino Linotype" w:hAnsi="Palatino Linotype" w:cs="Palatino Linotype"/>
        </w:rPr>
        <w:t>vigente.</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bookmarkStart w:id="4" w:name="_heading=h.3dy6vkm" w:colFirst="0" w:colLast="0"/>
      <w:bookmarkEnd w:id="4"/>
      <w:r w:rsidRPr="00B51571">
        <w:rPr>
          <w:rFonts w:ascii="Palatino Linotype" w:eastAsia="Palatino Linotype" w:hAnsi="Palatino Linotype" w:cs="Palatino Linotype"/>
        </w:rPr>
        <w:t>Por otro lado, el escrito contiene las formalidades previstas por el artículo 180 último párrafo de la Ley de la materia actual, por lo que resulta procedente que este Instituto de Transparencia, Acceso a la Información Pública y Protección de Datos Personales del Estado de México y Municipios, conozca y resuelva el presente recurso.</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spacing w:line="360" w:lineRule="auto"/>
        <w:ind w:right="-28"/>
        <w:jc w:val="both"/>
        <w:rPr>
          <w:rFonts w:ascii="Palatino Linotype" w:eastAsia="Palatino Linotype" w:hAnsi="Palatino Linotype" w:cs="Palatino Linotype"/>
          <w:b/>
        </w:rPr>
      </w:pPr>
      <w:r w:rsidRPr="00B51571">
        <w:rPr>
          <w:rFonts w:ascii="Palatino Linotype" w:eastAsia="Palatino Linotype" w:hAnsi="Palatino Linotype" w:cs="Palatino Linotype"/>
          <w:b/>
        </w:rPr>
        <w:t>TERCERO. Planteamiento de la Litis.</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El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solicitó se atendieran lo siguiente: </w:t>
      </w:r>
    </w:p>
    <w:p w:rsidR="00B91BBA" w:rsidRPr="00B51571" w:rsidRDefault="009D32C8">
      <w:pPr>
        <w:numPr>
          <w:ilvl w:val="0"/>
          <w:numId w:val="4"/>
        </w:numPr>
        <w:pBdr>
          <w:top w:val="nil"/>
          <w:left w:val="nil"/>
          <w:bottom w:val="nil"/>
          <w:right w:val="nil"/>
          <w:between w:val="nil"/>
        </w:pBdr>
        <w:ind w:right="963"/>
        <w:jc w:val="both"/>
        <w:rPr>
          <w:rFonts w:ascii="Palatino Linotype" w:eastAsia="Palatino Linotype" w:hAnsi="Palatino Linotype" w:cs="Palatino Linotype"/>
          <w:b/>
          <w:color w:val="000000"/>
          <w:sz w:val="22"/>
          <w:szCs w:val="22"/>
        </w:rPr>
      </w:pPr>
      <w:r w:rsidRPr="00B51571">
        <w:rPr>
          <w:rFonts w:ascii="Palatino Linotype" w:eastAsia="Palatino Linotype" w:hAnsi="Palatino Linotype" w:cs="Palatino Linotype"/>
          <w:b/>
          <w:color w:val="000000"/>
          <w:sz w:val="22"/>
          <w:szCs w:val="22"/>
        </w:rPr>
        <w:t>EXPEDIENTE DE LA SOLICITUD 003/DIFTLALNE/IP/2024, ESCANEADO EN PDF</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lastRenderedPageBreak/>
        <w:t xml:space="preserve">En respuesta, el </w:t>
      </w:r>
      <w:r w:rsidRPr="00B51571">
        <w:rPr>
          <w:rFonts w:ascii="Palatino Linotype" w:eastAsia="Palatino Linotype" w:hAnsi="Palatino Linotype" w:cs="Palatino Linotype"/>
          <w:b/>
        </w:rPr>
        <w:t xml:space="preserve">SUJETO OBLIGADO </w:t>
      </w:r>
      <w:r w:rsidRPr="00B51571">
        <w:rPr>
          <w:rFonts w:ascii="Palatino Linotype" w:eastAsia="Palatino Linotype" w:hAnsi="Palatino Linotype" w:cs="Palatino Linotype"/>
        </w:rPr>
        <w:t xml:space="preserve">informó su incompetencia para atender el requerimiento, asimismo, sugirió  </w:t>
      </w:r>
      <w:r w:rsidRPr="00B51571">
        <w:rPr>
          <w:rFonts w:ascii="Palatino Linotype" w:eastAsia="Palatino Linotype" w:hAnsi="Palatino Linotype" w:cs="Palatino Linotype"/>
          <w:color w:val="000000"/>
        </w:rPr>
        <w:t>realizar su consulta a la Unidad de Transparencia del Sistema Municipal para el Desarrollo Integral de la Familia (DIF) Tlalnepantla de Baz, México, quién podría ser el sujeto obligado competente para atender su solicitud de información</w:t>
      </w:r>
      <w:r w:rsidRPr="00B51571">
        <w:rPr>
          <w:rFonts w:ascii="Palatino Linotype" w:eastAsia="Palatino Linotype" w:hAnsi="Palatino Linotype" w:cs="Palatino Linotype"/>
        </w:rPr>
        <w:t xml:space="preserve">. Motivo de inconformidad del </w:t>
      </w:r>
      <w:r w:rsidRPr="00B51571">
        <w:rPr>
          <w:rFonts w:ascii="Palatino Linotype" w:eastAsia="Palatino Linotype" w:hAnsi="Palatino Linotype" w:cs="Palatino Linotype"/>
          <w:b/>
        </w:rPr>
        <w:t>RECURRENTE.</w:t>
      </w:r>
    </w:p>
    <w:p w:rsidR="00B31789" w:rsidRPr="00B51571" w:rsidRDefault="00B31789" w:rsidP="00B31789">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En dichas condiciones, la </w:t>
      </w:r>
      <w:r w:rsidRPr="00B51571">
        <w:rPr>
          <w:rFonts w:ascii="Palatino Linotype" w:eastAsia="Palatino Linotype" w:hAnsi="Palatino Linotype" w:cs="Palatino Linotype"/>
          <w:i/>
        </w:rPr>
        <w:t>Litis</w:t>
      </w:r>
      <w:r w:rsidRPr="00B51571">
        <w:rPr>
          <w:rFonts w:ascii="Palatino Linotype" w:eastAsia="Palatino Linotype" w:hAnsi="Palatino Linotype" w:cs="Palatino Linotype"/>
        </w:rPr>
        <w:t xml:space="preserve"> a resolver en el presente recurso de revisión se circunscribe a determinar, qué, sí se actualiza la causal de procedencia prevista en el artículo </w:t>
      </w:r>
      <w:r w:rsidRPr="00B51571">
        <w:rPr>
          <w:rFonts w:ascii="Palatino Linotype" w:eastAsia="Palatino Linotype" w:hAnsi="Palatino Linotype" w:cs="Palatino Linotype"/>
          <w:b/>
        </w:rPr>
        <w:t>179, fracción IV</w:t>
      </w:r>
      <w:r w:rsidRPr="00B51571">
        <w:rPr>
          <w:rFonts w:ascii="Palatino Linotype" w:eastAsia="Palatino Linotype" w:hAnsi="Palatino Linotype" w:cs="Palatino Linotype"/>
        </w:rPr>
        <w:t xml:space="preserve"> de la Ley de Transparencia y Acceso a la Información Pública del Estado de México y Municipios</w:t>
      </w:r>
      <w:r w:rsidRPr="00B51571">
        <w:rPr>
          <w:rFonts w:ascii="Palatino Linotype" w:eastAsia="Palatino Linotype" w:hAnsi="Palatino Linotype" w:cs="Palatino Linotype"/>
          <w:b/>
        </w:rPr>
        <w:t>.</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pStyle w:val="Ttulo2"/>
        <w:spacing w:before="0" w:line="360" w:lineRule="auto"/>
        <w:ind w:right="-28"/>
        <w:rPr>
          <w:rFonts w:ascii="Palatino Linotype" w:eastAsia="Palatino Linotype" w:hAnsi="Palatino Linotype" w:cs="Palatino Linotype"/>
          <w:b/>
          <w:color w:val="000000"/>
          <w:sz w:val="24"/>
          <w:szCs w:val="24"/>
        </w:rPr>
      </w:pPr>
      <w:bookmarkStart w:id="5" w:name="_heading=h.tyjcwt" w:colFirst="0" w:colLast="0"/>
      <w:bookmarkEnd w:id="5"/>
      <w:r w:rsidRPr="00B51571">
        <w:rPr>
          <w:rFonts w:ascii="Palatino Linotype" w:eastAsia="Palatino Linotype" w:hAnsi="Palatino Linotype" w:cs="Palatino Linotype"/>
          <w:b/>
          <w:color w:val="000000"/>
          <w:sz w:val="24"/>
          <w:szCs w:val="24"/>
        </w:rPr>
        <w:t>CUARTO. Estudio y resolución del asunto.</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El </w:t>
      </w:r>
      <w:r w:rsidRPr="00B51571">
        <w:rPr>
          <w:rFonts w:ascii="Palatino Linotype" w:eastAsia="Palatino Linotype" w:hAnsi="Palatino Linotype" w:cs="Palatino Linotype"/>
          <w:color w:val="000000"/>
        </w:rPr>
        <w:t xml:space="preserve">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w:t>
      </w:r>
      <w:r w:rsidRPr="00B51571">
        <w:rPr>
          <w:rFonts w:ascii="Palatino Linotype" w:eastAsia="Palatino Linotype" w:hAnsi="Palatino Linotype" w:cs="Palatino Linotype"/>
        </w:rPr>
        <w:t>Particular</w:t>
      </w:r>
      <w:r w:rsidRPr="00B51571">
        <w:rPr>
          <w:rFonts w:ascii="Palatino Linotype" w:eastAsia="Palatino Linotype" w:hAnsi="Palatino Linotype" w:cs="Palatino Linotype"/>
          <w:color w:val="000000"/>
        </w:rPr>
        <w:t xml:space="preserve"> del Estado de México.</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 xml:space="preserve">Definiendo </w:t>
      </w:r>
      <w:r w:rsidRPr="00B51571">
        <w:rPr>
          <w:rFonts w:ascii="Palatino Linotype" w:eastAsia="Palatino Linotype" w:hAnsi="Palatino Linotype" w:cs="Palatino Linotype"/>
        </w:rPr>
        <w:t xml:space="preserve">el Derecho de Acceso a la Información Pública como: </w:t>
      </w:r>
      <w:r w:rsidRPr="00B51571">
        <w:rPr>
          <w:rFonts w:ascii="Palatino Linotype" w:eastAsia="Palatino Linotype" w:hAnsi="Palatino Linotype" w:cs="Palatino Linotype"/>
          <w:i/>
          <w:color w:val="000000"/>
        </w:rPr>
        <w:t xml:space="preserve">La igualdad de </w:t>
      </w:r>
      <w:r w:rsidRPr="00B51571">
        <w:rPr>
          <w:rFonts w:ascii="Palatino Linotype" w:eastAsia="Palatino Linotype" w:hAnsi="Palatino Linotype" w:cs="Palatino Linotype"/>
        </w:rPr>
        <w:t>oportunidades</w:t>
      </w:r>
      <w:r w:rsidRPr="00B51571">
        <w:rPr>
          <w:rFonts w:ascii="Palatino Linotype" w:eastAsia="Palatino Linotype" w:hAnsi="Palatino Linotype" w:cs="Palatino Linotype"/>
          <w:i/>
          <w:color w:val="000000"/>
        </w:rPr>
        <w:t xml:space="preserve"> para recibir, buscar e impartir información</w:t>
      </w:r>
      <w:r w:rsidRPr="00B51571">
        <w:rPr>
          <w:rFonts w:ascii="Palatino Linotype" w:eastAsia="Palatino Linotype" w:hAnsi="Palatino Linotype" w:cs="Palatino Linotype"/>
          <w:i/>
          <w:color w:val="000000"/>
          <w:vertAlign w:val="superscript"/>
        </w:rPr>
        <w:footnoteReference w:id="1"/>
      </w:r>
      <w:r w:rsidRPr="00B51571">
        <w:rPr>
          <w:rFonts w:ascii="Palatino Linotype" w:eastAsia="Palatino Linotype" w:hAnsi="Palatino Linotype" w:cs="Palatino Linotype"/>
          <w:i/>
          <w:color w:val="000000"/>
        </w:rPr>
        <w:t xml:space="preserve">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51571">
        <w:rPr>
          <w:rFonts w:ascii="Palatino Linotype" w:eastAsia="Palatino Linotype" w:hAnsi="Palatino Linotype" w:cs="Palatino Linotype"/>
          <w:i/>
          <w:color w:val="000000"/>
        </w:rPr>
        <w:lastRenderedPageBreak/>
        <w:t>municipal,</w:t>
      </w:r>
      <w:r w:rsidRPr="00B51571">
        <w:rPr>
          <w:rFonts w:ascii="Palatino Linotype" w:eastAsia="Palatino Linotype" w:hAnsi="Palatino Linotype" w:cs="Palatino Linotype"/>
          <w:i/>
          <w:color w:val="000000"/>
          <w:vertAlign w:val="superscript"/>
        </w:rPr>
        <w:footnoteReference w:id="2"/>
      </w:r>
      <w:r w:rsidRPr="00B51571">
        <w:rPr>
          <w:rFonts w:ascii="Palatino Linotype" w:eastAsia="Palatino Linotype" w:hAnsi="Palatino Linotype" w:cs="Palatino Linotype"/>
          <w:color w:val="000000"/>
        </w:rPr>
        <w:t>que se constituye como una herramienta fundamental para ejercer</w:t>
      </w:r>
      <w:r w:rsidRPr="00B51571">
        <w:rPr>
          <w:rFonts w:ascii="Palatino Linotype" w:eastAsia="Palatino Linotype" w:hAnsi="Palatino Linotype" w:cs="Palatino Linotype"/>
          <w:i/>
          <w:color w:val="000000"/>
        </w:rPr>
        <w:t xml:space="preserve"> el control democrático de las gestiones estatales, de forma tal que puedan cuestionar, indagar y considerar si se está dando un adecuado cumplimiento a las funciones públicas,</w:t>
      </w:r>
      <w:r w:rsidRPr="00B51571">
        <w:rPr>
          <w:rFonts w:ascii="Palatino Linotype" w:eastAsia="Palatino Linotype" w:hAnsi="Palatino Linotype" w:cs="Palatino Linotype"/>
          <w:i/>
          <w:color w:val="000000"/>
          <w:vertAlign w:val="superscript"/>
        </w:rPr>
        <w:footnoteReference w:id="3"/>
      </w:r>
      <w:r w:rsidRPr="00B51571">
        <w:rPr>
          <w:rFonts w:ascii="Palatino Linotype" w:eastAsia="Palatino Linotype" w:hAnsi="Palatino Linotype" w:cs="Palatino Linotype"/>
          <w:color w:val="000000"/>
        </w:rPr>
        <w:t>fomentando</w:t>
      </w:r>
      <w:r w:rsidRPr="00B51571">
        <w:rPr>
          <w:rFonts w:ascii="Palatino Linotype" w:eastAsia="Palatino Linotype" w:hAnsi="Palatino Linotype" w:cs="Palatino Linotype"/>
          <w:i/>
          <w:color w:val="000000"/>
        </w:rPr>
        <w:t xml:space="preserve"> la transparencia de las actividades estatales y </w:t>
      </w:r>
      <w:r w:rsidRPr="00B51571">
        <w:rPr>
          <w:rFonts w:ascii="Palatino Linotype" w:eastAsia="Palatino Linotype" w:hAnsi="Palatino Linotype" w:cs="Palatino Linotype"/>
          <w:color w:val="000000"/>
        </w:rPr>
        <w:t>promoviendo</w:t>
      </w:r>
      <w:r w:rsidRPr="00B51571">
        <w:rPr>
          <w:rFonts w:ascii="Palatino Linotype" w:eastAsia="Palatino Linotype" w:hAnsi="Palatino Linotype" w:cs="Palatino Linotype"/>
          <w:i/>
          <w:color w:val="000000"/>
        </w:rPr>
        <w:t xml:space="preserve"> la responsabilidad de los funcionarios sobre su gestión pública,</w:t>
      </w:r>
      <w:r w:rsidRPr="00B51571">
        <w:rPr>
          <w:rFonts w:ascii="Palatino Linotype" w:eastAsia="Palatino Linotype" w:hAnsi="Palatino Linotype" w:cs="Palatino Linotype"/>
          <w:i/>
          <w:color w:val="000000"/>
          <w:vertAlign w:val="superscript"/>
        </w:rPr>
        <w:footnoteReference w:id="4"/>
      </w:r>
      <w:r w:rsidRPr="00B51571">
        <w:rPr>
          <w:rFonts w:ascii="Palatino Linotype" w:eastAsia="Palatino Linotype" w:hAnsi="Palatino Linotype" w:cs="Palatino Linotype"/>
          <w:color w:val="000000"/>
        </w:rPr>
        <w:t>que permite</w:t>
      </w:r>
      <w:r w:rsidRPr="00B51571">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 xml:space="preserve">En </w:t>
      </w:r>
      <w:r w:rsidRPr="00B51571">
        <w:rPr>
          <w:rFonts w:ascii="Palatino Linotype" w:eastAsia="Palatino Linotype" w:hAnsi="Palatino Linotype" w:cs="Palatino Linotype"/>
        </w:rPr>
        <w:t>México, además de los derechos, están reconocidas las garantías para su protección, en ese sentido el párrafo tercero de artículo primero de la Constitución Política de los Estados Unidos Mexicanos, dispone lo siguiente:</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r w:rsidRPr="00B51571">
        <w:rPr>
          <w:rFonts w:ascii="Palatino Linotype" w:eastAsia="Palatino Linotype" w:hAnsi="Palatino Linotype" w:cs="Palatino Linotype"/>
          <w:b/>
          <w:i/>
          <w:sz w:val="22"/>
          <w:szCs w:val="22"/>
        </w:rPr>
        <w:t>Artículo 1.-</w:t>
      </w:r>
      <w:r w:rsidRPr="00B51571">
        <w:rPr>
          <w:rFonts w:ascii="Palatino Linotype" w:eastAsia="Palatino Linotype" w:hAnsi="Palatino Linotype" w:cs="Palatino Linotype"/>
          <w:i/>
          <w:sz w:val="22"/>
          <w:szCs w:val="22"/>
        </w:rPr>
        <w:t xml:space="preserve"> </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Todas las</w:t>
      </w:r>
      <w:r w:rsidRPr="00B51571">
        <w:rPr>
          <w:rFonts w:ascii="Palatino Linotype" w:eastAsia="Palatino Linotype" w:hAnsi="Palatino Linotype" w:cs="Palatino Linotype"/>
          <w:sz w:val="22"/>
          <w:szCs w:val="22"/>
        </w:rPr>
        <w:t xml:space="preserve"> </w:t>
      </w:r>
      <w:r w:rsidRPr="00B51571">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91BBA" w:rsidRPr="00B51571" w:rsidRDefault="009D32C8">
      <w:pPr>
        <w:ind w:left="567" w:right="963"/>
        <w:jc w:val="both"/>
        <w:rPr>
          <w:rFonts w:ascii="Palatino Linotype" w:eastAsia="Palatino Linotype" w:hAnsi="Palatino Linotype" w:cs="Palatino Linotype"/>
          <w:sz w:val="22"/>
          <w:szCs w:val="22"/>
        </w:rPr>
      </w:pPr>
      <w:r w:rsidRPr="00B51571">
        <w:rPr>
          <w:rFonts w:ascii="Palatino Linotype" w:eastAsia="Palatino Linotype" w:hAnsi="Palatino Linotype" w:cs="Palatino Linotype"/>
          <w:i/>
          <w:sz w:val="22"/>
          <w:szCs w:val="22"/>
        </w:rPr>
        <w:t>(…)</w:t>
      </w:r>
      <w:r w:rsidRPr="00B51571">
        <w:rPr>
          <w:rFonts w:ascii="Palatino Linotype" w:eastAsia="Palatino Linotype" w:hAnsi="Palatino Linotype" w:cs="Palatino Linotype"/>
          <w:sz w:val="22"/>
          <w:szCs w:val="22"/>
        </w:rPr>
        <w:t>”</w:t>
      </w:r>
    </w:p>
    <w:p w:rsidR="00B91BBA" w:rsidRPr="00B51571" w:rsidRDefault="00B91BBA">
      <w:pPr>
        <w:ind w:right="539"/>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 xml:space="preserve">Por </w:t>
      </w:r>
      <w:r w:rsidRPr="00B51571">
        <w:rPr>
          <w:rFonts w:ascii="Palatino Linotype" w:eastAsia="Palatino Linotype" w:hAnsi="Palatino Linotype" w:cs="Palatino Linotype"/>
        </w:rPr>
        <w:t>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lastRenderedPageBreak/>
        <w:t xml:space="preserve">Así, </w:t>
      </w:r>
      <w:r w:rsidRPr="00B51571">
        <w:rPr>
          <w:rFonts w:ascii="Palatino Linotype" w:eastAsia="Palatino Linotype" w:hAnsi="Palatino Linotype" w:cs="Palatino Linotype"/>
        </w:rPr>
        <w:t>conforme a la Constitución Política de los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rsidR="00B91BBA" w:rsidRPr="00B51571" w:rsidRDefault="009D32C8">
      <w:pPr>
        <w:ind w:left="567" w:right="963"/>
        <w:jc w:val="center"/>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Constitución Política de los Estados Unidos Mexicanos</w:t>
      </w:r>
    </w:p>
    <w:p w:rsidR="00B91BBA" w:rsidRPr="00B51571" w:rsidRDefault="00B91BBA">
      <w:pPr>
        <w:ind w:left="567" w:right="963"/>
        <w:jc w:val="center"/>
        <w:rPr>
          <w:rFonts w:ascii="Palatino Linotype" w:eastAsia="Palatino Linotype" w:hAnsi="Palatino Linotype" w:cs="Palatino Linotype"/>
          <w:b/>
          <w:i/>
          <w:sz w:val="22"/>
          <w:szCs w:val="22"/>
        </w:rPr>
      </w:pPr>
    </w:p>
    <w:p w:rsidR="00B91BBA" w:rsidRPr="00B51571" w:rsidRDefault="009D32C8">
      <w:pPr>
        <w:ind w:left="567" w:right="963"/>
        <w:jc w:val="center"/>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“Artículo 6.</w:t>
      </w:r>
      <w:r w:rsidRPr="00B51571">
        <w:rPr>
          <w:rFonts w:ascii="Palatino Linotype" w:eastAsia="Palatino Linotype" w:hAnsi="Palatino Linotype" w:cs="Palatino Linotype"/>
          <w:i/>
          <w:sz w:val="22"/>
          <w:szCs w:val="22"/>
        </w:rPr>
        <w:t xml:space="preserve"> …</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Para efectos de lo dispuesto en el presente artículo se observará lo siguiente:</w:t>
      </w:r>
    </w:p>
    <w:p w:rsidR="00B91BBA" w:rsidRPr="00B51571" w:rsidRDefault="009D32C8">
      <w:pPr>
        <w:ind w:left="567" w:right="963"/>
        <w:jc w:val="both"/>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A</w:t>
      </w:r>
      <w:r w:rsidRPr="00B51571">
        <w:rPr>
          <w:rFonts w:ascii="Palatino Linotype" w:eastAsia="Palatino Linotype" w:hAnsi="Palatino Linotype" w:cs="Palatino Linotype"/>
          <w:i/>
          <w:sz w:val="22"/>
          <w:szCs w:val="22"/>
        </w:rPr>
        <w:t xml:space="preserve">. </w:t>
      </w:r>
      <w:r w:rsidRPr="00B51571">
        <w:rPr>
          <w:rFonts w:ascii="Palatino Linotype" w:eastAsia="Palatino Linotype" w:hAnsi="Palatino Linotype" w:cs="Palatino Linotype"/>
          <w:b/>
          <w:i/>
          <w:sz w:val="22"/>
          <w:szCs w:val="22"/>
        </w:rPr>
        <w:t>Para el ejercicio del derecho de acceso a la información</w:t>
      </w:r>
      <w:r w:rsidRPr="00B51571">
        <w:rPr>
          <w:rFonts w:ascii="Palatino Linotype" w:eastAsia="Palatino Linotype" w:hAnsi="Palatino Linotype" w:cs="Palatino Linotype"/>
          <w:i/>
          <w:sz w:val="22"/>
          <w:szCs w:val="22"/>
        </w:rPr>
        <w:t xml:space="preserve">, la Federación y </w:t>
      </w:r>
      <w:r w:rsidRPr="00B51571">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 xml:space="preserve">I. </w:t>
      </w:r>
      <w:r w:rsidRPr="00B51571">
        <w:rPr>
          <w:rFonts w:ascii="Palatino Linotype" w:eastAsia="Palatino Linotype" w:hAnsi="Palatino Linotype" w:cs="Palatino Linotype"/>
          <w:b/>
          <w:i/>
          <w:sz w:val="22"/>
          <w:szCs w:val="22"/>
        </w:rPr>
        <w:tab/>
        <w:t>Toda la información en posesión de cualquier</w:t>
      </w:r>
      <w:r w:rsidRPr="00B51571">
        <w:rPr>
          <w:rFonts w:ascii="Palatino Linotype" w:eastAsia="Palatino Linotype" w:hAnsi="Palatino Linotype" w:cs="Palatino Linotype"/>
          <w:i/>
          <w:sz w:val="22"/>
          <w:szCs w:val="22"/>
        </w:rPr>
        <w:t xml:space="preserve"> </w:t>
      </w:r>
      <w:r w:rsidRPr="00B51571">
        <w:rPr>
          <w:rFonts w:ascii="Palatino Linotype" w:eastAsia="Palatino Linotype" w:hAnsi="Palatino Linotype" w:cs="Palatino Linotype"/>
          <w:b/>
          <w:i/>
          <w:sz w:val="22"/>
          <w:szCs w:val="22"/>
        </w:rPr>
        <w:t>autoridad</w:t>
      </w:r>
      <w:r w:rsidRPr="00B51571">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B51571">
        <w:rPr>
          <w:rFonts w:ascii="Palatino Linotype" w:eastAsia="Palatino Linotype" w:hAnsi="Palatino Linotype" w:cs="Palatino Linotype"/>
          <w:b/>
          <w:i/>
          <w:sz w:val="22"/>
          <w:szCs w:val="22"/>
        </w:rPr>
        <w:t>municipal</w:t>
      </w:r>
      <w:r w:rsidRPr="00B51571">
        <w:rPr>
          <w:rFonts w:ascii="Palatino Linotype" w:eastAsia="Palatino Linotype" w:hAnsi="Palatino Linotype" w:cs="Palatino Linotype"/>
          <w:i/>
          <w:sz w:val="22"/>
          <w:szCs w:val="22"/>
        </w:rPr>
        <w:t xml:space="preserve">, </w:t>
      </w:r>
      <w:r w:rsidRPr="00B51571">
        <w:rPr>
          <w:rFonts w:ascii="Palatino Linotype" w:eastAsia="Palatino Linotype" w:hAnsi="Palatino Linotype" w:cs="Palatino Linotype"/>
          <w:b/>
          <w:i/>
          <w:sz w:val="22"/>
          <w:szCs w:val="22"/>
        </w:rPr>
        <w:t>es pública</w:t>
      </w:r>
      <w:r w:rsidRPr="00B51571">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B51571">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B51571">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91BBA" w:rsidRPr="00B51571" w:rsidRDefault="00B91BBA">
      <w:pPr>
        <w:tabs>
          <w:tab w:val="left" w:pos="426"/>
          <w:tab w:val="left" w:pos="567"/>
        </w:tabs>
        <w:ind w:left="567" w:right="963"/>
        <w:jc w:val="both"/>
        <w:rPr>
          <w:rFonts w:ascii="Palatino Linotype" w:eastAsia="Palatino Linotype" w:hAnsi="Palatino Linotype" w:cs="Palatino Linotype"/>
          <w:color w:val="000000"/>
          <w:sz w:val="22"/>
          <w:szCs w:val="22"/>
        </w:rPr>
      </w:pPr>
    </w:p>
    <w:p w:rsidR="00B91BBA" w:rsidRPr="00B51571" w:rsidRDefault="009D32C8">
      <w:pPr>
        <w:ind w:left="567" w:right="963"/>
        <w:jc w:val="center"/>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Constitución Política del Estado Libre y Soberano de México</w:t>
      </w:r>
    </w:p>
    <w:p w:rsidR="00B91BBA" w:rsidRPr="00B51571" w:rsidRDefault="009D32C8">
      <w:pPr>
        <w:ind w:left="567" w:right="963"/>
        <w:jc w:val="center"/>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“Artículo 5</w:t>
      </w:r>
      <w:r w:rsidRPr="00B51571">
        <w:rPr>
          <w:rFonts w:ascii="Palatino Linotype" w:eastAsia="Palatino Linotype" w:hAnsi="Palatino Linotype" w:cs="Palatino Linotype"/>
          <w:i/>
          <w:sz w:val="22"/>
          <w:szCs w:val="22"/>
        </w:rPr>
        <w:t>.-…</w:t>
      </w:r>
    </w:p>
    <w:p w:rsidR="00B91BBA" w:rsidRPr="00B51571" w:rsidRDefault="009D32C8">
      <w:pPr>
        <w:ind w:left="567" w:right="963"/>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91BBA" w:rsidRPr="00B51571" w:rsidRDefault="00B91BBA">
      <w:pPr>
        <w:ind w:left="567" w:right="963"/>
        <w:jc w:val="both"/>
        <w:rPr>
          <w:rFonts w:ascii="Palatino Linotype" w:eastAsia="Palatino Linotype" w:hAnsi="Palatino Linotype" w:cs="Palatino Linotype"/>
          <w:i/>
          <w:sz w:val="22"/>
          <w:szCs w:val="22"/>
        </w:rPr>
      </w:pP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Este derecho se regirá por los principios y bases siguientes</w:t>
      </w: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sz w:val="22"/>
          <w:szCs w:val="22"/>
        </w:rPr>
      </w:pPr>
      <w:r w:rsidRPr="00B51571">
        <w:rPr>
          <w:rFonts w:ascii="Palatino Linotype" w:eastAsia="Palatino Linotype" w:hAnsi="Palatino Linotype" w:cs="Palatino Linotype"/>
          <w:b/>
          <w:i/>
          <w:sz w:val="22"/>
          <w:szCs w:val="22"/>
        </w:rPr>
        <w:lastRenderedPageBreak/>
        <w:t>Toda la información en posesión de cualquier autoridad, entidad, órgano y organismos de los</w:t>
      </w:r>
      <w:r w:rsidRPr="00B51571">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B51571">
        <w:rPr>
          <w:rFonts w:ascii="Palatino Linotype" w:eastAsia="Palatino Linotype" w:hAnsi="Palatino Linotype" w:cs="Palatino Linotype"/>
          <w:b/>
          <w:i/>
          <w:sz w:val="22"/>
          <w:szCs w:val="22"/>
        </w:rPr>
        <w:t>municipales</w:t>
      </w:r>
      <w:r w:rsidRPr="00B51571">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B51571">
        <w:rPr>
          <w:rFonts w:ascii="Palatino Linotype" w:eastAsia="Palatino Linotype" w:hAnsi="Palatino Linotype" w:cs="Palatino Linotype"/>
          <w:b/>
          <w:i/>
          <w:sz w:val="22"/>
          <w:szCs w:val="22"/>
        </w:rPr>
        <w:t>es pública</w:t>
      </w:r>
      <w:r w:rsidRPr="00B51571">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B51571">
        <w:rPr>
          <w:rFonts w:ascii="Palatino Linotype" w:eastAsia="Palatino Linotype" w:hAnsi="Palatino Linotype" w:cs="Palatino Linotype"/>
          <w:b/>
          <w:i/>
          <w:sz w:val="22"/>
          <w:szCs w:val="22"/>
        </w:rPr>
        <w:t>En la interpretación de este derecho deberá prevalecer el principio de máxima publicidad</w:t>
      </w:r>
      <w:r w:rsidRPr="00B51571">
        <w:rPr>
          <w:rFonts w:ascii="Palatino Linotype" w:eastAsia="Palatino Linotype" w:hAnsi="Palatino Linotype" w:cs="Palatino Linotype"/>
          <w:i/>
          <w:sz w:val="22"/>
          <w:szCs w:val="22"/>
        </w:rPr>
        <w:t xml:space="preserve">. </w:t>
      </w:r>
      <w:r w:rsidRPr="00B51571">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B51571">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De acuerdo a</w:t>
      </w:r>
      <w:r w:rsidRPr="00B51571">
        <w:rPr>
          <w:rFonts w:ascii="Palatino Linotype" w:eastAsia="Palatino Linotype" w:hAnsi="Palatino Linotype" w:cs="Palatino Linotype"/>
        </w:rPr>
        <w:t xml:space="preserve">l artículo 150 de la Ley de Transparencia del Estado, la solicitud es la garantía primaria del Derecho de Acceso a la Información, además, establece que se regirá </w:t>
      </w:r>
      <w:r w:rsidRPr="00B51571">
        <w:rPr>
          <w:rFonts w:ascii="Palatino Linotype" w:eastAsia="Palatino Linotype" w:hAnsi="Palatino Linotype" w:cs="Palatino Linotype"/>
          <w:i/>
        </w:rPr>
        <w:t>por los principios de simplicidad, rapidez gratuidad del procedimiento, auxilio y orientación a los particulares</w:t>
      </w:r>
      <w:r w:rsidRPr="00B51571">
        <w:rPr>
          <w:rFonts w:ascii="Palatino Linotype" w:eastAsia="Palatino Linotype" w:hAnsi="Palatino Linotype" w:cs="Palatino Linotype"/>
        </w:rPr>
        <w:t>, contemplando el derecho de las personas con discapacidad y hablantes de lengua indígena.</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 xml:space="preserve">El </w:t>
      </w:r>
      <w:r w:rsidRPr="00B51571">
        <w:rPr>
          <w:rFonts w:ascii="Palatino Linotype" w:eastAsia="Palatino Linotype" w:hAnsi="Palatino Linotype" w:cs="Palatino Linotype"/>
        </w:rPr>
        <w:t xml:space="preserve">Derecho de Acceso a la Información se garantiza y respeta oportunamente, y según lo que dispone la Ley, las </w:t>
      </w:r>
      <w:r w:rsidRPr="00B51571">
        <w:rPr>
          <w:rFonts w:ascii="Palatino Linotype" w:eastAsia="Palatino Linotype" w:hAnsi="Palatino Linotype" w:cs="Palatino Linotype"/>
          <w:i/>
        </w:rPr>
        <w:t>solicitudes de acceso a la información</w:t>
      </w:r>
      <w:r w:rsidRPr="00B51571">
        <w:rPr>
          <w:rFonts w:ascii="Palatino Linotype" w:eastAsia="Palatino Linotype" w:hAnsi="Palatino Linotype" w:cs="Palatino Linotype"/>
        </w:rPr>
        <w:t>.</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color w:val="000000"/>
        </w:rPr>
        <w:t xml:space="preserve">Así </w:t>
      </w:r>
      <w:r w:rsidRPr="00B51571">
        <w:rPr>
          <w:rFonts w:ascii="Palatino Linotype" w:eastAsia="Palatino Linotype" w:hAnsi="Palatino Linotype" w:cs="Palatino Linotype"/>
        </w:rPr>
        <w:t xml:space="preserve">entonces, se procede analizar, en primer lugar, si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al atender la solicitud de acceso a la información, satisfice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keepNext/>
        <w:keepLines/>
        <w:numPr>
          <w:ilvl w:val="1"/>
          <w:numId w:val="1"/>
        </w:numPr>
        <w:spacing w:line="360" w:lineRule="auto"/>
        <w:ind w:left="567" w:right="-28"/>
        <w:jc w:val="both"/>
        <w:rPr>
          <w:rFonts w:ascii="Palatino Linotype" w:eastAsia="Palatino Linotype" w:hAnsi="Palatino Linotype" w:cs="Palatino Linotype"/>
          <w:b/>
        </w:rPr>
      </w:pPr>
      <w:bookmarkStart w:id="6" w:name="_heading=h.lnxbz9" w:colFirst="0" w:colLast="0"/>
      <w:bookmarkEnd w:id="6"/>
      <w:r w:rsidRPr="00B51571">
        <w:rPr>
          <w:rFonts w:ascii="Palatino Linotype" w:eastAsia="Palatino Linotype" w:hAnsi="Palatino Linotype" w:cs="Palatino Linotype"/>
          <w:b/>
        </w:rPr>
        <w:lastRenderedPageBreak/>
        <w:t>De la información solicitada y la respuesta del SUJETO OBLIGADO.</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Derivado del Planteamiento de la Litis, se procede a analizar el contenido íntegro de las actuaciones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Ley de Transparencia y Acceso a la Información Pública del Estado de México y Municipios.</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Ahora bien, del análisis de la solicitud de información motivo del recurso de revisión, se advierte que el Particular requirió que se atendiera la siguiente solicitud: </w:t>
      </w:r>
      <w:r w:rsidRPr="00B51571">
        <w:rPr>
          <w:rFonts w:ascii="Palatino Linotype" w:eastAsia="Palatino Linotype" w:hAnsi="Palatino Linotype" w:cs="Palatino Linotype"/>
          <w:b/>
        </w:rPr>
        <w:t>“</w:t>
      </w:r>
      <w:r w:rsidRPr="00B51571">
        <w:rPr>
          <w:rFonts w:ascii="Palatino Linotype" w:eastAsia="Palatino Linotype" w:hAnsi="Palatino Linotype" w:cs="Palatino Linotype"/>
          <w:b/>
          <w:i/>
        </w:rPr>
        <w:t xml:space="preserve">…EXPEDIENTE DE LA SOLICITUD 003/DIFTLALNE/IP/2024 TODO EL EXPEDIENTE ESCANEADO EN PDF…” </w:t>
      </w:r>
      <w:r w:rsidRPr="00B51571">
        <w:rPr>
          <w:rFonts w:ascii="Palatino Linotype" w:eastAsia="Palatino Linotype" w:hAnsi="Palatino Linotype" w:cs="Palatino Linotype"/>
          <w:i/>
        </w:rPr>
        <w:t>(Sic)</w:t>
      </w:r>
    </w:p>
    <w:p w:rsidR="00B31789" w:rsidRPr="00B51571" w:rsidRDefault="00B31789" w:rsidP="00B31789">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Por su parte,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se declaró incompetente para atender lo requerido, orientando al Particular para que </w:t>
      </w:r>
      <w:r w:rsidRPr="00B51571">
        <w:rPr>
          <w:rFonts w:ascii="Palatino Linotype" w:eastAsia="Palatino Linotype" w:hAnsi="Palatino Linotype" w:cs="Palatino Linotype"/>
          <w:color w:val="000000"/>
        </w:rPr>
        <w:t xml:space="preserve">realizará su consulta a la Unidad de Transparencia del Sistema Municipal para el Desarrollo Integral de la Familia (DIF) Tlalnepantla de Baz, México, quién podría ser el sujeto obligado competente para atender su solicitud de información. </w:t>
      </w:r>
    </w:p>
    <w:p w:rsidR="00B91BBA" w:rsidRPr="00B51571" w:rsidRDefault="00B91BBA">
      <w:pPr>
        <w:pBdr>
          <w:top w:val="nil"/>
          <w:left w:val="nil"/>
          <w:bottom w:val="nil"/>
          <w:right w:val="nil"/>
          <w:between w:val="nil"/>
        </w:pBdr>
        <w:ind w:left="720"/>
        <w:rPr>
          <w:rFonts w:ascii="Palatino Linotype" w:eastAsia="Palatino Linotype" w:hAnsi="Palatino Linotype" w:cs="Palatino Linotype"/>
          <w:color w:val="000000"/>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En consecuencia, el </w:t>
      </w:r>
      <w:r w:rsidRPr="00B51571">
        <w:rPr>
          <w:rFonts w:ascii="Palatino Linotype" w:eastAsia="Palatino Linotype" w:hAnsi="Palatino Linotype" w:cs="Palatino Linotype"/>
          <w:b/>
        </w:rPr>
        <w:t xml:space="preserve">RECURRENTE </w:t>
      </w:r>
      <w:r w:rsidRPr="00B51571">
        <w:rPr>
          <w:rFonts w:ascii="Palatino Linotype" w:eastAsia="Palatino Linotype" w:hAnsi="Palatino Linotype" w:cs="Palatino Linotype"/>
        </w:rPr>
        <w:t xml:space="preserve">se inconformó por la declaratoria de incompetencia del </w:t>
      </w:r>
      <w:r w:rsidRPr="00B51571">
        <w:rPr>
          <w:rFonts w:ascii="Palatino Linotype" w:eastAsia="Palatino Linotype" w:hAnsi="Palatino Linotype" w:cs="Palatino Linotype"/>
          <w:b/>
        </w:rPr>
        <w:t>SUJETO OBLIGADO.</w:t>
      </w:r>
    </w:p>
    <w:p w:rsidR="00B91BBA" w:rsidRPr="00B51571" w:rsidRDefault="00B91BBA">
      <w:pPr>
        <w:pBdr>
          <w:top w:val="nil"/>
          <w:left w:val="nil"/>
          <w:bottom w:val="nil"/>
          <w:right w:val="nil"/>
          <w:between w:val="nil"/>
        </w:pBdr>
        <w:ind w:left="720"/>
        <w:rPr>
          <w:rFonts w:ascii="Palatino Linotype" w:eastAsia="Palatino Linotype" w:hAnsi="Palatino Linotype" w:cs="Palatino Linotype"/>
          <w:color w:val="000000"/>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Cabe precisar que el Reglamento Interno de la Administración Pública Municipal de Tlalnepantla de Baz, Estado de México, establece que para el ejercicio de sus atribuciones, la administración pública se dividirá en las siguientes:</w:t>
      </w:r>
    </w:p>
    <w:p w:rsidR="00B91BBA" w:rsidRPr="00B51571" w:rsidRDefault="009D32C8">
      <w:pPr>
        <w:spacing w:line="360" w:lineRule="auto"/>
        <w:ind w:left="709" w:right="1105"/>
        <w:jc w:val="both"/>
        <w:rPr>
          <w:i/>
          <w:sz w:val="22"/>
          <w:szCs w:val="22"/>
        </w:rPr>
      </w:pPr>
      <w:r w:rsidRPr="00B51571">
        <w:rPr>
          <w:i/>
          <w:sz w:val="22"/>
          <w:szCs w:val="22"/>
        </w:rPr>
        <w:lastRenderedPageBreak/>
        <w:t xml:space="preserve">ARTÍCULO 12. En el ejercicio de sus atribuciones y para el despacho eficiente, eficaz y expedito de las responsabilidades encomendadas al o la titular del Ejecutivo Municipal, la Administración Pública Municipal, contará con las siguientes dependencias, entidades y órgano autónomo: Dependencias: </w:t>
      </w:r>
    </w:p>
    <w:p w:rsidR="00B91BBA" w:rsidRPr="00B51571" w:rsidRDefault="009D32C8">
      <w:pPr>
        <w:spacing w:line="360" w:lineRule="auto"/>
        <w:ind w:left="709" w:right="1105"/>
        <w:jc w:val="both"/>
        <w:rPr>
          <w:i/>
          <w:sz w:val="22"/>
          <w:szCs w:val="22"/>
        </w:rPr>
      </w:pPr>
      <w:r w:rsidRPr="00B51571">
        <w:rPr>
          <w:i/>
          <w:sz w:val="22"/>
          <w:szCs w:val="22"/>
        </w:rPr>
        <w:t xml:space="preserve">I. Presidencia Municipal; </w:t>
      </w:r>
    </w:p>
    <w:p w:rsidR="00B91BBA" w:rsidRPr="00B51571" w:rsidRDefault="009D32C8">
      <w:pPr>
        <w:spacing w:line="360" w:lineRule="auto"/>
        <w:ind w:left="709" w:right="1105"/>
        <w:jc w:val="both"/>
        <w:rPr>
          <w:i/>
          <w:sz w:val="22"/>
          <w:szCs w:val="22"/>
        </w:rPr>
      </w:pPr>
      <w:r w:rsidRPr="00B51571">
        <w:rPr>
          <w:i/>
          <w:sz w:val="22"/>
          <w:szCs w:val="22"/>
        </w:rPr>
        <w:t xml:space="preserve">II. Secretaría del Ayuntamiento; </w:t>
      </w:r>
    </w:p>
    <w:p w:rsidR="00B91BBA" w:rsidRPr="00B51571" w:rsidRDefault="009D32C8">
      <w:pPr>
        <w:spacing w:line="360" w:lineRule="auto"/>
        <w:ind w:left="709" w:right="1105"/>
        <w:jc w:val="both"/>
        <w:rPr>
          <w:i/>
          <w:sz w:val="22"/>
          <w:szCs w:val="22"/>
        </w:rPr>
      </w:pPr>
      <w:r w:rsidRPr="00B51571">
        <w:rPr>
          <w:i/>
          <w:sz w:val="22"/>
          <w:szCs w:val="22"/>
        </w:rPr>
        <w:t xml:space="preserve">III. Tesorería Municipal; </w:t>
      </w:r>
    </w:p>
    <w:p w:rsidR="00B91BBA" w:rsidRPr="00B51571" w:rsidRDefault="009D32C8">
      <w:pPr>
        <w:spacing w:line="360" w:lineRule="auto"/>
        <w:ind w:left="709" w:right="1105"/>
        <w:jc w:val="both"/>
        <w:rPr>
          <w:i/>
          <w:sz w:val="22"/>
          <w:szCs w:val="22"/>
        </w:rPr>
      </w:pPr>
      <w:r w:rsidRPr="00B51571">
        <w:rPr>
          <w:i/>
          <w:sz w:val="22"/>
          <w:szCs w:val="22"/>
        </w:rPr>
        <w:t xml:space="preserve">IV. Secretaría Técnica; </w:t>
      </w:r>
    </w:p>
    <w:p w:rsidR="00B91BBA" w:rsidRPr="00B51571" w:rsidRDefault="009D32C8">
      <w:pPr>
        <w:spacing w:line="360" w:lineRule="auto"/>
        <w:ind w:left="709" w:right="1105"/>
        <w:jc w:val="both"/>
        <w:rPr>
          <w:i/>
          <w:sz w:val="22"/>
          <w:szCs w:val="22"/>
        </w:rPr>
      </w:pPr>
      <w:r w:rsidRPr="00B51571">
        <w:rPr>
          <w:i/>
          <w:sz w:val="22"/>
          <w:szCs w:val="22"/>
        </w:rPr>
        <w:t xml:space="preserve">V. Contraloría Interna Municipal; </w:t>
      </w:r>
    </w:p>
    <w:p w:rsidR="00B91BBA" w:rsidRPr="00B51571" w:rsidRDefault="009D32C8">
      <w:pPr>
        <w:spacing w:line="360" w:lineRule="auto"/>
        <w:ind w:left="709" w:right="1105"/>
        <w:jc w:val="both"/>
        <w:rPr>
          <w:i/>
          <w:sz w:val="22"/>
          <w:szCs w:val="22"/>
        </w:rPr>
      </w:pPr>
      <w:r w:rsidRPr="00B51571">
        <w:rPr>
          <w:i/>
          <w:sz w:val="22"/>
          <w:szCs w:val="22"/>
        </w:rPr>
        <w:t xml:space="preserve">VI. Dirección de Administración; </w:t>
      </w:r>
    </w:p>
    <w:p w:rsidR="00B91BBA" w:rsidRPr="00B51571" w:rsidRDefault="009D32C8">
      <w:pPr>
        <w:spacing w:line="360" w:lineRule="auto"/>
        <w:ind w:left="709" w:right="1105"/>
        <w:jc w:val="both"/>
        <w:rPr>
          <w:i/>
          <w:sz w:val="22"/>
          <w:szCs w:val="22"/>
        </w:rPr>
      </w:pPr>
      <w:r w:rsidRPr="00B51571">
        <w:rPr>
          <w:i/>
          <w:sz w:val="22"/>
          <w:szCs w:val="22"/>
        </w:rPr>
        <w:t xml:space="preserve">VII. Dirección Jurídica; </w:t>
      </w:r>
    </w:p>
    <w:p w:rsidR="00B91BBA" w:rsidRPr="00B51571" w:rsidRDefault="009D32C8">
      <w:pPr>
        <w:spacing w:line="360" w:lineRule="auto"/>
        <w:ind w:left="709" w:right="1105"/>
        <w:jc w:val="both"/>
        <w:rPr>
          <w:i/>
          <w:sz w:val="22"/>
          <w:szCs w:val="22"/>
        </w:rPr>
      </w:pPr>
      <w:r w:rsidRPr="00B51571">
        <w:rPr>
          <w:i/>
          <w:sz w:val="22"/>
          <w:szCs w:val="22"/>
        </w:rPr>
        <w:t xml:space="preserve">VIII. Dirección de Promoción Económica; </w:t>
      </w:r>
    </w:p>
    <w:p w:rsidR="00B91BBA" w:rsidRPr="00B51571" w:rsidRDefault="009D32C8">
      <w:pPr>
        <w:spacing w:line="360" w:lineRule="auto"/>
        <w:ind w:left="709" w:right="1105"/>
        <w:jc w:val="both"/>
        <w:rPr>
          <w:i/>
          <w:sz w:val="22"/>
          <w:szCs w:val="22"/>
        </w:rPr>
      </w:pPr>
      <w:r w:rsidRPr="00B51571">
        <w:rPr>
          <w:i/>
          <w:sz w:val="22"/>
          <w:szCs w:val="22"/>
        </w:rPr>
        <w:t xml:space="preserve">IX. Dirección de Desarrollo Social; </w:t>
      </w:r>
    </w:p>
    <w:p w:rsidR="00B91BBA" w:rsidRPr="00B51571" w:rsidRDefault="009D32C8">
      <w:pPr>
        <w:spacing w:line="360" w:lineRule="auto"/>
        <w:ind w:left="709" w:right="1105"/>
        <w:jc w:val="both"/>
        <w:rPr>
          <w:i/>
          <w:sz w:val="22"/>
          <w:szCs w:val="22"/>
        </w:rPr>
      </w:pPr>
      <w:r w:rsidRPr="00B51571">
        <w:rPr>
          <w:i/>
          <w:sz w:val="22"/>
          <w:szCs w:val="22"/>
        </w:rPr>
        <w:t xml:space="preserve">X. Dirección de Desarrollo Urbano; </w:t>
      </w:r>
    </w:p>
    <w:p w:rsidR="00B91BBA" w:rsidRPr="00B51571" w:rsidRDefault="009D32C8">
      <w:pPr>
        <w:spacing w:line="360" w:lineRule="auto"/>
        <w:ind w:left="709" w:right="1105"/>
        <w:jc w:val="both"/>
        <w:rPr>
          <w:i/>
          <w:sz w:val="22"/>
          <w:szCs w:val="22"/>
        </w:rPr>
      </w:pPr>
      <w:r w:rsidRPr="00B51571">
        <w:rPr>
          <w:i/>
          <w:sz w:val="22"/>
          <w:szCs w:val="22"/>
        </w:rPr>
        <w:t xml:space="preserve">XI. Dirección de Servicios Públicos; </w:t>
      </w:r>
    </w:p>
    <w:p w:rsidR="00B91BBA" w:rsidRPr="00B51571" w:rsidRDefault="009D32C8">
      <w:pPr>
        <w:spacing w:line="360" w:lineRule="auto"/>
        <w:ind w:left="709" w:right="1105"/>
        <w:jc w:val="both"/>
        <w:rPr>
          <w:i/>
          <w:sz w:val="22"/>
          <w:szCs w:val="22"/>
        </w:rPr>
      </w:pPr>
      <w:r w:rsidRPr="00B51571">
        <w:rPr>
          <w:i/>
          <w:sz w:val="22"/>
          <w:szCs w:val="22"/>
        </w:rPr>
        <w:t xml:space="preserve">XII. Dirección de Obras Públicas; </w:t>
      </w:r>
    </w:p>
    <w:p w:rsidR="00B91BBA" w:rsidRPr="00B51571" w:rsidRDefault="009D32C8">
      <w:pPr>
        <w:spacing w:line="360" w:lineRule="auto"/>
        <w:ind w:left="709" w:right="1105"/>
        <w:jc w:val="both"/>
        <w:rPr>
          <w:i/>
          <w:sz w:val="22"/>
          <w:szCs w:val="22"/>
        </w:rPr>
      </w:pPr>
      <w:r w:rsidRPr="00B51571">
        <w:rPr>
          <w:i/>
          <w:sz w:val="22"/>
          <w:szCs w:val="22"/>
        </w:rPr>
        <w:t xml:space="preserve">XIII. Dirección de Sustentabilidad Ambiental; </w:t>
      </w:r>
    </w:p>
    <w:p w:rsidR="00B91BBA" w:rsidRPr="00B51571" w:rsidRDefault="009D32C8">
      <w:pPr>
        <w:spacing w:line="360" w:lineRule="auto"/>
        <w:ind w:left="709" w:right="1105"/>
        <w:jc w:val="both"/>
        <w:rPr>
          <w:i/>
          <w:sz w:val="22"/>
          <w:szCs w:val="22"/>
        </w:rPr>
      </w:pPr>
      <w:r w:rsidRPr="00B51571">
        <w:rPr>
          <w:i/>
          <w:sz w:val="22"/>
          <w:szCs w:val="22"/>
        </w:rPr>
        <w:t xml:space="preserve">XIV. Dirección de la Mujer; </w:t>
      </w:r>
    </w:p>
    <w:p w:rsidR="00B91BBA" w:rsidRPr="00B51571" w:rsidRDefault="009D32C8">
      <w:pPr>
        <w:spacing w:line="360" w:lineRule="auto"/>
        <w:ind w:left="709" w:right="1105"/>
        <w:jc w:val="both"/>
        <w:rPr>
          <w:i/>
          <w:sz w:val="22"/>
          <w:szCs w:val="22"/>
        </w:rPr>
      </w:pPr>
      <w:r w:rsidRPr="00B51571">
        <w:rPr>
          <w:i/>
          <w:sz w:val="22"/>
          <w:szCs w:val="22"/>
        </w:rPr>
        <w:t xml:space="preserve">XV. Derogado; </w:t>
      </w:r>
    </w:p>
    <w:p w:rsidR="00B91BBA" w:rsidRPr="00B51571" w:rsidRDefault="009D32C8">
      <w:pPr>
        <w:spacing w:line="360" w:lineRule="auto"/>
        <w:ind w:left="709" w:right="1105"/>
        <w:jc w:val="both"/>
        <w:rPr>
          <w:i/>
          <w:sz w:val="22"/>
          <w:szCs w:val="22"/>
        </w:rPr>
      </w:pPr>
      <w:r w:rsidRPr="00B51571">
        <w:rPr>
          <w:i/>
          <w:sz w:val="22"/>
          <w:szCs w:val="22"/>
        </w:rPr>
        <w:t xml:space="preserve">XVI. Dirección de Movilidad; </w:t>
      </w:r>
    </w:p>
    <w:p w:rsidR="00B91BBA" w:rsidRPr="00B51571" w:rsidRDefault="009D32C8">
      <w:pPr>
        <w:spacing w:line="360" w:lineRule="auto"/>
        <w:ind w:left="709" w:right="1105"/>
        <w:jc w:val="both"/>
        <w:rPr>
          <w:i/>
          <w:sz w:val="22"/>
          <w:szCs w:val="22"/>
        </w:rPr>
      </w:pPr>
      <w:r w:rsidRPr="00B51571">
        <w:rPr>
          <w:i/>
          <w:sz w:val="22"/>
          <w:szCs w:val="22"/>
        </w:rPr>
        <w:t xml:space="preserve">XVII. Instituto Municipal de la Cultura y las Artes; </w:t>
      </w:r>
    </w:p>
    <w:p w:rsidR="00B91BBA" w:rsidRPr="00B51571" w:rsidRDefault="009D32C8">
      <w:pPr>
        <w:spacing w:line="360" w:lineRule="auto"/>
        <w:ind w:left="709" w:right="1105"/>
        <w:jc w:val="both"/>
        <w:rPr>
          <w:i/>
          <w:sz w:val="22"/>
          <w:szCs w:val="22"/>
        </w:rPr>
      </w:pPr>
      <w:r w:rsidRPr="00B51571">
        <w:rPr>
          <w:i/>
          <w:sz w:val="22"/>
          <w:szCs w:val="22"/>
        </w:rPr>
        <w:t xml:space="preserve">XVIII. Instituto Municipal de Educación; </w:t>
      </w:r>
    </w:p>
    <w:p w:rsidR="00B91BBA" w:rsidRPr="00B51571" w:rsidRDefault="009D32C8">
      <w:pPr>
        <w:spacing w:line="360" w:lineRule="auto"/>
        <w:ind w:left="709" w:right="1105"/>
        <w:jc w:val="both"/>
        <w:rPr>
          <w:i/>
          <w:sz w:val="22"/>
          <w:szCs w:val="22"/>
        </w:rPr>
      </w:pPr>
      <w:r w:rsidRPr="00B51571">
        <w:rPr>
          <w:i/>
          <w:sz w:val="22"/>
          <w:szCs w:val="22"/>
        </w:rPr>
        <w:t xml:space="preserve">XIX. Instituto Municipal de Cultura Física y Deporte; </w:t>
      </w:r>
    </w:p>
    <w:p w:rsidR="00B91BBA" w:rsidRPr="00B51571" w:rsidRDefault="009D32C8">
      <w:pPr>
        <w:spacing w:line="360" w:lineRule="auto"/>
        <w:ind w:left="709" w:right="1105"/>
        <w:jc w:val="both"/>
        <w:rPr>
          <w:i/>
          <w:sz w:val="22"/>
          <w:szCs w:val="22"/>
        </w:rPr>
      </w:pPr>
      <w:r w:rsidRPr="00B51571">
        <w:rPr>
          <w:i/>
          <w:sz w:val="22"/>
          <w:szCs w:val="22"/>
        </w:rPr>
        <w:t xml:space="preserve">XX. Instituto Municipal de la Juventud; </w:t>
      </w:r>
    </w:p>
    <w:p w:rsidR="00B91BBA" w:rsidRPr="00B51571" w:rsidRDefault="009D32C8">
      <w:pPr>
        <w:spacing w:line="360" w:lineRule="auto"/>
        <w:ind w:left="709" w:right="1105"/>
        <w:jc w:val="both"/>
        <w:rPr>
          <w:i/>
          <w:sz w:val="22"/>
          <w:szCs w:val="22"/>
        </w:rPr>
      </w:pPr>
      <w:r w:rsidRPr="00B51571">
        <w:rPr>
          <w:i/>
          <w:sz w:val="22"/>
          <w:szCs w:val="22"/>
        </w:rPr>
        <w:t xml:space="preserve">XXI. Dirección de Protección Civil; </w:t>
      </w:r>
    </w:p>
    <w:p w:rsidR="00B91BBA" w:rsidRPr="00B51571" w:rsidRDefault="009D32C8">
      <w:pPr>
        <w:spacing w:line="360" w:lineRule="auto"/>
        <w:ind w:left="709" w:right="1105"/>
        <w:jc w:val="both"/>
        <w:rPr>
          <w:i/>
          <w:sz w:val="22"/>
          <w:szCs w:val="22"/>
        </w:rPr>
      </w:pPr>
      <w:r w:rsidRPr="00B51571">
        <w:rPr>
          <w:i/>
          <w:sz w:val="22"/>
          <w:szCs w:val="22"/>
        </w:rPr>
        <w:t xml:space="preserve">XXII. Comisaría General de Seguridad Pública y Tránsito Municipal; Entidades: XXIII. Organismo Público Descentralizado para la prestación de los Servicios de Agua Potable, Alcantarillado y Saneamiento del Municipio de Tlalnepantla, México (OPDM); </w:t>
      </w:r>
    </w:p>
    <w:p w:rsidR="00B91BBA" w:rsidRPr="00B51571" w:rsidRDefault="009D32C8">
      <w:pPr>
        <w:spacing w:line="360" w:lineRule="auto"/>
        <w:ind w:left="709" w:right="1105"/>
        <w:jc w:val="both"/>
        <w:rPr>
          <w:b/>
          <w:i/>
          <w:sz w:val="22"/>
          <w:szCs w:val="22"/>
        </w:rPr>
      </w:pPr>
      <w:r w:rsidRPr="00B51571">
        <w:rPr>
          <w:b/>
          <w:i/>
          <w:sz w:val="22"/>
          <w:szCs w:val="22"/>
        </w:rPr>
        <w:t xml:space="preserve">XXIV. Sistema Municipal para el Desarrollo Integral de la Familia (DIF); y Órganos autónomos: </w:t>
      </w:r>
    </w:p>
    <w:p w:rsidR="00B91BBA" w:rsidRPr="00B51571" w:rsidRDefault="009D32C8">
      <w:pPr>
        <w:spacing w:line="360" w:lineRule="auto"/>
        <w:ind w:left="709" w:right="1105"/>
        <w:jc w:val="both"/>
        <w:rPr>
          <w:i/>
          <w:sz w:val="22"/>
          <w:szCs w:val="22"/>
        </w:rPr>
      </w:pPr>
      <w:r w:rsidRPr="00B51571">
        <w:rPr>
          <w:i/>
          <w:sz w:val="22"/>
          <w:szCs w:val="22"/>
        </w:rPr>
        <w:t>XXV. Defensoría Municipal de los Derechos Humanos.</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lastRenderedPageBreak/>
        <w:t xml:space="preserve">Y establece como Organismo Públicos Descentralizados, con personalidad jurídica y patrimonios propios los siguientes: </w:t>
      </w:r>
    </w:p>
    <w:p w:rsidR="00B91BBA" w:rsidRPr="00B51571" w:rsidRDefault="009D32C8">
      <w:pPr>
        <w:spacing w:line="360" w:lineRule="auto"/>
        <w:ind w:left="709" w:right="1105"/>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ARTÍCULO 16. Son Organismos Públicos Descentralizados Municipales, los siguientes: </w:t>
      </w:r>
    </w:p>
    <w:p w:rsidR="00B91BBA" w:rsidRPr="00B51571" w:rsidRDefault="009D32C8">
      <w:pPr>
        <w:spacing w:line="360" w:lineRule="auto"/>
        <w:ind w:left="709" w:right="1105"/>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 Organismo Público Descentralizado para la Prestación de los Servicios de Agua Potable, Alcantarillado y Saneamiento del Municipio de Tlalnepantla, México (OPDM); </w:t>
      </w:r>
    </w:p>
    <w:p w:rsidR="00B91BBA" w:rsidRPr="00B51571" w:rsidRDefault="009D32C8">
      <w:pPr>
        <w:spacing w:line="360" w:lineRule="auto"/>
        <w:ind w:left="709" w:right="1105"/>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II. Sistema Municipal para el Desarrollo Integral de la Familia (DIF) Tlalnepantla de Baz, México;</w:t>
      </w:r>
      <w:r w:rsidRPr="00B51571">
        <w:rPr>
          <w:rFonts w:ascii="Palatino Linotype" w:eastAsia="Palatino Linotype" w:hAnsi="Palatino Linotype" w:cs="Palatino Linotype"/>
          <w:i/>
          <w:sz w:val="22"/>
          <w:szCs w:val="22"/>
        </w:rPr>
        <w:t xml:space="preserve"> y </w:t>
      </w:r>
    </w:p>
    <w:p w:rsidR="00B91BBA" w:rsidRPr="00B51571" w:rsidRDefault="009D32C8">
      <w:pPr>
        <w:spacing w:line="360" w:lineRule="auto"/>
        <w:ind w:left="709" w:right="1105"/>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III. Los demás que sean creados por acuerdo del Ayuntamiento y en observancia de las normas jurídicas y procedimientos aplicables en el Estado de México.</w:t>
      </w:r>
    </w:p>
    <w:p w:rsidR="00B91BBA" w:rsidRPr="00B51571" w:rsidRDefault="00B91BBA">
      <w:pPr>
        <w:spacing w:line="360" w:lineRule="auto"/>
        <w:ind w:left="709" w:right="1105"/>
        <w:jc w:val="both"/>
        <w:rPr>
          <w:rFonts w:ascii="Palatino Linotype" w:eastAsia="Palatino Linotype" w:hAnsi="Palatino Linotype" w:cs="Palatino Linotype"/>
          <w:i/>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 A su vez, del directorio de Sujetos Obligados del Instituto de Transparencia, Acceso a la Información Pública y Protección de Datos Personales del Estado de México y Municipios, se puede apreciar que el Ayuntamiento de Tlalnepantla de Baz, se Ubica en el apartado 228, mientras que el Sistema Municipal para el Desarrollo Integral de la Familia de Tlalnepantla de Baz, se encuentra como Sujeto Obligado Diverso, en el apartado 361, como se muestra a continuación: </w:t>
      </w:r>
    </w:p>
    <w:p w:rsidR="00B91BBA" w:rsidRPr="00B51571" w:rsidRDefault="00B91BBA">
      <w:pPr>
        <w:spacing w:line="360" w:lineRule="auto"/>
        <w:ind w:left="142" w:right="-28"/>
        <w:jc w:val="both"/>
        <w:rPr>
          <w:rFonts w:ascii="Palatino Linotype" w:eastAsia="Palatino Linotype" w:hAnsi="Palatino Linotype" w:cs="Palatino Linotype"/>
        </w:rPr>
      </w:pPr>
    </w:p>
    <w:p w:rsidR="00B91BBA" w:rsidRPr="00B51571" w:rsidRDefault="009D32C8">
      <w:pPr>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noProof/>
        </w:rPr>
        <w:drawing>
          <wp:inline distT="0" distB="0" distL="0" distR="0">
            <wp:extent cx="6192520" cy="58864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192520" cy="588645"/>
                    </a:xfrm>
                    <a:prstGeom prst="rect">
                      <a:avLst/>
                    </a:prstGeom>
                    <a:ln/>
                  </pic:spPr>
                </pic:pic>
              </a:graphicData>
            </a:graphic>
          </wp:inline>
        </w:drawing>
      </w:r>
      <w:r w:rsidRPr="00B51571">
        <w:rPr>
          <w:rFonts w:ascii="Palatino Linotype" w:eastAsia="Palatino Linotype" w:hAnsi="Palatino Linotype" w:cs="Palatino Linotype"/>
        </w:rPr>
        <w:t xml:space="preserve"> </w:t>
      </w:r>
    </w:p>
    <w:p w:rsidR="00B91BBA" w:rsidRPr="00B51571" w:rsidRDefault="009D32C8">
      <w:pPr>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noProof/>
        </w:rPr>
        <w:drawing>
          <wp:inline distT="0" distB="0" distL="0" distR="0">
            <wp:extent cx="6192520" cy="7607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192520" cy="760730"/>
                    </a:xfrm>
                    <a:prstGeom prst="rect">
                      <a:avLst/>
                    </a:prstGeom>
                    <a:ln/>
                  </pic:spPr>
                </pic:pic>
              </a:graphicData>
            </a:graphic>
          </wp:inline>
        </w:drawing>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lastRenderedPageBreak/>
        <w:t>Expuesto lo anterior, resulta conveniente referir que el artículo 143 de la Constitución Política del Estado Libre y Soberano de México, indica que las autoridades administrativas únicamente pueden hacer lo que la ley expresamente les confiere.</w:t>
      </w:r>
    </w:p>
    <w:p w:rsidR="00B91BBA" w:rsidRPr="00B51571" w:rsidRDefault="00B91BBA">
      <w:pPr>
        <w:rPr>
          <w:rFonts w:ascii="Palatino Linotype" w:eastAsia="Palatino Linotype" w:hAnsi="Palatino Linotype" w:cs="Palatino Linotype"/>
        </w:rPr>
      </w:pPr>
    </w:p>
    <w:p w:rsidR="00B91BBA" w:rsidRPr="00B51571" w:rsidRDefault="009D32C8">
      <w:pPr>
        <w:ind w:left="567" w:right="963"/>
        <w:jc w:val="both"/>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 xml:space="preserve">“Artículo 143.- </w:t>
      </w:r>
      <w:r w:rsidRPr="00B51571">
        <w:rPr>
          <w:rFonts w:ascii="Palatino Linotype" w:eastAsia="Palatino Linotype" w:hAnsi="Palatino Linotype" w:cs="Palatino Linotype"/>
          <w:i/>
          <w:sz w:val="22"/>
          <w:szCs w:val="22"/>
        </w:rPr>
        <w:t>Las autoridades del Estado sólo tienen las facultades que expresamente les confieren las leyes y otros ordenamientos jurídicos.”</w:t>
      </w:r>
    </w:p>
    <w:p w:rsidR="00B91BBA" w:rsidRPr="00B51571" w:rsidRDefault="00B91BBA">
      <w:pPr>
        <w:rPr>
          <w:rFonts w:ascii="Palatino Linotype" w:eastAsia="Palatino Linotype" w:hAnsi="Palatino Linotype" w:cs="Palatino Linotype"/>
        </w:rPr>
      </w:pPr>
    </w:p>
    <w:p w:rsidR="00B91BBA" w:rsidRPr="00B51571" w:rsidRDefault="00B91BBA">
      <w:pPr>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En atención a los preceptos legales citados, no se advierte que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tenga acceso, administre o posea los documentos donde se conste la información solicitada, toda vez que, no cuenta con facultades para conocer de lo requerido.</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No obstante, refirió que la </w:t>
      </w:r>
      <w:r w:rsidRPr="00B51571">
        <w:rPr>
          <w:rFonts w:ascii="Palatino Linotype" w:eastAsia="Palatino Linotype" w:hAnsi="Palatino Linotype" w:cs="Palatino Linotype"/>
          <w:color w:val="000000"/>
        </w:rPr>
        <w:t>Unidad de Transparencia del Sistema Municipal para el Desarrollo Integral de la Familia (DIF) Tlalnepantla de Baz, México</w:t>
      </w:r>
      <w:r w:rsidRPr="00B51571">
        <w:rPr>
          <w:rFonts w:ascii="Palatino Linotype" w:eastAsia="Palatino Linotype" w:hAnsi="Palatino Linotype" w:cs="Palatino Linotype"/>
        </w:rPr>
        <w:t xml:space="preserve">, podría ser, el Sujeto Obligado competente que pudiera conocer de lo solicitado por el </w:t>
      </w:r>
      <w:r w:rsidRPr="00B51571">
        <w:rPr>
          <w:rFonts w:ascii="Palatino Linotype" w:eastAsia="Palatino Linotype" w:hAnsi="Palatino Linotype" w:cs="Palatino Linotype"/>
          <w:b/>
        </w:rPr>
        <w:t>RECURRENTE.</w:t>
      </w:r>
    </w:p>
    <w:p w:rsidR="00B91BBA" w:rsidRPr="00B51571" w:rsidRDefault="00B91BBA">
      <w:pPr>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Lo anterior, tomando en consideración que, el Sujeto Obligado que cuenta con las facultades necesarias para conocer lo referente </w:t>
      </w:r>
      <w:r w:rsidRPr="00B51571">
        <w:rPr>
          <w:rFonts w:ascii="Palatino Linotype" w:eastAsia="Palatino Linotype" w:hAnsi="Palatino Linotype" w:cs="Palatino Linotype"/>
          <w:b/>
        </w:rPr>
        <w:t>al expediente de la solicitud</w:t>
      </w:r>
      <w:r w:rsidRPr="00B51571">
        <w:rPr>
          <w:rFonts w:ascii="Palatino Linotype" w:eastAsia="Palatino Linotype" w:hAnsi="Palatino Linotype" w:cs="Palatino Linotype"/>
        </w:rPr>
        <w:t xml:space="preserve">  </w:t>
      </w:r>
      <w:r w:rsidRPr="00B51571">
        <w:rPr>
          <w:rFonts w:ascii="Palatino Linotype" w:eastAsia="Palatino Linotype" w:hAnsi="Palatino Linotype" w:cs="Palatino Linotype"/>
          <w:b/>
          <w:i/>
        </w:rPr>
        <w:t xml:space="preserve"> 003/DIFTLALNE/IP/2024</w:t>
      </w:r>
      <w:r w:rsidRPr="00B51571">
        <w:rPr>
          <w:rFonts w:ascii="Palatino Linotype" w:eastAsia="Palatino Linotype" w:hAnsi="Palatino Linotype" w:cs="Palatino Linotype"/>
        </w:rPr>
        <w:t xml:space="preserve">, es exclusiva de la </w:t>
      </w:r>
      <w:r w:rsidRPr="00B51571">
        <w:rPr>
          <w:rFonts w:ascii="Palatino Linotype" w:eastAsia="Palatino Linotype" w:hAnsi="Palatino Linotype" w:cs="Palatino Linotype"/>
          <w:color w:val="000000"/>
        </w:rPr>
        <w:t>Unidad de Transparencia del Sistema Municipal para el Desarrollo Integral de la Familia (DIF) Tlalnepantla de Baz, México</w:t>
      </w:r>
      <w:r w:rsidRPr="00B51571">
        <w:rPr>
          <w:rFonts w:ascii="Palatino Linotype" w:eastAsia="Palatino Linotype" w:hAnsi="Palatino Linotype" w:cs="Palatino Linotype"/>
        </w:rPr>
        <w:t>.  Esto, en atención a lo establecido en los artículos 131 y 132 del Reglamento Interno del Sistema Municipal para el Desarrollo Integral de la Familia de Tlalnepantla de Baz, México, preceptos legales que se transcriben a continuación:</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Artículo 131.-</w:t>
      </w:r>
      <w:r w:rsidRPr="00B51571">
        <w:rPr>
          <w:rFonts w:ascii="Palatino Linotype" w:eastAsia="Palatino Linotype" w:hAnsi="Palatino Linotype" w:cs="Palatino Linotype"/>
          <w:i/>
          <w:sz w:val="22"/>
          <w:szCs w:val="22"/>
        </w:rPr>
        <w:t xml:space="preserve"> La Coordinación de Transparencia es un órgano especializado del SMDIF que gozará de autonomía en sus decisiones y que, en apego a la normatividad aplicable, habrá de conducir los procesos de transparencia, acceso a la información pública y protección de datos personales en el SMDIF; garantizando que la información sea accesible, actualizada, completa, congruente, confiable, verificable, veraz, integral, oportuna y expedita.</w:t>
      </w:r>
    </w:p>
    <w:p w:rsidR="00B91BBA" w:rsidRPr="00B51571" w:rsidRDefault="00B91BBA">
      <w:pPr>
        <w:ind w:left="851" w:right="963"/>
        <w:jc w:val="both"/>
        <w:rPr>
          <w:rFonts w:ascii="Palatino Linotype" w:eastAsia="Palatino Linotype" w:hAnsi="Palatino Linotype" w:cs="Palatino Linotype"/>
          <w:i/>
          <w:sz w:val="22"/>
          <w:szCs w:val="22"/>
        </w:rPr>
      </w:pP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t>Artículo 132.-</w:t>
      </w:r>
      <w:r w:rsidRPr="00B51571">
        <w:rPr>
          <w:rFonts w:ascii="Palatino Linotype" w:eastAsia="Palatino Linotype" w:hAnsi="Palatino Linotype" w:cs="Palatino Linotype"/>
          <w:i/>
          <w:sz w:val="22"/>
          <w:szCs w:val="22"/>
        </w:rPr>
        <w:t>Son atribuciones y obligaciones de la o el titular de la Coordinación de Transparencia, además de las establecidas en la Ley General de Transparencia y Acceso a la Información Pública, la Ley de Transparencia y Acceso a la Información Pública del Estado de México y Municipios, la Ley General de Protección de Datos Personales en Posesión de Sujetos Obligados; la Ley de Protección de Datos Personales en Posesión de Sujetos Obligados del Estado de México y Municipios; y demás normatividad que sean aplicables, las siguientes:</w:t>
      </w:r>
    </w:p>
    <w:p w:rsidR="00B91BBA" w:rsidRPr="00B51571" w:rsidRDefault="00B91BBA">
      <w:pPr>
        <w:ind w:left="851" w:right="963"/>
        <w:jc w:val="both"/>
        <w:rPr>
          <w:rFonts w:ascii="Palatino Linotype" w:eastAsia="Palatino Linotype" w:hAnsi="Palatino Linotype" w:cs="Palatino Linotype"/>
          <w:i/>
          <w:sz w:val="22"/>
          <w:szCs w:val="22"/>
        </w:rPr>
      </w:pP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 Instalar, dar seguimiento e integrar las actas del Comité Interno de Transparencia, Acceso a la información Pública y Protección de Datos Personales del SMDIF, conforme la normatividad aplicable;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II. Integrar un calendario anual de sesiones del Comité Interno de Transparencia, Acceso a la información Pública y Protección de Datos Personales del SMDIF;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III. Impulsar la capacitación y profesionalización de los servidores públicos habilitados del SMDIF;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IV. Presentar ante el Comité Interno de Transparencia, el proyecto de clasificación de información y dar seguimiento a las solicitudes que realicen las unidades administrativas;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V. Fomentar la cultura de transparencia al interior del SMDIF;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VI. Recabar, difundir y actualizar la información relativa a las obligaciones de transparencia comunes y específicas a la que se refiere la normatividad aplicable; </w:t>
      </w:r>
      <w:r w:rsidRPr="00B51571">
        <w:rPr>
          <w:rFonts w:ascii="Palatino Linotype" w:eastAsia="Palatino Linotype" w:hAnsi="Palatino Linotype" w:cs="Palatino Linotype"/>
          <w:b/>
          <w:i/>
          <w:sz w:val="22"/>
          <w:szCs w:val="22"/>
        </w:rPr>
        <w:t>VII. Recibir, tramitar y dar respuesta a las solicitudes de acceso a la información;</w:t>
      </w:r>
      <w:r w:rsidRPr="00B51571">
        <w:rPr>
          <w:rFonts w:ascii="Palatino Linotype" w:eastAsia="Palatino Linotype" w:hAnsi="Palatino Linotype" w:cs="Palatino Linotype"/>
          <w:i/>
          <w:sz w:val="22"/>
          <w:szCs w:val="22"/>
        </w:rPr>
        <w:t xml:space="preserve">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VIII. Auxiliar a los particulares en la elaboración de solicitudes de acceso a la información, y en su caso, orientarlos sobre los sujetos obligados competentes conforme la normatividad aplicable;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IX. Realizar, con efectividad, los trámites internos necesarios para la atención de las solicitudes de acceso a la información; </w:t>
      </w:r>
    </w:p>
    <w:p w:rsidR="00B91BBA" w:rsidRPr="00B51571" w:rsidRDefault="009D32C8">
      <w:pPr>
        <w:ind w:left="851" w:right="963"/>
        <w:jc w:val="both"/>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 xml:space="preserve">X. Entregar, en su caso, a los particulares la información solicitada;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XI. Proponer al Comité Interno de Transparencia los procedimientos internos que aseguren la mayor eficiencia en la gestión de las solicitudes de acceso a la información, conforme a la normatividad aplicable;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XII. Hacer del conocimiento del Órgano Interno de Control la probable responsabilidad por el incumplimiento de las obligaciones previstas en materia de transparencia, acceso a la información y protección de datos personales;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XIII. Evaluar el cumplimiento de las funciones de los servidores públicos habilitados del SMDIF;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XIV. Vigilar que se garantice la protección de datos personales;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XV. Llevar el sistema de datos personales del SMDIF, de acuerdo con lo señalado en la Ley de Protección de Datos Personales del Estado de México en posesión de Sujetos Obligados del Estado de México y Municipios;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lastRenderedPageBreak/>
        <w:t xml:space="preserve">XVI. Coordinar y orientar a los servidores públicos en lo referente a sus funciones en materia de transparencia;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 xml:space="preserve">XVII. Informar a la Presidencia la designación de los servidores públicos habilitados del SMDIF; </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XVIII. Asesorar a las áreas en materia de transparencia y protección de datos personales.</w:t>
      </w:r>
    </w:p>
    <w:p w:rsidR="00B91BBA" w:rsidRPr="00B51571" w:rsidRDefault="009D32C8">
      <w:pPr>
        <w:ind w:left="851"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XIX. Las demás que establezca la Presidencia o la Dirección General, en el ámbito de sus atribuciones o la normatividad aplicable.</w:t>
      </w:r>
    </w:p>
    <w:p w:rsidR="00B91BBA" w:rsidRPr="00B51571" w:rsidRDefault="00B91BBA">
      <w:pPr>
        <w:spacing w:line="360" w:lineRule="auto"/>
        <w:ind w:right="-28"/>
        <w:jc w:val="both"/>
      </w:pP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Es de referir, que el Sujeto Obligado, en informe justificado, además de ratificar su respuesta inicial, adjunto el acuerdo de incompetencia correspondiente para atender la solicitud de acceso información  00692/TLALNEPA/IP/2024, el cual, por criterio de este pleno, no se consideraba necesario al tratarse de una incompetencia NOTORIA, por tratarse de Sujetos Obligados DIVERSOS, sin embargo, el mismo fue puesto a la vista del ahora RECURRENTE, por tratarse de información relacionada con el recurso de mérito.</w:t>
      </w:r>
    </w:p>
    <w:p w:rsidR="00B91BBA" w:rsidRPr="00B51571" w:rsidRDefault="009D32C8">
      <w:pPr>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   </w:t>
      </w: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Precisado lo anterior, se advierte que, tanto el acto impugnado como los motivos de inconformidad hechos valer por el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son improcedentes, </w:t>
      </w:r>
      <w:r w:rsidRPr="00B51571">
        <w:rPr>
          <w:rFonts w:ascii="Palatino Linotype" w:eastAsia="Palatino Linotype" w:hAnsi="Palatino Linotype" w:cs="Palatino Linotype"/>
          <w:b/>
        </w:rPr>
        <w:t xml:space="preserve">puesto que la información que solicitó es competencia de un Sujeto Obligado distinto al que se le formuló la solicitud. </w:t>
      </w:r>
    </w:p>
    <w:p w:rsidR="00B91BBA" w:rsidRPr="00B51571" w:rsidRDefault="00B91BBA">
      <w:pPr>
        <w:ind w:right="-28"/>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Entonces, al ser dos entes distintos en materia de transparencia, resulta en obviedad que uno no puede atender las solicitudes de información de otro, puesto que es información que cada Sujeto Obligado posee, genera y administra.</w:t>
      </w:r>
    </w:p>
    <w:p w:rsidR="00B91BBA" w:rsidRPr="00B51571" w:rsidRDefault="00B91BBA">
      <w:pPr>
        <w:ind w:right="-28"/>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Ahora bien, este Órgano Garante estima que el actuar del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encuadra en lo preceptuado por la Ley de la materia, por lo que es necesario señalar los siguientes preceptos legales:</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b/>
          <w:i/>
          <w:sz w:val="22"/>
          <w:szCs w:val="22"/>
        </w:rPr>
        <w:lastRenderedPageBreak/>
        <w:t>“Artículo 53</w:t>
      </w:r>
      <w:r w:rsidRPr="00B51571">
        <w:rPr>
          <w:rFonts w:ascii="Palatino Linotype" w:eastAsia="Palatino Linotype" w:hAnsi="Palatino Linotype" w:cs="Palatino Linotype"/>
          <w:i/>
          <w:sz w:val="22"/>
          <w:szCs w:val="22"/>
        </w:rPr>
        <w:t xml:space="preserve">. Las Unidades de Transparencia tendrán las siguientes funciones: </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p>
    <w:p w:rsidR="00B91BBA" w:rsidRPr="00B51571" w:rsidRDefault="009D32C8">
      <w:pPr>
        <w:ind w:left="567" w:right="963"/>
        <w:jc w:val="both"/>
        <w:rPr>
          <w:rFonts w:ascii="Palatino Linotype" w:eastAsia="Palatino Linotype" w:hAnsi="Palatino Linotype" w:cs="Palatino Linotype"/>
          <w:b/>
          <w:i/>
          <w:sz w:val="22"/>
          <w:szCs w:val="22"/>
        </w:rPr>
      </w:pPr>
      <w:r w:rsidRPr="00B51571">
        <w:rPr>
          <w:rFonts w:ascii="Palatino Linotype" w:eastAsia="Palatino Linotype" w:hAnsi="Palatino Linotype" w:cs="Palatino Linotype"/>
          <w:b/>
          <w:i/>
          <w:sz w:val="22"/>
          <w:szCs w:val="22"/>
        </w:rPr>
        <w:t>III. Auxiliar a los particulares en la elaboración de solicitudes de acceso a la información y, en su caso, orientarlos sobre los sujetos obligados competentes conforme a la normatividad aplicable;</w:t>
      </w:r>
    </w:p>
    <w:p w:rsidR="00B91BBA" w:rsidRPr="00B51571" w:rsidRDefault="009D32C8">
      <w:pPr>
        <w:ind w:left="567" w:right="963"/>
        <w:jc w:val="both"/>
        <w:rPr>
          <w:rFonts w:ascii="Palatino Linotype" w:eastAsia="Palatino Linotype" w:hAnsi="Palatino Linotype" w:cs="Palatino Linotype"/>
          <w:i/>
          <w:sz w:val="22"/>
          <w:szCs w:val="22"/>
        </w:rPr>
      </w:pPr>
      <w:r w:rsidRPr="00B51571">
        <w:rPr>
          <w:rFonts w:ascii="Palatino Linotype" w:eastAsia="Palatino Linotype" w:hAnsi="Palatino Linotype" w:cs="Palatino Linotype"/>
          <w:i/>
          <w:sz w:val="22"/>
          <w:szCs w:val="22"/>
        </w:rPr>
        <w:t>(…)”</w:t>
      </w:r>
    </w:p>
    <w:p w:rsidR="00B91BBA" w:rsidRPr="00B51571" w:rsidRDefault="009D32C8">
      <w:pPr>
        <w:pBdr>
          <w:top w:val="nil"/>
          <w:left w:val="nil"/>
          <w:bottom w:val="nil"/>
          <w:right w:val="nil"/>
          <w:between w:val="nil"/>
        </w:pBdr>
        <w:spacing w:before="240"/>
        <w:ind w:left="567" w:right="963"/>
        <w:jc w:val="center"/>
        <w:rPr>
          <w:rFonts w:ascii="Palatino Linotype" w:eastAsia="Palatino Linotype" w:hAnsi="Palatino Linotype" w:cs="Palatino Linotype"/>
          <w:b/>
          <w:i/>
          <w:color w:val="000000"/>
          <w:sz w:val="22"/>
          <w:szCs w:val="22"/>
        </w:rPr>
      </w:pPr>
      <w:r w:rsidRPr="00B51571">
        <w:rPr>
          <w:rFonts w:ascii="Palatino Linotype" w:eastAsia="Palatino Linotype" w:hAnsi="Palatino Linotype" w:cs="Palatino Linotype"/>
          <w:b/>
          <w:i/>
          <w:color w:val="000000"/>
          <w:sz w:val="22"/>
          <w:szCs w:val="22"/>
        </w:rPr>
        <w:t>Capítulo I</w:t>
      </w:r>
    </w:p>
    <w:p w:rsidR="00B91BBA" w:rsidRPr="00B51571" w:rsidRDefault="009D32C8">
      <w:pPr>
        <w:pBdr>
          <w:top w:val="nil"/>
          <w:left w:val="nil"/>
          <w:bottom w:val="nil"/>
          <w:right w:val="nil"/>
          <w:between w:val="nil"/>
        </w:pBdr>
        <w:ind w:left="567" w:right="963"/>
        <w:jc w:val="center"/>
        <w:rPr>
          <w:rFonts w:ascii="Palatino Linotype" w:eastAsia="Palatino Linotype" w:hAnsi="Palatino Linotype" w:cs="Palatino Linotype"/>
          <w:b/>
          <w:i/>
          <w:color w:val="000000"/>
          <w:sz w:val="22"/>
          <w:szCs w:val="22"/>
        </w:rPr>
      </w:pPr>
      <w:r w:rsidRPr="00B51571">
        <w:rPr>
          <w:rFonts w:ascii="Palatino Linotype" w:eastAsia="Palatino Linotype" w:hAnsi="Palatino Linotype" w:cs="Palatino Linotype"/>
          <w:b/>
          <w:i/>
          <w:color w:val="000000"/>
          <w:sz w:val="22"/>
          <w:szCs w:val="22"/>
        </w:rPr>
        <w:t>Del Procedimiento de Acceso a la Información Pública</w:t>
      </w:r>
    </w:p>
    <w:p w:rsidR="00B91BBA" w:rsidRPr="00B51571" w:rsidRDefault="00B91BBA">
      <w:pPr>
        <w:pBdr>
          <w:top w:val="nil"/>
          <w:left w:val="nil"/>
          <w:bottom w:val="nil"/>
          <w:right w:val="nil"/>
          <w:between w:val="nil"/>
        </w:pBdr>
        <w:ind w:left="567" w:right="963"/>
        <w:jc w:val="center"/>
        <w:rPr>
          <w:rFonts w:ascii="Palatino Linotype" w:eastAsia="Palatino Linotype" w:hAnsi="Palatino Linotype" w:cs="Palatino Linotype"/>
          <w:b/>
          <w:i/>
          <w:color w:val="000000"/>
          <w:sz w:val="22"/>
          <w:szCs w:val="22"/>
        </w:rPr>
      </w:pPr>
    </w:p>
    <w:p w:rsidR="00B91BBA" w:rsidRPr="00B51571" w:rsidRDefault="009D32C8">
      <w:pPr>
        <w:pBdr>
          <w:top w:val="nil"/>
          <w:left w:val="nil"/>
          <w:bottom w:val="nil"/>
          <w:right w:val="nil"/>
          <w:between w:val="nil"/>
        </w:pBdr>
        <w:spacing w:after="240"/>
        <w:ind w:left="567" w:right="963"/>
        <w:jc w:val="both"/>
        <w:rPr>
          <w:rFonts w:ascii="Palatino Linotype" w:eastAsia="Palatino Linotype" w:hAnsi="Palatino Linotype" w:cs="Palatino Linotype"/>
          <w:i/>
          <w:color w:val="000000"/>
          <w:sz w:val="22"/>
          <w:szCs w:val="22"/>
        </w:rPr>
      </w:pPr>
      <w:r w:rsidRPr="00B51571">
        <w:rPr>
          <w:rFonts w:ascii="Palatino Linotype" w:eastAsia="Palatino Linotype" w:hAnsi="Palatino Linotype" w:cs="Palatino Linotype"/>
          <w:b/>
          <w:i/>
          <w:color w:val="000000"/>
          <w:sz w:val="22"/>
          <w:szCs w:val="22"/>
        </w:rPr>
        <w:t>“Artículo 150.</w:t>
      </w:r>
      <w:r w:rsidRPr="00B51571">
        <w:rPr>
          <w:rFonts w:ascii="Palatino Linotype" w:eastAsia="Palatino Linotype" w:hAnsi="Palatino Linotype" w:cs="Palatino Linotype"/>
          <w:i/>
          <w:color w:val="000000"/>
          <w:sz w:val="22"/>
          <w:szCs w:val="22"/>
        </w:rPr>
        <w:t xml:space="preserv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De los artículos transcritos se deriva que prevalece en el procedimiento de acceso a la información pública el principio de auxilio y orientación en favor de los particulares, y, que en los casos en que un Sujeto Obligado determine que no es competente para atender una solicitud de información, por no corresponderle generar o administrar lo solicitado, debe orientar sobre el Sujeto Obligado competente, debiendo hacerlo en el plazo de </w:t>
      </w:r>
      <w:r w:rsidRPr="00B51571">
        <w:rPr>
          <w:rFonts w:ascii="Palatino Linotype" w:eastAsia="Palatino Linotype" w:hAnsi="Palatino Linotype" w:cs="Palatino Linotype"/>
          <w:b/>
        </w:rPr>
        <w:t>tres días hábiles</w:t>
      </w:r>
      <w:r w:rsidRPr="00B51571">
        <w:rPr>
          <w:rFonts w:ascii="Palatino Linotype" w:eastAsia="Palatino Linotype" w:hAnsi="Palatino Linotype" w:cs="Palatino Linotype"/>
        </w:rPr>
        <w:t xml:space="preserve"> posteriores a la recepción de la solicitud; en caso de no hacerlo en dicho plazo, podrá canalizar la solicitud al Sujeto Obligado competente.</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En el caso particular, se precisa que el Particular ingresó la solicitud de información el </w:t>
      </w:r>
      <w:r w:rsidRPr="00B51571">
        <w:rPr>
          <w:rFonts w:ascii="Palatino Linotype" w:eastAsia="Palatino Linotype" w:hAnsi="Palatino Linotype" w:cs="Palatino Linotype"/>
          <w:b/>
        </w:rPr>
        <w:t>veintiuno de junio de dos mil veinticuatro</w:t>
      </w:r>
      <w:r w:rsidRPr="00B51571">
        <w:rPr>
          <w:rFonts w:ascii="Palatino Linotype" w:eastAsia="Palatino Linotype" w:hAnsi="Palatino Linotype" w:cs="Palatino Linotype"/>
        </w:rPr>
        <w:t xml:space="preserve">, posteriormente el </w:t>
      </w:r>
      <w:r w:rsidRPr="00B51571">
        <w:rPr>
          <w:rFonts w:ascii="Palatino Linotype" w:eastAsia="Palatino Linotype" w:hAnsi="Palatino Linotype" w:cs="Palatino Linotype"/>
          <w:b/>
        </w:rPr>
        <w:t>SUJETO OBLIGADO</w:t>
      </w:r>
      <w:r w:rsidRPr="00B51571">
        <w:rPr>
          <w:rFonts w:ascii="Palatino Linotype" w:eastAsia="Palatino Linotype" w:hAnsi="Palatino Linotype" w:cs="Palatino Linotype"/>
        </w:rPr>
        <w:t xml:space="preserve"> determinó su incompetencia para atender la solicitud el </w:t>
      </w:r>
      <w:r w:rsidRPr="00B51571">
        <w:rPr>
          <w:rFonts w:ascii="Palatino Linotype" w:eastAsia="Palatino Linotype" w:hAnsi="Palatino Linotype" w:cs="Palatino Linotype"/>
          <w:b/>
        </w:rPr>
        <w:t>once de julio de dos mil veinticuatro</w:t>
      </w:r>
      <w:r w:rsidRPr="00B51571">
        <w:rPr>
          <w:rFonts w:ascii="Palatino Linotype" w:eastAsia="Palatino Linotype" w:hAnsi="Palatino Linotype" w:cs="Palatino Linotype"/>
        </w:rPr>
        <w:t xml:space="preserve">, es decir, </w:t>
      </w:r>
      <w:r w:rsidRPr="00B51571">
        <w:rPr>
          <w:rFonts w:ascii="Palatino Linotype" w:eastAsia="Palatino Linotype" w:hAnsi="Palatino Linotype" w:cs="Palatino Linotype"/>
          <w:b/>
        </w:rPr>
        <w:t xml:space="preserve">catorce días hábiles </w:t>
      </w:r>
      <w:r w:rsidRPr="00B51571">
        <w:rPr>
          <w:rFonts w:ascii="Palatino Linotype" w:eastAsia="Palatino Linotype" w:hAnsi="Palatino Linotype" w:cs="Palatino Linotype"/>
        </w:rPr>
        <w:t>posterior a la recepción de la solicitud, por lo cual, se encontraba fuera del plazo establecido en el artículo 167 de la Ley de Transparencia Local.</w:t>
      </w:r>
    </w:p>
    <w:p w:rsidR="00B91BBA" w:rsidRPr="00B51571" w:rsidRDefault="00B91BBA">
      <w:pPr>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lastRenderedPageBreak/>
        <w:t xml:space="preserve">Por lo tanto, bajo los principios de certeza, eficacia y objetividad, establecidos en el artículo 9 de la Ley de Transparencia y Acceso a la Información Pública del Estado de México y Municipios, y derivado de que la información requerida corresponde con atribuciones de un Sujeto Obligado distinto al que le fue presentada la solicitud, y a fin de no dilatar el derecho de acceso a la información, como ya fue establecido, se dejan a salvo los derechos del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para que pueda realizar la solicitud de información ante el Sujeto Obligado correspondiente.</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r w:rsidRPr="00B51571">
        <w:rPr>
          <w:rFonts w:ascii="Palatino Linotype" w:eastAsia="Palatino Linotype" w:hAnsi="Palatino Linotype" w:cs="Palatino Linotype"/>
        </w:rPr>
        <w:t xml:space="preserve">En este sentido, resultan </w:t>
      </w:r>
      <w:r w:rsidRPr="00B51571">
        <w:rPr>
          <w:rFonts w:ascii="Palatino Linotype" w:eastAsia="Palatino Linotype" w:hAnsi="Palatino Linotype" w:cs="Palatino Linotype"/>
          <w:b/>
        </w:rPr>
        <w:t>INFUNDADAS</w:t>
      </w:r>
      <w:r w:rsidRPr="00B51571">
        <w:rPr>
          <w:rFonts w:ascii="Palatino Linotype" w:eastAsia="Palatino Linotype" w:hAnsi="Palatino Linotype" w:cs="Palatino Linotype"/>
        </w:rPr>
        <w:t xml:space="preserve"> las razones o motivos de inconformidad hechos valer por el </w:t>
      </w:r>
      <w:r w:rsidRPr="00B51571">
        <w:rPr>
          <w:rFonts w:ascii="Palatino Linotype" w:eastAsia="Palatino Linotype" w:hAnsi="Palatino Linotype" w:cs="Palatino Linotype"/>
          <w:b/>
        </w:rPr>
        <w:t>RECURRENTE,</w:t>
      </w:r>
      <w:r w:rsidRPr="00B51571">
        <w:rPr>
          <w:rFonts w:ascii="Palatino Linotype" w:eastAsia="Palatino Linotype" w:hAnsi="Palatino Linotype" w:cs="Palatino Linotype"/>
        </w:rPr>
        <w:t xml:space="preserve"> toda vez que no se actualizan las hipótesis de procedencia contenidas en el artículo 179, de la Ley de Transparencia y Acceso a la Información Pública del Estado de México y Municipios, de tal manera que se </w:t>
      </w:r>
      <w:r w:rsidRPr="00B51571">
        <w:rPr>
          <w:rFonts w:ascii="Palatino Linotype" w:eastAsia="Palatino Linotype" w:hAnsi="Palatino Linotype" w:cs="Palatino Linotype"/>
          <w:b/>
        </w:rPr>
        <w:t>CONFIRMA</w:t>
      </w:r>
      <w:r w:rsidRPr="00B51571">
        <w:rPr>
          <w:rFonts w:ascii="Palatino Linotype" w:eastAsia="Palatino Linotype" w:hAnsi="Palatino Linotype" w:cs="Palatino Linotype"/>
        </w:rPr>
        <w:t xml:space="preserve"> la respuesta del </w:t>
      </w:r>
      <w:r w:rsidRPr="00B51571">
        <w:rPr>
          <w:rFonts w:ascii="Palatino Linotype" w:eastAsia="Palatino Linotype" w:hAnsi="Palatino Linotype" w:cs="Palatino Linotype"/>
          <w:b/>
        </w:rPr>
        <w:t>SUJETO OBLIGADO.</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numPr>
          <w:ilvl w:val="0"/>
          <w:numId w:val="2"/>
        </w:numPr>
        <w:spacing w:line="360" w:lineRule="auto"/>
        <w:ind w:left="0" w:right="-28" w:firstLine="0"/>
        <w:jc w:val="both"/>
        <w:rPr>
          <w:rFonts w:ascii="Palatino Linotype" w:eastAsia="Palatino Linotype" w:hAnsi="Palatino Linotype" w:cs="Palatino Linotype"/>
        </w:rPr>
      </w:pPr>
      <w:bookmarkStart w:id="7" w:name="_heading=h.3rdcrjn" w:colFirst="0" w:colLast="0"/>
      <w:bookmarkEnd w:id="7"/>
      <w:r w:rsidRPr="00B51571">
        <w:rPr>
          <w:rFonts w:ascii="Palatino Linotype" w:eastAsia="Palatino Linotype" w:hAnsi="Palatino Linotype" w:cs="Palatino Linotype"/>
          <w:color w:val="222222"/>
        </w:rPr>
        <w:t xml:space="preserve">Por lo anteriormente expuesto y fundado, este </w:t>
      </w:r>
      <w:r w:rsidRPr="00B51571">
        <w:rPr>
          <w:rFonts w:ascii="Palatino Linotype" w:eastAsia="Palatino Linotype" w:hAnsi="Palatino Linotype" w:cs="Palatino Linotype"/>
          <w:b/>
          <w:color w:val="222222"/>
        </w:rPr>
        <w:t>ÓRGANO GARANTE</w:t>
      </w:r>
      <w:r w:rsidRPr="00B51571">
        <w:rPr>
          <w:rFonts w:ascii="Palatino Linotype" w:eastAsia="Palatino Linotype" w:hAnsi="Palatino Linotype" w:cs="Palatino Linotype"/>
          <w:color w:val="222222"/>
        </w:rPr>
        <w:t xml:space="preserve"> emite los siguientes:</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keepNext/>
        <w:keepLines/>
        <w:spacing w:line="360" w:lineRule="auto"/>
        <w:ind w:right="-28"/>
        <w:jc w:val="center"/>
        <w:rPr>
          <w:rFonts w:ascii="Palatino Linotype" w:eastAsia="Palatino Linotype" w:hAnsi="Palatino Linotype" w:cs="Palatino Linotype"/>
          <w:b/>
          <w:color w:val="000000"/>
        </w:rPr>
      </w:pPr>
      <w:r w:rsidRPr="00B51571">
        <w:rPr>
          <w:rFonts w:ascii="Palatino Linotype" w:eastAsia="Palatino Linotype" w:hAnsi="Palatino Linotype" w:cs="Palatino Linotype"/>
          <w:b/>
          <w:color w:val="000000"/>
        </w:rPr>
        <w:t>R E S O L U T I V O S</w:t>
      </w:r>
    </w:p>
    <w:p w:rsidR="00B91BBA" w:rsidRPr="00B51571" w:rsidRDefault="00B91BBA">
      <w:pPr>
        <w:keepNext/>
        <w:keepLines/>
        <w:spacing w:line="360" w:lineRule="auto"/>
        <w:ind w:right="-28"/>
        <w:jc w:val="center"/>
        <w:rPr>
          <w:rFonts w:ascii="Palatino Linotype" w:eastAsia="Palatino Linotype" w:hAnsi="Palatino Linotype" w:cs="Palatino Linotype"/>
          <w:b/>
        </w:rPr>
      </w:pPr>
    </w:p>
    <w:p w:rsidR="00B91BBA" w:rsidRPr="00B51571" w:rsidRDefault="009D32C8">
      <w:pPr>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b/>
        </w:rPr>
        <w:t xml:space="preserve">PRIMERO. </w:t>
      </w:r>
      <w:r w:rsidRPr="00B51571">
        <w:rPr>
          <w:rFonts w:ascii="Palatino Linotype" w:eastAsia="Palatino Linotype" w:hAnsi="Palatino Linotype" w:cs="Palatino Linotype"/>
        </w:rPr>
        <w:t>Resultan infundadas las</w:t>
      </w:r>
      <w:r w:rsidRPr="00B51571">
        <w:rPr>
          <w:rFonts w:ascii="Palatino Linotype" w:eastAsia="Palatino Linotype" w:hAnsi="Palatino Linotype" w:cs="Palatino Linotype"/>
          <w:b/>
        </w:rPr>
        <w:t xml:space="preserve"> </w:t>
      </w:r>
      <w:r w:rsidRPr="00B51571">
        <w:rPr>
          <w:rFonts w:ascii="Palatino Linotype" w:eastAsia="Palatino Linotype" w:hAnsi="Palatino Linotype" w:cs="Palatino Linotype"/>
        </w:rPr>
        <w:t>razones o motivos de inconformidad hechos valer en el recurso de revisión</w:t>
      </w:r>
      <w:r w:rsidRPr="00B51571">
        <w:rPr>
          <w:rFonts w:ascii="Palatino Linotype" w:eastAsia="Palatino Linotype" w:hAnsi="Palatino Linotype" w:cs="Palatino Linotype"/>
          <w:b/>
        </w:rPr>
        <w:t xml:space="preserve"> 04537/INFOEM/IP/RR/2024, </w:t>
      </w:r>
      <w:r w:rsidRPr="00B51571">
        <w:rPr>
          <w:rFonts w:ascii="Palatino Linotype" w:eastAsia="Palatino Linotype" w:hAnsi="Palatino Linotype" w:cs="Palatino Linotype"/>
        </w:rPr>
        <w:t xml:space="preserve">en términos del </w:t>
      </w:r>
      <w:r w:rsidRPr="00B51571">
        <w:rPr>
          <w:rFonts w:ascii="Palatino Linotype" w:eastAsia="Palatino Linotype" w:hAnsi="Palatino Linotype" w:cs="Palatino Linotype"/>
          <w:b/>
        </w:rPr>
        <w:t>Considerando</w:t>
      </w:r>
      <w:r w:rsidRPr="00B51571">
        <w:rPr>
          <w:rFonts w:ascii="Palatino Linotype" w:eastAsia="Palatino Linotype" w:hAnsi="Palatino Linotype" w:cs="Palatino Linotype"/>
        </w:rPr>
        <w:t xml:space="preserve"> </w:t>
      </w:r>
      <w:r w:rsidRPr="00B51571">
        <w:rPr>
          <w:rFonts w:ascii="Palatino Linotype" w:eastAsia="Palatino Linotype" w:hAnsi="Palatino Linotype" w:cs="Palatino Linotype"/>
          <w:b/>
        </w:rPr>
        <w:t>CUARTO</w:t>
      </w:r>
      <w:r w:rsidRPr="00B51571">
        <w:rPr>
          <w:rFonts w:ascii="Palatino Linotype" w:eastAsia="Palatino Linotype" w:hAnsi="Palatino Linotype" w:cs="Palatino Linotype"/>
        </w:rPr>
        <w:t xml:space="preserve"> de la presente resolución.</w:t>
      </w:r>
    </w:p>
    <w:p w:rsidR="00B91BBA" w:rsidRPr="00B51571" w:rsidRDefault="00B91BBA">
      <w:pPr>
        <w:spacing w:line="360" w:lineRule="auto"/>
        <w:ind w:right="-28"/>
        <w:jc w:val="both"/>
        <w:rPr>
          <w:rFonts w:ascii="Palatino Linotype" w:eastAsia="Palatino Linotype" w:hAnsi="Palatino Linotype" w:cs="Palatino Linotype"/>
        </w:rPr>
      </w:pPr>
    </w:p>
    <w:p w:rsidR="00B91BBA" w:rsidRPr="00B51571" w:rsidRDefault="009D32C8">
      <w:pPr>
        <w:spacing w:line="360" w:lineRule="auto"/>
        <w:ind w:right="-28"/>
        <w:jc w:val="both"/>
        <w:rPr>
          <w:rFonts w:ascii="Palatino Linotype" w:eastAsia="Palatino Linotype" w:hAnsi="Palatino Linotype" w:cs="Palatino Linotype"/>
          <w:b/>
        </w:rPr>
      </w:pPr>
      <w:r w:rsidRPr="00B51571">
        <w:rPr>
          <w:rFonts w:ascii="Palatino Linotype" w:eastAsia="Palatino Linotype" w:hAnsi="Palatino Linotype" w:cs="Palatino Linotype"/>
          <w:b/>
        </w:rPr>
        <w:lastRenderedPageBreak/>
        <w:t>SEGUNDO.</w:t>
      </w:r>
      <w:r w:rsidRPr="00B51571">
        <w:rPr>
          <w:rFonts w:ascii="Palatino Linotype" w:eastAsia="Palatino Linotype" w:hAnsi="Palatino Linotype" w:cs="Palatino Linotype"/>
          <w:b/>
          <w:color w:val="2E75B5"/>
        </w:rPr>
        <w:t xml:space="preserve"> </w:t>
      </w:r>
      <w:r w:rsidRPr="00B51571">
        <w:rPr>
          <w:rFonts w:ascii="Palatino Linotype" w:eastAsia="Palatino Linotype" w:hAnsi="Palatino Linotype" w:cs="Palatino Linotype"/>
        </w:rPr>
        <w:t>Se</w:t>
      </w:r>
      <w:r w:rsidRPr="00B51571">
        <w:rPr>
          <w:rFonts w:ascii="Palatino Linotype" w:eastAsia="Palatino Linotype" w:hAnsi="Palatino Linotype" w:cs="Palatino Linotype"/>
          <w:b/>
        </w:rPr>
        <w:t xml:space="preserve"> CONFIRMA </w:t>
      </w:r>
      <w:r w:rsidRPr="00B51571">
        <w:rPr>
          <w:rFonts w:ascii="Palatino Linotype" w:eastAsia="Palatino Linotype" w:hAnsi="Palatino Linotype" w:cs="Palatino Linotype"/>
        </w:rPr>
        <w:t xml:space="preserve">la respuesta emitida por el </w:t>
      </w:r>
      <w:r w:rsidRPr="00B51571">
        <w:rPr>
          <w:rFonts w:ascii="Palatino Linotype" w:eastAsia="Palatino Linotype" w:hAnsi="Palatino Linotype" w:cs="Palatino Linotype"/>
          <w:b/>
        </w:rPr>
        <w:t xml:space="preserve">Ayuntamiento de Tlalnepantla de Baz </w:t>
      </w:r>
      <w:r w:rsidRPr="00B51571">
        <w:rPr>
          <w:rFonts w:ascii="Palatino Linotype" w:eastAsia="Palatino Linotype" w:hAnsi="Palatino Linotype" w:cs="Palatino Linotype"/>
        </w:rPr>
        <w:t xml:space="preserve">a la solicitud </w:t>
      </w:r>
      <w:r w:rsidRPr="00B51571">
        <w:rPr>
          <w:rFonts w:ascii="Palatino Linotype" w:eastAsia="Palatino Linotype" w:hAnsi="Palatino Linotype" w:cs="Palatino Linotype"/>
          <w:b/>
        </w:rPr>
        <w:t>00692/TLALNEPA/IP/2024.</w:t>
      </w:r>
    </w:p>
    <w:p w:rsidR="00B91BBA" w:rsidRPr="00B51571" w:rsidRDefault="00B91BBA">
      <w:pPr>
        <w:spacing w:line="360" w:lineRule="auto"/>
        <w:ind w:right="-28"/>
        <w:jc w:val="both"/>
        <w:rPr>
          <w:rFonts w:ascii="Palatino Linotype" w:eastAsia="Palatino Linotype" w:hAnsi="Palatino Linotype" w:cs="Palatino Linotype"/>
          <w:b/>
        </w:rPr>
      </w:pPr>
    </w:p>
    <w:p w:rsidR="00B91BBA" w:rsidRPr="00B51571" w:rsidRDefault="009D32C8">
      <w:pPr>
        <w:tabs>
          <w:tab w:val="left" w:pos="8080"/>
        </w:tabs>
        <w:spacing w:line="360" w:lineRule="auto"/>
        <w:ind w:right="-28"/>
        <w:jc w:val="both"/>
        <w:rPr>
          <w:rFonts w:ascii="Palatino Linotype" w:eastAsia="Palatino Linotype" w:hAnsi="Palatino Linotype" w:cs="Palatino Linotype"/>
          <w:b/>
        </w:rPr>
      </w:pPr>
      <w:r w:rsidRPr="00B51571">
        <w:rPr>
          <w:rFonts w:ascii="Palatino Linotype" w:eastAsia="Palatino Linotype" w:hAnsi="Palatino Linotype" w:cs="Palatino Linotype"/>
          <w:b/>
        </w:rPr>
        <w:t xml:space="preserve">TERCERO. NOTIFÍQUESE, </w:t>
      </w:r>
      <w:r w:rsidRPr="00B51571">
        <w:rPr>
          <w:rFonts w:ascii="Palatino Linotype" w:eastAsia="Palatino Linotype" w:hAnsi="Palatino Linotype" w:cs="Palatino Linotype"/>
        </w:rPr>
        <w:t xml:space="preserve">vía Sistema de Acceso a la Información Mexiquense </w:t>
      </w:r>
      <w:r w:rsidRPr="00B51571">
        <w:rPr>
          <w:rFonts w:ascii="Palatino Linotype" w:eastAsia="Palatino Linotype" w:hAnsi="Palatino Linotype" w:cs="Palatino Linotype"/>
          <w:b/>
        </w:rPr>
        <w:t>(SAIMEX),</w:t>
      </w:r>
      <w:r w:rsidRPr="00B51571">
        <w:rPr>
          <w:rFonts w:ascii="Palatino Linotype" w:eastAsia="Palatino Linotype" w:hAnsi="Palatino Linotype" w:cs="Palatino Linotype"/>
        </w:rPr>
        <w:t xml:space="preserve"> la presente resolución al Titular de la Unidad de Transparencia del </w:t>
      </w:r>
      <w:r w:rsidRPr="00B51571">
        <w:rPr>
          <w:rFonts w:ascii="Palatino Linotype" w:eastAsia="Palatino Linotype" w:hAnsi="Palatino Linotype" w:cs="Palatino Linotype"/>
          <w:b/>
        </w:rPr>
        <w:t>SUJETO OBLIGADO.</w:t>
      </w:r>
    </w:p>
    <w:p w:rsidR="00B91BBA" w:rsidRPr="00B51571" w:rsidRDefault="00B91BBA">
      <w:pPr>
        <w:tabs>
          <w:tab w:val="left" w:pos="8080"/>
        </w:tabs>
        <w:spacing w:line="360" w:lineRule="auto"/>
        <w:ind w:right="-28"/>
        <w:jc w:val="both"/>
        <w:rPr>
          <w:rFonts w:ascii="Palatino Linotype" w:eastAsia="Palatino Linotype" w:hAnsi="Palatino Linotype" w:cs="Palatino Linotype"/>
          <w:b/>
        </w:rPr>
      </w:pPr>
    </w:p>
    <w:p w:rsidR="00B91BBA" w:rsidRPr="00B51571" w:rsidRDefault="009D32C8">
      <w:pPr>
        <w:shd w:val="clear" w:color="auto" w:fill="FFFFFF"/>
        <w:spacing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b/>
        </w:rPr>
        <w:t xml:space="preserve">CUARTO. </w:t>
      </w:r>
      <w:r w:rsidRPr="00B51571">
        <w:rPr>
          <w:rFonts w:ascii="Palatino Linotype" w:eastAsia="Palatino Linotype" w:hAnsi="Palatino Linotype" w:cs="Palatino Linotype"/>
          <w:b/>
          <w:color w:val="222222"/>
        </w:rPr>
        <w:t>Notifíquese al RECURRENTE</w:t>
      </w:r>
      <w:r w:rsidRPr="00B51571">
        <w:rPr>
          <w:rFonts w:ascii="Palatino Linotype" w:eastAsia="Palatino Linotype" w:hAnsi="Palatino Linotype" w:cs="Palatino Linotype"/>
          <w:b/>
        </w:rPr>
        <w:t xml:space="preserve"> </w:t>
      </w:r>
      <w:r w:rsidRPr="00B51571">
        <w:rPr>
          <w:rFonts w:ascii="Palatino Linotype" w:eastAsia="Palatino Linotype" w:hAnsi="Palatino Linotype" w:cs="Palatino Linotype"/>
        </w:rPr>
        <w:t xml:space="preserve">la presente resolución a través del </w:t>
      </w:r>
      <w:r w:rsidRPr="00B51571">
        <w:rPr>
          <w:rFonts w:ascii="Palatino Linotype" w:eastAsia="Palatino Linotype" w:hAnsi="Palatino Linotype" w:cs="Palatino Linotype"/>
          <w:b/>
        </w:rPr>
        <w:t>SAIMEX.</w:t>
      </w:r>
    </w:p>
    <w:p w:rsidR="00B91BBA" w:rsidRPr="00B51571" w:rsidRDefault="009D32C8">
      <w:pPr>
        <w:spacing w:before="240" w:after="240" w:line="360" w:lineRule="auto"/>
        <w:ind w:right="-28"/>
        <w:jc w:val="both"/>
        <w:rPr>
          <w:rFonts w:ascii="Palatino Linotype" w:eastAsia="Palatino Linotype" w:hAnsi="Palatino Linotype" w:cs="Palatino Linotype"/>
        </w:rPr>
      </w:pPr>
      <w:r w:rsidRPr="00B51571">
        <w:rPr>
          <w:rFonts w:ascii="Palatino Linotype" w:eastAsia="Palatino Linotype" w:hAnsi="Palatino Linotype" w:cs="Palatino Linotype"/>
          <w:b/>
        </w:rPr>
        <w:t>QUINTO.</w:t>
      </w:r>
      <w:r w:rsidRPr="00B51571">
        <w:rPr>
          <w:rFonts w:ascii="Palatino Linotype" w:eastAsia="Palatino Linotype" w:hAnsi="Palatino Linotype" w:cs="Palatino Linotype"/>
        </w:rPr>
        <w:t xml:space="preserve"> Se hace del conocimiento del </w:t>
      </w:r>
      <w:r w:rsidRPr="00B51571">
        <w:rPr>
          <w:rFonts w:ascii="Palatino Linotype" w:eastAsia="Palatino Linotype" w:hAnsi="Palatino Linotype" w:cs="Palatino Linotype"/>
          <w:b/>
          <w:color w:val="222222"/>
        </w:rPr>
        <w:t>RECURRENTE</w:t>
      </w:r>
      <w:r w:rsidRPr="00B51571">
        <w:rPr>
          <w:rFonts w:ascii="Palatino Linotype" w:eastAsia="Palatino Linotype" w:hAnsi="Palatino Linotype" w:cs="Palatino Linotype"/>
          <w:b/>
        </w:rPr>
        <w:t xml:space="preserve"> </w:t>
      </w:r>
      <w:r w:rsidRPr="00B51571">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91BBA" w:rsidRPr="00B51571" w:rsidRDefault="00B91BBA">
      <w:pPr>
        <w:spacing w:before="240" w:after="240" w:line="360" w:lineRule="auto"/>
        <w:ind w:right="-28"/>
        <w:jc w:val="both"/>
        <w:rPr>
          <w:rFonts w:ascii="Palatino Linotype" w:eastAsia="Palatino Linotype" w:hAnsi="Palatino Linotype" w:cs="Palatino Linotype"/>
        </w:rPr>
      </w:pPr>
    </w:p>
    <w:p w:rsidR="0003218F" w:rsidRPr="003C7186" w:rsidRDefault="0003218F" w:rsidP="0003218F">
      <w:pPr>
        <w:spacing w:line="360" w:lineRule="auto"/>
        <w:ind w:left="-142" w:right="-234" w:firstLine="1"/>
        <w:jc w:val="both"/>
        <w:rPr>
          <w:rFonts w:ascii="Palatino Linotype" w:hAnsi="Palatino Linotype"/>
        </w:rPr>
      </w:pPr>
      <w:r w:rsidRPr="00B51571">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(26) DE FEBRERO DE DOS MIL VEINTICINCO, ANTE EL SECRETARIO TÉCNICO DEL PLENO ALEXIS TAPIA RAMÍREZ.</w:t>
      </w:r>
      <w:bookmarkStart w:id="8" w:name="_GoBack"/>
      <w:bookmarkEnd w:id="8"/>
      <w:r w:rsidRPr="003C7186">
        <w:rPr>
          <w:rFonts w:ascii="Palatino Linotype" w:hAnsi="Palatino Linotype"/>
        </w:rPr>
        <w:t xml:space="preserve"> </w:t>
      </w:r>
    </w:p>
    <w:p w:rsidR="00B91BBA" w:rsidRDefault="00B91BBA">
      <w:pPr>
        <w:spacing w:line="360" w:lineRule="auto"/>
        <w:ind w:right="-28"/>
        <w:jc w:val="both"/>
        <w:rPr>
          <w:rFonts w:ascii="Palatino Linotype" w:eastAsia="Palatino Linotype" w:hAnsi="Palatino Linotype" w:cs="Palatino Linotype"/>
        </w:rPr>
      </w:pPr>
    </w:p>
    <w:p w:rsidR="00B91BBA" w:rsidRDefault="00B91BBA">
      <w:pPr>
        <w:spacing w:line="360" w:lineRule="auto"/>
        <w:ind w:right="-28"/>
        <w:jc w:val="both"/>
        <w:rPr>
          <w:rFonts w:ascii="Palatino Linotype" w:eastAsia="Palatino Linotype" w:hAnsi="Palatino Linotype" w:cs="Palatino Linotype"/>
        </w:rPr>
      </w:pPr>
    </w:p>
    <w:p w:rsidR="00B91BBA" w:rsidRDefault="00B91BBA">
      <w:pPr>
        <w:spacing w:line="360" w:lineRule="auto"/>
        <w:ind w:right="-28"/>
        <w:jc w:val="both"/>
        <w:rPr>
          <w:rFonts w:ascii="Palatino Linotype" w:eastAsia="Palatino Linotype" w:hAnsi="Palatino Linotype" w:cs="Palatino Linotype"/>
        </w:rPr>
      </w:pPr>
    </w:p>
    <w:p w:rsidR="00B91BBA" w:rsidRDefault="00B91BBA">
      <w:pPr>
        <w:spacing w:line="360" w:lineRule="auto"/>
        <w:ind w:right="-28"/>
        <w:jc w:val="both"/>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p w:rsidR="00B91BBA" w:rsidRDefault="00B91BBA">
      <w:pPr>
        <w:spacing w:line="360" w:lineRule="auto"/>
        <w:ind w:right="-28"/>
        <w:rPr>
          <w:rFonts w:ascii="Palatino Linotype" w:eastAsia="Palatino Linotype" w:hAnsi="Palatino Linotype" w:cs="Palatino Linotype"/>
        </w:rPr>
      </w:pPr>
    </w:p>
    <w:sectPr w:rsidR="00B91BBA" w:rsidSect="0018782C">
      <w:headerReference w:type="even" r:id="rId11"/>
      <w:headerReference w:type="default" r:id="rId12"/>
      <w:footerReference w:type="default" r:id="rId13"/>
      <w:headerReference w:type="first" r:id="rId14"/>
      <w:footerReference w:type="first" r:id="rId15"/>
      <w:pgSz w:w="12240" w:h="15840"/>
      <w:pgMar w:top="2410" w:right="90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81" w:rsidRDefault="001F0A81">
      <w:r>
        <w:separator/>
      </w:r>
    </w:p>
  </w:endnote>
  <w:endnote w:type="continuationSeparator" w:id="0">
    <w:p w:rsidR="001F0A81" w:rsidRDefault="001F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BA" w:rsidRDefault="009D32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51571">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51571">
      <w:rPr>
        <w:b/>
        <w:noProof/>
        <w:color w:val="000000"/>
      </w:rPr>
      <w:t>21</w:t>
    </w:r>
    <w:r>
      <w:rPr>
        <w:b/>
        <w:color w:val="000000"/>
      </w:rPr>
      <w:fldChar w:fldCharType="end"/>
    </w:r>
  </w:p>
  <w:p w:rsidR="00B91BBA" w:rsidRDefault="00B91BBA">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BA" w:rsidRDefault="009D32C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51571">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51571">
      <w:rPr>
        <w:b/>
        <w:noProof/>
        <w:color w:val="000000"/>
      </w:rPr>
      <w:t>21</w:t>
    </w:r>
    <w:r>
      <w:rPr>
        <w:b/>
        <w:color w:val="000000"/>
      </w:rPr>
      <w:fldChar w:fldCharType="end"/>
    </w:r>
  </w:p>
  <w:p w:rsidR="00B91BBA" w:rsidRDefault="00B91BBA">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81" w:rsidRDefault="001F0A81">
      <w:r>
        <w:separator/>
      </w:r>
    </w:p>
  </w:footnote>
  <w:footnote w:type="continuationSeparator" w:id="0">
    <w:p w:rsidR="001F0A81" w:rsidRDefault="001F0A81">
      <w:r>
        <w:continuationSeparator/>
      </w:r>
    </w:p>
  </w:footnote>
  <w:footnote w:id="1">
    <w:p w:rsidR="00B91BBA" w:rsidRDefault="009D32C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B91BBA" w:rsidRDefault="009D32C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B91BBA" w:rsidRDefault="009D32C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B91BBA" w:rsidRDefault="009D32C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w:t>
      </w:r>
      <w:proofErr w:type="spellStart"/>
      <w:r>
        <w:rPr>
          <w:rFonts w:ascii="Calibri" w:eastAsia="Calibri" w:hAnsi="Calibri" w:cs="Calibri"/>
          <w:color w:val="000000"/>
          <w:sz w:val="20"/>
          <w:szCs w:val="20"/>
        </w:rPr>
        <w:t>Parr</w:t>
      </w:r>
      <w:proofErr w:type="spellEnd"/>
      <w:r>
        <w:rPr>
          <w:rFonts w:ascii="Calibri" w:eastAsia="Calibri" w:hAnsi="Calibri" w:cs="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BBA" w:rsidRDefault="001F0A81">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3"/>
      <w:tblW w:w="10290" w:type="dxa"/>
      <w:tblInd w:w="0" w:type="dxa"/>
      <w:tblLayout w:type="fixed"/>
      <w:tblLook w:val="0400" w:firstRow="0" w:lastRow="0" w:firstColumn="0" w:lastColumn="0" w:noHBand="0" w:noVBand="1"/>
    </w:tblPr>
    <w:tblGrid>
      <w:gridCol w:w="2310"/>
      <w:gridCol w:w="7980"/>
    </w:tblGrid>
    <w:tr w:rsidR="00B91BBA">
      <w:trPr>
        <w:trHeight w:val="917"/>
      </w:trPr>
      <w:tc>
        <w:tcPr>
          <w:tcW w:w="2310" w:type="dxa"/>
          <w:shd w:val="clear" w:color="auto" w:fill="auto"/>
        </w:tcPr>
        <w:p w:rsidR="00B91BBA" w:rsidRDefault="00B91BBA">
          <w:pPr>
            <w:tabs>
              <w:tab w:val="right" w:pos="4273"/>
            </w:tabs>
            <w:rPr>
              <w:rFonts w:ascii="Garamond" w:eastAsia="Garamond" w:hAnsi="Garamond" w:cs="Garamond"/>
              <w:sz w:val="16"/>
              <w:szCs w:val="16"/>
            </w:rPr>
          </w:pPr>
        </w:p>
      </w:tc>
      <w:tc>
        <w:tcPr>
          <w:tcW w:w="7980" w:type="dxa"/>
          <w:shd w:val="clear" w:color="auto" w:fill="auto"/>
        </w:tcPr>
        <w:tbl>
          <w:tblPr>
            <w:tblStyle w:val="af4"/>
            <w:tblW w:w="7245" w:type="dxa"/>
            <w:tblInd w:w="43" w:type="dxa"/>
            <w:tblLayout w:type="fixed"/>
            <w:tblLook w:val="0400" w:firstRow="0" w:lastRow="0" w:firstColumn="0" w:lastColumn="0" w:noHBand="0" w:noVBand="1"/>
          </w:tblPr>
          <w:tblGrid>
            <w:gridCol w:w="3285"/>
            <w:gridCol w:w="3960"/>
          </w:tblGrid>
          <w:tr w:rsidR="00B91BBA">
            <w:trPr>
              <w:trHeight w:val="68"/>
            </w:trPr>
            <w:tc>
              <w:tcPr>
                <w:tcW w:w="3285" w:type="dxa"/>
                <w:shd w:val="clear" w:color="auto" w:fill="auto"/>
              </w:tcPr>
              <w:p w:rsidR="00B91BBA" w:rsidRDefault="009D32C8">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0" w:type="dxa"/>
                <w:shd w:val="clear" w:color="auto" w:fill="auto"/>
              </w:tcPr>
              <w:p w:rsidR="00B91BBA" w:rsidRDefault="009D32C8">
                <w:pPr>
                  <w:ind w:right="-15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04537/INFOEM/IP/RR/2024</w:t>
                </w:r>
              </w:p>
            </w:tc>
          </w:tr>
          <w:tr w:rsidR="00B91BBA">
            <w:trPr>
              <w:trHeight w:val="135"/>
            </w:trPr>
            <w:tc>
              <w:tcPr>
                <w:tcW w:w="3285" w:type="dxa"/>
                <w:shd w:val="clear" w:color="auto" w:fill="auto"/>
              </w:tcPr>
              <w:p w:rsidR="00B91BBA" w:rsidRDefault="009D32C8">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0" w:type="dxa"/>
                <w:shd w:val="clear" w:color="auto" w:fill="auto"/>
              </w:tcPr>
              <w:p w:rsidR="00B91BBA" w:rsidRDefault="009D32C8">
                <w:pPr>
                  <w:tabs>
                    <w:tab w:val="left" w:pos="2834"/>
                  </w:tabs>
                  <w:ind w:right="-15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Tlalnepantla de Baz    </w:t>
                </w:r>
                <w:proofErr w:type="spellStart"/>
                <w:r>
                  <w:rPr>
                    <w:rFonts w:ascii="Palatino Linotype" w:eastAsia="Palatino Linotype" w:hAnsi="Palatino Linotype" w:cs="Palatino Linotype"/>
                    <w:sz w:val="22"/>
                    <w:szCs w:val="22"/>
                  </w:rPr>
                  <w:t>Baz</w:t>
                </w:r>
                <w:proofErr w:type="spellEnd"/>
              </w:p>
            </w:tc>
          </w:tr>
          <w:tr w:rsidR="00B91BBA">
            <w:trPr>
              <w:trHeight w:val="135"/>
            </w:trPr>
            <w:tc>
              <w:tcPr>
                <w:tcW w:w="3285" w:type="dxa"/>
                <w:shd w:val="clear" w:color="auto" w:fill="auto"/>
              </w:tcPr>
              <w:p w:rsidR="00B91BBA" w:rsidRDefault="009D32C8">
                <w:pPr>
                  <w:tabs>
                    <w:tab w:val="right" w:pos="8838"/>
                  </w:tabs>
                  <w:ind w:left="850" w:right="-27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60" w:type="dxa"/>
                <w:shd w:val="clear" w:color="auto" w:fill="auto"/>
              </w:tcPr>
              <w:p w:rsidR="00B91BBA" w:rsidRDefault="009D32C8">
                <w:pPr>
                  <w:ind w:right="-151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91BBA" w:rsidRDefault="00B91BBA">
                <w:pPr>
                  <w:ind w:right="-1512"/>
                  <w:rPr>
                    <w:rFonts w:ascii="Palatino Linotype" w:eastAsia="Palatino Linotype" w:hAnsi="Palatino Linotype" w:cs="Palatino Linotype"/>
                    <w:sz w:val="22"/>
                    <w:szCs w:val="22"/>
                  </w:rPr>
                </w:pPr>
              </w:p>
            </w:tc>
          </w:tr>
        </w:tbl>
        <w:p w:rsidR="00B91BBA" w:rsidRDefault="00B91BBA">
          <w:pPr>
            <w:tabs>
              <w:tab w:val="right" w:pos="8838"/>
            </w:tabs>
            <w:ind w:left="-28"/>
            <w:jc w:val="both"/>
            <w:rPr>
              <w:rFonts w:ascii="Arial" w:eastAsia="Arial" w:hAnsi="Arial" w:cs="Arial"/>
              <w:b/>
              <w:sz w:val="22"/>
              <w:szCs w:val="22"/>
            </w:rPr>
          </w:pPr>
        </w:p>
      </w:tc>
    </w:tr>
  </w:tbl>
  <w:p w:rsidR="00B91BBA" w:rsidRDefault="001F0A81">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7.45pt;margin-top:-120.55pt;width:589.8pt;height:768pt;z-index:-251659776;mso-position-horizontal-relative:margin;mso-position-vertical-relative:margin">
          <v:imagedata r:id="rId1" o:title="image3"/>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5"/>
      <w:tblW w:w="10308" w:type="dxa"/>
      <w:tblInd w:w="0" w:type="dxa"/>
      <w:tblLayout w:type="fixed"/>
      <w:tblLook w:val="0400" w:firstRow="0" w:lastRow="0" w:firstColumn="0" w:lastColumn="0" w:noHBand="0" w:noVBand="1"/>
    </w:tblPr>
    <w:tblGrid>
      <w:gridCol w:w="3079"/>
      <w:gridCol w:w="7229"/>
    </w:tblGrid>
    <w:tr w:rsidR="00B91BBA" w:rsidTr="00B31789">
      <w:trPr>
        <w:trHeight w:val="1649"/>
      </w:trPr>
      <w:tc>
        <w:tcPr>
          <w:tcW w:w="3079" w:type="dxa"/>
          <w:shd w:val="clear" w:color="auto" w:fill="auto"/>
        </w:tcPr>
        <w:p w:rsidR="00B91BBA" w:rsidRDefault="00B91BBA">
          <w:pPr>
            <w:tabs>
              <w:tab w:val="right" w:pos="4273"/>
            </w:tabs>
            <w:rPr>
              <w:rFonts w:ascii="Garamond" w:eastAsia="Garamond" w:hAnsi="Garamond" w:cs="Garamond"/>
              <w:sz w:val="22"/>
              <w:szCs w:val="22"/>
            </w:rPr>
          </w:pPr>
        </w:p>
      </w:tc>
      <w:tc>
        <w:tcPr>
          <w:tcW w:w="7229" w:type="dxa"/>
          <w:shd w:val="clear" w:color="auto" w:fill="auto"/>
        </w:tcPr>
        <w:tbl>
          <w:tblPr>
            <w:tblStyle w:val="af6"/>
            <w:tblW w:w="6364" w:type="dxa"/>
            <w:tblInd w:w="618" w:type="dxa"/>
            <w:tblLayout w:type="fixed"/>
            <w:tblLook w:val="0400" w:firstRow="0" w:lastRow="0" w:firstColumn="0" w:lastColumn="0" w:noHBand="0" w:noVBand="1"/>
          </w:tblPr>
          <w:tblGrid>
            <w:gridCol w:w="2510"/>
            <w:gridCol w:w="3854"/>
          </w:tblGrid>
          <w:tr w:rsidR="00B91BBA" w:rsidTr="00B31789">
            <w:trPr>
              <w:trHeight w:val="103"/>
            </w:trPr>
            <w:tc>
              <w:tcPr>
                <w:tcW w:w="2510" w:type="dxa"/>
                <w:shd w:val="clear" w:color="auto" w:fill="auto"/>
              </w:tcPr>
              <w:p w:rsidR="00B91BBA" w:rsidRDefault="009D32C8">
                <w:pPr>
                  <w:tabs>
                    <w:tab w:val="right" w:pos="8838"/>
                  </w:tabs>
                  <w:ind w:left="-264" w:right="-105" w:firstLine="26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854" w:type="dxa"/>
                <w:shd w:val="clear" w:color="auto" w:fill="auto"/>
              </w:tcPr>
              <w:p w:rsidR="00B91BBA" w:rsidRDefault="009D32C8">
                <w:pPr>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04537/INFOEM/IP/RR/2024</w:t>
                </w:r>
              </w:p>
            </w:tc>
          </w:tr>
          <w:tr w:rsidR="00B91BBA" w:rsidTr="00B31789">
            <w:trPr>
              <w:trHeight w:val="103"/>
            </w:trPr>
            <w:tc>
              <w:tcPr>
                <w:tcW w:w="2510" w:type="dxa"/>
                <w:shd w:val="clear" w:color="auto" w:fill="auto"/>
              </w:tcPr>
              <w:p w:rsidR="00B91BBA" w:rsidRDefault="009D32C8">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854" w:type="dxa"/>
                <w:shd w:val="clear" w:color="auto" w:fill="auto"/>
              </w:tcPr>
              <w:p w:rsidR="00B91BBA" w:rsidRDefault="00B91BBA">
                <w:pPr>
                  <w:tabs>
                    <w:tab w:val="left" w:pos="3122"/>
                  </w:tabs>
                  <w:ind w:right="-810"/>
                  <w:rPr>
                    <w:rFonts w:ascii="Palatino Linotype" w:eastAsia="Palatino Linotype" w:hAnsi="Palatino Linotype" w:cs="Palatino Linotype"/>
                    <w:sz w:val="22"/>
                    <w:szCs w:val="22"/>
                  </w:rPr>
                </w:pPr>
              </w:p>
            </w:tc>
          </w:tr>
          <w:tr w:rsidR="00B91BBA" w:rsidTr="00B31789">
            <w:trPr>
              <w:trHeight w:val="202"/>
            </w:trPr>
            <w:tc>
              <w:tcPr>
                <w:tcW w:w="2510" w:type="dxa"/>
                <w:shd w:val="clear" w:color="auto" w:fill="auto"/>
              </w:tcPr>
              <w:p w:rsidR="00B91BBA" w:rsidRDefault="009D32C8">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854" w:type="dxa"/>
                <w:shd w:val="clear" w:color="auto" w:fill="auto"/>
              </w:tcPr>
              <w:p w:rsidR="00B91BBA" w:rsidRDefault="009D32C8">
                <w:pPr>
                  <w:tabs>
                    <w:tab w:val="left" w:pos="2834"/>
                  </w:tabs>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Tlalnepantla de Baz</w:t>
                </w:r>
              </w:p>
            </w:tc>
          </w:tr>
          <w:tr w:rsidR="00B91BBA" w:rsidTr="00B31789">
            <w:trPr>
              <w:trHeight w:val="202"/>
            </w:trPr>
            <w:tc>
              <w:tcPr>
                <w:tcW w:w="2510" w:type="dxa"/>
                <w:shd w:val="clear" w:color="auto" w:fill="auto"/>
              </w:tcPr>
              <w:p w:rsidR="00B91BBA" w:rsidRDefault="009D32C8">
                <w:pPr>
                  <w:tabs>
                    <w:tab w:val="right" w:pos="8838"/>
                  </w:tabs>
                  <w:ind w:left="-74" w:right="-105" w:firstLine="74"/>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854" w:type="dxa"/>
                <w:shd w:val="clear" w:color="auto" w:fill="auto"/>
              </w:tcPr>
              <w:p w:rsidR="00B91BBA" w:rsidRDefault="009D32C8">
                <w:pPr>
                  <w:ind w:right="-810"/>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B91BBA" w:rsidRDefault="00B91BBA">
                <w:pPr>
                  <w:ind w:right="-810"/>
                  <w:rPr>
                    <w:rFonts w:ascii="Palatino Linotype" w:eastAsia="Palatino Linotype" w:hAnsi="Palatino Linotype" w:cs="Palatino Linotype"/>
                    <w:sz w:val="22"/>
                    <w:szCs w:val="22"/>
                  </w:rPr>
                </w:pPr>
              </w:p>
            </w:tc>
          </w:tr>
        </w:tbl>
        <w:p w:rsidR="00B91BBA" w:rsidRDefault="00B91BBA">
          <w:pPr>
            <w:tabs>
              <w:tab w:val="right" w:pos="8838"/>
            </w:tabs>
            <w:ind w:left="-28"/>
            <w:jc w:val="both"/>
            <w:rPr>
              <w:rFonts w:ascii="Arial" w:eastAsia="Arial" w:hAnsi="Arial" w:cs="Arial"/>
              <w:b/>
              <w:sz w:val="22"/>
              <w:szCs w:val="22"/>
            </w:rPr>
          </w:pPr>
        </w:p>
      </w:tc>
    </w:tr>
  </w:tbl>
  <w:p w:rsidR="00B91BBA" w:rsidRDefault="001F0A81">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79.65pt;margin-top:-122.35pt;width:589.8pt;height:768pt;z-index:-25165875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064C"/>
    <w:multiLevelType w:val="multilevel"/>
    <w:tmpl w:val="953A4C64"/>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F9512C"/>
    <w:multiLevelType w:val="multilevel"/>
    <w:tmpl w:val="971A2B50"/>
    <w:lvl w:ilvl="0">
      <w:start w:val="1"/>
      <w:numFmt w:val="lowerLetter"/>
      <w:lvlText w:val="%1)"/>
      <w:lvlJc w:val="left"/>
      <w:pPr>
        <w:ind w:left="786" w:hanging="360"/>
      </w:pPr>
      <w:rPr>
        <w:b/>
        <w:i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56FC3FE3"/>
    <w:multiLevelType w:val="multilevel"/>
    <w:tmpl w:val="735CFF3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D752DB"/>
    <w:multiLevelType w:val="multilevel"/>
    <w:tmpl w:val="E4AAD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BA"/>
    <w:rsid w:val="0003218F"/>
    <w:rsid w:val="0018782C"/>
    <w:rsid w:val="001F0A81"/>
    <w:rsid w:val="006411CB"/>
    <w:rsid w:val="009D32C8"/>
    <w:rsid w:val="00B31789"/>
    <w:rsid w:val="00B51571"/>
    <w:rsid w:val="00B91B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08ACA87-E50C-4C75-8A78-68409FF5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F5"/>
  </w:style>
  <w:style w:type="paragraph" w:styleId="Ttulo1">
    <w:name w:val="heading 1"/>
    <w:basedOn w:val="Normal"/>
    <w:next w:val="Normal"/>
    <w:link w:val="Ttulo1Car"/>
    <w:uiPriority w:val="9"/>
    <w:qFormat/>
    <w:rsid w:val="00CE3E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E3EF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CE3EF5"/>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9"/>
    <w:rsid w:val="00CE3EF5"/>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E3EF5"/>
    <w:pPr>
      <w:tabs>
        <w:tab w:val="center" w:pos="4419"/>
        <w:tab w:val="right" w:pos="8838"/>
      </w:tabs>
    </w:pPr>
  </w:style>
  <w:style w:type="character" w:customStyle="1" w:styleId="EncabezadoCar">
    <w:name w:val="Encabezado Car"/>
    <w:basedOn w:val="Fuentedeprrafopredeter"/>
    <w:link w:val="Encabezado"/>
    <w:uiPriority w:val="99"/>
    <w:rsid w:val="00CE3EF5"/>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CE3EF5"/>
    <w:pPr>
      <w:tabs>
        <w:tab w:val="center" w:pos="4419"/>
        <w:tab w:val="right" w:pos="8838"/>
      </w:tabs>
    </w:pPr>
  </w:style>
  <w:style w:type="character" w:customStyle="1" w:styleId="PiedepginaCar">
    <w:name w:val="Pie de página Car"/>
    <w:basedOn w:val="Fuentedeprrafopredeter"/>
    <w:link w:val="Piedepgina"/>
    <w:uiPriority w:val="99"/>
    <w:rsid w:val="00CE3EF5"/>
    <w:rPr>
      <w:rFonts w:ascii="Times New Roman" w:eastAsia="Times New Roman" w:hAnsi="Times New Roman" w:cs="Times New Roman"/>
      <w:sz w:val="24"/>
      <w:szCs w:val="24"/>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E3EF5"/>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CE3EF5"/>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CE3EF5"/>
    <w:rPr>
      <w:color w:val="0563C1"/>
      <w:u w:val="single"/>
    </w:rPr>
  </w:style>
  <w:style w:type="paragraph" w:styleId="Sinespaciado">
    <w:name w:val="No Spacing"/>
    <w:aliases w:val="Francesa,INAI,Fundamentos"/>
    <w:link w:val="SinespaciadoCar"/>
    <w:uiPriority w:val="1"/>
    <w:qFormat/>
    <w:rsid w:val="00CE3EF5"/>
  </w:style>
  <w:style w:type="character" w:customStyle="1" w:styleId="SinespaciadoCar">
    <w:name w:val="Sin espaciado Car"/>
    <w:aliases w:val="Francesa Car,INAI Car,Fundamentos Car"/>
    <w:link w:val="Sinespaciado"/>
    <w:uiPriority w:val="1"/>
    <w:qFormat/>
    <w:locked/>
    <w:rsid w:val="00CE3EF5"/>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CE3EF5"/>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CE3EF5"/>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CE3EF5"/>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CE3EF5"/>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243D8E"/>
    <w:rPr>
      <w:color w:val="954F72" w:themeColor="followedHyperlink"/>
      <w:u w:val="single"/>
    </w:rPr>
  </w:style>
  <w:style w:type="table" w:styleId="Tabladecuadrcula6concolores">
    <w:name w:val="Grid Table 6 Colorful"/>
    <w:basedOn w:val="Tablanormal"/>
    <w:uiPriority w:val="51"/>
    <w:rsid w:val="00DC69E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5227B"/>
    <w:pPr>
      <w:autoSpaceDE w:val="0"/>
      <w:autoSpaceDN w:val="0"/>
      <w:adjustRightInd w:val="0"/>
    </w:pPr>
    <w:rPr>
      <w:rFonts w:ascii="Arial" w:hAnsi="Arial" w:cs="Arial"/>
      <w:color w:val="000000"/>
    </w:rPr>
  </w:style>
  <w:style w:type="character" w:customStyle="1" w:styleId="markedcontent">
    <w:name w:val="markedcontent"/>
    <w:basedOn w:val="Fuentedeprrafopredeter"/>
    <w:rsid w:val="00AD0C84"/>
  </w:style>
  <w:style w:type="numbering" w:customStyle="1" w:styleId="Estiloimportado1">
    <w:name w:val="Estilo importado 1"/>
    <w:rsid w:val="008B5F61"/>
  </w:style>
  <w:style w:type="table" w:customStyle="1" w:styleId="Tablanormal13">
    <w:name w:val="Tabla normal 13"/>
    <w:basedOn w:val="Tablanormal"/>
    <w:next w:val="Tablanormal1"/>
    <w:uiPriority w:val="41"/>
    <w:rsid w:val="002023A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2023A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rPr>
      <w:color w:val="000000"/>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3"/>
    <w:tblPr>
      <w:tblStyleRowBandSize w:val="1"/>
      <w:tblStyleColBandSize w:val="1"/>
      <w:tblCellMar>
        <w:top w:w="0" w:type="dxa"/>
        <w:left w:w="115" w:type="dxa"/>
        <w:bottom w:w="0" w:type="dxa"/>
        <w:right w:w="115" w:type="dxa"/>
      </w:tblCellMar>
    </w:tblPr>
  </w:style>
  <w:style w:type="table" w:customStyle="1" w:styleId="a1">
    <w:basedOn w:val="TableNormal3"/>
    <w:tblPr>
      <w:tblStyleRowBandSize w:val="1"/>
      <w:tblStyleColBandSize w:val="1"/>
      <w:tblCellMar>
        <w:top w:w="0" w:type="dxa"/>
        <w:left w:w="115" w:type="dxa"/>
        <w:bottom w:w="0" w:type="dxa"/>
        <w:right w:w="115" w:type="dxa"/>
      </w:tblCellMar>
    </w:tblPr>
  </w:style>
  <w:style w:type="table" w:customStyle="1" w:styleId="a2">
    <w:basedOn w:val="TableNormal3"/>
    <w:tblPr>
      <w:tblStyleRowBandSize w:val="1"/>
      <w:tblStyleColBandSize w:val="1"/>
      <w:tblCellMar>
        <w:top w:w="0" w:type="dxa"/>
        <w:left w:w="115" w:type="dxa"/>
        <w:bottom w:w="0" w:type="dxa"/>
        <w:right w:w="115" w:type="dxa"/>
      </w:tblCellMar>
    </w:tblPr>
  </w:style>
  <w:style w:type="table" w:customStyle="1" w:styleId="a3">
    <w:basedOn w:val="TableNormal3"/>
    <w:tblPr>
      <w:tblStyleRowBandSize w:val="1"/>
      <w:tblStyleColBandSize w:val="1"/>
      <w:tblCellMar>
        <w:top w:w="0" w:type="dxa"/>
        <w:left w:w="115" w:type="dxa"/>
        <w:bottom w:w="0" w:type="dxa"/>
        <w:right w:w="115" w:type="dxa"/>
      </w:tblCellMar>
    </w:tblPr>
  </w:style>
  <w:style w:type="table" w:customStyle="1" w:styleId="a4">
    <w:basedOn w:val="TableNormal3"/>
    <w:rPr>
      <w:color w:val="000000"/>
    </w:rPr>
    <w:tblPr>
      <w:tblStyleRowBandSize w:val="1"/>
      <w:tblStyleColBandSize w:val="1"/>
      <w:tblCellMar>
        <w:top w:w="0" w:type="dxa"/>
        <w:left w:w="115" w:type="dxa"/>
        <w:bottom w:w="0"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3"/>
    <w:rPr>
      <w:color w:val="000000"/>
    </w:rPr>
    <w:tblPr>
      <w:tblStyleRowBandSize w:val="1"/>
      <w:tblStyleColBandSize w:val="1"/>
      <w:tblCellMar>
        <w:top w:w="0" w:type="dxa"/>
        <w:left w:w="115" w:type="dxa"/>
        <w:bottom w:w="0" w:type="dxa"/>
        <w:right w:w="115" w:type="dxa"/>
      </w:tblCellMar>
    </w:tblPr>
  </w:style>
  <w:style w:type="table" w:customStyle="1" w:styleId="a6">
    <w:basedOn w:val="TableNormal3"/>
    <w:rPr>
      <w:color w:val="000000"/>
    </w:rPr>
    <w:tblPr>
      <w:tblStyleRowBandSize w:val="1"/>
      <w:tblStyleColBandSize w:val="1"/>
      <w:tblCellMar>
        <w:top w:w="0" w:type="dxa"/>
        <w:left w:w="115" w:type="dxa"/>
        <w:bottom w:w="0" w:type="dxa"/>
        <w:right w:w="115" w:type="dxa"/>
      </w:tblCellMar>
    </w:tblPr>
  </w:style>
  <w:style w:type="table" w:customStyle="1" w:styleId="a7">
    <w:basedOn w:val="TableNormal3"/>
    <w:rPr>
      <w:color w:val="000000"/>
    </w:rPr>
    <w:tblPr>
      <w:tblStyleRowBandSize w:val="1"/>
      <w:tblStyleColBandSize w:val="1"/>
      <w:tblCellMar>
        <w:top w:w="0" w:type="dxa"/>
        <w:left w:w="115" w:type="dxa"/>
        <w:bottom w:w="0" w:type="dxa"/>
        <w:right w:w="115" w:type="dxa"/>
      </w:tblCellMar>
    </w:tblPr>
  </w:style>
  <w:style w:type="table" w:customStyle="1" w:styleId="a8">
    <w:basedOn w:val="TableNormal3"/>
    <w:rPr>
      <w:color w:val="000000"/>
    </w:rPr>
    <w:tblPr>
      <w:tblStyleRowBandSize w:val="1"/>
      <w:tblStyleColBandSize w:val="1"/>
      <w:tblCellMar>
        <w:top w:w="0" w:type="dxa"/>
        <w:left w:w="115" w:type="dxa"/>
        <w:bottom w:w="0" w:type="dxa"/>
        <w:right w:w="115" w:type="dxa"/>
      </w:tblCellMar>
    </w:tblPr>
  </w:style>
  <w:style w:type="character" w:customStyle="1" w:styleId="Mencinsinresolver1">
    <w:name w:val="Mención sin resolver1"/>
    <w:basedOn w:val="Fuentedeprrafopredeter"/>
    <w:uiPriority w:val="99"/>
    <w:semiHidden/>
    <w:unhideWhenUsed/>
    <w:rsid w:val="00EF7312"/>
    <w:rPr>
      <w:color w:val="605E5C"/>
      <w:shd w:val="clear" w:color="auto" w:fill="E1DFDD"/>
    </w:rPr>
  </w:style>
  <w:style w:type="character" w:styleId="Refdecomentario">
    <w:name w:val="annotation reference"/>
    <w:basedOn w:val="Fuentedeprrafopredeter"/>
    <w:uiPriority w:val="99"/>
    <w:semiHidden/>
    <w:unhideWhenUsed/>
    <w:rsid w:val="00E60A26"/>
    <w:rPr>
      <w:sz w:val="16"/>
      <w:szCs w:val="16"/>
    </w:rPr>
  </w:style>
  <w:style w:type="paragraph" w:styleId="Textocomentario">
    <w:name w:val="annotation text"/>
    <w:basedOn w:val="Normal"/>
    <w:link w:val="TextocomentarioCar"/>
    <w:uiPriority w:val="99"/>
    <w:semiHidden/>
    <w:unhideWhenUsed/>
    <w:rsid w:val="00E60A26"/>
    <w:rPr>
      <w:sz w:val="20"/>
      <w:szCs w:val="20"/>
    </w:rPr>
  </w:style>
  <w:style w:type="character" w:customStyle="1" w:styleId="TextocomentarioCar">
    <w:name w:val="Texto comentario Car"/>
    <w:basedOn w:val="Fuentedeprrafopredeter"/>
    <w:link w:val="Textocomentario"/>
    <w:uiPriority w:val="99"/>
    <w:semiHidden/>
    <w:rsid w:val="00E60A26"/>
    <w:rPr>
      <w:sz w:val="20"/>
      <w:szCs w:val="20"/>
    </w:rPr>
  </w:style>
  <w:style w:type="paragraph" w:styleId="Asuntodelcomentario">
    <w:name w:val="annotation subject"/>
    <w:basedOn w:val="Textocomentario"/>
    <w:next w:val="Textocomentario"/>
    <w:link w:val="AsuntodelcomentarioCar"/>
    <w:uiPriority w:val="99"/>
    <w:semiHidden/>
    <w:unhideWhenUsed/>
    <w:rsid w:val="00E60A26"/>
    <w:rPr>
      <w:b/>
      <w:bCs/>
    </w:rPr>
  </w:style>
  <w:style w:type="character" w:customStyle="1" w:styleId="AsuntodelcomentarioCar">
    <w:name w:val="Asunto del comentario Car"/>
    <w:basedOn w:val="TextocomentarioCar"/>
    <w:link w:val="Asuntodelcomentario"/>
    <w:uiPriority w:val="99"/>
    <w:semiHidden/>
    <w:rsid w:val="00E60A26"/>
    <w:rPr>
      <w:b/>
      <w:bCs/>
      <w:sz w:val="20"/>
      <w:szCs w:val="20"/>
    </w:rPr>
  </w:style>
  <w:style w:type="paragraph" w:styleId="Textodeglobo">
    <w:name w:val="Balloon Text"/>
    <w:basedOn w:val="Normal"/>
    <w:link w:val="TextodegloboCar"/>
    <w:uiPriority w:val="99"/>
    <w:semiHidden/>
    <w:unhideWhenUsed/>
    <w:rsid w:val="00E60A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A26"/>
    <w:rPr>
      <w:rFonts w:ascii="Segoe UI" w:hAnsi="Segoe UI" w:cs="Segoe UI"/>
      <w:sz w:val="18"/>
      <w:szCs w:val="18"/>
    </w:rPr>
  </w:style>
  <w:style w:type="table" w:styleId="Tablaconcuadrcula">
    <w:name w:val="Table Grid"/>
    <w:basedOn w:val="Tablanormal"/>
    <w:uiPriority w:val="39"/>
    <w:rsid w:val="00D46DD8"/>
    <w:rPr>
      <w:rFonts w:asciiTheme="minorHAnsi" w:eastAsiaTheme="minorEastAsia" w:hAnsiTheme="minorHAnsi" w:cstheme="minorBidi"/>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9">
    <w:basedOn w:val="TableNormal2"/>
    <w:rPr>
      <w:rFonts w:ascii="Calibri" w:eastAsia="Calibri" w:hAnsi="Calibri" w:cs="Calibri"/>
      <w:color w:val="000000"/>
    </w:rPr>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15" w:type="dxa"/>
        <w:bottom w:w="0" w:type="dxa"/>
        <w:right w:w="115" w:type="dxa"/>
      </w:tblCellMar>
    </w:tblPr>
  </w:style>
  <w:style w:type="table" w:customStyle="1" w:styleId="ab">
    <w:basedOn w:val="TableNormal2"/>
    <w:rPr>
      <w:color w:val="000000"/>
    </w:rPr>
    <w:tblPr>
      <w:tblStyleRowBandSize w:val="1"/>
      <w:tblStyleColBandSize w:val="1"/>
      <w:tblCellMar>
        <w:top w:w="0" w:type="dxa"/>
        <w:left w:w="115" w:type="dxa"/>
        <w:bottom w:w="0" w:type="dxa"/>
        <w:right w:w="115" w:type="dxa"/>
      </w:tblCellMar>
    </w:tblPr>
  </w:style>
  <w:style w:type="table" w:customStyle="1" w:styleId="ac">
    <w:basedOn w:val="TableNormal2"/>
    <w:rPr>
      <w:color w:val="000000"/>
    </w:rPr>
    <w:tblPr>
      <w:tblStyleRowBandSize w:val="1"/>
      <w:tblStyleColBandSize w:val="1"/>
      <w:tblCellMar>
        <w:top w:w="0" w:type="dxa"/>
        <w:left w:w="115" w:type="dxa"/>
        <w:bottom w:w="0" w:type="dxa"/>
        <w:right w:w="115" w:type="dxa"/>
      </w:tblCellMar>
    </w:tblPr>
  </w:style>
  <w:style w:type="table" w:customStyle="1" w:styleId="ad">
    <w:basedOn w:val="TableNormal2"/>
    <w:rPr>
      <w:color w:val="000000"/>
    </w:rPr>
    <w:tblPr>
      <w:tblStyleRowBandSize w:val="1"/>
      <w:tblStyleColBandSize w:val="1"/>
      <w:tblCellMar>
        <w:top w:w="0" w:type="dxa"/>
        <w:left w:w="115" w:type="dxa"/>
        <w:bottom w:w="0" w:type="dxa"/>
        <w:right w:w="115" w:type="dxa"/>
      </w:tblCellMar>
    </w:tblPr>
  </w:style>
  <w:style w:type="table" w:customStyle="1" w:styleId="ae">
    <w:basedOn w:val="TableNormal2"/>
    <w:rPr>
      <w:color w:val="000000"/>
    </w:rPr>
    <w:tblPr>
      <w:tblStyleRowBandSize w:val="1"/>
      <w:tblStyleColBandSize w:val="1"/>
      <w:tblCellMar>
        <w:top w:w="0" w:type="dxa"/>
        <w:left w:w="115" w:type="dxa"/>
        <w:bottom w:w="0" w:type="dxa"/>
        <w:right w:w="115" w:type="dxa"/>
      </w:tblCellMar>
    </w:tblPr>
  </w:style>
  <w:style w:type="table" w:customStyle="1" w:styleId="af">
    <w:basedOn w:val="TableNormal1"/>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0">
    <w:basedOn w:val="TableNormal1"/>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1">
    <w:basedOn w:val="TableNormal1"/>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2">
    <w:basedOn w:val="TableNormal1"/>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character" w:styleId="Referenciasutil">
    <w:name w:val="Subtle Reference"/>
    <w:basedOn w:val="Fuentedeprrafopredeter"/>
    <w:uiPriority w:val="31"/>
    <w:qFormat/>
    <w:rsid w:val="00A36329"/>
    <w:rPr>
      <w:rFonts w:cs="Times New Roman"/>
      <w:smallCaps/>
      <w:color w:val="5A5A5A" w:themeColor="text1" w:themeTint="A5"/>
    </w:rPr>
  </w:style>
  <w:style w:type="table" w:customStyle="1" w:styleId="af3">
    <w:basedOn w:val="TableNormal0"/>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4">
    <w:basedOn w:val="TableNormal0"/>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5">
    <w:basedOn w:val="TableNormal0"/>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 w:type="table" w:customStyle="1" w:styleId="af6">
    <w:basedOn w:val="TableNormal0"/>
    <w:rPr>
      <w:rFonts w:ascii="Calibri" w:eastAsia="Calibri" w:hAnsi="Calibri" w:cs="Calibri"/>
      <w:color w:val="000000"/>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33711.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xKw50Afj50jLv6gPGZ1K226MOw==">CgMxLjAyCWguMWZvYjl0ZTIIaC5namRneHMyCWguM3pueXNoNzIJaC4yZXQ5MnAwMgloLjNkeTZ2a20yCGgudHlqY3d0MghoLmxueGJ6OTIJaC4zcmRjcmpuMgloLjMwajB6bGwyCWguMzBqMHpsbDgAciExeUFyTDh0T3pzV3RDYjhHMDZQVDBfWGVVaWVrXzZ3NGs=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5089</Words>
  <Characters>27994</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INFOEM416</cp:lastModifiedBy>
  <cp:revision>5</cp:revision>
  <cp:lastPrinted>2025-02-27T17:27:00Z</cp:lastPrinted>
  <dcterms:created xsi:type="dcterms:W3CDTF">2025-02-17T16:29:00Z</dcterms:created>
  <dcterms:modified xsi:type="dcterms:W3CDTF">2025-02-27T17:27:00Z</dcterms:modified>
</cp:coreProperties>
</file>