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F7" w:rsidRDefault="00F217F7">
      <w:pPr>
        <w:tabs>
          <w:tab w:val="left" w:pos="3465"/>
        </w:tabs>
        <w:spacing w:line="360" w:lineRule="auto"/>
        <w:ind w:right="-787"/>
        <w:jc w:val="both"/>
        <w:rPr>
          <w:rFonts w:ascii="Palatino Linotype" w:hAnsi="Palatino Linotype"/>
          <w:color w:val="000000" w:themeColor="text1"/>
        </w:rPr>
      </w:pPr>
    </w:p>
    <w:p w:rsidR="002E076B" w:rsidRPr="00933F55" w:rsidRDefault="00547796">
      <w:pPr>
        <w:tabs>
          <w:tab w:val="left" w:pos="3465"/>
        </w:tabs>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de fecha nueve (09) de abril de dos mil veinticinco.</w:t>
      </w:r>
    </w:p>
    <w:p w:rsidR="002E076B" w:rsidRPr="00933F55" w:rsidRDefault="002E076B">
      <w:pPr>
        <w:tabs>
          <w:tab w:val="left" w:pos="3465"/>
        </w:tabs>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 xml:space="preserve">VISTAS </w:t>
      </w:r>
      <w:r w:rsidRPr="00933F55">
        <w:rPr>
          <w:rFonts w:ascii="Palatino Linotype" w:eastAsia="Palatino Linotype" w:hAnsi="Palatino Linotype" w:cs="Palatino Linotype"/>
          <w:color w:val="000000" w:themeColor="text1"/>
        </w:rPr>
        <w:t xml:space="preserve">las constancias para resolver los Recursos de Revisión </w:t>
      </w:r>
      <w:r w:rsidRPr="00933F55">
        <w:rPr>
          <w:rFonts w:ascii="Palatino Linotype" w:eastAsia="Palatino Linotype" w:hAnsi="Palatino Linotype" w:cs="Palatino Linotype"/>
          <w:b/>
          <w:color w:val="000000" w:themeColor="text1"/>
        </w:rPr>
        <w:t>01513/INFOEM/IP/RR/2025,  01514/INFOEM/IP/RR/2025 y 01515/INFOEM/IP/RR/2025 acumulados</w:t>
      </w:r>
      <w:r w:rsidRPr="00933F55">
        <w:rPr>
          <w:rFonts w:ascii="Palatino Linotype" w:eastAsia="Palatino Linotype" w:hAnsi="Palatino Linotype" w:cs="Palatino Linotype"/>
          <w:color w:val="000000" w:themeColor="text1"/>
        </w:rPr>
        <w:t>, promovidos por</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una persona que no registró nombre, en lo sucesivo </w:t>
      </w:r>
      <w:r w:rsidRPr="00933F55">
        <w:rPr>
          <w:rFonts w:ascii="Palatino Linotype" w:eastAsia="Palatino Linotype" w:hAnsi="Palatino Linotype" w:cs="Palatino Linotype"/>
          <w:b/>
          <w:color w:val="000000" w:themeColor="text1"/>
        </w:rPr>
        <w:t>EL RECURRENTE</w:t>
      </w:r>
      <w:r w:rsidRPr="00933F55">
        <w:rPr>
          <w:rFonts w:ascii="Palatino Linotype" w:eastAsia="Palatino Linotype" w:hAnsi="Palatino Linotype" w:cs="Palatino Linotype"/>
          <w:color w:val="000000" w:themeColor="text1"/>
        </w:rPr>
        <w:t xml:space="preserve">, en contra de la respuesta otorgada a las solicitudes de información </w:t>
      </w:r>
      <w:r w:rsidRPr="00933F55">
        <w:rPr>
          <w:rFonts w:ascii="Palatino Linotype" w:eastAsia="Palatino Linotype" w:hAnsi="Palatino Linotype" w:cs="Palatino Linotype"/>
          <w:b/>
          <w:color w:val="000000" w:themeColor="text1"/>
        </w:rPr>
        <w:t>00198/IXTASAL/IP/2025, 00195/IXTASAL/IP/2025 y 00196/IXTASAL/IP/2025</w:t>
      </w:r>
      <w:r w:rsidRPr="00933F55">
        <w:rPr>
          <w:rFonts w:ascii="Palatino Linotype" w:eastAsia="Palatino Linotype" w:hAnsi="Palatino Linotype" w:cs="Palatino Linotype"/>
          <w:color w:val="000000" w:themeColor="text1"/>
        </w:rPr>
        <w:t xml:space="preserve">, por parte del </w:t>
      </w:r>
      <w:r w:rsidRPr="00933F55">
        <w:rPr>
          <w:rFonts w:ascii="Palatino Linotype" w:eastAsia="Palatino Linotype" w:hAnsi="Palatino Linotype" w:cs="Palatino Linotype"/>
          <w:b/>
          <w:color w:val="000000" w:themeColor="text1"/>
        </w:rPr>
        <w:t xml:space="preserve">Ayuntamiento de Ixtapan de la Sal, </w:t>
      </w:r>
      <w:r w:rsidRPr="00933F55">
        <w:rPr>
          <w:rFonts w:ascii="Palatino Linotype" w:eastAsia="Palatino Linotype" w:hAnsi="Palatino Linotype" w:cs="Palatino Linotype"/>
          <w:color w:val="000000" w:themeColor="text1"/>
        </w:rPr>
        <w:t xml:space="preserve">en adelante el </w:t>
      </w:r>
      <w:r w:rsidRPr="00933F55">
        <w:rPr>
          <w:rFonts w:ascii="Palatino Linotype" w:eastAsia="Palatino Linotype" w:hAnsi="Palatino Linotype" w:cs="Palatino Linotype"/>
          <w:b/>
          <w:color w:val="000000" w:themeColor="text1"/>
        </w:rPr>
        <w:t>SUJETO OBLIGADO</w:t>
      </w:r>
      <w:r w:rsidRPr="00933F55">
        <w:rPr>
          <w:rFonts w:ascii="Palatino Linotype" w:eastAsia="Palatino Linotype" w:hAnsi="Palatino Linotype" w:cs="Palatino Linotype"/>
          <w:color w:val="000000" w:themeColor="text1"/>
        </w:rPr>
        <w:t>, se emite la presente resolución con base en los siguientes:</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pStyle w:val="Ttulo1"/>
        <w:spacing w:before="0" w:line="360" w:lineRule="auto"/>
        <w:ind w:right="-787"/>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933F55">
        <w:rPr>
          <w:rFonts w:ascii="Palatino Linotype" w:eastAsia="Palatino Linotype" w:hAnsi="Palatino Linotype" w:cs="Palatino Linotype"/>
          <w:b/>
          <w:color w:val="000000" w:themeColor="text1"/>
          <w:sz w:val="24"/>
          <w:szCs w:val="24"/>
        </w:rPr>
        <w:t>A N T E C E D E N T E S</w:t>
      </w:r>
    </w:p>
    <w:p w:rsidR="002E076B" w:rsidRPr="00933F55" w:rsidRDefault="002E076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themeColor="text1"/>
          <w:u w:val="single"/>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El </w:t>
      </w:r>
      <w:r w:rsidRPr="00933F55">
        <w:rPr>
          <w:rFonts w:ascii="Palatino Linotype" w:eastAsia="Palatino Linotype" w:hAnsi="Palatino Linotype" w:cs="Palatino Linotype"/>
          <w:b/>
          <w:color w:val="000000" w:themeColor="text1"/>
        </w:rPr>
        <w:t>diecisiete de enero de dos mil veinticinco</w:t>
      </w:r>
      <w:r w:rsidRPr="00933F55">
        <w:rPr>
          <w:rFonts w:ascii="Palatino Linotype" w:eastAsia="Palatino Linotype" w:hAnsi="Palatino Linotype" w:cs="Palatino Linotype"/>
          <w:color w:val="000000" w:themeColor="text1"/>
        </w:rPr>
        <w:t>,</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se presentaron ante el Sujeto Obligado vía Sistema de Acceso a la Información Mexiquense, en adelante SAIMEX, las siguientes solicitudes de información pública:</w:t>
      </w:r>
    </w:p>
    <w:p w:rsidR="002E076B" w:rsidRPr="00933F55" w:rsidRDefault="002E076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tbl>
      <w:tblPr>
        <w:tblStyle w:val="a8"/>
        <w:tblW w:w="991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8"/>
        <w:gridCol w:w="7231"/>
      </w:tblGrid>
      <w:tr w:rsidR="00F561B9" w:rsidRPr="00933F55">
        <w:tc>
          <w:tcPr>
            <w:tcW w:w="2688" w:type="dxa"/>
            <w:shd w:val="clear" w:color="auto" w:fill="D9D9D9"/>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Folio</w:t>
            </w:r>
          </w:p>
        </w:tc>
        <w:tc>
          <w:tcPr>
            <w:tcW w:w="7231" w:type="dxa"/>
            <w:shd w:val="clear" w:color="auto" w:fill="D9D9D9"/>
            <w:vAlign w:val="center"/>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Solicitud</w:t>
            </w:r>
          </w:p>
        </w:tc>
      </w:tr>
      <w:tr w:rsidR="00F561B9" w:rsidRPr="00933F55">
        <w:tc>
          <w:tcPr>
            <w:tcW w:w="2688" w:type="dxa"/>
          </w:tcPr>
          <w:p w:rsidR="002E076B" w:rsidRPr="00933F55" w:rsidRDefault="00547796">
            <w:pPr>
              <w:pBdr>
                <w:top w:val="nil"/>
                <w:left w:val="nil"/>
                <w:bottom w:val="nil"/>
                <w:right w:val="nil"/>
                <w:between w:val="nil"/>
              </w:pBdr>
              <w:ind w:left="29"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00198/IXTASAL/IP/2025</w:t>
            </w:r>
          </w:p>
        </w:tc>
        <w:tc>
          <w:tcPr>
            <w:tcW w:w="7231" w:type="dxa"/>
          </w:tcPr>
          <w:p w:rsidR="002E076B" w:rsidRPr="00933F55" w:rsidRDefault="00547796">
            <w:pPr>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“Se requiere la declaración patrimonial del entonces secretario del </w:t>
            </w:r>
            <w:proofErr w:type="spellStart"/>
            <w:r w:rsidRPr="00933F55">
              <w:rPr>
                <w:rFonts w:ascii="Palatino Linotype" w:eastAsia="Palatino Linotype" w:hAnsi="Palatino Linotype" w:cs="Palatino Linotype"/>
                <w:i/>
                <w:color w:val="000000" w:themeColor="text1"/>
              </w:rPr>
              <w:t>ayuntamientode</w:t>
            </w:r>
            <w:proofErr w:type="spellEnd"/>
            <w:r w:rsidRPr="00933F55">
              <w:rPr>
                <w:rFonts w:ascii="Palatino Linotype" w:eastAsia="Palatino Linotype" w:hAnsi="Palatino Linotype" w:cs="Palatino Linotype"/>
                <w:i/>
                <w:color w:val="000000" w:themeColor="text1"/>
              </w:rPr>
              <w:t xml:space="preserve"> </w:t>
            </w:r>
            <w:proofErr w:type="spellStart"/>
            <w:r w:rsidRPr="00933F55">
              <w:rPr>
                <w:rFonts w:ascii="Palatino Linotype" w:eastAsia="Palatino Linotype" w:hAnsi="Palatino Linotype" w:cs="Palatino Linotype"/>
                <w:i/>
                <w:color w:val="000000" w:themeColor="text1"/>
              </w:rPr>
              <w:t>ixtapan</w:t>
            </w:r>
            <w:proofErr w:type="spellEnd"/>
            <w:r w:rsidRPr="00933F55">
              <w:rPr>
                <w:rFonts w:ascii="Palatino Linotype" w:eastAsia="Palatino Linotype" w:hAnsi="Palatino Linotype" w:cs="Palatino Linotype"/>
                <w:i/>
                <w:color w:val="000000" w:themeColor="text1"/>
              </w:rPr>
              <w:t xml:space="preserve"> de la sal durante el 2022” (Sic)</w:t>
            </w:r>
          </w:p>
        </w:tc>
      </w:tr>
      <w:tr w:rsidR="00F561B9" w:rsidRPr="00933F55">
        <w:tc>
          <w:tcPr>
            <w:tcW w:w="2688" w:type="dxa"/>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00195/IXTASAL/IP/2025</w:t>
            </w:r>
          </w:p>
        </w:tc>
        <w:tc>
          <w:tcPr>
            <w:tcW w:w="7231" w:type="dxa"/>
          </w:tcPr>
          <w:p w:rsidR="002E076B" w:rsidRPr="00933F55" w:rsidRDefault="00547796">
            <w:pPr>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“Se requiere la declaración patrimonial del entonces presidente Municipal de </w:t>
            </w:r>
            <w:proofErr w:type="spellStart"/>
            <w:r w:rsidRPr="00933F55">
              <w:rPr>
                <w:rFonts w:ascii="Palatino Linotype" w:eastAsia="Palatino Linotype" w:hAnsi="Palatino Linotype" w:cs="Palatino Linotype"/>
                <w:i/>
                <w:color w:val="000000" w:themeColor="text1"/>
              </w:rPr>
              <w:t>ixtapan</w:t>
            </w:r>
            <w:proofErr w:type="spellEnd"/>
            <w:r w:rsidRPr="00933F55">
              <w:rPr>
                <w:rFonts w:ascii="Palatino Linotype" w:eastAsia="Palatino Linotype" w:hAnsi="Palatino Linotype" w:cs="Palatino Linotype"/>
                <w:i/>
                <w:color w:val="000000" w:themeColor="text1"/>
              </w:rPr>
              <w:t xml:space="preserve"> de la sal durante el 2022” (Sic)</w:t>
            </w:r>
          </w:p>
        </w:tc>
      </w:tr>
      <w:tr w:rsidR="00F561B9" w:rsidRPr="00933F55">
        <w:tc>
          <w:tcPr>
            <w:tcW w:w="2688" w:type="dxa"/>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00196/IXTASAL/IP/2025</w:t>
            </w:r>
          </w:p>
        </w:tc>
        <w:tc>
          <w:tcPr>
            <w:tcW w:w="7231" w:type="dxa"/>
          </w:tcPr>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i/>
                <w:color w:val="000000" w:themeColor="text1"/>
              </w:rPr>
              <w:t xml:space="preserve">“Se requiere la declaración patrimonial del entonces presidente Municipal de </w:t>
            </w:r>
            <w:proofErr w:type="spellStart"/>
            <w:r w:rsidRPr="00933F55">
              <w:rPr>
                <w:rFonts w:ascii="Palatino Linotype" w:eastAsia="Palatino Linotype" w:hAnsi="Palatino Linotype" w:cs="Palatino Linotype"/>
                <w:i/>
                <w:color w:val="000000" w:themeColor="text1"/>
              </w:rPr>
              <w:t>ixtapan</w:t>
            </w:r>
            <w:proofErr w:type="spellEnd"/>
            <w:r w:rsidRPr="00933F55">
              <w:rPr>
                <w:rFonts w:ascii="Palatino Linotype" w:eastAsia="Palatino Linotype" w:hAnsi="Palatino Linotype" w:cs="Palatino Linotype"/>
                <w:i/>
                <w:color w:val="000000" w:themeColor="text1"/>
              </w:rPr>
              <w:t xml:space="preserve"> de la sal durante el 2023” (Sic)</w:t>
            </w:r>
          </w:p>
        </w:tc>
      </w:tr>
    </w:tbl>
    <w:p w:rsidR="002E076B" w:rsidRPr="00933F55" w:rsidRDefault="002E076B">
      <w:pPr>
        <w:pBdr>
          <w:top w:val="nil"/>
          <w:left w:val="nil"/>
          <w:bottom w:val="nil"/>
          <w:right w:val="nil"/>
          <w:between w:val="nil"/>
        </w:pBdr>
        <w:ind w:right="-787"/>
        <w:jc w:val="both"/>
        <w:rPr>
          <w:rFonts w:ascii="Palatino Linotype" w:eastAsia="Palatino Linotype" w:hAnsi="Palatino Linotype" w:cs="Palatino Linotype"/>
          <w:b/>
          <w:color w:val="000000" w:themeColor="text1"/>
        </w:rPr>
      </w:pPr>
    </w:p>
    <w:p w:rsidR="002E076B" w:rsidRPr="00933F55" w:rsidRDefault="002E076B">
      <w:pPr>
        <w:pBdr>
          <w:top w:val="nil"/>
          <w:left w:val="nil"/>
          <w:bottom w:val="nil"/>
          <w:right w:val="nil"/>
          <w:between w:val="nil"/>
        </w:pBdr>
        <w:spacing w:line="360" w:lineRule="auto"/>
        <w:ind w:left="851" w:right="-787"/>
        <w:jc w:val="both"/>
        <w:rPr>
          <w:rFonts w:ascii="Palatino Linotype" w:eastAsia="Palatino Linotype" w:hAnsi="Palatino Linotype" w:cs="Palatino Linotype"/>
          <w:color w:val="000000" w:themeColor="text1"/>
        </w:rPr>
      </w:pPr>
    </w:p>
    <w:p w:rsidR="002E076B" w:rsidRPr="00933F55" w:rsidRDefault="00547796">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Se eligió como modalidad de entrega de la información: A través del </w:t>
      </w:r>
      <w:r w:rsidRPr="00933F55">
        <w:rPr>
          <w:rFonts w:ascii="Palatino Linotype" w:eastAsia="Palatino Linotype" w:hAnsi="Palatino Linotype" w:cs="Palatino Linotype"/>
          <w:b/>
          <w:color w:val="000000" w:themeColor="text1"/>
        </w:rPr>
        <w:t>SAIMEX.</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themeColor="text1"/>
          <w:u w:val="single"/>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El</w:t>
      </w:r>
      <w:r w:rsidRPr="00933F55">
        <w:rPr>
          <w:rFonts w:ascii="Palatino Linotype" w:eastAsia="Palatino Linotype" w:hAnsi="Palatino Linotype" w:cs="Palatino Linotype"/>
          <w:b/>
          <w:color w:val="000000" w:themeColor="text1"/>
        </w:rPr>
        <w:t xml:space="preserve"> diez de febrero de dos mil veinticinco</w:t>
      </w:r>
      <w:r w:rsidRPr="00933F55">
        <w:rPr>
          <w:rFonts w:ascii="Palatino Linotype" w:eastAsia="Palatino Linotype" w:hAnsi="Palatino Linotype" w:cs="Palatino Linotype"/>
          <w:color w:val="000000" w:themeColor="text1"/>
        </w:rPr>
        <w:t>, el Sujeto Obligado</w:t>
      </w:r>
      <w:r w:rsidRPr="00933F55">
        <w:rPr>
          <w:rFonts w:ascii="Palatino Linotype" w:eastAsia="Palatino Linotype" w:hAnsi="Palatino Linotype" w:cs="Palatino Linotype"/>
          <w:b/>
          <w:color w:val="000000" w:themeColor="text1"/>
        </w:rPr>
        <w:t>,</w:t>
      </w:r>
      <w:r w:rsidRPr="00933F55">
        <w:rPr>
          <w:rFonts w:ascii="Palatino Linotype" w:eastAsia="Palatino Linotype" w:hAnsi="Palatino Linotype" w:cs="Palatino Linotype"/>
          <w:color w:val="000000" w:themeColor="text1"/>
        </w:rPr>
        <w:t xml:space="preserve"> dio respuesta a través de los siguientes archivos electrónicos</w:t>
      </w:r>
      <w:r w:rsidRPr="00933F55">
        <w:rPr>
          <w:rFonts w:ascii="Palatino Linotype" w:eastAsia="Palatino Linotype" w:hAnsi="Palatino Linotype" w:cs="Palatino Linotype"/>
          <w:b/>
          <w:i/>
          <w:color w:val="000000" w:themeColor="text1"/>
        </w:rPr>
        <w:t>:</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tbl>
      <w:tblPr>
        <w:tblStyle w:val="a9"/>
        <w:tblW w:w="991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2688"/>
        <w:gridCol w:w="7231"/>
      </w:tblGrid>
      <w:tr w:rsidR="00F561B9" w:rsidRPr="00933F55">
        <w:tc>
          <w:tcPr>
            <w:tcW w:w="2688" w:type="dxa"/>
            <w:shd w:val="clear" w:color="auto" w:fill="D9D9D9"/>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Folio de solicitud</w:t>
            </w:r>
          </w:p>
        </w:tc>
        <w:tc>
          <w:tcPr>
            <w:tcW w:w="7231" w:type="dxa"/>
            <w:shd w:val="clear" w:color="auto" w:fill="D9D9D9"/>
            <w:vAlign w:val="center"/>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Respuesta</w:t>
            </w:r>
          </w:p>
        </w:tc>
      </w:tr>
      <w:tr w:rsidR="00F561B9" w:rsidRPr="00933F55">
        <w:tc>
          <w:tcPr>
            <w:tcW w:w="2688" w:type="dxa"/>
          </w:tcPr>
          <w:p w:rsidR="002E076B" w:rsidRPr="00933F55" w:rsidRDefault="00547796">
            <w:pPr>
              <w:pBdr>
                <w:top w:val="nil"/>
                <w:left w:val="nil"/>
                <w:bottom w:val="nil"/>
                <w:right w:val="nil"/>
                <w:between w:val="nil"/>
              </w:pBdr>
              <w:ind w:left="29" w:right="12"/>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00198/IXTASAL/IP/2025</w:t>
            </w:r>
          </w:p>
        </w:tc>
        <w:tc>
          <w:tcPr>
            <w:tcW w:w="7231" w:type="dxa"/>
          </w:tcPr>
          <w:p w:rsidR="002E076B" w:rsidRPr="00933F55" w:rsidRDefault="00547796">
            <w:pP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 xml:space="preserve">1. </w:t>
            </w:r>
            <w:proofErr w:type="spellStart"/>
            <w:r w:rsidRPr="00933F55">
              <w:rPr>
                <w:rFonts w:ascii="Palatino Linotype" w:eastAsia="Palatino Linotype" w:hAnsi="Palatino Linotype" w:cs="Palatino Linotype"/>
                <w:b/>
                <w:i/>
                <w:color w:val="000000" w:themeColor="text1"/>
              </w:rPr>
              <w:t>Contestacion</w:t>
            </w:r>
            <w:proofErr w:type="spellEnd"/>
            <w:r w:rsidRPr="00933F55">
              <w:rPr>
                <w:rFonts w:ascii="Palatino Linotype" w:eastAsia="Palatino Linotype" w:hAnsi="Palatino Linotype" w:cs="Palatino Linotype"/>
                <w:b/>
                <w:i/>
                <w:color w:val="000000" w:themeColor="text1"/>
              </w:rPr>
              <w:t xml:space="preserve"> </w:t>
            </w:r>
            <w:proofErr w:type="spellStart"/>
            <w:r w:rsidRPr="00933F55">
              <w:rPr>
                <w:rFonts w:ascii="Palatino Linotype" w:eastAsia="Palatino Linotype" w:hAnsi="Palatino Linotype" w:cs="Palatino Linotype"/>
                <w:b/>
                <w:i/>
                <w:color w:val="000000" w:themeColor="text1"/>
              </w:rPr>
              <w:t>Contraloria</w:t>
            </w:r>
            <w:proofErr w:type="spellEnd"/>
            <w:r w:rsidRPr="00933F55">
              <w:rPr>
                <w:rFonts w:ascii="Palatino Linotype" w:eastAsia="Palatino Linotype" w:hAnsi="Palatino Linotype" w:cs="Palatino Linotype"/>
                <w:b/>
                <w:i/>
                <w:color w:val="000000" w:themeColor="text1"/>
              </w:rPr>
              <w:t xml:space="preserve"> SOL 198.pdf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CIM/077/2025 de fecha 06 de febrero de 2025, firmado por el Titular del Órgano Interno de Control, a través del cual manifiesta que </w:t>
            </w:r>
            <w:r w:rsidRPr="00933F55">
              <w:rPr>
                <w:rFonts w:ascii="Palatino Linotype" w:eastAsia="Palatino Linotype" w:hAnsi="Palatino Linotype" w:cs="Palatino Linotype"/>
                <w:i/>
                <w:color w:val="000000" w:themeColor="text1"/>
              </w:rPr>
              <w:t xml:space="preserve">“una vez realizara una búsqueda exhaustiva dentro del sistema </w:t>
            </w:r>
            <w:proofErr w:type="spellStart"/>
            <w:r w:rsidRPr="00933F55">
              <w:rPr>
                <w:rFonts w:ascii="Palatino Linotype" w:eastAsia="Palatino Linotype" w:hAnsi="Palatino Linotype" w:cs="Palatino Linotype"/>
                <w:i/>
                <w:color w:val="000000" w:themeColor="text1"/>
              </w:rPr>
              <w:t>Backoffice</w:t>
            </w:r>
            <w:proofErr w:type="spellEnd"/>
            <w:r w:rsidRPr="00933F55">
              <w:rPr>
                <w:rFonts w:ascii="Palatino Linotype" w:eastAsia="Palatino Linotype" w:hAnsi="Palatino Linotype" w:cs="Palatino Linotype"/>
                <w:i/>
                <w:color w:val="000000" w:themeColor="text1"/>
              </w:rPr>
              <w:t xml:space="preserve"> </w:t>
            </w:r>
            <w:proofErr w:type="spellStart"/>
            <w:r w:rsidRPr="00933F55">
              <w:rPr>
                <w:rFonts w:ascii="Palatino Linotype" w:eastAsia="Palatino Linotype" w:hAnsi="Palatino Linotype" w:cs="Palatino Linotype"/>
                <w:i/>
                <w:color w:val="000000" w:themeColor="text1"/>
              </w:rPr>
              <w:t>Decl@raNET</w:t>
            </w:r>
            <w:proofErr w:type="spellEnd"/>
            <w:r w:rsidRPr="00933F55">
              <w:rPr>
                <w:rFonts w:ascii="Palatino Linotype" w:eastAsia="Palatino Linotype" w:hAnsi="Palatino Linotype" w:cs="Palatino Linotype"/>
                <w:i/>
                <w:color w:val="000000" w:themeColor="text1"/>
              </w:rPr>
              <w:t>, se identificó el registro electrónico que contiene la información pertinente para dar cumplimiento en tiempo y forma a la solicitud de acceso a la información, siendo este el “Registro de Cumplimiento de la Declaración Patrimonial y de Intereses y la Cédula de Percepciones y Datos Generales”,</w:t>
            </w:r>
            <w:r w:rsidRPr="00933F55">
              <w:rPr>
                <w:rFonts w:ascii="Palatino Linotype" w:eastAsia="Palatino Linotype" w:hAnsi="Palatino Linotype" w:cs="Palatino Linotype"/>
                <w:color w:val="000000" w:themeColor="text1"/>
              </w:rPr>
              <w:t xml:space="preserve"> información que se adjunta al presente.</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Se hace del conocimiento al solicitante que el Sujeto Obligado solo cuenta con la información que se entrega, ya que </w:t>
            </w:r>
            <w:r w:rsidRPr="00933F55">
              <w:rPr>
                <w:rFonts w:ascii="Palatino Linotype" w:eastAsia="Palatino Linotype" w:hAnsi="Palatino Linotype" w:cs="Palatino Linotype"/>
                <w:b/>
                <w:color w:val="000000" w:themeColor="text1"/>
              </w:rPr>
              <w:t>únicamente se tiene acceso a la consulta del registro de cumplimiento y la Cédula de Percepciones y Datos Generales</w:t>
            </w:r>
            <w:r w:rsidRPr="00933F55">
              <w:rPr>
                <w:rFonts w:ascii="Palatino Linotype" w:eastAsia="Palatino Linotype" w:hAnsi="Palatino Linotype" w:cs="Palatino Linotype"/>
                <w:color w:val="000000" w:themeColor="text1"/>
              </w:rPr>
              <w:t xml:space="preserve">, ya que la publicación y actualización de la información correspondiente a </w:t>
            </w:r>
            <w:r w:rsidRPr="00933F55">
              <w:rPr>
                <w:rFonts w:ascii="Palatino Linotype" w:eastAsia="Palatino Linotype" w:hAnsi="Palatino Linotype" w:cs="Palatino Linotype"/>
                <w:b/>
                <w:color w:val="000000" w:themeColor="text1"/>
              </w:rPr>
              <w:t>vigilancia y control de la declaración patrimonial, de intereses y constancia de presentación de la declaración fiscal, está a cargo de la Secretaría de la Contraloría del Estado de México</w:t>
            </w:r>
            <w:r w:rsidRPr="00933F55">
              <w:rPr>
                <w:rFonts w:ascii="Palatino Linotype" w:eastAsia="Palatino Linotype" w:hAnsi="Palatino Linotype" w:cs="Palatino Linotype"/>
                <w:color w:val="000000" w:themeColor="text1"/>
              </w:rPr>
              <w:t>, de conformidad con el artículo 38 BIS de la Ley Orgánica de la Administración Pública del Estado de México.</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Señala además que la información que se entrega contiene datos personales, como CURP, RFC y domicilio del declarante, por lo que se deberá elaborar la versión pública.</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1.1 Secretario 2022 DPI.pdf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“Movimientos de sujetos obligados inicial, conclusión y anualidad”</w:t>
            </w:r>
            <w:r w:rsidRPr="00933F55">
              <w:rPr>
                <w:rFonts w:ascii="Palatino Linotype" w:eastAsia="Palatino Linotype" w:hAnsi="Palatino Linotype" w:cs="Palatino Linotype"/>
                <w:color w:val="000000" w:themeColor="text1"/>
              </w:rPr>
              <w:t>, en la que se muestran datos de movimiento de modificación del Secretario del Ayuntamiento del Sujeto Obligado, correspondiente a la anualidad 2022. Se testan los datos de CURP y clave de servidor público.</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“Cédula de Percepciones y Datos Generales”</w:t>
            </w:r>
            <w:r w:rsidRPr="00933F55">
              <w:rPr>
                <w:rFonts w:ascii="Palatino Linotype" w:eastAsia="Palatino Linotype" w:hAnsi="Palatino Linotype" w:cs="Palatino Linotype"/>
                <w:color w:val="000000" w:themeColor="text1"/>
              </w:rPr>
              <w:t>, mostrando datos generales del servidor público con el cargo de Secretario del Ayuntamiento del Sujeto Obligado, testando los datos de CURP, RFC y domicilio, con fecha de movimiento del 01 de mayo de 2022.</w:t>
            </w:r>
          </w:p>
        </w:tc>
      </w:tr>
      <w:tr w:rsidR="00F561B9" w:rsidRPr="00933F55">
        <w:tc>
          <w:tcPr>
            <w:tcW w:w="2688" w:type="dxa"/>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lastRenderedPageBreak/>
              <w:t>00195/IXTASAL/IP/2025</w:t>
            </w:r>
          </w:p>
        </w:tc>
        <w:tc>
          <w:tcPr>
            <w:tcW w:w="7231" w:type="dxa"/>
          </w:tcPr>
          <w:p w:rsidR="002E076B" w:rsidRPr="00933F55" w:rsidRDefault="00547796">
            <w:pP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 xml:space="preserve">1. </w:t>
            </w:r>
            <w:proofErr w:type="spellStart"/>
            <w:r w:rsidRPr="00933F55">
              <w:rPr>
                <w:rFonts w:ascii="Palatino Linotype" w:eastAsia="Palatino Linotype" w:hAnsi="Palatino Linotype" w:cs="Palatino Linotype"/>
                <w:b/>
                <w:i/>
                <w:color w:val="000000" w:themeColor="text1"/>
              </w:rPr>
              <w:t>Contestacion</w:t>
            </w:r>
            <w:proofErr w:type="spellEnd"/>
            <w:r w:rsidRPr="00933F55">
              <w:rPr>
                <w:rFonts w:ascii="Palatino Linotype" w:eastAsia="Palatino Linotype" w:hAnsi="Palatino Linotype" w:cs="Palatino Linotype"/>
                <w:b/>
                <w:i/>
                <w:color w:val="000000" w:themeColor="text1"/>
              </w:rPr>
              <w:t xml:space="preserve"> </w:t>
            </w:r>
            <w:proofErr w:type="spellStart"/>
            <w:r w:rsidRPr="00933F55">
              <w:rPr>
                <w:rFonts w:ascii="Palatino Linotype" w:eastAsia="Palatino Linotype" w:hAnsi="Palatino Linotype" w:cs="Palatino Linotype"/>
                <w:b/>
                <w:i/>
                <w:color w:val="000000" w:themeColor="text1"/>
              </w:rPr>
              <w:t>Contraloria</w:t>
            </w:r>
            <w:proofErr w:type="spellEnd"/>
            <w:r w:rsidRPr="00933F55">
              <w:rPr>
                <w:rFonts w:ascii="Palatino Linotype" w:eastAsia="Palatino Linotype" w:hAnsi="Palatino Linotype" w:cs="Palatino Linotype"/>
                <w:b/>
                <w:i/>
                <w:color w:val="000000" w:themeColor="text1"/>
              </w:rPr>
              <w:t xml:space="preserve"> SOL 195.pdf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CIM/074/2025 de fecha 06 de febrero de 2025, firmado por el Titular del Órgano Interno de Control, </w:t>
            </w:r>
            <w:r w:rsidRPr="00933F55">
              <w:rPr>
                <w:rFonts w:ascii="Palatino Linotype" w:eastAsia="Palatino Linotype" w:hAnsi="Palatino Linotype" w:cs="Palatino Linotype"/>
                <w:color w:val="000000" w:themeColor="text1"/>
                <w:u w:val="single"/>
              </w:rPr>
              <w:t>en los mismos términos que el documento descrito con antelación.</w:t>
            </w:r>
          </w:p>
          <w:p w:rsidR="002E076B" w:rsidRPr="00933F55" w:rsidRDefault="002E076B">
            <w:pPr>
              <w:jc w:val="both"/>
              <w:rPr>
                <w:rFonts w:ascii="Palatino Linotype" w:eastAsia="Palatino Linotype" w:hAnsi="Palatino Linotype" w:cs="Palatino Linotype"/>
                <w:b/>
                <w:i/>
                <w:color w:val="000000" w:themeColor="text1"/>
              </w:rPr>
            </w:pPr>
          </w:p>
          <w:p w:rsidR="002E076B" w:rsidRPr="00933F55" w:rsidRDefault="00547796">
            <w:pP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1.1 Presidente 2022 DPI.pdf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“Movimientos de sujetos obligados inicial, conclusión y anualidad”</w:t>
            </w:r>
            <w:r w:rsidRPr="00933F55">
              <w:rPr>
                <w:rFonts w:ascii="Palatino Linotype" w:eastAsia="Palatino Linotype" w:hAnsi="Palatino Linotype" w:cs="Palatino Linotype"/>
                <w:color w:val="000000" w:themeColor="text1"/>
              </w:rPr>
              <w:t>, en la que se muestran datos de: tipo de movimiento inicial, del Presidente Municipal Constitucional del Sujeto Obligado, correspondiente a la anualidad 2022. Se testan los datos de CURP y clave de servidor público.</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“Cédula de Percepciones y Datos Generales”</w:t>
            </w:r>
            <w:r w:rsidRPr="00933F55">
              <w:rPr>
                <w:rFonts w:ascii="Palatino Linotype" w:eastAsia="Palatino Linotype" w:hAnsi="Palatino Linotype" w:cs="Palatino Linotype"/>
                <w:color w:val="000000" w:themeColor="text1"/>
              </w:rPr>
              <w:t xml:space="preserve">, mostrando datos generales del servidor público con el cargo de Presidente Municipal Constitucional del Sujeto Obligado, testando los datos de CURP, RFC y domicilio, con fecha de movimiento del 01 de febrero de 2022. </w:t>
            </w:r>
          </w:p>
        </w:tc>
      </w:tr>
      <w:tr w:rsidR="00F561B9" w:rsidRPr="00933F55">
        <w:tc>
          <w:tcPr>
            <w:tcW w:w="2688" w:type="dxa"/>
          </w:tcPr>
          <w:p w:rsidR="002E076B" w:rsidRPr="00933F55" w:rsidRDefault="00547796">
            <w:pPr>
              <w:pBdr>
                <w:top w:val="nil"/>
                <w:left w:val="nil"/>
                <w:bottom w:val="nil"/>
                <w:right w:val="nil"/>
                <w:between w:val="nil"/>
              </w:pBdr>
              <w:ind w:right="12"/>
              <w:jc w:val="center"/>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00196/IXTASAL/IP/2025</w:t>
            </w:r>
          </w:p>
        </w:tc>
        <w:tc>
          <w:tcPr>
            <w:tcW w:w="7231" w:type="dxa"/>
          </w:tcPr>
          <w:p w:rsidR="002E076B" w:rsidRPr="00933F55" w:rsidRDefault="0054779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1.1 Presidente 2023 DPI.pdf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“Movimientos de sujetos obligados inicial, conclusión y anualidad”</w:t>
            </w:r>
            <w:r w:rsidRPr="00933F55">
              <w:rPr>
                <w:rFonts w:ascii="Palatino Linotype" w:eastAsia="Palatino Linotype" w:hAnsi="Palatino Linotype" w:cs="Palatino Linotype"/>
                <w:color w:val="000000" w:themeColor="text1"/>
              </w:rPr>
              <w:t xml:space="preserve">, en la que se muestran </w:t>
            </w:r>
            <w:r w:rsidRPr="00933F55">
              <w:rPr>
                <w:rFonts w:ascii="Palatino Linotype" w:eastAsia="Palatino Linotype" w:hAnsi="Palatino Linotype" w:cs="Palatino Linotype"/>
                <w:color w:val="000000" w:themeColor="text1"/>
              </w:rPr>
              <w:lastRenderedPageBreak/>
              <w:t>datos de: tipo de movimiento modificación, del Presidente Municipal Constitucional del Sujeto Obligado, correspondiente a la anualidad 2023. Se testan los datos de CURP y clave de servidor público.</w:t>
            </w:r>
          </w:p>
          <w:p w:rsidR="002E076B" w:rsidRPr="00933F55" w:rsidRDefault="002E076B">
            <w:pPr>
              <w:jc w:val="both"/>
              <w:rPr>
                <w:rFonts w:ascii="Palatino Linotype" w:eastAsia="Palatino Linotype" w:hAnsi="Palatino Linotype" w:cs="Palatino Linotype"/>
                <w:color w:val="000000" w:themeColor="text1"/>
              </w:rPr>
            </w:pPr>
          </w:p>
          <w:p w:rsidR="002E076B" w:rsidRPr="00933F55" w:rsidRDefault="00547796">
            <w:pPr>
              <w:pBdr>
                <w:top w:val="nil"/>
                <w:left w:val="nil"/>
                <w:bottom w:val="nil"/>
                <w:right w:val="nil"/>
                <w:between w:val="nil"/>
              </w:pBd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Documento que muestra el encabezado </w:t>
            </w:r>
            <w:r w:rsidRPr="00933F55">
              <w:rPr>
                <w:rFonts w:ascii="Palatino Linotype" w:eastAsia="Palatino Linotype" w:hAnsi="Palatino Linotype" w:cs="Palatino Linotype"/>
                <w:b/>
                <w:color w:val="000000" w:themeColor="text1"/>
              </w:rPr>
              <w:t>“Cédula de Percepciones y Datos Generales”</w:t>
            </w:r>
            <w:r w:rsidRPr="00933F55">
              <w:rPr>
                <w:rFonts w:ascii="Palatino Linotype" w:eastAsia="Palatino Linotype" w:hAnsi="Palatino Linotype" w:cs="Palatino Linotype"/>
                <w:color w:val="000000" w:themeColor="text1"/>
              </w:rPr>
              <w:t>, mostrando datos generales del servidor público con el cargo de Presidente Municipal Constitucional del Sujeto Obligado, testando los datos de CURP, RFC y domicilio, con fecha de movimiento del 01 de mayo de 2023.</w:t>
            </w:r>
          </w:p>
          <w:p w:rsidR="002E076B" w:rsidRPr="00933F55" w:rsidRDefault="002E076B">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2E076B" w:rsidRPr="00933F55" w:rsidRDefault="00547796">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 xml:space="preserve">1. </w:t>
            </w:r>
            <w:proofErr w:type="spellStart"/>
            <w:r w:rsidRPr="00933F55">
              <w:rPr>
                <w:rFonts w:ascii="Palatino Linotype" w:eastAsia="Palatino Linotype" w:hAnsi="Palatino Linotype" w:cs="Palatino Linotype"/>
                <w:b/>
                <w:i/>
                <w:color w:val="000000" w:themeColor="text1"/>
              </w:rPr>
              <w:t>Contestacion</w:t>
            </w:r>
            <w:proofErr w:type="spellEnd"/>
            <w:r w:rsidRPr="00933F55">
              <w:rPr>
                <w:rFonts w:ascii="Palatino Linotype" w:eastAsia="Palatino Linotype" w:hAnsi="Palatino Linotype" w:cs="Palatino Linotype"/>
                <w:b/>
                <w:i/>
                <w:color w:val="000000" w:themeColor="text1"/>
              </w:rPr>
              <w:t xml:space="preserve"> </w:t>
            </w:r>
            <w:proofErr w:type="spellStart"/>
            <w:r w:rsidRPr="00933F55">
              <w:rPr>
                <w:rFonts w:ascii="Palatino Linotype" w:eastAsia="Palatino Linotype" w:hAnsi="Palatino Linotype" w:cs="Palatino Linotype"/>
                <w:b/>
                <w:i/>
                <w:color w:val="000000" w:themeColor="text1"/>
              </w:rPr>
              <w:t>Contraloria</w:t>
            </w:r>
            <w:proofErr w:type="spellEnd"/>
            <w:r w:rsidRPr="00933F55">
              <w:rPr>
                <w:rFonts w:ascii="Palatino Linotype" w:eastAsia="Palatino Linotype" w:hAnsi="Palatino Linotype" w:cs="Palatino Linotype"/>
                <w:b/>
                <w:i/>
                <w:color w:val="000000" w:themeColor="text1"/>
              </w:rPr>
              <w:t xml:space="preserve"> SOL 196.pdf</w:t>
            </w:r>
          </w:p>
          <w:p w:rsidR="002E076B" w:rsidRPr="00933F55" w:rsidRDefault="00547796">
            <w:pPr>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CIM/075/2025 de fecha 06 de febrero de 2025, firmado por el Titular del Órgano Interno de Control, </w:t>
            </w:r>
            <w:r w:rsidRPr="00933F55">
              <w:rPr>
                <w:rFonts w:ascii="Palatino Linotype" w:eastAsia="Palatino Linotype" w:hAnsi="Palatino Linotype" w:cs="Palatino Linotype"/>
                <w:color w:val="000000" w:themeColor="text1"/>
                <w:u w:val="single"/>
              </w:rPr>
              <w:t>en los mismos términos que los documento descritos con antelación.</w:t>
            </w:r>
          </w:p>
        </w:tc>
      </w:tr>
    </w:tbl>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themeColor="text1"/>
        </w:rPr>
      </w:pP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themeColor="text1"/>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El</w:t>
      </w:r>
      <w:r w:rsidRPr="00933F55">
        <w:rPr>
          <w:rFonts w:ascii="Palatino Linotype" w:eastAsia="Palatino Linotype" w:hAnsi="Palatino Linotype" w:cs="Palatino Linotype"/>
          <w:b/>
          <w:color w:val="000000" w:themeColor="text1"/>
        </w:rPr>
        <w:t xml:space="preserve"> diecisiete de febrero de dos mil veinticinco</w:t>
      </w:r>
      <w:r w:rsidRPr="00933F55">
        <w:rPr>
          <w:rFonts w:ascii="Palatino Linotype" w:eastAsia="Palatino Linotype" w:hAnsi="Palatino Linotype" w:cs="Palatino Linotype"/>
          <w:color w:val="000000" w:themeColor="text1"/>
        </w:rPr>
        <w:t xml:space="preserve">, el particular interpuso los recursos de revisión a los que se les asignaron los folios </w:t>
      </w:r>
      <w:r w:rsidRPr="00933F55">
        <w:rPr>
          <w:rFonts w:ascii="Palatino Linotype" w:eastAsia="Palatino Linotype" w:hAnsi="Palatino Linotype" w:cs="Palatino Linotype"/>
          <w:b/>
          <w:color w:val="000000" w:themeColor="text1"/>
        </w:rPr>
        <w:t xml:space="preserve">01513/INFOEM/IP/RR/2025,  01514/INFOEM/IP/RR/2025 y 01515/INFOEM/IP/RR/2025 </w:t>
      </w:r>
      <w:r w:rsidRPr="00933F55">
        <w:rPr>
          <w:rFonts w:ascii="Palatino Linotype" w:eastAsia="Palatino Linotype" w:hAnsi="Palatino Linotype" w:cs="Palatino Linotype"/>
          <w:color w:val="000000" w:themeColor="text1"/>
        </w:rPr>
        <w:t>en contra de las respuestas emitidas por el sujeto obligado, realizando idénticas manifestaciones como acto impugnado y razones o motivos de inconformidad:</w:t>
      </w:r>
    </w:p>
    <w:p w:rsidR="002E076B" w:rsidRPr="00933F55" w:rsidRDefault="002E076B">
      <w:pPr>
        <w:pBdr>
          <w:top w:val="nil"/>
          <w:left w:val="nil"/>
          <w:bottom w:val="nil"/>
          <w:right w:val="nil"/>
          <w:between w:val="nil"/>
        </w:pBdr>
        <w:tabs>
          <w:tab w:val="left" w:pos="0"/>
        </w:tabs>
        <w:spacing w:line="360" w:lineRule="auto"/>
        <w:ind w:left="360" w:right="-787"/>
        <w:jc w:val="both"/>
        <w:rPr>
          <w:rFonts w:ascii="Palatino Linotype" w:eastAsia="Palatino Linotype" w:hAnsi="Palatino Linotype" w:cs="Palatino Linotype"/>
          <w:color w:val="000000" w:themeColor="text1"/>
        </w:rPr>
      </w:pPr>
    </w:p>
    <w:p w:rsidR="002E076B" w:rsidRPr="00933F55" w:rsidRDefault="00547796">
      <w:pPr>
        <w:ind w:left="709"/>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color w:val="000000" w:themeColor="text1"/>
        </w:rPr>
        <w:t xml:space="preserve">Acto impugnado: </w:t>
      </w:r>
      <w:r w:rsidRPr="00933F55">
        <w:rPr>
          <w:rFonts w:ascii="Palatino Linotype" w:eastAsia="Palatino Linotype" w:hAnsi="Palatino Linotype" w:cs="Palatino Linotype"/>
          <w:i/>
          <w:color w:val="000000" w:themeColor="text1"/>
        </w:rPr>
        <w:t>la información no corresponde a lo solicitado</w:t>
      </w:r>
    </w:p>
    <w:p w:rsidR="002E076B" w:rsidRPr="00933F55" w:rsidRDefault="002E076B">
      <w:pPr>
        <w:ind w:left="709"/>
        <w:jc w:val="both"/>
        <w:rPr>
          <w:rFonts w:ascii="Palatino Linotype" w:eastAsia="Palatino Linotype" w:hAnsi="Palatino Linotype" w:cs="Palatino Linotype"/>
          <w:b/>
          <w:color w:val="000000" w:themeColor="text1"/>
        </w:rPr>
      </w:pPr>
    </w:p>
    <w:p w:rsidR="002E076B" w:rsidRPr="00933F55" w:rsidRDefault="00547796">
      <w:pPr>
        <w:pBdr>
          <w:top w:val="nil"/>
          <w:left w:val="nil"/>
          <w:bottom w:val="nil"/>
          <w:right w:val="nil"/>
          <w:between w:val="nil"/>
        </w:pBdr>
        <w:tabs>
          <w:tab w:val="left" w:pos="0"/>
        </w:tabs>
        <w:spacing w:line="360" w:lineRule="auto"/>
        <w:ind w:left="709"/>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 xml:space="preserve">Razones o motivos de inconformidad: </w:t>
      </w:r>
      <w:r w:rsidRPr="00933F55">
        <w:rPr>
          <w:rFonts w:ascii="Palatino Linotype" w:eastAsia="Palatino Linotype" w:hAnsi="Palatino Linotype" w:cs="Palatino Linotype"/>
          <w:i/>
          <w:color w:val="000000" w:themeColor="text1"/>
        </w:rPr>
        <w:t>la información no corresponde a lo solicitado</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themeColor="text1"/>
          <w:u w:val="single"/>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933F55">
        <w:rPr>
          <w:rFonts w:ascii="Palatino Linotype" w:eastAsia="Palatino Linotype" w:hAnsi="Palatino Linotype" w:cs="Palatino Linotype"/>
          <w:b/>
          <w:color w:val="000000" w:themeColor="text1"/>
        </w:rPr>
        <w:t xml:space="preserve">acuerdos de admisión </w:t>
      </w:r>
      <w:r w:rsidRPr="00933F55">
        <w:rPr>
          <w:rFonts w:ascii="Palatino Linotype" w:eastAsia="Palatino Linotype" w:hAnsi="Palatino Linotype" w:cs="Palatino Linotype"/>
          <w:color w:val="000000" w:themeColor="text1"/>
        </w:rPr>
        <w:t xml:space="preserve">de fechas </w:t>
      </w:r>
      <w:r w:rsidRPr="00933F55">
        <w:rPr>
          <w:rFonts w:ascii="Palatino Linotype" w:eastAsia="Palatino Linotype" w:hAnsi="Palatino Linotype" w:cs="Palatino Linotype"/>
          <w:b/>
          <w:color w:val="000000" w:themeColor="text1"/>
        </w:rPr>
        <w:lastRenderedPageBreak/>
        <w:t xml:space="preserve">diecinueve, veinte y dieciocho de febrero de dos mil veinticinco, </w:t>
      </w:r>
      <w:r w:rsidRPr="00933F55">
        <w:rPr>
          <w:rFonts w:ascii="Palatino Linotype" w:eastAsia="Palatino Linotype" w:hAnsi="Palatino Linotype" w:cs="Palatino Linotype"/>
          <w:color w:val="000000" w:themeColor="text1"/>
        </w:rPr>
        <w:t xml:space="preserve">pusieron a disposición de las partes el expediente electrónico vía SAIMEX a efecto de que en un plazo máximo de siete días manifestara lo que a su derecho conviniera, ofreciera pruebas y alegatos según corresponda al caso concreto, de esta forma para que el </w:t>
      </w:r>
      <w:r w:rsidRPr="00933F55">
        <w:rPr>
          <w:rFonts w:ascii="Palatino Linotype" w:eastAsia="Palatino Linotype" w:hAnsi="Palatino Linotype" w:cs="Palatino Linotype"/>
          <w:b/>
          <w:color w:val="000000" w:themeColor="text1"/>
        </w:rPr>
        <w:t xml:space="preserve">SUJETO OBLIGADO </w:t>
      </w:r>
      <w:r w:rsidRPr="00933F55">
        <w:rPr>
          <w:rFonts w:ascii="Palatino Linotype" w:eastAsia="Palatino Linotype" w:hAnsi="Palatino Linotype" w:cs="Palatino Linotype"/>
          <w:color w:val="000000" w:themeColor="text1"/>
        </w:rPr>
        <w:t>presentara el Informe Justificado procedente.</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El Recurrente</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dejó de realizar manifestaciones que a su derecho conviniera y asistiera. Por su parte, el Sujeto Obligado,</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el</w:t>
      </w:r>
      <w:r w:rsidRPr="00933F55">
        <w:rPr>
          <w:rFonts w:ascii="Palatino Linotype" w:eastAsia="Palatino Linotype" w:hAnsi="Palatino Linotype" w:cs="Palatino Linotype"/>
          <w:b/>
          <w:color w:val="000000" w:themeColor="text1"/>
        </w:rPr>
        <w:t xml:space="preserve"> cuatro de marzo de dos mil veinticinco </w:t>
      </w:r>
      <w:r w:rsidRPr="00933F55">
        <w:rPr>
          <w:rFonts w:ascii="Palatino Linotype" w:eastAsia="Palatino Linotype" w:hAnsi="Palatino Linotype" w:cs="Palatino Linotype"/>
          <w:color w:val="000000" w:themeColor="text1"/>
        </w:rPr>
        <w:t xml:space="preserve">presentó informes justificados a través de archivos digitales, cuyo contenido </w:t>
      </w:r>
      <w:r w:rsidRPr="00933F55">
        <w:rPr>
          <w:rFonts w:ascii="Palatino Linotype" w:eastAsia="Palatino Linotype" w:hAnsi="Palatino Linotype" w:cs="Palatino Linotype"/>
          <w:color w:val="000000" w:themeColor="text1"/>
          <w:u w:val="single"/>
        </w:rPr>
        <w:t>esencial</w:t>
      </w:r>
      <w:r w:rsidRPr="00933F55">
        <w:rPr>
          <w:rFonts w:ascii="Palatino Linotype" w:eastAsia="Palatino Linotype" w:hAnsi="Palatino Linotype" w:cs="Palatino Linotype"/>
          <w:color w:val="000000" w:themeColor="text1"/>
        </w:rPr>
        <w:t xml:space="preserve"> es el siguiente: </w:t>
      </w:r>
    </w:p>
    <w:p w:rsidR="002E076B" w:rsidRPr="00933F55" w:rsidRDefault="002E076B">
      <w:pPr>
        <w:pBdr>
          <w:top w:val="nil"/>
          <w:left w:val="nil"/>
          <w:bottom w:val="nil"/>
          <w:right w:val="nil"/>
          <w:between w:val="nil"/>
        </w:pBdr>
        <w:spacing w:line="360" w:lineRule="auto"/>
        <w:ind w:left="567" w:right="-787"/>
        <w:jc w:val="both"/>
        <w:rPr>
          <w:rFonts w:ascii="Palatino Linotype" w:eastAsia="Palatino Linotype" w:hAnsi="Palatino Linotype" w:cs="Palatino Linotype"/>
          <w:b/>
          <w:color w:val="000000" w:themeColor="text1"/>
        </w:rPr>
      </w:pPr>
    </w:p>
    <w:p w:rsidR="002E076B" w:rsidRPr="00933F55" w:rsidRDefault="00547796">
      <w:pPr>
        <w:numPr>
          <w:ilvl w:val="0"/>
          <w:numId w:val="2"/>
        </w:numPr>
        <w:pBdr>
          <w:top w:val="nil"/>
          <w:left w:val="nil"/>
          <w:bottom w:val="nil"/>
          <w:right w:val="nil"/>
          <w:between w:val="nil"/>
        </w:pBdr>
        <w:ind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Recurso de Revisión 01513/INFOEM/IP/RR/2025</w:t>
      </w:r>
    </w:p>
    <w:p w:rsidR="002E076B" w:rsidRPr="00933F55" w:rsidRDefault="002E076B">
      <w:pPr>
        <w:pBdr>
          <w:top w:val="nil"/>
          <w:left w:val="nil"/>
          <w:bottom w:val="nil"/>
          <w:right w:val="nil"/>
          <w:between w:val="nil"/>
        </w:pBdr>
        <w:ind w:left="567" w:right="-788"/>
        <w:jc w:val="both"/>
        <w:rPr>
          <w:rFonts w:ascii="Palatino Linotype" w:eastAsia="Palatino Linotype" w:hAnsi="Palatino Linotype" w:cs="Palatino Linotype"/>
          <w:b/>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OF. 556-25 MANIFESTACIONES RR 198-25.pdf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w:t>
      </w:r>
      <w:proofErr w:type="spellStart"/>
      <w:r w:rsidRPr="00933F55">
        <w:rPr>
          <w:rFonts w:ascii="Palatino Linotype" w:eastAsia="Palatino Linotype" w:hAnsi="Palatino Linotype" w:cs="Palatino Linotype"/>
          <w:color w:val="000000" w:themeColor="text1"/>
        </w:rPr>
        <w:t>DTPDPyGD</w:t>
      </w:r>
      <w:proofErr w:type="spellEnd"/>
      <w:r w:rsidRPr="00933F55">
        <w:rPr>
          <w:rFonts w:ascii="Palatino Linotype" w:eastAsia="Palatino Linotype" w:hAnsi="Palatino Linotype" w:cs="Palatino Linotype"/>
          <w:color w:val="000000" w:themeColor="text1"/>
        </w:rPr>
        <w:t>/556/2025 de fecha 04 de marzo de 2025, firmado por la Directora de Transparencia, Protección de Datos Personales y Gobierno Democrático, a través del cual manifiesta que en respuesta se entregó la única información con a que se cuenta. Adicionalmente manifiesta no haber adjuntando el Acta de 11 Sesión Extraordinaria del Comité de Transparencia, mediante la cual se clasifica la información confidencial contenida en tales documentales.</w:t>
      </w:r>
    </w:p>
    <w:p w:rsidR="002E076B" w:rsidRPr="00933F55" w:rsidRDefault="002E076B">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ACTA DE LA DECIMA PRIMERA SESION EXTRAORDINARIA 2025.pdf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Acta de la Décima Primera Sesión Extraordinaria del Comité de Transparencia en la que se somete a consideración la clasificación de información confidencial que contienen las Declaraciones Patrimoniales de los entonces Presidente Municipal, Secretario del Ayuntamiento y Tesorero Municipal, durante los años 2022, 2023 y 2024, aprobándose la clasificación de la información como confidencial de los datos personales consistentes en CURP, RFC, HOMOCLAVE, DOMICILIO, CÓDIGO POSTAL, LOCALIDAD, NO. INTERIOR Y EXTERIOR, CLAVE DE SERVIDOR PÚBLICO, de manera enunciativa mas no limitativa, a  fin de dar respuesta a diversas solicitudes de información, entre ellas las que ocupan los presentes recursos. </w:t>
      </w:r>
    </w:p>
    <w:p w:rsidR="002E076B" w:rsidRPr="00933F55" w:rsidRDefault="002E076B">
      <w:pPr>
        <w:pBdr>
          <w:top w:val="nil"/>
          <w:left w:val="nil"/>
          <w:bottom w:val="nil"/>
          <w:right w:val="nil"/>
          <w:between w:val="nil"/>
        </w:pBdr>
        <w:ind w:left="567" w:right="-788"/>
        <w:jc w:val="both"/>
        <w:rPr>
          <w:rFonts w:ascii="Palatino Linotype" w:eastAsia="Palatino Linotype" w:hAnsi="Palatino Linotype" w:cs="Palatino Linotype"/>
          <w:b/>
          <w:color w:val="000000" w:themeColor="text1"/>
        </w:rPr>
      </w:pPr>
    </w:p>
    <w:p w:rsidR="002E076B" w:rsidRPr="00933F55" w:rsidRDefault="00547796">
      <w:pPr>
        <w:numPr>
          <w:ilvl w:val="0"/>
          <w:numId w:val="2"/>
        </w:numPr>
        <w:pBdr>
          <w:top w:val="nil"/>
          <w:left w:val="nil"/>
          <w:bottom w:val="nil"/>
          <w:right w:val="nil"/>
          <w:between w:val="nil"/>
        </w:pBdr>
        <w:ind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Recurso de Revisión 01514/INFOEM/IP/RR/2025</w:t>
      </w:r>
    </w:p>
    <w:p w:rsidR="002E076B" w:rsidRPr="00933F55" w:rsidRDefault="002E076B">
      <w:pPr>
        <w:pBdr>
          <w:top w:val="nil"/>
          <w:left w:val="nil"/>
          <w:bottom w:val="nil"/>
          <w:right w:val="nil"/>
          <w:between w:val="nil"/>
        </w:pBdr>
        <w:ind w:left="567" w:right="-788"/>
        <w:jc w:val="both"/>
        <w:rPr>
          <w:rFonts w:ascii="Palatino Linotype" w:eastAsia="Palatino Linotype" w:hAnsi="Palatino Linotype" w:cs="Palatino Linotype"/>
          <w:b/>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ACTA DE LA DECIMA PRIMERA SESION EXTRAORDINARIA 2025.pdf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u w:val="single"/>
        </w:rPr>
      </w:pPr>
      <w:r w:rsidRPr="00933F55">
        <w:rPr>
          <w:rFonts w:ascii="Palatino Linotype" w:eastAsia="Palatino Linotype" w:hAnsi="Palatino Linotype" w:cs="Palatino Linotype"/>
          <w:color w:val="000000" w:themeColor="text1"/>
          <w:u w:val="single"/>
        </w:rPr>
        <w:t>Documento ya descrito en el párrafo anterior.</w:t>
      </w:r>
    </w:p>
    <w:p w:rsidR="002E076B" w:rsidRPr="00933F55" w:rsidRDefault="002E076B">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OF. 557-25 MANIFESTACIONES RR 195-25.pdf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w:t>
      </w:r>
      <w:proofErr w:type="spellStart"/>
      <w:r w:rsidRPr="00933F55">
        <w:rPr>
          <w:rFonts w:ascii="Palatino Linotype" w:eastAsia="Palatino Linotype" w:hAnsi="Palatino Linotype" w:cs="Palatino Linotype"/>
          <w:color w:val="000000" w:themeColor="text1"/>
        </w:rPr>
        <w:t>DTPDPyGD</w:t>
      </w:r>
      <w:proofErr w:type="spellEnd"/>
      <w:r w:rsidRPr="00933F55">
        <w:rPr>
          <w:rFonts w:ascii="Palatino Linotype" w:eastAsia="Palatino Linotype" w:hAnsi="Palatino Linotype" w:cs="Palatino Linotype"/>
          <w:color w:val="000000" w:themeColor="text1"/>
        </w:rPr>
        <w:t xml:space="preserve">/557/2025 de fecha 04 de marzo de 2025, firmado por la Directora de Transparencia, Protección de Datos Personales y Gobierno Democrático, </w:t>
      </w:r>
      <w:r w:rsidRPr="00933F55">
        <w:rPr>
          <w:rFonts w:ascii="Palatino Linotype" w:eastAsia="Palatino Linotype" w:hAnsi="Palatino Linotype" w:cs="Palatino Linotype"/>
          <w:color w:val="000000" w:themeColor="text1"/>
          <w:u w:val="single"/>
        </w:rPr>
        <w:t>cuyo contenido versa en los mismos términos que el ya descrito en el recurso previo.</w:t>
      </w:r>
    </w:p>
    <w:p w:rsidR="002E076B" w:rsidRPr="00933F55" w:rsidRDefault="002E076B">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p>
    <w:p w:rsidR="002E076B" w:rsidRPr="00933F55" w:rsidRDefault="00547796">
      <w:pPr>
        <w:numPr>
          <w:ilvl w:val="0"/>
          <w:numId w:val="2"/>
        </w:numPr>
        <w:pBdr>
          <w:top w:val="nil"/>
          <w:left w:val="nil"/>
          <w:bottom w:val="nil"/>
          <w:right w:val="nil"/>
          <w:between w:val="nil"/>
        </w:pBdr>
        <w:ind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Recurso de Revisión 01515/INFOEM/IP/RR/2025</w:t>
      </w:r>
    </w:p>
    <w:p w:rsidR="002E076B" w:rsidRPr="00933F55" w:rsidRDefault="002E076B">
      <w:pPr>
        <w:pBdr>
          <w:top w:val="nil"/>
          <w:left w:val="nil"/>
          <w:bottom w:val="nil"/>
          <w:right w:val="nil"/>
          <w:between w:val="nil"/>
        </w:pBdr>
        <w:ind w:left="567" w:right="-788"/>
        <w:jc w:val="both"/>
        <w:rPr>
          <w:rFonts w:ascii="Palatino Linotype" w:eastAsia="Palatino Linotype" w:hAnsi="Palatino Linotype" w:cs="Palatino Linotype"/>
          <w:b/>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OF. 558-25 MANIFESTACIONES RR 196-25.pdf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Oficio </w:t>
      </w:r>
      <w:proofErr w:type="spellStart"/>
      <w:r w:rsidRPr="00933F55">
        <w:rPr>
          <w:rFonts w:ascii="Palatino Linotype" w:eastAsia="Palatino Linotype" w:hAnsi="Palatino Linotype" w:cs="Palatino Linotype"/>
          <w:color w:val="000000" w:themeColor="text1"/>
        </w:rPr>
        <w:t>DTPDPyGD</w:t>
      </w:r>
      <w:proofErr w:type="spellEnd"/>
      <w:r w:rsidRPr="00933F55">
        <w:rPr>
          <w:rFonts w:ascii="Palatino Linotype" w:eastAsia="Palatino Linotype" w:hAnsi="Palatino Linotype" w:cs="Palatino Linotype"/>
          <w:color w:val="000000" w:themeColor="text1"/>
        </w:rPr>
        <w:t xml:space="preserve">/558/2025 de fecha 04 de marzo de 2025, firmado por la Directora de Transparencia, Protección de Datos Personales y Gobierno Democrático, </w:t>
      </w:r>
      <w:r w:rsidRPr="00933F55">
        <w:rPr>
          <w:rFonts w:ascii="Palatino Linotype" w:eastAsia="Palatino Linotype" w:hAnsi="Palatino Linotype" w:cs="Palatino Linotype"/>
          <w:color w:val="000000" w:themeColor="text1"/>
          <w:u w:val="single"/>
        </w:rPr>
        <w:t>cuyo contenido versa en los mismos términos que el ya descrito en el primer recurso.</w:t>
      </w:r>
    </w:p>
    <w:p w:rsidR="002E076B" w:rsidRPr="00933F55" w:rsidRDefault="002E076B">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ACTA DE LA DECIMA PRIMERA SESION EXTRAORDINARIA 2025.pdf</w:t>
      </w:r>
    </w:p>
    <w:p w:rsidR="002E076B" w:rsidRPr="00933F55" w:rsidRDefault="00547796">
      <w:pPr>
        <w:pBdr>
          <w:top w:val="nil"/>
          <w:left w:val="nil"/>
          <w:bottom w:val="nil"/>
          <w:right w:val="nil"/>
          <w:between w:val="nil"/>
        </w:pBdr>
        <w:ind w:left="851" w:right="-788"/>
        <w:jc w:val="both"/>
        <w:rPr>
          <w:rFonts w:ascii="Palatino Linotype" w:eastAsia="Palatino Linotype" w:hAnsi="Palatino Linotype" w:cs="Palatino Linotype"/>
          <w:color w:val="000000" w:themeColor="text1"/>
          <w:u w:val="single"/>
        </w:rPr>
      </w:pPr>
      <w:r w:rsidRPr="00933F55">
        <w:rPr>
          <w:rFonts w:ascii="Palatino Linotype" w:eastAsia="Palatino Linotype" w:hAnsi="Palatino Linotype" w:cs="Palatino Linotype"/>
          <w:color w:val="000000" w:themeColor="text1"/>
          <w:u w:val="single"/>
        </w:rPr>
        <w:t>Documento ya descrito en párrafos anteriores.</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Posteriormente el Pleno de este Órgano Autónomo, en la</w:t>
      </w:r>
      <w:r w:rsidRPr="00933F55">
        <w:rPr>
          <w:rFonts w:ascii="Palatino Linotype" w:eastAsia="Palatino Linotype" w:hAnsi="Palatino Linotype" w:cs="Palatino Linotype"/>
          <w:b/>
          <w:color w:val="000000" w:themeColor="text1"/>
        </w:rPr>
        <w:t xml:space="preserve"> Séptima Sesión Ordinaria </w:t>
      </w:r>
      <w:r w:rsidRPr="00933F55">
        <w:rPr>
          <w:rFonts w:ascii="Palatino Linotype" w:eastAsia="Palatino Linotype" w:hAnsi="Palatino Linotype" w:cs="Palatino Linotype"/>
          <w:color w:val="000000" w:themeColor="text1"/>
        </w:rPr>
        <w:t>de fecha</w:t>
      </w:r>
      <w:r w:rsidRPr="00933F55">
        <w:rPr>
          <w:rFonts w:ascii="Palatino Linotype" w:eastAsia="Palatino Linotype" w:hAnsi="Palatino Linotype" w:cs="Palatino Linotype"/>
          <w:b/>
          <w:color w:val="000000" w:themeColor="text1"/>
        </w:rPr>
        <w:t xml:space="preserve"> veintiséis de febrero de dos mil veinticinco</w:t>
      </w:r>
      <w:r w:rsidRPr="00933F55">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933F55">
        <w:rPr>
          <w:rFonts w:ascii="Palatino Linotype" w:eastAsia="Palatino Linotype" w:hAnsi="Palatino Linotype" w:cs="Palatino Linotype"/>
          <w:b/>
          <w:color w:val="000000" w:themeColor="text1"/>
        </w:rPr>
        <w:t xml:space="preserve">Comisionada María del Rosario Mejía Ayala </w:t>
      </w:r>
      <w:r w:rsidRPr="00933F55">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933F55">
        <w:rPr>
          <w:rFonts w:ascii="Palatino Linotype" w:eastAsia="Palatino Linotype" w:hAnsi="Palatino Linotype" w:cs="Palatino Linotype"/>
          <w:i/>
          <w:color w:val="000000" w:themeColor="text1"/>
          <w:vertAlign w:val="superscript"/>
        </w:rPr>
        <w:footnoteReference w:id="1"/>
      </w:r>
      <w:r w:rsidRPr="00933F55">
        <w:rPr>
          <w:rFonts w:ascii="Palatino Linotype" w:eastAsia="Palatino Linotype" w:hAnsi="Palatino Linotype" w:cs="Palatino Linotype"/>
          <w:color w:val="000000" w:themeColor="text1"/>
        </w:rPr>
        <w:t>, que señala:</w:t>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lastRenderedPageBreak/>
        <w:t>“ONCE.</w:t>
      </w:r>
      <w:r w:rsidRPr="00933F55">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r w:rsidRPr="00933F55">
        <w:rPr>
          <w:rFonts w:ascii="Palatino Linotype" w:eastAsia="Palatino Linotype" w:hAnsi="Palatino Linotype" w:cs="Palatino Linotype"/>
          <w:i/>
          <w:color w:val="000000" w:themeColor="text1"/>
        </w:rPr>
        <w:tab/>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b) Las partes o los actos impugnados sean iguales</w:t>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c) Cuando se trate del mismo solicitante, el mismo SUJETO OBLIGADO, aunque se trate de solicitudes diversas;</w:t>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p>
    <w:p w:rsidR="002E076B" w:rsidRPr="00933F55" w:rsidRDefault="00547796">
      <w:pPr>
        <w:pBdr>
          <w:top w:val="nil"/>
          <w:left w:val="nil"/>
          <w:bottom w:val="nil"/>
          <w:right w:val="nil"/>
          <w:between w:val="nil"/>
        </w:pBdr>
        <w:ind w:left="1134" w:right="62"/>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(Énfasis añadido)</w:t>
      </w:r>
    </w:p>
    <w:p w:rsidR="002E076B" w:rsidRPr="00933F55" w:rsidRDefault="002E076B">
      <w:pPr>
        <w:pBdr>
          <w:top w:val="nil"/>
          <w:left w:val="nil"/>
          <w:bottom w:val="nil"/>
          <w:right w:val="nil"/>
          <w:between w:val="nil"/>
        </w:pBdr>
        <w:ind w:left="1134"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Es así que,</w:t>
      </w: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2E076B" w:rsidRPr="00933F55" w:rsidRDefault="002E076B">
      <w:pPr>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Este Órgano Garante no pasa por alto justificar, que la dilación en la resolución del presente asunto, encuentra justificación en el incremento de recursos de revisión a resolverse por este Instituto, circunstancia atípica que ha rebasado las capacidades técnicas y humanas para la emisión de las resoluciones a dichos medios de impugnación, motivo por el que el</w:t>
      </w:r>
      <w:r w:rsidRPr="00933F55">
        <w:rPr>
          <w:rFonts w:ascii="Palatino Linotype" w:eastAsia="Palatino Linotype" w:hAnsi="Palatino Linotype" w:cs="Palatino Linotype"/>
          <w:b/>
          <w:color w:val="000000" w:themeColor="text1"/>
        </w:rPr>
        <w:t xml:space="preserve"> uno de abril de dos mil veinticinco</w:t>
      </w:r>
      <w:r w:rsidRPr="00933F55">
        <w:rPr>
          <w:rFonts w:ascii="Palatino Linotype" w:eastAsia="Palatino Linotype" w:hAnsi="Palatino Linotype" w:cs="Palatino Linotype"/>
          <w:color w:val="000000" w:themeColor="text1"/>
        </w:rPr>
        <w:t xml:space="preserve"> se acordó ampliar el término para resolver el presente asunto.</w:t>
      </w:r>
    </w:p>
    <w:p w:rsidR="002E076B" w:rsidRPr="00933F55" w:rsidRDefault="002E076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w:t>
      </w:r>
      <w:r w:rsidRPr="00933F55">
        <w:rPr>
          <w:rFonts w:ascii="Palatino Linotype" w:eastAsia="Palatino Linotype" w:hAnsi="Palatino Linotype" w:cs="Palatino Linotype"/>
          <w:color w:val="000000" w:themeColor="text1"/>
        </w:rPr>
        <w:lastRenderedPageBreak/>
        <w:t>órganos jurisdiccionales federales, aplicables también en procedimientos análogos, como el que nos ocupa.</w:t>
      </w:r>
    </w:p>
    <w:p w:rsidR="002E076B" w:rsidRPr="00933F55" w:rsidRDefault="002E076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themeColor="text1"/>
        </w:rPr>
      </w:pPr>
      <w:bookmarkStart w:id="1" w:name="_heading=h.3znysh7" w:colFirst="0" w:colLast="0"/>
      <w:bookmarkEnd w:id="1"/>
      <w:r w:rsidRPr="00933F55">
        <w:rPr>
          <w:rFonts w:ascii="Palatino Linotype" w:eastAsia="Palatino Linotype" w:hAnsi="Palatino Linotype" w:cs="Palatino Linotype"/>
          <w:color w:val="000000" w:themeColor="text1"/>
        </w:rPr>
        <w:t xml:space="preserve">Seguidamente, en fecha </w:t>
      </w:r>
      <w:r w:rsidRPr="00933F55">
        <w:rPr>
          <w:rFonts w:ascii="Palatino Linotype" w:eastAsia="Palatino Linotype" w:hAnsi="Palatino Linotype" w:cs="Palatino Linotype"/>
          <w:b/>
          <w:color w:val="000000" w:themeColor="text1"/>
        </w:rPr>
        <w:t>siete de abril de dos mil veinticinco</w:t>
      </w:r>
      <w:r w:rsidRPr="00933F55">
        <w:rPr>
          <w:rFonts w:ascii="Palatino Linotype" w:eastAsia="Palatino Linotype" w:hAnsi="Palatino Linotype" w:cs="Palatino Linotype"/>
          <w:color w:val="000000" w:themeColor="text1"/>
        </w:rPr>
        <w:t xml:space="preserve">, la Comisionada Ponente dictó el </w:t>
      </w:r>
      <w:r w:rsidRPr="00933F55">
        <w:rPr>
          <w:rFonts w:ascii="Palatino Linotype" w:eastAsia="Palatino Linotype" w:hAnsi="Palatino Linotype" w:cs="Palatino Linotype"/>
          <w:b/>
          <w:color w:val="000000" w:themeColor="text1"/>
        </w:rPr>
        <w:t>cierre del periodo de instrucción</w:t>
      </w:r>
      <w:r w:rsidRPr="00933F55">
        <w:rPr>
          <w:rFonts w:ascii="Palatino Linotype" w:eastAsia="Palatino Linotype" w:hAnsi="Palatino Linotype" w:cs="Palatino Linotype"/>
          <w:color w:val="000000" w:themeColor="text1"/>
        </w:rPr>
        <w:t xml:space="preserve"> y, ordenó la resolución que conforme a Derecho proceda, de acuerdo a las siguientes:</w:t>
      </w:r>
    </w:p>
    <w:p w:rsidR="002E076B" w:rsidRPr="00933F55" w:rsidRDefault="002E076B">
      <w:pPr>
        <w:pBdr>
          <w:top w:val="nil"/>
          <w:left w:val="nil"/>
          <w:bottom w:val="nil"/>
          <w:right w:val="nil"/>
          <w:between w:val="nil"/>
        </w:pBdr>
        <w:ind w:left="720" w:right="-787"/>
        <w:rPr>
          <w:rFonts w:ascii="Palatino Linotype" w:eastAsia="Palatino Linotype" w:hAnsi="Palatino Linotype" w:cs="Palatino Linotype"/>
          <w:b/>
          <w:color w:val="000000" w:themeColor="text1"/>
        </w:rPr>
      </w:pPr>
    </w:p>
    <w:p w:rsidR="002E076B" w:rsidRPr="00933F55" w:rsidRDefault="00547796">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C O N S I D E R A C I O N E S</w:t>
      </w:r>
    </w:p>
    <w:p w:rsidR="002E076B" w:rsidRPr="00933F55" w:rsidRDefault="002E076B">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themeColor="text1"/>
        </w:rPr>
      </w:pPr>
    </w:p>
    <w:p w:rsidR="002E076B" w:rsidRPr="00933F55" w:rsidRDefault="00547796">
      <w:pPr>
        <w:pStyle w:val="Ttulo2"/>
        <w:spacing w:before="0" w:line="360" w:lineRule="auto"/>
        <w:ind w:right="-787"/>
        <w:rPr>
          <w:rFonts w:ascii="Palatino Linotype" w:eastAsia="Palatino Linotype" w:hAnsi="Palatino Linotype" w:cs="Palatino Linotype"/>
          <w:b/>
          <w:color w:val="000000" w:themeColor="text1"/>
          <w:sz w:val="24"/>
          <w:szCs w:val="24"/>
        </w:rPr>
      </w:pPr>
      <w:bookmarkStart w:id="2" w:name="_heading=h.2et92p0" w:colFirst="0" w:colLast="0"/>
      <w:bookmarkEnd w:id="2"/>
      <w:r w:rsidRPr="00933F55">
        <w:rPr>
          <w:rFonts w:ascii="Palatino Linotype" w:eastAsia="Palatino Linotype" w:hAnsi="Palatino Linotype" w:cs="Palatino Linotype"/>
          <w:b/>
          <w:color w:val="000000" w:themeColor="text1"/>
          <w:sz w:val="24"/>
          <w:szCs w:val="24"/>
        </w:rPr>
        <w:t>PRIMERA. Competencia</w:t>
      </w:r>
    </w:p>
    <w:p w:rsidR="002E076B" w:rsidRPr="00933F55" w:rsidRDefault="00547796">
      <w:pPr>
        <w:numPr>
          <w:ilvl w:val="0"/>
          <w:numId w:val="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2E076B" w:rsidRPr="00933F55" w:rsidRDefault="002E076B">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themeColor="text1"/>
        </w:rPr>
      </w:pPr>
    </w:p>
    <w:p w:rsidR="002E076B" w:rsidRPr="00933F55" w:rsidRDefault="00547796">
      <w:pPr>
        <w:pStyle w:val="Ttulo2"/>
        <w:spacing w:before="0" w:line="360" w:lineRule="auto"/>
        <w:ind w:right="-787"/>
        <w:rPr>
          <w:rFonts w:ascii="Palatino Linotype" w:eastAsia="Palatino Linotype" w:hAnsi="Palatino Linotype" w:cs="Palatino Linotype"/>
          <w:b/>
          <w:color w:val="000000" w:themeColor="text1"/>
          <w:sz w:val="24"/>
          <w:szCs w:val="24"/>
        </w:rPr>
      </w:pPr>
      <w:bookmarkStart w:id="3" w:name="_heading=h.tyjcwt" w:colFirst="0" w:colLast="0"/>
      <w:bookmarkEnd w:id="3"/>
      <w:r w:rsidRPr="00933F55">
        <w:rPr>
          <w:rFonts w:ascii="Palatino Linotype" w:eastAsia="Palatino Linotype" w:hAnsi="Palatino Linotype" w:cs="Palatino Linotype"/>
          <w:b/>
          <w:color w:val="000000" w:themeColor="text1"/>
          <w:sz w:val="24"/>
          <w:szCs w:val="24"/>
        </w:rPr>
        <w:lastRenderedPageBreak/>
        <w:t>SEGUNDA. Procedencia.</w:t>
      </w: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2E076B" w:rsidRPr="00933F55" w:rsidRDefault="002E076B">
      <w:pPr>
        <w:pBdr>
          <w:top w:val="nil"/>
          <w:left w:val="nil"/>
          <w:bottom w:val="nil"/>
          <w:right w:val="nil"/>
          <w:between w:val="nil"/>
        </w:pBdr>
        <w:spacing w:line="360" w:lineRule="auto"/>
        <w:ind w:right="-787"/>
        <w:rPr>
          <w:rFonts w:ascii="Palatino Linotype" w:eastAsia="Palatino Linotype" w:hAnsi="Palatino Linotype" w:cs="Palatino Linotype"/>
          <w:color w:val="000000" w:themeColor="text1"/>
        </w:rPr>
      </w:pPr>
    </w:p>
    <w:p w:rsidR="002E076B" w:rsidRPr="00933F55" w:rsidRDefault="00547796">
      <w:pPr>
        <w:pStyle w:val="Ttulo1"/>
        <w:spacing w:before="0" w:line="360" w:lineRule="auto"/>
        <w:ind w:right="-787"/>
        <w:rPr>
          <w:rFonts w:ascii="Palatino Linotype" w:eastAsia="Palatino Linotype" w:hAnsi="Palatino Linotype" w:cs="Palatino Linotype"/>
          <w:b/>
          <w:color w:val="000000" w:themeColor="text1"/>
          <w:sz w:val="24"/>
          <w:szCs w:val="24"/>
        </w:rPr>
      </w:pPr>
      <w:bookmarkStart w:id="4" w:name="_heading=h.3dy6vkm" w:colFirst="0" w:colLast="0"/>
      <w:bookmarkEnd w:id="4"/>
      <w:r w:rsidRPr="00933F55">
        <w:rPr>
          <w:rFonts w:ascii="Palatino Linotype" w:eastAsia="Palatino Linotype" w:hAnsi="Palatino Linotype" w:cs="Palatino Linotype"/>
          <w:b/>
          <w:color w:val="000000" w:themeColor="text1"/>
          <w:sz w:val="24"/>
          <w:szCs w:val="24"/>
        </w:rPr>
        <w:t>TERCERA. Descripción de hechos y planteamiento de la controversia.</w:t>
      </w:r>
    </w:p>
    <w:p w:rsidR="002E076B" w:rsidRPr="00933F55" w:rsidRDefault="00547796">
      <w:pPr>
        <w:numPr>
          <w:ilvl w:val="0"/>
          <w:numId w:val="3"/>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Se solicitó tener acceso, a la información que a continuación se simplifica:</w:t>
      </w:r>
    </w:p>
    <w:p w:rsidR="002E076B" w:rsidRPr="00933F55" w:rsidRDefault="00547796">
      <w:pPr>
        <w:ind w:left="567"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00198/IXTASAL/IP/2025</w:t>
      </w:r>
    </w:p>
    <w:p w:rsidR="002E076B" w:rsidRPr="00933F55" w:rsidRDefault="00547796">
      <w:pPr>
        <w:ind w:left="567" w:right="-788"/>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Declaración patrimonial del entonces Secretario del Ayuntamiento, del año 2022.</w:t>
      </w:r>
    </w:p>
    <w:p w:rsidR="002E076B" w:rsidRPr="00933F55" w:rsidRDefault="002E076B">
      <w:pPr>
        <w:ind w:left="567" w:right="-788"/>
        <w:jc w:val="both"/>
        <w:rPr>
          <w:rFonts w:ascii="Palatino Linotype" w:eastAsia="Palatino Linotype" w:hAnsi="Palatino Linotype" w:cs="Palatino Linotype"/>
          <w:color w:val="000000" w:themeColor="text1"/>
        </w:rPr>
      </w:pPr>
    </w:p>
    <w:p w:rsidR="002E076B" w:rsidRPr="00933F55" w:rsidRDefault="00547796">
      <w:pPr>
        <w:ind w:left="567"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00195/IXTASAL/IP/2025</w:t>
      </w:r>
    </w:p>
    <w:p w:rsidR="002E076B" w:rsidRPr="00933F55" w:rsidRDefault="00547796">
      <w:pPr>
        <w:ind w:left="567" w:right="-788"/>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Declaración patrimonial del entonces Presidente Municipal, del año 2022.</w:t>
      </w:r>
    </w:p>
    <w:p w:rsidR="002E076B" w:rsidRPr="00933F55" w:rsidRDefault="002E076B">
      <w:pPr>
        <w:ind w:left="567" w:right="-788"/>
        <w:jc w:val="both"/>
        <w:rPr>
          <w:rFonts w:ascii="Palatino Linotype" w:eastAsia="Palatino Linotype" w:hAnsi="Palatino Linotype" w:cs="Palatino Linotype"/>
          <w:b/>
          <w:color w:val="000000" w:themeColor="text1"/>
        </w:rPr>
      </w:pPr>
    </w:p>
    <w:p w:rsidR="002E076B" w:rsidRPr="00933F55" w:rsidRDefault="00547796">
      <w:pPr>
        <w:ind w:left="567"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00196/IXTASAL/IP/2025</w:t>
      </w:r>
    </w:p>
    <w:p w:rsidR="002E076B" w:rsidRPr="00933F55" w:rsidRDefault="00547796">
      <w:pPr>
        <w:ind w:left="567" w:right="-788"/>
        <w:jc w:val="both"/>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i/>
          <w:color w:val="000000" w:themeColor="text1"/>
        </w:rPr>
        <w:t>Declaración patrimonial del entonces Presidente Municipal, del año 2023.</w:t>
      </w:r>
    </w:p>
    <w:p w:rsidR="002E076B" w:rsidRPr="00933F55" w:rsidRDefault="002E076B">
      <w:pPr>
        <w:spacing w:line="360" w:lineRule="auto"/>
        <w:ind w:right="-787"/>
        <w:jc w:val="both"/>
        <w:rPr>
          <w:rFonts w:ascii="Palatino Linotype" w:eastAsia="Palatino Linotype" w:hAnsi="Palatino Linotype" w:cs="Palatino Linotype"/>
          <w:b/>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En respuesta, el Sujeto Obligado</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remitió los archivos ya descritos en el anterior Párrafo 2, inconforme con las respuestas, se interpuso recurso de revisión argumentando sustancialmente que </w:t>
      </w:r>
      <w:r w:rsidRPr="00933F55">
        <w:rPr>
          <w:rFonts w:ascii="Palatino Linotype" w:eastAsia="Palatino Linotype" w:hAnsi="Palatino Linotype" w:cs="Palatino Linotype"/>
          <w:b/>
          <w:color w:val="000000" w:themeColor="text1"/>
        </w:rPr>
        <w:t>la información no corresponde a lo solicitado.</w:t>
      </w:r>
    </w:p>
    <w:p w:rsidR="002E076B" w:rsidRPr="00933F55" w:rsidRDefault="002E076B">
      <w:pPr>
        <w:spacing w:line="360" w:lineRule="auto"/>
        <w:ind w:right="-787"/>
        <w:jc w:val="both"/>
        <w:rPr>
          <w:rFonts w:ascii="Palatino Linotype" w:eastAsia="Palatino Linotype" w:hAnsi="Palatino Linotype" w:cs="Palatino Linotype"/>
          <w:i/>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lastRenderedPageBreak/>
        <w:t>En dichas condiciones, la controversia a resolver en el presente proveído, corresponde a determinar si se actualiza la causal de procedencia prevista en el artículo 179, fracción VI,</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de la Ley de Transparencia y Acceso a la Información Pública del Estado de</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México</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y</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Municipios; fracción que determina la hipótesis relativa a la entrega de información que no corresponde a lo solicitado; contexto del cual se dolió el Recurrente al momento de interponer su inconformidad. De modo tal que el presente recurso de revisión se abocará en determinar si el Sujeto Obligado con su respuesta ciertamente actualiza la causal de procedencia</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señalada. </w:t>
      </w:r>
    </w:p>
    <w:p w:rsidR="002E076B" w:rsidRPr="00933F55" w:rsidRDefault="002E076B">
      <w:pPr>
        <w:spacing w:line="360" w:lineRule="auto"/>
        <w:ind w:right="-787"/>
        <w:rPr>
          <w:rFonts w:ascii="Palatino Linotype" w:eastAsia="Palatino Linotype" w:hAnsi="Palatino Linotype" w:cs="Palatino Linotype"/>
          <w:color w:val="000000" w:themeColor="text1"/>
        </w:rPr>
      </w:pPr>
    </w:p>
    <w:p w:rsidR="002E076B" w:rsidRPr="00933F55" w:rsidRDefault="00547796">
      <w:pPr>
        <w:pStyle w:val="Ttulo2"/>
        <w:spacing w:before="0" w:line="360" w:lineRule="auto"/>
        <w:ind w:right="-787"/>
        <w:rPr>
          <w:rFonts w:ascii="Palatino Linotype" w:eastAsia="Palatino Linotype" w:hAnsi="Palatino Linotype" w:cs="Palatino Linotype"/>
          <w:b/>
          <w:color w:val="000000" w:themeColor="text1"/>
          <w:sz w:val="24"/>
          <w:szCs w:val="24"/>
        </w:rPr>
      </w:pPr>
      <w:bookmarkStart w:id="5" w:name="_heading=h.1t3h5sf" w:colFirst="0" w:colLast="0"/>
      <w:bookmarkEnd w:id="5"/>
      <w:r w:rsidRPr="00933F55">
        <w:rPr>
          <w:rFonts w:ascii="Palatino Linotype" w:eastAsia="Palatino Linotype" w:hAnsi="Palatino Linotype" w:cs="Palatino Linotype"/>
          <w:b/>
          <w:color w:val="000000" w:themeColor="text1"/>
          <w:sz w:val="24"/>
          <w:szCs w:val="24"/>
        </w:rPr>
        <w:t>CUARTA. Estudio de la controversia.</w:t>
      </w: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E076B" w:rsidRPr="00933F55" w:rsidRDefault="002E076B">
      <w:pPr>
        <w:pBdr>
          <w:top w:val="nil"/>
          <w:left w:val="nil"/>
          <w:bottom w:val="nil"/>
          <w:right w:val="nil"/>
          <w:between w:val="nil"/>
        </w:pBdr>
        <w:spacing w:line="360" w:lineRule="auto"/>
        <w:ind w:left="720" w:right="-787"/>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E076B" w:rsidRPr="00933F55" w:rsidRDefault="002E076B">
      <w:pPr>
        <w:pBdr>
          <w:top w:val="nil"/>
          <w:left w:val="nil"/>
          <w:bottom w:val="nil"/>
          <w:right w:val="nil"/>
          <w:between w:val="nil"/>
        </w:pBdr>
        <w:spacing w:line="360" w:lineRule="auto"/>
        <w:ind w:right="-787"/>
        <w:rPr>
          <w:rFonts w:ascii="Palatino Linotype" w:eastAsia="Palatino Linotype" w:hAnsi="Palatino Linotype" w:cs="Palatino Linotype"/>
          <w:color w:val="000000" w:themeColor="text1"/>
        </w:rPr>
      </w:pPr>
    </w:p>
    <w:p w:rsidR="002E076B" w:rsidRPr="00933F55" w:rsidRDefault="00547796">
      <w:pPr>
        <w:numPr>
          <w:ilvl w:val="0"/>
          <w:numId w:val="4"/>
        </w:numPr>
        <w:pBdr>
          <w:top w:val="nil"/>
          <w:left w:val="nil"/>
          <w:bottom w:val="nil"/>
          <w:right w:val="nil"/>
          <w:between w:val="nil"/>
        </w:pBdr>
        <w:spacing w:line="360" w:lineRule="auto"/>
        <w:ind w:right="-787"/>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Del Sujeto Obligado.</w:t>
      </w: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La Contraloría Interna es la dependencia de control municipal, tiene las atribuciones que le confieren la Ley Orgánica Municipal del Estado de México, la Ley General y Estatal de Responsabilidades Administrativas, la Ley General del Sistema Nacional Anticorrupción, la Ley del Sistema Anticorrupción del Estado de México y Municipios y otras disposiciones legales aplicables, misma que cuenta dentro de sus áreas administrativas con la Unidad de Seguimiento de la declaración de situación patrimonial, de las declaraciones de intereses y de la constancia de la declaración fiscal de los servidores públicos, de conformidad con el artículo 254, fracción VI, del Bando Municipal 2025.</w:t>
      </w:r>
    </w:p>
    <w:p w:rsidR="002E076B" w:rsidRPr="00933F55" w:rsidRDefault="002E076B">
      <w:pPr>
        <w:spacing w:line="360" w:lineRule="auto"/>
        <w:ind w:right="-787"/>
        <w:jc w:val="both"/>
        <w:rPr>
          <w:rFonts w:ascii="Palatino Linotype" w:hAnsi="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La Contraloría Interna Municipal dentro de sus facultades y funciones tiene la de colaborar con el área de personal y/o recursos humanos a efecto de realizar y actualizar el </w:t>
      </w:r>
      <w:r w:rsidRPr="00933F55">
        <w:rPr>
          <w:rFonts w:ascii="Palatino Linotype" w:eastAsia="Palatino Linotype" w:hAnsi="Palatino Linotype" w:cs="Palatino Linotype"/>
          <w:color w:val="000000" w:themeColor="text1"/>
        </w:rPr>
        <w:lastRenderedPageBreak/>
        <w:t>padrón de servidores públicos obligados a realizar su declaración de situación patrimonial; así como, verificar la presentación oportuna de la misma.</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t xml:space="preserve">De lo expuesto es de precisar que las respuestas fueron emitidas por la unidad administrativa competente, a través del Servidor Público Habilitado, Titular del Órgano Interno de Control, por lo que podemos advertir que </w:t>
      </w:r>
      <w:r w:rsidRPr="00933F55">
        <w:rPr>
          <w:rFonts w:ascii="Palatino Linotype" w:eastAsia="Palatino Linotype" w:hAnsi="Palatino Linotype" w:cs="Palatino Linotype"/>
          <w:b/>
          <w:color w:val="000000" w:themeColor="text1"/>
        </w:rPr>
        <w:t xml:space="preserve">EL SUJETO OBLIGADO </w:t>
      </w:r>
      <w:r w:rsidRPr="00933F55">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2E076B" w:rsidRPr="00933F55" w:rsidRDefault="00547796">
      <w:pPr>
        <w:ind w:left="708" w:right="62"/>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XXXIX.</w:t>
      </w: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b/>
          <w:i/>
          <w:color w:val="000000" w:themeColor="text1"/>
        </w:rPr>
        <w:t>Servidor público habilitado</w:t>
      </w:r>
      <w:r w:rsidRPr="00933F55">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E076B" w:rsidRPr="00933F55" w:rsidRDefault="002E076B">
      <w:pPr>
        <w:spacing w:line="360" w:lineRule="auto"/>
        <w:ind w:left="708" w:right="62"/>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2E076B" w:rsidRPr="00933F55" w:rsidRDefault="00547796">
      <w:pPr>
        <w:ind w:left="425"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r w:rsidRPr="00933F55">
        <w:rPr>
          <w:rFonts w:ascii="Palatino Linotype" w:eastAsia="Palatino Linotype" w:hAnsi="Palatino Linotype" w:cs="Palatino Linotype"/>
          <w:b/>
          <w:i/>
          <w:color w:val="000000" w:themeColor="text1"/>
        </w:rPr>
        <w:t>Artículo 162.</w:t>
      </w:r>
      <w:r w:rsidRPr="00933F55">
        <w:rPr>
          <w:rFonts w:ascii="Palatino Linotype" w:eastAsia="Palatino Linotype" w:hAnsi="Palatino Linotype" w:cs="Palatino Linotype"/>
          <w:i/>
          <w:color w:val="000000" w:themeColor="text1"/>
        </w:rPr>
        <w:t xml:space="preserve"> Las unidades de transparencia deberán garantizar que las solicitudes se turnen a </w:t>
      </w:r>
      <w:r w:rsidRPr="00933F55">
        <w:rPr>
          <w:rFonts w:ascii="Palatino Linotype" w:eastAsia="Palatino Linotype" w:hAnsi="Palatino Linotype" w:cs="Palatino Linotype"/>
          <w:b/>
          <w:i/>
          <w:color w:val="000000" w:themeColor="text1"/>
        </w:rPr>
        <w:t>todas las Áreas competentes</w:t>
      </w:r>
      <w:r w:rsidRPr="00933F55">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2E076B" w:rsidRPr="00933F55" w:rsidRDefault="002E076B">
      <w:pPr>
        <w:spacing w:line="360" w:lineRule="auto"/>
        <w:ind w:right="-787"/>
        <w:jc w:val="both"/>
        <w:rPr>
          <w:rFonts w:ascii="Palatino Linotype" w:hAnsi="Palatino Linotype"/>
          <w:color w:val="000000" w:themeColor="text1"/>
        </w:rPr>
      </w:pPr>
    </w:p>
    <w:p w:rsidR="002E076B" w:rsidRPr="00933F55" w:rsidRDefault="00547796">
      <w:pPr>
        <w:ind w:left="1134"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r w:rsidRPr="00933F55">
        <w:rPr>
          <w:rFonts w:ascii="Palatino Linotype" w:eastAsia="Palatino Linotype" w:hAnsi="Palatino Linotype" w:cs="Palatino Linotype"/>
          <w:b/>
          <w:i/>
          <w:color w:val="000000" w:themeColor="text1"/>
        </w:rPr>
        <w:t xml:space="preserve">Artículo 3. </w:t>
      </w:r>
      <w:r w:rsidRPr="00933F55">
        <w:rPr>
          <w:rFonts w:ascii="Palatino Linotype" w:eastAsia="Palatino Linotype" w:hAnsi="Palatino Linotype" w:cs="Palatino Linotype"/>
          <w:i/>
          <w:color w:val="000000" w:themeColor="text1"/>
        </w:rPr>
        <w:t>Para los efectos de la presente Ley se entenderá por:</w:t>
      </w:r>
    </w:p>
    <w:p w:rsidR="002E076B" w:rsidRPr="00933F55" w:rsidRDefault="00547796">
      <w:pPr>
        <w:ind w:left="1134"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p>
    <w:p w:rsidR="002E076B" w:rsidRPr="00933F55" w:rsidRDefault="00547796">
      <w:pPr>
        <w:ind w:left="1134"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XI. Documento:</w:t>
      </w:r>
      <w:r w:rsidRPr="00933F55">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E076B" w:rsidRPr="00933F55" w:rsidRDefault="00547796">
      <w:pPr>
        <w:spacing w:line="360" w:lineRule="auto"/>
        <w:ind w:left="1134"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p>
    <w:p w:rsidR="002E076B" w:rsidRPr="00933F55" w:rsidRDefault="002E076B">
      <w:pPr>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E076B" w:rsidRPr="00933F55" w:rsidRDefault="00547796">
      <w:pPr>
        <w:ind w:left="850" w:right="-220"/>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color w:val="000000" w:themeColor="text1"/>
        </w:rPr>
        <w:t>“</w:t>
      </w:r>
      <w:r w:rsidRPr="00933F55">
        <w:rPr>
          <w:rFonts w:ascii="Palatino Linotype" w:eastAsia="Palatino Linotype" w:hAnsi="Palatino Linotype" w:cs="Palatino Linotype"/>
          <w:b/>
          <w:i/>
          <w:color w:val="000000" w:themeColor="text1"/>
        </w:rPr>
        <w:t>CRITERIO 0002-11</w:t>
      </w:r>
    </w:p>
    <w:p w:rsidR="002E076B" w:rsidRPr="00933F55" w:rsidRDefault="00547796">
      <w:pPr>
        <w:ind w:left="850"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 xml:space="preserve">INFORMACIÓN PÚBLICA, CONCEPTO DE, EN MATERIA DE TRANSPARENCIA. INTERPRETACIÓN SISTEMÁTICA DE LOS ARTÍCULOS </w:t>
      </w:r>
      <w:r w:rsidRPr="00933F55">
        <w:rPr>
          <w:rFonts w:ascii="Palatino Linotype" w:eastAsia="Palatino Linotype" w:hAnsi="Palatino Linotype" w:cs="Palatino Linotype"/>
          <w:b/>
          <w:i/>
          <w:color w:val="000000" w:themeColor="text1"/>
        </w:rPr>
        <w:lastRenderedPageBreak/>
        <w:t>2°, FRACCIÓN V, XV, Y XVI, 3°, 4°, 11 Y 41.</w:t>
      </w:r>
      <w:r w:rsidRPr="00933F55">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E076B" w:rsidRPr="00933F55" w:rsidRDefault="00547796">
      <w:pPr>
        <w:ind w:left="850"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2E076B" w:rsidRPr="00933F55" w:rsidRDefault="00547796">
      <w:pPr>
        <w:ind w:left="850" w:right="-220"/>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 xml:space="preserve">1) </w:t>
      </w:r>
      <w:r w:rsidRPr="00933F55">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2E076B" w:rsidRPr="00933F55" w:rsidRDefault="00547796">
      <w:pPr>
        <w:ind w:left="850"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2E076B" w:rsidRPr="00933F55" w:rsidRDefault="00547796">
      <w:pPr>
        <w:ind w:left="850"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2E076B" w:rsidRPr="00933F55" w:rsidRDefault="00547796">
      <w:pPr>
        <w:tabs>
          <w:tab w:val="left" w:pos="851"/>
        </w:tabs>
        <w:spacing w:line="360" w:lineRule="auto"/>
        <w:ind w:left="850" w:right="-220"/>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(Énfasis Añadido)</w:t>
      </w:r>
    </w:p>
    <w:p w:rsidR="002E076B" w:rsidRPr="00933F55" w:rsidRDefault="002E076B">
      <w:pPr>
        <w:pBdr>
          <w:top w:val="nil"/>
          <w:left w:val="nil"/>
          <w:bottom w:val="nil"/>
          <w:right w:val="nil"/>
          <w:between w:val="nil"/>
        </w:pBdr>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t>Por su parte los artículos 160 y 166, de la Ley local en la materia, que se reproduce de la siguiente forma:</w:t>
      </w:r>
    </w:p>
    <w:p w:rsidR="002E076B" w:rsidRPr="00933F55" w:rsidRDefault="00547796">
      <w:pPr>
        <w:ind w:left="566"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r w:rsidRPr="00933F55">
        <w:rPr>
          <w:rFonts w:ascii="Palatino Linotype" w:eastAsia="Palatino Linotype" w:hAnsi="Palatino Linotype" w:cs="Palatino Linotype"/>
          <w:b/>
          <w:i/>
          <w:color w:val="000000" w:themeColor="text1"/>
        </w:rPr>
        <w:t>Artículo 160.</w:t>
      </w: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33F55">
        <w:rPr>
          <w:rFonts w:ascii="Palatino Linotype" w:eastAsia="Palatino Linotype" w:hAnsi="Palatino Linotype" w:cs="Palatino Linotype"/>
          <w:i/>
          <w:color w:val="000000" w:themeColor="text1"/>
        </w:rPr>
        <w:t>.</w:t>
      </w:r>
    </w:p>
    <w:p w:rsidR="002E076B" w:rsidRPr="00933F55" w:rsidRDefault="002E076B">
      <w:pPr>
        <w:ind w:left="566" w:right="-220"/>
        <w:jc w:val="both"/>
        <w:rPr>
          <w:rFonts w:ascii="Palatino Linotype" w:eastAsia="Palatino Linotype" w:hAnsi="Palatino Linotype" w:cs="Palatino Linotype"/>
          <w:i/>
          <w:color w:val="000000" w:themeColor="text1"/>
        </w:rPr>
      </w:pPr>
    </w:p>
    <w:p w:rsidR="002E076B" w:rsidRPr="00933F55" w:rsidRDefault="00547796">
      <w:pPr>
        <w:ind w:left="566" w:right="-220"/>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2E076B" w:rsidRPr="00933F55" w:rsidRDefault="00547796">
      <w:pPr>
        <w:ind w:left="566" w:right="-220"/>
        <w:jc w:val="both"/>
        <w:rPr>
          <w:rFonts w:ascii="Palatino Linotype" w:eastAsia="Palatino Linotype" w:hAnsi="Palatino Linotype" w:cs="Palatino Linotype"/>
          <w:i/>
          <w:color w:val="000000" w:themeColor="text1"/>
          <w:u w:val="single"/>
        </w:rPr>
      </w:pPr>
      <w:r w:rsidRPr="00933F55">
        <w:rPr>
          <w:rFonts w:ascii="Palatino Linotype" w:eastAsia="Palatino Linotype" w:hAnsi="Palatino Linotype" w:cs="Palatino Linotype"/>
          <w:b/>
          <w:i/>
          <w:color w:val="000000" w:themeColor="text1"/>
        </w:rPr>
        <w:t>Artículo 166.</w:t>
      </w: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2E076B" w:rsidRPr="00933F55" w:rsidRDefault="00547796">
      <w:pPr>
        <w:spacing w:line="360" w:lineRule="auto"/>
        <w:ind w:left="566" w:right="-22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(Énfasis añadido)</w:t>
      </w:r>
    </w:p>
    <w:p w:rsidR="002E076B" w:rsidRPr="00933F55" w:rsidRDefault="002E076B">
      <w:pPr>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hAnsi="Palatino Linotype"/>
          <w:color w:val="000000" w:themeColor="text1"/>
        </w:rPr>
      </w:pPr>
      <w:r w:rsidRPr="00933F55">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Resulta conveniente mencionar la Ley Orgánica Municipal del Estado de México dispone en sus artículo 110, 111 y 112, fracción XVI, que la Contraloría Municipal estará a cargo de un Contralor quien tiene dentro de sus funciones la de verificar que los servidores públicos municipales cumplan con la obligación de presentar oportunamente la manifestación de bienes, como se observa enseguida: </w:t>
      </w:r>
    </w:p>
    <w:p w:rsidR="002E076B" w:rsidRPr="00933F55" w:rsidRDefault="00547796">
      <w:pPr>
        <w:tabs>
          <w:tab w:val="left" w:pos="1528"/>
        </w:tabs>
        <w:ind w:left="567" w:right="423"/>
        <w:jc w:val="center"/>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CAPITULO CUARTO</w:t>
      </w:r>
    </w:p>
    <w:p w:rsidR="002E076B" w:rsidRPr="00933F55" w:rsidRDefault="00547796">
      <w:pPr>
        <w:tabs>
          <w:tab w:val="left" w:pos="1528"/>
        </w:tabs>
        <w:ind w:left="567" w:right="423"/>
        <w:jc w:val="center"/>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De la Contraloría Municipal</w:t>
      </w:r>
    </w:p>
    <w:p w:rsidR="002E076B" w:rsidRPr="00933F55" w:rsidRDefault="00547796">
      <w:pPr>
        <w:tabs>
          <w:tab w:val="left" w:pos="3900"/>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ab/>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Artículo 110.</w:t>
      </w:r>
      <w:r w:rsidRPr="00933F55">
        <w:rPr>
          <w:rFonts w:ascii="Palatino Linotype" w:eastAsia="Palatino Linotype" w:hAnsi="Palatino Linotype" w:cs="Palatino Linotype"/>
          <w:i/>
          <w:color w:val="000000" w:themeColor="text1"/>
        </w:rPr>
        <w:t xml:space="preserve">- Las funciones de contraloría interna estarán a cargo del órgano que establezca el Ayuntamiento. </w:t>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Artículo 111.-</w:t>
      </w:r>
      <w:r w:rsidRPr="00933F55">
        <w:rPr>
          <w:rFonts w:ascii="Palatino Linotype" w:eastAsia="Palatino Linotype" w:hAnsi="Palatino Linotype" w:cs="Palatino Linotype"/>
          <w:i/>
          <w:color w:val="000000" w:themeColor="text1"/>
        </w:rPr>
        <w:t xml:space="preserve"> La contraloría municipal tendrá un titular denominado Contralor, quien será designado por el ayuntamiento a propuesta del presidente municipal. </w:t>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Artículo 112.</w:t>
      </w:r>
      <w:r w:rsidRPr="00933F55">
        <w:rPr>
          <w:rFonts w:ascii="Palatino Linotype" w:eastAsia="Palatino Linotype" w:hAnsi="Palatino Linotype" w:cs="Palatino Linotype"/>
          <w:i/>
          <w:color w:val="000000" w:themeColor="text1"/>
        </w:rPr>
        <w:t xml:space="preserve"> El órgano interno de control municipal, tendrá a su cargo las funciones siguientes: </w:t>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I a XV…</w:t>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XVI. </w:t>
      </w:r>
      <w:r w:rsidRPr="00933F55">
        <w:rPr>
          <w:rFonts w:ascii="Palatino Linotype" w:eastAsia="Palatino Linotype" w:hAnsi="Palatino Linotype" w:cs="Palatino Linotype"/>
          <w:b/>
          <w:i/>
          <w:color w:val="000000" w:themeColor="text1"/>
        </w:rPr>
        <w:t>Verificar que los servidores públicos municipales cumplan con la obligación de presentar oportunamente la manifestación de bienes</w:t>
      </w:r>
      <w:r w:rsidRPr="00933F55">
        <w:rPr>
          <w:rFonts w:ascii="Palatino Linotype" w:eastAsia="Palatino Linotype" w:hAnsi="Palatino Linotype" w:cs="Palatino Linotype"/>
          <w:i/>
          <w:color w:val="000000" w:themeColor="text1"/>
        </w:rPr>
        <w:t>, en términos de la Ley de Responsabilidades de los Servidores Públicos del Estado y Municipios;</w:t>
      </w: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XII a XX…</w:t>
      </w:r>
    </w:p>
    <w:p w:rsidR="002E076B" w:rsidRPr="00933F55" w:rsidRDefault="002E076B">
      <w:p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Por su parte, la Ley de Responsabilidades Administrativas del Estado de México y Municipios establece los siguiente:</w:t>
      </w:r>
    </w:p>
    <w:p w:rsidR="002E076B" w:rsidRPr="00933F55" w:rsidRDefault="002E076B">
      <w:p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color w:val="000000" w:themeColor="text1"/>
        </w:rPr>
      </w:pP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lastRenderedPageBreak/>
        <w:t>Artículo 33.</w:t>
      </w:r>
      <w:r w:rsidRPr="00933F55">
        <w:rPr>
          <w:rFonts w:ascii="Palatino Linotype" w:eastAsia="Palatino Linotype" w:hAnsi="Palatino Linotype" w:cs="Palatino Linotype"/>
          <w:i/>
          <w:color w:val="000000" w:themeColor="text1"/>
        </w:rPr>
        <w:t xml:space="preserve"> Estarán obligados a presentar </w:t>
      </w:r>
      <w:r w:rsidRPr="00933F55">
        <w:rPr>
          <w:rFonts w:ascii="Palatino Linotype" w:eastAsia="Palatino Linotype" w:hAnsi="Palatino Linotype" w:cs="Palatino Linotype"/>
          <w:b/>
          <w:i/>
          <w:color w:val="000000" w:themeColor="text1"/>
        </w:rPr>
        <w:t>las declaraciones de situación patrimonial y de intereses</w:t>
      </w:r>
      <w:r w:rsidRPr="00933F55">
        <w:rPr>
          <w:rFonts w:ascii="Palatino Linotype" w:eastAsia="Palatino Linotype" w:hAnsi="Palatino Linotype" w:cs="Palatino Linotype"/>
          <w:i/>
          <w:color w:val="000000" w:themeColor="text1"/>
        </w:rPr>
        <w:t xml:space="preserve">, bajo protesta de decir verdad </w:t>
      </w:r>
      <w:r w:rsidRPr="00933F55">
        <w:rPr>
          <w:rFonts w:ascii="Palatino Linotype" w:eastAsia="Palatino Linotype" w:hAnsi="Palatino Linotype" w:cs="Palatino Linotype"/>
          <w:b/>
          <w:i/>
          <w:color w:val="000000" w:themeColor="text1"/>
        </w:rPr>
        <w:t>ante la Secretaría de la Contraloría o los órganos internos de control, todos los servidores públicos estatales y municipales,</w:t>
      </w:r>
      <w:r w:rsidRPr="00933F55">
        <w:rPr>
          <w:rFonts w:ascii="Palatino Linotype" w:eastAsia="Palatino Linotype" w:hAnsi="Palatino Linotype" w:cs="Palatino Linotype"/>
          <w:i/>
          <w:color w:val="000000" w:themeColor="text1"/>
        </w:rPr>
        <w:t xml:space="preserve"> en los términos previstos en la presente Ley. </w:t>
      </w:r>
    </w:p>
    <w:p w:rsidR="002E076B" w:rsidRPr="00933F55" w:rsidRDefault="002E076B">
      <w:pPr>
        <w:tabs>
          <w:tab w:val="left" w:pos="1528"/>
        </w:tabs>
        <w:ind w:left="567" w:right="423"/>
        <w:jc w:val="both"/>
        <w:rPr>
          <w:rFonts w:ascii="Palatino Linotype" w:eastAsia="Palatino Linotype" w:hAnsi="Palatino Linotype" w:cs="Palatino Linotype"/>
          <w:i/>
          <w:color w:val="000000" w:themeColor="text1"/>
        </w:rPr>
      </w:pPr>
    </w:p>
    <w:p w:rsidR="002E076B" w:rsidRPr="00933F55" w:rsidRDefault="00547796">
      <w:pPr>
        <w:tabs>
          <w:tab w:val="left" w:pos="1528"/>
        </w:tabs>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Asimismo, deberán presentar su declaración fiscal anual, en los términos que disponga la legislación de la materia. </w:t>
      </w:r>
    </w:p>
    <w:p w:rsidR="002E076B" w:rsidRPr="00933F55" w:rsidRDefault="002E076B">
      <w:pP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Consecuentemente conviene señalar que el artículo 92, fracción XIII de la Ley de Transparencia y Acceso a la Información Pública del Estado de México y Municipios estipula que </w:t>
      </w:r>
      <w:r w:rsidRPr="00933F55">
        <w:rPr>
          <w:rFonts w:ascii="Palatino Linotype" w:eastAsia="Palatino Linotype" w:hAnsi="Palatino Linotype" w:cs="Palatino Linotype"/>
          <w:b/>
          <w:color w:val="000000" w:themeColor="text1"/>
        </w:rPr>
        <w:t>los Sujeto Obligados deberán de poner a disposición del público de manera permanente y actualizada</w:t>
      </w:r>
      <w:r w:rsidRPr="00933F55">
        <w:rPr>
          <w:rFonts w:ascii="Palatino Linotype" w:eastAsia="Palatino Linotype" w:hAnsi="Palatino Linotype" w:cs="Palatino Linotype"/>
          <w:color w:val="000000" w:themeColor="text1"/>
        </w:rPr>
        <w:t xml:space="preserve"> de forma sencilla, precisa y entendible, en los respectivos medios electrónicos, de acuerdo con sus facultades, atribuciones, funciones u objeto social, según corresponda, </w:t>
      </w:r>
      <w:r w:rsidRPr="00933F55">
        <w:rPr>
          <w:rFonts w:ascii="Palatino Linotype" w:eastAsia="Palatino Linotype" w:hAnsi="Palatino Linotype" w:cs="Palatino Linotype"/>
          <w:b/>
          <w:color w:val="000000" w:themeColor="text1"/>
        </w:rPr>
        <w:t>la información en versión pública de las declaraciones patrimoniales y de interés</w:t>
      </w:r>
      <w:r w:rsidRPr="00933F55">
        <w:rPr>
          <w:rFonts w:ascii="Palatino Linotype" w:eastAsia="Palatino Linotype" w:hAnsi="Palatino Linotype" w:cs="Palatino Linotype"/>
          <w:color w:val="000000" w:themeColor="text1"/>
        </w:rPr>
        <w:t xml:space="preserve"> de los servidores públicos que así lo determinen. </w:t>
      </w:r>
    </w:p>
    <w:p w:rsidR="002E076B" w:rsidRPr="00933F55" w:rsidRDefault="002E076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de información,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2E076B" w:rsidRPr="00933F55" w:rsidRDefault="002E076B">
      <w:pP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lastRenderedPageBreak/>
        <w:t>XII.</w:t>
      </w:r>
      <w:r w:rsidRPr="00933F55">
        <w:rPr>
          <w:rFonts w:ascii="Palatino Linotype" w:eastAsia="Palatino Linotype" w:hAnsi="Palatino Linotype" w:cs="Palatino Linotype"/>
          <w:i/>
          <w:color w:val="000000" w:themeColor="text1"/>
        </w:rPr>
        <w:t xml:space="preserve"> La información en Versión Pública de las declaraciones patrimoniales, de los Servidores Públicos que así lo determinen, en los sistemas habilitados para ello de acuerdo a la normatividad aplicable.</w:t>
      </w:r>
    </w:p>
    <w:p w:rsidR="002E076B" w:rsidRPr="00933F55" w:rsidRDefault="002E076B">
      <w:pPr>
        <w:ind w:left="567" w:right="423"/>
        <w:jc w:val="both"/>
        <w:rPr>
          <w:rFonts w:ascii="Palatino Linotype" w:eastAsia="Palatino Linotype" w:hAnsi="Palatino Linotype" w:cs="Palatino Linotype"/>
          <w:i/>
          <w:color w:val="000000" w:themeColor="text1"/>
        </w:rPr>
      </w:pPr>
    </w:p>
    <w:p w:rsidR="002E076B" w:rsidRPr="00933F55" w:rsidRDefault="00547796">
      <w:pP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2E076B" w:rsidRPr="00933F55" w:rsidRDefault="002E076B">
      <w:pPr>
        <w:ind w:left="567" w:right="423"/>
        <w:jc w:val="both"/>
        <w:rPr>
          <w:rFonts w:ascii="Palatino Linotype" w:eastAsia="Palatino Linotype" w:hAnsi="Palatino Linotype" w:cs="Palatino Linotype"/>
          <w:i/>
          <w:color w:val="000000" w:themeColor="text1"/>
        </w:rPr>
      </w:pPr>
    </w:p>
    <w:p w:rsidR="002E076B" w:rsidRPr="00933F55" w:rsidRDefault="00547796">
      <w:pP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2E076B" w:rsidRPr="00933F55" w:rsidRDefault="002E076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Como se advierte, de los preceptos legales señalados, los Sujetos Obligados tienen la obligación de publicar de manera permanente y actualizada, sencilla y entendible, la información correspondiente a las declaraciones patrimoniales de los servidores públicos que así lo determinen, es decir, que sea a través de previa autorización de los servidores públicos, sin embargo, también es importante señalar que esa obligatoriedad se encuentra sujeta a las tablas de aplicabilidad de las Obligaciones de Transparencia Comunes y Específicas de los Sujetos Obligados aprobadas por el Pleno del Instituto de Transparencia, Acceso a la Información Pública y Protección de Datos Personales del Estado de México y Municipios. </w:t>
      </w:r>
    </w:p>
    <w:p w:rsidR="002E076B" w:rsidRPr="00933F55" w:rsidRDefault="002E076B">
      <w:pP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Así, conviene señalar que de acuerdo a las Tablas de Aplicabilidad, al Ayuntamiento de Ixtapan de la Sal no le aplica el cumplimiento del artículo 92, fracción XIII de la Ley de Transparencia  Local, como se muestra enseguida:</w:t>
      </w:r>
    </w:p>
    <w:p w:rsidR="002E076B" w:rsidRPr="00933F55" w:rsidRDefault="00547796">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noProof/>
          <w:color w:val="000000" w:themeColor="text1"/>
          <w:lang w:val="es-MX" w:eastAsia="es-MX"/>
        </w:rPr>
        <w:lastRenderedPageBreak/>
        <w:drawing>
          <wp:inline distT="0" distB="0" distL="0" distR="0">
            <wp:extent cx="5567688" cy="32529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097" r="-659" b="8860"/>
                    <a:stretch>
                      <a:fillRect/>
                    </a:stretch>
                  </pic:blipFill>
                  <pic:spPr>
                    <a:xfrm>
                      <a:off x="0" y="0"/>
                      <a:ext cx="5567688" cy="3252975"/>
                    </a:xfrm>
                    <a:prstGeom prst="rect">
                      <a:avLst/>
                    </a:prstGeom>
                    <a:ln/>
                  </pic:spPr>
                </pic:pic>
              </a:graphicData>
            </a:graphic>
          </wp:inline>
        </w:drawing>
      </w:r>
    </w:p>
    <w:p w:rsidR="002E076B" w:rsidRPr="00933F55" w:rsidRDefault="002E076B">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En ese contexto, podemos advertir que en el presente caso </w:t>
      </w:r>
      <w:r w:rsidRPr="00933F55">
        <w:rPr>
          <w:rFonts w:ascii="Palatino Linotype" w:eastAsia="Palatino Linotype" w:hAnsi="Palatino Linotype" w:cs="Palatino Linotype"/>
          <w:b/>
          <w:color w:val="000000" w:themeColor="text1"/>
        </w:rPr>
        <w:t>no corresponde al Sujeto Obligado la publicación de las declaraciones patrimoniales</w:t>
      </w:r>
      <w:r w:rsidRPr="00933F55">
        <w:rPr>
          <w:rFonts w:ascii="Palatino Linotype" w:eastAsia="Palatino Linotype" w:hAnsi="Palatino Linotype" w:cs="Palatino Linotype"/>
          <w:color w:val="000000" w:themeColor="text1"/>
        </w:rPr>
        <w:t xml:space="preserve">, es decir, que lo único que corresponde a la Contraloría Municipal, es verificar que los servidores públicos municipales cumplan con la obligación de presentar oportunamente las declaraciones patrimoniales. </w:t>
      </w:r>
    </w:p>
    <w:p w:rsidR="002E076B" w:rsidRPr="00933F55" w:rsidRDefault="002E076B">
      <w:pP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Dicho lo anterior, es necesario traer a colación el artículo 167 de la Ley de Transparencia y Acceso a la Información Pública del Estado de México y Municipios, el cual establece lo siguiente:</w:t>
      </w:r>
    </w:p>
    <w:p w:rsidR="002E076B" w:rsidRPr="00933F55" w:rsidRDefault="002E076B">
      <w:pPr>
        <w:spacing w:line="360" w:lineRule="auto"/>
        <w:ind w:right="49"/>
        <w:jc w:val="both"/>
        <w:rPr>
          <w:rFonts w:ascii="Palatino Linotype" w:eastAsia="Palatino Linotype" w:hAnsi="Palatino Linotype" w:cs="Palatino Linotype"/>
          <w:color w:val="000000" w:themeColor="text1"/>
        </w:rPr>
      </w:pPr>
    </w:p>
    <w:p w:rsidR="002E076B" w:rsidRPr="00933F55" w:rsidRDefault="00547796">
      <w:pP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b/>
          <w:i/>
          <w:color w:val="000000" w:themeColor="text1"/>
        </w:rPr>
        <w:t xml:space="preserve">Artículo 167. </w:t>
      </w:r>
      <w:r w:rsidRPr="00933F55">
        <w:rPr>
          <w:rFonts w:ascii="Palatino Linotype" w:eastAsia="Palatino Linotype" w:hAnsi="Palatino Linotype" w:cs="Palatino Linotype"/>
          <w:i/>
          <w:color w:val="000000" w:themeColor="text1"/>
        </w:rPr>
        <w:t xml:space="preserve">Cuando las </w:t>
      </w:r>
      <w:r w:rsidRPr="00933F55">
        <w:rPr>
          <w:rFonts w:ascii="Palatino Linotype" w:eastAsia="Palatino Linotype" w:hAnsi="Palatino Linotype" w:cs="Palatino Linotype"/>
          <w:b/>
          <w:i/>
          <w:color w:val="000000" w:themeColor="text1"/>
        </w:rPr>
        <w:t>unidades de transparencia determinen la notoria incompetencia por parte de los sujetos obligado</w:t>
      </w:r>
      <w:r w:rsidRPr="00933F55">
        <w:rPr>
          <w:rFonts w:ascii="Palatino Linotype" w:eastAsia="Palatino Linotype" w:hAnsi="Palatino Linotype" w:cs="Palatino Linotype"/>
          <w:i/>
          <w:color w:val="000000" w:themeColor="text1"/>
        </w:rPr>
        <w:t xml:space="preserve">s, dentro del ámbito de aplicación, para atender la solicitud de acceso a la información, deberán comunicarlo </w:t>
      </w:r>
      <w:r w:rsidRPr="00933F55">
        <w:rPr>
          <w:rFonts w:ascii="Palatino Linotype" w:eastAsia="Palatino Linotype" w:hAnsi="Palatino Linotype" w:cs="Palatino Linotype"/>
          <w:i/>
          <w:color w:val="000000" w:themeColor="text1"/>
        </w:rPr>
        <w:lastRenderedPageBreak/>
        <w:t xml:space="preserve">al solicitante, dentro de los </w:t>
      </w:r>
      <w:r w:rsidRPr="00933F55">
        <w:rPr>
          <w:rFonts w:ascii="Palatino Linotype" w:eastAsia="Palatino Linotype" w:hAnsi="Palatino Linotype" w:cs="Palatino Linotype"/>
          <w:b/>
          <w:i/>
          <w:color w:val="000000" w:themeColor="text1"/>
        </w:rPr>
        <w:t>tres días hábiles posteriores a la recepción de la solicitud</w:t>
      </w:r>
      <w:r w:rsidRPr="00933F55">
        <w:rPr>
          <w:rFonts w:ascii="Palatino Linotype" w:eastAsia="Palatino Linotype" w:hAnsi="Palatino Linotype" w:cs="Palatino Linotype"/>
          <w:i/>
          <w:color w:val="000000" w:themeColor="text1"/>
        </w:rPr>
        <w:t xml:space="preserve"> y, en su caso orientar al solicitante, el o los sujetos obligados competentes. </w:t>
      </w: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 xml:space="preserve">Tal y como se aprecia, los Sujetos Obligados al detectar qué una solicitud de acceso a la información </w:t>
      </w:r>
      <w:r w:rsidRPr="00933F55">
        <w:rPr>
          <w:rFonts w:ascii="Palatino Linotype" w:eastAsia="Palatino Linotype" w:hAnsi="Palatino Linotype" w:cs="Palatino Linotype"/>
          <w:b/>
          <w:color w:val="000000" w:themeColor="text1"/>
        </w:rPr>
        <w:t>no</w:t>
      </w:r>
      <w:r w:rsidRPr="00933F55">
        <w:rPr>
          <w:rFonts w:ascii="Palatino Linotype" w:eastAsia="Palatino Linotype" w:hAnsi="Palatino Linotype" w:cs="Palatino Linotype"/>
          <w:color w:val="000000" w:themeColor="text1"/>
        </w:rPr>
        <w:t xml:space="preserve"> es de su competencia, dentro de los 3 días posteriores a su recepción, deberán de comunicar tal situación al recurrente y, en su caso orientarlo al Sujeto Obligado correspondiente. En ese sentido, el Sujeto Obligado refirió que la publicación y actualización de la información correspondiente a la Vigilancia y Control de la Declaración Patrimonial de Intereses y Constancia de Presentación de la Declaración Fiscal de los Servidores Públicos, está a cargo de la Secretaría de la Contraloría del Estado de México, no obstante remitió el registro de cumplimiento y la Cédula de Percepciones y Datos Generales, información con la que cuenta el </w:t>
      </w:r>
      <w:r w:rsidRPr="00933F55">
        <w:rPr>
          <w:rFonts w:ascii="Palatino Linotype" w:eastAsia="Palatino Linotype" w:hAnsi="Palatino Linotype" w:cs="Palatino Linotype"/>
          <w:b/>
          <w:color w:val="000000" w:themeColor="text1"/>
        </w:rPr>
        <w:t>SUJETO OBLIGADO.</w:t>
      </w:r>
    </w:p>
    <w:p w:rsidR="002E076B" w:rsidRPr="00933F55" w:rsidRDefault="002E076B">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Por lo anterior, el Manual General de Organización de la Secretaría de la Contraloría cuenta con la Dirección de Registro de Declaraciones y de Sanciones, la cual tienen como objetivo y funciones las siguientes:</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OBJETIVO:</w:t>
      </w: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b/>
          <w:i/>
          <w:color w:val="000000" w:themeColor="text1"/>
        </w:rPr>
        <w:t>Realizar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los procedimientos substanciados por responsabilidad administrativa y, de las sanciones impuestas a las personas servidoras públicas y/o particulares.</w:t>
      </w:r>
    </w:p>
    <w:p w:rsidR="002E076B" w:rsidRPr="00933F55" w:rsidRDefault="002E076B">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b/>
          <w:i/>
          <w:color w:val="000000" w:themeColor="text1"/>
        </w:rPr>
      </w:pPr>
      <w:r w:rsidRPr="00933F55">
        <w:rPr>
          <w:rFonts w:ascii="Palatino Linotype" w:eastAsia="Palatino Linotype" w:hAnsi="Palatino Linotype" w:cs="Palatino Linotype"/>
          <w:b/>
          <w:i/>
          <w:color w:val="000000" w:themeColor="text1"/>
        </w:rPr>
        <w:t xml:space="preserve">FUNCIONES: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lastRenderedPageBreak/>
        <w:t xml:space="preserve">-Coordinar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 </w:t>
      </w:r>
      <w:r w:rsidRPr="00933F55">
        <w:rPr>
          <w:rFonts w:ascii="Palatino Linotype" w:eastAsia="Palatino Linotype" w:hAnsi="Palatino Linotype" w:cs="Palatino Linotype"/>
          <w:b/>
          <w:i/>
          <w:color w:val="000000" w:themeColor="text1"/>
          <w:u w:val="single"/>
        </w:rPr>
        <w:t>Recibir, registrar y resguardar las declaraciones de situación patrimonial,</w:t>
      </w:r>
      <w:r w:rsidRPr="00933F55">
        <w:rPr>
          <w:rFonts w:ascii="Palatino Linotype" w:eastAsia="Palatino Linotype" w:hAnsi="Palatino Linotype" w:cs="Palatino Linotype"/>
          <w:b/>
          <w:i/>
          <w:color w:val="000000" w:themeColor="text1"/>
        </w:rPr>
        <w:t xml:space="preserve"> de intereses y, en su caso, </w:t>
      </w:r>
      <w:r w:rsidRPr="00933F55">
        <w:rPr>
          <w:rFonts w:ascii="Palatino Linotype" w:eastAsia="Palatino Linotype" w:hAnsi="Palatino Linotype" w:cs="Palatino Linotype"/>
          <w:b/>
          <w:i/>
          <w:color w:val="000000" w:themeColor="text1"/>
          <w:u w:val="single"/>
        </w:rPr>
        <w:t xml:space="preserve">el acuse de presentación de la declaración fiscal que presenten las personas servidoras públicas </w:t>
      </w:r>
      <w:r w:rsidRPr="00933F55">
        <w:rPr>
          <w:rFonts w:ascii="Palatino Linotype" w:eastAsia="Palatino Linotype" w:hAnsi="Palatino Linotype" w:cs="Palatino Linotype"/>
          <w:b/>
          <w:i/>
          <w:color w:val="000000" w:themeColor="text1"/>
        </w:rPr>
        <w:t>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r w:rsidRPr="00933F55">
        <w:rPr>
          <w:rFonts w:ascii="Palatino Linotype" w:eastAsia="Palatino Linotype" w:hAnsi="Palatino Linotype" w:cs="Palatino Linotype"/>
          <w:i/>
          <w:color w:val="000000" w:themeColor="text1"/>
        </w:rPr>
        <w:t xml:space="preserve">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 Supervisar la práctica de las verificaciones aleatorias de las declaraciones patrimoniales y de intereses y, en su caso, remitir los expedientes con los hallazgos a la autoridad correspondiente.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xml:space="preserve">−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 </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w:t>
      </w:r>
    </w:p>
    <w:p w:rsidR="002E076B" w:rsidRPr="00933F55" w:rsidRDefault="00547796">
      <w:pPr>
        <w:pBdr>
          <w:top w:val="nil"/>
          <w:left w:val="nil"/>
          <w:bottom w:val="nil"/>
          <w:right w:val="nil"/>
          <w:between w:val="nil"/>
        </w:pBdr>
        <w:ind w:left="567" w:right="423"/>
        <w:jc w:val="both"/>
        <w:rPr>
          <w:rFonts w:ascii="Palatino Linotype" w:eastAsia="Palatino Linotype" w:hAnsi="Palatino Linotype" w:cs="Palatino Linotype"/>
          <w:i/>
          <w:color w:val="000000" w:themeColor="text1"/>
        </w:rPr>
      </w:pPr>
      <w:r w:rsidRPr="00933F55">
        <w:rPr>
          <w:rFonts w:ascii="Palatino Linotype" w:eastAsia="Palatino Linotype" w:hAnsi="Palatino Linotype" w:cs="Palatino Linotype"/>
          <w:i/>
          <w:color w:val="000000" w:themeColor="text1"/>
        </w:rPr>
        <w:t>(…)</w:t>
      </w:r>
    </w:p>
    <w:p w:rsidR="002E076B" w:rsidRPr="00933F55" w:rsidRDefault="002E076B">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bookmarkStart w:id="6" w:name="_heading=h.2s8eyo1" w:colFirst="0" w:colLast="0"/>
      <w:bookmarkEnd w:id="6"/>
      <w:r w:rsidRPr="00933F55">
        <w:rPr>
          <w:rFonts w:ascii="Palatino Linotype" w:eastAsia="Palatino Linotype" w:hAnsi="Palatino Linotype" w:cs="Palatino Linotype"/>
          <w:color w:val="000000" w:themeColor="text1"/>
        </w:rPr>
        <w:lastRenderedPageBreak/>
        <w:t xml:space="preserve">Por lo antes expuesto, es de precisarse que tal como lo indicó el </w:t>
      </w:r>
      <w:r w:rsidRPr="00933F55">
        <w:rPr>
          <w:rFonts w:ascii="Palatino Linotype" w:eastAsia="Palatino Linotype" w:hAnsi="Palatino Linotype" w:cs="Palatino Linotype"/>
          <w:b/>
          <w:color w:val="000000" w:themeColor="text1"/>
        </w:rPr>
        <w:t xml:space="preserve">SUJETO OBLIGADO, </w:t>
      </w:r>
      <w:r w:rsidRPr="00933F55">
        <w:rPr>
          <w:rFonts w:ascii="Palatino Linotype" w:eastAsia="Palatino Linotype" w:hAnsi="Palatino Linotype" w:cs="Palatino Linotype"/>
          <w:color w:val="000000" w:themeColor="text1"/>
        </w:rPr>
        <w:t xml:space="preserve">la autoridad que posee y administra la información que requiere el </w:t>
      </w:r>
      <w:r w:rsidRPr="00933F55">
        <w:rPr>
          <w:rFonts w:ascii="Palatino Linotype" w:eastAsia="Palatino Linotype" w:hAnsi="Palatino Linotype" w:cs="Palatino Linotype"/>
          <w:b/>
          <w:color w:val="000000" w:themeColor="text1"/>
        </w:rPr>
        <w:t xml:space="preserve">RECURRENTE, </w:t>
      </w:r>
      <w:r w:rsidRPr="00933F55">
        <w:rPr>
          <w:rFonts w:ascii="Palatino Linotype" w:eastAsia="Palatino Linotype" w:hAnsi="Palatino Linotype" w:cs="Palatino Linotype"/>
          <w:color w:val="000000" w:themeColor="text1"/>
        </w:rPr>
        <w:t>es la</w:t>
      </w:r>
      <w:r w:rsidRPr="00933F55">
        <w:rPr>
          <w:rFonts w:ascii="Palatino Linotype" w:eastAsia="Palatino Linotype" w:hAnsi="Palatino Linotype" w:cs="Palatino Linotype"/>
          <w:b/>
          <w:color w:val="000000" w:themeColor="text1"/>
        </w:rPr>
        <w:t xml:space="preserve"> Secretaría de la Contraloría del Estado de México, </w:t>
      </w:r>
      <w:r w:rsidRPr="00933F55">
        <w:rPr>
          <w:rFonts w:ascii="Palatino Linotype" w:eastAsia="Palatino Linotype" w:hAnsi="Palatino Linotype" w:cs="Palatino Linotype"/>
          <w:color w:val="000000" w:themeColor="text1"/>
        </w:rPr>
        <w:t xml:space="preserve">a través de la </w:t>
      </w:r>
      <w:r w:rsidRPr="00933F55">
        <w:rPr>
          <w:rFonts w:ascii="Palatino Linotype" w:eastAsia="Palatino Linotype" w:hAnsi="Palatino Linotype" w:cs="Palatino Linotype"/>
          <w:b/>
          <w:color w:val="000000" w:themeColor="text1"/>
        </w:rPr>
        <w:t>Dirección de Registro de Declaraciones y Sanciones</w:t>
      </w:r>
      <w:r w:rsidRPr="00933F55">
        <w:rPr>
          <w:rFonts w:ascii="Palatino Linotype" w:eastAsia="Palatino Linotype" w:hAnsi="Palatino Linotype" w:cs="Palatino Linotype"/>
          <w:color w:val="000000" w:themeColor="text1"/>
        </w:rPr>
        <w:t xml:space="preserve">, quien resguarda la declaración de situación patrimonial que presentan las personas servidoras públicas de la Administración Pública Municipal. </w:t>
      </w:r>
    </w:p>
    <w:p w:rsidR="002E076B" w:rsidRPr="00933F55" w:rsidRDefault="002E076B">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Por lo anterior</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este Organismo Garante considera procedente </w:t>
      </w:r>
      <w:r w:rsidRPr="00933F55">
        <w:rPr>
          <w:rFonts w:ascii="Palatino Linotype" w:eastAsia="Palatino Linotype" w:hAnsi="Palatino Linotype" w:cs="Palatino Linotype"/>
          <w:b/>
          <w:color w:val="000000" w:themeColor="text1"/>
        </w:rPr>
        <w:t xml:space="preserve">CONFIRMAR </w:t>
      </w:r>
      <w:r w:rsidRPr="00933F55">
        <w:rPr>
          <w:rFonts w:ascii="Palatino Linotype" w:eastAsia="Palatino Linotype" w:hAnsi="Palatino Linotype" w:cs="Palatino Linotype"/>
          <w:color w:val="000000" w:themeColor="text1"/>
        </w:rPr>
        <w:t xml:space="preserve">las respuestas otorgadas por el </w:t>
      </w:r>
      <w:r w:rsidRPr="00933F55">
        <w:rPr>
          <w:rFonts w:ascii="Palatino Linotype" w:eastAsia="Palatino Linotype" w:hAnsi="Palatino Linotype" w:cs="Palatino Linotype"/>
          <w:b/>
          <w:color w:val="000000" w:themeColor="text1"/>
        </w:rPr>
        <w:t>Ayuntamiento de Ixtapan de la Sal</w:t>
      </w:r>
      <w:r w:rsidRPr="00933F55">
        <w:rPr>
          <w:rFonts w:ascii="Palatino Linotype" w:eastAsia="Palatino Linotype" w:hAnsi="Palatino Linotype" w:cs="Palatino Linotype"/>
          <w:color w:val="000000" w:themeColor="text1"/>
        </w:rPr>
        <w:t xml:space="preserve"> a las solicitudes de información</w:t>
      </w:r>
      <w:r w:rsidRPr="00933F55">
        <w:rPr>
          <w:rFonts w:ascii="Palatino Linotype" w:eastAsia="Palatino Linotype" w:hAnsi="Palatino Linotype" w:cs="Palatino Linotype"/>
          <w:b/>
          <w:color w:val="000000" w:themeColor="text1"/>
        </w:rPr>
        <w:t xml:space="preserve"> 00198/IXTASAL/IP/2025, 00195/IXTASAL/IP/2025 y 00196/IXTASAL/IP/2025.</w:t>
      </w:r>
    </w:p>
    <w:p w:rsidR="002E076B" w:rsidRPr="00933F55" w:rsidRDefault="002E076B">
      <w:pPr>
        <w:spacing w:line="360" w:lineRule="auto"/>
        <w:jc w:val="both"/>
        <w:rPr>
          <w:rFonts w:ascii="Palatino Linotype" w:hAnsi="Palatino Linotype"/>
          <w:color w:val="000000" w:themeColor="text1"/>
        </w:rPr>
      </w:pPr>
    </w:p>
    <w:p w:rsidR="002E076B" w:rsidRPr="00933F55" w:rsidRDefault="00547796">
      <w:pPr>
        <w:numPr>
          <w:ilvl w:val="0"/>
          <w:numId w:val="3"/>
        </w:numPr>
        <w:spacing w:line="360" w:lineRule="auto"/>
        <w:ind w:left="0" w:right="-787" w:firstLine="0"/>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spacing w:line="360" w:lineRule="auto"/>
        <w:ind w:right="276"/>
        <w:jc w:val="center"/>
        <w:rPr>
          <w:rFonts w:ascii="Palatino Linotype" w:eastAsia="Palatino Linotype" w:hAnsi="Palatino Linotype" w:cs="Palatino Linotype"/>
          <w:b/>
          <w:color w:val="000000" w:themeColor="text1"/>
        </w:rPr>
      </w:pPr>
      <w:r w:rsidRPr="00933F55">
        <w:rPr>
          <w:rFonts w:ascii="Palatino Linotype" w:eastAsia="Palatino Linotype" w:hAnsi="Palatino Linotype" w:cs="Palatino Linotype"/>
          <w:b/>
          <w:color w:val="000000" w:themeColor="text1"/>
        </w:rPr>
        <w:t>R E S U E L V E</w:t>
      </w:r>
    </w:p>
    <w:p w:rsidR="002E076B" w:rsidRPr="00933F55" w:rsidRDefault="002E076B">
      <w:pPr>
        <w:ind w:right="-787"/>
        <w:rPr>
          <w:rFonts w:ascii="Palatino Linotype" w:eastAsia="Palatino Linotype" w:hAnsi="Palatino Linotype" w:cs="Palatino Linotype"/>
          <w:b/>
          <w:color w:val="000000" w:themeColor="text1"/>
        </w:rPr>
      </w:pPr>
    </w:p>
    <w:p w:rsidR="002E076B" w:rsidRPr="00933F55" w:rsidRDefault="00547796">
      <w:pPr>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PRIMERO</w:t>
      </w:r>
      <w:r w:rsidRPr="00933F55">
        <w:rPr>
          <w:rFonts w:ascii="Palatino Linotype" w:eastAsia="Palatino Linotype" w:hAnsi="Palatino Linotype" w:cs="Palatino Linotype"/>
          <w:color w:val="000000" w:themeColor="text1"/>
        </w:rPr>
        <w:t>. Resultan infundadas las</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razones o motivos de inconformidad hechos valer en los Recursos de Revisión </w:t>
      </w:r>
      <w:r w:rsidRPr="00933F55">
        <w:rPr>
          <w:rFonts w:ascii="Palatino Linotype" w:eastAsia="Palatino Linotype" w:hAnsi="Palatino Linotype" w:cs="Palatino Linotype"/>
          <w:b/>
          <w:color w:val="000000" w:themeColor="text1"/>
        </w:rPr>
        <w:t>01513/INFOEM/IP/RR/2025,  01514/INFOEM/IP/RR/2025 y 01515/INFOEM/IP/RR/2025</w:t>
      </w:r>
      <w:r w:rsidRPr="00933F55">
        <w:rPr>
          <w:rFonts w:ascii="Palatino Linotype" w:eastAsia="Palatino Linotype" w:hAnsi="Palatino Linotype" w:cs="Palatino Linotype"/>
          <w:color w:val="000000" w:themeColor="text1"/>
        </w:rPr>
        <w:t>,</w:t>
      </w:r>
      <w:r w:rsidRPr="00933F55">
        <w:rPr>
          <w:rFonts w:ascii="Palatino Linotype" w:eastAsia="Palatino Linotype" w:hAnsi="Palatino Linotype" w:cs="Palatino Linotype"/>
          <w:b/>
          <w:color w:val="000000" w:themeColor="text1"/>
        </w:rPr>
        <w:t xml:space="preserve"> </w:t>
      </w:r>
      <w:r w:rsidRPr="00933F55">
        <w:rPr>
          <w:rFonts w:ascii="Palatino Linotype" w:eastAsia="Palatino Linotype" w:hAnsi="Palatino Linotype" w:cs="Palatino Linotype"/>
          <w:color w:val="000000" w:themeColor="text1"/>
        </w:rPr>
        <w:t xml:space="preserve">en términos del </w:t>
      </w:r>
      <w:r w:rsidRPr="00933F55">
        <w:rPr>
          <w:rFonts w:ascii="Palatino Linotype" w:eastAsia="Palatino Linotype" w:hAnsi="Palatino Linotype" w:cs="Palatino Linotype"/>
          <w:b/>
          <w:color w:val="000000" w:themeColor="text1"/>
        </w:rPr>
        <w:t>Considerando</w:t>
      </w:r>
      <w:r w:rsidRPr="00933F55">
        <w:rPr>
          <w:rFonts w:ascii="Palatino Linotype" w:eastAsia="Palatino Linotype" w:hAnsi="Palatino Linotype" w:cs="Palatino Linotype"/>
          <w:color w:val="000000" w:themeColor="text1"/>
        </w:rPr>
        <w:t xml:space="preserve"> </w:t>
      </w:r>
      <w:r w:rsidRPr="00933F55">
        <w:rPr>
          <w:rFonts w:ascii="Palatino Linotype" w:eastAsia="Palatino Linotype" w:hAnsi="Palatino Linotype" w:cs="Palatino Linotype"/>
          <w:b/>
          <w:color w:val="000000" w:themeColor="text1"/>
        </w:rPr>
        <w:t>CUARTO</w:t>
      </w:r>
      <w:r w:rsidRPr="00933F55">
        <w:rPr>
          <w:rFonts w:ascii="Palatino Linotype" w:eastAsia="Palatino Linotype" w:hAnsi="Palatino Linotype" w:cs="Palatino Linotype"/>
          <w:color w:val="000000" w:themeColor="text1"/>
        </w:rPr>
        <w:t xml:space="preserve"> de la presente Resolución.</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spacing w:line="360" w:lineRule="auto"/>
        <w:ind w:right="-787"/>
        <w:jc w:val="both"/>
        <w:rPr>
          <w:rFonts w:ascii="Palatino Linotype" w:eastAsia="Palatino Linotype" w:hAnsi="Palatino Linotype" w:cs="Palatino Linotype"/>
          <w:b/>
          <w:color w:val="000000" w:themeColor="text1"/>
        </w:rPr>
      </w:pPr>
      <w:bookmarkStart w:id="7" w:name="_heading=h.1ksv4uv" w:colFirst="0" w:colLast="0"/>
      <w:bookmarkEnd w:id="7"/>
      <w:r w:rsidRPr="00933F55">
        <w:rPr>
          <w:rFonts w:ascii="Palatino Linotype" w:eastAsia="Palatino Linotype" w:hAnsi="Palatino Linotype" w:cs="Palatino Linotype"/>
          <w:b/>
          <w:color w:val="000000" w:themeColor="text1"/>
        </w:rPr>
        <w:lastRenderedPageBreak/>
        <w:t>SEGUNDO</w:t>
      </w:r>
      <w:r w:rsidRPr="00933F55">
        <w:rPr>
          <w:rFonts w:ascii="Palatino Linotype" w:eastAsia="Palatino Linotype" w:hAnsi="Palatino Linotype" w:cs="Palatino Linotype"/>
          <w:color w:val="000000" w:themeColor="text1"/>
        </w:rPr>
        <w:t xml:space="preserve">. Se </w:t>
      </w:r>
      <w:r w:rsidRPr="00933F55">
        <w:rPr>
          <w:rFonts w:ascii="Palatino Linotype" w:eastAsia="Palatino Linotype" w:hAnsi="Palatino Linotype" w:cs="Palatino Linotype"/>
          <w:b/>
          <w:color w:val="000000" w:themeColor="text1"/>
        </w:rPr>
        <w:t xml:space="preserve">CONFIRMAN </w:t>
      </w:r>
      <w:r w:rsidRPr="00933F55">
        <w:rPr>
          <w:rFonts w:ascii="Palatino Linotype" w:eastAsia="Palatino Linotype" w:hAnsi="Palatino Linotype" w:cs="Palatino Linotype"/>
          <w:color w:val="000000" w:themeColor="text1"/>
        </w:rPr>
        <w:t xml:space="preserve">las respuestas del </w:t>
      </w:r>
      <w:r w:rsidRPr="00933F55">
        <w:rPr>
          <w:rFonts w:ascii="Palatino Linotype" w:eastAsia="Palatino Linotype" w:hAnsi="Palatino Linotype" w:cs="Palatino Linotype"/>
          <w:b/>
          <w:color w:val="000000" w:themeColor="text1"/>
        </w:rPr>
        <w:t xml:space="preserve">Ayuntamiento de Ixtapan de la Sal </w:t>
      </w:r>
      <w:r w:rsidRPr="00933F55">
        <w:rPr>
          <w:rFonts w:ascii="Palatino Linotype" w:eastAsia="Palatino Linotype" w:hAnsi="Palatino Linotype" w:cs="Palatino Linotype"/>
          <w:color w:val="000000" w:themeColor="text1"/>
        </w:rPr>
        <w:t>emitidas a las solicitudes de acceso a la información</w:t>
      </w:r>
      <w:r w:rsidRPr="00933F55">
        <w:rPr>
          <w:rFonts w:ascii="Palatino Linotype" w:eastAsia="Palatino Linotype" w:hAnsi="Palatino Linotype" w:cs="Palatino Linotype"/>
          <w:b/>
          <w:color w:val="000000" w:themeColor="text1"/>
        </w:rPr>
        <w:t xml:space="preserve"> 00198/IXTASAL/IP/2025, 00195/IXTASAL/IP/2025 y 00196/IXTASAL/IP/2025.</w:t>
      </w:r>
    </w:p>
    <w:p w:rsidR="002E076B" w:rsidRPr="00933F55" w:rsidRDefault="002E076B">
      <w:pPr>
        <w:spacing w:line="360" w:lineRule="auto"/>
        <w:ind w:right="-787"/>
        <w:jc w:val="both"/>
        <w:rPr>
          <w:rFonts w:ascii="Palatino Linotype" w:eastAsia="Palatino Linotype" w:hAnsi="Palatino Linotype" w:cs="Palatino Linotype"/>
          <w:b/>
          <w:color w:val="000000" w:themeColor="text1"/>
        </w:rPr>
      </w:pPr>
    </w:p>
    <w:p w:rsidR="002E076B" w:rsidRPr="00933F55" w:rsidRDefault="00547796">
      <w:pPr>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TERCERO. Notifíquese</w:t>
      </w:r>
      <w:r w:rsidRPr="00933F55">
        <w:rPr>
          <w:rFonts w:ascii="Palatino Linotype" w:eastAsia="Palatino Linotype" w:hAnsi="Palatino Linotype" w:cs="Palatino Linotype"/>
          <w:color w:val="000000" w:themeColor="text1"/>
        </w:rPr>
        <w:t xml:space="preserve"> al Titular de la Unidad de Transparencia del </w:t>
      </w:r>
      <w:r w:rsidRPr="00933F55">
        <w:rPr>
          <w:rFonts w:ascii="Palatino Linotype" w:eastAsia="Palatino Linotype" w:hAnsi="Palatino Linotype" w:cs="Palatino Linotype"/>
          <w:b/>
          <w:color w:val="000000" w:themeColor="text1"/>
        </w:rPr>
        <w:t>SUJETO OBLIGADO</w:t>
      </w:r>
      <w:r w:rsidRPr="00933F55">
        <w:rPr>
          <w:rFonts w:ascii="Palatino Linotype" w:eastAsia="Palatino Linotype" w:hAnsi="Palatino Linotype" w:cs="Palatino Linotype"/>
          <w:color w:val="000000" w:themeColor="text1"/>
        </w:rPr>
        <w:t xml:space="preserve"> vía SAIMEX, para su conocimiento.</w:t>
      </w:r>
    </w:p>
    <w:p w:rsidR="002E076B" w:rsidRPr="00933F55" w:rsidRDefault="002E076B">
      <w:pPr>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tabs>
          <w:tab w:val="left" w:pos="8080"/>
        </w:tabs>
        <w:spacing w:line="360" w:lineRule="auto"/>
        <w:ind w:right="-787"/>
        <w:jc w:val="both"/>
        <w:rPr>
          <w:rFonts w:ascii="Palatino Linotype" w:eastAsia="Palatino Linotype" w:hAnsi="Palatino Linotype" w:cs="Palatino Linotype"/>
          <w:color w:val="000000" w:themeColor="text1"/>
        </w:rPr>
      </w:pPr>
      <w:bookmarkStart w:id="8" w:name="_heading=h.3rdcrjn" w:colFirst="0" w:colLast="0"/>
      <w:bookmarkEnd w:id="8"/>
      <w:r w:rsidRPr="00933F55">
        <w:rPr>
          <w:rFonts w:ascii="Palatino Linotype" w:eastAsia="Palatino Linotype" w:hAnsi="Palatino Linotype" w:cs="Palatino Linotype"/>
          <w:b/>
          <w:color w:val="000000" w:themeColor="text1"/>
        </w:rPr>
        <w:t xml:space="preserve">CUARTO. Notifíquese </w:t>
      </w:r>
      <w:r w:rsidRPr="00933F55">
        <w:rPr>
          <w:rFonts w:ascii="Palatino Linotype" w:eastAsia="Palatino Linotype" w:hAnsi="Palatino Linotype" w:cs="Palatino Linotype"/>
          <w:color w:val="000000" w:themeColor="text1"/>
        </w:rPr>
        <w:t xml:space="preserve">a </w:t>
      </w:r>
      <w:r w:rsidRPr="00933F55">
        <w:rPr>
          <w:rFonts w:ascii="Palatino Linotype" w:eastAsia="Palatino Linotype" w:hAnsi="Palatino Linotype" w:cs="Palatino Linotype"/>
          <w:b/>
          <w:color w:val="000000" w:themeColor="text1"/>
        </w:rPr>
        <w:t>EL RECURRENTE</w:t>
      </w:r>
      <w:r w:rsidRPr="00933F55">
        <w:rPr>
          <w:rFonts w:ascii="Palatino Linotype" w:eastAsia="Palatino Linotype" w:hAnsi="Palatino Linotype" w:cs="Palatino Linotype"/>
          <w:color w:val="000000" w:themeColor="text1"/>
        </w:rPr>
        <w:t xml:space="preserve"> la presente resolución vía SAIMEX.</w:t>
      </w:r>
    </w:p>
    <w:p w:rsidR="002E076B" w:rsidRPr="00933F55" w:rsidRDefault="002E076B">
      <w:pPr>
        <w:tabs>
          <w:tab w:val="left" w:pos="8080"/>
        </w:tabs>
        <w:spacing w:line="360" w:lineRule="auto"/>
        <w:ind w:right="-787"/>
        <w:jc w:val="both"/>
        <w:rPr>
          <w:rFonts w:ascii="Palatino Linotype" w:eastAsia="Palatino Linotype" w:hAnsi="Palatino Linotype" w:cs="Palatino Linotype"/>
          <w:color w:val="000000" w:themeColor="text1"/>
        </w:rPr>
      </w:pPr>
    </w:p>
    <w:p w:rsidR="002E076B" w:rsidRPr="00933F55" w:rsidRDefault="00547796">
      <w:pPr>
        <w:shd w:val="clear" w:color="auto" w:fill="FFFFFF"/>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b/>
          <w:color w:val="000000" w:themeColor="text1"/>
        </w:rPr>
        <w:t xml:space="preserve">QUINTO. </w:t>
      </w:r>
      <w:r w:rsidRPr="00933F55">
        <w:rPr>
          <w:rFonts w:ascii="Palatino Linotype" w:eastAsia="Palatino Linotype" w:hAnsi="Palatino Linotype" w:cs="Palatino Linotype"/>
          <w:color w:val="000000" w:themeColor="text1"/>
        </w:rPr>
        <w:t xml:space="preserve">Se hace del conocimiento de </w:t>
      </w:r>
      <w:r w:rsidRPr="00933F55">
        <w:rPr>
          <w:rFonts w:ascii="Palatino Linotype" w:eastAsia="Palatino Linotype" w:hAnsi="Palatino Linotype" w:cs="Palatino Linotype"/>
          <w:b/>
          <w:color w:val="000000" w:themeColor="text1"/>
        </w:rPr>
        <w:t>EL RECURRENTE</w:t>
      </w:r>
      <w:r w:rsidRPr="00933F5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2E076B" w:rsidRPr="00933F55" w:rsidRDefault="002E076B">
      <w:pPr>
        <w:shd w:val="clear" w:color="auto" w:fill="FFFFFF"/>
        <w:spacing w:line="360" w:lineRule="auto"/>
        <w:ind w:right="-787"/>
        <w:jc w:val="both"/>
        <w:rPr>
          <w:rFonts w:ascii="Palatino Linotype" w:eastAsia="Palatino Linotype" w:hAnsi="Palatino Linotype" w:cs="Palatino Linotype"/>
          <w:color w:val="000000" w:themeColor="text1"/>
        </w:rPr>
      </w:pPr>
      <w:bookmarkStart w:id="9" w:name="_heading=h.gfwsgiyl4xnv" w:colFirst="0" w:colLast="0"/>
      <w:bookmarkEnd w:id="9"/>
    </w:p>
    <w:p w:rsidR="002E076B" w:rsidRPr="00F561B9" w:rsidRDefault="00F561B9">
      <w:pPr>
        <w:spacing w:line="360" w:lineRule="auto"/>
        <w:ind w:right="-787"/>
        <w:jc w:val="both"/>
        <w:rPr>
          <w:rFonts w:ascii="Palatino Linotype" w:eastAsia="Palatino Linotype" w:hAnsi="Palatino Linotype" w:cs="Palatino Linotype"/>
          <w:color w:val="000000" w:themeColor="text1"/>
        </w:rPr>
      </w:pPr>
      <w:r w:rsidRPr="00933F55">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NUEVE (09) DE ABRIL DE DOS MIL VEINTICINCO, ANTE EL SECRETARIO TÉCNICO DEL PLENO ALEXIS TAPIA RAMÍREZ.</w:t>
      </w:r>
      <w:bookmarkStart w:id="10" w:name="_GoBack"/>
      <w:bookmarkEnd w:id="10"/>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spacing w:line="360" w:lineRule="auto"/>
        <w:ind w:right="-787"/>
        <w:jc w:val="both"/>
        <w:rPr>
          <w:rFonts w:ascii="Palatino Linotype" w:eastAsia="Palatino Linotype" w:hAnsi="Palatino Linotype" w:cs="Palatino Linotype"/>
          <w:color w:val="000000" w:themeColor="text1"/>
        </w:rPr>
      </w:pPr>
    </w:p>
    <w:p w:rsidR="002E076B" w:rsidRPr="00F561B9" w:rsidRDefault="002E076B">
      <w:pPr>
        <w:tabs>
          <w:tab w:val="left" w:pos="3374"/>
        </w:tabs>
        <w:spacing w:line="360" w:lineRule="auto"/>
        <w:ind w:right="-787"/>
        <w:rPr>
          <w:rFonts w:ascii="Palatino Linotype" w:eastAsia="Palatino Linotype" w:hAnsi="Palatino Linotype" w:cs="Palatino Linotype"/>
          <w:color w:val="000000" w:themeColor="text1"/>
        </w:rPr>
      </w:pPr>
      <w:bookmarkStart w:id="11" w:name="_heading=h.lnxbz9" w:colFirst="0" w:colLast="0"/>
      <w:bookmarkEnd w:id="11"/>
    </w:p>
    <w:sectPr w:rsidR="002E076B" w:rsidRPr="00F561B9">
      <w:headerReference w:type="even" r:id="rId9"/>
      <w:headerReference w:type="default" r:id="rId10"/>
      <w:footerReference w:type="default" r:id="rId11"/>
      <w:headerReference w:type="first" r:id="rId12"/>
      <w:footerReference w:type="first" r:id="rId13"/>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855" w:rsidRDefault="00783855">
      <w:r>
        <w:separator/>
      </w:r>
    </w:p>
  </w:endnote>
  <w:endnote w:type="continuationSeparator" w:id="0">
    <w:p w:rsidR="00783855" w:rsidRDefault="0078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6B" w:rsidRDefault="005477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3F55">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3F5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2E076B" w:rsidRDefault="002E07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6B" w:rsidRDefault="005477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33F5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33F5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2E076B" w:rsidRDefault="002E07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855" w:rsidRDefault="00783855">
      <w:r>
        <w:separator/>
      </w:r>
    </w:p>
  </w:footnote>
  <w:footnote w:type="continuationSeparator" w:id="0">
    <w:p w:rsidR="00783855" w:rsidRDefault="00783855">
      <w:r>
        <w:continuationSeparator/>
      </w:r>
    </w:p>
  </w:footnote>
  <w:footnote w:id="1">
    <w:p w:rsidR="002E076B" w:rsidRDefault="0054779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6B" w:rsidRDefault="0078385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6B" w:rsidRDefault="002E076B">
    <w:pPr>
      <w:widowControl w:val="0"/>
      <w:pBdr>
        <w:top w:val="nil"/>
        <w:left w:val="nil"/>
        <w:bottom w:val="nil"/>
        <w:right w:val="nil"/>
        <w:between w:val="nil"/>
      </w:pBdr>
      <w:spacing w:line="276" w:lineRule="auto"/>
      <w:rPr>
        <w:color w:val="000000"/>
      </w:rPr>
    </w:pPr>
  </w:p>
  <w:tbl>
    <w:tblPr>
      <w:tblStyle w:val="aa"/>
      <w:tblW w:w="7229" w:type="dxa"/>
      <w:tblInd w:w="2552" w:type="dxa"/>
      <w:tblLayout w:type="fixed"/>
      <w:tblLook w:val="0400" w:firstRow="0" w:lastRow="0" w:firstColumn="0" w:lastColumn="0" w:noHBand="0" w:noVBand="1"/>
    </w:tblPr>
    <w:tblGrid>
      <w:gridCol w:w="2551"/>
      <w:gridCol w:w="4678"/>
    </w:tblGrid>
    <w:tr w:rsidR="002E076B" w:rsidRPr="00F561B9" w:rsidTr="00F561B9">
      <w:trPr>
        <w:trHeight w:val="227"/>
      </w:trPr>
      <w:tc>
        <w:tcPr>
          <w:tcW w:w="2551"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Recurso de Revisión:</w:t>
          </w:r>
        </w:p>
      </w:tc>
      <w:tc>
        <w:tcPr>
          <w:tcW w:w="4678" w:type="dxa"/>
        </w:tcPr>
        <w:p w:rsidR="002E076B" w:rsidRPr="00F561B9" w:rsidRDefault="00547796">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F561B9">
            <w:rPr>
              <w:rFonts w:ascii="Palatino Linotype" w:eastAsia="Palatino Linotype" w:hAnsi="Palatino Linotype" w:cs="Palatino Linotype"/>
              <w:color w:val="000000"/>
            </w:rPr>
            <w:t xml:space="preserve">01513/INFOEM/IP/RR/2025 y </w:t>
          </w:r>
          <w:r w:rsidRPr="00F561B9">
            <w:rPr>
              <w:rFonts w:ascii="Palatino Linotype" w:eastAsia="Palatino Linotype" w:hAnsi="Palatino Linotype" w:cs="Palatino Linotype"/>
            </w:rPr>
            <w:t>A</w:t>
          </w:r>
          <w:r w:rsidRPr="00F561B9">
            <w:rPr>
              <w:rFonts w:ascii="Palatino Linotype" w:eastAsia="Palatino Linotype" w:hAnsi="Palatino Linotype" w:cs="Palatino Linotype"/>
              <w:color w:val="000000"/>
            </w:rPr>
            <w:t>cumulados</w:t>
          </w:r>
        </w:p>
      </w:tc>
    </w:tr>
    <w:tr w:rsidR="002E076B" w:rsidRPr="00F561B9" w:rsidTr="00F561B9">
      <w:trPr>
        <w:trHeight w:val="342"/>
      </w:trPr>
      <w:tc>
        <w:tcPr>
          <w:tcW w:w="2551"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Sujeto Obligado:</w:t>
          </w:r>
        </w:p>
      </w:tc>
      <w:tc>
        <w:tcPr>
          <w:tcW w:w="4678" w:type="dxa"/>
        </w:tcPr>
        <w:p w:rsidR="002E076B" w:rsidRPr="00F561B9" w:rsidRDefault="00547796">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561B9">
            <w:rPr>
              <w:rFonts w:ascii="Palatino Linotype" w:eastAsia="Palatino Linotype" w:hAnsi="Palatino Linotype" w:cs="Palatino Linotype"/>
              <w:color w:val="000000"/>
            </w:rPr>
            <w:t>Ayuntamiento de Ixtapan de la Sal</w:t>
          </w:r>
        </w:p>
      </w:tc>
    </w:tr>
    <w:tr w:rsidR="002E076B" w:rsidRPr="00F561B9" w:rsidTr="00F561B9">
      <w:trPr>
        <w:trHeight w:val="342"/>
      </w:trPr>
      <w:tc>
        <w:tcPr>
          <w:tcW w:w="2551"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Comisionada Ponente:</w:t>
          </w:r>
        </w:p>
      </w:tc>
      <w:tc>
        <w:tcPr>
          <w:tcW w:w="4678" w:type="dxa"/>
        </w:tcPr>
        <w:p w:rsidR="002E076B" w:rsidRPr="00F561B9" w:rsidRDefault="00547796">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F561B9">
            <w:rPr>
              <w:rFonts w:ascii="Palatino Linotype" w:eastAsia="Palatino Linotype" w:hAnsi="Palatino Linotype" w:cs="Palatino Linotype"/>
              <w:color w:val="000000"/>
            </w:rPr>
            <w:t>María del Rosario Mejía Ayala</w:t>
          </w:r>
        </w:p>
      </w:tc>
    </w:tr>
  </w:tbl>
  <w:p w:rsidR="002E076B" w:rsidRDefault="0078385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6B" w:rsidRDefault="002E076B">
    <w:pPr>
      <w:widowControl w:val="0"/>
      <w:pBdr>
        <w:top w:val="nil"/>
        <w:left w:val="nil"/>
        <w:bottom w:val="nil"/>
        <w:right w:val="nil"/>
        <w:between w:val="nil"/>
      </w:pBdr>
      <w:spacing w:line="276" w:lineRule="auto"/>
      <w:rPr>
        <w:color w:val="000000"/>
        <w:sz w:val="14"/>
        <w:szCs w:val="14"/>
      </w:rPr>
    </w:pPr>
  </w:p>
  <w:tbl>
    <w:tblPr>
      <w:tblStyle w:val="ab"/>
      <w:tblW w:w="7513" w:type="dxa"/>
      <w:tblInd w:w="2552" w:type="dxa"/>
      <w:tblLayout w:type="fixed"/>
      <w:tblLook w:val="0400" w:firstRow="0" w:lastRow="0" w:firstColumn="0" w:lastColumn="0" w:noHBand="0" w:noVBand="1"/>
    </w:tblPr>
    <w:tblGrid>
      <w:gridCol w:w="2693"/>
      <w:gridCol w:w="4820"/>
    </w:tblGrid>
    <w:tr w:rsidR="002E076B" w:rsidRPr="00F561B9" w:rsidTr="00F561B9">
      <w:trPr>
        <w:trHeight w:val="227"/>
      </w:trPr>
      <w:tc>
        <w:tcPr>
          <w:tcW w:w="2693"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Recurso de Revisión:</w:t>
          </w:r>
        </w:p>
      </w:tc>
      <w:tc>
        <w:tcPr>
          <w:tcW w:w="4820" w:type="dxa"/>
        </w:tcPr>
        <w:p w:rsidR="002E076B" w:rsidRPr="00F561B9" w:rsidRDefault="00547796">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F561B9">
            <w:rPr>
              <w:rFonts w:ascii="Palatino Linotype" w:eastAsia="Palatino Linotype" w:hAnsi="Palatino Linotype" w:cs="Palatino Linotype"/>
              <w:color w:val="000000"/>
            </w:rPr>
            <w:t xml:space="preserve">01513/INFOEM/IP/RR/2025 y </w:t>
          </w:r>
          <w:r w:rsidRPr="00F561B9">
            <w:rPr>
              <w:rFonts w:ascii="Palatino Linotype" w:eastAsia="Palatino Linotype" w:hAnsi="Palatino Linotype" w:cs="Palatino Linotype"/>
            </w:rPr>
            <w:t>A</w:t>
          </w:r>
          <w:r w:rsidRPr="00F561B9">
            <w:rPr>
              <w:rFonts w:ascii="Palatino Linotype" w:eastAsia="Palatino Linotype" w:hAnsi="Palatino Linotype" w:cs="Palatino Linotype"/>
              <w:color w:val="000000"/>
            </w:rPr>
            <w:t>cumulados</w:t>
          </w:r>
        </w:p>
      </w:tc>
    </w:tr>
    <w:tr w:rsidR="002E076B" w:rsidRPr="00F561B9" w:rsidTr="00F561B9">
      <w:trPr>
        <w:trHeight w:val="242"/>
      </w:trPr>
      <w:tc>
        <w:tcPr>
          <w:tcW w:w="2693"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Recurrente:</w:t>
          </w:r>
        </w:p>
      </w:tc>
      <w:tc>
        <w:tcPr>
          <w:tcW w:w="4820" w:type="dxa"/>
        </w:tcPr>
        <w:p w:rsidR="002E076B" w:rsidRPr="00F561B9" w:rsidRDefault="002E076B">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2E076B" w:rsidRPr="00F561B9" w:rsidTr="00F561B9">
      <w:trPr>
        <w:trHeight w:val="342"/>
      </w:trPr>
      <w:tc>
        <w:tcPr>
          <w:tcW w:w="2693"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Sujeto Obligado:</w:t>
          </w:r>
        </w:p>
      </w:tc>
      <w:tc>
        <w:tcPr>
          <w:tcW w:w="4820" w:type="dxa"/>
        </w:tcPr>
        <w:p w:rsidR="002E076B" w:rsidRPr="00F561B9" w:rsidRDefault="00547796">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561B9">
            <w:rPr>
              <w:rFonts w:ascii="Palatino Linotype" w:eastAsia="Palatino Linotype" w:hAnsi="Palatino Linotype" w:cs="Palatino Linotype"/>
              <w:color w:val="000000"/>
            </w:rPr>
            <w:t>Ayuntamiento de Ixtapan de la Sal</w:t>
          </w:r>
        </w:p>
      </w:tc>
    </w:tr>
    <w:tr w:rsidR="002E076B" w:rsidRPr="00F561B9" w:rsidTr="00F561B9">
      <w:trPr>
        <w:trHeight w:val="342"/>
      </w:trPr>
      <w:tc>
        <w:tcPr>
          <w:tcW w:w="2693" w:type="dxa"/>
        </w:tcPr>
        <w:p w:rsidR="002E076B" w:rsidRPr="00F561B9" w:rsidRDefault="00547796">
          <w:pPr>
            <w:jc w:val="right"/>
            <w:rPr>
              <w:rFonts w:ascii="Palatino Linotype" w:eastAsia="Palatino Linotype" w:hAnsi="Palatino Linotype" w:cs="Palatino Linotype"/>
              <w:b/>
            </w:rPr>
          </w:pPr>
          <w:r w:rsidRPr="00F561B9">
            <w:rPr>
              <w:rFonts w:ascii="Palatino Linotype" w:eastAsia="Palatino Linotype" w:hAnsi="Palatino Linotype" w:cs="Palatino Linotype"/>
              <w:b/>
            </w:rPr>
            <w:t>Comisionada Ponente:</w:t>
          </w:r>
        </w:p>
      </w:tc>
      <w:tc>
        <w:tcPr>
          <w:tcW w:w="4820" w:type="dxa"/>
        </w:tcPr>
        <w:p w:rsidR="002E076B" w:rsidRPr="00F561B9" w:rsidRDefault="00547796">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F561B9">
            <w:rPr>
              <w:rFonts w:ascii="Palatino Linotype" w:eastAsia="Palatino Linotype" w:hAnsi="Palatino Linotype" w:cs="Palatino Linotype"/>
              <w:color w:val="000000"/>
            </w:rPr>
            <w:t>María del Rosario Mejía Ayala</w:t>
          </w:r>
        </w:p>
      </w:tc>
    </w:tr>
  </w:tbl>
  <w:p w:rsidR="002E076B" w:rsidRDefault="0078385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733F4"/>
    <w:multiLevelType w:val="multilevel"/>
    <w:tmpl w:val="895AD2E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098D1B5A"/>
    <w:multiLevelType w:val="multilevel"/>
    <w:tmpl w:val="E87EC09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nsid w:val="5B5515E9"/>
    <w:multiLevelType w:val="multilevel"/>
    <w:tmpl w:val="8A1CF99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nsid w:val="5F837948"/>
    <w:multiLevelType w:val="multilevel"/>
    <w:tmpl w:val="0152276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9F06DE"/>
    <w:multiLevelType w:val="multilevel"/>
    <w:tmpl w:val="21785D0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6B"/>
    <w:rsid w:val="002E076B"/>
    <w:rsid w:val="00505833"/>
    <w:rsid w:val="00547796"/>
    <w:rsid w:val="005A3FB1"/>
    <w:rsid w:val="00783855"/>
    <w:rsid w:val="00933F55"/>
    <w:rsid w:val="00A7368E"/>
    <w:rsid w:val="00F217F7"/>
    <w:rsid w:val="00F56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82F1124-C711-49B0-ACB6-EBBA0D82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70" w:type="dxa"/>
        <w:bottom w:w="0" w:type="dxa"/>
        <w:right w:w="70"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70" w:type="dxa"/>
        <w:bottom w:w="0" w:type="dxa"/>
        <w:right w:w="70" w:type="dxa"/>
      </w:tblCellMar>
    </w:tblPr>
  </w:style>
  <w:style w:type="table" w:customStyle="1" w:styleId="a3">
    <w:basedOn w:val="TableNormal2"/>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70" w:type="dxa"/>
        <w:bottom w:w="0" w:type="dxa"/>
        <w:right w:w="70" w:type="dxa"/>
      </w:tblCellMar>
    </w:tblPr>
  </w:style>
  <w:style w:type="table" w:customStyle="1" w:styleId="a7">
    <w:basedOn w:val="TableNormal1"/>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8Kmg7642bjpoN7Ckkz2pQqZw==">CgMxLjAyCGguZ2pkZ3hzMgloLjN6bnlzaDcyCWguMmV0OTJwMDIIaC50eWpjd3QyCWguM2R5NnZrbTIJaC4xdDNoNXNmMgloLjJzOGV5bzEyCWguMWtzdjR1djIJaC4zcmRjcmpuMg5oLmdmd3NnaXlsNHhudjIIaC5sbnhiejk4AHIhMVpDV255NEsya1pFQnduU1k3TFl0dEJPc3I4NlRfWFFw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5549</Words>
  <Characters>30523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6</cp:revision>
  <cp:lastPrinted>2025-04-10T22:18:00Z</cp:lastPrinted>
  <dcterms:created xsi:type="dcterms:W3CDTF">2025-04-01T20:16:00Z</dcterms:created>
  <dcterms:modified xsi:type="dcterms:W3CDTF">2025-04-10T22:18:00Z</dcterms:modified>
</cp:coreProperties>
</file>