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635C4B" w:rsidRDefault="00AE3DA7" w:rsidP="00635C4B">
          <w:pPr>
            <w:pStyle w:val="TtulodeTDC"/>
            <w:spacing w:before="0" w:line="240" w:lineRule="auto"/>
            <w:rPr>
              <w:rFonts w:ascii="Palatino Linotype" w:hAnsi="Palatino Linotype"/>
              <w:color w:val="auto"/>
              <w:sz w:val="24"/>
              <w:szCs w:val="24"/>
              <w:lang w:val="es-ES"/>
            </w:rPr>
          </w:pPr>
          <w:r w:rsidRPr="00635C4B">
            <w:rPr>
              <w:rFonts w:ascii="Palatino Linotype" w:hAnsi="Palatino Linotype"/>
              <w:color w:val="auto"/>
              <w:sz w:val="24"/>
              <w:szCs w:val="24"/>
              <w:lang w:val="es-ES"/>
            </w:rPr>
            <w:t>Contenido</w:t>
          </w:r>
        </w:p>
        <w:p w14:paraId="3EB312A7" w14:textId="77777777" w:rsidR="00AA6EA9" w:rsidRPr="00635C4B" w:rsidRDefault="00AA6EA9" w:rsidP="00635C4B">
          <w:pPr>
            <w:spacing w:line="240" w:lineRule="auto"/>
            <w:rPr>
              <w:sz w:val="16"/>
              <w:szCs w:val="16"/>
              <w:lang w:val="es-ES" w:eastAsia="es-MX"/>
            </w:rPr>
          </w:pPr>
        </w:p>
        <w:p w14:paraId="1F7ACC00" w14:textId="77777777" w:rsidR="00C546E2" w:rsidRPr="00635C4B" w:rsidRDefault="00AE3DA7" w:rsidP="00635C4B">
          <w:pPr>
            <w:pStyle w:val="TDC1"/>
            <w:tabs>
              <w:tab w:val="right" w:leader="dot" w:pos="9034"/>
            </w:tabs>
            <w:rPr>
              <w:rFonts w:asciiTheme="minorHAnsi" w:eastAsiaTheme="minorEastAsia" w:hAnsiTheme="minorHAnsi" w:cstheme="minorBidi"/>
              <w:noProof/>
              <w:szCs w:val="22"/>
              <w:lang w:eastAsia="es-MX"/>
            </w:rPr>
          </w:pPr>
          <w:r w:rsidRPr="00635C4B">
            <w:rPr>
              <w:sz w:val="16"/>
              <w:szCs w:val="16"/>
            </w:rPr>
            <w:fldChar w:fldCharType="begin"/>
          </w:r>
          <w:r w:rsidRPr="00635C4B">
            <w:rPr>
              <w:sz w:val="16"/>
              <w:szCs w:val="16"/>
            </w:rPr>
            <w:instrText xml:space="preserve"> TOC \o "1-3" \h \z \u </w:instrText>
          </w:r>
          <w:r w:rsidRPr="00635C4B">
            <w:rPr>
              <w:sz w:val="16"/>
              <w:szCs w:val="16"/>
            </w:rPr>
            <w:fldChar w:fldCharType="separate"/>
          </w:r>
          <w:hyperlink w:anchor="_Toc185499667" w:history="1">
            <w:r w:rsidR="00C546E2" w:rsidRPr="00635C4B">
              <w:rPr>
                <w:rStyle w:val="Hipervnculo"/>
                <w:noProof/>
                <w:color w:val="auto"/>
              </w:rPr>
              <w:t>ANTECEDENTES</w:t>
            </w:r>
            <w:r w:rsidR="00C546E2" w:rsidRPr="00635C4B">
              <w:rPr>
                <w:noProof/>
                <w:webHidden/>
              </w:rPr>
              <w:tab/>
            </w:r>
            <w:r w:rsidR="00C546E2" w:rsidRPr="00635C4B">
              <w:rPr>
                <w:noProof/>
                <w:webHidden/>
              </w:rPr>
              <w:fldChar w:fldCharType="begin"/>
            </w:r>
            <w:r w:rsidR="00C546E2" w:rsidRPr="00635C4B">
              <w:rPr>
                <w:noProof/>
                <w:webHidden/>
              </w:rPr>
              <w:instrText xml:space="preserve"> PAGEREF _Toc185499667 \h </w:instrText>
            </w:r>
            <w:r w:rsidR="00C546E2" w:rsidRPr="00635C4B">
              <w:rPr>
                <w:noProof/>
                <w:webHidden/>
              </w:rPr>
            </w:r>
            <w:r w:rsidR="00C546E2" w:rsidRPr="00635C4B">
              <w:rPr>
                <w:noProof/>
                <w:webHidden/>
              </w:rPr>
              <w:fldChar w:fldCharType="separate"/>
            </w:r>
            <w:r w:rsidR="0019308C">
              <w:rPr>
                <w:noProof/>
                <w:webHidden/>
              </w:rPr>
              <w:t>1</w:t>
            </w:r>
            <w:r w:rsidR="00C546E2" w:rsidRPr="00635C4B">
              <w:rPr>
                <w:noProof/>
                <w:webHidden/>
              </w:rPr>
              <w:fldChar w:fldCharType="end"/>
            </w:r>
          </w:hyperlink>
        </w:p>
        <w:p w14:paraId="44F0CD27" w14:textId="77777777" w:rsidR="00C546E2" w:rsidRPr="00635C4B" w:rsidRDefault="00D14107" w:rsidP="00635C4B">
          <w:pPr>
            <w:pStyle w:val="TDC2"/>
            <w:rPr>
              <w:rFonts w:asciiTheme="minorHAnsi" w:eastAsiaTheme="minorEastAsia" w:hAnsiTheme="minorHAnsi" w:cstheme="minorBidi"/>
              <w:noProof/>
              <w:szCs w:val="22"/>
              <w:lang w:eastAsia="es-MX"/>
            </w:rPr>
          </w:pPr>
          <w:hyperlink w:anchor="_Toc185499668" w:history="1">
            <w:r w:rsidR="00C546E2" w:rsidRPr="00635C4B">
              <w:rPr>
                <w:rStyle w:val="Hipervnculo"/>
                <w:noProof/>
                <w:color w:val="auto"/>
              </w:rPr>
              <w:t>DE LA SOLICITUD DE INFORMACIÓN</w:t>
            </w:r>
            <w:r w:rsidR="00C546E2" w:rsidRPr="00635C4B">
              <w:rPr>
                <w:noProof/>
                <w:webHidden/>
              </w:rPr>
              <w:tab/>
            </w:r>
            <w:r w:rsidR="00C546E2" w:rsidRPr="00635C4B">
              <w:rPr>
                <w:noProof/>
                <w:webHidden/>
              </w:rPr>
              <w:fldChar w:fldCharType="begin"/>
            </w:r>
            <w:r w:rsidR="00C546E2" w:rsidRPr="00635C4B">
              <w:rPr>
                <w:noProof/>
                <w:webHidden/>
              </w:rPr>
              <w:instrText xml:space="preserve"> PAGEREF _Toc185499668 \h </w:instrText>
            </w:r>
            <w:r w:rsidR="00C546E2" w:rsidRPr="00635C4B">
              <w:rPr>
                <w:noProof/>
                <w:webHidden/>
              </w:rPr>
            </w:r>
            <w:r w:rsidR="00C546E2" w:rsidRPr="00635C4B">
              <w:rPr>
                <w:noProof/>
                <w:webHidden/>
              </w:rPr>
              <w:fldChar w:fldCharType="separate"/>
            </w:r>
            <w:r w:rsidR="0019308C">
              <w:rPr>
                <w:noProof/>
                <w:webHidden/>
              </w:rPr>
              <w:t>1</w:t>
            </w:r>
            <w:r w:rsidR="00C546E2" w:rsidRPr="00635C4B">
              <w:rPr>
                <w:noProof/>
                <w:webHidden/>
              </w:rPr>
              <w:fldChar w:fldCharType="end"/>
            </w:r>
          </w:hyperlink>
        </w:p>
        <w:p w14:paraId="64FB3100" w14:textId="77777777" w:rsidR="00C546E2" w:rsidRPr="00635C4B" w:rsidRDefault="00D14107" w:rsidP="00635C4B">
          <w:pPr>
            <w:pStyle w:val="TDC3"/>
            <w:rPr>
              <w:rFonts w:asciiTheme="minorHAnsi" w:eastAsiaTheme="minorEastAsia" w:hAnsiTheme="minorHAnsi" w:cstheme="minorBidi"/>
              <w:noProof/>
              <w:szCs w:val="22"/>
              <w:lang w:eastAsia="es-MX"/>
            </w:rPr>
          </w:pPr>
          <w:hyperlink w:anchor="_Toc185499669" w:history="1">
            <w:r w:rsidR="00C546E2" w:rsidRPr="00635C4B">
              <w:rPr>
                <w:rStyle w:val="Hipervnculo"/>
                <w:noProof/>
                <w:color w:val="auto"/>
              </w:rPr>
              <w:t>a) Solicitud de información</w:t>
            </w:r>
            <w:r w:rsidR="00C546E2" w:rsidRPr="00635C4B">
              <w:rPr>
                <w:noProof/>
                <w:webHidden/>
              </w:rPr>
              <w:tab/>
            </w:r>
            <w:r w:rsidR="00C546E2" w:rsidRPr="00635C4B">
              <w:rPr>
                <w:noProof/>
                <w:webHidden/>
              </w:rPr>
              <w:fldChar w:fldCharType="begin"/>
            </w:r>
            <w:r w:rsidR="00C546E2" w:rsidRPr="00635C4B">
              <w:rPr>
                <w:noProof/>
                <w:webHidden/>
              </w:rPr>
              <w:instrText xml:space="preserve"> PAGEREF _Toc185499669 \h </w:instrText>
            </w:r>
            <w:r w:rsidR="00C546E2" w:rsidRPr="00635C4B">
              <w:rPr>
                <w:noProof/>
                <w:webHidden/>
              </w:rPr>
            </w:r>
            <w:r w:rsidR="00C546E2" w:rsidRPr="00635C4B">
              <w:rPr>
                <w:noProof/>
                <w:webHidden/>
              </w:rPr>
              <w:fldChar w:fldCharType="separate"/>
            </w:r>
            <w:r w:rsidR="0019308C">
              <w:rPr>
                <w:noProof/>
                <w:webHidden/>
              </w:rPr>
              <w:t>1</w:t>
            </w:r>
            <w:r w:rsidR="00C546E2" w:rsidRPr="00635C4B">
              <w:rPr>
                <w:noProof/>
                <w:webHidden/>
              </w:rPr>
              <w:fldChar w:fldCharType="end"/>
            </w:r>
          </w:hyperlink>
        </w:p>
        <w:p w14:paraId="1393B30E" w14:textId="77777777" w:rsidR="00C546E2" w:rsidRPr="00635C4B" w:rsidRDefault="00D14107" w:rsidP="00635C4B">
          <w:pPr>
            <w:pStyle w:val="TDC3"/>
            <w:rPr>
              <w:rFonts w:asciiTheme="minorHAnsi" w:eastAsiaTheme="minorEastAsia" w:hAnsiTheme="minorHAnsi" w:cstheme="minorBidi"/>
              <w:noProof/>
              <w:szCs w:val="22"/>
              <w:lang w:eastAsia="es-MX"/>
            </w:rPr>
          </w:pPr>
          <w:hyperlink w:anchor="_Toc185499670" w:history="1">
            <w:r w:rsidR="00C546E2" w:rsidRPr="00635C4B">
              <w:rPr>
                <w:rStyle w:val="Hipervnculo"/>
                <w:noProof/>
                <w:color w:val="auto"/>
              </w:rPr>
              <w:t>b) Turno de la solicitud de información</w:t>
            </w:r>
            <w:r w:rsidR="00C546E2" w:rsidRPr="00635C4B">
              <w:rPr>
                <w:noProof/>
                <w:webHidden/>
              </w:rPr>
              <w:tab/>
            </w:r>
            <w:r w:rsidR="00C546E2" w:rsidRPr="00635C4B">
              <w:rPr>
                <w:noProof/>
                <w:webHidden/>
              </w:rPr>
              <w:fldChar w:fldCharType="begin"/>
            </w:r>
            <w:r w:rsidR="00C546E2" w:rsidRPr="00635C4B">
              <w:rPr>
                <w:noProof/>
                <w:webHidden/>
              </w:rPr>
              <w:instrText xml:space="preserve"> PAGEREF _Toc185499670 \h </w:instrText>
            </w:r>
            <w:r w:rsidR="00C546E2" w:rsidRPr="00635C4B">
              <w:rPr>
                <w:noProof/>
                <w:webHidden/>
              </w:rPr>
            </w:r>
            <w:r w:rsidR="00C546E2" w:rsidRPr="00635C4B">
              <w:rPr>
                <w:noProof/>
                <w:webHidden/>
              </w:rPr>
              <w:fldChar w:fldCharType="separate"/>
            </w:r>
            <w:r w:rsidR="0019308C">
              <w:rPr>
                <w:noProof/>
                <w:webHidden/>
              </w:rPr>
              <w:t>2</w:t>
            </w:r>
            <w:r w:rsidR="00C546E2" w:rsidRPr="00635C4B">
              <w:rPr>
                <w:noProof/>
                <w:webHidden/>
              </w:rPr>
              <w:fldChar w:fldCharType="end"/>
            </w:r>
          </w:hyperlink>
        </w:p>
        <w:p w14:paraId="2448E2B3" w14:textId="77777777" w:rsidR="00C546E2" w:rsidRPr="00635C4B" w:rsidRDefault="00D14107" w:rsidP="00635C4B">
          <w:pPr>
            <w:pStyle w:val="TDC3"/>
            <w:rPr>
              <w:rFonts w:asciiTheme="minorHAnsi" w:eastAsiaTheme="minorEastAsia" w:hAnsiTheme="minorHAnsi" w:cstheme="minorBidi"/>
              <w:noProof/>
              <w:szCs w:val="22"/>
              <w:lang w:eastAsia="es-MX"/>
            </w:rPr>
          </w:pPr>
          <w:hyperlink w:anchor="_Toc185499671" w:history="1">
            <w:r w:rsidR="00C546E2" w:rsidRPr="00635C4B">
              <w:rPr>
                <w:rStyle w:val="Hipervnculo"/>
                <w:noProof/>
                <w:color w:val="auto"/>
              </w:rPr>
              <w:t>c) Prórroga</w:t>
            </w:r>
            <w:r w:rsidR="00C546E2" w:rsidRPr="00635C4B">
              <w:rPr>
                <w:noProof/>
                <w:webHidden/>
              </w:rPr>
              <w:tab/>
            </w:r>
            <w:r w:rsidR="00C546E2" w:rsidRPr="00635C4B">
              <w:rPr>
                <w:noProof/>
                <w:webHidden/>
              </w:rPr>
              <w:fldChar w:fldCharType="begin"/>
            </w:r>
            <w:r w:rsidR="00C546E2" w:rsidRPr="00635C4B">
              <w:rPr>
                <w:noProof/>
                <w:webHidden/>
              </w:rPr>
              <w:instrText xml:space="preserve"> PAGEREF _Toc185499671 \h </w:instrText>
            </w:r>
            <w:r w:rsidR="00C546E2" w:rsidRPr="00635C4B">
              <w:rPr>
                <w:noProof/>
                <w:webHidden/>
              </w:rPr>
            </w:r>
            <w:r w:rsidR="00C546E2" w:rsidRPr="00635C4B">
              <w:rPr>
                <w:noProof/>
                <w:webHidden/>
              </w:rPr>
              <w:fldChar w:fldCharType="separate"/>
            </w:r>
            <w:r w:rsidR="0019308C">
              <w:rPr>
                <w:noProof/>
                <w:webHidden/>
              </w:rPr>
              <w:t>2</w:t>
            </w:r>
            <w:r w:rsidR="00C546E2" w:rsidRPr="00635C4B">
              <w:rPr>
                <w:noProof/>
                <w:webHidden/>
              </w:rPr>
              <w:fldChar w:fldCharType="end"/>
            </w:r>
          </w:hyperlink>
        </w:p>
        <w:p w14:paraId="1B2DB2DD" w14:textId="77777777" w:rsidR="00C546E2" w:rsidRPr="00635C4B" w:rsidRDefault="00D14107" w:rsidP="00635C4B">
          <w:pPr>
            <w:pStyle w:val="TDC3"/>
            <w:rPr>
              <w:rFonts w:asciiTheme="minorHAnsi" w:eastAsiaTheme="minorEastAsia" w:hAnsiTheme="minorHAnsi" w:cstheme="minorBidi"/>
              <w:noProof/>
              <w:szCs w:val="22"/>
              <w:lang w:eastAsia="es-MX"/>
            </w:rPr>
          </w:pPr>
          <w:hyperlink w:anchor="_Toc185499672" w:history="1">
            <w:r w:rsidR="00C546E2" w:rsidRPr="00635C4B">
              <w:rPr>
                <w:rStyle w:val="Hipervnculo"/>
                <w:noProof/>
                <w:color w:val="auto"/>
                <w:lang w:val="es-ES"/>
              </w:rPr>
              <w:t xml:space="preserve">d) Respuesta </w:t>
            </w:r>
            <w:r w:rsidR="00C546E2" w:rsidRPr="00635C4B">
              <w:rPr>
                <w:rStyle w:val="Hipervnculo"/>
                <w:rFonts w:eastAsia="Calibri"/>
                <w:noProof/>
                <w:color w:val="auto"/>
                <w:lang w:eastAsia="en-US"/>
              </w:rPr>
              <w:t>del Sujeto Obligado</w:t>
            </w:r>
            <w:r w:rsidR="00C546E2" w:rsidRPr="00635C4B">
              <w:rPr>
                <w:noProof/>
                <w:webHidden/>
              </w:rPr>
              <w:tab/>
            </w:r>
            <w:r w:rsidR="00C546E2" w:rsidRPr="00635C4B">
              <w:rPr>
                <w:noProof/>
                <w:webHidden/>
              </w:rPr>
              <w:fldChar w:fldCharType="begin"/>
            </w:r>
            <w:r w:rsidR="00C546E2" w:rsidRPr="00635C4B">
              <w:rPr>
                <w:noProof/>
                <w:webHidden/>
              </w:rPr>
              <w:instrText xml:space="preserve"> PAGEREF _Toc185499672 \h </w:instrText>
            </w:r>
            <w:r w:rsidR="00C546E2" w:rsidRPr="00635C4B">
              <w:rPr>
                <w:noProof/>
                <w:webHidden/>
              </w:rPr>
            </w:r>
            <w:r w:rsidR="00C546E2" w:rsidRPr="00635C4B">
              <w:rPr>
                <w:noProof/>
                <w:webHidden/>
              </w:rPr>
              <w:fldChar w:fldCharType="separate"/>
            </w:r>
            <w:r w:rsidR="0019308C">
              <w:rPr>
                <w:noProof/>
                <w:webHidden/>
              </w:rPr>
              <w:t>3</w:t>
            </w:r>
            <w:r w:rsidR="00C546E2" w:rsidRPr="00635C4B">
              <w:rPr>
                <w:noProof/>
                <w:webHidden/>
              </w:rPr>
              <w:fldChar w:fldCharType="end"/>
            </w:r>
          </w:hyperlink>
        </w:p>
        <w:p w14:paraId="433386DA" w14:textId="77777777" w:rsidR="00C546E2" w:rsidRPr="00635C4B" w:rsidRDefault="00D14107" w:rsidP="00635C4B">
          <w:pPr>
            <w:pStyle w:val="TDC2"/>
            <w:rPr>
              <w:rFonts w:asciiTheme="minorHAnsi" w:eastAsiaTheme="minorEastAsia" w:hAnsiTheme="minorHAnsi" w:cstheme="minorBidi"/>
              <w:noProof/>
              <w:szCs w:val="22"/>
              <w:lang w:eastAsia="es-MX"/>
            </w:rPr>
          </w:pPr>
          <w:hyperlink w:anchor="_Toc185499673" w:history="1">
            <w:r w:rsidR="00C546E2" w:rsidRPr="00635C4B">
              <w:rPr>
                <w:rStyle w:val="Hipervnculo"/>
                <w:noProof/>
                <w:color w:val="auto"/>
              </w:rPr>
              <w:t>DEL RECURSO DE REVISIÓN</w:t>
            </w:r>
            <w:r w:rsidR="00C546E2" w:rsidRPr="00635C4B">
              <w:rPr>
                <w:noProof/>
                <w:webHidden/>
              </w:rPr>
              <w:tab/>
            </w:r>
            <w:r w:rsidR="00C546E2" w:rsidRPr="00635C4B">
              <w:rPr>
                <w:noProof/>
                <w:webHidden/>
              </w:rPr>
              <w:fldChar w:fldCharType="begin"/>
            </w:r>
            <w:r w:rsidR="00C546E2" w:rsidRPr="00635C4B">
              <w:rPr>
                <w:noProof/>
                <w:webHidden/>
              </w:rPr>
              <w:instrText xml:space="preserve"> PAGEREF _Toc185499673 \h </w:instrText>
            </w:r>
            <w:r w:rsidR="00C546E2" w:rsidRPr="00635C4B">
              <w:rPr>
                <w:noProof/>
                <w:webHidden/>
              </w:rPr>
            </w:r>
            <w:r w:rsidR="00C546E2" w:rsidRPr="00635C4B">
              <w:rPr>
                <w:noProof/>
                <w:webHidden/>
              </w:rPr>
              <w:fldChar w:fldCharType="separate"/>
            </w:r>
            <w:r w:rsidR="0019308C">
              <w:rPr>
                <w:noProof/>
                <w:webHidden/>
              </w:rPr>
              <w:t>6</w:t>
            </w:r>
            <w:r w:rsidR="00C546E2" w:rsidRPr="00635C4B">
              <w:rPr>
                <w:noProof/>
                <w:webHidden/>
              </w:rPr>
              <w:fldChar w:fldCharType="end"/>
            </w:r>
          </w:hyperlink>
        </w:p>
        <w:p w14:paraId="2AC92660" w14:textId="77777777" w:rsidR="00C546E2" w:rsidRPr="00635C4B" w:rsidRDefault="00D14107" w:rsidP="00635C4B">
          <w:pPr>
            <w:pStyle w:val="TDC3"/>
            <w:rPr>
              <w:rFonts w:asciiTheme="minorHAnsi" w:eastAsiaTheme="minorEastAsia" w:hAnsiTheme="minorHAnsi" w:cstheme="minorBidi"/>
              <w:noProof/>
              <w:szCs w:val="22"/>
              <w:lang w:eastAsia="es-MX"/>
            </w:rPr>
          </w:pPr>
          <w:hyperlink w:anchor="_Toc185499674" w:history="1">
            <w:r w:rsidR="00C546E2" w:rsidRPr="00635C4B">
              <w:rPr>
                <w:rStyle w:val="Hipervnculo"/>
                <w:noProof/>
                <w:color w:val="auto"/>
              </w:rPr>
              <w:t>a) Interposición del Recurso de Revisión</w:t>
            </w:r>
            <w:r w:rsidR="00C546E2" w:rsidRPr="00635C4B">
              <w:rPr>
                <w:noProof/>
                <w:webHidden/>
              </w:rPr>
              <w:tab/>
            </w:r>
            <w:r w:rsidR="00C546E2" w:rsidRPr="00635C4B">
              <w:rPr>
                <w:noProof/>
                <w:webHidden/>
              </w:rPr>
              <w:fldChar w:fldCharType="begin"/>
            </w:r>
            <w:r w:rsidR="00C546E2" w:rsidRPr="00635C4B">
              <w:rPr>
                <w:noProof/>
                <w:webHidden/>
              </w:rPr>
              <w:instrText xml:space="preserve"> PAGEREF _Toc185499674 \h </w:instrText>
            </w:r>
            <w:r w:rsidR="00C546E2" w:rsidRPr="00635C4B">
              <w:rPr>
                <w:noProof/>
                <w:webHidden/>
              </w:rPr>
            </w:r>
            <w:r w:rsidR="00C546E2" w:rsidRPr="00635C4B">
              <w:rPr>
                <w:noProof/>
                <w:webHidden/>
              </w:rPr>
              <w:fldChar w:fldCharType="separate"/>
            </w:r>
            <w:r w:rsidR="0019308C">
              <w:rPr>
                <w:noProof/>
                <w:webHidden/>
              </w:rPr>
              <w:t>6</w:t>
            </w:r>
            <w:r w:rsidR="00C546E2" w:rsidRPr="00635C4B">
              <w:rPr>
                <w:noProof/>
                <w:webHidden/>
              </w:rPr>
              <w:fldChar w:fldCharType="end"/>
            </w:r>
          </w:hyperlink>
        </w:p>
        <w:p w14:paraId="01D1E7CD" w14:textId="77777777" w:rsidR="00C546E2" w:rsidRPr="00635C4B" w:rsidRDefault="00D14107" w:rsidP="00635C4B">
          <w:pPr>
            <w:pStyle w:val="TDC3"/>
            <w:rPr>
              <w:rFonts w:asciiTheme="minorHAnsi" w:eastAsiaTheme="minorEastAsia" w:hAnsiTheme="minorHAnsi" w:cstheme="minorBidi"/>
              <w:noProof/>
              <w:szCs w:val="22"/>
              <w:lang w:eastAsia="es-MX"/>
            </w:rPr>
          </w:pPr>
          <w:hyperlink w:anchor="_Toc185499675" w:history="1">
            <w:r w:rsidR="00C546E2" w:rsidRPr="00635C4B">
              <w:rPr>
                <w:rStyle w:val="Hipervnculo"/>
                <w:noProof/>
                <w:color w:val="auto"/>
              </w:rPr>
              <w:t>b) Turno del Recurso de Revisión</w:t>
            </w:r>
            <w:r w:rsidR="00C546E2" w:rsidRPr="00635C4B">
              <w:rPr>
                <w:noProof/>
                <w:webHidden/>
              </w:rPr>
              <w:tab/>
            </w:r>
            <w:r w:rsidR="00C546E2" w:rsidRPr="00635C4B">
              <w:rPr>
                <w:noProof/>
                <w:webHidden/>
              </w:rPr>
              <w:fldChar w:fldCharType="begin"/>
            </w:r>
            <w:r w:rsidR="00C546E2" w:rsidRPr="00635C4B">
              <w:rPr>
                <w:noProof/>
                <w:webHidden/>
              </w:rPr>
              <w:instrText xml:space="preserve"> PAGEREF _Toc185499675 \h </w:instrText>
            </w:r>
            <w:r w:rsidR="00C546E2" w:rsidRPr="00635C4B">
              <w:rPr>
                <w:noProof/>
                <w:webHidden/>
              </w:rPr>
            </w:r>
            <w:r w:rsidR="00C546E2" w:rsidRPr="00635C4B">
              <w:rPr>
                <w:noProof/>
                <w:webHidden/>
              </w:rPr>
              <w:fldChar w:fldCharType="separate"/>
            </w:r>
            <w:r w:rsidR="0019308C">
              <w:rPr>
                <w:noProof/>
                <w:webHidden/>
              </w:rPr>
              <w:t>7</w:t>
            </w:r>
            <w:r w:rsidR="00C546E2" w:rsidRPr="00635C4B">
              <w:rPr>
                <w:noProof/>
                <w:webHidden/>
              </w:rPr>
              <w:fldChar w:fldCharType="end"/>
            </w:r>
          </w:hyperlink>
        </w:p>
        <w:p w14:paraId="6CB65C6A" w14:textId="77777777" w:rsidR="00C546E2" w:rsidRPr="00635C4B" w:rsidRDefault="00D14107" w:rsidP="00635C4B">
          <w:pPr>
            <w:pStyle w:val="TDC3"/>
            <w:rPr>
              <w:rFonts w:asciiTheme="minorHAnsi" w:eastAsiaTheme="minorEastAsia" w:hAnsiTheme="minorHAnsi" w:cstheme="minorBidi"/>
              <w:noProof/>
              <w:szCs w:val="22"/>
              <w:lang w:eastAsia="es-MX"/>
            </w:rPr>
          </w:pPr>
          <w:hyperlink w:anchor="_Toc185499676" w:history="1">
            <w:r w:rsidR="00C546E2" w:rsidRPr="00635C4B">
              <w:rPr>
                <w:rStyle w:val="Hipervnculo"/>
                <w:noProof/>
                <w:color w:val="auto"/>
              </w:rPr>
              <w:t>c) Admisión del Recurso de Revisión</w:t>
            </w:r>
            <w:r w:rsidR="00C546E2" w:rsidRPr="00635C4B">
              <w:rPr>
                <w:noProof/>
                <w:webHidden/>
              </w:rPr>
              <w:tab/>
            </w:r>
            <w:r w:rsidR="00C546E2" w:rsidRPr="00635C4B">
              <w:rPr>
                <w:noProof/>
                <w:webHidden/>
              </w:rPr>
              <w:fldChar w:fldCharType="begin"/>
            </w:r>
            <w:r w:rsidR="00C546E2" w:rsidRPr="00635C4B">
              <w:rPr>
                <w:noProof/>
                <w:webHidden/>
              </w:rPr>
              <w:instrText xml:space="preserve"> PAGEREF _Toc185499676 \h </w:instrText>
            </w:r>
            <w:r w:rsidR="00C546E2" w:rsidRPr="00635C4B">
              <w:rPr>
                <w:noProof/>
                <w:webHidden/>
              </w:rPr>
            </w:r>
            <w:r w:rsidR="00C546E2" w:rsidRPr="00635C4B">
              <w:rPr>
                <w:noProof/>
                <w:webHidden/>
              </w:rPr>
              <w:fldChar w:fldCharType="separate"/>
            </w:r>
            <w:r w:rsidR="0019308C">
              <w:rPr>
                <w:noProof/>
                <w:webHidden/>
              </w:rPr>
              <w:t>7</w:t>
            </w:r>
            <w:r w:rsidR="00C546E2" w:rsidRPr="00635C4B">
              <w:rPr>
                <w:noProof/>
                <w:webHidden/>
              </w:rPr>
              <w:fldChar w:fldCharType="end"/>
            </w:r>
          </w:hyperlink>
        </w:p>
        <w:p w14:paraId="2B045083" w14:textId="77777777" w:rsidR="00C546E2" w:rsidRPr="00635C4B" w:rsidRDefault="00D14107" w:rsidP="00635C4B">
          <w:pPr>
            <w:pStyle w:val="TDC3"/>
            <w:rPr>
              <w:rFonts w:asciiTheme="minorHAnsi" w:eastAsiaTheme="minorEastAsia" w:hAnsiTheme="minorHAnsi" w:cstheme="minorBidi"/>
              <w:noProof/>
              <w:szCs w:val="22"/>
              <w:lang w:eastAsia="es-MX"/>
            </w:rPr>
          </w:pPr>
          <w:hyperlink w:anchor="_Toc185499677" w:history="1">
            <w:r w:rsidR="00C546E2" w:rsidRPr="00635C4B">
              <w:rPr>
                <w:rStyle w:val="Hipervnculo"/>
                <w:noProof/>
                <w:color w:val="auto"/>
              </w:rPr>
              <w:t>d) Informe Justificado del Sujeto Obligado</w:t>
            </w:r>
            <w:r w:rsidR="00C546E2" w:rsidRPr="00635C4B">
              <w:rPr>
                <w:noProof/>
                <w:webHidden/>
              </w:rPr>
              <w:tab/>
            </w:r>
            <w:r w:rsidR="00C546E2" w:rsidRPr="00635C4B">
              <w:rPr>
                <w:noProof/>
                <w:webHidden/>
              </w:rPr>
              <w:fldChar w:fldCharType="begin"/>
            </w:r>
            <w:r w:rsidR="00C546E2" w:rsidRPr="00635C4B">
              <w:rPr>
                <w:noProof/>
                <w:webHidden/>
              </w:rPr>
              <w:instrText xml:space="preserve"> PAGEREF _Toc185499677 \h </w:instrText>
            </w:r>
            <w:r w:rsidR="00C546E2" w:rsidRPr="00635C4B">
              <w:rPr>
                <w:noProof/>
                <w:webHidden/>
              </w:rPr>
            </w:r>
            <w:r w:rsidR="00C546E2" w:rsidRPr="00635C4B">
              <w:rPr>
                <w:noProof/>
                <w:webHidden/>
              </w:rPr>
              <w:fldChar w:fldCharType="separate"/>
            </w:r>
            <w:r w:rsidR="0019308C">
              <w:rPr>
                <w:noProof/>
                <w:webHidden/>
              </w:rPr>
              <w:t>7</w:t>
            </w:r>
            <w:r w:rsidR="00C546E2" w:rsidRPr="00635C4B">
              <w:rPr>
                <w:noProof/>
                <w:webHidden/>
              </w:rPr>
              <w:fldChar w:fldCharType="end"/>
            </w:r>
          </w:hyperlink>
        </w:p>
        <w:p w14:paraId="5F9181B0" w14:textId="77777777" w:rsidR="00C546E2" w:rsidRPr="00635C4B" w:rsidRDefault="00D14107" w:rsidP="00635C4B">
          <w:pPr>
            <w:pStyle w:val="TDC3"/>
            <w:rPr>
              <w:rFonts w:asciiTheme="minorHAnsi" w:eastAsiaTheme="minorEastAsia" w:hAnsiTheme="minorHAnsi" w:cstheme="minorBidi"/>
              <w:noProof/>
              <w:szCs w:val="22"/>
              <w:lang w:eastAsia="es-MX"/>
            </w:rPr>
          </w:pPr>
          <w:hyperlink w:anchor="_Toc185499678" w:history="1">
            <w:r w:rsidR="00C546E2" w:rsidRPr="00635C4B">
              <w:rPr>
                <w:rStyle w:val="Hipervnculo"/>
                <w:rFonts w:eastAsia="Calibri"/>
                <w:bCs/>
                <w:noProof/>
                <w:color w:val="auto"/>
                <w:lang w:eastAsia="en-US"/>
              </w:rPr>
              <w:t>e)</w:t>
            </w:r>
            <w:r w:rsidR="00C546E2" w:rsidRPr="00635C4B">
              <w:rPr>
                <w:rStyle w:val="Hipervnculo"/>
                <w:noProof/>
                <w:color w:val="auto"/>
              </w:rPr>
              <w:t xml:space="preserve"> </w:t>
            </w:r>
            <w:r w:rsidR="00C546E2" w:rsidRPr="00635C4B">
              <w:rPr>
                <w:rStyle w:val="Hipervnculo"/>
                <w:noProof/>
                <w:color w:val="auto"/>
                <w:lang w:val="es-ES"/>
              </w:rPr>
              <w:t>Manifestaciones de la Parte Recurrente</w:t>
            </w:r>
            <w:r w:rsidR="00C546E2" w:rsidRPr="00635C4B">
              <w:rPr>
                <w:noProof/>
                <w:webHidden/>
              </w:rPr>
              <w:tab/>
            </w:r>
            <w:r w:rsidR="00C546E2" w:rsidRPr="00635C4B">
              <w:rPr>
                <w:noProof/>
                <w:webHidden/>
              </w:rPr>
              <w:fldChar w:fldCharType="begin"/>
            </w:r>
            <w:r w:rsidR="00C546E2" w:rsidRPr="00635C4B">
              <w:rPr>
                <w:noProof/>
                <w:webHidden/>
              </w:rPr>
              <w:instrText xml:space="preserve"> PAGEREF _Toc185499678 \h </w:instrText>
            </w:r>
            <w:r w:rsidR="00C546E2" w:rsidRPr="00635C4B">
              <w:rPr>
                <w:noProof/>
                <w:webHidden/>
              </w:rPr>
            </w:r>
            <w:r w:rsidR="00C546E2" w:rsidRPr="00635C4B">
              <w:rPr>
                <w:noProof/>
                <w:webHidden/>
              </w:rPr>
              <w:fldChar w:fldCharType="separate"/>
            </w:r>
            <w:r w:rsidR="0019308C">
              <w:rPr>
                <w:noProof/>
                <w:webHidden/>
              </w:rPr>
              <w:t>8</w:t>
            </w:r>
            <w:r w:rsidR="00C546E2" w:rsidRPr="00635C4B">
              <w:rPr>
                <w:noProof/>
                <w:webHidden/>
              </w:rPr>
              <w:fldChar w:fldCharType="end"/>
            </w:r>
          </w:hyperlink>
        </w:p>
        <w:p w14:paraId="6C291D71" w14:textId="77777777" w:rsidR="00C546E2" w:rsidRPr="00635C4B" w:rsidRDefault="00D14107" w:rsidP="00635C4B">
          <w:pPr>
            <w:pStyle w:val="TDC3"/>
            <w:rPr>
              <w:rFonts w:asciiTheme="minorHAnsi" w:eastAsiaTheme="minorEastAsia" w:hAnsiTheme="minorHAnsi" w:cstheme="minorBidi"/>
              <w:noProof/>
              <w:szCs w:val="22"/>
              <w:lang w:eastAsia="es-MX"/>
            </w:rPr>
          </w:pPr>
          <w:hyperlink w:anchor="_Toc185499679" w:history="1">
            <w:r w:rsidR="00C546E2" w:rsidRPr="00635C4B">
              <w:rPr>
                <w:rStyle w:val="Hipervnculo"/>
                <w:noProof/>
                <w:color w:val="auto"/>
              </w:rPr>
              <w:t>f) Cierre de instrucción</w:t>
            </w:r>
            <w:r w:rsidR="00C546E2" w:rsidRPr="00635C4B">
              <w:rPr>
                <w:noProof/>
                <w:webHidden/>
              </w:rPr>
              <w:tab/>
            </w:r>
            <w:r w:rsidR="00C546E2" w:rsidRPr="00635C4B">
              <w:rPr>
                <w:noProof/>
                <w:webHidden/>
              </w:rPr>
              <w:fldChar w:fldCharType="begin"/>
            </w:r>
            <w:r w:rsidR="00C546E2" w:rsidRPr="00635C4B">
              <w:rPr>
                <w:noProof/>
                <w:webHidden/>
              </w:rPr>
              <w:instrText xml:space="preserve"> PAGEREF _Toc185499679 \h </w:instrText>
            </w:r>
            <w:r w:rsidR="00C546E2" w:rsidRPr="00635C4B">
              <w:rPr>
                <w:noProof/>
                <w:webHidden/>
              </w:rPr>
            </w:r>
            <w:r w:rsidR="00C546E2" w:rsidRPr="00635C4B">
              <w:rPr>
                <w:noProof/>
                <w:webHidden/>
              </w:rPr>
              <w:fldChar w:fldCharType="separate"/>
            </w:r>
            <w:r w:rsidR="0019308C">
              <w:rPr>
                <w:noProof/>
                <w:webHidden/>
              </w:rPr>
              <w:t>8</w:t>
            </w:r>
            <w:r w:rsidR="00C546E2" w:rsidRPr="00635C4B">
              <w:rPr>
                <w:noProof/>
                <w:webHidden/>
              </w:rPr>
              <w:fldChar w:fldCharType="end"/>
            </w:r>
          </w:hyperlink>
        </w:p>
        <w:p w14:paraId="005B7676" w14:textId="77777777" w:rsidR="00C546E2" w:rsidRPr="00635C4B" w:rsidRDefault="00D14107" w:rsidP="00635C4B">
          <w:pPr>
            <w:pStyle w:val="TDC1"/>
            <w:tabs>
              <w:tab w:val="right" w:leader="dot" w:pos="9034"/>
            </w:tabs>
            <w:rPr>
              <w:rFonts w:asciiTheme="minorHAnsi" w:eastAsiaTheme="minorEastAsia" w:hAnsiTheme="minorHAnsi" w:cstheme="minorBidi"/>
              <w:noProof/>
              <w:szCs w:val="22"/>
              <w:lang w:eastAsia="es-MX"/>
            </w:rPr>
          </w:pPr>
          <w:hyperlink w:anchor="_Toc185499680" w:history="1">
            <w:r w:rsidR="00C546E2" w:rsidRPr="00635C4B">
              <w:rPr>
                <w:rStyle w:val="Hipervnculo"/>
                <w:rFonts w:eastAsiaTheme="minorHAnsi"/>
                <w:noProof/>
                <w:color w:val="auto"/>
                <w:lang w:eastAsia="en-US"/>
              </w:rPr>
              <w:t>CONSIDERANDOS</w:t>
            </w:r>
            <w:r w:rsidR="00C546E2" w:rsidRPr="00635C4B">
              <w:rPr>
                <w:noProof/>
                <w:webHidden/>
              </w:rPr>
              <w:tab/>
            </w:r>
            <w:r w:rsidR="00C546E2" w:rsidRPr="00635C4B">
              <w:rPr>
                <w:noProof/>
                <w:webHidden/>
              </w:rPr>
              <w:fldChar w:fldCharType="begin"/>
            </w:r>
            <w:r w:rsidR="00C546E2" w:rsidRPr="00635C4B">
              <w:rPr>
                <w:noProof/>
                <w:webHidden/>
              </w:rPr>
              <w:instrText xml:space="preserve"> PAGEREF _Toc185499680 \h </w:instrText>
            </w:r>
            <w:r w:rsidR="00C546E2" w:rsidRPr="00635C4B">
              <w:rPr>
                <w:noProof/>
                <w:webHidden/>
              </w:rPr>
            </w:r>
            <w:r w:rsidR="00C546E2" w:rsidRPr="00635C4B">
              <w:rPr>
                <w:noProof/>
                <w:webHidden/>
              </w:rPr>
              <w:fldChar w:fldCharType="separate"/>
            </w:r>
            <w:r w:rsidR="0019308C">
              <w:rPr>
                <w:noProof/>
                <w:webHidden/>
              </w:rPr>
              <w:t>8</w:t>
            </w:r>
            <w:r w:rsidR="00C546E2" w:rsidRPr="00635C4B">
              <w:rPr>
                <w:noProof/>
                <w:webHidden/>
              </w:rPr>
              <w:fldChar w:fldCharType="end"/>
            </w:r>
          </w:hyperlink>
        </w:p>
        <w:p w14:paraId="4FDC2A77" w14:textId="77777777" w:rsidR="00C546E2" w:rsidRPr="00635C4B" w:rsidRDefault="00D14107" w:rsidP="00635C4B">
          <w:pPr>
            <w:pStyle w:val="TDC2"/>
            <w:rPr>
              <w:rFonts w:asciiTheme="minorHAnsi" w:eastAsiaTheme="minorEastAsia" w:hAnsiTheme="minorHAnsi" w:cstheme="minorBidi"/>
              <w:noProof/>
              <w:szCs w:val="22"/>
              <w:lang w:eastAsia="es-MX"/>
            </w:rPr>
          </w:pPr>
          <w:hyperlink w:anchor="_Toc185499681" w:history="1">
            <w:r w:rsidR="00C546E2" w:rsidRPr="00635C4B">
              <w:rPr>
                <w:rStyle w:val="Hipervnculo"/>
                <w:rFonts w:eastAsia="Batang"/>
                <w:noProof/>
                <w:color w:val="auto"/>
              </w:rPr>
              <w:t>PRIMERO. Procedibilidad</w:t>
            </w:r>
            <w:r w:rsidR="00C546E2" w:rsidRPr="00635C4B">
              <w:rPr>
                <w:noProof/>
                <w:webHidden/>
              </w:rPr>
              <w:tab/>
            </w:r>
            <w:r w:rsidR="00C546E2" w:rsidRPr="00635C4B">
              <w:rPr>
                <w:noProof/>
                <w:webHidden/>
              </w:rPr>
              <w:fldChar w:fldCharType="begin"/>
            </w:r>
            <w:r w:rsidR="00C546E2" w:rsidRPr="00635C4B">
              <w:rPr>
                <w:noProof/>
                <w:webHidden/>
              </w:rPr>
              <w:instrText xml:space="preserve"> PAGEREF _Toc185499681 \h </w:instrText>
            </w:r>
            <w:r w:rsidR="00C546E2" w:rsidRPr="00635C4B">
              <w:rPr>
                <w:noProof/>
                <w:webHidden/>
              </w:rPr>
            </w:r>
            <w:r w:rsidR="00C546E2" w:rsidRPr="00635C4B">
              <w:rPr>
                <w:noProof/>
                <w:webHidden/>
              </w:rPr>
              <w:fldChar w:fldCharType="separate"/>
            </w:r>
            <w:r w:rsidR="0019308C">
              <w:rPr>
                <w:noProof/>
                <w:webHidden/>
              </w:rPr>
              <w:t>8</w:t>
            </w:r>
            <w:r w:rsidR="00C546E2" w:rsidRPr="00635C4B">
              <w:rPr>
                <w:noProof/>
                <w:webHidden/>
              </w:rPr>
              <w:fldChar w:fldCharType="end"/>
            </w:r>
          </w:hyperlink>
        </w:p>
        <w:p w14:paraId="4C55E768" w14:textId="77777777" w:rsidR="00C546E2" w:rsidRPr="00635C4B" w:rsidRDefault="00D14107" w:rsidP="00635C4B">
          <w:pPr>
            <w:pStyle w:val="TDC3"/>
            <w:rPr>
              <w:rFonts w:asciiTheme="minorHAnsi" w:eastAsiaTheme="minorEastAsia" w:hAnsiTheme="minorHAnsi" w:cstheme="minorBidi"/>
              <w:noProof/>
              <w:szCs w:val="22"/>
              <w:lang w:eastAsia="es-MX"/>
            </w:rPr>
          </w:pPr>
          <w:hyperlink w:anchor="_Toc185499682" w:history="1">
            <w:r w:rsidR="00C546E2" w:rsidRPr="00635C4B">
              <w:rPr>
                <w:rStyle w:val="Hipervnculo"/>
                <w:noProof/>
                <w:color w:val="auto"/>
              </w:rPr>
              <w:t>a) Competencia del Instituto</w:t>
            </w:r>
            <w:r w:rsidR="00C546E2" w:rsidRPr="00635C4B">
              <w:rPr>
                <w:noProof/>
                <w:webHidden/>
              </w:rPr>
              <w:tab/>
            </w:r>
            <w:r w:rsidR="00C546E2" w:rsidRPr="00635C4B">
              <w:rPr>
                <w:noProof/>
                <w:webHidden/>
              </w:rPr>
              <w:fldChar w:fldCharType="begin"/>
            </w:r>
            <w:r w:rsidR="00C546E2" w:rsidRPr="00635C4B">
              <w:rPr>
                <w:noProof/>
                <w:webHidden/>
              </w:rPr>
              <w:instrText xml:space="preserve"> PAGEREF _Toc185499682 \h </w:instrText>
            </w:r>
            <w:r w:rsidR="00C546E2" w:rsidRPr="00635C4B">
              <w:rPr>
                <w:noProof/>
                <w:webHidden/>
              </w:rPr>
            </w:r>
            <w:r w:rsidR="00C546E2" w:rsidRPr="00635C4B">
              <w:rPr>
                <w:noProof/>
                <w:webHidden/>
              </w:rPr>
              <w:fldChar w:fldCharType="separate"/>
            </w:r>
            <w:r w:rsidR="0019308C">
              <w:rPr>
                <w:noProof/>
                <w:webHidden/>
              </w:rPr>
              <w:t>8</w:t>
            </w:r>
            <w:r w:rsidR="00C546E2" w:rsidRPr="00635C4B">
              <w:rPr>
                <w:noProof/>
                <w:webHidden/>
              </w:rPr>
              <w:fldChar w:fldCharType="end"/>
            </w:r>
          </w:hyperlink>
        </w:p>
        <w:p w14:paraId="169B5048" w14:textId="77777777" w:rsidR="00C546E2" w:rsidRPr="00635C4B" w:rsidRDefault="00D14107" w:rsidP="00635C4B">
          <w:pPr>
            <w:pStyle w:val="TDC3"/>
            <w:rPr>
              <w:rFonts w:asciiTheme="minorHAnsi" w:eastAsiaTheme="minorEastAsia" w:hAnsiTheme="minorHAnsi" w:cstheme="minorBidi"/>
              <w:noProof/>
              <w:szCs w:val="22"/>
              <w:lang w:eastAsia="es-MX"/>
            </w:rPr>
          </w:pPr>
          <w:hyperlink w:anchor="_Toc185499683" w:history="1">
            <w:r w:rsidR="00C546E2" w:rsidRPr="00635C4B">
              <w:rPr>
                <w:rStyle w:val="Hipervnculo"/>
                <w:noProof/>
                <w:color w:val="auto"/>
              </w:rPr>
              <w:t>b) Legitimidad de la parte recurrente</w:t>
            </w:r>
            <w:r w:rsidR="00C546E2" w:rsidRPr="00635C4B">
              <w:rPr>
                <w:noProof/>
                <w:webHidden/>
              </w:rPr>
              <w:tab/>
            </w:r>
            <w:r w:rsidR="00C546E2" w:rsidRPr="00635C4B">
              <w:rPr>
                <w:noProof/>
                <w:webHidden/>
              </w:rPr>
              <w:fldChar w:fldCharType="begin"/>
            </w:r>
            <w:r w:rsidR="00C546E2" w:rsidRPr="00635C4B">
              <w:rPr>
                <w:noProof/>
                <w:webHidden/>
              </w:rPr>
              <w:instrText xml:space="preserve"> PAGEREF _Toc185499683 \h </w:instrText>
            </w:r>
            <w:r w:rsidR="00C546E2" w:rsidRPr="00635C4B">
              <w:rPr>
                <w:noProof/>
                <w:webHidden/>
              </w:rPr>
            </w:r>
            <w:r w:rsidR="00C546E2" w:rsidRPr="00635C4B">
              <w:rPr>
                <w:noProof/>
                <w:webHidden/>
              </w:rPr>
              <w:fldChar w:fldCharType="separate"/>
            </w:r>
            <w:r w:rsidR="0019308C">
              <w:rPr>
                <w:noProof/>
                <w:webHidden/>
              </w:rPr>
              <w:t>9</w:t>
            </w:r>
            <w:r w:rsidR="00C546E2" w:rsidRPr="00635C4B">
              <w:rPr>
                <w:noProof/>
                <w:webHidden/>
              </w:rPr>
              <w:fldChar w:fldCharType="end"/>
            </w:r>
          </w:hyperlink>
        </w:p>
        <w:p w14:paraId="5F63A947" w14:textId="77777777" w:rsidR="00C546E2" w:rsidRPr="00635C4B" w:rsidRDefault="00D14107" w:rsidP="00635C4B">
          <w:pPr>
            <w:pStyle w:val="TDC3"/>
            <w:rPr>
              <w:rFonts w:asciiTheme="minorHAnsi" w:eastAsiaTheme="minorEastAsia" w:hAnsiTheme="minorHAnsi" w:cstheme="minorBidi"/>
              <w:noProof/>
              <w:szCs w:val="22"/>
              <w:lang w:eastAsia="es-MX"/>
            </w:rPr>
          </w:pPr>
          <w:hyperlink w:anchor="_Toc185499684" w:history="1">
            <w:r w:rsidR="00C546E2" w:rsidRPr="00635C4B">
              <w:rPr>
                <w:rStyle w:val="Hipervnculo"/>
                <w:rFonts w:eastAsia="Calibri"/>
                <w:noProof/>
                <w:color w:val="auto"/>
                <w:lang w:eastAsia="es-ES_tradnl"/>
              </w:rPr>
              <w:t>c) Plazo para interponer el recurso</w:t>
            </w:r>
            <w:r w:rsidR="00C546E2" w:rsidRPr="00635C4B">
              <w:rPr>
                <w:noProof/>
                <w:webHidden/>
              </w:rPr>
              <w:tab/>
            </w:r>
            <w:r w:rsidR="00C546E2" w:rsidRPr="00635C4B">
              <w:rPr>
                <w:noProof/>
                <w:webHidden/>
              </w:rPr>
              <w:fldChar w:fldCharType="begin"/>
            </w:r>
            <w:r w:rsidR="00C546E2" w:rsidRPr="00635C4B">
              <w:rPr>
                <w:noProof/>
                <w:webHidden/>
              </w:rPr>
              <w:instrText xml:space="preserve"> PAGEREF _Toc185499684 \h </w:instrText>
            </w:r>
            <w:r w:rsidR="00C546E2" w:rsidRPr="00635C4B">
              <w:rPr>
                <w:noProof/>
                <w:webHidden/>
              </w:rPr>
            </w:r>
            <w:r w:rsidR="00C546E2" w:rsidRPr="00635C4B">
              <w:rPr>
                <w:noProof/>
                <w:webHidden/>
              </w:rPr>
              <w:fldChar w:fldCharType="separate"/>
            </w:r>
            <w:r w:rsidR="0019308C">
              <w:rPr>
                <w:noProof/>
                <w:webHidden/>
              </w:rPr>
              <w:t>9</w:t>
            </w:r>
            <w:r w:rsidR="00C546E2" w:rsidRPr="00635C4B">
              <w:rPr>
                <w:noProof/>
                <w:webHidden/>
              </w:rPr>
              <w:fldChar w:fldCharType="end"/>
            </w:r>
          </w:hyperlink>
        </w:p>
        <w:p w14:paraId="0D6201CE" w14:textId="77777777" w:rsidR="00C546E2" w:rsidRPr="00635C4B" w:rsidRDefault="00D14107" w:rsidP="00635C4B">
          <w:pPr>
            <w:pStyle w:val="TDC3"/>
            <w:rPr>
              <w:rFonts w:asciiTheme="minorHAnsi" w:eastAsiaTheme="minorEastAsia" w:hAnsiTheme="minorHAnsi" w:cstheme="minorBidi"/>
              <w:noProof/>
              <w:szCs w:val="22"/>
              <w:lang w:eastAsia="es-MX"/>
            </w:rPr>
          </w:pPr>
          <w:hyperlink w:anchor="_Toc185499685" w:history="1">
            <w:r w:rsidR="00C546E2" w:rsidRPr="00635C4B">
              <w:rPr>
                <w:rStyle w:val="Hipervnculo"/>
                <w:rFonts w:eastAsia="Calibri"/>
                <w:noProof/>
                <w:color w:val="auto"/>
                <w:lang w:eastAsia="es-ES_tradnl"/>
              </w:rPr>
              <w:t>d) Causal de procedencia</w:t>
            </w:r>
            <w:r w:rsidR="00C546E2" w:rsidRPr="00635C4B">
              <w:rPr>
                <w:noProof/>
                <w:webHidden/>
              </w:rPr>
              <w:tab/>
            </w:r>
            <w:r w:rsidR="00C546E2" w:rsidRPr="00635C4B">
              <w:rPr>
                <w:noProof/>
                <w:webHidden/>
              </w:rPr>
              <w:fldChar w:fldCharType="begin"/>
            </w:r>
            <w:r w:rsidR="00C546E2" w:rsidRPr="00635C4B">
              <w:rPr>
                <w:noProof/>
                <w:webHidden/>
              </w:rPr>
              <w:instrText xml:space="preserve"> PAGEREF _Toc185499685 \h </w:instrText>
            </w:r>
            <w:r w:rsidR="00C546E2" w:rsidRPr="00635C4B">
              <w:rPr>
                <w:noProof/>
                <w:webHidden/>
              </w:rPr>
            </w:r>
            <w:r w:rsidR="00C546E2" w:rsidRPr="00635C4B">
              <w:rPr>
                <w:noProof/>
                <w:webHidden/>
              </w:rPr>
              <w:fldChar w:fldCharType="separate"/>
            </w:r>
            <w:r w:rsidR="0019308C">
              <w:rPr>
                <w:noProof/>
                <w:webHidden/>
              </w:rPr>
              <w:t>10</w:t>
            </w:r>
            <w:r w:rsidR="00C546E2" w:rsidRPr="00635C4B">
              <w:rPr>
                <w:noProof/>
                <w:webHidden/>
              </w:rPr>
              <w:fldChar w:fldCharType="end"/>
            </w:r>
          </w:hyperlink>
        </w:p>
        <w:p w14:paraId="03EBFCBA" w14:textId="77777777" w:rsidR="00C546E2" w:rsidRPr="00635C4B" w:rsidRDefault="00D14107" w:rsidP="00635C4B">
          <w:pPr>
            <w:pStyle w:val="TDC3"/>
            <w:rPr>
              <w:rFonts w:asciiTheme="minorHAnsi" w:eastAsiaTheme="minorEastAsia" w:hAnsiTheme="minorHAnsi" w:cstheme="minorBidi"/>
              <w:noProof/>
              <w:szCs w:val="22"/>
              <w:lang w:eastAsia="es-MX"/>
            </w:rPr>
          </w:pPr>
          <w:hyperlink w:anchor="_Toc185499686" w:history="1">
            <w:r w:rsidR="00C546E2" w:rsidRPr="00635C4B">
              <w:rPr>
                <w:rStyle w:val="Hipervnculo"/>
                <w:noProof/>
                <w:color w:val="auto"/>
              </w:rPr>
              <w:t>e) Requisitos formales para la interposición del recurso</w:t>
            </w:r>
            <w:r w:rsidR="00C546E2" w:rsidRPr="00635C4B">
              <w:rPr>
                <w:noProof/>
                <w:webHidden/>
              </w:rPr>
              <w:tab/>
            </w:r>
            <w:r w:rsidR="00C546E2" w:rsidRPr="00635C4B">
              <w:rPr>
                <w:noProof/>
                <w:webHidden/>
              </w:rPr>
              <w:fldChar w:fldCharType="begin"/>
            </w:r>
            <w:r w:rsidR="00C546E2" w:rsidRPr="00635C4B">
              <w:rPr>
                <w:noProof/>
                <w:webHidden/>
              </w:rPr>
              <w:instrText xml:space="preserve"> PAGEREF _Toc185499686 \h </w:instrText>
            </w:r>
            <w:r w:rsidR="00C546E2" w:rsidRPr="00635C4B">
              <w:rPr>
                <w:noProof/>
                <w:webHidden/>
              </w:rPr>
            </w:r>
            <w:r w:rsidR="00C546E2" w:rsidRPr="00635C4B">
              <w:rPr>
                <w:noProof/>
                <w:webHidden/>
              </w:rPr>
              <w:fldChar w:fldCharType="separate"/>
            </w:r>
            <w:r w:rsidR="0019308C">
              <w:rPr>
                <w:noProof/>
                <w:webHidden/>
              </w:rPr>
              <w:t>10</w:t>
            </w:r>
            <w:r w:rsidR="00C546E2" w:rsidRPr="00635C4B">
              <w:rPr>
                <w:noProof/>
                <w:webHidden/>
              </w:rPr>
              <w:fldChar w:fldCharType="end"/>
            </w:r>
          </w:hyperlink>
        </w:p>
        <w:p w14:paraId="0F4B2A97" w14:textId="77777777" w:rsidR="00C546E2" w:rsidRPr="00635C4B" w:rsidRDefault="00D14107" w:rsidP="00635C4B">
          <w:pPr>
            <w:pStyle w:val="TDC2"/>
            <w:rPr>
              <w:rFonts w:asciiTheme="minorHAnsi" w:eastAsiaTheme="minorEastAsia" w:hAnsiTheme="minorHAnsi" w:cstheme="minorBidi"/>
              <w:noProof/>
              <w:szCs w:val="22"/>
              <w:lang w:eastAsia="es-MX"/>
            </w:rPr>
          </w:pPr>
          <w:hyperlink w:anchor="_Toc185499687" w:history="1">
            <w:r w:rsidR="00C546E2" w:rsidRPr="00635C4B">
              <w:rPr>
                <w:rStyle w:val="Hipervnculo"/>
                <w:noProof/>
                <w:color w:val="auto"/>
              </w:rPr>
              <w:t>SEGUNDO. Estudio de Fondo</w:t>
            </w:r>
            <w:r w:rsidR="00C546E2" w:rsidRPr="00635C4B">
              <w:rPr>
                <w:noProof/>
                <w:webHidden/>
              </w:rPr>
              <w:tab/>
            </w:r>
            <w:r w:rsidR="00C546E2" w:rsidRPr="00635C4B">
              <w:rPr>
                <w:noProof/>
                <w:webHidden/>
              </w:rPr>
              <w:fldChar w:fldCharType="begin"/>
            </w:r>
            <w:r w:rsidR="00C546E2" w:rsidRPr="00635C4B">
              <w:rPr>
                <w:noProof/>
                <w:webHidden/>
              </w:rPr>
              <w:instrText xml:space="preserve"> PAGEREF _Toc185499687 \h </w:instrText>
            </w:r>
            <w:r w:rsidR="00C546E2" w:rsidRPr="00635C4B">
              <w:rPr>
                <w:noProof/>
                <w:webHidden/>
              </w:rPr>
            </w:r>
            <w:r w:rsidR="00C546E2" w:rsidRPr="00635C4B">
              <w:rPr>
                <w:noProof/>
                <w:webHidden/>
              </w:rPr>
              <w:fldChar w:fldCharType="separate"/>
            </w:r>
            <w:r w:rsidR="0019308C">
              <w:rPr>
                <w:noProof/>
                <w:webHidden/>
              </w:rPr>
              <w:t>10</w:t>
            </w:r>
            <w:r w:rsidR="00C546E2" w:rsidRPr="00635C4B">
              <w:rPr>
                <w:noProof/>
                <w:webHidden/>
              </w:rPr>
              <w:fldChar w:fldCharType="end"/>
            </w:r>
          </w:hyperlink>
        </w:p>
        <w:p w14:paraId="51AD8D1D" w14:textId="77777777" w:rsidR="00C546E2" w:rsidRPr="00635C4B" w:rsidRDefault="00D14107" w:rsidP="00635C4B">
          <w:pPr>
            <w:pStyle w:val="TDC3"/>
            <w:rPr>
              <w:rFonts w:asciiTheme="minorHAnsi" w:eastAsiaTheme="minorEastAsia" w:hAnsiTheme="minorHAnsi" w:cstheme="minorBidi"/>
              <w:noProof/>
              <w:szCs w:val="22"/>
              <w:lang w:eastAsia="es-MX"/>
            </w:rPr>
          </w:pPr>
          <w:hyperlink w:anchor="_Toc185499688" w:history="1">
            <w:r w:rsidR="00C546E2" w:rsidRPr="00635C4B">
              <w:rPr>
                <w:rStyle w:val="Hipervnculo"/>
                <w:noProof/>
                <w:color w:val="auto"/>
              </w:rPr>
              <w:t>a) Mandato de transparencia y responsabilidad del Sujeto Obligado</w:t>
            </w:r>
            <w:r w:rsidR="00C546E2" w:rsidRPr="00635C4B">
              <w:rPr>
                <w:noProof/>
                <w:webHidden/>
              </w:rPr>
              <w:tab/>
            </w:r>
            <w:r w:rsidR="00C546E2" w:rsidRPr="00635C4B">
              <w:rPr>
                <w:noProof/>
                <w:webHidden/>
              </w:rPr>
              <w:fldChar w:fldCharType="begin"/>
            </w:r>
            <w:r w:rsidR="00C546E2" w:rsidRPr="00635C4B">
              <w:rPr>
                <w:noProof/>
                <w:webHidden/>
              </w:rPr>
              <w:instrText xml:space="preserve"> PAGEREF _Toc185499688 \h </w:instrText>
            </w:r>
            <w:r w:rsidR="00C546E2" w:rsidRPr="00635C4B">
              <w:rPr>
                <w:noProof/>
                <w:webHidden/>
              </w:rPr>
            </w:r>
            <w:r w:rsidR="00C546E2" w:rsidRPr="00635C4B">
              <w:rPr>
                <w:noProof/>
                <w:webHidden/>
              </w:rPr>
              <w:fldChar w:fldCharType="separate"/>
            </w:r>
            <w:r w:rsidR="0019308C">
              <w:rPr>
                <w:noProof/>
                <w:webHidden/>
              </w:rPr>
              <w:t>10</w:t>
            </w:r>
            <w:r w:rsidR="00C546E2" w:rsidRPr="00635C4B">
              <w:rPr>
                <w:noProof/>
                <w:webHidden/>
              </w:rPr>
              <w:fldChar w:fldCharType="end"/>
            </w:r>
          </w:hyperlink>
        </w:p>
        <w:p w14:paraId="0A0B7C76" w14:textId="77777777" w:rsidR="00C546E2" w:rsidRPr="00635C4B" w:rsidRDefault="00D14107" w:rsidP="00635C4B">
          <w:pPr>
            <w:pStyle w:val="TDC3"/>
            <w:rPr>
              <w:rFonts w:asciiTheme="minorHAnsi" w:eastAsiaTheme="minorEastAsia" w:hAnsiTheme="minorHAnsi" w:cstheme="minorBidi"/>
              <w:noProof/>
              <w:szCs w:val="22"/>
              <w:lang w:eastAsia="es-MX"/>
            </w:rPr>
          </w:pPr>
          <w:hyperlink w:anchor="_Toc185499689" w:history="1">
            <w:r w:rsidR="00C546E2" w:rsidRPr="00635C4B">
              <w:rPr>
                <w:rStyle w:val="Hipervnculo"/>
                <w:rFonts w:eastAsia="Calibri"/>
                <w:noProof/>
                <w:color w:val="auto"/>
                <w:lang w:eastAsia="es-ES_tradnl"/>
              </w:rPr>
              <w:t>b) Controversia a resolver</w:t>
            </w:r>
            <w:r w:rsidR="00C546E2" w:rsidRPr="00635C4B">
              <w:rPr>
                <w:noProof/>
                <w:webHidden/>
              </w:rPr>
              <w:tab/>
            </w:r>
            <w:r w:rsidR="00C546E2" w:rsidRPr="00635C4B">
              <w:rPr>
                <w:noProof/>
                <w:webHidden/>
              </w:rPr>
              <w:fldChar w:fldCharType="begin"/>
            </w:r>
            <w:r w:rsidR="00C546E2" w:rsidRPr="00635C4B">
              <w:rPr>
                <w:noProof/>
                <w:webHidden/>
              </w:rPr>
              <w:instrText xml:space="preserve"> PAGEREF _Toc185499689 \h </w:instrText>
            </w:r>
            <w:r w:rsidR="00C546E2" w:rsidRPr="00635C4B">
              <w:rPr>
                <w:noProof/>
                <w:webHidden/>
              </w:rPr>
            </w:r>
            <w:r w:rsidR="00C546E2" w:rsidRPr="00635C4B">
              <w:rPr>
                <w:noProof/>
                <w:webHidden/>
              </w:rPr>
              <w:fldChar w:fldCharType="separate"/>
            </w:r>
            <w:r w:rsidR="0019308C">
              <w:rPr>
                <w:noProof/>
                <w:webHidden/>
              </w:rPr>
              <w:t>13</w:t>
            </w:r>
            <w:r w:rsidR="00C546E2" w:rsidRPr="00635C4B">
              <w:rPr>
                <w:noProof/>
                <w:webHidden/>
              </w:rPr>
              <w:fldChar w:fldCharType="end"/>
            </w:r>
          </w:hyperlink>
        </w:p>
        <w:p w14:paraId="75B2760F" w14:textId="77777777" w:rsidR="00C546E2" w:rsidRPr="00635C4B" w:rsidRDefault="00D14107" w:rsidP="00635C4B">
          <w:pPr>
            <w:pStyle w:val="TDC3"/>
            <w:rPr>
              <w:rFonts w:asciiTheme="minorHAnsi" w:eastAsiaTheme="minorEastAsia" w:hAnsiTheme="minorHAnsi" w:cstheme="minorBidi"/>
              <w:noProof/>
              <w:szCs w:val="22"/>
              <w:lang w:eastAsia="es-MX"/>
            </w:rPr>
          </w:pPr>
          <w:hyperlink w:anchor="_Toc185499690" w:history="1">
            <w:r w:rsidR="00C546E2" w:rsidRPr="00635C4B">
              <w:rPr>
                <w:rStyle w:val="Hipervnculo"/>
                <w:noProof/>
                <w:color w:val="auto"/>
              </w:rPr>
              <w:t>c) Estudio de la controversia</w:t>
            </w:r>
            <w:r w:rsidR="00C546E2" w:rsidRPr="00635C4B">
              <w:rPr>
                <w:noProof/>
                <w:webHidden/>
              </w:rPr>
              <w:tab/>
            </w:r>
            <w:r w:rsidR="00C546E2" w:rsidRPr="00635C4B">
              <w:rPr>
                <w:noProof/>
                <w:webHidden/>
              </w:rPr>
              <w:fldChar w:fldCharType="begin"/>
            </w:r>
            <w:r w:rsidR="00C546E2" w:rsidRPr="00635C4B">
              <w:rPr>
                <w:noProof/>
                <w:webHidden/>
              </w:rPr>
              <w:instrText xml:space="preserve"> PAGEREF _Toc185499690 \h </w:instrText>
            </w:r>
            <w:r w:rsidR="00C546E2" w:rsidRPr="00635C4B">
              <w:rPr>
                <w:noProof/>
                <w:webHidden/>
              </w:rPr>
            </w:r>
            <w:r w:rsidR="00C546E2" w:rsidRPr="00635C4B">
              <w:rPr>
                <w:noProof/>
                <w:webHidden/>
              </w:rPr>
              <w:fldChar w:fldCharType="separate"/>
            </w:r>
            <w:r w:rsidR="0019308C">
              <w:rPr>
                <w:noProof/>
                <w:webHidden/>
              </w:rPr>
              <w:t>14</w:t>
            </w:r>
            <w:r w:rsidR="00C546E2" w:rsidRPr="00635C4B">
              <w:rPr>
                <w:noProof/>
                <w:webHidden/>
              </w:rPr>
              <w:fldChar w:fldCharType="end"/>
            </w:r>
          </w:hyperlink>
        </w:p>
        <w:p w14:paraId="5A680A52" w14:textId="77777777" w:rsidR="00C546E2" w:rsidRPr="00635C4B" w:rsidRDefault="00D14107" w:rsidP="00635C4B">
          <w:pPr>
            <w:pStyle w:val="TDC3"/>
            <w:rPr>
              <w:rFonts w:asciiTheme="minorHAnsi" w:eastAsiaTheme="minorEastAsia" w:hAnsiTheme="minorHAnsi" w:cstheme="minorBidi"/>
              <w:noProof/>
              <w:szCs w:val="22"/>
              <w:lang w:eastAsia="es-MX"/>
            </w:rPr>
          </w:pPr>
          <w:hyperlink w:anchor="_Toc185499691" w:history="1">
            <w:r w:rsidR="00C546E2" w:rsidRPr="00635C4B">
              <w:rPr>
                <w:rStyle w:val="Hipervnculo"/>
                <w:noProof/>
                <w:color w:val="auto"/>
              </w:rPr>
              <w:t>d) Versión pública</w:t>
            </w:r>
            <w:r w:rsidR="00C546E2" w:rsidRPr="00635C4B">
              <w:rPr>
                <w:noProof/>
                <w:webHidden/>
              </w:rPr>
              <w:tab/>
            </w:r>
            <w:r w:rsidR="00C546E2" w:rsidRPr="00635C4B">
              <w:rPr>
                <w:noProof/>
                <w:webHidden/>
              </w:rPr>
              <w:fldChar w:fldCharType="begin"/>
            </w:r>
            <w:r w:rsidR="00C546E2" w:rsidRPr="00635C4B">
              <w:rPr>
                <w:noProof/>
                <w:webHidden/>
              </w:rPr>
              <w:instrText xml:space="preserve"> PAGEREF _Toc185499691 \h </w:instrText>
            </w:r>
            <w:r w:rsidR="00C546E2" w:rsidRPr="00635C4B">
              <w:rPr>
                <w:noProof/>
                <w:webHidden/>
              </w:rPr>
            </w:r>
            <w:r w:rsidR="00C546E2" w:rsidRPr="00635C4B">
              <w:rPr>
                <w:noProof/>
                <w:webHidden/>
              </w:rPr>
              <w:fldChar w:fldCharType="separate"/>
            </w:r>
            <w:r w:rsidR="0019308C">
              <w:rPr>
                <w:noProof/>
                <w:webHidden/>
              </w:rPr>
              <w:t>19</w:t>
            </w:r>
            <w:r w:rsidR="00C546E2" w:rsidRPr="00635C4B">
              <w:rPr>
                <w:noProof/>
                <w:webHidden/>
              </w:rPr>
              <w:fldChar w:fldCharType="end"/>
            </w:r>
          </w:hyperlink>
        </w:p>
        <w:p w14:paraId="6460C2C7" w14:textId="77777777" w:rsidR="00C546E2" w:rsidRPr="00635C4B" w:rsidRDefault="00D14107" w:rsidP="00635C4B">
          <w:pPr>
            <w:pStyle w:val="TDC3"/>
            <w:rPr>
              <w:rFonts w:asciiTheme="minorHAnsi" w:eastAsiaTheme="minorEastAsia" w:hAnsiTheme="minorHAnsi" w:cstheme="minorBidi"/>
              <w:noProof/>
              <w:szCs w:val="22"/>
              <w:lang w:eastAsia="es-MX"/>
            </w:rPr>
          </w:pPr>
          <w:hyperlink w:anchor="_Toc185499692" w:history="1">
            <w:r w:rsidR="00C546E2" w:rsidRPr="00635C4B">
              <w:rPr>
                <w:rStyle w:val="Hipervnculo"/>
                <w:noProof/>
                <w:color w:val="auto"/>
              </w:rPr>
              <w:t>e) Conclusión</w:t>
            </w:r>
            <w:r w:rsidR="00C546E2" w:rsidRPr="00635C4B">
              <w:rPr>
                <w:noProof/>
                <w:webHidden/>
              </w:rPr>
              <w:tab/>
            </w:r>
            <w:r w:rsidR="00C546E2" w:rsidRPr="00635C4B">
              <w:rPr>
                <w:noProof/>
                <w:webHidden/>
              </w:rPr>
              <w:fldChar w:fldCharType="begin"/>
            </w:r>
            <w:r w:rsidR="00C546E2" w:rsidRPr="00635C4B">
              <w:rPr>
                <w:noProof/>
                <w:webHidden/>
              </w:rPr>
              <w:instrText xml:space="preserve"> PAGEREF _Toc185499692 \h </w:instrText>
            </w:r>
            <w:r w:rsidR="00C546E2" w:rsidRPr="00635C4B">
              <w:rPr>
                <w:noProof/>
                <w:webHidden/>
              </w:rPr>
            </w:r>
            <w:r w:rsidR="00C546E2" w:rsidRPr="00635C4B">
              <w:rPr>
                <w:noProof/>
                <w:webHidden/>
              </w:rPr>
              <w:fldChar w:fldCharType="separate"/>
            </w:r>
            <w:r w:rsidR="0019308C">
              <w:rPr>
                <w:noProof/>
                <w:webHidden/>
              </w:rPr>
              <w:t>25</w:t>
            </w:r>
            <w:r w:rsidR="00C546E2" w:rsidRPr="00635C4B">
              <w:rPr>
                <w:noProof/>
                <w:webHidden/>
              </w:rPr>
              <w:fldChar w:fldCharType="end"/>
            </w:r>
          </w:hyperlink>
        </w:p>
        <w:p w14:paraId="6F1D4812" w14:textId="77777777" w:rsidR="00C546E2" w:rsidRPr="00635C4B" w:rsidRDefault="00D14107" w:rsidP="00635C4B">
          <w:pPr>
            <w:pStyle w:val="TDC1"/>
            <w:tabs>
              <w:tab w:val="right" w:leader="dot" w:pos="9034"/>
            </w:tabs>
            <w:rPr>
              <w:rFonts w:asciiTheme="minorHAnsi" w:eastAsiaTheme="minorEastAsia" w:hAnsiTheme="minorHAnsi" w:cstheme="minorBidi"/>
              <w:noProof/>
              <w:szCs w:val="22"/>
              <w:lang w:eastAsia="es-MX"/>
            </w:rPr>
          </w:pPr>
          <w:hyperlink w:anchor="_Toc185499693" w:history="1">
            <w:r w:rsidR="00C546E2" w:rsidRPr="00635C4B">
              <w:rPr>
                <w:rStyle w:val="Hipervnculo"/>
                <w:noProof/>
                <w:color w:val="auto"/>
              </w:rPr>
              <w:t>RESUELVE</w:t>
            </w:r>
            <w:r w:rsidR="00C546E2" w:rsidRPr="00635C4B">
              <w:rPr>
                <w:noProof/>
                <w:webHidden/>
              </w:rPr>
              <w:tab/>
            </w:r>
            <w:r w:rsidR="00C546E2" w:rsidRPr="00635C4B">
              <w:rPr>
                <w:noProof/>
                <w:webHidden/>
              </w:rPr>
              <w:fldChar w:fldCharType="begin"/>
            </w:r>
            <w:r w:rsidR="00C546E2" w:rsidRPr="00635C4B">
              <w:rPr>
                <w:noProof/>
                <w:webHidden/>
              </w:rPr>
              <w:instrText xml:space="preserve"> PAGEREF _Toc185499693 \h </w:instrText>
            </w:r>
            <w:r w:rsidR="00C546E2" w:rsidRPr="00635C4B">
              <w:rPr>
                <w:noProof/>
                <w:webHidden/>
              </w:rPr>
            </w:r>
            <w:r w:rsidR="00C546E2" w:rsidRPr="00635C4B">
              <w:rPr>
                <w:noProof/>
                <w:webHidden/>
              </w:rPr>
              <w:fldChar w:fldCharType="separate"/>
            </w:r>
            <w:r w:rsidR="0019308C">
              <w:rPr>
                <w:noProof/>
                <w:webHidden/>
              </w:rPr>
              <w:t>26</w:t>
            </w:r>
            <w:r w:rsidR="00C546E2" w:rsidRPr="00635C4B">
              <w:rPr>
                <w:noProof/>
                <w:webHidden/>
              </w:rPr>
              <w:fldChar w:fldCharType="end"/>
            </w:r>
          </w:hyperlink>
        </w:p>
        <w:p w14:paraId="603A07E2" w14:textId="21598D70" w:rsidR="00646436" w:rsidRPr="00635C4B" w:rsidRDefault="00AE3DA7" w:rsidP="00635C4B">
          <w:pPr>
            <w:spacing w:line="240" w:lineRule="auto"/>
            <w:rPr>
              <w:b/>
              <w:bCs/>
              <w:lang w:val="es-ES"/>
            </w:rPr>
            <w:sectPr w:rsidR="00646436" w:rsidRPr="00635C4B"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r w:rsidRPr="00635C4B">
            <w:rPr>
              <w:b/>
              <w:bCs/>
              <w:sz w:val="16"/>
              <w:szCs w:val="16"/>
              <w:lang w:val="es-ES"/>
            </w:rPr>
            <w:fldChar w:fldCharType="end"/>
          </w:r>
        </w:p>
      </w:sdtContent>
    </w:sdt>
    <w:p w14:paraId="7A9A4270" w14:textId="143C0D45" w:rsidR="00775BFC" w:rsidRPr="00635C4B" w:rsidRDefault="00775BFC" w:rsidP="00635C4B">
      <w:pPr>
        <w:rPr>
          <w:b/>
        </w:rPr>
      </w:pPr>
      <w:r w:rsidRPr="00635C4B">
        <w:lastRenderedPageBreak/>
        <w:t xml:space="preserve">Resolución del Pleno del Instituto de Transparencia, Acceso a la Información Pública y Protección de Datos Personales del Estado de México y Municipios, con domicilio en Metepec, Estado de México, de </w:t>
      </w:r>
      <w:r w:rsidR="003612E6" w:rsidRPr="00635C4B">
        <w:rPr>
          <w:b/>
        </w:rPr>
        <w:t>quince de enero</w:t>
      </w:r>
      <w:r w:rsidR="00DB02DB" w:rsidRPr="00635C4B">
        <w:rPr>
          <w:b/>
        </w:rPr>
        <w:t xml:space="preserve"> de dos mil veintic</w:t>
      </w:r>
      <w:r w:rsidR="00C546E2" w:rsidRPr="00635C4B">
        <w:rPr>
          <w:b/>
        </w:rPr>
        <w:t>inc</w:t>
      </w:r>
      <w:r w:rsidR="00DB02DB" w:rsidRPr="00635C4B">
        <w:rPr>
          <w:b/>
        </w:rPr>
        <w:t>o.</w:t>
      </w:r>
    </w:p>
    <w:p w14:paraId="0AF3AAC4" w14:textId="77777777" w:rsidR="00775BFC" w:rsidRPr="00635C4B" w:rsidRDefault="00775BFC" w:rsidP="00635C4B"/>
    <w:p w14:paraId="40EAE038" w14:textId="2F33CD68" w:rsidR="00775BFC" w:rsidRPr="00635C4B" w:rsidRDefault="00775BFC" w:rsidP="00635C4B">
      <w:r w:rsidRPr="00635C4B">
        <w:rPr>
          <w:b/>
        </w:rPr>
        <w:t xml:space="preserve">VISTO </w:t>
      </w:r>
      <w:r w:rsidRPr="00635C4B">
        <w:t xml:space="preserve">el expediente formado con motivo del Recurso de Revisión </w:t>
      </w:r>
      <w:r w:rsidR="003E7A50" w:rsidRPr="00635C4B">
        <w:rPr>
          <w:rFonts w:eastAsia="Calibri"/>
          <w:b/>
          <w:lang w:eastAsia="en-US"/>
        </w:rPr>
        <w:t>07447/INFOEM/IP/RR/2024</w:t>
      </w:r>
      <w:r w:rsidRPr="00635C4B">
        <w:rPr>
          <w:rFonts w:eastAsia="Calibri"/>
          <w:lang w:eastAsia="en-US"/>
        </w:rPr>
        <w:t xml:space="preserve"> </w:t>
      </w:r>
      <w:r w:rsidRPr="00635C4B">
        <w:t xml:space="preserve">interpuesto </w:t>
      </w:r>
      <w:r w:rsidR="00DE7EB8" w:rsidRPr="00635C4B">
        <w:t xml:space="preserve">por </w:t>
      </w:r>
      <w:r w:rsidR="00DE4CA5">
        <w:rPr>
          <w:b/>
        </w:rPr>
        <w:t xml:space="preserve">XXXXX </w:t>
      </w:r>
      <w:proofErr w:type="spellStart"/>
      <w:r w:rsidR="00DE4CA5">
        <w:rPr>
          <w:b/>
        </w:rPr>
        <w:t>XXXXX</w:t>
      </w:r>
      <w:proofErr w:type="spellEnd"/>
      <w:r w:rsidR="00DE4CA5">
        <w:rPr>
          <w:b/>
        </w:rPr>
        <w:t xml:space="preserve"> </w:t>
      </w:r>
      <w:proofErr w:type="spellStart"/>
      <w:r w:rsidR="00DE4CA5">
        <w:rPr>
          <w:b/>
        </w:rPr>
        <w:t>XXXXX</w:t>
      </w:r>
      <w:proofErr w:type="spellEnd"/>
      <w:r w:rsidR="00DE4CA5">
        <w:rPr>
          <w:b/>
        </w:rPr>
        <w:t xml:space="preserve"> XXXXXXX</w:t>
      </w:r>
      <w:r w:rsidRPr="00635C4B">
        <w:t xml:space="preserve">, a quien en lo subsecuente se le denominará </w:t>
      </w:r>
      <w:r w:rsidRPr="00635C4B">
        <w:rPr>
          <w:b/>
          <w:bCs/>
        </w:rPr>
        <w:t>LA PARTE RECURRENTE</w:t>
      </w:r>
      <w:r w:rsidRPr="00635C4B">
        <w:t xml:space="preserve">, en contra de la respuesta emitida por </w:t>
      </w:r>
      <w:r w:rsidR="003E7A50" w:rsidRPr="00635C4B">
        <w:rPr>
          <w:b/>
          <w:bCs/>
        </w:rPr>
        <w:t>Protectora de Bosques del Estado de México</w:t>
      </w:r>
      <w:r w:rsidRPr="00635C4B">
        <w:t xml:space="preserve">, en adelante </w:t>
      </w:r>
      <w:r w:rsidRPr="00635C4B">
        <w:rPr>
          <w:b/>
          <w:bCs/>
        </w:rPr>
        <w:t>EL SUJETO OBLIGADO</w:t>
      </w:r>
      <w:r w:rsidRPr="00635C4B">
        <w:rPr>
          <w:rFonts w:eastAsia="Calibri"/>
          <w:lang w:eastAsia="en-US"/>
        </w:rPr>
        <w:t xml:space="preserve">, </w:t>
      </w:r>
      <w:r w:rsidRPr="00635C4B">
        <w:t>se emite la presente Resolución con base en los Antecedentes y Considerandos que se exponen a continuación:</w:t>
      </w:r>
    </w:p>
    <w:p w14:paraId="2116968C" w14:textId="77777777" w:rsidR="00775BFC" w:rsidRPr="00635C4B" w:rsidRDefault="00775BFC" w:rsidP="00635C4B"/>
    <w:p w14:paraId="5A444FB6" w14:textId="639D3567" w:rsidR="00664420" w:rsidRPr="00635C4B" w:rsidRDefault="00664420" w:rsidP="00635C4B">
      <w:pPr>
        <w:pStyle w:val="Ttulo1"/>
      </w:pPr>
      <w:bookmarkStart w:id="2" w:name="_Toc185499667"/>
      <w:r w:rsidRPr="00635C4B">
        <w:t>ANTECEDENTES</w:t>
      </w:r>
      <w:bookmarkEnd w:id="2"/>
    </w:p>
    <w:p w14:paraId="5CB5034E" w14:textId="77777777" w:rsidR="00AC2DB8" w:rsidRPr="00635C4B" w:rsidRDefault="00AC2DB8" w:rsidP="00635C4B"/>
    <w:p w14:paraId="09B2D38F" w14:textId="6E49D146" w:rsidR="00664420" w:rsidRPr="00635C4B" w:rsidRDefault="00E37A3F" w:rsidP="00635C4B">
      <w:pPr>
        <w:pStyle w:val="Ttulo2"/>
        <w:jc w:val="left"/>
      </w:pPr>
      <w:bookmarkStart w:id="3" w:name="_Toc185499668"/>
      <w:r w:rsidRPr="00635C4B">
        <w:t>DE LA SOLICITUD DE INFORMACIÓN</w:t>
      </w:r>
      <w:bookmarkEnd w:id="3"/>
    </w:p>
    <w:p w14:paraId="2C6AD1A5" w14:textId="0405B3CD" w:rsidR="00664420" w:rsidRPr="00635C4B" w:rsidRDefault="00E37A3F" w:rsidP="00635C4B">
      <w:pPr>
        <w:pStyle w:val="Ttulo3"/>
      </w:pPr>
      <w:bookmarkStart w:id="4" w:name="_Toc185499669"/>
      <w:r w:rsidRPr="00635C4B">
        <w:t xml:space="preserve">a) </w:t>
      </w:r>
      <w:r w:rsidR="006B10B0" w:rsidRPr="00635C4B">
        <w:t>S</w:t>
      </w:r>
      <w:r w:rsidR="00664420" w:rsidRPr="00635C4B">
        <w:t xml:space="preserve">olicitud de </w:t>
      </w:r>
      <w:r w:rsidR="006B10B0" w:rsidRPr="00635C4B">
        <w:t>i</w:t>
      </w:r>
      <w:r w:rsidR="00664420" w:rsidRPr="00635C4B">
        <w:t>nformación</w:t>
      </w:r>
      <w:bookmarkEnd w:id="4"/>
    </w:p>
    <w:p w14:paraId="06DCD29D" w14:textId="5B1DCDC8" w:rsidR="009A2D78" w:rsidRPr="00635C4B" w:rsidRDefault="006B10B0" w:rsidP="00635C4B">
      <w:pPr>
        <w:pStyle w:val="Prrafodelista"/>
        <w:tabs>
          <w:tab w:val="left" w:pos="0"/>
        </w:tabs>
        <w:ind w:left="0"/>
        <w:contextualSpacing w:val="0"/>
        <w:rPr>
          <w:rFonts w:cs="Tahoma"/>
        </w:rPr>
      </w:pPr>
      <w:r w:rsidRPr="00635C4B">
        <w:rPr>
          <w:rFonts w:cs="Tahoma"/>
        </w:rPr>
        <w:t>El</w:t>
      </w:r>
      <w:r w:rsidR="00664420" w:rsidRPr="00635C4B">
        <w:rPr>
          <w:rFonts w:cs="Tahoma"/>
        </w:rPr>
        <w:t xml:space="preserve"> </w:t>
      </w:r>
      <w:r w:rsidR="00753372" w:rsidRPr="00635C4B">
        <w:rPr>
          <w:rFonts w:cs="Tahoma"/>
          <w:b/>
          <w:bCs/>
        </w:rPr>
        <w:t>veintiocho de octubre</w:t>
      </w:r>
      <w:r w:rsidR="00DB02DB" w:rsidRPr="00635C4B">
        <w:rPr>
          <w:rFonts w:cs="Tahoma"/>
          <w:b/>
          <w:bCs/>
        </w:rPr>
        <w:t xml:space="preserve"> de dos mil veinticuatro,</w:t>
      </w:r>
      <w:r w:rsidR="00664420" w:rsidRPr="00635C4B">
        <w:rPr>
          <w:rFonts w:cs="Tahoma"/>
        </w:rPr>
        <w:t xml:space="preserve"> </w:t>
      </w:r>
      <w:r w:rsidRPr="00635C4B">
        <w:rPr>
          <w:b/>
          <w:bCs/>
        </w:rPr>
        <w:t>LA PARTE RECURRENTE</w:t>
      </w:r>
      <w:r w:rsidR="00664420" w:rsidRPr="00635C4B">
        <w:rPr>
          <w:rFonts w:cs="Tahoma"/>
        </w:rPr>
        <w:t xml:space="preserve"> presentó una solicitud de acceso a la información pública </w:t>
      </w:r>
      <w:r w:rsidR="001F3515" w:rsidRPr="00635C4B">
        <w:rPr>
          <w:rFonts w:cs="Tahoma"/>
        </w:rPr>
        <w:t xml:space="preserve">ante el </w:t>
      </w:r>
      <w:r w:rsidR="001F3515" w:rsidRPr="00635C4B">
        <w:rPr>
          <w:rFonts w:cs="Tahoma"/>
          <w:b/>
          <w:bCs/>
        </w:rPr>
        <w:t>SUJETO OBLIGADO</w:t>
      </w:r>
      <w:r w:rsidR="001F3515" w:rsidRPr="00635C4B">
        <w:rPr>
          <w:rFonts w:cs="Tahoma"/>
        </w:rPr>
        <w:t xml:space="preserve">, </w:t>
      </w:r>
      <w:r w:rsidR="00664420" w:rsidRPr="00635C4B">
        <w:rPr>
          <w:rFonts w:cs="Tahoma"/>
        </w:rPr>
        <w:t>a través del Sistema de Acceso a la Información Mexiquense</w:t>
      </w:r>
      <w:r w:rsidRPr="00635C4B">
        <w:rPr>
          <w:rFonts w:cs="Tahoma"/>
        </w:rPr>
        <w:t xml:space="preserve"> </w:t>
      </w:r>
      <w:r w:rsidR="009A2D78" w:rsidRPr="00635C4B">
        <w:rPr>
          <w:rFonts w:cs="Tahoma"/>
        </w:rPr>
        <w:t>(</w:t>
      </w:r>
      <w:r w:rsidRPr="00635C4B">
        <w:rPr>
          <w:rFonts w:cs="Tahoma"/>
        </w:rPr>
        <w:t>SAIMEX</w:t>
      </w:r>
      <w:r w:rsidR="009A2D78" w:rsidRPr="00635C4B">
        <w:rPr>
          <w:rFonts w:cs="Tahoma"/>
        </w:rPr>
        <w:t>). Dicha solicitud quedó</w:t>
      </w:r>
      <w:r w:rsidRPr="00635C4B">
        <w:rPr>
          <w:rFonts w:cs="Tahoma"/>
        </w:rPr>
        <w:t xml:space="preserve"> registrada c</w:t>
      </w:r>
      <w:r w:rsidR="00664420" w:rsidRPr="00635C4B">
        <w:rPr>
          <w:rFonts w:cs="Tahoma"/>
        </w:rPr>
        <w:t>on el número de folio</w:t>
      </w:r>
      <w:r w:rsidR="00664420" w:rsidRPr="00635C4B">
        <w:rPr>
          <w:rFonts w:cs="Tahoma"/>
          <w:b/>
          <w:bCs/>
        </w:rPr>
        <w:t xml:space="preserve"> </w:t>
      </w:r>
      <w:r w:rsidR="00753372" w:rsidRPr="00635C4B">
        <w:rPr>
          <w:rFonts w:cs="Tahoma"/>
          <w:b/>
          <w:bCs/>
        </w:rPr>
        <w:t>00213/PROBOSQUE/IP/2024</w:t>
      </w:r>
      <w:r w:rsidR="002A3601" w:rsidRPr="00635C4B">
        <w:rPr>
          <w:rFonts w:cs="Tahoma"/>
        </w:rPr>
        <w:t xml:space="preserve"> y en ella </w:t>
      </w:r>
      <w:r w:rsidR="009A2D78" w:rsidRPr="00635C4B">
        <w:rPr>
          <w:rFonts w:cs="Tahoma"/>
        </w:rPr>
        <w:t>se requirió la siguiente información:</w:t>
      </w:r>
    </w:p>
    <w:p w14:paraId="0459D6AC" w14:textId="77777777" w:rsidR="00664420" w:rsidRPr="00635C4B" w:rsidRDefault="00664420" w:rsidP="00635C4B">
      <w:pPr>
        <w:tabs>
          <w:tab w:val="left" w:pos="4667"/>
        </w:tabs>
        <w:ind w:left="567" w:right="567"/>
        <w:rPr>
          <w:rFonts w:cs="Tahoma"/>
          <w:b/>
          <w:bCs/>
        </w:rPr>
      </w:pPr>
    </w:p>
    <w:p w14:paraId="179FB369" w14:textId="0E994A0B" w:rsidR="00664420" w:rsidRPr="00635C4B" w:rsidRDefault="00AF2426" w:rsidP="00635C4B">
      <w:pPr>
        <w:pStyle w:val="Puesto"/>
      </w:pPr>
      <w:r w:rsidRPr="00635C4B">
        <w:t>“</w:t>
      </w:r>
      <w:r w:rsidR="00753372" w:rsidRPr="00635C4B">
        <w:t xml:space="preserve">SOLICITO A LA PROTECTORA DE BOSQUES DEL ESTADO DE MÉXICO LO SIGUIENTE: 1. Bases, en su caso junta de aclaraciones, fallo y contratos derivados del Procedimiento de Licitación Pública Presencial PB-LPNP-003-2024 para la “adquisición de materias primas y materiales de producción”, de la Protectora de Bosques del Estado de México. 2. Actas ordinarias y extraordinarias del Consejo Directivo de la Protectora de Bosques del Estado de México, celebradas durante los meses de julio, agosto y septiembre </w:t>
      </w:r>
      <w:r w:rsidR="00753372" w:rsidRPr="00635C4B">
        <w:lastRenderedPageBreak/>
        <w:t xml:space="preserve">de 2024. Información pública de oficio que debería estar publicada en la plataforma nacional de </w:t>
      </w:r>
      <w:proofErr w:type="spellStart"/>
      <w:r w:rsidR="00753372" w:rsidRPr="00635C4B">
        <w:t>transarencia</w:t>
      </w:r>
      <w:proofErr w:type="spellEnd"/>
      <w:r w:rsidR="00753372" w:rsidRPr="00635C4B">
        <w:t xml:space="preserve"> pero la misma no se encuentra disponible EN ESTOS MOMENTOS</w:t>
      </w:r>
      <w:proofErr w:type="gramStart"/>
      <w:r w:rsidR="00753372" w:rsidRPr="00635C4B">
        <w:t>.</w:t>
      </w:r>
      <w:r w:rsidR="00382A5D" w:rsidRPr="00635C4B">
        <w:t>.</w:t>
      </w:r>
      <w:r w:rsidRPr="00635C4B">
        <w:t>”</w:t>
      </w:r>
      <w:proofErr w:type="gramEnd"/>
    </w:p>
    <w:p w14:paraId="0A47E830" w14:textId="77777777" w:rsidR="00C14959" w:rsidRPr="00635C4B" w:rsidRDefault="00C14959" w:rsidP="00635C4B">
      <w:pPr>
        <w:tabs>
          <w:tab w:val="left" w:pos="4667"/>
        </w:tabs>
        <w:ind w:right="567"/>
        <w:rPr>
          <w:rFonts w:cs="Tahoma"/>
          <w:bCs/>
          <w:i/>
          <w:szCs w:val="22"/>
        </w:rPr>
      </w:pPr>
    </w:p>
    <w:p w14:paraId="2C4045D7" w14:textId="454298C1" w:rsidR="00AF03C4" w:rsidRPr="00635C4B" w:rsidRDefault="009A2D78" w:rsidP="00635C4B">
      <w:pPr>
        <w:tabs>
          <w:tab w:val="left" w:pos="4667"/>
        </w:tabs>
        <w:ind w:left="567" w:right="567"/>
        <w:rPr>
          <w:rFonts w:cs="Tahoma"/>
          <w:bCs/>
          <w:i/>
          <w:szCs w:val="22"/>
        </w:rPr>
      </w:pPr>
      <w:r w:rsidRPr="00635C4B">
        <w:rPr>
          <w:rFonts w:cs="Tahoma"/>
          <w:b/>
          <w:bCs/>
          <w:szCs w:val="22"/>
        </w:rPr>
        <w:t>Modalidad de entrega</w:t>
      </w:r>
      <w:r w:rsidRPr="00635C4B">
        <w:rPr>
          <w:rFonts w:cs="Tahoma"/>
          <w:bCs/>
          <w:szCs w:val="22"/>
        </w:rPr>
        <w:t>: a</w:t>
      </w:r>
      <w:r w:rsidR="00664420" w:rsidRPr="00635C4B">
        <w:rPr>
          <w:rFonts w:cs="Tahoma"/>
          <w:bCs/>
          <w:i/>
          <w:szCs w:val="22"/>
        </w:rPr>
        <w:t xml:space="preserve"> través del </w:t>
      </w:r>
      <w:r w:rsidR="00664420" w:rsidRPr="00635C4B">
        <w:rPr>
          <w:rFonts w:cs="Tahoma"/>
          <w:b/>
          <w:bCs/>
          <w:i/>
          <w:szCs w:val="22"/>
        </w:rPr>
        <w:t>SAIMEX</w:t>
      </w:r>
      <w:r w:rsidRPr="00635C4B">
        <w:rPr>
          <w:rFonts w:cs="Tahoma"/>
          <w:bCs/>
          <w:i/>
          <w:szCs w:val="22"/>
        </w:rPr>
        <w:t>.</w:t>
      </w:r>
    </w:p>
    <w:p w14:paraId="26EAF8B6" w14:textId="77777777" w:rsidR="00AF2426" w:rsidRPr="00635C4B" w:rsidRDefault="00AF2426" w:rsidP="00635C4B">
      <w:pPr>
        <w:tabs>
          <w:tab w:val="left" w:pos="4667"/>
        </w:tabs>
        <w:ind w:right="567"/>
        <w:rPr>
          <w:rFonts w:cs="Tahoma"/>
          <w:bCs/>
          <w:szCs w:val="22"/>
        </w:rPr>
      </w:pPr>
    </w:p>
    <w:p w14:paraId="6D3CC97A" w14:textId="77777777" w:rsidR="00382A5D" w:rsidRPr="00635C4B" w:rsidRDefault="00382A5D" w:rsidP="00635C4B">
      <w:pPr>
        <w:pStyle w:val="Ttulo3"/>
      </w:pPr>
      <w:bookmarkStart w:id="5" w:name="_Toc170985407"/>
      <w:bookmarkStart w:id="6" w:name="_Toc185499670"/>
      <w:r w:rsidRPr="00635C4B">
        <w:t>b) Turno de la solicitud de información</w:t>
      </w:r>
      <w:bookmarkEnd w:id="5"/>
      <w:bookmarkEnd w:id="6"/>
    </w:p>
    <w:p w14:paraId="500A3A6A" w14:textId="489E904B" w:rsidR="00382A5D" w:rsidRPr="00635C4B" w:rsidRDefault="00382A5D" w:rsidP="00635C4B">
      <w:r w:rsidRPr="00635C4B">
        <w:t xml:space="preserve">En cumplimiento al artículo 162 de la Ley de Transparencia y Acceso a la Información Pública del Estado de México y Municipios, el </w:t>
      </w:r>
      <w:r w:rsidR="00753372" w:rsidRPr="00635C4B">
        <w:rPr>
          <w:rFonts w:eastAsia="Palatino Linotype" w:cs="Palatino Linotype"/>
          <w:b/>
        </w:rPr>
        <w:t>seis de noviembre</w:t>
      </w:r>
      <w:r w:rsidRPr="00635C4B">
        <w:rPr>
          <w:rFonts w:eastAsia="Palatino Linotype" w:cs="Palatino Linotype"/>
          <w:b/>
        </w:rPr>
        <w:t xml:space="preserve"> de </w:t>
      </w:r>
      <w:r w:rsidR="00F769AA" w:rsidRPr="00635C4B">
        <w:rPr>
          <w:rFonts w:eastAsia="Palatino Linotype" w:cs="Palatino Linotype"/>
          <w:b/>
        </w:rPr>
        <w:t>dos mil veinticuatro</w:t>
      </w:r>
      <w:r w:rsidRPr="00635C4B">
        <w:t xml:space="preserve">, el Titular de la Unidad de Transparencia del </w:t>
      </w:r>
      <w:r w:rsidRPr="00635C4B">
        <w:rPr>
          <w:b/>
        </w:rPr>
        <w:t>SUJETO OBLIGADO</w:t>
      </w:r>
      <w:r w:rsidRPr="00635C4B">
        <w:t xml:space="preserve"> turnó la solicitud de información a </w:t>
      </w:r>
      <w:r w:rsidR="00753372" w:rsidRPr="00635C4B">
        <w:t>al servidor público</w:t>
      </w:r>
      <w:r w:rsidR="00C14959" w:rsidRPr="00635C4B">
        <w:t xml:space="preserve"> </w:t>
      </w:r>
      <w:r w:rsidRPr="00635C4B">
        <w:t>que estimó pertinente.</w:t>
      </w:r>
    </w:p>
    <w:p w14:paraId="36D12A24" w14:textId="77777777" w:rsidR="00DE7EB8" w:rsidRPr="00635C4B" w:rsidRDefault="00DE7EB8" w:rsidP="00635C4B"/>
    <w:p w14:paraId="71CD8E37" w14:textId="77777777" w:rsidR="00DE7EB8" w:rsidRPr="00635C4B" w:rsidRDefault="00DE7EB8" w:rsidP="00635C4B">
      <w:pPr>
        <w:pStyle w:val="Ttulo3"/>
      </w:pPr>
      <w:bookmarkStart w:id="7" w:name="_Toc165402841"/>
      <w:bookmarkStart w:id="8" w:name="_Toc185499671"/>
      <w:r w:rsidRPr="00635C4B">
        <w:t>c) Prórroga</w:t>
      </w:r>
      <w:bookmarkEnd w:id="7"/>
      <w:bookmarkEnd w:id="8"/>
    </w:p>
    <w:p w14:paraId="75D5B8C2" w14:textId="744E4DDE" w:rsidR="00DE7EB8" w:rsidRPr="00635C4B" w:rsidRDefault="00DE7EB8" w:rsidP="00635C4B">
      <w:r w:rsidRPr="00635C4B">
        <w:t xml:space="preserve">De las constancias que obran en </w:t>
      </w:r>
      <w:r w:rsidR="00C546E2" w:rsidRPr="00635C4B">
        <w:rPr>
          <w:b/>
        </w:rPr>
        <w:t>EL SAIMEX,</w:t>
      </w:r>
      <w:r w:rsidR="00C546E2" w:rsidRPr="00635C4B">
        <w:t xml:space="preserve"> </w:t>
      </w:r>
      <w:r w:rsidRPr="00635C4B">
        <w:t xml:space="preserve">se advierte que el </w:t>
      </w:r>
      <w:r w:rsidR="00753372" w:rsidRPr="00635C4B">
        <w:rPr>
          <w:b/>
          <w:bCs/>
        </w:rPr>
        <w:t>veinte de noviembre</w:t>
      </w:r>
      <w:r w:rsidRPr="00635C4B">
        <w:rPr>
          <w:b/>
          <w:bCs/>
        </w:rPr>
        <w:t xml:space="preserve"> de dos mil veinticuatro</w:t>
      </w:r>
      <w:r w:rsidRPr="00635C4B">
        <w:t xml:space="preserve">, </w:t>
      </w:r>
      <w:r w:rsidRPr="00635C4B">
        <w:rPr>
          <w:b/>
          <w:bCs/>
        </w:rPr>
        <w:t>EL SUJETO OBLIGADO</w:t>
      </w:r>
      <w:r w:rsidRPr="00635C4B">
        <w:t xml:space="preserve"> notificó una prórroga de siete días para dar respuesta a la solicitud de información planteada por </w:t>
      </w:r>
      <w:r w:rsidRPr="00635C4B">
        <w:rPr>
          <w:b/>
          <w:bCs/>
        </w:rPr>
        <w:t>LA PARTE RECURRENTE</w:t>
      </w:r>
      <w:r w:rsidRPr="00635C4B">
        <w:t>, en los siguientes términos:</w:t>
      </w:r>
    </w:p>
    <w:p w14:paraId="231DD028" w14:textId="77777777" w:rsidR="00DE7EB8" w:rsidRPr="00635C4B" w:rsidRDefault="00DE7EB8" w:rsidP="00635C4B"/>
    <w:p w14:paraId="540AC569" w14:textId="77777777" w:rsidR="00753372" w:rsidRPr="00635C4B" w:rsidRDefault="00DE7EB8" w:rsidP="00635C4B">
      <w:pPr>
        <w:pStyle w:val="Puesto"/>
      </w:pPr>
      <w:r w:rsidRPr="00635C4B">
        <w:t>“</w:t>
      </w:r>
      <w:r w:rsidR="00753372" w:rsidRPr="00635C4B">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7B0E21F9" w14:textId="77777777" w:rsidR="00C546E2" w:rsidRPr="00635C4B" w:rsidRDefault="00C546E2" w:rsidP="00635C4B"/>
    <w:p w14:paraId="3C441E98" w14:textId="77777777" w:rsidR="00753372" w:rsidRPr="00635C4B" w:rsidRDefault="00753372" w:rsidP="00635C4B">
      <w:pPr>
        <w:pStyle w:val="Puesto"/>
      </w:pPr>
      <w:r w:rsidRPr="00635C4B">
        <w:t>La ampliación de plazo fue aprobada por el Comité de Transparencia mediante ACUERDO PROBOSQUE/CT/EXT/19/2024/54.</w:t>
      </w:r>
    </w:p>
    <w:p w14:paraId="683A560D" w14:textId="77777777" w:rsidR="00C546E2" w:rsidRPr="00635C4B" w:rsidRDefault="00C546E2" w:rsidP="00635C4B"/>
    <w:p w14:paraId="1C5671B5" w14:textId="77777777" w:rsidR="00753372" w:rsidRPr="00635C4B" w:rsidRDefault="00753372" w:rsidP="00635C4B">
      <w:pPr>
        <w:pStyle w:val="Puesto"/>
      </w:pPr>
      <w:r w:rsidRPr="00635C4B">
        <w:t>LIC. JESSICA FABIOLA LUJA NAVAS</w:t>
      </w:r>
    </w:p>
    <w:p w14:paraId="21040FA9" w14:textId="77777777" w:rsidR="00C546E2" w:rsidRPr="00635C4B" w:rsidRDefault="00C546E2" w:rsidP="00635C4B"/>
    <w:p w14:paraId="49C754BD" w14:textId="3B54E0FB" w:rsidR="00DE7EB8" w:rsidRPr="00635C4B" w:rsidRDefault="00753372" w:rsidP="00635C4B">
      <w:pPr>
        <w:pStyle w:val="Puesto"/>
      </w:pPr>
      <w:r w:rsidRPr="00635C4B">
        <w:t>Responsable de la Unidad de Transparencia</w:t>
      </w:r>
      <w:r w:rsidR="00DE7EB8" w:rsidRPr="00635C4B">
        <w:t>”</w:t>
      </w:r>
    </w:p>
    <w:p w14:paraId="5944431C" w14:textId="119A135B" w:rsidR="00DE7EB8" w:rsidRPr="00635C4B" w:rsidRDefault="00DE7EB8" w:rsidP="00635C4B">
      <w:r w:rsidRPr="00635C4B">
        <w:lastRenderedPageBreak/>
        <w:t xml:space="preserve">Asimismo, en el expediente que obra en </w:t>
      </w:r>
      <w:r w:rsidR="00C546E2" w:rsidRPr="00635C4B">
        <w:rPr>
          <w:b/>
        </w:rPr>
        <w:t>EL SAIMEX</w:t>
      </w:r>
      <w:r w:rsidR="00C546E2" w:rsidRPr="00635C4B">
        <w:t xml:space="preserve"> </w:t>
      </w:r>
      <w:r w:rsidRPr="00635C4B">
        <w:t xml:space="preserve">se advierte que </w:t>
      </w:r>
      <w:r w:rsidRPr="00635C4B">
        <w:rPr>
          <w:b/>
          <w:bCs/>
        </w:rPr>
        <w:t>EL SUJETO OBLIGADO</w:t>
      </w:r>
      <w:r w:rsidRPr="00635C4B">
        <w:t xml:space="preserve"> acompañó a la solicitud de prórroga </w:t>
      </w:r>
      <w:r w:rsidR="00753372" w:rsidRPr="00635C4B">
        <w:t>el acta por medio de la</w:t>
      </w:r>
      <w:r w:rsidRPr="00635C4B">
        <w:t xml:space="preserve"> cual el Comité de Transparencia aprobó la ampliación de plazo para dar respuesta a la solicitud de información.</w:t>
      </w:r>
    </w:p>
    <w:p w14:paraId="5114EC93" w14:textId="77777777" w:rsidR="00382A5D" w:rsidRPr="00635C4B" w:rsidRDefault="00382A5D" w:rsidP="00635C4B">
      <w:pPr>
        <w:tabs>
          <w:tab w:val="left" w:pos="4667"/>
        </w:tabs>
        <w:ind w:right="567"/>
        <w:rPr>
          <w:rFonts w:cs="Tahoma"/>
          <w:bCs/>
          <w:szCs w:val="22"/>
        </w:rPr>
      </w:pPr>
    </w:p>
    <w:p w14:paraId="3212BA4D" w14:textId="1C9906F6" w:rsidR="00664420" w:rsidRPr="00635C4B" w:rsidRDefault="00DE7EB8" w:rsidP="00635C4B">
      <w:pPr>
        <w:pStyle w:val="Ttulo3"/>
        <w:rPr>
          <w:rFonts w:eastAsia="Calibri"/>
          <w:lang w:eastAsia="en-US"/>
        </w:rPr>
      </w:pPr>
      <w:bookmarkStart w:id="9" w:name="_Toc185499672"/>
      <w:r w:rsidRPr="00635C4B">
        <w:rPr>
          <w:lang w:val="es-ES"/>
        </w:rPr>
        <w:t>d</w:t>
      </w:r>
      <w:r w:rsidR="00E37A3F" w:rsidRPr="00635C4B">
        <w:rPr>
          <w:lang w:val="es-ES"/>
        </w:rPr>
        <w:t xml:space="preserve">) </w:t>
      </w:r>
      <w:r w:rsidR="00664420" w:rsidRPr="00635C4B">
        <w:rPr>
          <w:lang w:val="es-ES"/>
        </w:rPr>
        <w:t xml:space="preserve">Respuesta </w:t>
      </w:r>
      <w:r w:rsidR="00664420" w:rsidRPr="00635C4B">
        <w:rPr>
          <w:rFonts w:eastAsia="Calibri"/>
          <w:lang w:eastAsia="en-US"/>
        </w:rPr>
        <w:t>del Sujeto Obligado</w:t>
      </w:r>
      <w:bookmarkEnd w:id="9"/>
    </w:p>
    <w:p w14:paraId="79199CC1" w14:textId="7C2C656D" w:rsidR="00664420" w:rsidRPr="00635C4B" w:rsidRDefault="00664420" w:rsidP="00635C4B">
      <w:pPr>
        <w:pStyle w:val="Sinespaciado"/>
        <w:spacing w:line="360" w:lineRule="auto"/>
        <w:rPr>
          <w:lang w:val="es-ES"/>
        </w:rPr>
      </w:pPr>
      <w:r w:rsidRPr="00635C4B">
        <w:rPr>
          <w:lang w:val="es-ES"/>
        </w:rPr>
        <w:t xml:space="preserve">El </w:t>
      </w:r>
      <w:r w:rsidR="00C546E2" w:rsidRPr="00635C4B">
        <w:rPr>
          <w:b/>
          <w:bCs/>
          <w:lang w:val="es-ES"/>
        </w:rPr>
        <w:t xml:space="preserve">veintinueve </w:t>
      </w:r>
      <w:r w:rsidR="00DE7EB8" w:rsidRPr="00635C4B">
        <w:rPr>
          <w:b/>
          <w:bCs/>
          <w:lang w:val="es-ES"/>
        </w:rPr>
        <w:t>de noviembre</w:t>
      </w:r>
      <w:r w:rsidR="00F769AA" w:rsidRPr="00635C4B">
        <w:rPr>
          <w:b/>
          <w:bCs/>
          <w:lang w:val="es-ES"/>
        </w:rPr>
        <w:t xml:space="preserve"> </w:t>
      </w:r>
      <w:r w:rsidR="00251911" w:rsidRPr="00635C4B">
        <w:rPr>
          <w:b/>
          <w:bCs/>
          <w:lang w:val="es-ES"/>
        </w:rPr>
        <w:t>de dos mil veinticuatro</w:t>
      </w:r>
      <w:r w:rsidRPr="00635C4B">
        <w:rPr>
          <w:lang w:val="es-ES"/>
        </w:rPr>
        <w:t xml:space="preserve">, </w:t>
      </w:r>
      <w:r w:rsidR="00F07EE6" w:rsidRPr="00635C4B">
        <w:rPr>
          <w:lang w:val="es-ES"/>
        </w:rPr>
        <w:t xml:space="preserve">el Titular de la Unidad de Transparencia del </w:t>
      </w:r>
      <w:r w:rsidR="00F07EE6" w:rsidRPr="00635C4B">
        <w:rPr>
          <w:b/>
          <w:lang w:val="es-ES"/>
        </w:rPr>
        <w:t>SUJETO OBLIGADO</w:t>
      </w:r>
      <w:r w:rsidR="00F07EE6" w:rsidRPr="00635C4B">
        <w:rPr>
          <w:lang w:val="es-ES"/>
        </w:rPr>
        <w:t xml:space="preserve"> notificó la siguiente respuesta a través del </w:t>
      </w:r>
      <w:r w:rsidRPr="00635C4B">
        <w:rPr>
          <w:lang w:val="es-ES"/>
        </w:rPr>
        <w:t>SAIMEX</w:t>
      </w:r>
      <w:r w:rsidR="00F07EE6" w:rsidRPr="00635C4B">
        <w:rPr>
          <w:lang w:val="es-ES"/>
        </w:rPr>
        <w:t>:</w:t>
      </w:r>
    </w:p>
    <w:p w14:paraId="669F7EFD" w14:textId="77777777" w:rsidR="00664420" w:rsidRPr="00635C4B" w:rsidRDefault="00664420" w:rsidP="00635C4B">
      <w:pPr>
        <w:tabs>
          <w:tab w:val="left" w:pos="4667"/>
        </w:tabs>
        <w:ind w:left="567" w:right="567"/>
        <w:rPr>
          <w:rFonts w:cs="Tahoma"/>
          <w:b/>
          <w:bCs/>
        </w:rPr>
      </w:pPr>
    </w:p>
    <w:p w14:paraId="07594453" w14:textId="77777777" w:rsidR="00753372" w:rsidRPr="00635C4B" w:rsidRDefault="00F769AA" w:rsidP="00635C4B">
      <w:pPr>
        <w:autoSpaceDE w:val="0"/>
        <w:autoSpaceDN w:val="0"/>
        <w:adjustRightInd w:val="0"/>
        <w:spacing w:line="240" w:lineRule="auto"/>
        <w:ind w:left="851" w:right="822"/>
        <w:rPr>
          <w:rFonts w:eastAsiaTheme="majorEastAsia" w:cstheme="majorBidi"/>
          <w:i/>
          <w:kern w:val="28"/>
          <w:szCs w:val="56"/>
        </w:rPr>
      </w:pPr>
      <w:r w:rsidRPr="00635C4B">
        <w:rPr>
          <w:rFonts w:eastAsiaTheme="majorEastAsia" w:cstheme="majorBidi"/>
          <w:i/>
          <w:kern w:val="28"/>
          <w:szCs w:val="56"/>
        </w:rPr>
        <w:t>“</w:t>
      </w:r>
      <w:r w:rsidR="00753372" w:rsidRPr="00635C4B">
        <w:rPr>
          <w:rFonts w:eastAsiaTheme="majorEastAsia" w:cstheme="majorBidi"/>
          <w:i/>
          <w:kern w:val="28"/>
          <w:szCs w:val="56"/>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E3C0BBF" w14:textId="77777777" w:rsidR="00C546E2" w:rsidRPr="00635C4B" w:rsidRDefault="00C546E2" w:rsidP="00635C4B">
      <w:pPr>
        <w:autoSpaceDE w:val="0"/>
        <w:autoSpaceDN w:val="0"/>
        <w:adjustRightInd w:val="0"/>
        <w:spacing w:line="240" w:lineRule="auto"/>
        <w:ind w:left="851" w:right="822"/>
        <w:rPr>
          <w:rFonts w:eastAsiaTheme="majorEastAsia" w:cstheme="majorBidi"/>
          <w:i/>
          <w:kern w:val="28"/>
          <w:szCs w:val="56"/>
        </w:rPr>
      </w:pPr>
    </w:p>
    <w:p w14:paraId="5D11024C" w14:textId="069ECB6B" w:rsidR="00664420" w:rsidRPr="00635C4B" w:rsidRDefault="00753372" w:rsidP="00635C4B">
      <w:pPr>
        <w:autoSpaceDE w:val="0"/>
        <w:autoSpaceDN w:val="0"/>
        <w:adjustRightInd w:val="0"/>
        <w:spacing w:line="240" w:lineRule="auto"/>
        <w:ind w:left="851" w:right="822"/>
        <w:rPr>
          <w:rFonts w:eastAsiaTheme="majorEastAsia" w:cstheme="majorBidi"/>
          <w:i/>
          <w:kern w:val="28"/>
          <w:szCs w:val="56"/>
        </w:rPr>
      </w:pPr>
      <w:r w:rsidRPr="00635C4B">
        <w:rPr>
          <w:rFonts w:eastAsiaTheme="majorEastAsia" w:cstheme="majorBidi"/>
          <w:i/>
          <w:kern w:val="28"/>
          <w:szCs w:val="56"/>
        </w:rPr>
        <w:t xml:space="preserve">Ciudadano(a) Solicitante de Información Pública con Folio 00213/PROBOSQUE/IP/2024 P r e s e n t e Con fundamento en los artículos 12 párrafo primero, 50, 51, 52, 53 fracciones II, IV, V, VI y XIV, 59, 156, 160, 162 y 163 de la Ley de Transparencia y Acceso a la Información Pública del Estado de México y Municipios; así como 131 de la Ley General de Transparencia y Acceso a la Información Pública. Referente a la solicitud de información pública 00213/PROBOSQUE/IP/2024, en la cual solicita a este Sujeto Obligado, lo siguiente: “SOLICITO A LA PROTECTORA DE BOSQUES DEL ESTADO DE MÉXICO LO SIGUIENTE: 1. Bases, en su caso junta de aclaraciones, fallo y contratos derivados del Procedimiento de Licitación Pública Presencial PB-LPNP-003-2024 para la “adquisición de materias primas y materiales de producción”, de la Protectora de Bosques del Estado de México. 2. Actas ordinarias y extraordinarias del Consejo Directivo de la Protectora de Bosques del Estado de México, celebradas durante los meses de julio, agosto y septiembre de 2024. Información pública de oficio que debería estar publicada en la plataforma nacional de </w:t>
      </w:r>
      <w:proofErr w:type="spellStart"/>
      <w:r w:rsidRPr="00635C4B">
        <w:rPr>
          <w:rFonts w:eastAsiaTheme="majorEastAsia" w:cstheme="majorBidi"/>
          <w:i/>
          <w:kern w:val="28"/>
          <w:szCs w:val="56"/>
        </w:rPr>
        <w:t>transarencia</w:t>
      </w:r>
      <w:proofErr w:type="spellEnd"/>
      <w:r w:rsidRPr="00635C4B">
        <w:rPr>
          <w:rFonts w:eastAsiaTheme="majorEastAsia" w:cstheme="majorBidi"/>
          <w:i/>
          <w:kern w:val="28"/>
          <w:szCs w:val="56"/>
        </w:rPr>
        <w:t xml:space="preserve"> pero la misma no se encuentra disponible EN ESTOS MOMENTOS.” (Sic) Esta Protectora de Bosques del Estado de México, a través de su Unidad de Transparencia, le informa que en respuesta a su solicitud se emitió el oficio 225C0201040000L-2753/2024 de fecha 28 de noviembre del 2024, firmado por el Director de Administración, Finanzas y de Gestión Documental, mismo que se encuentra adjunto en esta plataforma </w:t>
      </w:r>
      <w:r w:rsidRPr="00635C4B">
        <w:rPr>
          <w:rFonts w:eastAsiaTheme="majorEastAsia" w:cstheme="majorBidi"/>
          <w:i/>
          <w:kern w:val="28"/>
          <w:szCs w:val="56"/>
        </w:rPr>
        <w:lastRenderedPageBreak/>
        <w:t>SAIMEX. De igual manera, se le comunica que puede acceder de manera directa a la información pública de oficio, por medio de la Plataforma Nacional de Transparencia (PNT) https://www.plataformadetransparencia.org.mx/web/guest/inicio o bien, a través de la Plataforma de Información Pública de Oficio Mexiquense (IPOMEX), siguiendo el siguiente vinculo electrónico https://www.infoem.org.mx/es/contenido/transparencia/directorio-de-sujetos-obligados en la cual deberá seleccionar el icono del Poder Ejecutivo, en donde podrá encontrar a la Protectora de Bosques del Estado de México, y así consultar el listado de información disponible de obligaciones de transparencia en términos de los artículos 92, 93, 94 y 103 de la Ley de Transparencia y Acceso a la Información Pública del Estado de México y Municipios. En caso de requerir asesoría, orientación o cualquier auxilio relacionado con la elaboración de solicitudes de información, con la presente respuesta, o en general con las obligaciones en materias transparencia y acceso a la información pública a cargo de la Protectora de Bosques del Estado de México, esta Unidad de Transparencia, se encuentra a sus órdenes a través de los datos de contacto siguientes: Domicilio: Rancho Guadalupe sin número, Conjunto SEDAGRO, Código Postal 52140, Municipio de Metepec, Estado de México. Teléfono: (722) 878 98 78 y 878 98 19 Correo electrónico: probosque.uippe@edomex.gob.mx Finalmente, con fundamento en los artículos 177, 178 y 179 de la Ley de Transparencia y Acceso a la Información Pública del Estado de México y Municipios, se hace de su conocimiento que Usted tiene el derecho a interponer recurso de revisión dentro de los quince días hábiles siguientes a la fecha de la notificación de la presente respuesta, para lo cual puede consultar la legislación de referencia, en el enlace electrónico siguiente: http://legislacion.edomex.gob.mx/sites/legislacion.edomex.gob.mx/files/files/pdf/ley/vig/leyvig233.pdf con la finalidad de que Usted pueda identificar los supuestos de procedencia y procedimiento aplicable a dicho medio de impugnación. Esperando que la información proporcionada le resulte de utilidad; esta Protectora de Bosques se Reitera a sus órdenes en los medios de contacto que se señalan en este documento. ATENTAMENTE LIC. ANAÍ CAMPOS TOXQUI TITULAR DE LA UNIDAD DE TRANSPARENCIA</w:t>
      </w:r>
      <w:r w:rsidR="00F769AA" w:rsidRPr="00635C4B">
        <w:rPr>
          <w:rFonts w:eastAsiaTheme="majorEastAsia" w:cstheme="majorBidi"/>
          <w:i/>
          <w:kern w:val="28"/>
          <w:szCs w:val="56"/>
        </w:rPr>
        <w:t>”</w:t>
      </w:r>
    </w:p>
    <w:p w14:paraId="7EDA5FB3" w14:textId="77777777" w:rsidR="002B64CC" w:rsidRPr="00635C4B" w:rsidRDefault="002B64CC" w:rsidP="00635C4B">
      <w:pPr>
        <w:autoSpaceDE w:val="0"/>
        <w:autoSpaceDN w:val="0"/>
        <w:adjustRightInd w:val="0"/>
        <w:ind w:right="-28"/>
        <w:rPr>
          <w:rFonts w:cs="Tahoma"/>
          <w:bCs/>
          <w:szCs w:val="22"/>
        </w:rPr>
      </w:pPr>
    </w:p>
    <w:p w14:paraId="70920289" w14:textId="3BA97AC6" w:rsidR="00664420" w:rsidRPr="00635C4B" w:rsidRDefault="00F07EE6" w:rsidP="00635C4B">
      <w:pPr>
        <w:autoSpaceDE w:val="0"/>
        <w:autoSpaceDN w:val="0"/>
        <w:adjustRightInd w:val="0"/>
        <w:ind w:right="-28"/>
        <w:rPr>
          <w:rFonts w:cs="Tahoma"/>
          <w:bCs/>
          <w:szCs w:val="22"/>
          <w:lang w:val="es-ES"/>
        </w:rPr>
      </w:pPr>
      <w:r w:rsidRPr="00635C4B">
        <w:rPr>
          <w:rFonts w:cs="Tahoma"/>
          <w:bCs/>
          <w:szCs w:val="22"/>
          <w:lang w:val="es-ES"/>
        </w:rPr>
        <w:t xml:space="preserve">Asimismo, </w:t>
      </w:r>
      <w:r w:rsidRPr="00635C4B">
        <w:rPr>
          <w:rFonts w:cs="Tahoma"/>
          <w:b/>
          <w:szCs w:val="22"/>
          <w:lang w:val="es-ES"/>
        </w:rPr>
        <w:t xml:space="preserve">EL SUJETO OBLIGADO </w:t>
      </w:r>
      <w:r w:rsidRPr="00635C4B">
        <w:rPr>
          <w:rFonts w:cs="Tahoma"/>
          <w:bCs/>
          <w:szCs w:val="22"/>
          <w:lang w:val="es-ES"/>
        </w:rPr>
        <w:t xml:space="preserve">adjuntó a su respuesta </w:t>
      </w:r>
      <w:r w:rsidR="002B64CC" w:rsidRPr="00635C4B">
        <w:rPr>
          <w:rFonts w:cs="Tahoma"/>
          <w:bCs/>
          <w:szCs w:val="22"/>
          <w:lang w:val="es-ES"/>
        </w:rPr>
        <w:t>lo siguiente</w:t>
      </w:r>
      <w:r w:rsidR="00664420" w:rsidRPr="00635C4B">
        <w:rPr>
          <w:rFonts w:cs="Tahoma"/>
          <w:bCs/>
          <w:szCs w:val="22"/>
          <w:lang w:val="es-ES"/>
        </w:rPr>
        <w:t>:</w:t>
      </w:r>
    </w:p>
    <w:p w14:paraId="2C78354F" w14:textId="77777777" w:rsidR="00664420" w:rsidRPr="00635C4B" w:rsidRDefault="00664420" w:rsidP="00635C4B">
      <w:pPr>
        <w:autoSpaceDE w:val="0"/>
        <w:autoSpaceDN w:val="0"/>
        <w:adjustRightInd w:val="0"/>
        <w:ind w:right="-28"/>
        <w:rPr>
          <w:rFonts w:cs="Tahoma"/>
          <w:bCs/>
          <w:szCs w:val="22"/>
          <w:lang w:val="es-ES"/>
        </w:rPr>
      </w:pPr>
    </w:p>
    <w:p w14:paraId="14C12132" w14:textId="603D6884" w:rsidR="00921AC6" w:rsidRPr="00635C4B" w:rsidRDefault="00921AC6" w:rsidP="00635C4B">
      <w:pPr>
        <w:pStyle w:val="Prrafodelista"/>
        <w:numPr>
          <w:ilvl w:val="0"/>
          <w:numId w:val="23"/>
        </w:numPr>
        <w:autoSpaceDE w:val="0"/>
        <w:autoSpaceDN w:val="0"/>
        <w:adjustRightInd w:val="0"/>
        <w:ind w:right="-28"/>
        <w:rPr>
          <w:rFonts w:cs="Tahoma"/>
          <w:b/>
          <w:bCs/>
          <w:szCs w:val="22"/>
          <w:lang w:val="es-ES"/>
        </w:rPr>
      </w:pPr>
      <w:r w:rsidRPr="00635C4B">
        <w:rPr>
          <w:rFonts w:cs="Tahoma"/>
          <w:b/>
          <w:bCs/>
          <w:szCs w:val="22"/>
          <w:lang w:val="es-ES"/>
        </w:rPr>
        <w:lastRenderedPageBreak/>
        <w:t xml:space="preserve">UT Respuesta SAIMEX 00213.pdf: </w:t>
      </w:r>
      <w:r w:rsidRPr="00635C4B">
        <w:rPr>
          <w:rFonts w:cs="Tahoma"/>
          <w:bCs/>
          <w:szCs w:val="22"/>
          <w:lang w:val="es-ES"/>
        </w:rPr>
        <w:t>Oficio signado por la Titular de la Unidad de Transparencia en donde manifiesta adjuntar la información proporcionada por el Director de Administración, Finanzas y de Gestión Documental.</w:t>
      </w:r>
    </w:p>
    <w:p w14:paraId="52460699" w14:textId="592604AA" w:rsidR="00664420" w:rsidRPr="00635C4B" w:rsidRDefault="00753372" w:rsidP="00635C4B">
      <w:pPr>
        <w:pStyle w:val="Prrafodelista"/>
        <w:numPr>
          <w:ilvl w:val="0"/>
          <w:numId w:val="23"/>
        </w:numPr>
        <w:autoSpaceDE w:val="0"/>
        <w:autoSpaceDN w:val="0"/>
        <w:adjustRightInd w:val="0"/>
        <w:ind w:right="-28"/>
        <w:rPr>
          <w:rFonts w:cs="Tahoma"/>
          <w:bCs/>
          <w:szCs w:val="22"/>
          <w:lang w:val="es-ES"/>
        </w:rPr>
      </w:pPr>
      <w:r w:rsidRPr="00635C4B">
        <w:rPr>
          <w:rFonts w:cs="Tahoma"/>
          <w:b/>
          <w:bCs/>
          <w:szCs w:val="22"/>
          <w:lang w:val="es-ES"/>
        </w:rPr>
        <w:t xml:space="preserve">Oficio </w:t>
      </w:r>
      <w:proofErr w:type="spellStart"/>
      <w:r w:rsidRPr="00635C4B">
        <w:rPr>
          <w:rFonts w:cs="Tahoma"/>
          <w:b/>
          <w:bCs/>
          <w:szCs w:val="22"/>
          <w:lang w:val="es-ES"/>
        </w:rPr>
        <w:t>Nú</w:t>
      </w:r>
      <w:proofErr w:type="spellEnd"/>
      <w:r w:rsidRPr="00635C4B">
        <w:rPr>
          <w:rFonts w:cs="Tahoma"/>
          <w:b/>
          <w:bCs/>
          <w:szCs w:val="22"/>
          <w:lang w:val="es-ES"/>
        </w:rPr>
        <w:t>. 225C0201040000L-2753-2024- (SAIMEX 00213).</w:t>
      </w:r>
      <w:proofErr w:type="spellStart"/>
      <w:r w:rsidRPr="00635C4B">
        <w:rPr>
          <w:rFonts w:cs="Tahoma"/>
          <w:b/>
          <w:bCs/>
          <w:szCs w:val="22"/>
          <w:lang w:val="es-ES"/>
        </w:rPr>
        <w:t>pdf</w:t>
      </w:r>
      <w:proofErr w:type="spellEnd"/>
      <w:r w:rsidR="00251911" w:rsidRPr="00635C4B">
        <w:rPr>
          <w:rFonts w:cs="Tahoma"/>
          <w:bCs/>
          <w:szCs w:val="22"/>
          <w:lang w:val="es-ES"/>
        </w:rPr>
        <w:t xml:space="preserve">: </w:t>
      </w:r>
      <w:r w:rsidRPr="00635C4B">
        <w:rPr>
          <w:rFonts w:cs="Tahoma"/>
          <w:bCs/>
          <w:szCs w:val="22"/>
          <w:lang w:val="es-ES"/>
        </w:rPr>
        <w:t xml:space="preserve">Consiste en el oficio signado por el Director de Administración, Finanzas y de Gestión Documental, en el cual </w:t>
      </w:r>
      <w:r w:rsidR="00921AC6" w:rsidRPr="00635C4B">
        <w:rPr>
          <w:rFonts w:cs="Tahoma"/>
          <w:bCs/>
          <w:szCs w:val="22"/>
          <w:lang w:val="es-ES"/>
        </w:rPr>
        <w:t>señala la información a proporcionar, en atención a la solicitud de información, siendo esta, las bases, acta de junta de aclaraciones, acta de fallo de adjudicación y los contratos en versión pública.</w:t>
      </w:r>
    </w:p>
    <w:p w14:paraId="228DC6DA" w14:textId="0168DADA" w:rsidR="00921AC6" w:rsidRPr="00635C4B" w:rsidRDefault="00921AC6" w:rsidP="00635C4B">
      <w:pPr>
        <w:pStyle w:val="Prrafodelista"/>
        <w:numPr>
          <w:ilvl w:val="0"/>
          <w:numId w:val="23"/>
        </w:numPr>
        <w:autoSpaceDE w:val="0"/>
        <w:autoSpaceDN w:val="0"/>
        <w:adjustRightInd w:val="0"/>
        <w:ind w:right="-28"/>
        <w:rPr>
          <w:rFonts w:cs="Tahoma"/>
          <w:b/>
          <w:bCs/>
          <w:szCs w:val="22"/>
          <w:lang w:val="es-ES"/>
        </w:rPr>
      </w:pPr>
      <w:r w:rsidRPr="00635C4B">
        <w:rPr>
          <w:rFonts w:cs="Tahoma"/>
          <w:b/>
          <w:bCs/>
          <w:szCs w:val="22"/>
          <w:lang w:val="es-ES"/>
        </w:rPr>
        <w:t xml:space="preserve">CB-LPNP-003-2024 CONTRATO.pdf: </w:t>
      </w:r>
      <w:r w:rsidRPr="00635C4B">
        <w:rPr>
          <w:rFonts w:cs="Tahoma"/>
          <w:bCs/>
          <w:szCs w:val="22"/>
          <w:lang w:val="es-ES"/>
        </w:rPr>
        <w:t xml:space="preserve">Consiste en el contrato administrativo de adquisición de bienes con número de control </w:t>
      </w:r>
      <w:r w:rsidRPr="00635C4B">
        <w:rPr>
          <w:rFonts w:cs="Tahoma"/>
          <w:b/>
          <w:bCs/>
          <w:szCs w:val="22"/>
          <w:lang w:val="es-ES"/>
        </w:rPr>
        <w:t>CB-LPNP-003-2024.</w:t>
      </w:r>
    </w:p>
    <w:p w14:paraId="2EA0A0A2" w14:textId="013022AF" w:rsidR="00921AC6" w:rsidRPr="00635C4B" w:rsidRDefault="00921AC6" w:rsidP="00635C4B">
      <w:pPr>
        <w:pStyle w:val="Prrafodelista"/>
        <w:numPr>
          <w:ilvl w:val="0"/>
          <w:numId w:val="23"/>
        </w:numPr>
        <w:autoSpaceDE w:val="0"/>
        <w:autoSpaceDN w:val="0"/>
        <w:adjustRightInd w:val="0"/>
        <w:ind w:right="-28"/>
        <w:rPr>
          <w:rFonts w:cs="Tahoma"/>
          <w:b/>
          <w:bCs/>
          <w:szCs w:val="22"/>
          <w:lang w:val="es-ES"/>
        </w:rPr>
      </w:pPr>
      <w:r w:rsidRPr="00635C4B">
        <w:rPr>
          <w:rFonts w:cs="Tahoma"/>
          <w:b/>
          <w:bCs/>
          <w:szCs w:val="22"/>
          <w:lang w:val="es-ES"/>
        </w:rPr>
        <w:t xml:space="preserve">CB-LPNP-006-2024 CONTRATO.pdf: </w:t>
      </w:r>
      <w:r w:rsidRPr="00635C4B">
        <w:rPr>
          <w:rFonts w:cs="Tahoma"/>
          <w:bCs/>
          <w:szCs w:val="22"/>
          <w:lang w:val="es-ES"/>
        </w:rPr>
        <w:t xml:space="preserve">Contiene el contrato administrativo de adquisición de bienes, con número de control </w:t>
      </w:r>
      <w:r w:rsidRPr="00635C4B">
        <w:rPr>
          <w:rFonts w:cs="Tahoma"/>
          <w:b/>
          <w:bCs/>
          <w:szCs w:val="22"/>
          <w:lang w:val="es-ES"/>
        </w:rPr>
        <w:t>CB-LPNP-006-2024</w:t>
      </w:r>
      <w:r w:rsidRPr="00635C4B">
        <w:rPr>
          <w:rFonts w:cs="Tahoma"/>
          <w:bCs/>
          <w:szCs w:val="22"/>
          <w:lang w:val="es-ES"/>
        </w:rPr>
        <w:t>.</w:t>
      </w:r>
    </w:p>
    <w:p w14:paraId="2EAF35BE" w14:textId="00E840D7" w:rsidR="00921AC6" w:rsidRPr="00635C4B" w:rsidRDefault="00921AC6" w:rsidP="00635C4B">
      <w:pPr>
        <w:pStyle w:val="Prrafodelista"/>
        <w:numPr>
          <w:ilvl w:val="0"/>
          <w:numId w:val="23"/>
        </w:numPr>
        <w:autoSpaceDE w:val="0"/>
        <w:autoSpaceDN w:val="0"/>
        <w:adjustRightInd w:val="0"/>
        <w:ind w:right="-28"/>
        <w:rPr>
          <w:rFonts w:cs="Tahoma"/>
          <w:b/>
          <w:bCs/>
          <w:szCs w:val="22"/>
          <w:lang w:val="es-ES"/>
        </w:rPr>
      </w:pPr>
      <w:r w:rsidRPr="00635C4B">
        <w:rPr>
          <w:rFonts w:cs="Tahoma"/>
          <w:b/>
          <w:bCs/>
          <w:szCs w:val="22"/>
          <w:lang w:val="es-ES"/>
        </w:rPr>
        <w:t xml:space="preserve">PB-LPNP-003-2024 ACTA DE JUNTA DE ACLARACIONES.pdf: </w:t>
      </w:r>
      <w:r w:rsidRPr="00635C4B">
        <w:rPr>
          <w:rFonts w:cs="Tahoma"/>
          <w:bCs/>
          <w:szCs w:val="22"/>
          <w:lang w:val="es-ES"/>
        </w:rPr>
        <w:t xml:space="preserve">Contiene el acta de la junta de aclaraciones de licitación pública nacional presencial de número </w:t>
      </w:r>
      <w:r w:rsidRPr="00635C4B">
        <w:rPr>
          <w:rFonts w:cs="Tahoma"/>
          <w:b/>
          <w:bCs/>
          <w:szCs w:val="22"/>
          <w:lang w:val="es-ES"/>
        </w:rPr>
        <w:t>PB-LPNP-003-2024.</w:t>
      </w:r>
    </w:p>
    <w:p w14:paraId="690C31DF" w14:textId="14E6ABAC" w:rsidR="00921AC6" w:rsidRPr="00635C4B" w:rsidRDefault="00921AC6" w:rsidP="00635C4B">
      <w:pPr>
        <w:pStyle w:val="Prrafodelista"/>
        <w:numPr>
          <w:ilvl w:val="0"/>
          <w:numId w:val="23"/>
        </w:numPr>
        <w:autoSpaceDE w:val="0"/>
        <w:autoSpaceDN w:val="0"/>
        <w:adjustRightInd w:val="0"/>
        <w:ind w:right="-28"/>
        <w:rPr>
          <w:rFonts w:cs="Tahoma"/>
          <w:b/>
          <w:bCs/>
          <w:szCs w:val="22"/>
          <w:lang w:val="es-ES"/>
        </w:rPr>
      </w:pPr>
      <w:r w:rsidRPr="00635C4B">
        <w:rPr>
          <w:rFonts w:cs="Tahoma"/>
          <w:b/>
          <w:bCs/>
          <w:szCs w:val="22"/>
          <w:lang w:val="es-ES"/>
        </w:rPr>
        <w:t xml:space="preserve">PB-LPNP-003-2024 BASES.pdf: </w:t>
      </w:r>
      <w:r w:rsidRPr="00635C4B">
        <w:rPr>
          <w:rFonts w:cs="Tahoma"/>
          <w:bCs/>
          <w:szCs w:val="22"/>
          <w:lang w:val="es-ES"/>
        </w:rPr>
        <w:t xml:space="preserve">Contiene las bases de la licitación pública nacional presencial de número </w:t>
      </w:r>
      <w:r w:rsidRPr="00635C4B">
        <w:rPr>
          <w:rFonts w:cs="Tahoma"/>
          <w:b/>
          <w:bCs/>
          <w:szCs w:val="22"/>
          <w:lang w:val="es-ES"/>
        </w:rPr>
        <w:t>PB-LPNP-003-2024.</w:t>
      </w:r>
    </w:p>
    <w:p w14:paraId="7054B01C" w14:textId="2B5FAC97" w:rsidR="00921AC6" w:rsidRPr="00635C4B" w:rsidRDefault="00921AC6" w:rsidP="00635C4B">
      <w:pPr>
        <w:pStyle w:val="Prrafodelista"/>
        <w:numPr>
          <w:ilvl w:val="0"/>
          <w:numId w:val="23"/>
        </w:numPr>
        <w:autoSpaceDE w:val="0"/>
        <w:autoSpaceDN w:val="0"/>
        <w:adjustRightInd w:val="0"/>
        <w:ind w:right="-28"/>
        <w:rPr>
          <w:rFonts w:cs="Tahoma"/>
          <w:b/>
          <w:bCs/>
          <w:szCs w:val="22"/>
          <w:lang w:val="es-ES"/>
        </w:rPr>
      </w:pPr>
      <w:r w:rsidRPr="00635C4B">
        <w:rPr>
          <w:rFonts w:cs="Tahoma"/>
          <w:b/>
          <w:bCs/>
          <w:szCs w:val="22"/>
          <w:lang w:val="es-ES"/>
        </w:rPr>
        <w:t>PB-LPNP-003-2024 ACTA DE NOTIFICACIÓN DE FALLO.pdf</w:t>
      </w:r>
      <w:r w:rsidR="00FA716F" w:rsidRPr="00635C4B">
        <w:rPr>
          <w:rFonts w:cs="Tahoma"/>
          <w:b/>
          <w:bCs/>
          <w:szCs w:val="22"/>
          <w:lang w:val="es-ES"/>
        </w:rPr>
        <w:t xml:space="preserve">: </w:t>
      </w:r>
      <w:r w:rsidR="00FA716F" w:rsidRPr="00635C4B">
        <w:rPr>
          <w:rFonts w:cs="Tahoma"/>
          <w:bCs/>
          <w:szCs w:val="22"/>
          <w:lang w:val="es-ES"/>
        </w:rPr>
        <w:t xml:space="preserve">Consiste en el acta del fallo de adjudicación de la licitación pública nacional presencial número </w:t>
      </w:r>
      <w:r w:rsidR="00FA716F" w:rsidRPr="00635C4B">
        <w:rPr>
          <w:rFonts w:cs="Tahoma"/>
          <w:b/>
          <w:bCs/>
          <w:szCs w:val="22"/>
          <w:lang w:val="es-ES"/>
        </w:rPr>
        <w:t>PB-LPNP-003-2024.</w:t>
      </w:r>
    </w:p>
    <w:p w14:paraId="106CDCEC" w14:textId="7EFD9ACA" w:rsidR="00FA716F" w:rsidRPr="00635C4B" w:rsidRDefault="00FA716F" w:rsidP="00635C4B">
      <w:pPr>
        <w:pStyle w:val="Prrafodelista"/>
        <w:numPr>
          <w:ilvl w:val="0"/>
          <w:numId w:val="23"/>
        </w:numPr>
        <w:autoSpaceDE w:val="0"/>
        <w:autoSpaceDN w:val="0"/>
        <w:adjustRightInd w:val="0"/>
        <w:ind w:right="-28"/>
        <w:rPr>
          <w:rFonts w:cs="Tahoma"/>
          <w:b/>
          <w:bCs/>
          <w:szCs w:val="22"/>
          <w:lang w:val="es-ES"/>
        </w:rPr>
      </w:pPr>
      <w:r w:rsidRPr="00635C4B">
        <w:rPr>
          <w:rFonts w:cs="Tahoma"/>
          <w:b/>
          <w:bCs/>
          <w:szCs w:val="22"/>
          <w:lang w:val="es-ES"/>
        </w:rPr>
        <w:t xml:space="preserve">CB-LPNP-004-2024 CONTRATO.pdf: </w:t>
      </w:r>
      <w:r w:rsidRPr="00635C4B">
        <w:rPr>
          <w:rFonts w:cs="Tahoma"/>
          <w:bCs/>
          <w:szCs w:val="22"/>
          <w:lang w:val="es-ES"/>
        </w:rPr>
        <w:t xml:space="preserve">Contiene el contrato administrativo de adquisiciones de bienes, con número de control </w:t>
      </w:r>
      <w:r w:rsidRPr="00635C4B">
        <w:rPr>
          <w:rFonts w:cs="Tahoma"/>
          <w:b/>
          <w:bCs/>
          <w:szCs w:val="22"/>
          <w:lang w:val="es-ES"/>
        </w:rPr>
        <w:t>CB-LPNP-004-2024.</w:t>
      </w:r>
    </w:p>
    <w:p w14:paraId="62283842" w14:textId="2984A93F" w:rsidR="00FA716F" w:rsidRPr="00635C4B" w:rsidRDefault="00FA716F" w:rsidP="00635C4B">
      <w:pPr>
        <w:pStyle w:val="Prrafodelista"/>
        <w:numPr>
          <w:ilvl w:val="0"/>
          <w:numId w:val="23"/>
        </w:numPr>
        <w:autoSpaceDE w:val="0"/>
        <w:autoSpaceDN w:val="0"/>
        <w:adjustRightInd w:val="0"/>
        <w:ind w:right="-28"/>
        <w:rPr>
          <w:rFonts w:cs="Tahoma"/>
          <w:b/>
          <w:bCs/>
          <w:szCs w:val="22"/>
          <w:lang w:val="es-ES"/>
        </w:rPr>
      </w:pPr>
      <w:r w:rsidRPr="00635C4B">
        <w:rPr>
          <w:rFonts w:cs="Tahoma"/>
          <w:b/>
          <w:bCs/>
          <w:szCs w:val="22"/>
          <w:lang w:val="es-ES"/>
        </w:rPr>
        <w:t xml:space="preserve">CB-LPNP-005-2024 CONTRATO.pdf: </w:t>
      </w:r>
      <w:r w:rsidRPr="00635C4B">
        <w:rPr>
          <w:rFonts w:cs="Tahoma"/>
          <w:bCs/>
          <w:szCs w:val="22"/>
          <w:lang w:val="es-ES"/>
        </w:rPr>
        <w:t xml:space="preserve">Contiene el contrato administrativo de adquisiciones de bienes, con número de control </w:t>
      </w:r>
      <w:r w:rsidRPr="00635C4B">
        <w:rPr>
          <w:rFonts w:cs="Tahoma"/>
          <w:b/>
          <w:bCs/>
          <w:szCs w:val="22"/>
          <w:lang w:val="es-ES"/>
        </w:rPr>
        <w:t>CB-LPNP-005-2024.</w:t>
      </w:r>
    </w:p>
    <w:p w14:paraId="615DA370" w14:textId="396A11F2" w:rsidR="00FA716F" w:rsidRPr="00635C4B" w:rsidRDefault="00FA716F" w:rsidP="00635C4B">
      <w:pPr>
        <w:pStyle w:val="Prrafodelista"/>
        <w:numPr>
          <w:ilvl w:val="0"/>
          <w:numId w:val="23"/>
        </w:numPr>
        <w:autoSpaceDE w:val="0"/>
        <w:autoSpaceDN w:val="0"/>
        <w:adjustRightInd w:val="0"/>
        <w:ind w:right="-28"/>
        <w:rPr>
          <w:rFonts w:cs="Tahoma"/>
          <w:b/>
          <w:bCs/>
          <w:szCs w:val="22"/>
          <w:lang w:val="es-ES"/>
        </w:rPr>
      </w:pPr>
      <w:r w:rsidRPr="00635C4B">
        <w:rPr>
          <w:rFonts w:cs="Tahoma"/>
          <w:b/>
          <w:bCs/>
          <w:szCs w:val="22"/>
          <w:lang w:val="es-ES"/>
        </w:rPr>
        <w:lastRenderedPageBreak/>
        <w:t xml:space="preserve">Acta 20a Sesión Extraordinaria.pdf: </w:t>
      </w:r>
      <w:r w:rsidRPr="00635C4B">
        <w:rPr>
          <w:rFonts w:cs="Tahoma"/>
          <w:bCs/>
          <w:szCs w:val="22"/>
          <w:lang w:val="es-ES"/>
        </w:rPr>
        <w:t xml:space="preserve">Contiene el acta de la vigésima sesión extraordinaria del Comité de Transparencia PROBOSQUE/CT/EXT/20/2024 en la que se </w:t>
      </w:r>
      <w:r w:rsidR="00B44E0C" w:rsidRPr="00635C4B">
        <w:rPr>
          <w:rFonts w:cs="Tahoma"/>
          <w:bCs/>
          <w:szCs w:val="22"/>
          <w:lang w:val="es-ES"/>
        </w:rPr>
        <w:t>aprueba la clasificación de la información confidencial contenida en los documentos proporcionados en calidad de respuesta.</w:t>
      </w:r>
    </w:p>
    <w:p w14:paraId="27D04E78" w14:textId="77777777" w:rsidR="00921AC6" w:rsidRPr="00635C4B" w:rsidRDefault="00921AC6" w:rsidP="00635C4B">
      <w:pPr>
        <w:autoSpaceDE w:val="0"/>
        <w:autoSpaceDN w:val="0"/>
        <w:adjustRightInd w:val="0"/>
        <w:ind w:right="-28"/>
        <w:rPr>
          <w:rFonts w:cs="Tahoma"/>
          <w:bCs/>
          <w:szCs w:val="22"/>
          <w:lang w:val="es-ES"/>
        </w:rPr>
      </w:pPr>
    </w:p>
    <w:p w14:paraId="5A5DAB9E" w14:textId="77777777" w:rsidR="00E37A3F" w:rsidRPr="00635C4B" w:rsidRDefault="00E37A3F" w:rsidP="00635C4B">
      <w:pPr>
        <w:pStyle w:val="Ttulo2"/>
        <w:jc w:val="left"/>
      </w:pPr>
      <w:bookmarkStart w:id="10" w:name="_Toc185499673"/>
      <w:r w:rsidRPr="00635C4B">
        <w:t>DEL RECURSO DE REVISIÓN</w:t>
      </w:r>
      <w:bookmarkEnd w:id="10"/>
    </w:p>
    <w:p w14:paraId="2B216813" w14:textId="61ADBB2B" w:rsidR="00664420" w:rsidRPr="00635C4B" w:rsidRDefault="006E25BC" w:rsidP="00635C4B">
      <w:pPr>
        <w:pStyle w:val="Ttulo3"/>
      </w:pPr>
      <w:bookmarkStart w:id="11" w:name="_Toc185499674"/>
      <w:r w:rsidRPr="00635C4B">
        <w:rPr>
          <w:szCs w:val="32"/>
        </w:rPr>
        <w:t>a)</w:t>
      </w:r>
      <w:r w:rsidRPr="00635C4B">
        <w:t xml:space="preserve"> </w:t>
      </w:r>
      <w:r w:rsidR="00664420" w:rsidRPr="00635C4B">
        <w:t>Interposición del Recurso de Revisión</w:t>
      </w:r>
      <w:bookmarkEnd w:id="11"/>
    </w:p>
    <w:p w14:paraId="6279C622" w14:textId="5A844976" w:rsidR="00664420" w:rsidRPr="00635C4B" w:rsidRDefault="00664420" w:rsidP="00635C4B">
      <w:pPr>
        <w:autoSpaceDE w:val="0"/>
        <w:autoSpaceDN w:val="0"/>
        <w:adjustRightInd w:val="0"/>
        <w:ind w:right="-28"/>
        <w:rPr>
          <w:rFonts w:cs="Tahoma"/>
          <w:szCs w:val="22"/>
        </w:rPr>
      </w:pPr>
      <w:r w:rsidRPr="00635C4B">
        <w:rPr>
          <w:rFonts w:cs="Tahoma"/>
          <w:szCs w:val="22"/>
        </w:rPr>
        <w:t xml:space="preserve">El </w:t>
      </w:r>
      <w:r w:rsidR="00B44E0C" w:rsidRPr="00635C4B">
        <w:rPr>
          <w:rFonts w:cs="Tahoma"/>
          <w:b/>
          <w:bCs/>
          <w:szCs w:val="22"/>
        </w:rPr>
        <w:t>dos de diciembre</w:t>
      </w:r>
      <w:r w:rsidR="00AB3FCD" w:rsidRPr="00635C4B">
        <w:rPr>
          <w:rFonts w:cs="Tahoma"/>
          <w:b/>
          <w:bCs/>
          <w:szCs w:val="22"/>
        </w:rPr>
        <w:t xml:space="preserve"> </w:t>
      </w:r>
      <w:r w:rsidR="00C135F9" w:rsidRPr="00635C4B">
        <w:rPr>
          <w:rFonts w:cs="Tahoma"/>
          <w:b/>
          <w:bCs/>
          <w:szCs w:val="22"/>
        </w:rPr>
        <w:t>de dos mil veinticuatro</w:t>
      </w:r>
      <w:r w:rsidRPr="00635C4B">
        <w:rPr>
          <w:rFonts w:cs="Tahoma"/>
          <w:szCs w:val="22"/>
        </w:rPr>
        <w:t xml:space="preserve"> </w:t>
      </w:r>
      <w:r w:rsidR="00F75D23" w:rsidRPr="00635C4B">
        <w:rPr>
          <w:rFonts w:cs="Tahoma"/>
          <w:b/>
          <w:bCs/>
          <w:szCs w:val="22"/>
        </w:rPr>
        <w:t>LA PARTE RECURRENTE</w:t>
      </w:r>
      <w:r w:rsidR="00F75D23" w:rsidRPr="00635C4B">
        <w:rPr>
          <w:rFonts w:cs="Tahoma"/>
          <w:szCs w:val="22"/>
        </w:rPr>
        <w:t xml:space="preserve"> interpuso el recurso de revisión en contra de la respuesta emitida por el </w:t>
      </w:r>
      <w:r w:rsidR="00F75D23" w:rsidRPr="00635C4B">
        <w:rPr>
          <w:rFonts w:cs="Tahoma"/>
          <w:b/>
          <w:bCs/>
          <w:szCs w:val="22"/>
        </w:rPr>
        <w:t>SUJETO OBLIGADO</w:t>
      </w:r>
      <w:r w:rsidR="00953430" w:rsidRPr="00635C4B">
        <w:rPr>
          <w:rFonts w:cs="Tahoma"/>
          <w:szCs w:val="22"/>
        </w:rPr>
        <w:t xml:space="preserve">, mismo que fue registrado en el SAIMEX con el número de expediente </w:t>
      </w:r>
      <w:r w:rsidR="00B44E0C" w:rsidRPr="00635C4B">
        <w:rPr>
          <w:rFonts w:cs="Tahoma"/>
          <w:b/>
          <w:bCs/>
          <w:szCs w:val="22"/>
        </w:rPr>
        <w:t>07447/INFOEM/IP/RR/2024</w:t>
      </w:r>
      <w:r w:rsidR="00953430" w:rsidRPr="00635C4B">
        <w:rPr>
          <w:rFonts w:cs="Tahoma"/>
          <w:szCs w:val="22"/>
        </w:rPr>
        <w:t>, y en el cual manifiesta lo siguiente</w:t>
      </w:r>
      <w:r w:rsidRPr="00635C4B">
        <w:rPr>
          <w:rFonts w:cs="Tahoma"/>
          <w:szCs w:val="22"/>
        </w:rPr>
        <w:t>:</w:t>
      </w:r>
    </w:p>
    <w:p w14:paraId="74B30008" w14:textId="77777777" w:rsidR="00664420" w:rsidRPr="00635C4B" w:rsidRDefault="00664420" w:rsidP="00635C4B">
      <w:pPr>
        <w:tabs>
          <w:tab w:val="left" w:pos="4667"/>
        </w:tabs>
        <w:ind w:right="539"/>
        <w:rPr>
          <w:rFonts w:cs="Tahoma"/>
          <w:szCs w:val="22"/>
        </w:rPr>
      </w:pPr>
    </w:p>
    <w:p w14:paraId="12153283" w14:textId="77777777" w:rsidR="00664420" w:rsidRPr="00635C4B" w:rsidRDefault="00664420" w:rsidP="00635C4B">
      <w:pPr>
        <w:tabs>
          <w:tab w:val="left" w:pos="4667"/>
        </w:tabs>
        <w:ind w:left="567" w:right="539"/>
        <w:rPr>
          <w:rFonts w:cs="Tahoma"/>
          <w:b/>
          <w:iCs/>
        </w:rPr>
      </w:pPr>
      <w:r w:rsidRPr="00635C4B">
        <w:rPr>
          <w:rFonts w:cs="Tahoma"/>
          <w:b/>
          <w:iCs/>
        </w:rPr>
        <w:t>ACTO IMPUGNADO</w:t>
      </w:r>
      <w:r w:rsidRPr="00635C4B">
        <w:rPr>
          <w:rFonts w:cs="Tahoma"/>
          <w:b/>
          <w:iCs/>
        </w:rPr>
        <w:tab/>
      </w:r>
    </w:p>
    <w:p w14:paraId="523F8BF4" w14:textId="05CE4BD8" w:rsidR="00664420" w:rsidRPr="00635C4B" w:rsidRDefault="00C135F9" w:rsidP="00635C4B">
      <w:pPr>
        <w:pStyle w:val="Puesto"/>
      </w:pPr>
      <w:r w:rsidRPr="00635C4B">
        <w:t>“</w:t>
      </w:r>
      <w:r w:rsidR="00B44E0C" w:rsidRPr="00635C4B">
        <w:t xml:space="preserve">La respuesta del sujeto obligado sin folio sin fecha a la presente solicitud, en la cual es omiso en responder por el numeral 2 de la petición, EN EL CUAL SOLICITE: "2. Actas ordinarias y extraordinarias del Consejo Directivo de la Protectora de Bosques del Estado de México, celebradas durante los meses de julio, agosto y septiembre de 2024. Información pública de oficio que debería estar publicada en la plataforma nacional de </w:t>
      </w:r>
      <w:proofErr w:type="spellStart"/>
      <w:r w:rsidR="00B44E0C" w:rsidRPr="00635C4B">
        <w:t>transarencia</w:t>
      </w:r>
      <w:proofErr w:type="spellEnd"/>
      <w:r w:rsidR="00B44E0C" w:rsidRPr="00635C4B">
        <w:t xml:space="preserve"> pero la misma no se encuentra disponible EN ESTOS MOMENTOS."</w:t>
      </w:r>
    </w:p>
    <w:p w14:paraId="6AE8EA9A" w14:textId="77777777" w:rsidR="00664420" w:rsidRPr="00635C4B" w:rsidRDefault="00664420" w:rsidP="00635C4B">
      <w:pPr>
        <w:tabs>
          <w:tab w:val="left" w:pos="4667"/>
        </w:tabs>
        <w:ind w:left="567" w:right="539"/>
        <w:rPr>
          <w:rFonts w:cs="Tahoma"/>
          <w:bCs/>
          <w:i/>
        </w:rPr>
      </w:pPr>
    </w:p>
    <w:p w14:paraId="047D036B" w14:textId="77777777" w:rsidR="00664420" w:rsidRPr="00635C4B" w:rsidRDefault="00664420" w:rsidP="00635C4B">
      <w:pPr>
        <w:tabs>
          <w:tab w:val="left" w:pos="4667"/>
        </w:tabs>
        <w:ind w:left="567" w:right="539"/>
        <w:rPr>
          <w:rFonts w:cs="Tahoma"/>
          <w:b/>
          <w:iCs/>
        </w:rPr>
      </w:pPr>
      <w:r w:rsidRPr="00635C4B">
        <w:rPr>
          <w:rFonts w:cs="Tahoma"/>
          <w:b/>
          <w:iCs/>
        </w:rPr>
        <w:t>RAZONES O MOTIVOS DE LA INCONFORMIDAD</w:t>
      </w:r>
      <w:r w:rsidRPr="00635C4B">
        <w:rPr>
          <w:rFonts w:cs="Tahoma"/>
          <w:b/>
          <w:iCs/>
        </w:rPr>
        <w:tab/>
      </w:r>
    </w:p>
    <w:p w14:paraId="1DAE2563" w14:textId="3CBEEE20" w:rsidR="00953430" w:rsidRPr="00635C4B" w:rsidRDefault="00C135F9" w:rsidP="00635C4B">
      <w:pPr>
        <w:pStyle w:val="Puesto"/>
      </w:pPr>
      <w:r w:rsidRPr="00635C4B">
        <w:t>“</w:t>
      </w:r>
      <w:r w:rsidR="00B44E0C" w:rsidRPr="00635C4B">
        <w:t xml:space="preserve">La respuesta del sujeto obligado, en la cual es omiso en responder por el numeral 2 de la petición, EN EL CUAL SOLICITE: "2. Actas ordinarias y extraordinarias del Consejo Directivo de la Protectora de Bosques del Estado de México, celebradas durante los meses de julio, agosto y septiembre de 2024. Información pública de oficio que debería estar publicada en la plataforma nacional de </w:t>
      </w:r>
      <w:proofErr w:type="spellStart"/>
      <w:r w:rsidR="00B44E0C" w:rsidRPr="00635C4B">
        <w:t>transarencia</w:t>
      </w:r>
      <w:proofErr w:type="spellEnd"/>
      <w:r w:rsidR="00B44E0C" w:rsidRPr="00635C4B">
        <w:t xml:space="preserve"> pero la misma no se encuentra disponible EN ESTOS MOMENTOS." No omito comentar que PROBOSQUE es poseedor de la información solicitada en sus archivos, toda vez que las Leyes y Reglamentos que regulan su actuación, obligan al sujeto obligado a poseerla y a dar seguimiento a los acuerdos que emita su Consejo Directivo para cumplimiento</w:t>
      </w:r>
      <w:proofErr w:type="gramStart"/>
      <w:r w:rsidR="00B44E0C" w:rsidRPr="00635C4B">
        <w:t>.</w:t>
      </w:r>
      <w:r w:rsidR="00AA5FB3" w:rsidRPr="00635C4B">
        <w:t>.</w:t>
      </w:r>
      <w:r w:rsidRPr="00635C4B">
        <w:t>”</w:t>
      </w:r>
      <w:proofErr w:type="gramEnd"/>
    </w:p>
    <w:p w14:paraId="4E2387A9" w14:textId="1350DA67" w:rsidR="00C546E2" w:rsidRPr="00635C4B" w:rsidRDefault="00C546E2" w:rsidP="00635C4B">
      <w:pPr>
        <w:pStyle w:val="Prrafodelista"/>
        <w:widowControl w:val="0"/>
        <w:tabs>
          <w:tab w:val="left" w:pos="0"/>
        </w:tabs>
        <w:autoSpaceDE w:val="0"/>
        <w:autoSpaceDN w:val="0"/>
        <w:adjustRightInd w:val="0"/>
        <w:spacing w:before="240" w:after="240"/>
        <w:ind w:left="0"/>
        <w:rPr>
          <w:rFonts w:cs="Arial"/>
          <w:b/>
          <w:lang w:val="es-ES_tradnl"/>
        </w:rPr>
      </w:pPr>
      <w:r w:rsidRPr="00635C4B">
        <w:rPr>
          <w:rFonts w:cs="Arial"/>
          <w:lang w:val="es-ES_tradnl"/>
        </w:rPr>
        <w:lastRenderedPageBreak/>
        <w:t xml:space="preserve">Asimismo, </w:t>
      </w:r>
      <w:r w:rsidRPr="00635C4B">
        <w:rPr>
          <w:rFonts w:cs="Arial"/>
          <w:b/>
          <w:lang w:val="es-ES_tradnl"/>
        </w:rPr>
        <w:t>EL RECURRENTE</w:t>
      </w:r>
      <w:r w:rsidRPr="00635C4B">
        <w:rPr>
          <w:rFonts w:cs="Arial"/>
          <w:lang w:val="es-ES_tradnl"/>
        </w:rPr>
        <w:t xml:space="preserve"> adjuntó a su Recurso de Revisión los archivos denominados, </w:t>
      </w:r>
      <w:r w:rsidRPr="00635C4B">
        <w:rPr>
          <w:rFonts w:cs="Arial"/>
          <w:b/>
          <w:i/>
          <w:lang w:val="es-ES_tradnl"/>
        </w:rPr>
        <w:t>UT Respuesta SAIMEX 00213.pdf</w:t>
      </w:r>
      <w:r w:rsidRPr="00635C4B">
        <w:rPr>
          <w:rFonts w:cs="Arial"/>
          <w:lang w:val="es-ES_tradnl"/>
        </w:rPr>
        <w:t xml:space="preserve"> y </w:t>
      </w:r>
      <w:r w:rsidRPr="00635C4B">
        <w:rPr>
          <w:rFonts w:cs="Arial"/>
          <w:b/>
          <w:i/>
          <w:lang w:val="es-ES_tradnl"/>
        </w:rPr>
        <w:t xml:space="preserve">Acta 20a Sesión Extraordinaria.pdf, </w:t>
      </w:r>
      <w:r w:rsidRPr="00635C4B">
        <w:rPr>
          <w:rFonts w:cs="Arial"/>
          <w:lang w:val="es-ES_tradnl"/>
        </w:rPr>
        <w:t xml:space="preserve">los cuales corresponden a los notificados en respuesta por </w:t>
      </w:r>
      <w:r w:rsidRPr="00635C4B">
        <w:rPr>
          <w:rFonts w:cs="Arial"/>
          <w:b/>
          <w:lang w:val="es-ES_tradnl"/>
        </w:rPr>
        <w:t xml:space="preserve">EL SUJETO OBLIGADO. </w:t>
      </w:r>
    </w:p>
    <w:p w14:paraId="6804DEF1" w14:textId="3C4F6CB5" w:rsidR="00664420" w:rsidRPr="00635C4B" w:rsidRDefault="006E25BC" w:rsidP="00635C4B">
      <w:pPr>
        <w:pStyle w:val="Ttulo3"/>
      </w:pPr>
      <w:bookmarkStart w:id="12" w:name="_Toc185499675"/>
      <w:r w:rsidRPr="00635C4B">
        <w:t>b</w:t>
      </w:r>
      <w:r w:rsidR="00664420" w:rsidRPr="00635C4B">
        <w:t>) Turno del Recurso de Revisión</w:t>
      </w:r>
      <w:bookmarkEnd w:id="12"/>
    </w:p>
    <w:p w14:paraId="1173671B" w14:textId="7D55CD72" w:rsidR="00C72DAA" w:rsidRPr="00635C4B" w:rsidRDefault="00C72DAA" w:rsidP="00635C4B">
      <w:r w:rsidRPr="00635C4B">
        <w:t>Con fundamento en el artículo 185, fracción I de la Ley de Transparencia y Acceso a la Información Pública del Estado de México y Municipios, el</w:t>
      </w:r>
      <w:r w:rsidRPr="00635C4B">
        <w:rPr>
          <w:b/>
          <w:bCs/>
        </w:rPr>
        <w:t xml:space="preserve"> </w:t>
      </w:r>
      <w:r w:rsidR="00B44E0C" w:rsidRPr="00635C4B">
        <w:rPr>
          <w:rFonts w:eastAsia="Palatino Linotype" w:cs="Palatino Linotype"/>
          <w:b/>
        </w:rPr>
        <w:t>dos de diciembre</w:t>
      </w:r>
      <w:r w:rsidR="00C135F9" w:rsidRPr="00635C4B">
        <w:rPr>
          <w:rFonts w:eastAsia="Palatino Linotype" w:cs="Palatino Linotype"/>
          <w:b/>
        </w:rPr>
        <w:t xml:space="preserve"> de dos mil veinticuatro </w:t>
      </w:r>
      <w:r w:rsidRPr="00635C4B">
        <w:t>se turnó el recurso de revisión a través del</w:t>
      </w:r>
      <w:r w:rsidRPr="00635C4B">
        <w:rPr>
          <w:rFonts w:eastAsia="Arial Unicode MS"/>
        </w:rPr>
        <w:t xml:space="preserve"> </w:t>
      </w:r>
      <w:r w:rsidRPr="00635C4B">
        <w:rPr>
          <w:rFonts w:eastAsia="Arial Unicode MS"/>
          <w:bCs/>
        </w:rPr>
        <w:t>SAIMEX</w:t>
      </w:r>
      <w:r w:rsidRPr="00635C4B">
        <w:t xml:space="preserve"> a la </w:t>
      </w:r>
      <w:r w:rsidRPr="00635C4B">
        <w:rPr>
          <w:b/>
        </w:rPr>
        <w:t>Comisionada Sharon Cristina Morales Martínez</w:t>
      </w:r>
      <w:r w:rsidRPr="00635C4B">
        <w:rPr>
          <w:bCs/>
        </w:rPr>
        <w:t xml:space="preserve">, </w:t>
      </w:r>
      <w:r w:rsidRPr="00635C4B">
        <w:t xml:space="preserve">a efecto de decretar su admisión o </w:t>
      </w:r>
      <w:proofErr w:type="spellStart"/>
      <w:r w:rsidRPr="00635C4B">
        <w:t>desechamiento</w:t>
      </w:r>
      <w:proofErr w:type="spellEnd"/>
      <w:r w:rsidRPr="00635C4B">
        <w:t xml:space="preserve">. </w:t>
      </w:r>
    </w:p>
    <w:p w14:paraId="18F305CB" w14:textId="77777777" w:rsidR="00664420" w:rsidRPr="00635C4B" w:rsidRDefault="00664420" w:rsidP="00635C4B">
      <w:pPr>
        <w:rPr>
          <w:rFonts w:eastAsia="Batang" w:cs="Tahoma"/>
          <w:bCs/>
          <w:szCs w:val="22"/>
        </w:rPr>
      </w:pPr>
    </w:p>
    <w:p w14:paraId="3E31EC2D" w14:textId="295256A1" w:rsidR="00664420" w:rsidRPr="00635C4B" w:rsidRDefault="006E25BC" w:rsidP="00635C4B">
      <w:pPr>
        <w:pStyle w:val="Ttulo3"/>
      </w:pPr>
      <w:bookmarkStart w:id="13" w:name="_Toc185499676"/>
      <w:r w:rsidRPr="00635C4B">
        <w:t>c</w:t>
      </w:r>
      <w:r w:rsidR="00664420" w:rsidRPr="00635C4B">
        <w:t>) Admisión del Recurso de Revisión</w:t>
      </w:r>
      <w:bookmarkEnd w:id="13"/>
    </w:p>
    <w:p w14:paraId="240447D5" w14:textId="6B5B7A8E" w:rsidR="000E09C4" w:rsidRPr="00635C4B" w:rsidRDefault="000E09C4" w:rsidP="00635C4B">
      <w:pPr>
        <w:rPr>
          <w:rFonts w:cs="Arial"/>
        </w:rPr>
      </w:pPr>
      <w:r w:rsidRPr="00635C4B">
        <w:rPr>
          <w:rFonts w:cs="Arial"/>
        </w:rPr>
        <w:t xml:space="preserve">El </w:t>
      </w:r>
      <w:r w:rsidR="00B44E0C" w:rsidRPr="00635C4B">
        <w:rPr>
          <w:rFonts w:eastAsia="Palatino Linotype" w:cs="Palatino Linotype"/>
          <w:b/>
        </w:rPr>
        <w:t>tres de diciembre</w:t>
      </w:r>
      <w:r w:rsidR="00C135F9" w:rsidRPr="00635C4B">
        <w:rPr>
          <w:rFonts w:eastAsia="Palatino Linotype" w:cs="Palatino Linotype"/>
          <w:b/>
        </w:rPr>
        <w:t xml:space="preserve"> de dos mil veinticuatro</w:t>
      </w:r>
      <w:r w:rsidRPr="00635C4B">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635C4B">
        <w:rPr>
          <w:rFonts w:cs="Arial"/>
        </w:rPr>
        <w:t>, fracción II</w:t>
      </w:r>
      <w:r w:rsidRPr="00635C4B">
        <w:rPr>
          <w:rFonts w:cs="Arial"/>
        </w:rPr>
        <w:t xml:space="preserve"> de la Ley de Transparencia y Acceso a la Información Pública del Estado de México y Municipios.</w:t>
      </w:r>
    </w:p>
    <w:p w14:paraId="09B589C5" w14:textId="77777777" w:rsidR="00664420" w:rsidRPr="00635C4B" w:rsidRDefault="00664420" w:rsidP="00635C4B">
      <w:pPr>
        <w:rPr>
          <w:rFonts w:cs="Tahoma"/>
          <w:b/>
          <w:szCs w:val="22"/>
        </w:rPr>
      </w:pPr>
    </w:p>
    <w:p w14:paraId="66BA6FC7" w14:textId="0C734DEB" w:rsidR="00865CF4" w:rsidRPr="00635C4B" w:rsidRDefault="00C135F9" w:rsidP="00635C4B">
      <w:pPr>
        <w:pStyle w:val="Ttulo3"/>
      </w:pPr>
      <w:bookmarkStart w:id="14" w:name="_Toc185499677"/>
      <w:r w:rsidRPr="00635C4B">
        <w:t>d</w:t>
      </w:r>
      <w:r w:rsidR="00664420" w:rsidRPr="00635C4B">
        <w:t xml:space="preserve">) </w:t>
      </w:r>
      <w:r w:rsidR="00865CF4" w:rsidRPr="00635C4B">
        <w:t>Informe Justificado del Sujeto Obligado</w:t>
      </w:r>
      <w:bookmarkEnd w:id="14"/>
    </w:p>
    <w:p w14:paraId="195F0D72" w14:textId="369F5632" w:rsidR="00865CF4" w:rsidRPr="00635C4B" w:rsidRDefault="00846AF6" w:rsidP="00635C4B">
      <w:pPr>
        <w:rPr>
          <w:rFonts w:eastAsia="Calibri" w:cs="Tahoma"/>
          <w:szCs w:val="22"/>
          <w:lang w:eastAsia="en-US"/>
        </w:rPr>
      </w:pPr>
      <w:r w:rsidRPr="00635C4B">
        <w:rPr>
          <w:rFonts w:cs="Tahoma"/>
          <w:bCs/>
          <w:szCs w:val="24"/>
        </w:rPr>
        <w:t xml:space="preserve">El </w:t>
      </w:r>
      <w:r w:rsidRPr="00635C4B">
        <w:rPr>
          <w:rFonts w:cs="Tahoma"/>
          <w:b/>
          <w:szCs w:val="24"/>
        </w:rPr>
        <w:t>doce de diciembre de dos mil veinticuatro, EL SUJETO OBLIGADO</w:t>
      </w:r>
      <w:r w:rsidRPr="00635C4B">
        <w:rPr>
          <w:rFonts w:cs="Tahoma"/>
          <w:bCs/>
          <w:szCs w:val="24"/>
        </w:rPr>
        <w:t xml:space="preserve"> rindió su informe justificado a través del SAIMEX, </w:t>
      </w:r>
      <w:r w:rsidRPr="00635C4B">
        <w:rPr>
          <w:rFonts w:eastAsia="Calibri" w:cs="Tahoma"/>
          <w:szCs w:val="22"/>
          <w:lang w:eastAsia="en-US"/>
        </w:rPr>
        <w:t>en el cual</w:t>
      </w:r>
      <w:r w:rsidRPr="00635C4B">
        <w:rPr>
          <w:rFonts w:cs="Tahoma"/>
          <w:bCs/>
          <w:szCs w:val="24"/>
        </w:rPr>
        <w:t xml:space="preserve"> </w:t>
      </w:r>
      <w:r w:rsidR="00B44E0C" w:rsidRPr="00635C4B">
        <w:rPr>
          <w:rFonts w:eastAsia="Calibri" w:cs="Tahoma"/>
          <w:szCs w:val="22"/>
          <w:lang w:eastAsia="en-US"/>
        </w:rPr>
        <w:t xml:space="preserve">ratificó su respuesta inicial y por otro lado manifiesta que la información solicitada no se encuentra disponible a través de los medios electrónicos respectivos en virtud de que, conforme a las tablas de aplicabilidad no hay obligación que constriña al </w:t>
      </w:r>
      <w:r w:rsidR="00B44E0C" w:rsidRPr="00635C4B">
        <w:rPr>
          <w:rFonts w:eastAsia="Calibri" w:cs="Tahoma"/>
          <w:b/>
          <w:szCs w:val="22"/>
          <w:lang w:eastAsia="en-US"/>
        </w:rPr>
        <w:t xml:space="preserve">SUJETO OBLIGADO </w:t>
      </w:r>
      <w:r w:rsidR="00B44E0C" w:rsidRPr="00635C4B">
        <w:rPr>
          <w:rFonts w:eastAsia="Calibri" w:cs="Tahoma"/>
          <w:szCs w:val="22"/>
          <w:lang w:eastAsia="en-US"/>
        </w:rPr>
        <w:t>a publicar las actas de las sesiones del Consejo Directivo.</w:t>
      </w:r>
    </w:p>
    <w:p w14:paraId="6FCD333C" w14:textId="77777777" w:rsidR="00846AF6" w:rsidRPr="00635C4B" w:rsidRDefault="00846AF6" w:rsidP="00635C4B">
      <w:pPr>
        <w:rPr>
          <w:rFonts w:eastAsia="Calibri" w:cs="Tahoma"/>
          <w:szCs w:val="22"/>
          <w:lang w:eastAsia="en-US"/>
        </w:rPr>
      </w:pPr>
    </w:p>
    <w:p w14:paraId="12546881" w14:textId="3199E36A" w:rsidR="00846AF6" w:rsidRPr="00635C4B" w:rsidRDefault="00846AF6" w:rsidP="00635C4B">
      <w:pPr>
        <w:rPr>
          <w:rFonts w:eastAsia="Calibri" w:cs="Tahoma"/>
          <w:szCs w:val="22"/>
          <w:lang w:eastAsia="en-US"/>
        </w:rPr>
      </w:pPr>
      <w:r w:rsidRPr="00635C4B">
        <w:rPr>
          <w:rFonts w:cs="Tahoma"/>
          <w:bCs/>
          <w:szCs w:val="24"/>
        </w:rPr>
        <w:lastRenderedPageBreak/>
        <w:t xml:space="preserve">Esta información fue puesta a la vista de </w:t>
      </w:r>
      <w:r w:rsidRPr="00635C4B">
        <w:rPr>
          <w:rFonts w:cs="Tahoma"/>
          <w:b/>
          <w:szCs w:val="24"/>
        </w:rPr>
        <w:t xml:space="preserve">LA PARTE RECURRENTE </w:t>
      </w:r>
      <w:r w:rsidRPr="00635C4B">
        <w:rPr>
          <w:rFonts w:cs="Tahoma"/>
          <w:bCs/>
          <w:szCs w:val="24"/>
        </w:rPr>
        <w:t xml:space="preserve">el </w:t>
      </w:r>
      <w:r w:rsidR="00B44E0C" w:rsidRPr="00635C4B">
        <w:rPr>
          <w:rFonts w:cs="Tahoma"/>
          <w:b/>
          <w:szCs w:val="24"/>
        </w:rPr>
        <w:t>diecisiete de diciembre</w:t>
      </w:r>
      <w:r w:rsidRPr="00635C4B">
        <w:rPr>
          <w:rFonts w:cs="Tahoma"/>
          <w:b/>
          <w:szCs w:val="24"/>
        </w:rPr>
        <w:t xml:space="preserve"> de dos mil veinticuatro</w:t>
      </w:r>
      <w:r w:rsidRPr="00635C4B">
        <w:rPr>
          <w:rFonts w:cs="Tahoma"/>
          <w:bCs/>
          <w:szCs w:val="24"/>
        </w:rPr>
        <w:t xml:space="preserve"> para que, en un plazo de tres días hábiles, manifestara lo que a su derecho conviniera, de conformidad con lo establecido en el </w:t>
      </w:r>
      <w:r w:rsidRPr="00635C4B">
        <w:rPr>
          <w:rFonts w:cs="Arial"/>
        </w:rPr>
        <w:t>artículo 185, fracción III de la Ley de Transparencia y Acceso a la Información Pública del Estado de México y Municipios</w:t>
      </w:r>
      <w:r w:rsidRPr="00635C4B">
        <w:rPr>
          <w:rFonts w:cs="Tahoma"/>
          <w:bCs/>
          <w:szCs w:val="24"/>
        </w:rPr>
        <w:t>.</w:t>
      </w:r>
    </w:p>
    <w:p w14:paraId="3B386B4C" w14:textId="77777777" w:rsidR="003A40C1" w:rsidRPr="00635C4B" w:rsidRDefault="003A40C1" w:rsidP="00635C4B">
      <w:pPr>
        <w:ind w:right="539"/>
        <w:rPr>
          <w:rFonts w:cs="Tahoma"/>
          <w:bCs/>
          <w:szCs w:val="24"/>
        </w:rPr>
      </w:pPr>
    </w:p>
    <w:p w14:paraId="755B7730" w14:textId="7A8348ED" w:rsidR="00664420" w:rsidRPr="00635C4B" w:rsidRDefault="00C135F9" w:rsidP="00635C4B">
      <w:pPr>
        <w:pStyle w:val="Ttulo3"/>
        <w:rPr>
          <w:lang w:val="es-ES"/>
        </w:rPr>
      </w:pPr>
      <w:bookmarkStart w:id="15" w:name="_Toc185499678"/>
      <w:r w:rsidRPr="00635C4B">
        <w:rPr>
          <w:rFonts w:eastAsia="Calibri"/>
          <w:bCs/>
          <w:lang w:eastAsia="en-US"/>
        </w:rPr>
        <w:t>e</w:t>
      </w:r>
      <w:r w:rsidR="00664420" w:rsidRPr="00635C4B">
        <w:rPr>
          <w:rFonts w:eastAsia="Calibri"/>
          <w:bCs/>
          <w:lang w:eastAsia="en-US"/>
        </w:rPr>
        <w:t>)</w:t>
      </w:r>
      <w:r w:rsidR="00664420" w:rsidRPr="00635C4B">
        <w:t xml:space="preserve"> </w:t>
      </w:r>
      <w:r w:rsidR="00865CF4" w:rsidRPr="00635C4B">
        <w:rPr>
          <w:lang w:val="es-ES"/>
        </w:rPr>
        <w:t>Manifestaciones de la Parte Recurrente</w:t>
      </w:r>
      <w:bookmarkEnd w:id="15"/>
    </w:p>
    <w:p w14:paraId="4E8AF011" w14:textId="77777777" w:rsidR="00865CF4" w:rsidRPr="00635C4B" w:rsidRDefault="00865CF4" w:rsidP="00635C4B">
      <w:pPr>
        <w:rPr>
          <w:rFonts w:eastAsia="Arial Unicode MS" w:cs="Arial"/>
        </w:rPr>
      </w:pPr>
      <w:r w:rsidRPr="00635C4B">
        <w:rPr>
          <w:rFonts w:cs="Tahoma"/>
          <w:b/>
          <w:szCs w:val="24"/>
        </w:rPr>
        <w:t xml:space="preserve">LA PARTE RECURRENTE </w:t>
      </w:r>
      <w:r w:rsidRPr="00635C4B">
        <w:rPr>
          <w:rFonts w:eastAsia="Arial Unicode MS" w:cs="Arial"/>
        </w:rPr>
        <w:t>no realizó manifestación alguna dentro del término legalmente concedido para tal efecto, ni presentó pruebas o alegatos.</w:t>
      </w:r>
    </w:p>
    <w:p w14:paraId="6923684C" w14:textId="77777777" w:rsidR="00664420" w:rsidRPr="00635C4B" w:rsidRDefault="00664420" w:rsidP="00635C4B">
      <w:pPr>
        <w:rPr>
          <w:rFonts w:cs="Tahoma"/>
          <w:szCs w:val="22"/>
        </w:rPr>
      </w:pPr>
    </w:p>
    <w:p w14:paraId="0E651988" w14:textId="74510454" w:rsidR="00664420" w:rsidRPr="00635C4B" w:rsidRDefault="00C135F9" w:rsidP="00635C4B">
      <w:pPr>
        <w:pStyle w:val="Ttulo3"/>
      </w:pPr>
      <w:bookmarkStart w:id="16" w:name="_Toc185499679"/>
      <w:r w:rsidRPr="00635C4B">
        <w:t>f</w:t>
      </w:r>
      <w:r w:rsidR="00664420" w:rsidRPr="00635C4B">
        <w:t>) Cierre de instrucción</w:t>
      </w:r>
      <w:bookmarkEnd w:id="16"/>
    </w:p>
    <w:p w14:paraId="79AF95DC" w14:textId="203DFA01" w:rsidR="00664420" w:rsidRPr="00635C4B" w:rsidRDefault="00BF091A" w:rsidP="00635C4B">
      <w:r w:rsidRPr="00635C4B">
        <w:rPr>
          <w:rFonts w:cs="Tahoma"/>
          <w:szCs w:val="22"/>
        </w:rPr>
        <w:t>Al no existir diligencias pendientes por desahogar</w:t>
      </w:r>
      <w:r w:rsidRPr="00635C4B">
        <w:rPr>
          <w:rFonts w:cs="Arial"/>
        </w:rPr>
        <w:t xml:space="preserve">, el </w:t>
      </w:r>
      <w:r w:rsidR="00846AF6" w:rsidRPr="00635C4B">
        <w:rPr>
          <w:rFonts w:cs="Arial"/>
          <w:b/>
        </w:rPr>
        <w:t xml:space="preserve">catorce de enero de dos mil veinticinco </w:t>
      </w:r>
      <w:r w:rsidR="00E25A67" w:rsidRPr="00635C4B">
        <w:rPr>
          <w:rFonts w:cs="Arial"/>
          <w:b/>
        </w:rPr>
        <w:t xml:space="preserve"> </w:t>
      </w:r>
      <w:r w:rsidRPr="00635C4B">
        <w:rPr>
          <w:rFonts w:cs="Arial"/>
        </w:rPr>
        <w:t xml:space="preserve">la </w:t>
      </w:r>
      <w:r w:rsidRPr="00635C4B">
        <w:rPr>
          <w:rFonts w:cs="Arial"/>
          <w:b/>
          <w:bCs/>
        </w:rPr>
        <w:t xml:space="preserve">Comisionada </w:t>
      </w:r>
      <w:r w:rsidRPr="00635C4B">
        <w:rPr>
          <w:b/>
        </w:rPr>
        <w:t xml:space="preserve">Sharon Cristina Morales Martínez </w:t>
      </w:r>
      <w:r w:rsidRPr="00635C4B">
        <w:rPr>
          <w:rFonts w:cs="Arial"/>
        </w:rPr>
        <w:t>acordó el cierre de instrucción</w:t>
      </w:r>
      <w:r w:rsidR="0011350D" w:rsidRPr="00635C4B">
        <w:rPr>
          <w:rFonts w:cs="Arial"/>
        </w:rPr>
        <w:t xml:space="preserve"> y</w:t>
      </w:r>
      <w:r w:rsidRPr="00635C4B">
        <w:rPr>
          <w:rFonts w:cs="Arial"/>
        </w:rPr>
        <w:t xml:space="preserve"> </w:t>
      </w:r>
      <w:r w:rsidR="0011350D" w:rsidRPr="00635C4B">
        <w:rPr>
          <w:rFonts w:cs="Arial"/>
        </w:rPr>
        <w:t xml:space="preserve">la </w:t>
      </w:r>
      <w:r w:rsidRPr="00635C4B">
        <w:rPr>
          <w:rFonts w:cs="Arial"/>
        </w:rPr>
        <w:t>remisión del expediente a efecto de ser resuelto, de conformidad con lo establecido en el artículo 185 fracciones VI y VIII de la Ley de Transparencia y Acceso a la Información Pública del Estado de México y Municipios</w:t>
      </w:r>
      <w:r w:rsidRPr="00635C4B">
        <w:t>.</w:t>
      </w:r>
      <w:r w:rsidR="0011350D" w:rsidRPr="00635C4B">
        <w:t xml:space="preserve"> Dicho acuerdo </w:t>
      </w:r>
      <w:r w:rsidR="00664420" w:rsidRPr="00635C4B">
        <w:rPr>
          <w:rFonts w:cs="Tahoma"/>
          <w:szCs w:val="22"/>
        </w:rPr>
        <w:t xml:space="preserve">fue notificado a las partes el mismo día a través del </w:t>
      </w:r>
      <w:r w:rsidR="00664420" w:rsidRPr="00635C4B">
        <w:rPr>
          <w:rFonts w:cs="Tahoma"/>
          <w:szCs w:val="22"/>
          <w:lang w:val="es-ES"/>
        </w:rPr>
        <w:t>SAIMEX</w:t>
      </w:r>
      <w:r w:rsidR="00664420" w:rsidRPr="00635C4B">
        <w:rPr>
          <w:rFonts w:cs="Tahoma"/>
          <w:szCs w:val="22"/>
        </w:rPr>
        <w:t>.</w:t>
      </w:r>
    </w:p>
    <w:p w14:paraId="741683E3" w14:textId="77777777" w:rsidR="0011350D" w:rsidRPr="00635C4B" w:rsidRDefault="0011350D" w:rsidP="00635C4B">
      <w:pPr>
        <w:rPr>
          <w:rFonts w:cs="Tahoma"/>
          <w:szCs w:val="22"/>
        </w:rPr>
      </w:pPr>
    </w:p>
    <w:p w14:paraId="7A9629DE" w14:textId="77777777" w:rsidR="00664420" w:rsidRPr="00635C4B" w:rsidRDefault="00664420" w:rsidP="00635C4B">
      <w:pPr>
        <w:pStyle w:val="Ttulo1"/>
        <w:rPr>
          <w:rFonts w:eastAsiaTheme="minorHAnsi"/>
          <w:lang w:eastAsia="en-US"/>
        </w:rPr>
      </w:pPr>
      <w:bookmarkStart w:id="17" w:name="_Toc185499680"/>
      <w:r w:rsidRPr="00635C4B">
        <w:rPr>
          <w:rFonts w:eastAsiaTheme="minorHAnsi"/>
          <w:lang w:eastAsia="en-US"/>
        </w:rPr>
        <w:t>CONSIDERANDOS</w:t>
      </w:r>
      <w:bookmarkEnd w:id="17"/>
    </w:p>
    <w:p w14:paraId="6DD1243B" w14:textId="77777777" w:rsidR="00664420" w:rsidRPr="00635C4B" w:rsidRDefault="00664420" w:rsidP="00635C4B">
      <w:pPr>
        <w:contextualSpacing/>
        <w:jc w:val="center"/>
        <w:rPr>
          <w:rFonts w:eastAsiaTheme="minorHAnsi" w:cs="Tahoma"/>
          <w:b/>
          <w:szCs w:val="22"/>
          <w:lang w:eastAsia="en-US"/>
        </w:rPr>
      </w:pPr>
    </w:p>
    <w:p w14:paraId="0B67CB92" w14:textId="2E307D3B" w:rsidR="00664420" w:rsidRPr="00635C4B" w:rsidRDefault="00664420" w:rsidP="00635C4B">
      <w:pPr>
        <w:pStyle w:val="Ttulo2"/>
        <w:rPr>
          <w:rFonts w:eastAsia="Batang"/>
        </w:rPr>
      </w:pPr>
      <w:bookmarkStart w:id="18" w:name="_Toc185499681"/>
      <w:r w:rsidRPr="00635C4B">
        <w:rPr>
          <w:rFonts w:eastAsia="Batang"/>
        </w:rPr>
        <w:t xml:space="preserve">PRIMERO. </w:t>
      </w:r>
      <w:proofErr w:type="spellStart"/>
      <w:r w:rsidR="00BA55A8" w:rsidRPr="00635C4B">
        <w:rPr>
          <w:rFonts w:eastAsia="Batang"/>
        </w:rPr>
        <w:t>Procedibilidad</w:t>
      </w:r>
      <w:bookmarkEnd w:id="18"/>
      <w:proofErr w:type="spellEnd"/>
    </w:p>
    <w:p w14:paraId="39C52BC1" w14:textId="56FCC20D" w:rsidR="00BA55A8" w:rsidRPr="00635C4B" w:rsidRDefault="00BA55A8" w:rsidP="00635C4B">
      <w:pPr>
        <w:pStyle w:val="Ttulo3"/>
      </w:pPr>
      <w:bookmarkStart w:id="19" w:name="_Toc185499682"/>
      <w:r w:rsidRPr="00635C4B">
        <w:t>a) Competencia</w:t>
      </w:r>
      <w:r w:rsidR="00150C49" w:rsidRPr="00635C4B">
        <w:t xml:space="preserve"> del Instituto</w:t>
      </w:r>
      <w:bookmarkEnd w:id="19"/>
    </w:p>
    <w:p w14:paraId="56E64942" w14:textId="6572EDF7" w:rsidR="0011350D" w:rsidRPr="00635C4B" w:rsidRDefault="0011350D" w:rsidP="00635C4B">
      <w:pPr>
        <w:rPr>
          <w:rFonts w:cs="Arial"/>
        </w:rPr>
      </w:pPr>
      <w:r w:rsidRPr="00635C4B">
        <w:t xml:space="preserve">Este Instituto de Transparencia, Acceso a la Información Pública y Protección de Datos Personales del Estado de México y Municipios es competente para conocer y resolver </w:t>
      </w:r>
      <w:r w:rsidR="005F65B7" w:rsidRPr="00635C4B">
        <w:t xml:space="preserve">el </w:t>
      </w:r>
      <w:r w:rsidRPr="00635C4B">
        <w:lastRenderedPageBreak/>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635C4B">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635C4B" w:rsidRDefault="006946E4" w:rsidP="00635C4B">
      <w:pPr>
        <w:rPr>
          <w:rFonts w:cs="Arial"/>
        </w:rPr>
      </w:pPr>
    </w:p>
    <w:p w14:paraId="517A2DD6" w14:textId="4169BE4D" w:rsidR="00664420" w:rsidRPr="00635C4B" w:rsidRDefault="00BA55A8" w:rsidP="00635C4B">
      <w:pPr>
        <w:pStyle w:val="Ttulo3"/>
      </w:pPr>
      <w:bookmarkStart w:id="20" w:name="_Toc185499683"/>
      <w:r w:rsidRPr="00635C4B">
        <w:t>b)</w:t>
      </w:r>
      <w:r w:rsidR="00664420" w:rsidRPr="00635C4B">
        <w:t xml:space="preserve"> </w:t>
      </w:r>
      <w:r w:rsidR="00D91CB4" w:rsidRPr="00635C4B">
        <w:t>Legitimidad</w:t>
      </w:r>
      <w:r w:rsidRPr="00635C4B">
        <w:t xml:space="preserve"> de la parte recurrente</w:t>
      </w:r>
      <w:bookmarkEnd w:id="20"/>
    </w:p>
    <w:p w14:paraId="26FEA382" w14:textId="0B06695C" w:rsidR="00D91CB4" w:rsidRPr="00635C4B" w:rsidRDefault="00D91CB4" w:rsidP="00635C4B">
      <w:pPr>
        <w:rPr>
          <w:rFonts w:cs="Arial"/>
          <w:bCs/>
        </w:rPr>
      </w:pPr>
      <w:r w:rsidRPr="00635C4B">
        <w:rPr>
          <w:rFonts w:cs="Arial"/>
          <w:bCs/>
        </w:rPr>
        <w:t>El recurso de revisión fue interpuesto por parte legítima, ya que se presentó por la misma persona que formuló la solicitud de acceso a la Información Pública,</w:t>
      </w:r>
      <w:r w:rsidRPr="00635C4B">
        <w:rPr>
          <w:rFonts w:cs="Arial"/>
          <w:b/>
          <w:bCs/>
        </w:rPr>
        <w:t xml:space="preserve"> </w:t>
      </w:r>
      <w:r w:rsidRPr="00635C4B">
        <w:rPr>
          <w:rFonts w:cs="Arial"/>
        </w:rPr>
        <w:t>debido a que los datos de acceso</w:t>
      </w:r>
      <w:r w:rsidRPr="00635C4B">
        <w:rPr>
          <w:rFonts w:cs="Arial"/>
          <w:b/>
          <w:bCs/>
        </w:rPr>
        <w:t xml:space="preserve"> </w:t>
      </w:r>
      <w:r w:rsidRPr="00635C4B">
        <w:rPr>
          <w:rFonts w:cs="Arial"/>
          <w:b/>
        </w:rPr>
        <w:t>SAIMEX</w:t>
      </w:r>
      <w:r w:rsidRPr="00635C4B">
        <w:rPr>
          <w:rFonts w:eastAsia="Calibri" w:cs="Arial"/>
          <w:lang w:eastAsia="en-US"/>
        </w:rPr>
        <w:t xml:space="preserve"> son personales e irrepetibles.</w:t>
      </w:r>
    </w:p>
    <w:p w14:paraId="2C367810" w14:textId="77777777" w:rsidR="00D91CB4" w:rsidRPr="00635C4B" w:rsidRDefault="00D91CB4" w:rsidP="00635C4B"/>
    <w:p w14:paraId="496490FC" w14:textId="1A5F3FDB" w:rsidR="00D91CB4" w:rsidRPr="00635C4B" w:rsidRDefault="00BA55A8" w:rsidP="00635C4B">
      <w:pPr>
        <w:pStyle w:val="Ttulo3"/>
        <w:rPr>
          <w:rFonts w:eastAsia="Calibri"/>
          <w:lang w:eastAsia="es-ES_tradnl"/>
        </w:rPr>
      </w:pPr>
      <w:bookmarkStart w:id="21" w:name="_Toc185499684"/>
      <w:r w:rsidRPr="00635C4B">
        <w:rPr>
          <w:rFonts w:eastAsia="Calibri"/>
          <w:lang w:eastAsia="es-ES_tradnl"/>
        </w:rPr>
        <w:t>c)</w:t>
      </w:r>
      <w:r w:rsidR="00664420" w:rsidRPr="00635C4B">
        <w:rPr>
          <w:rFonts w:eastAsia="Calibri"/>
          <w:lang w:eastAsia="es-ES_tradnl"/>
        </w:rPr>
        <w:t xml:space="preserve"> </w:t>
      </w:r>
      <w:r w:rsidR="00D91CB4" w:rsidRPr="00635C4B">
        <w:rPr>
          <w:rFonts w:eastAsia="Calibri"/>
          <w:lang w:eastAsia="es-ES_tradnl"/>
        </w:rPr>
        <w:t>Plazo para interponer el recurso</w:t>
      </w:r>
      <w:bookmarkEnd w:id="21"/>
    </w:p>
    <w:p w14:paraId="106D37EE" w14:textId="7F5AECAB" w:rsidR="00D91CB4" w:rsidRPr="00635C4B" w:rsidRDefault="00D91CB4" w:rsidP="00635C4B">
      <w:pPr>
        <w:rPr>
          <w:rFonts w:eastAsia="Calibri"/>
          <w:lang w:eastAsia="es-ES_tradnl"/>
        </w:rPr>
      </w:pPr>
      <w:r w:rsidRPr="00635C4B">
        <w:rPr>
          <w:rFonts w:cs="Arial"/>
          <w:b/>
        </w:rPr>
        <w:t>EL SUJETO OBLIGADO</w:t>
      </w:r>
      <w:r w:rsidRPr="00635C4B">
        <w:rPr>
          <w:rFonts w:cs="Arial"/>
        </w:rPr>
        <w:t xml:space="preserve"> notificó la respuesta a la solicitud de acceso a la Información Pública el </w:t>
      </w:r>
      <w:r w:rsidR="00B44E0C" w:rsidRPr="00635C4B">
        <w:rPr>
          <w:rFonts w:eastAsia="Palatino Linotype" w:cs="Palatino Linotype"/>
          <w:b/>
        </w:rPr>
        <w:t>veintinueve de noviembre</w:t>
      </w:r>
      <w:r w:rsidR="00652EE8" w:rsidRPr="00635C4B">
        <w:rPr>
          <w:rFonts w:eastAsia="Palatino Linotype" w:cs="Palatino Linotype"/>
          <w:b/>
        </w:rPr>
        <w:t xml:space="preserve"> de dos mil veinticuatro</w:t>
      </w:r>
      <w:r w:rsidRPr="00635C4B">
        <w:rPr>
          <w:rFonts w:cs="Arial"/>
        </w:rPr>
        <w:t xml:space="preserve"> </w:t>
      </w:r>
      <w:r w:rsidR="00A53315" w:rsidRPr="00635C4B">
        <w:rPr>
          <w:rFonts w:cs="Arial"/>
        </w:rPr>
        <w:t xml:space="preserve">y el recurso </w:t>
      </w:r>
      <w:r w:rsidR="00A53315" w:rsidRPr="00635C4B">
        <w:rPr>
          <w:rFonts w:eastAsia="Palatino Linotype" w:cs="Palatino Linotype"/>
        </w:rPr>
        <w:t xml:space="preserve">que nos ocupa se interpuso el </w:t>
      </w:r>
      <w:r w:rsidR="00B44E0C" w:rsidRPr="00635C4B">
        <w:rPr>
          <w:rFonts w:eastAsia="Palatino Linotype" w:cs="Palatino Linotype"/>
          <w:b/>
        </w:rPr>
        <w:t>dos de diciembre</w:t>
      </w:r>
      <w:r w:rsidR="00BB1E1E" w:rsidRPr="00635C4B">
        <w:rPr>
          <w:rFonts w:eastAsia="Palatino Linotype" w:cs="Palatino Linotype"/>
          <w:b/>
        </w:rPr>
        <w:t xml:space="preserve"> </w:t>
      </w:r>
      <w:r w:rsidR="00652EE8" w:rsidRPr="00635C4B">
        <w:rPr>
          <w:rFonts w:eastAsia="Palatino Linotype" w:cs="Palatino Linotype"/>
          <w:b/>
        </w:rPr>
        <w:t>de dos mil veinticuatro</w:t>
      </w:r>
      <w:r w:rsidR="00A53315" w:rsidRPr="00635C4B">
        <w:rPr>
          <w:rFonts w:eastAsia="Palatino Linotype" w:cs="Palatino Linotype"/>
          <w:bCs/>
        </w:rPr>
        <w:t>;</w:t>
      </w:r>
      <w:r w:rsidR="00A53315" w:rsidRPr="00635C4B">
        <w:rPr>
          <w:rFonts w:eastAsia="Palatino Linotype" w:cs="Palatino Linotype"/>
        </w:rPr>
        <w:t xml:space="preserve"> por lo tanto, éste se encuentra dentro del margen temporal previsto en el artículo 178 de la </w:t>
      </w:r>
      <w:r w:rsidR="00A53315" w:rsidRPr="00635C4B">
        <w:rPr>
          <w:rFonts w:cs="Arial"/>
        </w:rPr>
        <w:t>Ley de Transparencia y Acceso a la Información Pública del Estado de México y Municipios</w:t>
      </w:r>
      <w:r w:rsidRPr="00635C4B">
        <w:rPr>
          <w:rFonts w:eastAsiaTheme="minorEastAsia" w:cs="Arial"/>
          <w:lang w:val="es-ES_tradnl"/>
        </w:rPr>
        <w:t>.</w:t>
      </w:r>
    </w:p>
    <w:p w14:paraId="49076992" w14:textId="77777777" w:rsidR="00D91CB4" w:rsidRPr="00635C4B" w:rsidRDefault="00D91CB4" w:rsidP="00635C4B">
      <w:pPr>
        <w:rPr>
          <w:rFonts w:eastAsia="Palatino Linotype" w:cs="Palatino Linotype"/>
        </w:rPr>
      </w:pPr>
    </w:p>
    <w:p w14:paraId="46C0EB3A" w14:textId="040C9154" w:rsidR="00A53315" w:rsidRPr="00635C4B" w:rsidRDefault="00BA55A8" w:rsidP="00635C4B">
      <w:pPr>
        <w:pStyle w:val="Ttulo3"/>
        <w:rPr>
          <w:rFonts w:eastAsia="Calibri"/>
          <w:lang w:eastAsia="es-ES_tradnl"/>
        </w:rPr>
      </w:pPr>
      <w:bookmarkStart w:id="22" w:name="_Toc185499685"/>
      <w:r w:rsidRPr="00635C4B">
        <w:rPr>
          <w:rFonts w:eastAsia="Calibri"/>
          <w:lang w:eastAsia="es-ES_tradnl"/>
        </w:rPr>
        <w:lastRenderedPageBreak/>
        <w:t>d)</w:t>
      </w:r>
      <w:r w:rsidR="00D91CB4" w:rsidRPr="00635C4B">
        <w:rPr>
          <w:rFonts w:eastAsia="Calibri"/>
          <w:lang w:eastAsia="es-ES_tradnl"/>
        </w:rPr>
        <w:t xml:space="preserve"> </w:t>
      </w:r>
      <w:r w:rsidR="00B06AB1" w:rsidRPr="00635C4B">
        <w:rPr>
          <w:rFonts w:eastAsia="Calibri"/>
          <w:lang w:eastAsia="es-ES_tradnl"/>
        </w:rPr>
        <w:t>Causal de procedencia</w:t>
      </w:r>
      <w:bookmarkEnd w:id="22"/>
      <w:r w:rsidR="00B06AB1" w:rsidRPr="00635C4B">
        <w:rPr>
          <w:rFonts w:eastAsia="Calibri"/>
          <w:lang w:eastAsia="es-ES_tradnl"/>
        </w:rPr>
        <w:t xml:space="preserve"> </w:t>
      </w:r>
    </w:p>
    <w:p w14:paraId="190404A6" w14:textId="1D9B0D9A" w:rsidR="00BA55A8" w:rsidRPr="00635C4B" w:rsidRDefault="00BA55A8" w:rsidP="00635C4B">
      <w:r w:rsidRPr="00635C4B">
        <w:rPr>
          <w:rFonts w:cs="Arial"/>
        </w:rPr>
        <w:t xml:space="preserve">Resulta procedente la interposición del recurso de revisión, ya que </w:t>
      </w:r>
      <w:r w:rsidRPr="00635C4B">
        <w:rPr>
          <w:rFonts w:eastAsia="Calibri" w:cs="Tahoma"/>
          <w:szCs w:val="22"/>
          <w:lang w:eastAsia="es-MX"/>
        </w:rPr>
        <w:t xml:space="preserve">se actualiza la causal de procedencia señalada en el artículo 179, fracción </w:t>
      </w:r>
      <w:r w:rsidR="005C1CD1" w:rsidRPr="00635C4B">
        <w:rPr>
          <w:rFonts w:eastAsia="Calibri" w:cs="Tahoma"/>
          <w:szCs w:val="22"/>
          <w:lang w:eastAsia="es-MX"/>
        </w:rPr>
        <w:t>V</w:t>
      </w:r>
      <w:r w:rsidRPr="00635C4B">
        <w:rPr>
          <w:rFonts w:cs="Arial"/>
        </w:rPr>
        <w:t xml:space="preserve"> de la </w:t>
      </w:r>
      <w:r w:rsidRPr="00635C4B">
        <w:t>Ley de Transparencia y Acceso a la Información Pública del Estado de México y Municipios.</w:t>
      </w:r>
    </w:p>
    <w:p w14:paraId="0EFF7141" w14:textId="77777777" w:rsidR="00362A11" w:rsidRPr="00635C4B" w:rsidRDefault="00362A11" w:rsidP="00635C4B"/>
    <w:p w14:paraId="2284D7EB" w14:textId="3EE1D036" w:rsidR="00BA55A8" w:rsidRPr="00635C4B" w:rsidRDefault="00362A11" w:rsidP="00635C4B">
      <w:pPr>
        <w:pStyle w:val="Ttulo3"/>
      </w:pPr>
      <w:bookmarkStart w:id="23" w:name="_Toc185499686"/>
      <w:r w:rsidRPr="00635C4B">
        <w:t>e) Requisitos formales para la interposición del recurso</w:t>
      </w:r>
      <w:bookmarkEnd w:id="23"/>
    </w:p>
    <w:p w14:paraId="6390674A" w14:textId="78A894DD" w:rsidR="00BA55A8" w:rsidRPr="00635C4B" w:rsidRDefault="00BA55A8" w:rsidP="00635C4B">
      <w:pPr>
        <w:rPr>
          <w:rFonts w:cs="Arial"/>
        </w:rPr>
      </w:pPr>
      <w:r w:rsidRPr="00635C4B">
        <w:rPr>
          <w:rFonts w:cs="Arial"/>
          <w:b/>
          <w:bCs/>
        </w:rPr>
        <w:t xml:space="preserve">LA PARTE RECURRENTE </w:t>
      </w:r>
      <w:r w:rsidRPr="00635C4B">
        <w:rPr>
          <w:rFonts w:cs="Arial"/>
        </w:rPr>
        <w:t>acreditó todos y cada uno de los elementos formales exigidos por el artículo 180 de la misma normatividad.</w:t>
      </w:r>
    </w:p>
    <w:p w14:paraId="3A121826" w14:textId="77777777" w:rsidR="00C461EC" w:rsidRPr="00635C4B" w:rsidRDefault="00C461EC" w:rsidP="00635C4B">
      <w:pPr>
        <w:rPr>
          <w:bCs/>
          <w:lang w:val="es-ES_tradnl"/>
        </w:rPr>
      </w:pPr>
    </w:p>
    <w:p w14:paraId="457548E9" w14:textId="3F7AF03B" w:rsidR="00C71CEF" w:rsidRPr="00635C4B" w:rsidRDefault="00C71CEF" w:rsidP="00635C4B">
      <w:pPr>
        <w:pStyle w:val="Ttulo2"/>
      </w:pPr>
      <w:bookmarkStart w:id="24" w:name="_Toc185499687"/>
      <w:r w:rsidRPr="00635C4B">
        <w:t>SEGUNDO. Estudio de Fondo</w:t>
      </w:r>
      <w:bookmarkEnd w:id="24"/>
    </w:p>
    <w:p w14:paraId="2A308F59" w14:textId="0FF373F0" w:rsidR="00C049E2" w:rsidRPr="00635C4B" w:rsidRDefault="00C71CEF" w:rsidP="00635C4B">
      <w:pPr>
        <w:pStyle w:val="Ttulo3"/>
      </w:pPr>
      <w:bookmarkStart w:id="25" w:name="_Toc185499688"/>
      <w:r w:rsidRPr="00635C4B">
        <w:t>a</w:t>
      </w:r>
      <w:r w:rsidR="00C049E2" w:rsidRPr="00635C4B">
        <w:t>) Mandato de transparencia y responsabilidad del Sujeto Obligado</w:t>
      </w:r>
      <w:bookmarkEnd w:id="25"/>
    </w:p>
    <w:p w14:paraId="6901A889" w14:textId="59EEDAE1" w:rsidR="00C049E2" w:rsidRPr="00635C4B" w:rsidRDefault="00C049E2" w:rsidP="00635C4B">
      <w:pPr>
        <w:rPr>
          <w:rFonts w:eastAsia="Palatino Linotype"/>
        </w:rPr>
      </w:pPr>
      <w:r w:rsidRPr="00635C4B">
        <w:rPr>
          <w:rFonts w:eastAsia="Palatino Linotype"/>
        </w:rPr>
        <w:t xml:space="preserve">El </w:t>
      </w:r>
      <w:r w:rsidR="00717E59" w:rsidRPr="00635C4B">
        <w:rPr>
          <w:rFonts w:eastAsia="Palatino Linotype"/>
        </w:rPr>
        <w:t>d</w:t>
      </w:r>
      <w:r w:rsidRPr="00635C4B">
        <w:rPr>
          <w:rFonts w:eastAsia="Palatino Linotype"/>
        </w:rPr>
        <w:t xml:space="preserve">erecho de </w:t>
      </w:r>
      <w:r w:rsidR="00717E59" w:rsidRPr="00635C4B">
        <w:rPr>
          <w:rFonts w:eastAsia="Palatino Linotype"/>
        </w:rPr>
        <w:t>a</w:t>
      </w:r>
      <w:r w:rsidRPr="00635C4B">
        <w:rPr>
          <w:rFonts w:eastAsia="Palatino Linotype"/>
        </w:rPr>
        <w:t xml:space="preserve">cceso a la </w:t>
      </w:r>
      <w:r w:rsidR="00717E59" w:rsidRPr="00635C4B">
        <w:rPr>
          <w:rFonts w:eastAsia="Palatino Linotype"/>
        </w:rPr>
        <w:t>i</w:t>
      </w:r>
      <w:r w:rsidRPr="00635C4B">
        <w:rPr>
          <w:rFonts w:eastAsia="Palatino Linotype"/>
        </w:rPr>
        <w:t xml:space="preserve">nformación </w:t>
      </w:r>
      <w:r w:rsidR="00717E59" w:rsidRPr="00635C4B">
        <w:rPr>
          <w:rFonts w:eastAsia="Palatino Linotype"/>
        </w:rPr>
        <w:t>p</w:t>
      </w:r>
      <w:r w:rsidRPr="00635C4B">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635C4B">
        <w:rPr>
          <w:rFonts w:eastAsia="Palatino Linotype"/>
        </w:rPr>
        <w:t>:</w:t>
      </w:r>
    </w:p>
    <w:p w14:paraId="7FAB8D32" w14:textId="77777777" w:rsidR="00C049E2" w:rsidRPr="00635C4B" w:rsidRDefault="00C049E2" w:rsidP="00635C4B">
      <w:pPr>
        <w:rPr>
          <w:rFonts w:eastAsia="Palatino Linotype"/>
        </w:rPr>
      </w:pPr>
    </w:p>
    <w:p w14:paraId="05320813" w14:textId="77777777" w:rsidR="00C049E2" w:rsidRPr="00635C4B" w:rsidRDefault="00C049E2" w:rsidP="00635C4B">
      <w:pPr>
        <w:spacing w:line="240" w:lineRule="auto"/>
        <w:ind w:left="567" w:right="539"/>
        <w:rPr>
          <w:rFonts w:eastAsia="Palatino Linotype"/>
          <w:b/>
          <w:i/>
        </w:rPr>
      </w:pPr>
      <w:r w:rsidRPr="00635C4B">
        <w:rPr>
          <w:rFonts w:eastAsia="Palatino Linotype"/>
          <w:b/>
          <w:i/>
        </w:rPr>
        <w:t>Constitución Política de los Estados Unidos Mexicanos</w:t>
      </w:r>
    </w:p>
    <w:p w14:paraId="6B6C67B6" w14:textId="77777777" w:rsidR="00C049E2" w:rsidRPr="00635C4B" w:rsidRDefault="00C049E2" w:rsidP="00635C4B">
      <w:pPr>
        <w:spacing w:line="240" w:lineRule="auto"/>
        <w:ind w:left="567" w:right="539"/>
        <w:rPr>
          <w:rFonts w:eastAsia="Palatino Linotype"/>
          <w:b/>
          <w:i/>
        </w:rPr>
      </w:pPr>
      <w:r w:rsidRPr="00635C4B">
        <w:rPr>
          <w:rFonts w:eastAsia="Palatino Linotype"/>
          <w:b/>
          <w:i/>
        </w:rPr>
        <w:t>“Artículo 6.</w:t>
      </w:r>
    </w:p>
    <w:p w14:paraId="38D3B4C4" w14:textId="77777777" w:rsidR="00C049E2" w:rsidRPr="00635C4B" w:rsidRDefault="00C049E2" w:rsidP="00635C4B">
      <w:pPr>
        <w:spacing w:line="240" w:lineRule="auto"/>
        <w:ind w:left="567" w:right="539"/>
        <w:rPr>
          <w:rFonts w:eastAsia="Palatino Linotype"/>
          <w:i/>
        </w:rPr>
      </w:pPr>
      <w:r w:rsidRPr="00635C4B">
        <w:rPr>
          <w:rFonts w:eastAsia="Palatino Linotype"/>
          <w:i/>
        </w:rPr>
        <w:t>(…)</w:t>
      </w:r>
    </w:p>
    <w:p w14:paraId="2CCAA297" w14:textId="6602827B" w:rsidR="00C049E2" w:rsidRPr="00635C4B" w:rsidRDefault="00C049E2" w:rsidP="00635C4B">
      <w:pPr>
        <w:spacing w:line="240" w:lineRule="auto"/>
        <w:ind w:left="567" w:right="539"/>
        <w:rPr>
          <w:rFonts w:eastAsia="Palatino Linotype"/>
          <w:i/>
        </w:rPr>
      </w:pPr>
      <w:r w:rsidRPr="00635C4B">
        <w:rPr>
          <w:rFonts w:eastAsia="Palatino Linotype"/>
          <w:i/>
        </w:rPr>
        <w:t>Para efectos de lo dispuesto en el presente artículo se observará lo siguiente:</w:t>
      </w:r>
    </w:p>
    <w:p w14:paraId="74CC3718" w14:textId="77777777" w:rsidR="00C049E2" w:rsidRPr="00635C4B" w:rsidRDefault="00C049E2" w:rsidP="00635C4B">
      <w:pPr>
        <w:spacing w:line="240" w:lineRule="auto"/>
        <w:ind w:left="567" w:right="539"/>
        <w:rPr>
          <w:rFonts w:eastAsia="Palatino Linotype"/>
          <w:b/>
          <w:i/>
        </w:rPr>
      </w:pPr>
      <w:r w:rsidRPr="00635C4B">
        <w:rPr>
          <w:rFonts w:eastAsia="Palatino Linotype"/>
          <w:b/>
          <w:i/>
        </w:rPr>
        <w:t>A</w:t>
      </w:r>
      <w:r w:rsidRPr="00635C4B">
        <w:rPr>
          <w:rFonts w:eastAsia="Palatino Linotype"/>
          <w:i/>
        </w:rPr>
        <w:t xml:space="preserve">. </w:t>
      </w:r>
      <w:r w:rsidRPr="00635C4B">
        <w:rPr>
          <w:rFonts w:eastAsia="Palatino Linotype"/>
          <w:b/>
          <w:i/>
        </w:rPr>
        <w:t>Para el ejercicio del derecho de acceso a la información</w:t>
      </w:r>
      <w:r w:rsidRPr="00635C4B">
        <w:rPr>
          <w:rFonts w:eastAsia="Palatino Linotype"/>
          <w:i/>
        </w:rPr>
        <w:t xml:space="preserve">, la Federación y </w:t>
      </w:r>
      <w:r w:rsidRPr="00635C4B">
        <w:rPr>
          <w:rFonts w:eastAsia="Palatino Linotype"/>
          <w:b/>
          <w:i/>
        </w:rPr>
        <w:t>las entidades federativas, en el ámbito de sus respectivas competencias, se regirán por los siguientes principios y bases:</w:t>
      </w:r>
    </w:p>
    <w:p w14:paraId="596A956B" w14:textId="77777777" w:rsidR="00C049E2" w:rsidRPr="00635C4B" w:rsidRDefault="00C049E2" w:rsidP="00635C4B">
      <w:pPr>
        <w:spacing w:line="240" w:lineRule="auto"/>
        <w:ind w:left="567" w:right="539"/>
        <w:rPr>
          <w:rFonts w:eastAsia="Palatino Linotype"/>
          <w:i/>
        </w:rPr>
      </w:pPr>
      <w:r w:rsidRPr="00635C4B">
        <w:rPr>
          <w:rFonts w:eastAsia="Palatino Linotype"/>
          <w:b/>
          <w:i/>
        </w:rPr>
        <w:t xml:space="preserve">I. </w:t>
      </w:r>
      <w:r w:rsidRPr="00635C4B">
        <w:rPr>
          <w:rFonts w:eastAsia="Palatino Linotype"/>
          <w:b/>
          <w:i/>
        </w:rPr>
        <w:tab/>
        <w:t>Toda la información en posesión de cualquier</w:t>
      </w:r>
      <w:r w:rsidRPr="00635C4B">
        <w:rPr>
          <w:rFonts w:eastAsia="Palatino Linotype"/>
          <w:i/>
        </w:rPr>
        <w:t xml:space="preserve"> </w:t>
      </w:r>
      <w:r w:rsidRPr="00635C4B">
        <w:rPr>
          <w:rFonts w:eastAsia="Palatino Linotype"/>
          <w:b/>
          <w:i/>
        </w:rPr>
        <w:t>autoridad</w:t>
      </w:r>
      <w:r w:rsidRPr="00635C4B">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635C4B">
        <w:rPr>
          <w:rFonts w:eastAsia="Palatino Linotype"/>
          <w:b/>
          <w:i/>
        </w:rPr>
        <w:t>municipal</w:t>
      </w:r>
      <w:r w:rsidRPr="00635C4B">
        <w:rPr>
          <w:rFonts w:eastAsia="Palatino Linotype"/>
          <w:i/>
        </w:rPr>
        <w:t xml:space="preserve">, </w:t>
      </w:r>
      <w:r w:rsidRPr="00635C4B">
        <w:rPr>
          <w:rFonts w:eastAsia="Palatino Linotype"/>
          <w:b/>
          <w:i/>
        </w:rPr>
        <w:t>es pública</w:t>
      </w:r>
      <w:r w:rsidRPr="00635C4B">
        <w:rPr>
          <w:rFonts w:eastAsia="Palatino Linotype"/>
          <w:i/>
        </w:rPr>
        <w:t xml:space="preserve"> y sólo podrá ser reservada temporalmente por razones de interés público y seguridad nacional, en los términos que fijen las leyes. </w:t>
      </w:r>
      <w:r w:rsidRPr="00635C4B">
        <w:rPr>
          <w:rFonts w:eastAsia="Palatino Linotype"/>
          <w:b/>
          <w:i/>
        </w:rPr>
        <w:t xml:space="preserve">En la interpretación de este derecho deberá prevalecer el principio de máxima </w:t>
      </w:r>
      <w:r w:rsidRPr="00635C4B">
        <w:rPr>
          <w:rFonts w:eastAsia="Palatino Linotype"/>
          <w:b/>
          <w:i/>
        </w:rPr>
        <w:lastRenderedPageBreak/>
        <w:t>publicidad. Los sujetos obligados deberán documentar todo acto que derive del ejercicio de sus facultades, competencias o funciones</w:t>
      </w:r>
      <w:r w:rsidRPr="00635C4B">
        <w:rPr>
          <w:rFonts w:eastAsia="Palatino Linotype"/>
          <w:i/>
        </w:rPr>
        <w:t>, la ley determinará los supuestos específicos bajo los cuales procederá la declaración de inexistencia de la información.”</w:t>
      </w:r>
    </w:p>
    <w:p w14:paraId="68F313E4" w14:textId="77777777" w:rsidR="00C049E2" w:rsidRPr="00635C4B" w:rsidRDefault="00C049E2" w:rsidP="00635C4B">
      <w:pPr>
        <w:spacing w:line="240" w:lineRule="auto"/>
        <w:ind w:left="567" w:right="539"/>
        <w:rPr>
          <w:rFonts w:eastAsia="Palatino Linotype"/>
          <w:b/>
          <w:i/>
        </w:rPr>
      </w:pPr>
    </w:p>
    <w:p w14:paraId="504F12DB" w14:textId="77777777" w:rsidR="00C049E2" w:rsidRPr="00635C4B" w:rsidRDefault="00C049E2" w:rsidP="00635C4B">
      <w:pPr>
        <w:spacing w:line="240" w:lineRule="auto"/>
        <w:ind w:left="567" w:right="539"/>
        <w:rPr>
          <w:rFonts w:eastAsia="Palatino Linotype"/>
          <w:b/>
          <w:i/>
        </w:rPr>
      </w:pPr>
      <w:r w:rsidRPr="00635C4B">
        <w:rPr>
          <w:rFonts w:eastAsia="Palatino Linotype"/>
          <w:b/>
          <w:i/>
        </w:rPr>
        <w:t>Constitución Política del Estado Libre y Soberano de México</w:t>
      </w:r>
    </w:p>
    <w:p w14:paraId="04932D29" w14:textId="77777777" w:rsidR="00C049E2" w:rsidRPr="00635C4B" w:rsidRDefault="00C049E2" w:rsidP="00635C4B">
      <w:pPr>
        <w:spacing w:line="240" w:lineRule="auto"/>
        <w:ind w:left="567" w:right="539"/>
        <w:rPr>
          <w:rFonts w:eastAsia="Palatino Linotype"/>
          <w:i/>
        </w:rPr>
      </w:pPr>
      <w:r w:rsidRPr="00635C4B">
        <w:rPr>
          <w:rFonts w:eastAsia="Palatino Linotype"/>
          <w:b/>
          <w:i/>
        </w:rPr>
        <w:t>“Artículo 5</w:t>
      </w:r>
      <w:r w:rsidRPr="00635C4B">
        <w:rPr>
          <w:rFonts w:eastAsia="Palatino Linotype"/>
          <w:i/>
        </w:rPr>
        <w:t xml:space="preserve">.- </w:t>
      </w:r>
    </w:p>
    <w:p w14:paraId="1D3829F4" w14:textId="77777777" w:rsidR="00C049E2" w:rsidRPr="00635C4B" w:rsidRDefault="00C049E2" w:rsidP="00635C4B">
      <w:pPr>
        <w:spacing w:line="240" w:lineRule="auto"/>
        <w:ind w:left="567" w:right="539"/>
        <w:rPr>
          <w:rFonts w:eastAsia="Palatino Linotype"/>
          <w:i/>
        </w:rPr>
      </w:pPr>
      <w:r w:rsidRPr="00635C4B">
        <w:rPr>
          <w:rFonts w:eastAsia="Palatino Linotype"/>
          <w:i/>
        </w:rPr>
        <w:t>(…)</w:t>
      </w:r>
    </w:p>
    <w:p w14:paraId="0EAE47FD" w14:textId="77777777" w:rsidR="00C049E2" w:rsidRPr="00635C4B" w:rsidRDefault="00C049E2" w:rsidP="00635C4B">
      <w:pPr>
        <w:spacing w:line="240" w:lineRule="auto"/>
        <w:ind w:left="567" w:right="539"/>
        <w:rPr>
          <w:rFonts w:eastAsia="Palatino Linotype"/>
          <w:i/>
        </w:rPr>
      </w:pPr>
      <w:r w:rsidRPr="00635C4B">
        <w:rPr>
          <w:rFonts w:eastAsia="Palatino Linotype"/>
          <w:b/>
          <w:i/>
        </w:rPr>
        <w:t>El derecho a la información será garantizado por el Estado. La ley establecerá las previsiones que permitan asegurar la protección, el respeto y la difusión de este derecho</w:t>
      </w:r>
      <w:r w:rsidRPr="00635C4B">
        <w:rPr>
          <w:rFonts w:eastAsia="Palatino Linotype"/>
          <w:i/>
        </w:rPr>
        <w:t>.</w:t>
      </w:r>
    </w:p>
    <w:p w14:paraId="4F0C804A" w14:textId="77777777" w:rsidR="00C049E2" w:rsidRPr="00635C4B" w:rsidRDefault="00C049E2" w:rsidP="00635C4B">
      <w:pPr>
        <w:spacing w:line="240" w:lineRule="auto"/>
        <w:ind w:left="567" w:right="539"/>
        <w:rPr>
          <w:rFonts w:eastAsia="Palatino Linotype"/>
          <w:i/>
        </w:rPr>
      </w:pPr>
      <w:r w:rsidRPr="00635C4B">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635C4B" w:rsidRDefault="00C049E2" w:rsidP="00635C4B">
      <w:pPr>
        <w:spacing w:line="240" w:lineRule="auto"/>
        <w:ind w:left="567" w:right="539"/>
        <w:rPr>
          <w:rFonts w:eastAsia="Palatino Linotype"/>
          <w:i/>
        </w:rPr>
      </w:pPr>
      <w:r w:rsidRPr="00635C4B">
        <w:rPr>
          <w:rFonts w:eastAsia="Palatino Linotype"/>
          <w:b/>
          <w:i/>
        </w:rPr>
        <w:t>Este derecho se regirá por los principios y bases siguientes</w:t>
      </w:r>
      <w:r w:rsidRPr="00635C4B">
        <w:rPr>
          <w:rFonts w:eastAsia="Palatino Linotype"/>
          <w:i/>
        </w:rPr>
        <w:t>:</w:t>
      </w:r>
    </w:p>
    <w:p w14:paraId="4A3E8CBA" w14:textId="77777777" w:rsidR="00C049E2" w:rsidRPr="00635C4B" w:rsidRDefault="00C049E2" w:rsidP="00635C4B">
      <w:pPr>
        <w:spacing w:line="240" w:lineRule="auto"/>
        <w:ind w:left="567" w:right="539"/>
        <w:rPr>
          <w:rFonts w:eastAsia="Palatino Linotype"/>
          <w:i/>
        </w:rPr>
      </w:pPr>
      <w:r w:rsidRPr="00635C4B">
        <w:rPr>
          <w:rFonts w:eastAsia="Palatino Linotype"/>
          <w:b/>
          <w:i/>
        </w:rPr>
        <w:t>I. Toda la información en posesión de cualquier autoridad, entidad, órgano y organismos de los</w:t>
      </w:r>
      <w:r w:rsidRPr="00635C4B">
        <w:rPr>
          <w:rFonts w:eastAsia="Palatino Linotype"/>
          <w:i/>
        </w:rPr>
        <w:t xml:space="preserve"> Poderes Ejecutivo, Legislativo y Judicial, órganos autónomos, partidos políticos, fideicomisos y fondos públicos estatales y </w:t>
      </w:r>
      <w:r w:rsidRPr="00635C4B">
        <w:rPr>
          <w:rFonts w:eastAsia="Palatino Linotype"/>
          <w:b/>
          <w:i/>
        </w:rPr>
        <w:t>municipales</w:t>
      </w:r>
      <w:r w:rsidRPr="00635C4B">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635C4B">
        <w:rPr>
          <w:rFonts w:eastAsia="Palatino Linotype"/>
          <w:b/>
          <w:i/>
        </w:rPr>
        <w:t>es pública</w:t>
      </w:r>
      <w:r w:rsidRPr="00635C4B">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635C4B">
        <w:rPr>
          <w:rFonts w:eastAsia="Palatino Linotype"/>
          <w:b/>
          <w:i/>
        </w:rPr>
        <w:t>En la interpretación de este derecho deberá prevalecer el principio de máxima publicidad</w:t>
      </w:r>
      <w:r w:rsidRPr="00635C4B">
        <w:rPr>
          <w:rFonts w:eastAsia="Palatino Linotype"/>
          <w:i/>
        </w:rPr>
        <w:t xml:space="preserve">. </w:t>
      </w:r>
      <w:r w:rsidRPr="00635C4B">
        <w:rPr>
          <w:rFonts w:eastAsia="Palatino Linotype"/>
          <w:b/>
          <w:i/>
        </w:rPr>
        <w:t>Los sujetos obligados deberán documentar todo acto que derive del ejercicio de sus facultades, competencias o funciones</w:t>
      </w:r>
      <w:r w:rsidRPr="00635C4B">
        <w:rPr>
          <w:rFonts w:eastAsia="Palatino Linotype"/>
          <w:i/>
        </w:rPr>
        <w:t>, la ley determinará los supuestos específicos bajo los cuales procederá la declaración de inexistencia de la información.”</w:t>
      </w:r>
    </w:p>
    <w:p w14:paraId="5CA98E37" w14:textId="77777777" w:rsidR="00C049E2" w:rsidRPr="00635C4B" w:rsidRDefault="00C049E2" w:rsidP="00635C4B">
      <w:pPr>
        <w:rPr>
          <w:rFonts w:eastAsia="Palatino Linotype"/>
          <w:b/>
          <w:i/>
        </w:rPr>
      </w:pPr>
    </w:p>
    <w:p w14:paraId="6FC1BB3B" w14:textId="3BF4A33D" w:rsidR="00C049E2" w:rsidRPr="00635C4B" w:rsidRDefault="00717E59" w:rsidP="00635C4B">
      <w:pPr>
        <w:rPr>
          <w:rFonts w:eastAsia="Palatino Linotype"/>
          <w:i/>
        </w:rPr>
      </w:pPr>
      <w:r w:rsidRPr="00635C4B">
        <w:rPr>
          <w:rFonts w:eastAsia="Palatino Linotype"/>
        </w:rPr>
        <w:t xml:space="preserve">Asimismo, </w:t>
      </w:r>
      <w:r w:rsidR="00C049E2" w:rsidRPr="00635C4B">
        <w:rPr>
          <w:rFonts w:eastAsia="Palatino Linotype"/>
        </w:rPr>
        <w:t>el artículo 150 de la Ley de Transparencia y Acceso a la Información Pública del Estado de México y Municipios</w:t>
      </w:r>
      <w:r w:rsidR="00057B2D" w:rsidRPr="00635C4B">
        <w:rPr>
          <w:rFonts w:eastAsia="Palatino Linotype"/>
        </w:rPr>
        <w:t xml:space="preserve"> </w:t>
      </w:r>
      <w:r w:rsidR="00E9335C" w:rsidRPr="00635C4B">
        <w:rPr>
          <w:rFonts w:eastAsia="Palatino Linotype"/>
        </w:rPr>
        <w:t xml:space="preserve">indica </w:t>
      </w:r>
      <w:r w:rsidR="00057B2D" w:rsidRPr="00635C4B">
        <w:rPr>
          <w:rFonts w:eastAsia="Palatino Linotype"/>
        </w:rPr>
        <w:t>que</w:t>
      </w:r>
      <w:r w:rsidR="00C049E2" w:rsidRPr="00635C4B">
        <w:rPr>
          <w:rFonts w:eastAsia="Palatino Linotype"/>
        </w:rPr>
        <w:t xml:space="preserve"> la solicitud es la garantía primaria del Derecho de Acceso a la Información, además, establece que se regirá </w:t>
      </w:r>
      <w:r w:rsidR="00C049E2" w:rsidRPr="00635C4B">
        <w:rPr>
          <w:rFonts w:eastAsia="Palatino Linotype"/>
          <w:i/>
        </w:rPr>
        <w:t>por los principios de simplicidad, rapidez</w:t>
      </w:r>
      <w:r w:rsidR="005F65B7" w:rsidRPr="00635C4B">
        <w:rPr>
          <w:rFonts w:eastAsia="Palatino Linotype"/>
          <w:i/>
        </w:rPr>
        <w:t>,</w:t>
      </w:r>
      <w:r w:rsidR="00C049E2" w:rsidRPr="00635C4B">
        <w:rPr>
          <w:rFonts w:eastAsia="Palatino Linotype"/>
          <w:i/>
        </w:rPr>
        <w:t xml:space="preserve"> gratuidad del procedimiento, auxilio y orientación a los particulare</w:t>
      </w:r>
      <w:r w:rsidR="001A58B3" w:rsidRPr="00635C4B">
        <w:rPr>
          <w:rFonts w:eastAsia="Palatino Linotype"/>
          <w:i/>
        </w:rPr>
        <w:t>s.</w:t>
      </w:r>
    </w:p>
    <w:p w14:paraId="033466A6" w14:textId="77777777" w:rsidR="001A58B3" w:rsidRPr="00635C4B" w:rsidRDefault="001A58B3" w:rsidP="00635C4B">
      <w:pPr>
        <w:rPr>
          <w:rFonts w:eastAsia="Palatino Linotype"/>
          <w:i/>
        </w:rPr>
      </w:pPr>
    </w:p>
    <w:p w14:paraId="04ADA10B" w14:textId="574A944A" w:rsidR="001A58B3" w:rsidRPr="00635C4B" w:rsidRDefault="00233F17" w:rsidP="00635C4B">
      <w:pPr>
        <w:rPr>
          <w:rFonts w:eastAsia="Palatino Linotype" w:cs="Palatino Linotype"/>
          <w:i/>
          <w:szCs w:val="22"/>
        </w:rPr>
      </w:pPr>
      <w:r w:rsidRPr="00635C4B">
        <w:rPr>
          <w:rFonts w:eastAsia="Palatino Linotype" w:cs="Palatino Linotype"/>
        </w:rPr>
        <w:lastRenderedPageBreak/>
        <w:t xml:space="preserve">Por su parte, el artículo 4 de </w:t>
      </w:r>
      <w:r w:rsidR="001A58B3" w:rsidRPr="00635C4B">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635C4B">
        <w:rPr>
          <w:rFonts w:eastAsia="Palatino Linotype" w:cs="Palatino Linotype"/>
        </w:rPr>
        <w:t>.</w:t>
      </w:r>
    </w:p>
    <w:p w14:paraId="1407DBB8" w14:textId="77777777" w:rsidR="001A58B3" w:rsidRPr="00635C4B" w:rsidRDefault="001A58B3" w:rsidP="00635C4B">
      <w:pPr>
        <w:rPr>
          <w:rFonts w:eastAsia="Palatino Linotype" w:cs="Palatino Linotype"/>
        </w:rPr>
      </w:pPr>
    </w:p>
    <w:p w14:paraId="7552AA79" w14:textId="5C52E4A4" w:rsidR="001A58B3" w:rsidRPr="00635C4B" w:rsidRDefault="001A58B3" w:rsidP="00635C4B">
      <w:pPr>
        <w:rPr>
          <w:rFonts w:eastAsia="Palatino Linotype" w:cs="Palatino Linotype"/>
        </w:rPr>
      </w:pPr>
      <w:r w:rsidRPr="00635C4B">
        <w:rPr>
          <w:rFonts w:eastAsia="Palatino Linotype" w:cs="Palatino Linotype"/>
        </w:rPr>
        <w:t xml:space="preserve">Esto es, que los Sujetos Obligados </w:t>
      </w:r>
      <w:r w:rsidR="00FA5957" w:rsidRPr="00635C4B">
        <w:rPr>
          <w:rFonts w:eastAsia="Palatino Linotype" w:cs="Palatino Linotype"/>
        </w:rPr>
        <w:t>deben</w:t>
      </w:r>
      <w:r w:rsidRPr="00635C4B">
        <w:rPr>
          <w:rFonts w:eastAsia="Palatino Linotype" w:cs="Palatino Linotype"/>
        </w:rPr>
        <w:t xml:space="preserve"> atender las solicitudes de acceso a la información pública que se les </w:t>
      </w:r>
      <w:r w:rsidR="00FA5957" w:rsidRPr="00635C4B">
        <w:rPr>
          <w:rFonts w:eastAsia="Palatino Linotype" w:cs="Palatino Linotype"/>
        </w:rPr>
        <w:t>sean realizadas,</w:t>
      </w:r>
      <w:r w:rsidRPr="00635C4B">
        <w:rPr>
          <w:rFonts w:eastAsia="Palatino Linotype" w:cs="Palatino Linotype"/>
        </w:rPr>
        <w:t xml:space="preserve"> y proporcionar la información pública que obre en su poder</w:t>
      </w:r>
      <w:r w:rsidR="00FA5957" w:rsidRPr="00635C4B">
        <w:rPr>
          <w:rFonts w:eastAsia="Palatino Linotype" w:cs="Palatino Linotype"/>
        </w:rPr>
        <w:t>,</w:t>
      </w:r>
      <w:r w:rsidRPr="00635C4B">
        <w:rPr>
          <w:rFonts w:eastAsia="Palatino Linotype" w:cs="Palatino Linotype"/>
        </w:rPr>
        <w:t xml:space="preserve"> conforme </w:t>
      </w:r>
      <w:r w:rsidR="00FA5957" w:rsidRPr="00635C4B">
        <w:rPr>
          <w:rFonts w:eastAsia="Palatino Linotype" w:cs="Palatino Linotype"/>
        </w:rPr>
        <w:t>a</w:t>
      </w:r>
      <w:r w:rsidRPr="00635C4B">
        <w:rPr>
          <w:rFonts w:eastAsia="Palatino Linotype" w:cs="Palatino Linotype"/>
        </w:rPr>
        <w:t xml:space="preserve">l estado </w:t>
      </w:r>
      <w:r w:rsidR="00FA5957" w:rsidRPr="00635C4B">
        <w:rPr>
          <w:rFonts w:eastAsia="Palatino Linotype" w:cs="Palatino Linotype"/>
        </w:rPr>
        <w:t xml:space="preserve">en </w:t>
      </w:r>
      <w:r w:rsidRPr="00635C4B">
        <w:rPr>
          <w:rFonts w:eastAsia="Palatino Linotype" w:cs="Palatino Linotype"/>
        </w:rPr>
        <w:t>que se encuentr</w:t>
      </w:r>
      <w:r w:rsidR="00FA5957" w:rsidRPr="00635C4B">
        <w:rPr>
          <w:rFonts w:eastAsia="Palatino Linotype" w:cs="Palatino Linotype"/>
        </w:rPr>
        <w:t>e, sin que sea necesario</w:t>
      </w:r>
      <w:r w:rsidRPr="00635C4B">
        <w:rPr>
          <w:rFonts w:eastAsia="Palatino Linotype" w:cs="Palatino Linotype"/>
        </w:rPr>
        <w:t xml:space="preserve"> </w:t>
      </w:r>
      <w:r w:rsidR="00FA5957" w:rsidRPr="00635C4B">
        <w:rPr>
          <w:rFonts w:eastAsia="Palatino Linotype" w:cs="Palatino Linotype"/>
        </w:rPr>
        <w:t>procesar</w:t>
      </w:r>
      <w:r w:rsidRPr="00635C4B">
        <w:rPr>
          <w:rFonts w:eastAsia="Palatino Linotype" w:cs="Palatino Linotype"/>
        </w:rPr>
        <w:t xml:space="preserve"> la misma, ni presentarla conforme al interés del solicitante; </w:t>
      </w:r>
      <w:r w:rsidR="00FA5957" w:rsidRPr="00635C4B">
        <w:rPr>
          <w:rFonts w:eastAsia="Palatino Linotype" w:cs="Palatino Linotype"/>
        </w:rPr>
        <w:t>tal y como</w:t>
      </w:r>
      <w:r w:rsidRPr="00635C4B">
        <w:rPr>
          <w:rFonts w:eastAsia="Palatino Linotype" w:cs="Palatino Linotype"/>
        </w:rPr>
        <w:t xml:space="preserve"> lo establece el artículo 12 de la Ley de Transparencia y Acceso a la Información Pública del Estado de México y Municipios</w:t>
      </w:r>
      <w:r w:rsidR="00970EB3" w:rsidRPr="00635C4B">
        <w:rPr>
          <w:rFonts w:eastAsia="Palatino Linotype" w:cs="Palatino Linotype"/>
        </w:rPr>
        <w:t>.</w:t>
      </w:r>
    </w:p>
    <w:p w14:paraId="73245195" w14:textId="77777777" w:rsidR="00970EB3" w:rsidRPr="00635C4B" w:rsidRDefault="00970EB3" w:rsidP="00635C4B">
      <w:pPr>
        <w:rPr>
          <w:rFonts w:eastAsia="Palatino Linotype" w:cs="Palatino Linotype"/>
        </w:rPr>
      </w:pPr>
    </w:p>
    <w:p w14:paraId="7F62D4DF" w14:textId="775730E1" w:rsidR="001A58B3" w:rsidRPr="00635C4B" w:rsidRDefault="001A58B3" w:rsidP="00635C4B">
      <w:pPr>
        <w:rPr>
          <w:rFonts w:eastAsia="Palatino Linotype" w:cs="Palatino Linotype"/>
        </w:rPr>
      </w:pPr>
      <w:r w:rsidRPr="00635C4B">
        <w:rPr>
          <w:rFonts w:eastAsia="Palatino Linotype" w:cs="Palatino Linotype"/>
        </w:rPr>
        <w:t>Es decir, que todo sujeto obligado que genere, recopile, administre, procese, archive, posea o conserven, son responsables de la misma</w:t>
      </w:r>
      <w:r w:rsidR="00970EB3" w:rsidRPr="00635C4B">
        <w:rPr>
          <w:rFonts w:eastAsia="Palatino Linotype" w:cs="Palatino Linotype"/>
        </w:rPr>
        <w:t>,</w:t>
      </w:r>
      <w:r w:rsidRPr="00635C4B">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635C4B">
        <w:rPr>
          <w:rFonts w:eastAsia="Palatino Linotype" w:cs="Palatino Linotype"/>
        </w:rPr>
        <w:t>o</w:t>
      </w:r>
      <w:r w:rsidRPr="00635C4B">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635C4B" w:rsidRDefault="001A58B3" w:rsidP="00635C4B">
      <w:pPr>
        <w:rPr>
          <w:rFonts w:eastAsia="Palatino Linotype" w:cs="Palatino Linotype"/>
        </w:rPr>
      </w:pPr>
    </w:p>
    <w:p w14:paraId="04E42DFE" w14:textId="573F1198" w:rsidR="001A58B3" w:rsidRPr="00635C4B" w:rsidRDefault="001A58B3" w:rsidP="00635C4B">
      <w:pPr>
        <w:rPr>
          <w:rFonts w:eastAsia="Palatino Linotype" w:cs="Palatino Linotype"/>
        </w:rPr>
      </w:pPr>
      <w:r w:rsidRPr="00635C4B">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635C4B">
        <w:rPr>
          <w:rFonts w:eastAsia="Palatino Linotype" w:cs="Palatino Linotype"/>
        </w:rPr>
        <w:t>, s</w:t>
      </w:r>
      <w:r w:rsidRPr="00635C4B">
        <w:rPr>
          <w:rFonts w:eastAsia="Palatino Linotype" w:cs="Palatino Linotype"/>
        </w:rPr>
        <w:t xml:space="preserve">iempre y cuando no se trate de información reservada o </w:t>
      </w:r>
      <w:r w:rsidR="00331F35" w:rsidRPr="00635C4B">
        <w:rPr>
          <w:rFonts w:eastAsia="Palatino Linotype" w:cs="Palatino Linotype"/>
        </w:rPr>
        <w:t>confidencial.</w:t>
      </w:r>
    </w:p>
    <w:p w14:paraId="40C5219F" w14:textId="77777777" w:rsidR="001A58B3" w:rsidRPr="00635C4B" w:rsidRDefault="001A58B3" w:rsidP="00635C4B">
      <w:pPr>
        <w:rPr>
          <w:rFonts w:eastAsia="Palatino Linotype" w:cs="Palatino Linotype"/>
        </w:rPr>
      </w:pPr>
    </w:p>
    <w:p w14:paraId="2E629608" w14:textId="65942529" w:rsidR="00C049E2" w:rsidRPr="00635C4B" w:rsidRDefault="006067C7" w:rsidP="00635C4B">
      <w:pPr>
        <w:rPr>
          <w:rFonts w:eastAsia="Palatino Linotype"/>
        </w:rPr>
      </w:pPr>
      <w:bookmarkStart w:id="26" w:name="_heading=h.2s8eyo1" w:colFirst="0" w:colLast="0"/>
      <w:bookmarkEnd w:id="26"/>
      <w:r w:rsidRPr="00635C4B">
        <w:rPr>
          <w:rFonts w:eastAsia="Palatino Linotype"/>
        </w:rPr>
        <w:t>Con base en lo anterior</w:t>
      </w:r>
      <w:r w:rsidR="00B22A80" w:rsidRPr="00635C4B">
        <w:rPr>
          <w:rFonts w:eastAsia="Palatino Linotype"/>
        </w:rPr>
        <w:t>, se considera que</w:t>
      </w:r>
      <w:r w:rsidR="00C049E2" w:rsidRPr="00635C4B">
        <w:rPr>
          <w:rFonts w:eastAsia="Palatino Linotype"/>
        </w:rPr>
        <w:t xml:space="preserve"> </w:t>
      </w:r>
      <w:r w:rsidR="005C1CD1" w:rsidRPr="00635C4B">
        <w:rPr>
          <w:rFonts w:eastAsia="Palatino Linotype"/>
          <w:b/>
          <w:bCs/>
        </w:rPr>
        <w:t>la autoridad</w:t>
      </w:r>
      <w:r w:rsidR="00C049E2" w:rsidRPr="00635C4B">
        <w:rPr>
          <w:rFonts w:eastAsia="Palatino Linotype"/>
        </w:rPr>
        <w:t xml:space="preserve"> </w:t>
      </w:r>
      <w:r w:rsidR="00B22A80" w:rsidRPr="00635C4B">
        <w:rPr>
          <w:rFonts w:eastAsia="Palatino Linotype"/>
        </w:rPr>
        <w:t xml:space="preserve">se </w:t>
      </w:r>
      <w:r w:rsidR="00717E59" w:rsidRPr="00635C4B">
        <w:rPr>
          <w:rFonts w:eastAsia="Palatino Linotype"/>
        </w:rPr>
        <w:t>encontraba</w:t>
      </w:r>
      <w:r w:rsidR="005C1CD1" w:rsidRPr="00635C4B">
        <w:rPr>
          <w:rFonts w:eastAsia="Palatino Linotype"/>
        </w:rPr>
        <w:t xml:space="preserve"> obligada</w:t>
      </w:r>
      <w:r w:rsidR="00B22A80" w:rsidRPr="00635C4B">
        <w:rPr>
          <w:rFonts w:eastAsia="Palatino Linotype"/>
        </w:rPr>
        <w:t xml:space="preserve"> a</w:t>
      </w:r>
      <w:r w:rsidR="00C049E2" w:rsidRPr="00635C4B">
        <w:rPr>
          <w:rFonts w:eastAsia="Palatino Linotype"/>
        </w:rPr>
        <w:t xml:space="preserve"> atender la solicitud de acceso a la información </w:t>
      </w:r>
      <w:r w:rsidR="00B22A80" w:rsidRPr="00635C4B">
        <w:rPr>
          <w:rFonts w:eastAsia="Palatino Linotype"/>
        </w:rPr>
        <w:t xml:space="preserve">realizada por </w:t>
      </w:r>
      <w:r w:rsidR="00B22A80" w:rsidRPr="00635C4B">
        <w:rPr>
          <w:rFonts w:eastAsia="Palatino Linotype"/>
          <w:b/>
          <w:bCs/>
        </w:rPr>
        <w:t>LA PARTE RECURRENTE</w:t>
      </w:r>
      <w:r w:rsidR="00331F35" w:rsidRPr="00635C4B">
        <w:rPr>
          <w:rFonts w:eastAsia="Palatino Linotype"/>
        </w:rPr>
        <w:t>.</w:t>
      </w:r>
    </w:p>
    <w:p w14:paraId="3AFB9FAE" w14:textId="77777777" w:rsidR="00AA26B0" w:rsidRPr="00635C4B" w:rsidRDefault="00AA26B0" w:rsidP="00635C4B">
      <w:pPr>
        <w:rPr>
          <w:rFonts w:eastAsia="Palatino Linotype"/>
        </w:rPr>
      </w:pPr>
    </w:p>
    <w:p w14:paraId="51A0E8B4" w14:textId="676DCA47" w:rsidR="00664420" w:rsidRPr="00635C4B" w:rsidRDefault="00C71CEF" w:rsidP="00635C4B">
      <w:pPr>
        <w:pStyle w:val="Ttulo3"/>
        <w:rPr>
          <w:rFonts w:eastAsia="Calibri"/>
          <w:lang w:eastAsia="es-ES_tradnl"/>
        </w:rPr>
      </w:pPr>
      <w:bookmarkStart w:id="27" w:name="_Toc185499689"/>
      <w:r w:rsidRPr="00635C4B">
        <w:rPr>
          <w:rFonts w:eastAsia="Calibri"/>
          <w:lang w:eastAsia="es-ES_tradnl"/>
        </w:rPr>
        <w:t>b)</w:t>
      </w:r>
      <w:r w:rsidR="00A53315" w:rsidRPr="00635C4B">
        <w:rPr>
          <w:rFonts w:eastAsia="Calibri"/>
          <w:lang w:eastAsia="es-ES_tradnl"/>
        </w:rPr>
        <w:t xml:space="preserve"> </w:t>
      </w:r>
      <w:r w:rsidR="00A21A20" w:rsidRPr="00635C4B">
        <w:rPr>
          <w:rFonts w:eastAsia="Calibri"/>
          <w:lang w:eastAsia="es-ES_tradnl"/>
        </w:rPr>
        <w:t>Controversia a resolver</w:t>
      </w:r>
      <w:bookmarkEnd w:id="27"/>
    </w:p>
    <w:p w14:paraId="5DAE2A65" w14:textId="382C31A9" w:rsidR="00664420" w:rsidRPr="00635C4B" w:rsidRDefault="00664420" w:rsidP="00635C4B">
      <w:pPr>
        <w:rPr>
          <w:rFonts w:eastAsia="Calibri"/>
          <w:lang w:eastAsia="es-ES_tradnl"/>
        </w:rPr>
      </w:pPr>
      <w:r w:rsidRPr="00635C4B">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635C4B">
        <w:rPr>
          <w:rFonts w:eastAsia="Calibri"/>
          <w:b/>
          <w:bCs/>
          <w:lang w:eastAsia="es-ES_tradnl"/>
        </w:rPr>
        <w:t>LA PARTE RECURRENTE</w:t>
      </w:r>
      <w:r w:rsidRPr="00635C4B">
        <w:rPr>
          <w:rFonts w:eastAsia="Calibri"/>
          <w:lang w:eastAsia="es-ES_tradnl"/>
        </w:rPr>
        <w:t xml:space="preserve"> solicitó lo siguiente:</w:t>
      </w:r>
    </w:p>
    <w:p w14:paraId="7D9D559B" w14:textId="77777777" w:rsidR="00664420" w:rsidRPr="00635C4B" w:rsidRDefault="00664420" w:rsidP="00635C4B">
      <w:pPr>
        <w:tabs>
          <w:tab w:val="left" w:pos="4962"/>
        </w:tabs>
        <w:contextualSpacing/>
        <w:rPr>
          <w:rFonts w:eastAsia="Calibri" w:cs="Tahoma"/>
          <w:iCs/>
          <w:szCs w:val="22"/>
          <w:lang w:eastAsia="es-ES_tradnl"/>
        </w:rPr>
      </w:pPr>
    </w:p>
    <w:p w14:paraId="59059EE3" w14:textId="20A6E6FE" w:rsidR="00B44E0C" w:rsidRPr="00635C4B" w:rsidRDefault="00AC5C16" w:rsidP="00635C4B">
      <w:pPr>
        <w:pStyle w:val="Prrafodelista"/>
        <w:numPr>
          <w:ilvl w:val="0"/>
          <w:numId w:val="26"/>
        </w:numPr>
        <w:tabs>
          <w:tab w:val="left" w:pos="4962"/>
        </w:tabs>
        <w:rPr>
          <w:rFonts w:eastAsia="Calibri" w:cs="Tahoma"/>
          <w:iCs/>
          <w:szCs w:val="22"/>
          <w:lang w:eastAsia="es-ES_tradnl"/>
        </w:rPr>
      </w:pPr>
      <w:r w:rsidRPr="00635C4B">
        <w:rPr>
          <w:rFonts w:eastAsia="Calibri" w:cs="Tahoma"/>
          <w:iCs/>
          <w:szCs w:val="22"/>
          <w:lang w:eastAsia="es-ES_tradnl"/>
        </w:rPr>
        <w:t>Bases, junta de aclaraciones, fallo y contratos derivados del Procedimiento de Licitación Pública Presencial PB-LPNP-003-2024 para la “adquisición de materias primas y materiales de producción”.</w:t>
      </w:r>
    </w:p>
    <w:p w14:paraId="3DF8671B" w14:textId="628CDE28" w:rsidR="00AC5C16" w:rsidRPr="00635C4B" w:rsidRDefault="00AC5C16" w:rsidP="00635C4B">
      <w:pPr>
        <w:pStyle w:val="Prrafodelista"/>
        <w:numPr>
          <w:ilvl w:val="0"/>
          <w:numId w:val="26"/>
        </w:numPr>
        <w:tabs>
          <w:tab w:val="left" w:pos="4962"/>
        </w:tabs>
        <w:rPr>
          <w:rFonts w:eastAsia="Calibri" w:cs="Tahoma"/>
          <w:iCs/>
          <w:szCs w:val="22"/>
          <w:lang w:eastAsia="es-ES_tradnl"/>
        </w:rPr>
      </w:pPr>
      <w:r w:rsidRPr="00635C4B">
        <w:rPr>
          <w:rFonts w:eastAsia="Calibri" w:cs="Tahoma"/>
          <w:iCs/>
          <w:szCs w:val="22"/>
          <w:lang w:eastAsia="es-ES_tradnl"/>
        </w:rPr>
        <w:t xml:space="preserve">Actas de las sesiones ordinarias y extraordinarias del Consejo Directivo celebradas en los meses de julio, agosto y septiembre de 2024. </w:t>
      </w:r>
    </w:p>
    <w:p w14:paraId="575AFF6B" w14:textId="77777777" w:rsidR="00B44E0C" w:rsidRPr="00635C4B" w:rsidRDefault="00B44E0C" w:rsidP="00635C4B">
      <w:pPr>
        <w:tabs>
          <w:tab w:val="left" w:pos="4962"/>
        </w:tabs>
        <w:contextualSpacing/>
        <w:rPr>
          <w:rFonts w:eastAsia="Calibri" w:cs="Tahoma"/>
          <w:iCs/>
          <w:szCs w:val="22"/>
          <w:lang w:eastAsia="es-ES_tradnl"/>
        </w:rPr>
      </w:pPr>
    </w:p>
    <w:p w14:paraId="1CED052A" w14:textId="7EF5A15D" w:rsidR="00664420" w:rsidRPr="00635C4B" w:rsidRDefault="00664420" w:rsidP="00635C4B">
      <w:pPr>
        <w:autoSpaceDE w:val="0"/>
        <w:autoSpaceDN w:val="0"/>
        <w:adjustRightInd w:val="0"/>
        <w:ind w:right="-28"/>
        <w:rPr>
          <w:rFonts w:cs="Tahoma"/>
          <w:bCs/>
          <w:szCs w:val="22"/>
          <w:lang w:val="es-ES"/>
        </w:rPr>
      </w:pPr>
      <w:r w:rsidRPr="00635C4B">
        <w:rPr>
          <w:rFonts w:eastAsiaTheme="minorHAnsi" w:cs="Tahoma"/>
          <w:bCs/>
          <w:iCs/>
          <w:szCs w:val="22"/>
          <w:lang w:eastAsia="en-US"/>
        </w:rPr>
        <w:t xml:space="preserve">En respuesta, </w:t>
      </w:r>
      <w:r w:rsidR="005D5A50" w:rsidRPr="00635C4B">
        <w:rPr>
          <w:rFonts w:eastAsiaTheme="minorHAnsi" w:cs="Tahoma"/>
          <w:b/>
          <w:iCs/>
          <w:szCs w:val="22"/>
          <w:lang w:eastAsia="en-US"/>
        </w:rPr>
        <w:t>EL SUJETO OBLIGADO</w:t>
      </w:r>
      <w:r w:rsidRPr="00635C4B">
        <w:rPr>
          <w:rFonts w:eastAsiaTheme="minorHAnsi" w:cs="Tahoma"/>
          <w:bCs/>
          <w:iCs/>
          <w:szCs w:val="22"/>
          <w:lang w:eastAsia="en-US"/>
        </w:rPr>
        <w:t xml:space="preserve"> se pronunció por conducto de</w:t>
      </w:r>
      <w:r w:rsidR="002E58DF" w:rsidRPr="00635C4B">
        <w:rPr>
          <w:rFonts w:eastAsiaTheme="minorHAnsi" w:cs="Tahoma"/>
          <w:bCs/>
          <w:iCs/>
          <w:szCs w:val="22"/>
          <w:lang w:eastAsia="en-US"/>
        </w:rPr>
        <w:t>l</w:t>
      </w:r>
      <w:r w:rsidRPr="00635C4B">
        <w:rPr>
          <w:rFonts w:eastAsiaTheme="minorHAnsi" w:cs="Tahoma"/>
          <w:bCs/>
          <w:iCs/>
          <w:szCs w:val="22"/>
          <w:lang w:eastAsia="en-US"/>
        </w:rPr>
        <w:t xml:space="preserve"> </w:t>
      </w:r>
      <w:r w:rsidR="00AC5C16" w:rsidRPr="00635C4B">
        <w:rPr>
          <w:rFonts w:cs="Tahoma"/>
          <w:bCs/>
          <w:szCs w:val="22"/>
          <w:lang w:val="es-ES"/>
        </w:rPr>
        <w:t>el Director de Administración, Finanzas y de Gestión Documental, en el cual señala la información a proporcionar, en atención a la solicitud de información, siendo esta, las bases, acta de junta de aclaraciones, acta de fallo de adjudicación y los contratos en versión pública.</w:t>
      </w:r>
    </w:p>
    <w:p w14:paraId="4BEBD880" w14:textId="77777777" w:rsidR="00664420" w:rsidRPr="00635C4B" w:rsidRDefault="00664420" w:rsidP="00635C4B">
      <w:pPr>
        <w:tabs>
          <w:tab w:val="left" w:pos="4962"/>
        </w:tabs>
        <w:rPr>
          <w:rFonts w:eastAsiaTheme="minorHAnsi" w:cs="Tahoma"/>
          <w:bCs/>
          <w:iCs/>
          <w:szCs w:val="22"/>
          <w:lang w:eastAsia="en-US"/>
        </w:rPr>
      </w:pPr>
    </w:p>
    <w:p w14:paraId="31DD81D7" w14:textId="52F916CB" w:rsidR="00664420" w:rsidRPr="00635C4B" w:rsidRDefault="00CF7586" w:rsidP="00635C4B">
      <w:pPr>
        <w:tabs>
          <w:tab w:val="left" w:pos="4962"/>
        </w:tabs>
        <w:contextualSpacing/>
        <w:rPr>
          <w:rFonts w:eastAsiaTheme="minorHAnsi" w:cs="Tahoma"/>
          <w:bCs/>
          <w:iCs/>
          <w:szCs w:val="22"/>
          <w:lang w:eastAsia="en-US"/>
        </w:rPr>
      </w:pPr>
      <w:r w:rsidRPr="00635C4B">
        <w:rPr>
          <w:rFonts w:eastAsiaTheme="minorHAnsi" w:cs="Tahoma"/>
          <w:bCs/>
          <w:iCs/>
          <w:szCs w:val="22"/>
          <w:lang w:eastAsia="en-US"/>
        </w:rPr>
        <w:t xml:space="preserve">Ahora bien, en la interposición del presente recurso </w:t>
      </w:r>
      <w:r w:rsidRPr="00635C4B">
        <w:rPr>
          <w:rFonts w:eastAsiaTheme="minorHAnsi" w:cs="Tahoma"/>
          <w:b/>
          <w:iCs/>
          <w:szCs w:val="22"/>
          <w:lang w:eastAsia="en-US"/>
        </w:rPr>
        <w:t>LA PARTE RECURRENTE</w:t>
      </w:r>
      <w:r w:rsidR="00664420" w:rsidRPr="00635C4B">
        <w:rPr>
          <w:rFonts w:eastAsiaTheme="minorHAnsi" w:cs="Tahoma"/>
          <w:bCs/>
          <w:iCs/>
          <w:szCs w:val="22"/>
          <w:lang w:eastAsia="en-US"/>
        </w:rPr>
        <w:t xml:space="preserve"> se inconformó de </w:t>
      </w:r>
      <w:r w:rsidR="0022409E" w:rsidRPr="00635C4B">
        <w:rPr>
          <w:rFonts w:eastAsiaTheme="minorHAnsi" w:cs="Tahoma"/>
          <w:bCs/>
          <w:iCs/>
          <w:szCs w:val="22"/>
          <w:lang w:eastAsia="en-US"/>
        </w:rPr>
        <w:t xml:space="preserve">la </w:t>
      </w:r>
      <w:r w:rsidR="00863CAE" w:rsidRPr="00635C4B">
        <w:rPr>
          <w:rFonts w:eastAsiaTheme="minorHAnsi" w:cs="Tahoma"/>
          <w:bCs/>
          <w:iCs/>
          <w:szCs w:val="22"/>
          <w:lang w:eastAsia="en-US"/>
        </w:rPr>
        <w:t>entrega de información incompleta respecto de</w:t>
      </w:r>
      <w:r w:rsidR="00AC5C16" w:rsidRPr="00635C4B">
        <w:rPr>
          <w:rFonts w:eastAsiaTheme="minorHAnsi" w:cs="Tahoma"/>
          <w:bCs/>
          <w:iCs/>
          <w:szCs w:val="22"/>
          <w:lang w:eastAsia="en-US"/>
        </w:rPr>
        <w:t>l inciso dos, sobre las actas del Consejo Directivo</w:t>
      </w:r>
      <w:r w:rsidR="007A2599" w:rsidRPr="00635C4B">
        <w:rPr>
          <w:rFonts w:eastAsiaTheme="minorHAnsi" w:cs="Tahoma"/>
          <w:bCs/>
          <w:iCs/>
          <w:szCs w:val="22"/>
          <w:lang w:eastAsia="en-US"/>
        </w:rPr>
        <w:t xml:space="preserve">, por lo cual, el estudio se centrará en determinar si las documentales </w:t>
      </w:r>
      <w:r w:rsidR="00863CAE" w:rsidRPr="00635C4B">
        <w:rPr>
          <w:rFonts w:eastAsiaTheme="minorHAnsi" w:cs="Tahoma"/>
          <w:bCs/>
          <w:iCs/>
          <w:szCs w:val="22"/>
          <w:lang w:eastAsia="en-US"/>
        </w:rPr>
        <w:t xml:space="preserve">remitidas por </w:t>
      </w:r>
      <w:r w:rsidR="007A2599" w:rsidRPr="00635C4B">
        <w:rPr>
          <w:rFonts w:eastAsiaTheme="minorHAnsi" w:cs="Tahoma"/>
          <w:bCs/>
          <w:iCs/>
          <w:szCs w:val="22"/>
          <w:lang w:eastAsia="en-US"/>
        </w:rPr>
        <w:t xml:space="preserve"> </w:t>
      </w:r>
      <w:r w:rsidR="007A2599" w:rsidRPr="00635C4B">
        <w:rPr>
          <w:rFonts w:eastAsiaTheme="minorHAnsi" w:cs="Tahoma"/>
          <w:b/>
          <w:bCs/>
          <w:iCs/>
          <w:szCs w:val="22"/>
          <w:lang w:eastAsia="en-US"/>
        </w:rPr>
        <w:t>SUJETO OBLIGADO</w:t>
      </w:r>
      <w:r w:rsidR="00863CAE" w:rsidRPr="00635C4B">
        <w:rPr>
          <w:rFonts w:eastAsiaTheme="minorHAnsi" w:cs="Tahoma"/>
          <w:b/>
          <w:bCs/>
          <w:iCs/>
          <w:szCs w:val="22"/>
          <w:lang w:eastAsia="en-US"/>
        </w:rPr>
        <w:t xml:space="preserve"> colman con el derecho de acceso a la información de LA PARTE RECURRENTE</w:t>
      </w:r>
      <w:r w:rsidR="002D50A3" w:rsidRPr="00635C4B">
        <w:rPr>
          <w:rFonts w:eastAsiaTheme="minorHAnsi" w:cs="Tahoma"/>
          <w:bCs/>
          <w:iCs/>
          <w:szCs w:val="22"/>
          <w:lang w:eastAsia="en-US"/>
        </w:rPr>
        <w:t>.</w:t>
      </w:r>
      <w:r w:rsidR="00D2790D" w:rsidRPr="00635C4B">
        <w:rPr>
          <w:rFonts w:eastAsiaTheme="minorHAnsi" w:cs="Tahoma"/>
          <w:bCs/>
          <w:iCs/>
          <w:szCs w:val="22"/>
          <w:lang w:eastAsia="en-US"/>
        </w:rPr>
        <w:t xml:space="preserve"> </w:t>
      </w:r>
    </w:p>
    <w:p w14:paraId="3F1C720B" w14:textId="77777777" w:rsidR="00664420" w:rsidRPr="00635C4B" w:rsidRDefault="00664420" w:rsidP="00635C4B">
      <w:pPr>
        <w:contextualSpacing/>
        <w:rPr>
          <w:rFonts w:cs="Tahoma"/>
          <w:szCs w:val="22"/>
          <w:lang w:eastAsia="es-MX"/>
        </w:rPr>
      </w:pPr>
    </w:p>
    <w:p w14:paraId="395FB891" w14:textId="272D180A" w:rsidR="002F51F5" w:rsidRPr="00635C4B" w:rsidRDefault="00A21A20" w:rsidP="00635C4B">
      <w:pPr>
        <w:pStyle w:val="Ttulo3"/>
      </w:pPr>
      <w:bookmarkStart w:id="28" w:name="_Toc185499690"/>
      <w:r w:rsidRPr="00635C4B">
        <w:t>c)</w:t>
      </w:r>
      <w:r w:rsidR="00664420" w:rsidRPr="00635C4B">
        <w:t xml:space="preserve"> </w:t>
      </w:r>
      <w:r w:rsidRPr="00635C4B">
        <w:t>Estudio de la controversia</w:t>
      </w:r>
      <w:bookmarkEnd w:id="28"/>
    </w:p>
    <w:p w14:paraId="5CFA0414" w14:textId="38A59CB1" w:rsidR="00863CAE" w:rsidRPr="00635C4B" w:rsidRDefault="00863CAE" w:rsidP="00635C4B">
      <w:pPr>
        <w:ind w:right="-93"/>
        <w:rPr>
          <w:rFonts w:cs="Tahoma"/>
          <w:bCs/>
          <w:szCs w:val="22"/>
        </w:rPr>
      </w:pPr>
      <w:r w:rsidRPr="00635C4B">
        <w:rPr>
          <w:rFonts w:cs="Tahoma"/>
          <w:bCs/>
          <w:szCs w:val="22"/>
        </w:rPr>
        <w:t xml:space="preserve">En primera instancia, resulta necesario señalar que </w:t>
      </w:r>
      <w:r w:rsidRPr="00635C4B">
        <w:rPr>
          <w:rFonts w:cs="Tahoma"/>
          <w:b/>
          <w:bCs/>
          <w:szCs w:val="22"/>
        </w:rPr>
        <w:t>LA PARTE RECURRENTE</w:t>
      </w:r>
      <w:r w:rsidRPr="00635C4B">
        <w:rPr>
          <w:rFonts w:cs="Tahoma"/>
          <w:bCs/>
          <w:szCs w:val="22"/>
        </w:rPr>
        <w:t xml:space="preserve">, </w:t>
      </w:r>
      <w:r w:rsidR="00143410" w:rsidRPr="00635C4B">
        <w:rPr>
          <w:rFonts w:cs="Tahoma"/>
          <w:bCs/>
          <w:szCs w:val="22"/>
        </w:rPr>
        <w:t xml:space="preserve">al momento de presentar las razones o motivos de inconformidad que lo llevaron a la promoción del medio de impugnación que nos ocupa, </w:t>
      </w:r>
      <w:r w:rsidRPr="00635C4B">
        <w:rPr>
          <w:rFonts w:cs="Tahoma"/>
          <w:bCs/>
          <w:szCs w:val="22"/>
        </w:rPr>
        <w:t xml:space="preserve">no se inconforma de la totalidad de la respuesta, sino únicamente de la falta de entrega de las </w:t>
      </w:r>
      <w:r w:rsidR="00AC5C16" w:rsidRPr="00635C4B">
        <w:rPr>
          <w:rFonts w:cs="Tahoma"/>
          <w:bCs/>
          <w:szCs w:val="22"/>
        </w:rPr>
        <w:t>actas de las sesiones ordinarias y extraordinarias del Consejo Directivo</w:t>
      </w:r>
      <w:r w:rsidRPr="00635C4B">
        <w:rPr>
          <w:rFonts w:cs="Tahoma"/>
          <w:bCs/>
          <w:szCs w:val="22"/>
        </w:rPr>
        <w:t xml:space="preserve">, consintiendo de tal forma el resto de la información proporcionada por </w:t>
      </w:r>
      <w:r w:rsidRPr="00635C4B">
        <w:rPr>
          <w:rFonts w:cs="Tahoma"/>
          <w:b/>
          <w:bCs/>
          <w:szCs w:val="22"/>
        </w:rPr>
        <w:t>EL SUJETO OBLIGADO</w:t>
      </w:r>
      <w:r w:rsidRPr="00635C4B">
        <w:rPr>
          <w:rFonts w:cs="Tahoma"/>
          <w:bCs/>
          <w:szCs w:val="22"/>
        </w:rPr>
        <w:t>.</w:t>
      </w:r>
    </w:p>
    <w:p w14:paraId="7E7B5558" w14:textId="77777777" w:rsidR="00863CAE" w:rsidRPr="00635C4B" w:rsidRDefault="00863CAE" w:rsidP="00635C4B">
      <w:pPr>
        <w:ind w:right="-93"/>
        <w:rPr>
          <w:rFonts w:cs="Tahoma"/>
          <w:bCs/>
          <w:szCs w:val="22"/>
        </w:rPr>
      </w:pPr>
    </w:p>
    <w:p w14:paraId="5C860841" w14:textId="2A0222BA" w:rsidR="00863CAE" w:rsidRPr="00635C4B" w:rsidRDefault="00863CAE" w:rsidP="00635C4B">
      <w:pPr>
        <w:rPr>
          <w:rFonts w:eastAsia="Palatino Linotype" w:cs="Palatino Linotype"/>
        </w:rPr>
      </w:pPr>
      <w:r w:rsidRPr="00635C4B">
        <w:rPr>
          <w:rFonts w:cs="Tahoma"/>
          <w:bCs/>
          <w:szCs w:val="22"/>
        </w:rPr>
        <w:t xml:space="preserve">Por lo anterior, </w:t>
      </w:r>
      <w:r w:rsidRPr="00635C4B">
        <w:rPr>
          <w:rFonts w:eastAsia="Palatino Linotype" w:cs="Palatino Linotype"/>
        </w:rPr>
        <w:t xml:space="preserve">este Órgano </w:t>
      </w:r>
      <w:r w:rsidR="00143410" w:rsidRPr="00635C4B">
        <w:rPr>
          <w:rFonts w:eastAsia="Palatino Linotype" w:cs="Palatino Linotype"/>
        </w:rPr>
        <w:t>Garante</w:t>
      </w:r>
      <w:r w:rsidRPr="00635C4B">
        <w:rPr>
          <w:rFonts w:eastAsia="Palatino Linotype" w:cs="Palatino Linotype"/>
        </w:rPr>
        <w:t xml:space="preserve"> considera que los rubros de la solicitud de información pública que fueron atendidas por </w:t>
      </w:r>
      <w:r w:rsidRPr="00635C4B">
        <w:rPr>
          <w:rFonts w:eastAsia="Palatino Linotype" w:cs="Palatino Linotype"/>
          <w:b/>
        </w:rPr>
        <w:t xml:space="preserve">EL SUJETO OBLIGADO </w:t>
      </w:r>
      <w:r w:rsidRPr="00635C4B">
        <w:rPr>
          <w:rFonts w:eastAsia="Palatino Linotype" w:cs="Palatino Linotype"/>
        </w:rPr>
        <w:t>y no combatidas por el particular deben declararse como consentidas; ello en razón de que el particular no realizó manifestaciones de inconformidad al respecto.</w:t>
      </w:r>
    </w:p>
    <w:p w14:paraId="1CF7860C" w14:textId="77777777" w:rsidR="00863CAE" w:rsidRPr="00635C4B" w:rsidRDefault="00863CAE" w:rsidP="00635C4B">
      <w:pPr>
        <w:widowControl w:val="0"/>
        <w:tabs>
          <w:tab w:val="left" w:pos="1276"/>
        </w:tabs>
        <w:rPr>
          <w:rFonts w:eastAsia="Palatino Linotype" w:cs="Palatino Linotype"/>
        </w:rPr>
      </w:pPr>
      <w:r w:rsidRPr="00635C4B">
        <w:rPr>
          <w:rFonts w:eastAsia="Palatino Linotype" w:cs="Palatino Linotype"/>
        </w:rPr>
        <w:t xml:space="preserve"> </w:t>
      </w:r>
    </w:p>
    <w:p w14:paraId="5EDE4B6E" w14:textId="77777777" w:rsidR="00863CAE" w:rsidRPr="00635C4B" w:rsidRDefault="00863CAE" w:rsidP="00635C4B">
      <w:pPr>
        <w:ind w:right="49"/>
        <w:rPr>
          <w:rFonts w:eastAsia="Palatino Linotype" w:cs="Palatino Linotype"/>
        </w:rPr>
      </w:pPr>
      <w:r w:rsidRPr="00635C4B">
        <w:rPr>
          <w:rFonts w:eastAsia="Palatino Linotype" w:cs="Palatino Linotype"/>
        </w:rPr>
        <w:t>Sirve de sustento por analogía la tesis jurisprudencial número VI.3o.C. J/60, publicada en el Semanario Judicial de la Federación y su Gaceta bajo el número de registro electrónico 176608 que a la letra dice:</w:t>
      </w:r>
    </w:p>
    <w:p w14:paraId="1100A955" w14:textId="77777777" w:rsidR="00863CAE" w:rsidRPr="00635C4B" w:rsidRDefault="00863CAE" w:rsidP="00635C4B">
      <w:pPr>
        <w:ind w:right="49"/>
        <w:rPr>
          <w:rFonts w:eastAsia="Palatino Linotype" w:cs="Palatino Linotype"/>
        </w:rPr>
      </w:pPr>
    </w:p>
    <w:p w14:paraId="616CEAB5" w14:textId="77777777" w:rsidR="00863CAE" w:rsidRPr="00635C4B" w:rsidRDefault="00863CAE" w:rsidP="00635C4B">
      <w:pPr>
        <w:pStyle w:val="Puesto"/>
        <w:rPr>
          <w:rFonts w:eastAsia="Palatino Linotype"/>
        </w:rPr>
      </w:pPr>
      <w:r w:rsidRPr="00635C4B">
        <w:rPr>
          <w:rFonts w:eastAsia="Palatino Linotype"/>
          <w:b/>
        </w:rPr>
        <w:t xml:space="preserve">“ACTOS CONSENTIDOS. SON LOS QUE NO SE IMPUGNAN MEDIANTE EL RECURSO IDÓNEO. </w:t>
      </w:r>
      <w:r w:rsidRPr="00635C4B">
        <w:rPr>
          <w:rFonts w:eastAsia="Palatino Linotype"/>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2A7510E0" w14:textId="77777777" w:rsidR="00863CAE" w:rsidRPr="00635C4B" w:rsidRDefault="00863CAE" w:rsidP="00635C4B">
      <w:pPr>
        <w:ind w:right="49"/>
        <w:rPr>
          <w:rFonts w:eastAsia="Palatino Linotype" w:cs="Palatino Linotype"/>
        </w:rPr>
      </w:pPr>
    </w:p>
    <w:p w14:paraId="68152329" w14:textId="77777777" w:rsidR="00863CAE" w:rsidRPr="00635C4B" w:rsidRDefault="00863CAE" w:rsidP="00635C4B">
      <w:pPr>
        <w:ind w:right="49"/>
        <w:rPr>
          <w:rFonts w:eastAsia="Palatino Linotype" w:cs="Palatino Linotype"/>
        </w:rPr>
      </w:pPr>
      <w:r w:rsidRPr="00635C4B">
        <w:rPr>
          <w:rFonts w:eastAsia="Palatino Linotype" w:cs="Palatino Linotype"/>
        </w:rPr>
        <w:t xml:space="preserve">Consecuentemente, la parte de la respuesta que no fue impugnada debe declararse consentida por el ciudadano, toda vez que no realizó manifestaciones de inconformidad; por lo que, no </w:t>
      </w:r>
      <w:r w:rsidRPr="00635C4B">
        <w:rPr>
          <w:rFonts w:eastAsia="Palatino Linotype" w:cs="Palatino Linotype"/>
        </w:rPr>
        <w:lastRenderedPageBreak/>
        <w:t>pueden producirse efectos jurídicos tendentes a revocar, confirmar o modificar el acto reclamado, ya que se infiere su consentimiento ante la falta de impugnación eficaz.</w:t>
      </w:r>
    </w:p>
    <w:p w14:paraId="0DF2C82B" w14:textId="77777777" w:rsidR="00863CAE" w:rsidRPr="00635C4B" w:rsidRDefault="00863CAE" w:rsidP="00635C4B">
      <w:pPr>
        <w:ind w:right="49"/>
        <w:rPr>
          <w:rFonts w:eastAsia="Palatino Linotype" w:cs="Palatino Linotype"/>
        </w:rPr>
      </w:pPr>
    </w:p>
    <w:p w14:paraId="35F5DF28" w14:textId="77777777" w:rsidR="00863CAE" w:rsidRPr="00635C4B" w:rsidRDefault="00863CAE" w:rsidP="00635C4B">
      <w:pPr>
        <w:ind w:right="49"/>
        <w:rPr>
          <w:rFonts w:eastAsia="Palatino Linotype" w:cs="Palatino Linotype"/>
        </w:rPr>
      </w:pPr>
      <w:r w:rsidRPr="00635C4B">
        <w:rPr>
          <w:rFonts w:eastAsia="Palatino Linotype" w:cs="Palatino Linotype"/>
        </w:rPr>
        <w:t>Sirve como apoyo a lo anterior, por analogía, la Tesis Jurisprudencial Número 3ª./J.7/91, Publicada en el Semanario Judicial de la Federación y su Gaceta bajo el número de registro electrónico 174177, que establece lo siguiente:</w:t>
      </w:r>
    </w:p>
    <w:p w14:paraId="347ECA96" w14:textId="77777777" w:rsidR="00863CAE" w:rsidRPr="00635C4B" w:rsidRDefault="00863CAE" w:rsidP="00635C4B">
      <w:pPr>
        <w:ind w:right="49"/>
        <w:rPr>
          <w:rFonts w:eastAsia="Palatino Linotype" w:cs="Palatino Linotype"/>
        </w:rPr>
      </w:pPr>
    </w:p>
    <w:p w14:paraId="7F2EBA26" w14:textId="77777777" w:rsidR="00863CAE" w:rsidRPr="00635C4B" w:rsidRDefault="00863CAE" w:rsidP="00635C4B">
      <w:pPr>
        <w:pStyle w:val="Puesto"/>
        <w:rPr>
          <w:rFonts w:eastAsia="Palatino Linotype"/>
        </w:rPr>
      </w:pPr>
      <w:r w:rsidRPr="00635C4B">
        <w:rPr>
          <w:rFonts w:eastAsia="Palatino Linotype"/>
          <w:b/>
        </w:rPr>
        <w:t xml:space="preserve">“REVISIÓN EN AMPARO. LOS RESOLUTIVOS NO COMBATIDOS DEBEN DECLARARSE FIRMES. </w:t>
      </w:r>
      <w:r w:rsidRPr="00635C4B">
        <w:rPr>
          <w:rFonts w:eastAsia="Palatino Linotype"/>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6E7C484D" w14:textId="77777777" w:rsidR="00863CAE" w:rsidRPr="00635C4B" w:rsidRDefault="00863CAE" w:rsidP="00635C4B">
      <w:pPr>
        <w:rPr>
          <w:rFonts w:eastAsiaTheme="minorEastAsia" w:cs="Arial"/>
          <w:lang w:val="es-ES_tradnl"/>
        </w:rPr>
      </w:pPr>
    </w:p>
    <w:p w14:paraId="6A0D3A45" w14:textId="3BE65BE3" w:rsidR="004D65B9" w:rsidRPr="00635C4B" w:rsidRDefault="00143410" w:rsidP="00635C4B">
      <w:pPr>
        <w:ind w:right="-28"/>
      </w:pPr>
      <w:r w:rsidRPr="00635C4B">
        <w:rPr>
          <w:rFonts w:eastAsiaTheme="minorEastAsia" w:cs="Arial"/>
          <w:lang w:val="es-ES_tradnl"/>
        </w:rPr>
        <w:t xml:space="preserve">Ahora bien, dado el agravio hecho valer por </w:t>
      </w:r>
      <w:r w:rsidR="00156AB4" w:rsidRPr="00635C4B">
        <w:rPr>
          <w:rFonts w:eastAsiaTheme="minorEastAsia" w:cs="Arial"/>
          <w:b/>
          <w:lang w:val="es-ES_tradnl"/>
        </w:rPr>
        <w:t>LA</w:t>
      </w:r>
      <w:r w:rsidRPr="00635C4B">
        <w:rPr>
          <w:rFonts w:eastAsiaTheme="minorEastAsia" w:cs="Arial"/>
          <w:b/>
          <w:lang w:val="es-ES_tradnl"/>
        </w:rPr>
        <w:t xml:space="preserve"> PARTE RECURRENTE</w:t>
      </w:r>
      <w:r w:rsidRPr="00635C4B">
        <w:rPr>
          <w:rFonts w:eastAsiaTheme="minorEastAsia" w:cs="Arial"/>
          <w:lang w:val="es-ES_tradnl"/>
        </w:rPr>
        <w:t xml:space="preserve"> en el </w:t>
      </w:r>
      <w:r w:rsidR="004D65B9" w:rsidRPr="00635C4B">
        <w:rPr>
          <w:rFonts w:eastAsiaTheme="minorEastAsia" w:cs="Arial"/>
          <w:lang w:val="es-ES_tradnl"/>
        </w:rPr>
        <w:t xml:space="preserve">recurso de revisión respectivo, </w:t>
      </w:r>
      <w:r w:rsidRPr="00635C4B">
        <w:rPr>
          <w:rFonts w:eastAsiaTheme="minorEastAsia" w:cs="Arial"/>
          <w:lang w:val="es-ES_tradnl"/>
        </w:rPr>
        <w:t>es dable hacer mención que</w:t>
      </w:r>
      <w:r w:rsidR="00156AB4" w:rsidRPr="00635C4B">
        <w:rPr>
          <w:rFonts w:eastAsiaTheme="minorEastAsia" w:cs="Arial"/>
          <w:lang w:val="es-ES_tradnl"/>
        </w:rPr>
        <w:t xml:space="preserve">, por cuanto hace a </w:t>
      </w:r>
      <w:r w:rsidR="004D65B9" w:rsidRPr="00635C4B">
        <w:rPr>
          <w:rFonts w:eastAsiaTheme="minorEastAsia" w:cs="Arial"/>
          <w:lang w:val="es-ES_tradnl"/>
        </w:rPr>
        <w:t xml:space="preserve">las actas de las sesiones ordinarias y extraordinarias del Consejo Directivo, se invoca lo establecido en el </w:t>
      </w:r>
      <w:r w:rsidR="004D65B9" w:rsidRPr="00635C4B">
        <w:t>Reglamento Interno de la Protectora de Bosques del Estado de México</w:t>
      </w:r>
      <w:r w:rsidR="004B3332" w:rsidRPr="00635C4B">
        <w:t>, de nuestro interés, lo siguiente:</w:t>
      </w:r>
    </w:p>
    <w:p w14:paraId="0F5FED4F" w14:textId="77777777" w:rsidR="004B3332" w:rsidRPr="00635C4B" w:rsidRDefault="004B3332" w:rsidP="00635C4B">
      <w:pPr>
        <w:ind w:right="-28"/>
      </w:pPr>
    </w:p>
    <w:p w14:paraId="5F0A7892" w14:textId="77777777" w:rsidR="004B3332" w:rsidRPr="00635C4B" w:rsidRDefault="004B3332" w:rsidP="00635C4B">
      <w:pPr>
        <w:pStyle w:val="Puesto"/>
        <w:jc w:val="center"/>
        <w:rPr>
          <w:rFonts w:eastAsiaTheme="minorEastAsia"/>
          <w:b/>
          <w:lang w:val="es-ES_tradnl"/>
        </w:rPr>
      </w:pPr>
      <w:r w:rsidRPr="00635C4B">
        <w:rPr>
          <w:rFonts w:eastAsiaTheme="minorEastAsia"/>
          <w:b/>
          <w:lang w:val="es-ES_tradnl"/>
        </w:rPr>
        <w:t>CAPÍTULO II</w:t>
      </w:r>
    </w:p>
    <w:p w14:paraId="6E1F9B01" w14:textId="2FC0513B" w:rsidR="004B3332" w:rsidRPr="00635C4B" w:rsidRDefault="004B3332" w:rsidP="00635C4B">
      <w:pPr>
        <w:pStyle w:val="Puesto"/>
        <w:jc w:val="center"/>
        <w:rPr>
          <w:rFonts w:eastAsiaTheme="minorEastAsia"/>
          <w:b/>
          <w:lang w:val="es-ES_tradnl"/>
        </w:rPr>
      </w:pPr>
      <w:r w:rsidRPr="00635C4B">
        <w:rPr>
          <w:rFonts w:eastAsiaTheme="minorEastAsia"/>
          <w:b/>
          <w:lang w:val="es-ES_tradnl"/>
        </w:rPr>
        <w:t>DE LA DIRECCIÓN Y ADMINISTRACIÓN DE PROBOSQUE</w:t>
      </w:r>
    </w:p>
    <w:p w14:paraId="7FF91640" w14:textId="77777777" w:rsidR="004B3332" w:rsidRPr="00635C4B" w:rsidRDefault="004B3332" w:rsidP="00635C4B">
      <w:pPr>
        <w:spacing w:line="240" w:lineRule="auto"/>
        <w:ind w:left="567" w:right="539"/>
        <w:rPr>
          <w:rFonts w:eastAsiaTheme="minorEastAsia" w:cs="Arial"/>
          <w:i/>
          <w:lang w:val="es-ES_tradnl"/>
        </w:rPr>
      </w:pPr>
    </w:p>
    <w:p w14:paraId="11D7A2F1" w14:textId="67D8923B" w:rsidR="004B3332" w:rsidRPr="00635C4B" w:rsidRDefault="004B3332" w:rsidP="00635C4B">
      <w:pPr>
        <w:pStyle w:val="Puesto"/>
      </w:pPr>
      <w:r w:rsidRPr="00635C4B">
        <w:t>Artículo 6.- La dirección y administración de PROBOSQUE corresponde a:</w:t>
      </w:r>
    </w:p>
    <w:p w14:paraId="7044710E" w14:textId="77777777" w:rsidR="004B3332" w:rsidRPr="00635C4B" w:rsidRDefault="004B3332" w:rsidP="00635C4B">
      <w:pPr>
        <w:pStyle w:val="Puesto"/>
        <w:rPr>
          <w:rFonts w:eastAsiaTheme="minorEastAsia" w:cs="Arial"/>
          <w:lang w:val="es-ES_tradnl"/>
        </w:rPr>
      </w:pPr>
      <w:r w:rsidRPr="00635C4B">
        <w:rPr>
          <w:rFonts w:eastAsiaTheme="minorEastAsia" w:cs="Arial"/>
          <w:b/>
          <w:lang w:val="es-ES_tradnl"/>
        </w:rPr>
        <w:t>I. Un Consejo Directivo</w:t>
      </w:r>
      <w:r w:rsidRPr="00635C4B">
        <w:rPr>
          <w:rFonts w:eastAsiaTheme="minorEastAsia" w:cs="Arial"/>
          <w:lang w:val="es-ES_tradnl"/>
        </w:rPr>
        <w:t>, y</w:t>
      </w:r>
    </w:p>
    <w:p w14:paraId="7A6EE2FB" w14:textId="0CB219B4" w:rsidR="004B3332" w:rsidRPr="00635C4B" w:rsidRDefault="004B3332" w:rsidP="00635C4B">
      <w:pPr>
        <w:pStyle w:val="Puesto"/>
        <w:rPr>
          <w:rFonts w:eastAsiaTheme="minorEastAsia" w:cs="Arial"/>
          <w:lang w:val="es-ES_tradnl"/>
        </w:rPr>
      </w:pPr>
      <w:r w:rsidRPr="00635C4B">
        <w:rPr>
          <w:rFonts w:eastAsiaTheme="minorEastAsia" w:cs="Arial"/>
          <w:lang w:val="es-ES_tradnl"/>
        </w:rPr>
        <w:t>II. Una persona titular de la Dirección General.</w:t>
      </w:r>
    </w:p>
    <w:p w14:paraId="2790D7E6" w14:textId="7C450560" w:rsidR="004B3332" w:rsidRPr="00635C4B" w:rsidRDefault="004B3332" w:rsidP="00635C4B">
      <w:pPr>
        <w:pStyle w:val="Puesto"/>
        <w:rPr>
          <w:rFonts w:eastAsiaTheme="minorEastAsia" w:cs="Arial"/>
          <w:lang w:val="es-ES_tradnl"/>
        </w:rPr>
      </w:pPr>
      <w:r w:rsidRPr="00635C4B">
        <w:rPr>
          <w:rFonts w:eastAsiaTheme="minorEastAsia" w:cs="Arial"/>
          <w:lang w:val="es-ES_tradnl"/>
        </w:rPr>
        <w:t>(…)</w:t>
      </w:r>
    </w:p>
    <w:p w14:paraId="43AABA27" w14:textId="77777777" w:rsidR="00A83FBD" w:rsidRPr="00635C4B" w:rsidRDefault="00A83FBD" w:rsidP="00635C4B">
      <w:pPr>
        <w:spacing w:line="240" w:lineRule="auto"/>
        <w:ind w:left="567" w:right="539"/>
        <w:rPr>
          <w:rFonts w:eastAsiaTheme="minorEastAsia" w:cs="Arial"/>
          <w:i/>
          <w:lang w:val="es-ES_tradnl"/>
        </w:rPr>
      </w:pPr>
    </w:p>
    <w:p w14:paraId="505AD201" w14:textId="77777777" w:rsidR="004B3332" w:rsidRPr="00635C4B" w:rsidRDefault="004B3332" w:rsidP="00635C4B">
      <w:pPr>
        <w:pStyle w:val="Puesto"/>
        <w:jc w:val="center"/>
        <w:rPr>
          <w:rFonts w:eastAsiaTheme="minorEastAsia"/>
          <w:b/>
          <w:lang w:val="es-ES_tradnl"/>
        </w:rPr>
      </w:pPr>
      <w:r w:rsidRPr="00635C4B">
        <w:rPr>
          <w:rFonts w:eastAsiaTheme="minorEastAsia"/>
          <w:b/>
          <w:lang w:val="es-ES_tradnl"/>
        </w:rPr>
        <w:t>SECCIÓN PRIMERA</w:t>
      </w:r>
    </w:p>
    <w:p w14:paraId="7EEC2C82" w14:textId="473740C3" w:rsidR="004B3332" w:rsidRPr="00635C4B" w:rsidRDefault="004B3332" w:rsidP="00635C4B">
      <w:pPr>
        <w:pStyle w:val="Puesto"/>
        <w:jc w:val="center"/>
        <w:rPr>
          <w:rFonts w:eastAsiaTheme="minorEastAsia"/>
          <w:b/>
          <w:lang w:val="es-ES_tradnl"/>
        </w:rPr>
      </w:pPr>
      <w:r w:rsidRPr="00635C4B">
        <w:rPr>
          <w:rFonts w:eastAsiaTheme="minorEastAsia"/>
          <w:b/>
          <w:lang w:val="es-ES_tradnl"/>
        </w:rPr>
        <w:t>DEL CONSEJO DIRECTIVO</w:t>
      </w:r>
    </w:p>
    <w:p w14:paraId="2DBC4EDC" w14:textId="7A7F00E3" w:rsidR="004B3332" w:rsidRPr="00635C4B" w:rsidRDefault="004B3332" w:rsidP="00635C4B">
      <w:pPr>
        <w:pStyle w:val="Puesto"/>
      </w:pPr>
      <w:r w:rsidRPr="00635C4B">
        <w:lastRenderedPageBreak/>
        <w:t xml:space="preserve">Artículo 7.- </w:t>
      </w:r>
      <w:r w:rsidRPr="00635C4B">
        <w:rPr>
          <w:b/>
        </w:rPr>
        <w:t>El Consejo Directivo es el órgano de gobierno de PROBOSQUE</w:t>
      </w:r>
      <w:r w:rsidRPr="00635C4B">
        <w:t>, sus determinaciones serán obligatorias para la persona titular de la Dirección General y las unidades administrativas que integran al Organismo.</w:t>
      </w:r>
    </w:p>
    <w:p w14:paraId="7551F54E" w14:textId="77777777" w:rsidR="004B3332" w:rsidRPr="00635C4B" w:rsidRDefault="004B3332" w:rsidP="00635C4B">
      <w:pPr>
        <w:spacing w:line="240" w:lineRule="auto"/>
        <w:ind w:left="567" w:right="539"/>
        <w:rPr>
          <w:i/>
        </w:rPr>
      </w:pPr>
    </w:p>
    <w:p w14:paraId="094B7931" w14:textId="77777777" w:rsidR="004B3332" w:rsidRPr="00635C4B" w:rsidRDefault="004B3332" w:rsidP="00635C4B">
      <w:pPr>
        <w:pStyle w:val="Puesto"/>
        <w:rPr>
          <w:rFonts w:eastAsiaTheme="minorEastAsia"/>
          <w:lang w:val="es-ES_tradnl"/>
        </w:rPr>
      </w:pPr>
      <w:r w:rsidRPr="00635C4B">
        <w:rPr>
          <w:rFonts w:eastAsiaTheme="minorEastAsia"/>
          <w:b/>
          <w:lang w:val="es-ES_tradnl"/>
        </w:rPr>
        <w:t>Artículo 8.-</w:t>
      </w:r>
      <w:r w:rsidRPr="00635C4B">
        <w:rPr>
          <w:rFonts w:eastAsiaTheme="minorEastAsia"/>
          <w:lang w:val="es-ES_tradnl"/>
        </w:rPr>
        <w:t xml:space="preserve"> El Consejo Directivo se integrará por:</w:t>
      </w:r>
    </w:p>
    <w:p w14:paraId="2F75054C" w14:textId="77777777" w:rsidR="004B3332" w:rsidRPr="00635C4B" w:rsidRDefault="004B3332" w:rsidP="00635C4B">
      <w:pPr>
        <w:pStyle w:val="Puesto"/>
        <w:rPr>
          <w:rFonts w:eastAsiaTheme="minorEastAsia"/>
          <w:lang w:val="es-ES_tradnl"/>
        </w:rPr>
      </w:pPr>
      <w:r w:rsidRPr="00635C4B">
        <w:rPr>
          <w:rFonts w:eastAsiaTheme="minorEastAsia"/>
          <w:lang w:val="es-ES_tradnl"/>
        </w:rPr>
        <w:t>I. Una Presidencia, que será la persona titular de la Secretaría;</w:t>
      </w:r>
    </w:p>
    <w:p w14:paraId="6E4CE64B" w14:textId="586FE811" w:rsidR="004B3332" w:rsidRPr="00635C4B" w:rsidRDefault="004B3332" w:rsidP="00635C4B">
      <w:pPr>
        <w:pStyle w:val="Puesto"/>
        <w:rPr>
          <w:rFonts w:eastAsiaTheme="minorEastAsia"/>
          <w:lang w:val="es-ES_tradnl"/>
        </w:rPr>
      </w:pPr>
      <w:r w:rsidRPr="00635C4B">
        <w:rPr>
          <w:rFonts w:eastAsiaTheme="minorEastAsia"/>
          <w:lang w:val="es-ES_tradnl"/>
        </w:rPr>
        <w:t>II. Una Secretaría Técnica, que será designada por el Consejo Directivo a propuesta de la persona titular de la Presidencia;</w:t>
      </w:r>
    </w:p>
    <w:p w14:paraId="172BB293" w14:textId="77777777" w:rsidR="004B3332" w:rsidRPr="00635C4B" w:rsidRDefault="004B3332" w:rsidP="00635C4B">
      <w:pPr>
        <w:pStyle w:val="Puesto"/>
        <w:rPr>
          <w:rFonts w:eastAsiaTheme="minorEastAsia"/>
          <w:lang w:val="es-ES_tradnl"/>
        </w:rPr>
      </w:pPr>
      <w:r w:rsidRPr="00635C4B">
        <w:rPr>
          <w:rFonts w:eastAsiaTheme="minorEastAsia"/>
          <w:lang w:val="es-ES_tradnl"/>
        </w:rPr>
        <w:t>III. Una persona Comisaria, quien será la persona representante de la Secretaría de la Contraloría, y</w:t>
      </w:r>
    </w:p>
    <w:p w14:paraId="026E7777" w14:textId="77777777" w:rsidR="004B3332" w:rsidRPr="00635C4B" w:rsidRDefault="004B3332" w:rsidP="00635C4B">
      <w:pPr>
        <w:pStyle w:val="Puesto"/>
        <w:rPr>
          <w:rFonts w:eastAsiaTheme="minorEastAsia"/>
          <w:lang w:val="es-ES_tradnl"/>
        </w:rPr>
      </w:pPr>
      <w:r w:rsidRPr="00635C4B">
        <w:rPr>
          <w:rFonts w:eastAsiaTheme="minorEastAsia"/>
          <w:lang w:val="es-ES_tradnl"/>
        </w:rPr>
        <w:t>IV. Seis vocales conforme a lo establecido en el Código para la Biodiversidad del Estado de México.</w:t>
      </w:r>
    </w:p>
    <w:p w14:paraId="3C11736C" w14:textId="7803BE10" w:rsidR="004B3332" w:rsidRPr="00635C4B" w:rsidRDefault="004B3332" w:rsidP="00635C4B">
      <w:pPr>
        <w:pStyle w:val="Puesto"/>
        <w:rPr>
          <w:rFonts w:eastAsiaTheme="minorEastAsia"/>
          <w:lang w:val="es-ES_tradnl"/>
        </w:rPr>
      </w:pPr>
      <w:r w:rsidRPr="00635C4B">
        <w:rPr>
          <w:rFonts w:eastAsiaTheme="minorEastAsia"/>
          <w:lang w:val="es-ES_tradnl"/>
        </w:rPr>
        <w:t xml:space="preserve">El Consejo Directivo, a través de la persona titular de la Presidencia, </w:t>
      </w:r>
      <w:r w:rsidR="00A83FBD" w:rsidRPr="00635C4B">
        <w:rPr>
          <w:rFonts w:eastAsiaTheme="minorEastAsia"/>
          <w:lang w:val="es-ES_tradnl"/>
        </w:rPr>
        <w:t xml:space="preserve">podrá invitar a sus sesiones de </w:t>
      </w:r>
      <w:r w:rsidRPr="00635C4B">
        <w:rPr>
          <w:rFonts w:eastAsiaTheme="minorEastAsia"/>
          <w:lang w:val="es-ES_tradnl"/>
        </w:rPr>
        <w:t>trabajo a especialistas o personas que contribuyan a la atención de los asuntos a su cargo.</w:t>
      </w:r>
    </w:p>
    <w:p w14:paraId="1AEE4D33" w14:textId="7150F29B" w:rsidR="004B3332" w:rsidRPr="00635C4B" w:rsidRDefault="004B3332" w:rsidP="00635C4B">
      <w:pPr>
        <w:pStyle w:val="Puesto"/>
        <w:rPr>
          <w:rFonts w:eastAsiaTheme="minorEastAsia"/>
          <w:lang w:val="es-ES_tradnl"/>
        </w:rPr>
      </w:pPr>
      <w:r w:rsidRPr="00635C4B">
        <w:rPr>
          <w:rFonts w:eastAsiaTheme="minorEastAsia"/>
          <w:lang w:val="es-ES_tradnl"/>
        </w:rPr>
        <w:t>Las personas integrantes del Consejo Directivo podrán nombrar a una persona</w:t>
      </w:r>
      <w:r w:rsidR="00A83FBD" w:rsidRPr="00635C4B">
        <w:rPr>
          <w:rFonts w:eastAsiaTheme="minorEastAsia"/>
          <w:lang w:val="es-ES_tradnl"/>
        </w:rPr>
        <w:t xml:space="preserve"> suplente, quien </w:t>
      </w:r>
      <w:r w:rsidRPr="00635C4B">
        <w:rPr>
          <w:rFonts w:eastAsiaTheme="minorEastAsia"/>
          <w:lang w:val="es-ES_tradnl"/>
        </w:rPr>
        <w:t>participará con los mismos derechos de la persona propietaria.</w:t>
      </w:r>
    </w:p>
    <w:p w14:paraId="643CA074" w14:textId="43146289" w:rsidR="004B3332" w:rsidRPr="00635C4B" w:rsidRDefault="004B3332" w:rsidP="00635C4B">
      <w:pPr>
        <w:pStyle w:val="Puesto"/>
        <w:rPr>
          <w:rFonts w:eastAsiaTheme="minorEastAsia"/>
          <w:lang w:val="es-ES_tradnl"/>
        </w:rPr>
      </w:pPr>
      <w:r w:rsidRPr="00635C4B">
        <w:rPr>
          <w:rFonts w:eastAsiaTheme="minorEastAsia"/>
          <w:lang w:val="es-ES_tradnl"/>
        </w:rPr>
        <w:t>El cargo de integrante del Consejo Directivo será honorífico.</w:t>
      </w:r>
    </w:p>
    <w:p w14:paraId="053932D0" w14:textId="77777777" w:rsidR="004D65B9" w:rsidRPr="00635C4B" w:rsidRDefault="004D65B9" w:rsidP="00635C4B">
      <w:pPr>
        <w:pStyle w:val="Puesto"/>
        <w:rPr>
          <w:rFonts w:eastAsiaTheme="minorEastAsia"/>
          <w:lang w:val="es-ES_tradnl"/>
        </w:rPr>
      </w:pPr>
    </w:p>
    <w:p w14:paraId="07B43925" w14:textId="363E6102" w:rsidR="00A83FBD" w:rsidRPr="00635C4B" w:rsidRDefault="00A83FBD" w:rsidP="00635C4B">
      <w:pPr>
        <w:ind w:right="-28"/>
        <w:rPr>
          <w:rFonts w:eastAsiaTheme="minorEastAsia" w:cs="Arial"/>
          <w:lang w:val="es-ES_tradnl"/>
        </w:rPr>
      </w:pPr>
      <w:r w:rsidRPr="00635C4B">
        <w:rPr>
          <w:rFonts w:eastAsiaTheme="minorEastAsia" w:cs="Arial"/>
          <w:lang w:val="es-ES_tradnl"/>
        </w:rPr>
        <w:t xml:space="preserve">De lo anterior, es posible advertir que, el Consejo Directivo es el órgano de gobierno de PROBOSQUE que a su vez cuenta con facultades de emitir determinaciones según las necesidades del organismo, mismas que serán aplicables de manera obligatoria para todo este y su personal adscrito. </w:t>
      </w:r>
    </w:p>
    <w:p w14:paraId="154F94C8" w14:textId="77777777" w:rsidR="00A83FBD" w:rsidRPr="00635C4B" w:rsidRDefault="00A83FBD" w:rsidP="00635C4B">
      <w:pPr>
        <w:ind w:right="-28"/>
        <w:rPr>
          <w:rFonts w:eastAsiaTheme="minorEastAsia" w:cs="Arial"/>
          <w:lang w:val="es-ES_tradnl"/>
        </w:rPr>
      </w:pPr>
    </w:p>
    <w:p w14:paraId="290B6C16" w14:textId="36AF6ABF" w:rsidR="00A83FBD" w:rsidRPr="00635C4B" w:rsidRDefault="00A83FBD" w:rsidP="00635C4B">
      <w:pPr>
        <w:ind w:right="-28"/>
        <w:rPr>
          <w:rFonts w:eastAsiaTheme="minorEastAsia" w:cs="Arial"/>
          <w:lang w:val="es-ES_tradnl"/>
        </w:rPr>
      </w:pPr>
      <w:r w:rsidRPr="00635C4B">
        <w:rPr>
          <w:rFonts w:eastAsiaTheme="minorEastAsia" w:cs="Arial"/>
          <w:lang w:val="es-ES_tradnl"/>
        </w:rPr>
        <w:t>En ese sentido, resulta conveniente dirigirnos a lo que establece el artículo 4 del Reglamento en cita, mismo que dispone lo siguiente:</w:t>
      </w:r>
    </w:p>
    <w:p w14:paraId="029EF815" w14:textId="77777777" w:rsidR="00A83FBD" w:rsidRPr="00635C4B" w:rsidRDefault="00A83FBD" w:rsidP="00635C4B">
      <w:pPr>
        <w:ind w:right="-28"/>
        <w:rPr>
          <w:rFonts w:eastAsiaTheme="minorEastAsia" w:cs="Arial"/>
          <w:lang w:val="es-ES_tradnl"/>
        </w:rPr>
      </w:pPr>
    </w:p>
    <w:p w14:paraId="279FF72D" w14:textId="688E3CAB" w:rsidR="00A83FBD" w:rsidRPr="00635C4B" w:rsidRDefault="00A83FBD" w:rsidP="00635C4B">
      <w:pPr>
        <w:pStyle w:val="Puesto"/>
        <w:rPr>
          <w:rFonts w:eastAsiaTheme="minorEastAsia" w:cs="Arial"/>
          <w:lang w:val="es-ES_tradnl"/>
        </w:rPr>
      </w:pPr>
      <w:r w:rsidRPr="00635C4B">
        <w:rPr>
          <w:b/>
        </w:rPr>
        <w:t>Artículo 4.- PROBOSQUE se sujetará a lo dispuesto por el Código, por la Ley para la Coordinación y Control de Organismos Auxiliares del Estado de México y su Reglamento,</w:t>
      </w:r>
      <w:r w:rsidRPr="00635C4B">
        <w:t xml:space="preserve"> por el presente ordenamiento jurídico y por lo que establecen otros ordenamientos aplicables.</w:t>
      </w:r>
    </w:p>
    <w:p w14:paraId="7E5F1A45" w14:textId="77777777" w:rsidR="004D65B9" w:rsidRPr="00635C4B" w:rsidRDefault="004D65B9" w:rsidP="00635C4B">
      <w:pPr>
        <w:ind w:right="-28"/>
        <w:rPr>
          <w:rFonts w:eastAsiaTheme="minorEastAsia" w:cs="Arial"/>
          <w:lang w:val="es-ES_tradnl"/>
        </w:rPr>
      </w:pPr>
    </w:p>
    <w:p w14:paraId="6E72E53A" w14:textId="7AA40E65" w:rsidR="00A83FBD" w:rsidRPr="00635C4B" w:rsidRDefault="00A83FBD" w:rsidP="00635C4B">
      <w:pPr>
        <w:ind w:right="-28"/>
        <w:rPr>
          <w:rFonts w:eastAsiaTheme="minorEastAsia" w:cs="Arial"/>
          <w:lang w:val="es-ES_tradnl"/>
        </w:rPr>
      </w:pPr>
      <w:r w:rsidRPr="00635C4B">
        <w:rPr>
          <w:rFonts w:eastAsiaTheme="minorEastAsia" w:cs="Arial"/>
          <w:lang w:val="es-ES_tradnl"/>
        </w:rPr>
        <w:lastRenderedPageBreak/>
        <w:t>Atento a lo anterior, resulta necesario invocar lo que establece la Ley para la Coordinación y Control de Organismos A</w:t>
      </w:r>
      <w:r w:rsidR="000D2D16" w:rsidRPr="00635C4B">
        <w:rPr>
          <w:rFonts w:eastAsiaTheme="minorEastAsia" w:cs="Arial"/>
          <w:lang w:val="es-ES_tradnl"/>
        </w:rPr>
        <w:t>uxiliares del Estado de México, misma que de nuestro interés, señala lo siguiente:</w:t>
      </w:r>
    </w:p>
    <w:p w14:paraId="217FB890" w14:textId="77777777" w:rsidR="004D65B9" w:rsidRPr="00635C4B" w:rsidRDefault="004D65B9" w:rsidP="00635C4B">
      <w:pPr>
        <w:pStyle w:val="Puesto"/>
        <w:rPr>
          <w:rFonts w:eastAsiaTheme="minorEastAsia"/>
          <w:lang w:val="es-ES_tradnl"/>
        </w:rPr>
      </w:pPr>
    </w:p>
    <w:p w14:paraId="4179195B" w14:textId="6F590995" w:rsidR="000D2D16" w:rsidRPr="00635C4B" w:rsidRDefault="000D2D16" w:rsidP="00635C4B">
      <w:pPr>
        <w:pStyle w:val="Puesto"/>
        <w:rPr>
          <w:rFonts w:eastAsiaTheme="minorEastAsia"/>
          <w:lang w:val="es-ES_tradnl"/>
        </w:rPr>
      </w:pPr>
      <w:r w:rsidRPr="00635C4B">
        <w:rPr>
          <w:rFonts w:eastAsiaTheme="minorEastAsia"/>
          <w:lang w:val="es-ES_tradnl"/>
        </w:rPr>
        <w:t xml:space="preserve">Artículo 23.- </w:t>
      </w:r>
      <w:r w:rsidRPr="00635C4B">
        <w:rPr>
          <w:rFonts w:eastAsiaTheme="minorEastAsia"/>
          <w:b/>
          <w:lang w:val="es-ES_tradnl"/>
        </w:rPr>
        <w:t>Los órganos de gobierno de los organismos auxiliares se integran</w:t>
      </w:r>
      <w:r w:rsidRPr="00635C4B">
        <w:rPr>
          <w:rFonts w:eastAsiaTheme="minorEastAsia"/>
          <w:lang w:val="es-ES_tradnl"/>
        </w:rPr>
        <w:t>, salvo las excepciones previstas en la ley, con:</w:t>
      </w:r>
    </w:p>
    <w:p w14:paraId="56531229" w14:textId="5BF38533" w:rsidR="000D2D16" w:rsidRPr="00635C4B" w:rsidRDefault="000D2D16" w:rsidP="00635C4B">
      <w:pPr>
        <w:pStyle w:val="Puesto"/>
        <w:rPr>
          <w:rFonts w:eastAsiaTheme="minorEastAsia"/>
          <w:lang w:val="es-ES_tradnl"/>
        </w:rPr>
      </w:pPr>
      <w:r w:rsidRPr="00635C4B">
        <w:rPr>
          <w:rFonts w:eastAsiaTheme="minorEastAsia"/>
          <w:lang w:val="es-ES_tradnl"/>
        </w:rPr>
        <w:t>I. Una Presidencia, que estará a cargo de la persona coordinadora del sector al que esté adscrita la entidad;</w:t>
      </w:r>
    </w:p>
    <w:p w14:paraId="4D60194B" w14:textId="11FBA9FB" w:rsidR="000D2D16" w:rsidRPr="00635C4B" w:rsidRDefault="000D2D16" w:rsidP="00635C4B">
      <w:pPr>
        <w:pStyle w:val="Puesto"/>
        <w:rPr>
          <w:rFonts w:eastAsiaTheme="minorEastAsia"/>
          <w:lang w:val="es-ES_tradnl"/>
        </w:rPr>
      </w:pPr>
      <w:r w:rsidRPr="00635C4B">
        <w:rPr>
          <w:rFonts w:eastAsiaTheme="minorEastAsia"/>
          <w:lang w:val="es-ES_tradnl"/>
        </w:rPr>
        <w:t>II. Una Secretaría Técnica, que estará a cargo de la persona designada por el órgano de gobierno a propuesta de la Presidencia;</w:t>
      </w:r>
    </w:p>
    <w:p w14:paraId="62C97B24" w14:textId="64D735FE" w:rsidR="000D2D16" w:rsidRPr="00635C4B" w:rsidRDefault="000D2D16" w:rsidP="00635C4B">
      <w:pPr>
        <w:pStyle w:val="Puesto"/>
        <w:rPr>
          <w:rFonts w:eastAsiaTheme="minorEastAsia"/>
          <w:lang w:val="es-ES_tradnl"/>
        </w:rPr>
      </w:pPr>
      <w:r w:rsidRPr="00635C4B">
        <w:rPr>
          <w:rFonts w:eastAsiaTheme="minorEastAsia"/>
          <w:lang w:val="es-ES_tradnl"/>
        </w:rPr>
        <w:t>III. Una comisaría, que estará a cargo de la persona representante de la Secretaría de la Contraloría; y</w:t>
      </w:r>
    </w:p>
    <w:p w14:paraId="3BD82A94" w14:textId="2E87CB89" w:rsidR="004D65B9" w:rsidRPr="00635C4B" w:rsidRDefault="000D2D16" w:rsidP="00635C4B">
      <w:pPr>
        <w:pStyle w:val="Puesto"/>
        <w:rPr>
          <w:rFonts w:eastAsiaTheme="minorEastAsia"/>
          <w:lang w:val="es-ES_tradnl"/>
        </w:rPr>
      </w:pPr>
      <w:r w:rsidRPr="00635C4B">
        <w:rPr>
          <w:rFonts w:eastAsiaTheme="minorEastAsia"/>
          <w:lang w:val="es-ES_tradnl"/>
        </w:rPr>
        <w:t>IV. El número de vocales que dispongan los actos jurídicos de creación. En todo caso habrá un vocal designado por la Secretaría de Finanzas y otro por la Oficialía Mayor.</w:t>
      </w:r>
    </w:p>
    <w:p w14:paraId="3AB6C690" w14:textId="77777777" w:rsidR="000D2D16" w:rsidRPr="00635C4B" w:rsidRDefault="000D2D16" w:rsidP="00635C4B">
      <w:pPr>
        <w:pStyle w:val="Puesto"/>
        <w:rPr>
          <w:rFonts w:eastAsiaTheme="minorEastAsia"/>
          <w:lang w:val="es-ES_tradnl"/>
        </w:rPr>
      </w:pPr>
    </w:p>
    <w:p w14:paraId="10EC4C6B" w14:textId="5AB94217" w:rsidR="000D2D16" w:rsidRPr="00635C4B" w:rsidRDefault="000D2D16" w:rsidP="00635C4B">
      <w:pPr>
        <w:ind w:right="-28"/>
        <w:rPr>
          <w:rFonts w:eastAsiaTheme="minorEastAsia" w:cs="Arial"/>
          <w:lang w:val="es-ES_tradnl"/>
        </w:rPr>
      </w:pPr>
      <w:r w:rsidRPr="00635C4B">
        <w:rPr>
          <w:rFonts w:eastAsiaTheme="minorEastAsia" w:cs="Arial"/>
          <w:lang w:val="es-ES_tradnl"/>
        </w:rPr>
        <w:t>Por otro lado, el precepto normativo 32 de la Ley en referencia, textualmente señala lo siguiente:</w:t>
      </w:r>
    </w:p>
    <w:p w14:paraId="1029625F" w14:textId="77777777" w:rsidR="000D2D16" w:rsidRPr="00635C4B" w:rsidRDefault="000D2D16" w:rsidP="00635C4B">
      <w:pPr>
        <w:spacing w:line="240" w:lineRule="auto"/>
        <w:ind w:right="539"/>
        <w:rPr>
          <w:rFonts w:eastAsiaTheme="minorEastAsia" w:cs="Arial"/>
          <w:lang w:val="es-ES_tradnl"/>
        </w:rPr>
      </w:pPr>
    </w:p>
    <w:p w14:paraId="38C10E43" w14:textId="6C8ABE06" w:rsidR="000D2D16" w:rsidRPr="00635C4B" w:rsidRDefault="000D2D16" w:rsidP="00635C4B">
      <w:pPr>
        <w:pStyle w:val="Puesto"/>
        <w:rPr>
          <w:b/>
        </w:rPr>
      </w:pPr>
      <w:r w:rsidRPr="00635C4B">
        <w:rPr>
          <w:b/>
        </w:rPr>
        <w:t>Artículo 32.- Los órganos de Gobierno deberán sesionar cuando menos una vez cada dos meses.</w:t>
      </w:r>
    </w:p>
    <w:p w14:paraId="1C88F74D" w14:textId="77777777" w:rsidR="000D2D16" w:rsidRPr="00635C4B" w:rsidRDefault="000D2D16" w:rsidP="00635C4B">
      <w:pPr>
        <w:pStyle w:val="Puesto"/>
        <w:rPr>
          <w:rFonts w:eastAsiaTheme="minorEastAsia" w:cs="Arial"/>
          <w:lang w:val="es-ES_tradnl"/>
        </w:rPr>
      </w:pPr>
    </w:p>
    <w:p w14:paraId="3DE15E9F" w14:textId="4B252D50" w:rsidR="000D2D16" w:rsidRPr="00635C4B" w:rsidRDefault="000D2D16" w:rsidP="00635C4B">
      <w:pPr>
        <w:pStyle w:val="Puesto"/>
        <w:rPr>
          <w:rFonts w:eastAsiaTheme="minorEastAsia" w:cs="Arial"/>
          <w:lang w:val="es-ES_tradnl"/>
        </w:rPr>
      </w:pPr>
      <w:r w:rsidRPr="00635C4B">
        <w:rPr>
          <w:rFonts w:eastAsiaTheme="minorEastAsia" w:cs="Arial"/>
          <w:lang w:val="es-ES_tradnl"/>
        </w:rPr>
        <w:t>Para cada sesión deberá formularse previamente una orden del día, la cual habrá de darse a conocer a los miembros del órgano de Gobierno con la anticipación debida.</w:t>
      </w:r>
    </w:p>
    <w:p w14:paraId="7521F760" w14:textId="77777777" w:rsidR="000D2D16" w:rsidRPr="00635C4B" w:rsidRDefault="000D2D16" w:rsidP="00635C4B">
      <w:pPr>
        <w:pStyle w:val="Puesto"/>
        <w:rPr>
          <w:rFonts w:eastAsiaTheme="minorEastAsia" w:cs="Arial"/>
          <w:lang w:val="es-ES_tradnl"/>
        </w:rPr>
      </w:pPr>
    </w:p>
    <w:p w14:paraId="4D841392" w14:textId="4D955670" w:rsidR="000D2D16" w:rsidRPr="00635C4B" w:rsidRDefault="000D2D16" w:rsidP="00635C4B">
      <w:pPr>
        <w:pStyle w:val="Puesto"/>
        <w:rPr>
          <w:rFonts w:eastAsiaTheme="minorEastAsia" w:cs="Arial"/>
          <w:lang w:val="es-ES_tradnl"/>
        </w:rPr>
      </w:pPr>
      <w:r w:rsidRPr="00635C4B">
        <w:rPr>
          <w:rFonts w:eastAsiaTheme="minorEastAsia" w:cs="Arial"/>
          <w:b/>
          <w:lang w:val="es-ES_tradnl"/>
        </w:rPr>
        <w:t>Artículo 33.- Podrán celebrar sesiones extraordinarias</w:t>
      </w:r>
      <w:r w:rsidRPr="00635C4B">
        <w:rPr>
          <w:rFonts w:eastAsiaTheme="minorEastAsia" w:cs="Arial"/>
          <w:lang w:val="es-ES_tradnl"/>
        </w:rPr>
        <w:t xml:space="preserve"> cada vez que el Presidente lo estime conveniente o a petición de una tercera parte o más del total de los miembros del órgano respectivo.</w:t>
      </w:r>
    </w:p>
    <w:p w14:paraId="1EAF8D36" w14:textId="77777777" w:rsidR="000D2D16" w:rsidRPr="00635C4B" w:rsidRDefault="000D2D16" w:rsidP="00635C4B">
      <w:pPr>
        <w:ind w:right="539"/>
        <w:rPr>
          <w:rFonts w:eastAsiaTheme="minorEastAsia" w:cs="Arial"/>
          <w:lang w:val="es-ES_tradnl"/>
        </w:rPr>
      </w:pPr>
    </w:p>
    <w:p w14:paraId="6EE6476E" w14:textId="3871484A" w:rsidR="004D65B9" w:rsidRPr="00635C4B" w:rsidRDefault="000D2D16" w:rsidP="00635C4B">
      <w:pPr>
        <w:ind w:right="-28"/>
        <w:rPr>
          <w:rFonts w:eastAsiaTheme="minorEastAsia" w:cs="Arial"/>
          <w:lang w:val="es-ES_tradnl"/>
        </w:rPr>
      </w:pPr>
      <w:r w:rsidRPr="00635C4B">
        <w:rPr>
          <w:rFonts w:eastAsiaTheme="minorEastAsia" w:cs="Arial"/>
          <w:lang w:val="es-ES_tradnl"/>
        </w:rPr>
        <w:t>En ese sentido este Órgano Garante, puede dilucidar, conforme a los preceptos normativos señalados con antelación, lo siguiente:</w:t>
      </w:r>
    </w:p>
    <w:p w14:paraId="6CEF1E0A" w14:textId="77777777" w:rsidR="000D2D16" w:rsidRPr="00635C4B" w:rsidRDefault="000D2D16" w:rsidP="00635C4B">
      <w:pPr>
        <w:ind w:right="-28"/>
        <w:rPr>
          <w:rFonts w:eastAsiaTheme="minorEastAsia" w:cs="Arial"/>
          <w:lang w:val="es-ES_tradnl"/>
        </w:rPr>
      </w:pPr>
    </w:p>
    <w:p w14:paraId="2C6059B3" w14:textId="26D7A739" w:rsidR="000D2D16" w:rsidRPr="00635C4B" w:rsidRDefault="000D2D16" w:rsidP="00635C4B">
      <w:pPr>
        <w:pStyle w:val="Prrafodelista"/>
        <w:numPr>
          <w:ilvl w:val="0"/>
          <w:numId w:val="27"/>
        </w:numPr>
        <w:ind w:right="-28"/>
        <w:rPr>
          <w:rFonts w:eastAsiaTheme="minorEastAsia" w:cs="Arial"/>
          <w:lang w:val="es-ES_tradnl"/>
        </w:rPr>
      </w:pPr>
      <w:r w:rsidRPr="00635C4B">
        <w:rPr>
          <w:rFonts w:eastAsiaTheme="minorEastAsia" w:cs="Arial"/>
          <w:lang w:val="es-ES_tradnl"/>
        </w:rPr>
        <w:t xml:space="preserve">El organismo PROBOSQUE cuenta con un órgano de gobierno el cual es denominado como Consejo Directivo. </w:t>
      </w:r>
    </w:p>
    <w:p w14:paraId="3A370D26" w14:textId="0A78C0B9" w:rsidR="000D2D16" w:rsidRPr="00635C4B" w:rsidRDefault="000D2D16" w:rsidP="00635C4B">
      <w:pPr>
        <w:pStyle w:val="Prrafodelista"/>
        <w:numPr>
          <w:ilvl w:val="0"/>
          <w:numId w:val="27"/>
        </w:numPr>
        <w:ind w:right="-28"/>
        <w:rPr>
          <w:rFonts w:eastAsiaTheme="minorEastAsia" w:cs="Arial"/>
          <w:lang w:val="es-ES_tradnl"/>
        </w:rPr>
      </w:pPr>
      <w:r w:rsidRPr="00635C4B">
        <w:rPr>
          <w:rFonts w:eastAsiaTheme="minorEastAsia" w:cs="Arial"/>
          <w:lang w:val="es-ES_tradnl"/>
        </w:rPr>
        <w:lastRenderedPageBreak/>
        <w:t>Este deberá conformarse por una presidencia, una secretaria técnica, una comisaria y seis vocales.</w:t>
      </w:r>
    </w:p>
    <w:p w14:paraId="55862D0E" w14:textId="3FDEE942" w:rsidR="000D2D16" w:rsidRPr="00635C4B" w:rsidRDefault="000D2D16" w:rsidP="00635C4B">
      <w:pPr>
        <w:pStyle w:val="Prrafodelista"/>
        <w:numPr>
          <w:ilvl w:val="0"/>
          <w:numId w:val="27"/>
        </w:numPr>
        <w:ind w:right="-28"/>
        <w:rPr>
          <w:rFonts w:eastAsiaTheme="minorEastAsia" w:cs="Arial"/>
          <w:lang w:val="es-ES_tradnl"/>
        </w:rPr>
      </w:pPr>
      <w:r w:rsidRPr="00635C4B">
        <w:rPr>
          <w:rFonts w:eastAsiaTheme="minorEastAsia" w:cs="Arial"/>
          <w:lang w:val="es-ES_tradnl"/>
        </w:rPr>
        <w:t xml:space="preserve">Dicho Consejo tiene la facultad de emitir determinaciones mismas que son de carácter obligatorio para el Titular y las unidades administrativas correspondientes. </w:t>
      </w:r>
    </w:p>
    <w:p w14:paraId="7E0B1397" w14:textId="0F4C7EDA" w:rsidR="000D2D16" w:rsidRPr="00635C4B" w:rsidRDefault="000D2D16" w:rsidP="00635C4B">
      <w:pPr>
        <w:pStyle w:val="Prrafodelista"/>
        <w:numPr>
          <w:ilvl w:val="0"/>
          <w:numId w:val="27"/>
        </w:numPr>
        <w:ind w:right="-28"/>
        <w:rPr>
          <w:rFonts w:eastAsiaTheme="minorEastAsia" w:cs="Arial"/>
          <w:lang w:val="es-ES_tradnl"/>
        </w:rPr>
      </w:pPr>
      <w:r w:rsidRPr="00635C4B">
        <w:rPr>
          <w:rFonts w:eastAsiaTheme="minorEastAsia" w:cs="Arial"/>
          <w:lang w:val="es-ES_tradnl"/>
        </w:rPr>
        <w:t>Conforme a lo establecido en la Ley para la Coordinación y Control de Organismos Auxiliares del Estado de México el Consejo Directivo como órgano de gobierno deberá sesionar cuando menos una vez cada dos meses</w:t>
      </w:r>
      <w:r w:rsidR="003C7F9A" w:rsidRPr="00635C4B">
        <w:rPr>
          <w:rFonts w:eastAsiaTheme="minorEastAsia" w:cs="Arial"/>
          <w:lang w:val="es-ES_tradnl"/>
        </w:rPr>
        <w:t xml:space="preserve"> y en sesiones extraordinarias cada vez que el Presidente lo estime conveniente.</w:t>
      </w:r>
    </w:p>
    <w:p w14:paraId="35DA62A8" w14:textId="77777777" w:rsidR="000D2D16" w:rsidRPr="00635C4B" w:rsidRDefault="000D2D16" w:rsidP="00635C4B">
      <w:pPr>
        <w:ind w:right="-28"/>
        <w:rPr>
          <w:rFonts w:eastAsiaTheme="minorEastAsia" w:cs="Arial"/>
          <w:lang w:val="es-ES_tradnl"/>
        </w:rPr>
      </w:pPr>
    </w:p>
    <w:p w14:paraId="65A762F7" w14:textId="07EAA913" w:rsidR="000D2D16" w:rsidRPr="00635C4B" w:rsidRDefault="000D2D16" w:rsidP="00635C4B">
      <w:pPr>
        <w:ind w:right="-28"/>
        <w:rPr>
          <w:rFonts w:eastAsiaTheme="minorEastAsia" w:cs="Arial"/>
          <w:lang w:val="es-ES_tradnl"/>
        </w:rPr>
      </w:pPr>
      <w:r w:rsidRPr="00635C4B">
        <w:rPr>
          <w:rFonts w:eastAsiaTheme="minorEastAsia" w:cs="Arial"/>
          <w:lang w:val="es-ES_tradnl"/>
        </w:rPr>
        <w:t xml:space="preserve">Por lo anterior, es posible advertir que </w:t>
      </w:r>
      <w:r w:rsidRPr="00635C4B">
        <w:rPr>
          <w:rFonts w:eastAsiaTheme="minorEastAsia" w:cs="Arial"/>
          <w:b/>
          <w:lang w:val="es-ES_tradnl"/>
        </w:rPr>
        <w:t xml:space="preserve">EL SUJETO OBLIGADO </w:t>
      </w:r>
      <w:r w:rsidRPr="00635C4B">
        <w:rPr>
          <w:rFonts w:eastAsiaTheme="minorEastAsia" w:cs="Arial"/>
          <w:lang w:val="es-ES_tradnl"/>
        </w:rPr>
        <w:t>cuenta con facultades para ge</w:t>
      </w:r>
      <w:r w:rsidR="003C7F9A" w:rsidRPr="00635C4B">
        <w:rPr>
          <w:rFonts w:eastAsiaTheme="minorEastAsia" w:cs="Arial"/>
          <w:lang w:val="es-ES_tradnl"/>
        </w:rPr>
        <w:t xml:space="preserve">nerar la información referente a las actas de las sesiones ordinarias y extraordinarias requeridas. </w:t>
      </w:r>
    </w:p>
    <w:p w14:paraId="5064FBA5" w14:textId="77777777" w:rsidR="003C7F9A" w:rsidRPr="00635C4B" w:rsidRDefault="003C7F9A" w:rsidP="00635C4B">
      <w:pPr>
        <w:ind w:right="-28"/>
        <w:rPr>
          <w:rFonts w:eastAsiaTheme="minorEastAsia" w:cs="Arial"/>
          <w:lang w:val="es-ES_tradnl"/>
        </w:rPr>
      </w:pPr>
    </w:p>
    <w:p w14:paraId="4D16B631" w14:textId="24E92EF3" w:rsidR="003C7F9A" w:rsidRPr="00635C4B" w:rsidRDefault="003C7F9A" w:rsidP="00635C4B">
      <w:pPr>
        <w:ind w:right="-28"/>
        <w:rPr>
          <w:rFonts w:eastAsiaTheme="minorEastAsia" w:cs="Arial"/>
          <w:lang w:val="es-ES_tradnl"/>
        </w:rPr>
      </w:pPr>
      <w:r w:rsidRPr="00635C4B">
        <w:rPr>
          <w:rFonts w:eastAsiaTheme="minorEastAsia" w:cs="Arial"/>
          <w:lang w:val="es-ES_tradnl"/>
        </w:rPr>
        <w:t xml:space="preserve">No obstante a lo anterior, </w:t>
      </w:r>
      <w:r w:rsidRPr="00635C4B">
        <w:rPr>
          <w:rFonts w:eastAsiaTheme="minorEastAsia" w:cs="Arial"/>
          <w:b/>
          <w:lang w:val="es-ES_tradnl"/>
        </w:rPr>
        <w:t xml:space="preserve">EL SUJETO OBLIGADO </w:t>
      </w:r>
      <w:r w:rsidRPr="00635C4B">
        <w:rPr>
          <w:rFonts w:eastAsiaTheme="minorEastAsia" w:cs="Arial"/>
          <w:lang w:val="es-ES_tradnl"/>
        </w:rPr>
        <w:t xml:space="preserve">manifestó que, la información en referencia, no se encuentra publicada en el portal </w:t>
      </w:r>
      <w:proofErr w:type="spellStart"/>
      <w:r w:rsidRPr="00635C4B">
        <w:rPr>
          <w:rFonts w:eastAsiaTheme="minorEastAsia" w:cs="Arial"/>
          <w:lang w:val="es-ES_tradnl"/>
        </w:rPr>
        <w:t>Ipomex</w:t>
      </w:r>
      <w:proofErr w:type="spellEnd"/>
      <w:r w:rsidRPr="00635C4B">
        <w:rPr>
          <w:rFonts w:eastAsiaTheme="minorEastAsia" w:cs="Arial"/>
          <w:lang w:val="es-ES_tradnl"/>
        </w:rPr>
        <w:t xml:space="preserve"> de dicha institución toda vez que conforme a las tablas de aplicabilidad, no existe obligación de carga la información respectiva al medio electrónico señalado; sin embargo esto no es impedimento para que dicha autoridad proporcione a través del sistema electrónico del SAIMEX la información solicitada, toda vez que conforme a lo establecido en el artículo 4 párrafo segundo, toda </w:t>
      </w:r>
      <w:r w:rsidRPr="00635C4B">
        <w:rPr>
          <w:rFonts w:eastAsiaTheme="minorEastAsia" w:cs="Arial"/>
          <w:i/>
          <w:lang w:val="es-ES_tradnl"/>
        </w:rPr>
        <w:t xml:space="preserve">información generada, obtenida, adquirida, administrada o en posesión de los sujetos obligados es pública y accesible de manera permanente </w:t>
      </w:r>
      <w:r w:rsidRPr="00635C4B">
        <w:rPr>
          <w:i/>
        </w:rPr>
        <w:t>a cualquier persona</w:t>
      </w:r>
      <w:r w:rsidRPr="00635C4B">
        <w:rPr>
          <w:rFonts w:eastAsiaTheme="minorEastAsia" w:cs="Arial"/>
          <w:lang w:val="es-ES_tradnl"/>
        </w:rPr>
        <w:t>.</w:t>
      </w:r>
    </w:p>
    <w:p w14:paraId="20BAD5B4" w14:textId="77777777" w:rsidR="003C7F9A" w:rsidRPr="00635C4B" w:rsidRDefault="003C7F9A" w:rsidP="00635C4B">
      <w:pPr>
        <w:ind w:right="-28"/>
        <w:rPr>
          <w:rFonts w:eastAsiaTheme="minorEastAsia" w:cs="Arial"/>
          <w:lang w:val="es-ES_tradnl"/>
        </w:rPr>
      </w:pPr>
    </w:p>
    <w:p w14:paraId="3AA5216C" w14:textId="3850C8B3" w:rsidR="003C7F9A" w:rsidRPr="00635C4B" w:rsidRDefault="003C7F9A" w:rsidP="00635C4B">
      <w:pPr>
        <w:ind w:right="-28"/>
        <w:rPr>
          <w:rFonts w:eastAsiaTheme="minorEastAsia" w:cs="Arial"/>
          <w:lang w:val="es-ES_tradnl"/>
        </w:rPr>
      </w:pPr>
      <w:r w:rsidRPr="00635C4B">
        <w:rPr>
          <w:rFonts w:eastAsiaTheme="minorEastAsia" w:cs="Arial"/>
          <w:lang w:val="es-ES_tradnl"/>
        </w:rPr>
        <w:t xml:space="preserve">En ese sentido, </w:t>
      </w:r>
      <w:r w:rsidRPr="00635C4B">
        <w:rPr>
          <w:rFonts w:eastAsiaTheme="minorEastAsia" w:cs="Arial"/>
          <w:b/>
          <w:lang w:val="es-ES_tradnl"/>
        </w:rPr>
        <w:t>EL SUJETO OBLIGADO</w:t>
      </w:r>
      <w:r w:rsidRPr="00635C4B">
        <w:rPr>
          <w:rFonts w:eastAsiaTheme="minorEastAsia" w:cs="Arial"/>
          <w:lang w:val="es-ES_tradnl"/>
        </w:rPr>
        <w:t xml:space="preserve"> debió proporcionar el soporte documental requerido, aunado a que las tablas de aplicabilidad no contemplen el publicar </w:t>
      </w:r>
      <w:r w:rsidR="00DE52A4" w:rsidRPr="00635C4B">
        <w:rPr>
          <w:rFonts w:eastAsiaTheme="minorEastAsia" w:cs="Arial"/>
          <w:lang w:val="es-ES_tradnl"/>
        </w:rPr>
        <w:t xml:space="preserve">la información </w:t>
      </w:r>
      <w:r w:rsidR="00DE52A4" w:rsidRPr="00635C4B">
        <w:rPr>
          <w:rFonts w:eastAsiaTheme="minorEastAsia" w:cs="Arial"/>
          <w:lang w:val="es-ES_tradnl"/>
        </w:rPr>
        <w:lastRenderedPageBreak/>
        <w:t xml:space="preserve">referente a las actas de sesiones del Consejo Directivo. Por ende dicha información deberá ser proporcionada a </w:t>
      </w:r>
      <w:r w:rsidR="00DE52A4" w:rsidRPr="00635C4B">
        <w:rPr>
          <w:rFonts w:eastAsiaTheme="minorEastAsia" w:cs="Arial"/>
          <w:b/>
          <w:lang w:val="es-ES_tradnl"/>
        </w:rPr>
        <w:t xml:space="preserve">LA PARTE RECURRENTE </w:t>
      </w:r>
      <w:r w:rsidR="00DE52A4" w:rsidRPr="00635C4B">
        <w:rPr>
          <w:rFonts w:eastAsiaTheme="minorEastAsia" w:cs="Arial"/>
          <w:lang w:val="es-ES_tradnl"/>
        </w:rPr>
        <w:t>en versión pública de ser necesario.</w:t>
      </w:r>
    </w:p>
    <w:p w14:paraId="134F34BC" w14:textId="77777777" w:rsidR="004D65B9" w:rsidRPr="00635C4B" w:rsidRDefault="004D65B9" w:rsidP="00635C4B">
      <w:pPr>
        <w:ind w:right="-28"/>
        <w:rPr>
          <w:rFonts w:eastAsiaTheme="minorEastAsia" w:cs="Arial"/>
          <w:lang w:val="es-ES_tradnl"/>
        </w:rPr>
      </w:pPr>
    </w:p>
    <w:p w14:paraId="65B6946C" w14:textId="77777777" w:rsidR="00762936" w:rsidRPr="00635C4B" w:rsidRDefault="00762936" w:rsidP="00635C4B">
      <w:r w:rsidRPr="00635C4B">
        <w:t xml:space="preserve">Sin embargo, para el caso de que la información ordenada no obre en los archivos del </w:t>
      </w:r>
      <w:r w:rsidRPr="00635C4B">
        <w:rPr>
          <w:b/>
        </w:rPr>
        <w:t xml:space="preserve">SUJETO OBLIGADO </w:t>
      </w:r>
      <w:r w:rsidRPr="00635C4B">
        <w:t xml:space="preserve">bastará con que así lo haga del conocimiento de </w:t>
      </w:r>
      <w:r w:rsidRPr="00635C4B">
        <w:rPr>
          <w:b/>
        </w:rPr>
        <w:t>LA PARTE RECURRENTE</w:t>
      </w:r>
      <w:r w:rsidRPr="00635C4B">
        <w:t>,  para tener por colmado su derecho de acceso a la información, atendiendo de manera supletoria a las formalidades que establece el artículo 19, párrafo segundo de la Ley de Transparencia y Acceso a la Información Pública del Estado de México y Municipios, que es del tenor literal siguiente:</w:t>
      </w:r>
    </w:p>
    <w:p w14:paraId="2868D94A" w14:textId="77777777" w:rsidR="00762936" w:rsidRPr="00635C4B" w:rsidRDefault="00762936" w:rsidP="00635C4B"/>
    <w:p w14:paraId="5964AE7E" w14:textId="77777777" w:rsidR="00762936" w:rsidRPr="00635C4B" w:rsidRDefault="00762936" w:rsidP="00635C4B">
      <w:pPr>
        <w:pStyle w:val="Puesto"/>
        <w:rPr>
          <w:b/>
        </w:rPr>
      </w:pPr>
      <w:r w:rsidRPr="00635C4B">
        <w:t>“</w:t>
      </w:r>
      <w:r w:rsidRPr="00635C4B">
        <w:rPr>
          <w:b/>
        </w:rPr>
        <w:t>Artículo 19…</w:t>
      </w:r>
    </w:p>
    <w:p w14:paraId="068703F9" w14:textId="77777777" w:rsidR="00762936" w:rsidRPr="00635C4B" w:rsidRDefault="00762936" w:rsidP="00635C4B">
      <w:pPr>
        <w:pStyle w:val="Puesto"/>
      </w:pPr>
      <w:r w:rsidRPr="00635C4B">
        <w:rPr>
          <w:b/>
        </w:rPr>
        <w:t>En los casos en que ciertas facultades, competencias o funciones no se hayan ejercido, se debe motivar la respuesta en función de las causas que motiven tal circunstancia</w:t>
      </w:r>
      <w:r w:rsidRPr="00635C4B">
        <w:t>.”</w:t>
      </w:r>
    </w:p>
    <w:p w14:paraId="23072F84" w14:textId="77777777" w:rsidR="00762936" w:rsidRPr="00635C4B" w:rsidRDefault="00762936" w:rsidP="00635C4B">
      <w:pPr>
        <w:ind w:right="-28"/>
        <w:rPr>
          <w:rFonts w:eastAsiaTheme="minorEastAsia" w:cs="Arial"/>
          <w:lang w:val="es-ES_tradnl"/>
        </w:rPr>
      </w:pPr>
    </w:p>
    <w:p w14:paraId="20AC6FAF" w14:textId="77777777" w:rsidR="00DE52A4" w:rsidRPr="00635C4B" w:rsidRDefault="00DE52A4" w:rsidP="00635C4B">
      <w:pPr>
        <w:pStyle w:val="Ttulo3"/>
      </w:pPr>
      <w:bookmarkStart w:id="29" w:name="_Toc165402882"/>
      <w:bookmarkStart w:id="30" w:name="_Toc185499691"/>
      <w:r w:rsidRPr="00635C4B">
        <w:t>d) Versión pública</w:t>
      </w:r>
      <w:bookmarkEnd w:id="29"/>
      <w:bookmarkEnd w:id="30"/>
    </w:p>
    <w:p w14:paraId="12454ED0" w14:textId="77777777" w:rsidR="00DE52A4" w:rsidRPr="00635C4B" w:rsidRDefault="00DE52A4" w:rsidP="00635C4B">
      <w:pPr>
        <w:rPr>
          <w:bCs/>
        </w:rPr>
      </w:pPr>
      <w:r w:rsidRPr="00635C4B">
        <w:t xml:space="preserve">Para el caso de que el o los documentos de los cuales se ordena su entrega contengan datos personales susceptibles de ser testados, deberán ser entregados en </w:t>
      </w:r>
      <w:r w:rsidRPr="00635C4B">
        <w:rPr>
          <w:b/>
        </w:rPr>
        <w:t>versión pública</w:t>
      </w:r>
      <w:r w:rsidRPr="00635C4B">
        <w:t>, pues el</w:t>
      </w:r>
      <w:r w:rsidRPr="00635C4B">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07ED4AEC" w14:textId="77777777" w:rsidR="00DE52A4" w:rsidRPr="00635C4B" w:rsidRDefault="00DE52A4" w:rsidP="00635C4B">
      <w:pPr>
        <w:rPr>
          <w:rFonts w:eastAsia="Calibri"/>
          <w:bCs/>
          <w:lang w:eastAsia="en-US"/>
        </w:rPr>
      </w:pPr>
    </w:p>
    <w:p w14:paraId="355FEC8B" w14:textId="77777777" w:rsidR="00DE52A4" w:rsidRPr="00635C4B" w:rsidRDefault="00DE52A4" w:rsidP="00635C4B">
      <w:pPr>
        <w:rPr>
          <w:bCs/>
        </w:rPr>
      </w:pPr>
      <w:r w:rsidRPr="00635C4B">
        <w:rPr>
          <w:bCs/>
        </w:rPr>
        <w:t>A este respecto, los artículos 3, fracciones IX, XX, XXI y XLV; 51 y 52 de la Ley de Transparencia y Acceso a la Información Pública del Estado de México y Municipios establecen:</w:t>
      </w:r>
    </w:p>
    <w:p w14:paraId="3C025BCD" w14:textId="77777777" w:rsidR="00DE52A4" w:rsidRPr="00635C4B" w:rsidRDefault="00DE52A4" w:rsidP="00635C4B"/>
    <w:p w14:paraId="41889001" w14:textId="77777777" w:rsidR="00DE52A4" w:rsidRPr="00635C4B" w:rsidRDefault="00DE52A4" w:rsidP="00635C4B">
      <w:pPr>
        <w:pStyle w:val="Puesto"/>
      </w:pPr>
      <w:r w:rsidRPr="00635C4B">
        <w:rPr>
          <w:b/>
          <w:bCs/>
          <w:noProof/>
        </w:rPr>
        <w:t>“</w:t>
      </w:r>
      <w:r w:rsidRPr="00635C4B">
        <w:rPr>
          <w:b/>
          <w:bCs/>
        </w:rPr>
        <w:t xml:space="preserve">Artículo 3. </w:t>
      </w:r>
      <w:r w:rsidRPr="00635C4B">
        <w:t xml:space="preserve">Para los efectos de la presente Ley se entenderá por: </w:t>
      </w:r>
    </w:p>
    <w:p w14:paraId="2F09499C" w14:textId="77777777" w:rsidR="00DE52A4" w:rsidRPr="00635C4B" w:rsidRDefault="00DE52A4" w:rsidP="00635C4B">
      <w:pPr>
        <w:pStyle w:val="Puesto"/>
      </w:pPr>
      <w:r w:rsidRPr="00635C4B">
        <w:rPr>
          <w:b/>
        </w:rPr>
        <w:t>IX.</w:t>
      </w:r>
      <w:r w:rsidRPr="00635C4B">
        <w:t xml:space="preserve"> </w:t>
      </w:r>
      <w:r w:rsidRPr="00635C4B">
        <w:rPr>
          <w:b/>
        </w:rPr>
        <w:t xml:space="preserve">Datos personales: </w:t>
      </w:r>
      <w:r w:rsidRPr="00635C4B">
        <w:t xml:space="preserve">La información concerniente a una persona, identificada o identificable según lo dispuesto por la Ley de Protección de Datos Personales del Estado de México; </w:t>
      </w:r>
    </w:p>
    <w:p w14:paraId="1259B7F2" w14:textId="77777777" w:rsidR="00DE52A4" w:rsidRPr="00635C4B" w:rsidRDefault="00DE52A4" w:rsidP="00635C4B"/>
    <w:p w14:paraId="16F28354" w14:textId="77777777" w:rsidR="00DE52A4" w:rsidRPr="00635C4B" w:rsidRDefault="00DE52A4" w:rsidP="00635C4B">
      <w:pPr>
        <w:pStyle w:val="Puesto"/>
      </w:pPr>
      <w:r w:rsidRPr="00635C4B">
        <w:rPr>
          <w:b/>
        </w:rPr>
        <w:t>XX.</w:t>
      </w:r>
      <w:r w:rsidRPr="00635C4B">
        <w:t xml:space="preserve"> </w:t>
      </w:r>
      <w:r w:rsidRPr="00635C4B">
        <w:rPr>
          <w:b/>
        </w:rPr>
        <w:t>Información clasificada:</w:t>
      </w:r>
      <w:r w:rsidRPr="00635C4B">
        <w:t xml:space="preserve"> Aquella considerada por la presente Ley como reservada o confidencial; </w:t>
      </w:r>
    </w:p>
    <w:p w14:paraId="70A4DAC5" w14:textId="77777777" w:rsidR="00DE52A4" w:rsidRPr="00635C4B" w:rsidRDefault="00DE52A4" w:rsidP="00635C4B"/>
    <w:p w14:paraId="7F69ACAD" w14:textId="77777777" w:rsidR="00DE52A4" w:rsidRPr="00635C4B" w:rsidRDefault="00DE52A4" w:rsidP="00635C4B">
      <w:pPr>
        <w:pStyle w:val="Puesto"/>
      </w:pPr>
      <w:r w:rsidRPr="00635C4B">
        <w:rPr>
          <w:b/>
        </w:rPr>
        <w:t>XXI.</w:t>
      </w:r>
      <w:r w:rsidRPr="00635C4B">
        <w:t xml:space="preserve"> </w:t>
      </w:r>
      <w:r w:rsidRPr="00635C4B">
        <w:rPr>
          <w:b/>
        </w:rPr>
        <w:t>Información confidencial</w:t>
      </w:r>
      <w:r w:rsidRPr="00635C4B">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14126575" w14:textId="77777777" w:rsidR="00DE52A4" w:rsidRPr="00635C4B" w:rsidRDefault="00DE52A4" w:rsidP="00635C4B"/>
    <w:p w14:paraId="20CAEFAE" w14:textId="77777777" w:rsidR="00DE52A4" w:rsidRPr="00635C4B" w:rsidRDefault="00DE52A4" w:rsidP="00635C4B">
      <w:pPr>
        <w:pStyle w:val="Puesto"/>
      </w:pPr>
      <w:r w:rsidRPr="00635C4B">
        <w:rPr>
          <w:b/>
        </w:rPr>
        <w:t>XLV. Versión pública:</w:t>
      </w:r>
      <w:r w:rsidRPr="00635C4B">
        <w:t xml:space="preserve"> Documento en el que se elimine, suprime o borra la información clasificada como reservada o confidencial para permitir su acceso. </w:t>
      </w:r>
    </w:p>
    <w:p w14:paraId="2459A634" w14:textId="77777777" w:rsidR="00DE52A4" w:rsidRPr="00635C4B" w:rsidRDefault="00DE52A4" w:rsidP="00635C4B"/>
    <w:p w14:paraId="1E49D104" w14:textId="77777777" w:rsidR="00DE52A4" w:rsidRPr="00635C4B" w:rsidRDefault="00DE52A4" w:rsidP="00635C4B">
      <w:pPr>
        <w:pStyle w:val="Puesto"/>
      </w:pPr>
      <w:r w:rsidRPr="00635C4B">
        <w:rPr>
          <w:b/>
        </w:rPr>
        <w:t>Artículo 51.</w:t>
      </w:r>
      <w:r w:rsidRPr="00635C4B">
        <w:t xml:space="preserve"> Los sujetos obligados designaran a un responsable para atender la Unidad de Transparencia, quien fungirá como enlace entre éstos y los solicitantes. Dicha Unidad será la encargada de tramitar internamente la solicitud de información </w:t>
      </w:r>
      <w:r w:rsidRPr="00635C4B">
        <w:rPr>
          <w:b/>
        </w:rPr>
        <w:t xml:space="preserve">y tendrá la responsabilidad de verificar en cada caso que la misma no sea confidencial o reservada. </w:t>
      </w:r>
      <w:r w:rsidRPr="00635C4B">
        <w:t>Dicha Unidad contará con las facultades internas necesarias para gestionar la atención a las solicitudes de información en los términos de la Ley General y la presente Ley.</w:t>
      </w:r>
    </w:p>
    <w:p w14:paraId="10E43BCE" w14:textId="77777777" w:rsidR="00DE52A4" w:rsidRPr="00635C4B" w:rsidRDefault="00DE52A4" w:rsidP="00635C4B"/>
    <w:p w14:paraId="1ED70DE7" w14:textId="77777777" w:rsidR="00DE52A4" w:rsidRPr="00635C4B" w:rsidRDefault="00DE52A4" w:rsidP="00635C4B">
      <w:pPr>
        <w:pStyle w:val="Puesto"/>
      </w:pPr>
      <w:r w:rsidRPr="00635C4B">
        <w:rPr>
          <w:b/>
        </w:rPr>
        <w:t>Artículo 52.</w:t>
      </w:r>
      <w:r w:rsidRPr="00635C4B">
        <w:t xml:space="preserve"> Las solicitudes de acceso a la información y las respuestas que se les dé, incluyendo, en su caso, </w:t>
      </w:r>
      <w:r w:rsidRPr="00635C4B">
        <w:rPr>
          <w:u w:val="single"/>
        </w:rPr>
        <w:t>la información entregada, así como las resoluciones a los recursos que en su caso se promuevan serán públicas, y de ser el caso que contenga datos personales que deban ser protegidos se podrá dar su acceso en su versión pública</w:t>
      </w:r>
      <w:r w:rsidRPr="00635C4B">
        <w:t xml:space="preserve">, siempre y cuando la </w:t>
      </w:r>
      <w:r w:rsidRPr="00635C4B">
        <w:lastRenderedPageBreak/>
        <w:t>resolución de referencia se someta a un proceso de disociación, es decir, no haga identificable al titular de tales datos personales.</w:t>
      </w:r>
      <w:r w:rsidRPr="00635C4B">
        <w:rPr>
          <w:bCs/>
          <w:noProof/>
        </w:rPr>
        <w:t xml:space="preserve">” </w:t>
      </w:r>
      <w:r w:rsidRPr="00635C4B">
        <w:rPr>
          <w:i w:val="0"/>
          <w:iCs/>
          <w:szCs w:val="22"/>
        </w:rPr>
        <w:t>(Énfasis añadido)</w:t>
      </w:r>
    </w:p>
    <w:p w14:paraId="3B3D1602" w14:textId="77777777" w:rsidR="00DE52A4" w:rsidRPr="00635C4B" w:rsidRDefault="00DE52A4" w:rsidP="00635C4B"/>
    <w:p w14:paraId="31822252" w14:textId="77777777" w:rsidR="00DE52A4" w:rsidRPr="00635C4B" w:rsidRDefault="00DE52A4" w:rsidP="00635C4B">
      <w:r w:rsidRPr="00635C4B">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686B643A" w14:textId="77777777" w:rsidR="00DE52A4" w:rsidRPr="00635C4B" w:rsidRDefault="00DE52A4" w:rsidP="00635C4B"/>
    <w:p w14:paraId="7AF0E700" w14:textId="77777777" w:rsidR="00DE52A4" w:rsidRPr="00635C4B" w:rsidRDefault="00DE52A4" w:rsidP="00635C4B">
      <w:pPr>
        <w:pStyle w:val="Puesto"/>
        <w:rPr>
          <w:rFonts w:eastAsia="Arial Unicode MS"/>
        </w:rPr>
      </w:pPr>
      <w:r w:rsidRPr="00635C4B">
        <w:rPr>
          <w:rFonts w:eastAsia="Arial Unicode MS"/>
          <w:b/>
        </w:rPr>
        <w:t>“Artículo 22.</w:t>
      </w:r>
      <w:r w:rsidRPr="00635C4B">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06DAD45A" w14:textId="77777777" w:rsidR="00DE52A4" w:rsidRPr="00635C4B" w:rsidRDefault="00DE52A4" w:rsidP="00635C4B">
      <w:pPr>
        <w:rPr>
          <w:rFonts w:eastAsia="Arial Unicode MS"/>
        </w:rPr>
      </w:pPr>
    </w:p>
    <w:p w14:paraId="14114329" w14:textId="77777777" w:rsidR="00DE52A4" w:rsidRPr="00635C4B" w:rsidRDefault="00DE52A4" w:rsidP="00635C4B">
      <w:pPr>
        <w:pStyle w:val="Puesto"/>
        <w:rPr>
          <w:rFonts w:eastAsia="Arial Unicode MS"/>
        </w:rPr>
      </w:pPr>
      <w:r w:rsidRPr="00635C4B">
        <w:rPr>
          <w:rFonts w:eastAsia="Arial Unicode MS"/>
          <w:b/>
        </w:rPr>
        <w:t>Artículo 38.</w:t>
      </w:r>
      <w:r w:rsidRPr="00635C4B">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635C4B">
        <w:rPr>
          <w:rFonts w:eastAsia="Arial Unicode MS"/>
          <w:b/>
        </w:rPr>
        <w:t>”</w:t>
      </w:r>
      <w:r w:rsidRPr="00635C4B">
        <w:rPr>
          <w:rFonts w:eastAsia="Arial Unicode MS"/>
        </w:rPr>
        <w:t xml:space="preserve"> </w:t>
      </w:r>
    </w:p>
    <w:p w14:paraId="754A33CA" w14:textId="77777777" w:rsidR="00DE52A4" w:rsidRPr="00635C4B" w:rsidRDefault="00DE52A4" w:rsidP="00635C4B">
      <w:pPr>
        <w:rPr>
          <w:rFonts w:eastAsia="Arial Unicode MS"/>
          <w:i/>
          <w:szCs w:val="22"/>
        </w:rPr>
      </w:pPr>
    </w:p>
    <w:p w14:paraId="3AB1B98E" w14:textId="77777777" w:rsidR="00DE52A4" w:rsidRPr="00635C4B" w:rsidRDefault="00DE52A4" w:rsidP="00635C4B">
      <w:r w:rsidRPr="00635C4B">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4F284916" w14:textId="77777777" w:rsidR="00DE52A4" w:rsidRPr="00635C4B" w:rsidRDefault="00DE52A4" w:rsidP="00635C4B"/>
    <w:p w14:paraId="5788BC4A" w14:textId="77777777" w:rsidR="00DE52A4" w:rsidRPr="00635C4B" w:rsidRDefault="00DE52A4" w:rsidP="00635C4B">
      <w:r w:rsidRPr="00635C4B">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635C4B">
        <w:rPr>
          <w:rFonts w:eastAsia="Arial Unicode MS"/>
        </w:rPr>
        <w:t xml:space="preserve"> que debe ser protegida por </w:t>
      </w:r>
      <w:r w:rsidRPr="00635C4B">
        <w:rPr>
          <w:rFonts w:eastAsia="Arial Unicode MS"/>
          <w:b/>
        </w:rPr>
        <w:t>EL SUJETO OBLIGADO,</w:t>
      </w:r>
      <w:r w:rsidRPr="00635C4B">
        <w:rPr>
          <w:rFonts w:eastAsia="Arial Unicode MS"/>
        </w:rPr>
        <w:t xml:space="preserve"> por lo </w:t>
      </w:r>
      <w:r w:rsidRPr="00635C4B">
        <w:t>que, todo dato personal susceptible de clasificación debe ser protegido.</w:t>
      </w:r>
    </w:p>
    <w:p w14:paraId="33AC40EB" w14:textId="77777777" w:rsidR="00DE52A4" w:rsidRPr="00635C4B" w:rsidRDefault="00DE52A4" w:rsidP="00635C4B"/>
    <w:p w14:paraId="72434FA2" w14:textId="77777777" w:rsidR="00DE52A4" w:rsidRPr="00635C4B" w:rsidRDefault="00DE52A4" w:rsidP="00635C4B">
      <w:r w:rsidRPr="00635C4B">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1B52F902" w14:textId="77777777" w:rsidR="00DE52A4" w:rsidRPr="00635C4B" w:rsidRDefault="00DE52A4" w:rsidP="00635C4B"/>
    <w:p w14:paraId="59277EA4" w14:textId="77777777" w:rsidR="00DE52A4" w:rsidRPr="00635C4B" w:rsidRDefault="00DE52A4" w:rsidP="00635C4B">
      <w:r w:rsidRPr="00635C4B">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5B324D44" w14:textId="77777777" w:rsidR="00DE52A4" w:rsidRPr="00635C4B" w:rsidRDefault="00DE52A4" w:rsidP="00635C4B"/>
    <w:p w14:paraId="33CB14ED" w14:textId="77777777" w:rsidR="00DE52A4" w:rsidRPr="00635C4B" w:rsidRDefault="00DE52A4" w:rsidP="00635C4B">
      <w:pPr>
        <w:jc w:val="center"/>
        <w:rPr>
          <w:b/>
          <w:i/>
          <w:szCs w:val="22"/>
        </w:rPr>
      </w:pPr>
      <w:r w:rsidRPr="00635C4B">
        <w:rPr>
          <w:b/>
          <w:i/>
          <w:szCs w:val="22"/>
          <w:lang w:val="es-ES_tradnl"/>
        </w:rPr>
        <w:t>Ley de Transparencia y Acceso a la Información Pública del Estado de México y Municipios</w:t>
      </w:r>
    </w:p>
    <w:p w14:paraId="10EE9F2B" w14:textId="77777777" w:rsidR="00DE52A4" w:rsidRPr="00635C4B" w:rsidRDefault="00DE52A4" w:rsidP="00635C4B"/>
    <w:p w14:paraId="2D5CEAA5" w14:textId="77777777" w:rsidR="00DE52A4" w:rsidRPr="00635C4B" w:rsidRDefault="00DE52A4" w:rsidP="00635C4B">
      <w:pPr>
        <w:pStyle w:val="Puesto"/>
      </w:pPr>
      <w:r w:rsidRPr="00635C4B">
        <w:rPr>
          <w:b/>
        </w:rPr>
        <w:t xml:space="preserve">“Artículo 49. </w:t>
      </w:r>
      <w:r w:rsidRPr="00635C4B">
        <w:t>Los Comités de Transparencia tendrán las siguientes atribuciones:</w:t>
      </w:r>
    </w:p>
    <w:p w14:paraId="60A2945B" w14:textId="77777777" w:rsidR="00DE52A4" w:rsidRPr="00635C4B" w:rsidRDefault="00DE52A4" w:rsidP="00635C4B">
      <w:pPr>
        <w:pStyle w:val="Puesto"/>
      </w:pPr>
      <w:r w:rsidRPr="00635C4B">
        <w:rPr>
          <w:b/>
        </w:rPr>
        <w:t>VIII.</w:t>
      </w:r>
      <w:r w:rsidRPr="00635C4B">
        <w:t xml:space="preserve"> Aprobar, modificar o revocar la clasificación de la información;</w:t>
      </w:r>
    </w:p>
    <w:p w14:paraId="58224DC9" w14:textId="77777777" w:rsidR="00DE52A4" w:rsidRPr="00635C4B" w:rsidRDefault="00DE52A4" w:rsidP="00635C4B"/>
    <w:p w14:paraId="370EF2FC" w14:textId="77777777" w:rsidR="00DE52A4" w:rsidRPr="00635C4B" w:rsidRDefault="00DE52A4" w:rsidP="00635C4B">
      <w:pPr>
        <w:pStyle w:val="Puesto"/>
      </w:pPr>
      <w:r w:rsidRPr="00635C4B">
        <w:rPr>
          <w:b/>
        </w:rPr>
        <w:t>Artículo 132.</w:t>
      </w:r>
      <w:r w:rsidRPr="00635C4B">
        <w:t xml:space="preserve"> La clasificación de la información se llevará a cabo en el momento en que:</w:t>
      </w:r>
    </w:p>
    <w:p w14:paraId="538C74A7" w14:textId="77777777" w:rsidR="00DE52A4" w:rsidRPr="00635C4B" w:rsidRDefault="00DE52A4" w:rsidP="00635C4B">
      <w:pPr>
        <w:pStyle w:val="Puesto"/>
      </w:pPr>
      <w:r w:rsidRPr="00635C4B">
        <w:rPr>
          <w:b/>
        </w:rPr>
        <w:t>I.</w:t>
      </w:r>
      <w:r w:rsidRPr="00635C4B">
        <w:t xml:space="preserve"> Se reciba una solicitud de acceso a la información;</w:t>
      </w:r>
    </w:p>
    <w:p w14:paraId="4E6412F8" w14:textId="77777777" w:rsidR="00DE52A4" w:rsidRPr="00635C4B" w:rsidRDefault="00DE52A4" w:rsidP="00635C4B">
      <w:pPr>
        <w:pStyle w:val="Puesto"/>
      </w:pPr>
      <w:r w:rsidRPr="00635C4B">
        <w:rPr>
          <w:b/>
        </w:rPr>
        <w:t>II.</w:t>
      </w:r>
      <w:r w:rsidRPr="00635C4B">
        <w:t xml:space="preserve"> Se determine mediante resolución de autoridad competente; o</w:t>
      </w:r>
    </w:p>
    <w:p w14:paraId="703887F0" w14:textId="77777777" w:rsidR="00DE52A4" w:rsidRPr="00635C4B" w:rsidRDefault="00DE52A4" w:rsidP="00635C4B">
      <w:pPr>
        <w:pStyle w:val="Puesto"/>
        <w:rPr>
          <w:b/>
        </w:rPr>
      </w:pPr>
      <w:r w:rsidRPr="00635C4B">
        <w:rPr>
          <w:b/>
          <w:bCs/>
        </w:rPr>
        <w:t>III.</w:t>
      </w:r>
      <w:r w:rsidRPr="00635C4B">
        <w:t xml:space="preserve"> Se generen versiones públicas para dar cumplimiento a las obligaciones de transparencia previstas en esta Ley.</w:t>
      </w:r>
      <w:r w:rsidRPr="00635C4B">
        <w:rPr>
          <w:b/>
        </w:rPr>
        <w:t>”</w:t>
      </w:r>
    </w:p>
    <w:p w14:paraId="43C3E5D8" w14:textId="77777777" w:rsidR="00DE52A4" w:rsidRPr="00635C4B" w:rsidRDefault="00DE52A4" w:rsidP="00635C4B"/>
    <w:p w14:paraId="4D55596C" w14:textId="77777777" w:rsidR="00DE52A4" w:rsidRPr="00635C4B" w:rsidRDefault="00DE52A4" w:rsidP="00635C4B">
      <w:pPr>
        <w:pStyle w:val="Puesto"/>
      </w:pPr>
      <w:r w:rsidRPr="00635C4B">
        <w:rPr>
          <w:b/>
        </w:rPr>
        <w:t>“Segundo. -</w:t>
      </w:r>
      <w:r w:rsidRPr="00635C4B">
        <w:t xml:space="preserve"> Para efectos de los presentes Lineamientos Generales, se entenderá por:</w:t>
      </w:r>
    </w:p>
    <w:p w14:paraId="5E5468C9" w14:textId="77777777" w:rsidR="00DE52A4" w:rsidRPr="00635C4B" w:rsidRDefault="00DE52A4" w:rsidP="00635C4B">
      <w:pPr>
        <w:pStyle w:val="Puesto"/>
      </w:pPr>
      <w:r w:rsidRPr="00635C4B">
        <w:rPr>
          <w:b/>
        </w:rPr>
        <w:t>XVIII.</w:t>
      </w:r>
      <w:r w:rsidRPr="00635C4B">
        <w:t xml:space="preserve">  </w:t>
      </w:r>
      <w:r w:rsidRPr="00635C4B">
        <w:rPr>
          <w:b/>
        </w:rPr>
        <w:t>Versión pública:</w:t>
      </w:r>
      <w:r w:rsidRPr="00635C4B">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6744DE14" w14:textId="77777777" w:rsidR="00DE52A4" w:rsidRPr="00635C4B" w:rsidRDefault="00DE52A4" w:rsidP="00635C4B">
      <w:pPr>
        <w:pStyle w:val="Puesto"/>
      </w:pPr>
    </w:p>
    <w:p w14:paraId="58089728" w14:textId="77777777" w:rsidR="00DE52A4" w:rsidRPr="00635C4B" w:rsidRDefault="00DE52A4" w:rsidP="00635C4B">
      <w:pPr>
        <w:pStyle w:val="Puesto"/>
        <w:rPr>
          <w:b/>
          <w:lang w:val="es-ES_tradnl" w:eastAsia="es-MX"/>
        </w:rPr>
      </w:pPr>
      <w:r w:rsidRPr="00635C4B">
        <w:rPr>
          <w:b/>
          <w:lang w:val="es-ES_tradnl" w:eastAsia="es-MX"/>
        </w:rPr>
        <w:t xml:space="preserve">Lineamientos Generales en materia de Clasificación y Desclasificación de la </w:t>
      </w:r>
      <w:r w:rsidRPr="00635C4B">
        <w:rPr>
          <w:b/>
          <w:lang w:val="es-ES_tradnl"/>
        </w:rPr>
        <w:t>Información</w:t>
      </w:r>
    </w:p>
    <w:p w14:paraId="5C9BB6F7" w14:textId="77777777" w:rsidR="00DE52A4" w:rsidRPr="00635C4B" w:rsidRDefault="00DE52A4" w:rsidP="00635C4B">
      <w:pPr>
        <w:pStyle w:val="Puesto"/>
      </w:pPr>
    </w:p>
    <w:p w14:paraId="5CC70EF9" w14:textId="77777777" w:rsidR="00DE52A4" w:rsidRPr="00635C4B" w:rsidRDefault="00DE52A4" w:rsidP="00635C4B">
      <w:pPr>
        <w:pStyle w:val="Puesto"/>
      </w:pPr>
      <w:r w:rsidRPr="00635C4B">
        <w:rPr>
          <w:b/>
        </w:rPr>
        <w:t>Cuarto.</w:t>
      </w:r>
      <w:r w:rsidRPr="00635C4B">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5B966037" w14:textId="77777777" w:rsidR="00DE52A4" w:rsidRPr="00635C4B" w:rsidRDefault="00DE52A4" w:rsidP="00635C4B">
      <w:pPr>
        <w:pStyle w:val="Puesto"/>
      </w:pPr>
      <w:r w:rsidRPr="00635C4B">
        <w:t>Los sujetos obligados deberán aplicar, de manera estricta, las excepciones al derecho de acceso a la información y sólo podrán invocarlas cuando acrediten su procedencia.</w:t>
      </w:r>
    </w:p>
    <w:p w14:paraId="32F5FE31" w14:textId="77777777" w:rsidR="00DE52A4" w:rsidRPr="00635C4B" w:rsidRDefault="00DE52A4" w:rsidP="00635C4B"/>
    <w:p w14:paraId="222559F8" w14:textId="77777777" w:rsidR="00DE52A4" w:rsidRPr="00635C4B" w:rsidRDefault="00DE52A4" w:rsidP="00635C4B">
      <w:pPr>
        <w:pStyle w:val="Puesto"/>
      </w:pPr>
      <w:r w:rsidRPr="00635C4B">
        <w:rPr>
          <w:b/>
        </w:rPr>
        <w:t>Quinto.</w:t>
      </w:r>
      <w:r w:rsidRPr="00635C4B">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0DF95377" w14:textId="77777777" w:rsidR="00DE52A4" w:rsidRPr="00635C4B" w:rsidRDefault="00DE52A4" w:rsidP="00635C4B"/>
    <w:p w14:paraId="3103C3F0" w14:textId="77777777" w:rsidR="00DE52A4" w:rsidRPr="00635C4B" w:rsidRDefault="00DE52A4" w:rsidP="00635C4B">
      <w:pPr>
        <w:pStyle w:val="Puesto"/>
      </w:pPr>
      <w:r w:rsidRPr="00635C4B">
        <w:rPr>
          <w:b/>
        </w:rPr>
        <w:t>Sexto.</w:t>
      </w:r>
      <w:r w:rsidRPr="00635C4B">
        <w:t xml:space="preserve"> Se deroga.</w:t>
      </w:r>
    </w:p>
    <w:p w14:paraId="7880A181" w14:textId="77777777" w:rsidR="00DE52A4" w:rsidRPr="00635C4B" w:rsidRDefault="00DE52A4" w:rsidP="00635C4B"/>
    <w:p w14:paraId="79C0D177" w14:textId="77777777" w:rsidR="00DE52A4" w:rsidRPr="00635C4B" w:rsidRDefault="00DE52A4" w:rsidP="00635C4B">
      <w:pPr>
        <w:pStyle w:val="Puesto"/>
      </w:pPr>
      <w:r w:rsidRPr="00635C4B">
        <w:rPr>
          <w:b/>
        </w:rPr>
        <w:lastRenderedPageBreak/>
        <w:t>Séptimo.</w:t>
      </w:r>
      <w:r w:rsidRPr="00635C4B">
        <w:t xml:space="preserve"> La clasificación de la información se llevará a cabo en el momento en que:</w:t>
      </w:r>
    </w:p>
    <w:p w14:paraId="7530A8F4" w14:textId="77777777" w:rsidR="00DE52A4" w:rsidRPr="00635C4B" w:rsidRDefault="00DE52A4" w:rsidP="00635C4B">
      <w:pPr>
        <w:pStyle w:val="Puesto"/>
      </w:pPr>
      <w:r w:rsidRPr="00635C4B">
        <w:rPr>
          <w:b/>
        </w:rPr>
        <w:t>I.</w:t>
      </w:r>
      <w:r w:rsidRPr="00635C4B">
        <w:t xml:space="preserve">        Se reciba una solicitud de acceso a la información;</w:t>
      </w:r>
    </w:p>
    <w:p w14:paraId="66CE9A0A" w14:textId="77777777" w:rsidR="00DE52A4" w:rsidRPr="00635C4B" w:rsidRDefault="00DE52A4" w:rsidP="00635C4B">
      <w:pPr>
        <w:pStyle w:val="Puesto"/>
      </w:pPr>
      <w:r w:rsidRPr="00635C4B">
        <w:rPr>
          <w:b/>
        </w:rPr>
        <w:t>II.</w:t>
      </w:r>
      <w:r w:rsidRPr="00635C4B">
        <w:t xml:space="preserve">       Se determine mediante resolución del Comité de Transparencia, el órgano garante competente, o en cumplimiento a una sentencia del Poder Judicial; o</w:t>
      </w:r>
    </w:p>
    <w:p w14:paraId="1EF86626" w14:textId="77777777" w:rsidR="00DE52A4" w:rsidRPr="00635C4B" w:rsidRDefault="00DE52A4" w:rsidP="00635C4B">
      <w:pPr>
        <w:pStyle w:val="Puesto"/>
      </w:pPr>
      <w:r w:rsidRPr="00635C4B">
        <w:rPr>
          <w:b/>
        </w:rPr>
        <w:t>III.</w:t>
      </w:r>
      <w:r w:rsidRPr="00635C4B">
        <w:t xml:space="preserve">      Se generen versiones públicas para dar cumplimiento a las obligaciones de transparencia previstas en la Ley General, la Ley Federal y las correspondientes de las entidades federativas.</w:t>
      </w:r>
    </w:p>
    <w:p w14:paraId="3A738497" w14:textId="77777777" w:rsidR="00DE52A4" w:rsidRPr="00635C4B" w:rsidRDefault="00DE52A4" w:rsidP="00635C4B">
      <w:pPr>
        <w:pStyle w:val="Puesto"/>
      </w:pPr>
      <w:r w:rsidRPr="00635C4B">
        <w:t xml:space="preserve">Los titulares de las áreas deberán revisar la información requerida al momento de la recepción de una solicitud de acceso, para verificar, conforme a su naturaleza, si encuadra en una causal de reserva o de confidencialidad. </w:t>
      </w:r>
    </w:p>
    <w:p w14:paraId="7CB264F3" w14:textId="77777777" w:rsidR="00DE52A4" w:rsidRPr="00635C4B" w:rsidRDefault="00DE52A4" w:rsidP="00635C4B"/>
    <w:p w14:paraId="62D7C525" w14:textId="77777777" w:rsidR="00DE52A4" w:rsidRPr="00635C4B" w:rsidRDefault="00DE52A4" w:rsidP="00635C4B">
      <w:pPr>
        <w:pStyle w:val="Puesto"/>
      </w:pPr>
      <w:r w:rsidRPr="00635C4B">
        <w:rPr>
          <w:b/>
        </w:rPr>
        <w:t>Octavo.</w:t>
      </w:r>
      <w:r w:rsidRPr="00635C4B">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0AB31AD9" w14:textId="77777777" w:rsidR="00DE52A4" w:rsidRPr="00635C4B" w:rsidRDefault="00DE52A4" w:rsidP="00635C4B">
      <w:pPr>
        <w:pStyle w:val="Puesto"/>
      </w:pPr>
      <w:r w:rsidRPr="00635C4B">
        <w:t>Para motivar la clasificación se deberán señalar las razones o circunstancias especiales que lo llevaron a concluir que el caso particular se ajusta al supuesto previsto por la norma legal invocada como fundamento.</w:t>
      </w:r>
    </w:p>
    <w:p w14:paraId="1419BAB8" w14:textId="77777777" w:rsidR="00DE52A4" w:rsidRPr="00635C4B" w:rsidRDefault="00DE52A4" w:rsidP="00635C4B">
      <w:pPr>
        <w:pStyle w:val="Puesto"/>
      </w:pPr>
      <w:r w:rsidRPr="00635C4B">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A1CEE0D" w14:textId="77777777" w:rsidR="00DE52A4" w:rsidRPr="00635C4B" w:rsidRDefault="00DE52A4" w:rsidP="00635C4B"/>
    <w:p w14:paraId="02E52DF6" w14:textId="77777777" w:rsidR="00DE52A4" w:rsidRPr="00635C4B" w:rsidRDefault="00DE52A4" w:rsidP="00635C4B">
      <w:pPr>
        <w:pStyle w:val="Puesto"/>
      </w:pPr>
      <w:r w:rsidRPr="00635C4B">
        <w:rPr>
          <w:b/>
        </w:rPr>
        <w:t>Noveno.</w:t>
      </w:r>
      <w:r w:rsidRPr="00635C4B">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D20E38D" w14:textId="77777777" w:rsidR="00DE52A4" w:rsidRPr="00635C4B" w:rsidRDefault="00DE52A4" w:rsidP="00635C4B"/>
    <w:p w14:paraId="61C66001" w14:textId="77777777" w:rsidR="00DE52A4" w:rsidRPr="00635C4B" w:rsidRDefault="00DE52A4" w:rsidP="00635C4B">
      <w:pPr>
        <w:pStyle w:val="Puesto"/>
      </w:pPr>
      <w:r w:rsidRPr="00635C4B">
        <w:rPr>
          <w:b/>
        </w:rPr>
        <w:t>Décimo.</w:t>
      </w:r>
      <w:r w:rsidRPr="00635C4B">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125DF7A8" w14:textId="77777777" w:rsidR="00DE52A4" w:rsidRPr="00635C4B" w:rsidRDefault="00DE52A4" w:rsidP="00635C4B">
      <w:pPr>
        <w:pStyle w:val="Puesto"/>
      </w:pPr>
      <w:r w:rsidRPr="00635C4B">
        <w:t>En ausencia de los titulares de las áreas, la información será clasificada o desclasificada por la persona que lo supla, en términos de la normativa que rija la actuación del sujeto obligado.</w:t>
      </w:r>
    </w:p>
    <w:p w14:paraId="39F2B416" w14:textId="77777777" w:rsidR="00DE52A4" w:rsidRPr="00635C4B" w:rsidRDefault="00DE52A4" w:rsidP="00635C4B">
      <w:pPr>
        <w:pStyle w:val="Puesto"/>
        <w:rPr>
          <w:b/>
        </w:rPr>
      </w:pPr>
      <w:r w:rsidRPr="00635C4B">
        <w:rPr>
          <w:b/>
        </w:rPr>
        <w:lastRenderedPageBreak/>
        <w:t>Décimo primero.</w:t>
      </w:r>
      <w:r w:rsidRPr="00635C4B">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635C4B">
        <w:rPr>
          <w:b/>
        </w:rPr>
        <w:t>”</w:t>
      </w:r>
    </w:p>
    <w:p w14:paraId="2EF3717B" w14:textId="77777777" w:rsidR="00DE52A4" w:rsidRPr="00635C4B" w:rsidRDefault="00DE52A4" w:rsidP="00635C4B"/>
    <w:p w14:paraId="2DDDA579" w14:textId="4C554C15" w:rsidR="004D65B9" w:rsidRPr="00635C4B" w:rsidRDefault="00DE52A4" w:rsidP="00635C4B">
      <w:pPr>
        <w:ind w:right="-28"/>
        <w:rPr>
          <w:rFonts w:eastAsiaTheme="minorEastAsia" w:cs="Arial"/>
          <w:lang w:val="es-ES_tradnl"/>
        </w:rPr>
      </w:pPr>
      <w:r w:rsidRPr="00635C4B">
        <w:t xml:space="preserve">Consecuentemente, se destaca que la versión pública que elabore </w:t>
      </w:r>
      <w:r w:rsidRPr="00635C4B">
        <w:rPr>
          <w:b/>
        </w:rPr>
        <w:t>EL SUJETO OBLIGADO</w:t>
      </w:r>
      <w:r w:rsidRPr="00635C4B">
        <w:t xml:space="preserve"> debe cumplir con las formalidades exigidas en la Ley, por lo que para tal efecto emitirá el </w:t>
      </w:r>
      <w:r w:rsidRPr="00635C4B">
        <w:rPr>
          <w:b/>
        </w:rPr>
        <w:t>Acuerdo del Comité de Transparencia</w:t>
      </w:r>
      <w:r w:rsidRPr="00635C4B">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635C4B">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62ED38F7" w14:textId="77777777" w:rsidR="00CF2D8B" w:rsidRPr="00635C4B" w:rsidRDefault="00CF2D8B" w:rsidP="00635C4B">
      <w:pPr>
        <w:ind w:right="-93"/>
        <w:rPr>
          <w:rFonts w:cs="Tahoma"/>
          <w:bCs/>
          <w:szCs w:val="22"/>
        </w:rPr>
      </w:pPr>
    </w:p>
    <w:p w14:paraId="6C62B55B" w14:textId="72D91139" w:rsidR="002568F8" w:rsidRPr="00635C4B" w:rsidRDefault="00DE52A4" w:rsidP="00635C4B">
      <w:pPr>
        <w:pStyle w:val="Ttulo3"/>
      </w:pPr>
      <w:bookmarkStart w:id="31" w:name="_Toc185499692"/>
      <w:r w:rsidRPr="00635C4B">
        <w:t>e</w:t>
      </w:r>
      <w:r w:rsidR="00A21A20" w:rsidRPr="00635C4B">
        <w:t>) Conclusión</w:t>
      </w:r>
      <w:bookmarkEnd w:id="31"/>
    </w:p>
    <w:p w14:paraId="1FF20082" w14:textId="77777777" w:rsidR="00C546E2" w:rsidRPr="00635C4B" w:rsidRDefault="00C546E2" w:rsidP="00635C4B">
      <w:pPr>
        <w:widowControl w:val="0"/>
        <w:tabs>
          <w:tab w:val="left" w:pos="1701"/>
          <w:tab w:val="left" w:pos="1843"/>
        </w:tabs>
        <w:rPr>
          <w:rFonts w:eastAsia="Palatino Linotype" w:cs="Palatino Linotype"/>
        </w:rPr>
      </w:pPr>
      <w:r w:rsidRPr="00635C4B">
        <w:rPr>
          <w:rFonts w:eastAsia="Palatino Linotype" w:cs="Palatino Linotype"/>
        </w:rPr>
        <w:t xml:space="preserve">En razón de lo anteriormente expuesto, este Instituto estima que las razones o motivos de inconformidad hechos valer por </w:t>
      </w:r>
      <w:r w:rsidRPr="00635C4B">
        <w:rPr>
          <w:rFonts w:eastAsiaTheme="minorHAnsi" w:cs="Tahoma"/>
          <w:b/>
          <w:iCs/>
          <w:szCs w:val="22"/>
          <w:lang w:eastAsia="en-US"/>
        </w:rPr>
        <w:t>LA PARTE RECURRENTE</w:t>
      </w:r>
      <w:r w:rsidRPr="00635C4B">
        <w:rPr>
          <w:rFonts w:eastAsiaTheme="minorHAnsi" w:cs="Tahoma"/>
          <w:bCs/>
          <w:iCs/>
          <w:szCs w:val="22"/>
          <w:lang w:eastAsia="en-US"/>
        </w:rPr>
        <w:t xml:space="preserve"> </w:t>
      </w:r>
      <w:r w:rsidRPr="00635C4B">
        <w:rPr>
          <w:rFonts w:eastAsia="Palatino Linotype" w:cs="Palatino Linotype"/>
        </w:rPr>
        <w:t xml:space="preserve">devienen </w:t>
      </w:r>
      <w:r w:rsidRPr="00635C4B">
        <w:rPr>
          <w:rFonts w:eastAsia="Palatino Linotype" w:cs="Palatino Linotype"/>
          <w:b/>
        </w:rPr>
        <w:t>fundadas</w:t>
      </w:r>
      <w:r w:rsidRPr="00635C4B">
        <w:rPr>
          <w:rFonts w:eastAsia="Palatino Linotype" w:cs="Palatino Linotype"/>
        </w:rPr>
        <w:t xml:space="preserve"> y suficientes para </w:t>
      </w:r>
      <w:r w:rsidRPr="00635C4B">
        <w:rPr>
          <w:rFonts w:eastAsia="Palatino Linotype" w:cs="Palatino Linotype"/>
          <w:b/>
        </w:rPr>
        <w:t>MODIFICAR</w:t>
      </w:r>
      <w:r w:rsidRPr="00635C4B">
        <w:rPr>
          <w:rFonts w:eastAsia="Palatino Linotype" w:cs="Palatino Linotype"/>
        </w:rPr>
        <w:t xml:space="preserve"> la respuesta del </w:t>
      </w:r>
      <w:r w:rsidRPr="00635C4B">
        <w:rPr>
          <w:rFonts w:eastAsia="Palatino Linotype" w:cs="Palatino Linotype"/>
          <w:b/>
        </w:rPr>
        <w:t>SUJETO OBLIGADO</w:t>
      </w:r>
      <w:r w:rsidRPr="00635C4B">
        <w:rPr>
          <w:rFonts w:eastAsia="Palatino Linotype" w:cs="Palatino Linotype"/>
        </w:rPr>
        <w:t xml:space="preserve"> y ordenarle haga entrega de la información materia de la solicitud.</w:t>
      </w:r>
    </w:p>
    <w:p w14:paraId="423C5768" w14:textId="77777777" w:rsidR="00C546E2" w:rsidRPr="00635C4B" w:rsidRDefault="00C546E2" w:rsidP="00635C4B">
      <w:pPr>
        <w:ind w:right="-93"/>
        <w:rPr>
          <w:rFonts w:cs="Tahoma"/>
          <w:bCs/>
          <w:szCs w:val="22"/>
        </w:rPr>
      </w:pPr>
    </w:p>
    <w:p w14:paraId="6B187DC8" w14:textId="2ECBDFF2" w:rsidR="002568F8" w:rsidRPr="00635C4B" w:rsidRDefault="002568F8" w:rsidP="00635C4B">
      <w:pPr>
        <w:ind w:right="-93"/>
        <w:rPr>
          <w:rFonts w:cs="Tahoma"/>
          <w:bCs/>
          <w:szCs w:val="22"/>
        </w:rPr>
      </w:pPr>
      <w:r w:rsidRPr="00635C4B">
        <w:rPr>
          <w:rFonts w:cs="Tahoma"/>
          <w:bCs/>
          <w:szCs w:val="22"/>
        </w:rPr>
        <w:t xml:space="preserve">Así, con fundamento en lo establecido en los artículos 5, párrafos trigésimo segundo, trigésimo tercero y trigésimo cuarto, fracciones IV y V, de la Constitución Política del Estado Libre y </w:t>
      </w:r>
      <w:r w:rsidRPr="00635C4B">
        <w:rPr>
          <w:rFonts w:cs="Tahoma"/>
          <w:bCs/>
          <w:szCs w:val="22"/>
        </w:rPr>
        <w:lastRenderedPageBreak/>
        <w:t>Soberano de México; y en los artículos 2, fracción II, 9, 29, 36, fracciones I y II, 176, 178, 179, 186 y 188 de la Ley de Transparencia y Acceso a la Información Pública del Estado de México y Municipios, este Pleno:</w:t>
      </w:r>
    </w:p>
    <w:p w14:paraId="52ED721C" w14:textId="77777777" w:rsidR="00A21A20" w:rsidRPr="00635C4B" w:rsidRDefault="00A21A20" w:rsidP="00635C4B">
      <w:pPr>
        <w:ind w:right="-93"/>
        <w:rPr>
          <w:rFonts w:cs="Tahoma"/>
          <w:bCs/>
          <w:szCs w:val="22"/>
        </w:rPr>
      </w:pPr>
    </w:p>
    <w:p w14:paraId="474F0164" w14:textId="77777777" w:rsidR="00FE78C8" w:rsidRPr="00635C4B" w:rsidRDefault="00FE78C8" w:rsidP="00635C4B">
      <w:pPr>
        <w:ind w:right="-93"/>
        <w:rPr>
          <w:rFonts w:cs="Tahoma"/>
          <w:bCs/>
          <w:szCs w:val="22"/>
        </w:rPr>
      </w:pPr>
    </w:p>
    <w:p w14:paraId="5C396097" w14:textId="2AC71BBE" w:rsidR="00664420" w:rsidRPr="00635C4B" w:rsidRDefault="00664420" w:rsidP="00635C4B">
      <w:pPr>
        <w:pStyle w:val="Ttulo1"/>
      </w:pPr>
      <w:bookmarkStart w:id="32" w:name="_Toc185499693"/>
      <w:r w:rsidRPr="00635C4B">
        <w:t>RESUELVE</w:t>
      </w:r>
      <w:bookmarkEnd w:id="32"/>
    </w:p>
    <w:p w14:paraId="203B7093" w14:textId="77777777" w:rsidR="00664420" w:rsidRPr="00635C4B" w:rsidRDefault="00664420" w:rsidP="00635C4B">
      <w:pPr>
        <w:ind w:right="113"/>
        <w:rPr>
          <w:rFonts w:cs="Arial"/>
          <w:b/>
          <w:szCs w:val="22"/>
        </w:rPr>
      </w:pPr>
    </w:p>
    <w:p w14:paraId="40DE562B" w14:textId="73D7133A" w:rsidR="00FC3CE0" w:rsidRPr="00635C4B" w:rsidRDefault="00DE52A4" w:rsidP="00635C4B">
      <w:pPr>
        <w:widowControl w:val="0"/>
        <w:rPr>
          <w:rFonts w:eastAsia="Calibri" w:cs="Tahoma"/>
          <w:bCs/>
          <w:szCs w:val="22"/>
          <w:lang w:eastAsia="en-US"/>
        </w:rPr>
      </w:pPr>
      <w:r w:rsidRPr="00635C4B">
        <w:rPr>
          <w:b/>
          <w:bCs/>
        </w:rPr>
        <w:t>PRIMERO.</w:t>
      </w:r>
      <w:r w:rsidRPr="00635C4B">
        <w:t xml:space="preserve"> </w:t>
      </w:r>
      <w:r w:rsidRPr="00635C4B">
        <w:rPr>
          <w:rFonts w:cs="Tahoma"/>
          <w:szCs w:val="22"/>
        </w:rPr>
        <w:t xml:space="preserve">Se </w:t>
      </w:r>
      <w:r w:rsidRPr="00635C4B">
        <w:rPr>
          <w:rFonts w:cs="Tahoma"/>
          <w:b/>
          <w:bCs/>
          <w:szCs w:val="22"/>
        </w:rPr>
        <w:t xml:space="preserve">MODIFICA </w:t>
      </w:r>
      <w:r w:rsidRPr="00635C4B">
        <w:rPr>
          <w:rFonts w:cs="Tahoma"/>
          <w:szCs w:val="22"/>
        </w:rPr>
        <w:t xml:space="preserve">la respuesta entregada por el </w:t>
      </w:r>
      <w:r w:rsidRPr="00635C4B">
        <w:rPr>
          <w:rFonts w:cs="Tahoma"/>
          <w:b/>
          <w:bCs/>
          <w:szCs w:val="22"/>
        </w:rPr>
        <w:t>SUJETO OBLIGADO</w:t>
      </w:r>
      <w:r w:rsidRPr="00635C4B">
        <w:rPr>
          <w:rFonts w:cs="Tahoma"/>
          <w:szCs w:val="22"/>
        </w:rPr>
        <w:t xml:space="preserve"> en la solicitud de información </w:t>
      </w:r>
      <w:r w:rsidRPr="00635C4B">
        <w:rPr>
          <w:rFonts w:cs="Tahoma"/>
          <w:b/>
        </w:rPr>
        <w:t>00213/PROBOSQUE/IP/2024</w:t>
      </w:r>
      <w:r w:rsidRPr="00635C4B">
        <w:rPr>
          <w:rFonts w:cs="Tahoma"/>
          <w:bCs/>
          <w:szCs w:val="22"/>
        </w:rPr>
        <w:t xml:space="preserve">, </w:t>
      </w:r>
      <w:r w:rsidRPr="00635C4B">
        <w:rPr>
          <w:rFonts w:eastAsia="Calibri" w:cs="Tahoma"/>
          <w:bCs/>
          <w:szCs w:val="22"/>
          <w:lang w:eastAsia="en-US"/>
        </w:rPr>
        <w:t xml:space="preserve">por resultar </w:t>
      </w:r>
      <w:r w:rsidRPr="00635C4B">
        <w:rPr>
          <w:rFonts w:eastAsia="Calibri" w:cs="Tahoma"/>
          <w:b/>
          <w:bCs/>
          <w:szCs w:val="22"/>
          <w:lang w:eastAsia="en-US"/>
        </w:rPr>
        <w:t>FUNDADAS</w:t>
      </w:r>
      <w:r w:rsidRPr="00635C4B">
        <w:rPr>
          <w:rFonts w:eastAsia="Calibri" w:cs="Tahoma"/>
          <w:bCs/>
          <w:szCs w:val="22"/>
          <w:lang w:eastAsia="en-US"/>
        </w:rPr>
        <w:t xml:space="preserve"> las razones o motivos de inconformidad hechos valer por </w:t>
      </w:r>
      <w:r w:rsidRPr="00635C4B">
        <w:rPr>
          <w:rFonts w:eastAsia="Calibri" w:cs="Tahoma"/>
          <w:b/>
          <w:szCs w:val="22"/>
          <w:lang w:eastAsia="en-US"/>
        </w:rPr>
        <w:t>LA PARTE RECURRENTE</w:t>
      </w:r>
      <w:r w:rsidRPr="00635C4B">
        <w:rPr>
          <w:rFonts w:eastAsia="Calibri" w:cs="Tahoma"/>
          <w:bCs/>
          <w:szCs w:val="22"/>
          <w:lang w:eastAsia="en-US"/>
        </w:rPr>
        <w:t xml:space="preserve"> en el Recurso de Revisión </w:t>
      </w:r>
      <w:r w:rsidRPr="00635C4B">
        <w:rPr>
          <w:rFonts w:eastAsiaTheme="minorHAnsi" w:cstheme="minorBidi"/>
          <w:b/>
          <w:bCs/>
          <w:szCs w:val="22"/>
          <w:lang w:eastAsia="en-US"/>
        </w:rPr>
        <w:t>07447/INFOEM/IP/RR/2024</w:t>
      </w:r>
      <w:r w:rsidRPr="00635C4B">
        <w:rPr>
          <w:rFonts w:eastAsiaTheme="minorHAnsi" w:cstheme="minorBidi"/>
          <w:szCs w:val="22"/>
          <w:lang w:eastAsia="en-US"/>
        </w:rPr>
        <w:t>,</w:t>
      </w:r>
      <w:r w:rsidRPr="00635C4B">
        <w:rPr>
          <w:rFonts w:cs="Tahoma"/>
          <w:b/>
          <w:szCs w:val="22"/>
        </w:rPr>
        <w:t xml:space="preserve"> </w:t>
      </w:r>
      <w:r w:rsidRPr="00635C4B">
        <w:rPr>
          <w:rFonts w:eastAsia="Calibri" w:cs="Tahoma"/>
          <w:bCs/>
          <w:szCs w:val="22"/>
          <w:lang w:eastAsia="en-US"/>
        </w:rPr>
        <w:t xml:space="preserve">en términos del considerando </w:t>
      </w:r>
      <w:r w:rsidRPr="00635C4B">
        <w:rPr>
          <w:rFonts w:eastAsia="Calibri" w:cs="Tahoma"/>
          <w:b/>
          <w:szCs w:val="22"/>
          <w:lang w:eastAsia="en-US"/>
        </w:rPr>
        <w:t>SEGUNDO</w:t>
      </w:r>
      <w:r w:rsidRPr="00635C4B">
        <w:rPr>
          <w:rFonts w:eastAsia="Calibri" w:cs="Tahoma"/>
          <w:bCs/>
          <w:szCs w:val="22"/>
          <w:lang w:eastAsia="en-US"/>
        </w:rPr>
        <w:t xml:space="preserve"> de la presente Resolución.</w:t>
      </w:r>
    </w:p>
    <w:p w14:paraId="78D4A482" w14:textId="77777777" w:rsidR="00FC3CE0" w:rsidRPr="00635C4B" w:rsidRDefault="00FC3CE0" w:rsidP="00635C4B">
      <w:pPr>
        <w:widowControl w:val="0"/>
        <w:rPr>
          <w:rFonts w:eastAsia="Calibri" w:cs="Tahoma"/>
          <w:bCs/>
          <w:szCs w:val="22"/>
          <w:lang w:eastAsia="en-US"/>
        </w:rPr>
      </w:pPr>
    </w:p>
    <w:p w14:paraId="0B820921" w14:textId="5DB08F9D" w:rsidR="00FC3CE0" w:rsidRPr="00635C4B" w:rsidRDefault="00DE52A4" w:rsidP="00635C4B">
      <w:pPr>
        <w:ind w:right="-93"/>
        <w:rPr>
          <w:rFonts w:eastAsia="Calibri" w:cs="Tahoma"/>
          <w:bCs/>
          <w:szCs w:val="22"/>
          <w:lang w:eastAsia="en-US"/>
        </w:rPr>
      </w:pPr>
      <w:r w:rsidRPr="00635C4B">
        <w:rPr>
          <w:rFonts w:eastAsia="Calibri" w:cs="Tahoma"/>
          <w:b/>
          <w:bCs/>
          <w:szCs w:val="22"/>
          <w:lang w:eastAsia="en-US"/>
        </w:rPr>
        <w:t>SEGUNDO.</w:t>
      </w:r>
      <w:r w:rsidRPr="00635C4B">
        <w:rPr>
          <w:rFonts w:eastAsia="Calibri" w:cs="Tahoma"/>
          <w:szCs w:val="22"/>
          <w:lang w:eastAsia="es-MX"/>
        </w:rPr>
        <w:t xml:space="preserve"> Se </w:t>
      </w:r>
      <w:r w:rsidRPr="00635C4B">
        <w:rPr>
          <w:rFonts w:eastAsia="Calibri" w:cs="Tahoma"/>
          <w:b/>
          <w:szCs w:val="22"/>
          <w:lang w:eastAsia="es-MX"/>
        </w:rPr>
        <w:t xml:space="preserve">ORDENA </w:t>
      </w:r>
      <w:r w:rsidRPr="00635C4B">
        <w:rPr>
          <w:rFonts w:eastAsia="Calibri" w:cs="Tahoma"/>
          <w:szCs w:val="22"/>
          <w:lang w:eastAsia="es-MX"/>
        </w:rPr>
        <w:t xml:space="preserve">al </w:t>
      </w:r>
      <w:r w:rsidRPr="00635C4B">
        <w:rPr>
          <w:rFonts w:eastAsia="Calibri" w:cs="Tahoma"/>
          <w:b/>
          <w:bCs/>
          <w:szCs w:val="22"/>
          <w:lang w:eastAsia="es-MX"/>
        </w:rPr>
        <w:t>SUJETO OBLIGADO</w:t>
      </w:r>
      <w:r w:rsidRPr="00635C4B">
        <w:rPr>
          <w:rFonts w:eastAsia="Calibri" w:cs="Tahoma"/>
          <w:szCs w:val="22"/>
          <w:lang w:eastAsia="es-MX"/>
        </w:rPr>
        <w:t xml:space="preserve">, </w:t>
      </w:r>
      <w:r w:rsidRPr="00635C4B">
        <w:rPr>
          <w:rFonts w:eastAsia="Calibri" w:cs="Tahoma"/>
          <w:bCs/>
          <w:szCs w:val="22"/>
          <w:lang w:eastAsia="en-US"/>
        </w:rPr>
        <w:t xml:space="preserve">a efecto de que, entregue a través del </w:t>
      </w:r>
      <w:r w:rsidRPr="00635C4B">
        <w:rPr>
          <w:rFonts w:eastAsia="Calibri" w:cs="Tahoma"/>
          <w:b/>
          <w:bCs/>
          <w:szCs w:val="22"/>
          <w:lang w:eastAsia="en-US"/>
        </w:rPr>
        <w:t>SAIMEX</w:t>
      </w:r>
      <w:r w:rsidRPr="00635C4B">
        <w:rPr>
          <w:rFonts w:eastAsia="Calibri" w:cs="Tahoma"/>
          <w:bCs/>
          <w:szCs w:val="22"/>
          <w:lang w:eastAsia="en-US"/>
        </w:rPr>
        <w:t xml:space="preserve">, </w:t>
      </w:r>
      <w:r w:rsidR="00C546E2" w:rsidRPr="00635C4B">
        <w:rPr>
          <w:rFonts w:eastAsia="Calibri" w:cs="Tahoma"/>
          <w:bCs/>
          <w:szCs w:val="22"/>
          <w:lang w:eastAsia="en-US"/>
        </w:rPr>
        <w:t xml:space="preserve">de ser procedente </w:t>
      </w:r>
      <w:r w:rsidRPr="00635C4B">
        <w:rPr>
          <w:rFonts w:eastAsia="Calibri" w:cs="Tahoma"/>
          <w:bCs/>
          <w:szCs w:val="22"/>
          <w:lang w:eastAsia="en-US"/>
        </w:rPr>
        <w:t xml:space="preserve">en </w:t>
      </w:r>
      <w:r w:rsidRPr="00635C4B">
        <w:rPr>
          <w:rFonts w:eastAsia="Calibri" w:cs="Tahoma"/>
          <w:b/>
          <w:bCs/>
          <w:szCs w:val="22"/>
          <w:lang w:eastAsia="en-US"/>
        </w:rPr>
        <w:t>versión</w:t>
      </w:r>
      <w:r w:rsidRPr="00635C4B">
        <w:rPr>
          <w:rFonts w:eastAsia="Calibri" w:cs="Tahoma"/>
          <w:bCs/>
          <w:szCs w:val="22"/>
          <w:lang w:eastAsia="en-US"/>
        </w:rPr>
        <w:t xml:space="preserve"> </w:t>
      </w:r>
      <w:r w:rsidRPr="00635C4B">
        <w:rPr>
          <w:rFonts w:eastAsia="Calibri" w:cs="Tahoma"/>
          <w:b/>
          <w:bCs/>
          <w:szCs w:val="22"/>
          <w:lang w:eastAsia="en-US"/>
        </w:rPr>
        <w:t>pública</w:t>
      </w:r>
      <w:r w:rsidRPr="00635C4B">
        <w:rPr>
          <w:rFonts w:eastAsia="Calibri" w:cs="Tahoma"/>
          <w:bCs/>
          <w:szCs w:val="22"/>
          <w:lang w:eastAsia="en-US"/>
        </w:rPr>
        <w:t>, lo siguiente:</w:t>
      </w:r>
    </w:p>
    <w:p w14:paraId="220A38E5" w14:textId="77777777" w:rsidR="00C546E2" w:rsidRPr="00635C4B" w:rsidRDefault="00C546E2" w:rsidP="00635C4B">
      <w:pPr>
        <w:ind w:right="-93"/>
        <w:rPr>
          <w:rFonts w:eastAsia="Calibri" w:cs="Tahoma"/>
          <w:bCs/>
          <w:szCs w:val="22"/>
          <w:lang w:eastAsia="en-US"/>
        </w:rPr>
      </w:pPr>
    </w:p>
    <w:p w14:paraId="11DBB6FF" w14:textId="6336F4B9" w:rsidR="00DE52A4" w:rsidRPr="00635C4B" w:rsidRDefault="00DE52A4" w:rsidP="00635C4B">
      <w:pPr>
        <w:pStyle w:val="Puesto"/>
        <w:spacing w:line="276" w:lineRule="auto"/>
      </w:pPr>
      <w:r w:rsidRPr="00635C4B">
        <w:t>Las actas de las sesiones ordinarias y extraordinarias del Consejo Directivo llevadas a cabo en los meses de julio, agosto y septiembre de 2024.</w:t>
      </w:r>
    </w:p>
    <w:p w14:paraId="0706D461" w14:textId="77777777" w:rsidR="00DE52A4" w:rsidRPr="00635C4B" w:rsidRDefault="00DE52A4" w:rsidP="00635C4B">
      <w:pPr>
        <w:pStyle w:val="Prrafodelista"/>
        <w:ind w:right="-93"/>
      </w:pPr>
    </w:p>
    <w:p w14:paraId="2C0E50FA" w14:textId="3C454217" w:rsidR="00DE52A4" w:rsidRPr="00635C4B" w:rsidRDefault="00DE52A4" w:rsidP="00635C4B">
      <w:pPr>
        <w:rPr>
          <w:rFonts w:eastAsia="Calibri" w:cs="Tahoma"/>
          <w:bCs/>
          <w:szCs w:val="22"/>
          <w:lang w:eastAsia="en-US"/>
        </w:rPr>
      </w:pPr>
      <w:r w:rsidRPr="00635C4B">
        <w:rPr>
          <w:rFonts w:eastAsia="Calibri" w:cs="Tahoma"/>
          <w:bCs/>
          <w:szCs w:val="22"/>
          <w:lang w:eastAsia="en-US"/>
        </w:rPr>
        <w:t xml:space="preserve">De ser necesarias las versiones públicas, se deberá entregar el Acuerdo del Comité de Transparencia mediante el </w:t>
      </w:r>
      <w:r w:rsidRPr="00635C4B">
        <w:t>cual</w:t>
      </w:r>
      <w:r w:rsidRPr="00635C4B">
        <w:rPr>
          <w:rFonts w:eastAsia="Calibri" w:cs="Tahoma"/>
          <w:bCs/>
          <w:szCs w:val="22"/>
          <w:lang w:eastAsia="en-US"/>
        </w:rPr>
        <w:t xml:space="preserve"> se apruebe la clasificación de información, en términos del artículo 49, fracción VIII de la Ley de Transparencia y Acceso a la Información Pública del Estado de México y Municipios.</w:t>
      </w:r>
    </w:p>
    <w:p w14:paraId="06B714AA" w14:textId="77777777" w:rsidR="00E55814" w:rsidRPr="00635C4B" w:rsidRDefault="00E55814" w:rsidP="00635C4B">
      <w:pPr>
        <w:rPr>
          <w:rFonts w:eastAsia="Calibri" w:cs="Tahoma"/>
          <w:bCs/>
          <w:szCs w:val="22"/>
          <w:lang w:eastAsia="en-US"/>
        </w:rPr>
      </w:pPr>
    </w:p>
    <w:p w14:paraId="38A07C53" w14:textId="04B02607" w:rsidR="00E55814" w:rsidRPr="00635C4B" w:rsidRDefault="00E55814" w:rsidP="00635C4B">
      <w:pPr>
        <w:rPr>
          <w:b/>
        </w:rPr>
      </w:pPr>
      <w:r w:rsidRPr="00635C4B">
        <w:rPr>
          <w:rFonts w:eastAsia="Calibri" w:cs="Tahoma"/>
          <w:bCs/>
          <w:szCs w:val="22"/>
          <w:lang w:eastAsia="en-US"/>
        </w:rPr>
        <w:t xml:space="preserve">Para el caso en que no se hayan celebrado sesiones extraordinarias en el periodo que se indica bastará con que así se le haga del conocimiento a </w:t>
      </w:r>
      <w:r w:rsidRPr="00635C4B">
        <w:rPr>
          <w:rFonts w:eastAsia="Calibri" w:cs="Tahoma"/>
          <w:b/>
          <w:bCs/>
          <w:szCs w:val="22"/>
          <w:lang w:eastAsia="en-US"/>
        </w:rPr>
        <w:t>LA PARTE RECURRENTE.</w:t>
      </w:r>
    </w:p>
    <w:p w14:paraId="16A4F4E2" w14:textId="1573D7B8" w:rsidR="00FC3CE0" w:rsidRPr="00635C4B" w:rsidRDefault="00DE52A4" w:rsidP="00635C4B">
      <w:r w:rsidRPr="00635C4B">
        <w:rPr>
          <w:b/>
          <w:bCs/>
        </w:rPr>
        <w:lastRenderedPageBreak/>
        <w:t>TERCERO.</w:t>
      </w:r>
      <w:r w:rsidRPr="00635C4B">
        <w:t xml:space="preserve"> Notifíquese la presente resolución al Titular de la Unidad de Transparencia del </w:t>
      </w:r>
      <w:r w:rsidRPr="00635C4B">
        <w:rPr>
          <w:b/>
          <w:bCs/>
        </w:rPr>
        <w:t xml:space="preserve">SUJETO OBLIGADO </w:t>
      </w:r>
      <w:r w:rsidRPr="00635C4B">
        <w:t xml:space="preserve">vía Sistema de Acceso a la Información Mexiquense (SAIMEX), para que conforme al artículo 186 último párrafo, 189 segundo párrafo y 194 de la Ley de Transparencia y Acceso a la Información Pública del Estado de México y Municipios, dé cumplimiento a lo ordenado dentro del plazo de </w:t>
      </w:r>
      <w:r w:rsidRPr="00635C4B">
        <w:rPr>
          <w:b/>
          <w:bCs/>
        </w:rPr>
        <w:t>diez días hábiles</w:t>
      </w:r>
      <w:r w:rsidRPr="00635C4B">
        <w:t xml:space="preserve">, e informe a este Instituto en un plazo de </w:t>
      </w:r>
      <w:r w:rsidRPr="00635C4B">
        <w:rPr>
          <w:b/>
          <w:bCs/>
        </w:rPr>
        <w:t>tres días hábiles</w:t>
      </w:r>
      <w:r w:rsidRPr="00635C4B">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69F0F55" w14:textId="77777777" w:rsidR="00DE52A4" w:rsidRPr="00635C4B" w:rsidRDefault="00DE52A4" w:rsidP="00635C4B"/>
    <w:p w14:paraId="3FC4FF80" w14:textId="77777777" w:rsidR="00DE52A4" w:rsidRPr="00635C4B" w:rsidRDefault="00DE52A4" w:rsidP="00635C4B">
      <w:r w:rsidRPr="00635C4B">
        <w:rPr>
          <w:b/>
          <w:bCs/>
        </w:rPr>
        <w:t>CUARTO.</w:t>
      </w:r>
      <w:r w:rsidRPr="00635C4B">
        <w:t xml:space="preserve"> Notifíquese a </w:t>
      </w:r>
      <w:r w:rsidRPr="00635C4B">
        <w:rPr>
          <w:b/>
          <w:bCs/>
        </w:rPr>
        <w:t>LA PARTE RECURRENTE</w:t>
      </w:r>
      <w:r w:rsidRPr="00635C4B">
        <w:t xml:space="preserve"> la presente resolución vía Sistema de Acceso a la Información Mexiquense (SAIMEX).</w:t>
      </w:r>
    </w:p>
    <w:p w14:paraId="038AB4EF" w14:textId="77777777" w:rsidR="00DE52A4" w:rsidRPr="00635C4B" w:rsidRDefault="00DE52A4" w:rsidP="00635C4B"/>
    <w:p w14:paraId="7B4BE9B8" w14:textId="77777777" w:rsidR="00DE52A4" w:rsidRPr="00635C4B" w:rsidRDefault="00DE52A4" w:rsidP="00635C4B">
      <w:r w:rsidRPr="00635C4B">
        <w:rPr>
          <w:b/>
          <w:bCs/>
        </w:rPr>
        <w:t>QUINTO</w:t>
      </w:r>
      <w:r w:rsidRPr="00635C4B">
        <w:t xml:space="preserve">. Hágase del conocimiento a </w:t>
      </w:r>
      <w:r w:rsidRPr="00635C4B">
        <w:rPr>
          <w:b/>
          <w:bCs/>
        </w:rPr>
        <w:t>LA PARTE RECURRENTE</w:t>
      </w:r>
      <w:r w:rsidRPr="00635C4B">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18276212" w14:textId="77777777" w:rsidR="00DE52A4" w:rsidRPr="00635C4B" w:rsidRDefault="00DE52A4" w:rsidP="00635C4B"/>
    <w:p w14:paraId="0F1BFCFC" w14:textId="2A524130" w:rsidR="00DE52A4" w:rsidRPr="00635C4B" w:rsidRDefault="00DE52A4" w:rsidP="00635C4B">
      <w:r w:rsidRPr="00635C4B">
        <w:rPr>
          <w:b/>
          <w:bCs/>
        </w:rPr>
        <w:t>SEXTO.</w:t>
      </w:r>
      <w:r w:rsidRPr="00635C4B">
        <w:t xml:space="preserve"> De conformidad con el artículo 198 de la Ley de Transparencia y Acceso a la Información Pública del Estado de México y Municipios, el </w:t>
      </w:r>
      <w:r w:rsidRPr="00635C4B">
        <w:rPr>
          <w:b/>
          <w:bCs/>
        </w:rPr>
        <w:t>SUJETO OBLIGADO</w:t>
      </w:r>
      <w:r w:rsidRPr="00635C4B">
        <w:t xml:space="preserve"> podrá solicitar una ampliación de plazo de manera fundada y motivada, para el cumplimiento de la presente resolución.</w:t>
      </w:r>
    </w:p>
    <w:p w14:paraId="05085440" w14:textId="77777777" w:rsidR="00A22BD6" w:rsidRDefault="00A22BD6" w:rsidP="00635C4B">
      <w:pPr>
        <w:rPr>
          <w:rFonts w:eastAsia="Palatino Linotype" w:cs="Palatino Linotype"/>
          <w:szCs w:val="22"/>
        </w:rPr>
      </w:pPr>
    </w:p>
    <w:p w14:paraId="719A5C63" w14:textId="009591D5" w:rsidR="00664420" w:rsidRPr="00635C4B" w:rsidRDefault="00664420" w:rsidP="00635C4B">
      <w:pPr>
        <w:rPr>
          <w:rFonts w:eastAsia="Palatino Linotype" w:cs="Palatino Linotype"/>
          <w:szCs w:val="22"/>
        </w:rPr>
      </w:pPr>
      <w:r w:rsidRPr="00635C4B">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BF7653" w:rsidRPr="00635C4B">
        <w:rPr>
          <w:rFonts w:eastAsia="Palatino Linotype" w:cs="Palatino Linotype"/>
          <w:szCs w:val="22"/>
        </w:rPr>
        <w:t>PRIMERA</w:t>
      </w:r>
      <w:r w:rsidR="00091619" w:rsidRPr="00635C4B">
        <w:rPr>
          <w:rFonts w:eastAsia="Palatino Linotype" w:cs="Palatino Linotype"/>
          <w:szCs w:val="22"/>
        </w:rPr>
        <w:t xml:space="preserve"> </w:t>
      </w:r>
      <w:r w:rsidRPr="00635C4B">
        <w:rPr>
          <w:rFonts w:eastAsia="Palatino Linotype" w:cs="Palatino Linotype"/>
          <w:szCs w:val="22"/>
        </w:rPr>
        <w:t xml:space="preserve">SESIÓN ORDINARIA, CELEBRADA EL </w:t>
      </w:r>
      <w:r w:rsidR="00BF7653" w:rsidRPr="00635C4B">
        <w:rPr>
          <w:rFonts w:eastAsia="Palatino Linotype" w:cs="Palatino Linotype"/>
          <w:szCs w:val="22"/>
        </w:rPr>
        <w:t>QUINCE DE ENERO DE DOS MIL VEINTICINCO</w:t>
      </w:r>
      <w:r w:rsidRPr="00635C4B">
        <w:rPr>
          <w:rFonts w:eastAsia="Palatino Linotype" w:cs="Palatino Linotype"/>
          <w:szCs w:val="22"/>
        </w:rPr>
        <w:t>, ANTE EL SECRETARIO TÉCNICO DEL PLENO, ALEXIS TAPIA RAMÍREZ.</w:t>
      </w:r>
    </w:p>
    <w:p w14:paraId="49D72DA3" w14:textId="2AF1031A" w:rsidR="00664420" w:rsidRPr="00635C4B" w:rsidRDefault="006F36BA" w:rsidP="00635C4B">
      <w:pPr>
        <w:ind w:right="-93"/>
        <w:rPr>
          <w:rFonts w:eastAsia="Calibri" w:cs="Tahoma"/>
          <w:bCs/>
          <w:szCs w:val="22"/>
          <w:lang w:eastAsia="en-US"/>
        </w:rPr>
      </w:pPr>
      <w:r w:rsidRPr="00635C4B">
        <w:rPr>
          <w:rFonts w:eastAsia="Palatino Linotype" w:cs="Palatino Linotype"/>
          <w:sz w:val="20"/>
        </w:rPr>
        <w:t>SCMM/AGZ/DEMF/CDFE</w:t>
      </w:r>
    </w:p>
    <w:p w14:paraId="5EFEA0CD" w14:textId="77777777" w:rsidR="00664420" w:rsidRPr="00635C4B" w:rsidRDefault="00664420" w:rsidP="00635C4B">
      <w:pPr>
        <w:ind w:right="-93"/>
        <w:rPr>
          <w:rFonts w:eastAsia="Calibri" w:cs="Tahoma"/>
          <w:szCs w:val="22"/>
          <w:lang w:val="es-ES"/>
        </w:rPr>
      </w:pPr>
    </w:p>
    <w:p w14:paraId="696BC976" w14:textId="77777777" w:rsidR="00664420" w:rsidRPr="00635C4B" w:rsidRDefault="00664420" w:rsidP="00635C4B">
      <w:pPr>
        <w:ind w:right="-93"/>
        <w:rPr>
          <w:rFonts w:eastAsia="Calibri" w:cs="Tahoma"/>
          <w:bCs/>
          <w:szCs w:val="22"/>
          <w:lang w:val="es-ES" w:eastAsia="en-US"/>
        </w:rPr>
      </w:pPr>
    </w:p>
    <w:p w14:paraId="671CB0C5" w14:textId="77777777" w:rsidR="00664420" w:rsidRPr="00635C4B" w:rsidRDefault="00664420" w:rsidP="00635C4B">
      <w:pPr>
        <w:ind w:right="-93"/>
        <w:rPr>
          <w:rFonts w:eastAsia="Calibri" w:cs="Tahoma"/>
          <w:bCs/>
          <w:szCs w:val="22"/>
          <w:lang w:val="es-ES_tradnl" w:eastAsia="en-US"/>
        </w:rPr>
      </w:pPr>
    </w:p>
    <w:p w14:paraId="52B66DE7" w14:textId="77777777" w:rsidR="00664420" w:rsidRPr="00635C4B" w:rsidRDefault="00664420" w:rsidP="00635C4B">
      <w:pPr>
        <w:ind w:right="-93"/>
        <w:rPr>
          <w:rFonts w:eastAsia="Calibri" w:cs="Tahoma"/>
          <w:bCs/>
          <w:szCs w:val="22"/>
          <w:lang w:val="es-ES_tradnl" w:eastAsia="en-US"/>
        </w:rPr>
      </w:pPr>
    </w:p>
    <w:p w14:paraId="3BA305D1" w14:textId="77777777" w:rsidR="00664420" w:rsidRPr="00635C4B" w:rsidRDefault="00664420" w:rsidP="00635C4B">
      <w:pPr>
        <w:ind w:right="-93"/>
        <w:rPr>
          <w:rFonts w:eastAsia="Calibri" w:cs="Tahoma"/>
          <w:bCs/>
          <w:szCs w:val="22"/>
          <w:lang w:val="es-ES_tradnl" w:eastAsia="en-US"/>
        </w:rPr>
      </w:pPr>
    </w:p>
    <w:p w14:paraId="78230707" w14:textId="77777777" w:rsidR="00664420" w:rsidRPr="00635C4B" w:rsidRDefault="00664420" w:rsidP="00635C4B">
      <w:pPr>
        <w:ind w:right="-93"/>
        <w:rPr>
          <w:rFonts w:eastAsia="Calibri" w:cs="Tahoma"/>
          <w:bCs/>
          <w:szCs w:val="22"/>
          <w:lang w:val="es-ES_tradnl" w:eastAsia="en-US"/>
        </w:rPr>
      </w:pPr>
    </w:p>
    <w:p w14:paraId="72D18B28" w14:textId="77777777" w:rsidR="00664420" w:rsidRPr="00635C4B" w:rsidRDefault="00664420" w:rsidP="00635C4B">
      <w:pPr>
        <w:ind w:right="-93"/>
        <w:rPr>
          <w:rFonts w:eastAsia="Calibri" w:cs="Tahoma"/>
          <w:bCs/>
          <w:szCs w:val="22"/>
          <w:lang w:val="es-ES_tradnl" w:eastAsia="en-US"/>
        </w:rPr>
      </w:pPr>
    </w:p>
    <w:p w14:paraId="6BD461DC" w14:textId="77777777" w:rsidR="00664420" w:rsidRPr="00635C4B" w:rsidRDefault="00664420" w:rsidP="00635C4B">
      <w:pPr>
        <w:tabs>
          <w:tab w:val="center" w:pos="4568"/>
        </w:tabs>
        <w:ind w:right="-93"/>
        <w:rPr>
          <w:rFonts w:eastAsia="Calibri" w:cs="Tahoma"/>
          <w:bCs/>
          <w:szCs w:val="22"/>
          <w:lang w:eastAsia="en-US"/>
        </w:rPr>
      </w:pPr>
    </w:p>
    <w:p w14:paraId="4DBB1727" w14:textId="77777777" w:rsidR="00664420" w:rsidRPr="00635C4B" w:rsidRDefault="00664420" w:rsidP="00635C4B">
      <w:pPr>
        <w:tabs>
          <w:tab w:val="center" w:pos="4568"/>
        </w:tabs>
        <w:ind w:right="-93"/>
        <w:rPr>
          <w:rFonts w:eastAsia="Calibri" w:cs="Tahoma"/>
          <w:bCs/>
          <w:szCs w:val="22"/>
          <w:lang w:eastAsia="en-US"/>
        </w:rPr>
      </w:pPr>
    </w:p>
    <w:p w14:paraId="1D74121B" w14:textId="77777777" w:rsidR="00664420" w:rsidRPr="00635C4B" w:rsidRDefault="00664420" w:rsidP="00635C4B">
      <w:pPr>
        <w:tabs>
          <w:tab w:val="center" w:pos="4568"/>
        </w:tabs>
        <w:ind w:right="-93"/>
        <w:rPr>
          <w:rFonts w:eastAsia="Calibri" w:cs="Tahoma"/>
          <w:bCs/>
          <w:szCs w:val="22"/>
          <w:lang w:eastAsia="en-US"/>
        </w:rPr>
      </w:pPr>
    </w:p>
    <w:p w14:paraId="7147F06B" w14:textId="77777777" w:rsidR="00664420" w:rsidRPr="00635C4B" w:rsidRDefault="00664420" w:rsidP="00635C4B">
      <w:pPr>
        <w:tabs>
          <w:tab w:val="center" w:pos="4568"/>
        </w:tabs>
        <w:ind w:right="-93"/>
        <w:rPr>
          <w:rFonts w:eastAsia="Calibri" w:cs="Tahoma"/>
          <w:bCs/>
          <w:szCs w:val="22"/>
          <w:lang w:eastAsia="en-US"/>
        </w:rPr>
      </w:pPr>
    </w:p>
    <w:p w14:paraId="6FDF3D7E" w14:textId="77777777" w:rsidR="00664420" w:rsidRPr="00635C4B" w:rsidRDefault="00664420" w:rsidP="00635C4B">
      <w:pPr>
        <w:tabs>
          <w:tab w:val="center" w:pos="4568"/>
        </w:tabs>
        <w:ind w:right="-93"/>
        <w:rPr>
          <w:rFonts w:eastAsia="Calibri" w:cs="Tahoma"/>
          <w:bCs/>
          <w:szCs w:val="22"/>
          <w:lang w:eastAsia="en-US"/>
        </w:rPr>
      </w:pPr>
    </w:p>
    <w:p w14:paraId="6246F818" w14:textId="77777777" w:rsidR="00664420" w:rsidRPr="00635C4B" w:rsidRDefault="00664420" w:rsidP="00635C4B">
      <w:pPr>
        <w:tabs>
          <w:tab w:val="center" w:pos="4568"/>
        </w:tabs>
        <w:ind w:right="-93"/>
        <w:rPr>
          <w:rFonts w:eastAsia="Calibri" w:cs="Tahoma"/>
          <w:bCs/>
          <w:szCs w:val="22"/>
          <w:lang w:eastAsia="en-US"/>
        </w:rPr>
      </w:pPr>
    </w:p>
    <w:p w14:paraId="57A88B28" w14:textId="77777777" w:rsidR="00664420" w:rsidRPr="00635C4B" w:rsidRDefault="00664420" w:rsidP="00635C4B">
      <w:pPr>
        <w:tabs>
          <w:tab w:val="center" w:pos="4568"/>
        </w:tabs>
        <w:ind w:right="-93"/>
        <w:rPr>
          <w:rFonts w:eastAsia="Calibri" w:cs="Tahoma"/>
          <w:bCs/>
          <w:szCs w:val="22"/>
          <w:lang w:eastAsia="en-US"/>
        </w:rPr>
      </w:pPr>
    </w:p>
    <w:p w14:paraId="77EF6095" w14:textId="77777777" w:rsidR="00664420" w:rsidRPr="00635C4B" w:rsidRDefault="00664420" w:rsidP="00635C4B">
      <w:pPr>
        <w:tabs>
          <w:tab w:val="center" w:pos="4568"/>
        </w:tabs>
        <w:ind w:right="-93"/>
        <w:rPr>
          <w:rFonts w:eastAsia="Calibri" w:cs="Tahoma"/>
          <w:bCs/>
          <w:szCs w:val="22"/>
          <w:lang w:eastAsia="en-US"/>
        </w:rPr>
      </w:pPr>
    </w:p>
    <w:p w14:paraId="35593947" w14:textId="77777777" w:rsidR="00664420" w:rsidRPr="00635C4B" w:rsidRDefault="00664420" w:rsidP="00635C4B">
      <w:pPr>
        <w:tabs>
          <w:tab w:val="center" w:pos="4568"/>
        </w:tabs>
        <w:ind w:right="-93"/>
        <w:rPr>
          <w:rFonts w:eastAsia="Calibri" w:cs="Tahoma"/>
          <w:bCs/>
          <w:szCs w:val="22"/>
          <w:lang w:eastAsia="en-US"/>
        </w:rPr>
      </w:pPr>
    </w:p>
    <w:p w14:paraId="3AF72A17" w14:textId="77777777" w:rsidR="00664420" w:rsidRPr="00635C4B" w:rsidRDefault="00664420" w:rsidP="00635C4B">
      <w:pPr>
        <w:tabs>
          <w:tab w:val="center" w:pos="4568"/>
        </w:tabs>
        <w:ind w:right="-93"/>
        <w:rPr>
          <w:rFonts w:eastAsia="Calibri" w:cs="Tahoma"/>
          <w:bCs/>
          <w:szCs w:val="22"/>
          <w:lang w:eastAsia="en-US"/>
        </w:rPr>
      </w:pPr>
    </w:p>
    <w:p w14:paraId="180D7A0A" w14:textId="77777777" w:rsidR="0051696F" w:rsidRPr="00635C4B" w:rsidRDefault="0051696F" w:rsidP="00635C4B">
      <w:pPr>
        <w:tabs>
          <w:tab w:val="center" w:pos="4568"/>
        </w:tabs>
        <w:ind w:right="-93"/>
        <w:rPr>
          <w:rFonts w:eastAsia="Calibri" w:cs="Tahoma"/>
          <w:bCs/>
          <w:szCs w:val="22"/>
          <w:lang w:eastAsia="en-US"/>
        </w:rPr>
      </w:pPr>
    </w:p>
    <w:p w14:paraId="580F7FB6" w14:textId="77777777" w:rsidR="0051696F" w:rsidRPr="00635C4B" w:rsidRDefault="0051696F" w:rsidP="00635C4B">
      <w:pPr>
        <w:tabs>
          <w:tab w:val="center" w:pos="4568"/>
        </w:tabs>
        <w:ind w:right="-93"/>
        <w:rPr>
          <w:rFonts w:eastAsia="Calibri" w:cs="Tahoma"/>
          <w:bCs/>
          <w:szCs w:val="22"/>
          <w:lang w:eastAsia="en-US"/>
        </w:rPr>
      </w:pPr>
    </w:p>
    <w:p w14:paraId="65A35E27" w14:textId="77777777" w:rsidR="0051696F" w:rsidRPr="00635C4B" w:rsidRDefault="0051696F" w:rsidP="00635C4B">
      <w:pPr>
        <w:tabs>
          <w:tab w:val="center" w:pos="4568"/>
        </w:tabs>
        <w:ind w:right="-93"/>
        <w:rPr>
          <w:rFonts w:eastAsia="Calibri" w:cs="Tahoma"/>
          <w:bCs/>
          <w:szCs w:val="22"/>
          <w:lang w:eastAsia="en-US"/>
        </w:rPr>
      </w:pPr>
    </w:p>
    <w:p w14:paraId="475FF3BB" w14:textId="77777777" w:rsidR="0051696F" w:rsidRPr="00635C4B" w:rsidRDefault="0051696F" w:rsidP="00635C4B">
      <w:pPr>
        <w:tabs>
          <w:tab w:val="center" w:pos="4568"/>
        </w:tabs>
        <w:ind w:right="-93"/>
        <w:rPr>
          <w:rFonts w:eastAsia="Calibri" w:cs="Tahoma"/>
          <w:bCs/>
          <w:szCs w:val="22"/>
          <w:lang w:eastAsia="en-US"/>
        </w:rPr>
      </w:pPr>
    </w:p>
    <w:p w14:paraId="4716268C" w14:textId="77777777" w:rsidR="0051696F" w:rsidRPr="00635C4B" w:rsidRDefault="0051696F" w:rsidP="00635C4B">
      <w:pPr>
        <w:tabs>
          <w:tab w:val="center" w:pos="4568"/>
        </w:tabs>
        <w:ind w:right="-93"/>
        <w:rPr>
          <w:rFonts w:eastAsia="Calibri" w:cs="Tahoma"/>
          <w:bCs/>
          <w:szCs w:val="22"/>
          <w:lang w:eastAsia="en-US"/>
        </w:rPr>
      </w:pPr>
    </w:p>
    <w:p w14:paraId="37D1ABFE" w14:textId="77777777" w:rsidR="0051696F" w:rsidRPr="00635C4B" w:rsidRDefault="0051696F" w:rsidP="00635C4B">
      <w:pPr>
        <w:tabs>
          <w:tab w:val="center" w:pos="4568"/>
        </w:tabs>
        <w:ind w:right="-93"/>
        <w:rPr>
          <w:rFonts w:eastAsia="Calibri" w:cs="Tahoma"/>
          <w:bCs/>
          <w:szCs w:val="22"/>
          <w:lang w:eastAsia="en-US"/>
        </w:rPr>
      </w:pPr>
    </w:p>
    <w:p w14:paraId="01BFEEAB" w14:textId="77777777" w:rsidR="0051696F" w:rsidRPr="00635C4B" w:rsidRDefault="0051696F" w:rsidP="00635C4B">
      <w:pPr>
        <w:tabs>
          <w:tab w:val="center" w:pos="4568"/>
        </w:tabs>
        <w:ind w:right="-93"/>
        <w:rPr>
          <w:rFonts w:eastAsia="Calibri" w:cs="Tahoma"/>
          <w:bCs/>
          <w:szCs w:val="22"/>
          <w:lang w:eastAsia="en-US"/>
        </w:rPr>
      </w:pPr>
    </w:p>
    <w:p w14:paraId="3B33BCDC" w14:textId="77777777" w:rsidR="0051696F" w:rsidRPr="00635C4B" w:rsidRDefault="0051696F" w:rsidP="00635C4B">
      <w:pPr>
        <w:tabs>
          <w:tab w:val="center" w:pos="4568"/>
        </w:tabs>
        <w:ind w:right="-93"/>
        <w:rPr>
          <w:rFonts w:eastAsia="Calibri" w:cs="Tahoma"/>
          <w:bCs/>
          <w:szCs w:val="22"/>
          <w:lang w:eastAsia="en-US"/>
        </w:rPr>
      </w:pPr>
    </w:p>
    <w:p w14:paraId="37169144" w14:textId="77777777" w:rsidR="00664420" w:rsidRPr="00635C4B" w:rsidRDefault="00664420" w:rsidP="00635C4B">
      <w:pPr>
        <w:tabs>
          <w:tab w:val="center" w:pos="4568"/>
        </w:tabs>
        <w:ind w:right="-93"/>
        <w:rPr>
          <w:rFonts w:eastAsia="Calibri" w:cs="Tahoma"/>
          <w:bCs/>
          <w:szCs w:val="22"/>
          <w:lang w:eastAsia="en-US"/>
        </w:rPr>
      </w:pPr>
    </w:p>
    <w:p w14:paraId="77CFC088" w14:textId="77777777" w:rsidR="00664420" w:rsidRPr="00635C4B" w:rsidRDefault="00664420" w:rsidP="00635C4B">
      <w:pPr>
        <w:tabs>
          <w:tab w:val="center" w:pos="4568"/>
        </w:tabs>
        <w:ind w:right="-93"/>
        <w:rPr>
          <w:rFonts w:eastAsia="Calibri" w:cs="Tahoma"/>
          <w:bCs/>
          <w:szCs w:val="22"/>
          <w:lang w:eastAsia="en-US"/>
        </w:rPr>
      </w:pPr>
    </w:p>
    <w:p w14:paraId="781A11A5" w14:textId="77777777" w:rsidR="00664420" w:rsidRPr="00635C4B" w:rsidRDefault="00664420" w:rsidP="00635C4B">
      <w:pPr>
        <w:tabs>
          <w:tab w:val="center" w:pos="4568"/>
        </w:tabs>
        <w:ind w:right="-93"/>
        <w:rPr>
          <w:rFonts w:eastAsia="Calibri" w:cs="Tahoma"/>
          <w:bCs/>
          <w:szCs w:val="22"/>
          <w:lang w:eastAsia="en-US"/>
        </w:rPr>
      </w:pPr>
    </w:p>
    <w:p w14:paraId="5B4ADFF3" w14:textId="77777777" w:rsidR="00A131AC" w:rsidRPr="00635C4B" w:rsidRDefault="00A131AC" w:rsidP="00635C4B"/>
    <w:sectPr w:rsidR="00A131AC" w:rsidRPr="00635C4B"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243746" w14:textId="77777777" w:rsidR="00D14107" w:rsidRDefault="00D14107" w:rsidP="00664420">
      <w:pPr>
        <w:spacing w:line="240" w:lineRule="auto"/>
      </w:pPr>
      <w:r>
        <w:separator/>
      </w:r>
    </w:p>
  </w:endnote>
  <w:endnote w:type="continuationSeparator" w:id="0">
    <w:p w14:paraId="0B3ADF16" w14:textId="77777777" w:rsidR="00D14107" w:rsidRDefault="00D14107"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3C7F9A" w:rsidRDefault="003C7F9A">
    <w:pPr>
      <w:tabs>
        <w:tab w:val="center" w:pos="4550"/>
        <w:tab w:val="left" w:pos="5818"/>
      </w:tabs>
      <w:ind w:right="260"/>
      <w:jc w:val="right"/>
      <w:rPr>
        <w:color w:val="071320" w:themeColor="text2" w:themeShade="80"/>
        <w:sz w:val="24"/>
        <w:szCs w:val="24"/>
      </w:rPr>
    </w:pPr>
  </w:p>
  <w:p w14:paraId="1BCA7F23" w14:textId="77777777" w:rsidR="003C7F9A" w:rsidRDefault="003C7F9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3C7F9A" w:rsidRDefault="003C7F9A">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DE4CA5" w:rsidRPr="00DE4CA5">
      <w:rPr>
        <w:noProof/>
        <w:color w:val="0A1D30" w:themeColor="text2" w:themeShade="BF"/>
        <w:sz w:val="24"/>
        <w:szCs w:val="24"/>
        <w:lang w:val="es-ES"/>
      </w:rPr>
      <w:t>20</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DE4CA5" w:rsidRPr="00DE4CA5">
      <w:rPr>
        <w:noProof/>
        <w:color w:val="0A1D30" w:themeColor="text2" w:themeShade="BF"/>
        <w:sz w:val="24"/>
        <w:szCs w:val="24"/>
        <w:lang w:val="es-ES"/>
      </w:rPr>
      <w:t>31</w:t>
    </w:r>
    <w:r>
      <w:rPr>
        <w:color w:val="0A1D30" w:themeColor="text2" w:themeShade="BF"/>
        <w:sz w:val="24"/>
        <w:szCs w:val="24"/>
      </w:rPr>
      <w:fldChar w:fldCharType="end"/>
    </w:r>
  </w:p>
  <w:p w14:paraId="310E15C0" w14:textId="77777777" w:rsidR="003C7F9A" w:rsidRDefault="003C7F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B837AE" w14:textId="77777777" w:rsidR="00D14107" w:rsidRDefault="00D14107" w:rsidP="00664420">
      <w:pPr>
        <w:spacing w:line="240" w:lineRule="auto"/>
      </w:pPr>
      <w:r>
        <w:separator/>
      </w:r>
    </w:p>
  </w:footnote>
  <w:footnote w:type="continuationSeparator" w:id="0">
    <w:p w14:paraId="267C3701" w14:textId="77777777" w:rsidR="00D14107" w:rsidRDefault="00D14107"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3C7F9A" w:rsidRPr="00330DA7" w14:paraId="070A4B18" w14:textId="77777777" w:rsidTr="003F35FD">
      <w:trPr>
        <w:trHeight w:val="144"/>
        <w:jc w:val="right"/>
      </w:trPr>
      <w:tc>
        <w:tcPr>
          <w:tcW w:w="2727" w:type="dxa"/>
        </w:tcPr>
        <w:p w14:paraId="62B7493A" w14:textId="77777777" w:rsidR="003C7F9A" w:rsidRPr="00330DA7" w:rsidRDefault="003C7F9A"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74D23DCE" w:rsidR="003C7F9A" w:rsidRPr="00A90C72" w:rsidRDefault="003C7F9A" w:rsidP="003F35FD">
          <w:pPr>
            <w:tabs>
              <w:tab w:val="right" w:pos="8838"/>
            </w:tabs>
            <w:ind w:left="-74" w:right="-105"/>
            <w:rPr>
              <w:rFonts w:eastAsia="Calibri" w:cs="Tahoma"/>
              <w:szCs w:val="22"/>
              <w:lang w:eastAsia="en-US"/>
            </w:rPr>
          </w:pPr>
          <w:r w:rsidRPr="00CA73FD">
            <w:rPr>
              <w:rFonts w:eastAsia="Calibri" w:cs="Tahoma"/>
              <w:szCs w:val="22"/>
              <w:lang w:eastAsia="en-US"/>
            </w:rPr>
            <w:t>07447/INFOEM/IP/RR/2024</w:t>
          </w:r>
        </w:p>
      </w:tc>
    </w:tr>
    <w:tr w:rsidR="003C7F9A" w:rsidRPr="00330DA7" w14:paraId="4521E058" w14:textId="77777777" w:rsidTr="003F35FD">
      <w:trPr>
        <w:trHeight w:val="283"/>
        <w:jc w:val="right"/>
      </w:trPr>
      <w:tc>
        <w:tcPr>
          <w:tcW w:w="2727" w:type="dxa"/>
        </w:tcPr>
        <w:p w14:paraId="0B68C086" w14:textId="77777777" w:rsidR="003C7F9A" w:rsidRPr="00330DA7" w:rsidRDefault="003C7F9A"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59B85219" w:rsidR="003C7F9A" w:rsidRPr="00952DD0" w:rsidRDefault="003C7F9A" w:rsidP="003F35FD">
          <w:pPr>
            <w:tabs>
              <w:tab w:val="left" w:pos="2834"/>
              <w:tab w:val="right" w:pos="8838"/>
            </w:tabs>
            <w:ind w:left="-108" w:right="-105"/>
            <w:rPr>
              <w:rFonts w:eastAsia="Calibri" w:cs="Tahoma"/>
              <w:szCs w:val="22"/>
              <w:lang w:eastAsia="en-US"/>
            </w:rPr>
          </w:pPr>
          <w:r w:rsidRPr="00CA73FD">
            <w:rPr>
              <w:rFonts w:eastAsia="Calibri" w:cs="Tahoma"/>
              <w:szCs w:val="22"/>
              <w:lang w:eastAsia="en-US"/>
            </w:rPr>
            <w:t>Protectora de Bosques del Estado de México</w:t>
          </w:r>
        </w:p>
      </w:tc>
    </w:tr>
    <w:tr w:rsidR="003C7F9A" w:rsidRPr="00330DA7" w14:paraId="6331D9B6" w14:textId="77777777" w:rsidTr="003F35FD">
      <w:trPr>
        <w:trHeight w:val="283"/>
        <w:jc w:val="right"/>
      </w:trPr>
      <w:tc>
        <w:tcPr>
          <w:tcW w:w="2727" w:type="dxa"/>
        </w:tcPr>
        <w:p w14:paraId="3FA86BAE" w14:textId="208D2DD3" w:rsidR="003C7F9A" w:rsidRPr="00330DA7" w:rsidRDefault="003C7F9A"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3C7F9A" w:rsidRPr="00EA66FC" w:rsidRDefault="003C7F9A"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36C0C439" w:rsidR="003C7F9A" w:rsidRPr="00443C6B" w:rsidRDefault="003C7F9A"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179249B8">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3C7F9A" w:rsidRPr="00330DA7" w14:paraId="29CFF901" w14:textId="77777777" w:rsidTr="00251911">
      <w:trPr>
        <w:trHeight w:val="1435"/>
      </w:trPr>
      <w:tc>
        <w:tcPr>
          <w:tcW w:w="283" w:type="dxa"/>
          <w:shd w:val="clear" w:color="auto" w:fill="auto"/>
        </w:tcPr>
        <w:p w14:paraId="046B9F8F" w14:textId="77777777" w:rsidR="003C7F9A" w:rsidRPr="00330DA7" w:rsidRDefault="003C7F9A" w:rsidP="00251911">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3C7F9A" w:rsidRPr="00330DA7" w14:paraId="04F272D2" w14:textId="77777777" w:rsidTr="00251911">
            <w:trPr>
              <w:trHeight w:val="144"/>
            </w:trPr>
            <w:tc>
              <w:tcPr>
                <w:tcW w:w="2727" w:type="dxa"/>
              </w:tcPr>
              <w:p w14:paraId="2FD4DBF6" w14:textId="77777777" w:rsidR="003C7F9A" w:rsidRPr="00330DA7" w:rsidRDefault="003C7F9A" w:rsidP="00251911">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02C24087" w:rsidR="003C7F9A" w:rsidRPr="00A90C72" w:rsidRDefault="003C7F9A" w:rsidP="00251911">
                <w:pPr>
                  <w:tabs>
                    <w:tab w:val="right" w:pos="8838"/>
                  </w:tabs>
                  <w:ind w:left="-74" w:right="-105"/>
                  <w:rPr>
                    <w:rFonts w:eastAsia="Calibri" w:cs="Tahoma"/>
                    <w:szCs w:val="22"/>
                    <w:lang w:eastAsia="en-US"/>
                  </w:rPr>
                </w:pPr>
                <w:r w:rsidRPr="00CA73FD">
                  <w:rPr>
                    <w:rFonts w:eastAsia="Calibri" w:cs="Tahoma"/>
                    <w:szCs w:val="22"/>
                    <w:lang w:eastAsia="en-US"/>
                  </w:rPr>
                  <w:t>07447/INFOEM/IP/RR/2024</w:t>
                </w:r>
              </w:p>
            </w:tc>
            <w:tc>
              <w:tcPr>
                <w:tcW w:w="3402" w:type="dxa"/>
              </w:tcPr>
              <w:p w14:paraId="71DEA1CF" w14:textId="77777777" w:rsidR="003C7F9A" w:rsidRDefault="003C7F9A" w:rsidP="00251911">
                <w:pPr>
                  <w:tabs>
                    <w:tab w:val="right" w:pos="8838"/>
                  </w:tabs>
                  <w:ind w:left="-74" w:right="-105"/>
                  <w:rPr>
                    <w:rFonts w:eastAsia="Calibri" w:cs="Tahoma"/>
                    <w:szCs w:val="22"/>
                    <w:lang w:eastAsia="en-US"/>
                  </w:rPr>
                </w:pPr>
              </w:p>
            </w:tc>
          </w:tr>
          <w:tr w:rsidR="003C7F9A" w:rsidRPr="00330DA7" w14:paraId="05C58951" w14:textId="77777777" w:rsidTr="00251911">
            <w:trPr>
              <w:trHeight w:val="144"/>
            </w:trPr>
            <w:tc>
              <w:tcPr>
                <w:tcW w:w="2727" w:type="dxa"/>
              </w:tcPr>
              <w:p w14:paraId="642B9610" w14:textId="77777777" w:rsidR="003C7F9A" w:rsidRPr="00330DA7" w:rsidRDefault="003C7F9A" w:rsidP="00251911">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35548462" w:rsidR="003C7F9A" w:rsidRPr="005F19B1" w:rsidRDefault="00DE4CA5" w:rsidP="00251911">
                <w:pPr>
                  <w:tabs>
                    <w:tab w:val="left" w:pos="3122"/>
                    <w:tab w:val="right" w:pos="8838"/>
                  </w:tabs>
                  <w:ind w:left="-105" w:right="-105"/>
                  <w:rPr>
                    <w:rFonts w:eastAsia="Calibri" w:cs="Tahoma"/>
                    <w:szCs w:val="22"/>
                    <w:lang w:eastAsia="en-US"/>
                  </w:rPr>
                </w:pPr>
                <w:r>
                  <w:rPr>
                    <w:rFonts w:eastAsia="Calibri" w:cs="Tahoma"/>
                    <w:szCs w:val="22"/>
                    <w:lang w:eastAsia="en-US"/>
                  </w:rPr>
                  <w:t xml:space="preserve">XXXXX </w:t>
                </w:r>
                <w:proofErr w:type="spellStart"/>
                <w:r>
                  <w:rPr>
                    <w:rFonts w:eastAsia="Calibri" w:cs="Tahoma"/>
                    <w:szCs w:val="22"/>
                    <w:lang w:eastAsia="en-US"/>
                  </w:rPr>
                  <w:t>XXXXX</w:t>
                </w:r>
                <w:proofErr w:type="spellEnd"/>
                <w:r>
                  <w:rPr>
                    <w:rFonts w:eastAsia="Calibri" w:cs="Tahoma"/>
                    <w:szCs w:val="22"/>
                    <w:lang w:eastAsia="en-US"/>
                  </w:rPr>
                  <w:t xml:space="preserve"> </w:t>
                </w:r>
                <w:proofErr w:type="spellStart"/>
                <w:r>
                  <w:rPr>
                    <w:rFonts w:eastAsia="Calibri" w:cs="Tahoma"/>
                    <w:szCs w:val="22"/>
                    <w:lang w:eastAsia="en-US"/>
                  </w:rPr>
                  <w:t>XXXXX</w:t>
                </w:r>
                <w:proofErr w:type="spellEnd"/>
                <w:r>
                  <w:rPr>
                    <w:rFonts w:eastAsia="Calibri" w:cs="Tahoma"/>
                    <w:szCs w:val="22"/>
                    <w:lang w:eastAsia="en-US"/>
                  </w:rPr>
                  <w:t xml:space="preserve"> XXXXXXX</w:t>
                </w:r>
              </w:p>
            </w:tc>
            <w:tc>
              <w:tcPr>
                <w:tcW w:w="3402" w:type="dxa"/>
              </w:tcPr>
              <w:p w14:paraId="73F47F53" w14:textId="77777777" w:rsidR="003C7F9A" w:rsidRPr="005F19B1" w:rsidRDefault="003C7F9A" w:rsidP="00251911">
                <w:pPr>
                  <w:tabs>
                    <w:tab w:val="left" w:pos="3122"/>
                    <w:tab w:val="right" w:pos="8838"/>
                  </w:tabs>
                  <w:ind w:left="-105" w:right="-105"/>
                  <w:rPr>
                    <w:rFonts w:eastAsia="Calibri" w:cs="Tahoma"/>
                    <w:szCs w:val="22"/>
                    <w:lang w:eastAsia="en-US"/>
                  </w:rPr>
                </w:pPr>
              </w:p>
            </w:tc>
          </w:tr>
          <w:bookmarkEnd w:id="1"/>
          <w:tr w:rsidR="003C7F9A" w:rsidRPr="00330DA7" w14:paraId="00E6CDC1" w14:textId="77777777" w:rsidTr="00251911">
            <w:trPr>
              <w:trHeight w:val="283"/>
            </w:trPr>
            <w:tc>
              <w:tcPr>
                <w:tcW w:w="2727" w:type="dxa"/>
              </w:tcPr>
              <w:p w14:paraId="0631AD24" w14:textId="77777777" w:rsidR="003C7F9A" w:rsidRPr="00330DA7" w:rsidRDefault="003C7F9A" w:rsidP="00251911">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1185CF48" w:rsidR="003C7F9A" w:rsidRPr="00952DD0" w:rsidRDefault="003C7F9A" w:rsidP="00251911">
                <w:pPr>
                  <w:tabs>
                    <w:tab w:val="left" w:pos="2834"/>
                    <w:tab w:val="right" w:pos="8838"/>
                  </w:tabs>
                  <w:ind w:left="-108" w:right="-105"/>
                  <w:rPr>
                    <w:rFonts w:eastAsia="Calibri" w:cs="Tahoma"/>
                    <w:szCs w:val="22"/>
                    <w:lang w:eastAsia="en-US"/>
                  </w:rPr>
                </w:pPr>
                <w:r w:rsidRPr="00CA73FD">
                  <w:rPr>
                    <w:rFonts w:eastAsia="Calibri" w:cs="Tahoma"/>
                    <w:szCs w:val="22"/>
                    <w:lang w:eastAsia="en-US"/>
                  </w:rPr>
                  <w:t>Protectora de Bosques del Estado de México</w:t>
                </w:r>
              </w:p>
            </w:tc>
            <w:tc>
              <w:tcPr>
                <w:tcW w:w="3402" w:type="dxa"/>
              </w:tcPr>
              <w:p w14:paraId="3A7DA319" w14:textId="77777777" w:rsidR="003C7F9A" w:rsidRPr="00A90C72" w:rsidRDefault="003C7F9A" w:rsidP="00251911">
                <w:pPr>
                  <w:tabs>
                    <w:tab w:val="left" w:pos="2834"/>
                    <w:tab w:val="right" w:pos="8838"/>
                  </w:tabs>
                  <w:ind w:left="-108" w:right="-105"/>
                  <w:rPr>
                    <w:rFonts w:eastAsia="Calibri" w:cs="Tahoma"/>
                    <w:szCs w:val="22"/>
                    <w:lang w:eastAsia="en-US"/>
                  </w:rPr>
                </w:pPr>
              </w:p>
            </w:tc>
          </w:tr>
          <w:tr w:rsidR="003C7F9A" w:rsidRPr="00330DA7" w14:paraId="0F6CD8D2" w14:textId="77777777" w:rsidTr="00251911">
            <w:trPr>
              <w:trHeight w:val="283"/>
            </w:trPr>
            <w:tc>
              <w:tcPr>
                <w:tcW w:w="2727" w:type="dxa"/>
              </w:tcPr>
              <w:p w14:paraId="31700628" w14:textId="0B445BA5" w:rsidR="003C7F9A" w:rsidRPr="00330DA7" w:rsidRDefault="003C7F9A" w:rsidP="00251911">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3C7F9A" w:rsidRPr="00EA66FC" w:rsidRDefault="003C7F9A" w:rsidP="00251911">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3C7F9A" w:rsidRPr="00330DA7" w:rsidRDefault="003C7F9A" w:rsidP="00251911">
                <w:pPr>
                  <w:tabs>
                    <w:tab w:val="right" w:pos="8838"/>
                  </w:tabs>
                  <w:ind w:left="-108" w:right="-105"/>
                  <w:rPr>
                    <w:rFonts w:eastAsia="Calibri" w:cs="Tahoma"/>
                    <w:szCs w:val="22"/>
                    <w:lang w:eastAsia="en-US"/>
                  </w:rPr>
                </w:pPr>
              </w:p>
            </w:tc>
          </w:tr>
        </w:tbl>
        <w:p w14:paraId="5DC6AC61" w14:textId="77777777" w:rsidR="003C7F9A" w:rsidRPr="00330DA7" w:rsidRDefault="003C7F9A" w:rsidP="00251911">
          <w:pPr>
            <w:tabs>
              <w:tab w:val="right" w:pos="8838"/>
            </w:tabs>
            <w:ind w:left="-28"/>
            <w:rPr>
              <w:rFonts w:ascii="Arial" w:eastAsia="Calibri" w:hAnsi="Arial" w:cs="Arial"/>
              <w:b/>
              <w:szCs w:val="22"/>
              <w:lang w:eastAsia="en-US"/>
            </w:rPr>
          </w:pPr>
        </w:p>
      </w:tc>
    </w:tr>
  </w:tbl>
  <w:p w14:paraId="2A906731" w14:textId="77777777" w:rsidR="003C7F9A" w:rsidRPr="00765661" w:rsidRDefault="00D14107" w:rsidP="00251911">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D38D0"/>
    <w:multiLevelType w:val="hybridMultilevel"/>
    <w:tmpl w:val="A5F656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997646"/>
    <w:multiLevelType w:val="hybridMultilevel"/>
    <w:tmpl w:val="5F06FD6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9" w15:restartNumberingAfterBreak="0">
    <w:nsid w:val="314D0820"/>
    <w:multiLevelType w:val="hybridMultilevel"/>
    <w:tmpl w:val="A73E91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50710A1"/>
    <w:multiLevelType w:val="hybridMultilevel"/>
    <w:tmpl w:val="5E1271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80E292A"/>
    <w:multiLevelType w:val="hybridMultilevel"/>
    <w:tmpl w:val="CA5CBD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ED5002D"/>
    <w:multiLevelType w:val="hybridMultilevel"/>
    <w:tmpl w:val="9D2AD3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F327DD2"/>
    <w:multiLevelType w:val="hybridMultilevel"/>
    <w:tmpl w:val="794256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FAC39BE"/>
    <w:multiLevelType w:val="hybridMultilevel"/>
    <w:tmpl w:val="8AC2B39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9042762"/>
    <w:multiLevelType w:val="hybridMultilevel"/>
    <w:tmpl w:val="16E224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BAF0140"/>
    <w:multiLevelType w:val="multilevel"/>
    <w:tmpl w:val="438EEE3C"/>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15:restartNumberingAfterBreak="0">
    <w:nsid w:val="636315ED"/>
    <w:multiLevelType w:val="hybridMultilevel"/>
    <w:tmpl w:val="CC128D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3DF262C"/>
    <w:multiLevelType w:val="hybridMultilevel"/>
    <w:tmpl w:val="5E729A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6102FCD"/>
    <w:multiLevelType w:val="multilevel"/>
    <w:tmpl w:val="0CCAF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3035D5"/>
    <w:multiLevelType w:val="hybridMultilevel"/>
    <w:tmpl w:val="95A2DFC6"/>
    <w:lvl w:ilvl="0" w:tplc="1190034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785F1C0B"/>
    <w:multiLevelType w:val="multilevel"/>
    <w:tmpl w:val="F4366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6"/>
  </w:num>
  <w:num w:numId="3">
    <w:abstractNumId w:val="26"/>
  </w:num>
  <w:num w:numId="4">
    <w:abstractNumId w:val="5"/>
  </w:num>
  <w:num w:numId="5">
    <w:abstractNumId w:val="2"/>
  </w:num>
  <w:num w:numId="6">
    <w:abstractNumId w:val="28"/>
  </w:num>
  <w:num w:numId="7">
    <w:abstractNumId w:val="14"/>
  </w:num>
  <w:num w:numId="8">
    <w:abstractNumId w:val="4"/>
  </w:num>
  <w:num w:numId="9">
    <w:abstractNumId w:val="13"/>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7"/>
  </w:num>
  <w:num w:numId="13">
    <w:abstractNumId w:val="1"/>
  </w:num>
  <w:num w:numId="14">
    <w:abstractNumId w:val="3"/>
  </w:num>
  <w:num w:numId="15">
    <w:abstractNumId w:val="15"/>
  </w:num>
  <w:num w:numId="16">
    <w:abstractNumId w:val="18"/>
  </w:num>
  <w:num w:numId="17">
    <w:abstractNumId w:val="22"/>
  </w:num>
  <w:num w:numId="18">
    <w:abstractNumId w:val="11"/>
  </w:num>
  <w:num w:numId="19">
    <w:abstractNumId w:val="20"/>
  </w:num>
  <w:num w:numId="20">
    <w:abstractNumId w:val="17"/>
  </w:num>
  <w:num w:numId="21">
    <w:abstractNumId w:val="6"/>
  </w:num>
  <w:num w:numId="22">
    <w:abstractNumId w:val="9"/>
  </w:num>
  <w:num w:numId="23">
    <w:abstractNumId w:val="19"/>
  </w:num>
  <w:num w:numId="24">
    <w:abstractNumId w:val="25"/>
  </w:num>
  <w:num w:numId="25">
    <w:abstractNumId w:val="21"/>
  </w:num>
  <w:num w:numId="26">
    <w:abstractNumId w:val="23"/>
  </w:num>
  <w:num w:numId="27">
    <w:abstractNumId w:val="0"/>
  </w:num>
  <w:num w:numId="28">
    <w:abstractNumId w:val="10"/>
  </w:num>
  <w:num w:numId="29">
    <w:abstractNumId w:val="24"/>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2500A"/>
    <w:rsid w:val="000318BC"/>
    <w:rsid w:val="000356AC"/>
    <w:rsid w:val="00057B2D"/>
    <w:rsid w:val="00061246"/>
    <w:rsid w:val="00091619"/>
    <w:rsid w:val="000D0D67"/>
    <w:rsid w:val="000D2D16"/>
    <w:rsid w:val="000E052E"/>
    <w:rsid w:val="000E09C4"/>
    <w:rsid w:val="0011350D"/>
    <w:rsid w:val="00141876"/>
    <w:rsid w:val="00143410"/>
    <w:rsid w:val="00150C49"/>
    <w:rsid w:val="00156AB4"/>
    <w:rsid w:val="0018069B"/>
    <w:rsid w:val="0019308C"/>
    <w:rsid w:val="001A58B3"/>
    <w:rsid w:val="001A633B"/>
    <w:rsid w:val="001C7688"/>
    <w:rsid w:val="001F3515"/>
    <w:rsid w:val="0022409E"/>
    <w:rsid w:val="0023177F"/>
    <w:rsid w:val="00233005"/>
    <w:rsid w:val="002338D4"/>
    <w:rsid w:val="00233F17"/>
    <w:rsid w:val="00251911"/>
    <w:rsid w:val="002568F8"/>
    <w:rsid w:val="00276715"/>
    <w:rsid w:val="002A3601"/>
    <w:rsid w:val="002B64CC"/>
    <w:rsid w:val="002B7C6F"/>
    <w:rsid w:val="002C2588"/>
    <w:rsid w:val="002D50A3"/>
    <w:rsid w:val="002E58DF"/>
    <w:rsid w:val="002F51F5"/>
    <w:rsid w:val="00302476"/>
    <w:rsid w:val="00331F35"/>
    <w:rsid w:val="00341F1F"/>
    <w:rsid w:val="0034218F"/>
    <w:rsid w:val="003612E6"/>
    <w:rsid w:val="00362A11"/>
    <w:rsid w:val="00380417"/>
    <w:rsid w:val="00382A5D"/>
    <w:rsid w:val="003A40C1"/>
    <w:rsid w:val="003C7F9A"/>
    <w:rsid w:val="003E7A50"/>
    <w:rsid w:val="003F35FD"/>
    <w:rsid w:val="0040558E"/>
    <w:rsid w:val="0041385B"/>
    <w:rsid w:val="00441BFA"/>
    <w:rsid w:val="00454FBD"/>
    <w:rsid w:val="004B3332"/>
    <w:rsid w:val="004D65B9"/>
    <w:rsid w:val="004D7CD8"/>
    <w:rsid w:val="004E5068"/>
    <w:rsid w:val="004F7A00"/>
    <w:rsid w:val="0051696F"/>
    <w:rsid w:val="005365FA"/>
    <w:rsid w:val="00542E0E"/>
    <w:rsid w:val="005723CB"/>
    <w:rsid w:val="00575400"/>
    <w:rsid w:val="005941FB"/>
    <w:rsid w:val="005A0A5F"/>
    <w:rsid w:val="005B18AF"/>
    <w:rsid w:val="005C1CD1"/>
    <w:rsid w:val="005D5A50"/>
    <w:rsid w:val="005F5301"/>
    <w:rsid w:val="005F65B7"/>
    <w:rsid w:val="006067C7"/>
    <w:rsid w:val="00615506"/>
    <w:rsid w:val="006159AD"/>
    <w:rsid w:val="00635C4B"/>
    <w:rsid w:val="00646436"/>
    <w:rsid w:val="00652EE8"/>
    <w:rsid w:val="00664420"/>
    <w:rsid w:val="00685AD3"/>
    <w:rsid w:val="006946E4"/>
    <w:rsid w:val="006B10B0"/>
    <w:rsid w:val="006E25BC"/>
    <w:rsid w:val="006E6BBC"/>
    <w:rsid w:val="006F36BA"/>
    <w:rsid w:val="006F7768"/>
    <w:rsid w:val="00717E59"/>
    <w:rsid w:val="00753372"/>
    <w:rsid w:val="00762936"/>
    <w:rsid w:val="00775BFC"/>
    <w:rsid w:val="007A2599"/>
    <w:rsid w:val="007B6074"/>
    <w:rsid w:val="007C1F86"/>
    <w:rsid w:val="007C4DFA"/>
    <w:rsid w:val="007C5C93"/>
    <w:rsid w:val="007D1C55"/>
    <w:rsid w:val="007D317F"/>
    <w:rsid w:val="007F5D06"/>
    <w:rsid w:val="0084341B"/>
    <w:rsid w:val="00844C9C"/>
    <w:rsid w:val="00846AF6"/>
    <w:rsid w:val="00863CAE"/>
    <w:rsid w:val="00865CF4"/>
    <w:rsid w:val="00876DBC"/>
    <w:rsid w:val="008847AD"/>
    <w:rsid w:val="008A6003"/>
    <w:rsid w:val="008A6F88"/>
    <w:rsid w:val="008B09E4"/>
    <w:rsid w:val="008B182F"/>
    <w:rsid w:val="008B1E16"/>
    <w:rsid w:val="008C48EE"/>
    <w:rsid w:val="00900C44"/>
    <w:rsid w:val="00910FD2"/>
    <w:rsid w:val="00921AC6"/>
    <w:rsid w:val="00931437"/>
    <w:rsid w:val="009352D6"/>
    <w:rsid w:val="00953430"/>
    <w:rsid w:val="009578F9"/>
    <w:rsid w:val="00970EB3"/>
    <w:rsid w:val="00981CBD"/>
    <w:rsid w:val="00987A72"/>
    <w:rsid w:val="009950D7"/>
    <w:rsid w:val="009A2D78"/>
    <w:rsid w:val="009A319C"/>
    <w:rsid w:val="009A7C10"/>
    <w:rsid w:val="009B2945"/>
    <w:rsid w:val="009D0146"/>
    <w:rsid w:val="009F797C"/>
    <w:rsid w:val="00A131AC"/>
    <w:rsid w:val="00A16D85"/>
    <w:rsid w:val="00A17059"/>
    <w:rsid w:val="00A203C6"/>
    <w:rsid w:val="00A21A20"/>
    <w:rsid w:val="00A22BD6"/>
    <w:rsid w:val="00A53315"/>
    <w:rsid w:val="00A65695"/>
    <w:rsid w:val="00A713F6"/>
    <w:rsid w:val="00A83FBD"/>
    <w:rsid w:val="00A9208D"/>
    <w:rsid w:val="00AA26B0"/>
    <w:rsid w:val="00AA5FB3"/>
    <w:rsid w:val="00AA6EA9"/>
    <w:rsid w:val="00AB3FCD"/>
    <w:rsid w:val="00AC2DB8"/>
    <w:rsid w:val="00AC3CA0"/>
    <w:rsid w:val="00AC5C16"/>
    <w:rsid w:val="00AD4CAB"/>
    <w:rsid w:val="00AD4F69"/>
    <w:rsid w:val="00AE3DA7"/>
    <w:rsid w:val="00AF03C4"/>
    <w:rsid w:val="00AF2426"/>
    <w:rsid w:val="00B06AB1"/>
    <w:rsid w:val="00B22A80"/>
    <w:rsid w:val="00B44E0C"/>
    <w:rsid w:val="00B62B67"/>
    <w:rsid w:val="00BA55A8"/>
    <w:rsid w:val="00BB1E1E"/>
    <w:rsid w:val="00BB2ABF"/>
    <w:rsid w:val="00BB64F4"/>
    <w:rsid w:val="00BD3F4F"/>
    <w:rsid w:val="00BF0221"/>
    <w:rsid w:val="00BF091A"/>
    <w:rsid w:val="00BF7653"/>
    <w:rsid w:val="00C049E2"/>
    <w:rsid w:val="00C135F9"/>
    <w:rsid w:val="00C14959"/>
    <w:rsid w:val="00C36795"/>
    <w:rsid w:val="00C457F4"/>
    <w:rsid w:val="00C461EC"/>
    <w:rsid w:val="00C507D4"/>
    <w:rsid w:val="00C546E2"/>
    <w:rsid w:val="00C66918"/>
    <w:rsid w:val="00C71CEF"/>
    <w:rsid w:val="00C72DAA"/>
    <w:rsid w:val="00C908A3"/>
    <w:rsid w:val="00CA73FD"/>
    <w:rsid w:val="00CC73E5"/>
    <w:rsid w:val="00CD0B92"/>
    <w:rsid w:val="00CE29D3"/>
    <w:rsid w:val="00CF2D8B"/>
    <w:rsid w:val="00CF7586"/>
    <w:rsid w:val="00D036D3"/>
    <w:rsid w:val="00D04C55"/>
    <w:rsid w:val="00D14107"/>
    <w:rsid w:val="00D2063D"/>
    <w:rsid w:val="00D2556A"/>
    <w:rsid w:val="00D2790D"/>
    <w:rsid w:val="00D51285"/>
    <w:rsid w:val="00D51ECD"/>
    <w:rsid w:val="00D6170E"/>
    <w:rsid w:val="00D91CB4"/>
    <w:rsid w:val="00DB02DB"/>
    <w:rsid w:val="00DD5F50"/>
    <w:rsid w:val="00DD6EF3"/>
    <w:rsid w:val="00DE1133"/>
    <w:rsid w:val="00DE4CA5"/>
    <w:rsid w:val="00DE52A4"/>
    <w:rsid w:val="00DE7EB8"/>
    <w:rsid w:val="00DF03AD"/>
    <w:rsid w:val="00E06F53"/>
    <w:rsid w:val="00E16BF5"/>
    <w:rsid w:val="00E25A67"/>
    <w:rsid w:val="00E37A3F"/>
    <w:rsid w:val="00E55814"/>
    <w:rsid w:val="00E62E6A"/>
    <w:rsid w:val="00E652F0"/>
    <w:rsid w:val="00E83EF5"/>
    <w:rsid w:val="00E9335C"/>
    <w:rsid w:val="00E937AE"/>
    <w:rsid w:val="00EA0D03"/>
    <w:rsid w:val="00ED1C1E"/>
    <w:rsid w:val="00F02239"/>
    <w:rsid w:val="00F07EE6"/>
    <w:rsid w:val="00F1385D"/>
    <w:rsid w:val="00F33CC8"/>
    <w:rsid w:val="00F75D23"/>
    <w:rsid w:val="00F769AA"/>
    <w:rsid w:val="00F8195E"/>
    <w:rsid w:val="00FA5957"/>
    <w:rsid w:val="00FA716F"/>
    <w:rsid w:val="00FC3CE0"/>
    <w:rsid w:val="00FC79B6"/>
    <w:rsid w:val="00FD06A8"/>
    <w:rsid w:val="00FE078E"/>
    <w:rsid w:val="00FE78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09E"/>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paragraph" w:styleId="Textodeglobo">
    <w:name w:val="Balloon Text"/>
    <w:basedOn w:val="Normal"/>
    <w:link w:val="TextodegloboCar"/>
    <w:uiPriority w:val="99"/>
    <w:semiHidden/>
    <w:unhideWhenUsed/>
    <w:rsid w:val="006F36B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36BA"/>
    <w:rPr>
      <w:rFonts w:ascii="Segoe UI" w:eastAsia="Times New Roman" w:hAnsi="Segoe UI" w:cs="Segoe UI"/>
      <w:kern w:val="0"/>
      <w:sz w:val="18"/>
      <w:szCs w:val="18"/>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63695">
      <w:bodyDiv w:val="1"/>
      <w:marLeft w:val="0"/>
      <w:marRight w:val="0"/>
      <w:marTop w:val="0"/>
      <w:marBottom w:val="0"/>
      <w:divBdr>
        <w:top w:val="none" w:sz="0" w:space="0" w:color="auto"/>
        <w:left w:val="none" w:sz="0" w:space="0" w:color="auto"/>
        <w:bottom w:val="none" w:sz="0" w:space="0" w:color="auto"/>
        <w:right w:val="none" w:sz="0" w:space="0" w:color="auto"/>
      </w:divBdr>
    </w:div>
    <w:div w:id="277567294">
      <w:bodyDiv w:val="1"/>
      <w:marLeft w:val="0"/>
      <w:marRight w:val="0"/>
      <w:marTop w:val="0"/>
      <w:marBottom w:val="0"/>
      <w:divBdr>
        <w:top w:val="none" w:sz="0" w:space="0" w:color="auto"/>
        <w:left w:val="none" w:sz="0" w:space="0" w:color="auto"/>
        <w:bottom w:val="none" w:sz="0" w:space="0" w:color="auto"/>
        <w:right w:val="none" w:sz="0" w:space="0" w:color="auto"/>
      </w:divBdr>
    </w:div>
    <w:div w:id="332102993">
      <w:bodyDiv w:val="1"/>
      <w:marLeft w:val="0"/>
      <w:marRight w:val="0"/>
      <w:marTop w:val="0"/>
      <w:marBottom w:val="0"/>
      <w:divBdr>
        <w:top w:val="none" w:sz="0" w:space="0" w:color="auto"/>
        <w:left w:val="none" w:sz="0" w:space="0" w:color="auto"/>
        <w:bottom w:val="none" w:sz="0" w:space="0" w:color="auto"/>
        <w:right w:val="none" w:sz="0" w:space="0" w:color="auto"/>
      </w:divBdr>
    </w:div>
    <w:div w:id="578447656">
      <w:bodyDiv w:val="1"/>
      <w:marLeft w:val="0"/>
      <w:marRight w:val="0"/>
      <w:marTop w:val="0"/>
      <w:marBottom w:val="0"/>
      <w:divBdr>
        <w:top w:val="none" w:sz="0" w:space="0" w:color="auto"/>
        <w:left w:val="none" w:sz="0" w:space="0" w:color="auto"/>
        <w:bottom w:val="none" w:sz="0" w:space="0" w:color="auto"/>
        <w:right w:val="none" w:sz="0" w:space="0" w:color="auto"/>
      </w:divBdr>
    </w:div>
    <w:div w:id="847644214">
      <w:bodyDiv w:val="1"/>
      <w:marLeft w:val="0"/>
      <w:marRight w:val="0"/>
      <w:marTop w:val="0"/>
      <w:marBottom w:val="0"/>
      <w:divBdr>
        <w:top w:val="none" w:sz="0" w:space="0" w:color="auto"/>
        <w:left w:val="none" w:sz="0" w:space="0" w:color="auto"/>
        <w:bottom w:val="none" w:sz="0" w:space="0" w:color="auto"/>
        <w:right w:val="none" w:sz="0" w:space="0" w:color="auto"/>
      </w:divBdr>
    </w:div>
    <w:div w:id="957368522">
      <w:bodyDiv w:val="1"/>
      <w:marLeft w:val="0"/>
      <w:marRight w:val="0"/>
      <w:marTop w:val="0"/>
      <w:marBottom w:val="0"/>
      <w:divBdr>
        <w:top w:val="none" w:sz="0" w:space="0" w:color="auto"/>
        <w:left w:val="none" w:sz="0" w:space="0" w:color="auto"/>
        <w:bottom w:val="none" w:sz="0" w:space="0" w:color="auto"/>
        <w:right w:val="none" w:sz="0" w:space="0" w:color="auto"/>
      </w:divBdr>
    </w:div>
    <w:div w:id="1399866394">
      <w:bodyDiv w:val="1"/>
      <w:marLeft w:val="0"/>
      <w:marRight w:val="0"/>
      <w:marTop w:val="0"/>
      <w:marBottom w:val="0"/>
      <w:divBdr>
        <w:top w:val="none" w:sz="0" w:space="0" w:color="auto"/>
        <w:left w:val="none" w:sz="0" w:space="0" w:color="auto"/>
        <w:bottom w:val="none" w:sz="0" w:space="0" w:color="auto"/>
        <w:right w:val="none" w:sz="0" w:space="0" w:color="auto"/>
      </w:divBdr>
    </w:div>
    <w:div w:id="1714042117">
      <w:bodyDiv w:val="1"/>
      <w:marLeft w:val="0"/>
      <w:marRight w:val="0"/>
      <w:marTop w:val="0"/>
      <w:marBottom w:val="0"/>
      <w:divBdr>
        <w:top w:val="none" w:sz="0" w:space="0" w:color="auto"/>
        <w:left w:val="none" w:sz="0" w:space="0" w:color="auto"/>
        <w:bottom w:val="none" w:sz="0" w:space="0" w:color="auto"/>
        <w:right w:val="none" w:sz="0" w:space="0" w:color="auto"/>
      </w:divBdr>
    </w:div>
    <w:div w:id="1786265456">
      <w:bodyDiv w:val="1"/>
      <w:marLeft w:val="0"/>
      <w:marRight w:val="0"/>
      <w:marTop w:val="0"/>
      <w:marBottom w:val="0"/>
      <w:divBdr>
        <w:top w:val="none" w:sz="0" w:space="0" w:color="auto"/>
        <w:left w:val="none" w:sz="0" w:space="0" w:color="auto"/>
        <w:bottom w:val="none" w:sz="0" w:space="0" w:color="auto"/>
        <w:right w:val="none" w:sz="0" w:space="0" w:color="auto"/>
      </w:divBdr>
    </w:div>
    <w:div w:id="1947153609">
      <w:bodyDiv w:val="1"/>
      <w:marLeft w:val="0"/>
      <w:marRight w:val="0"/>
      <w:marTop w:val="0"/>
      <w:marBottom w:val="0"/>
      <w:divBdr>
        <w:top w:val="none" w:sz="0" w:space="0" w:color="auto"/>
        <w:left w:val="none" w:sz="0" w:space="0" w:color="auto"/>
        <w:bottom w:val="none" w:sz="0" w:space="0" w:color="auto"/>
        <w:right w:val="none" w:sz="0" w:space="0" w:color="auto"/>
      </w:divBdr>
    </w:div>
    <w:div w:id="1964573406">
      <w:bodyDiv w:val="1"/>
      <w:marLeft w:val="0"/>
      <w:marRight w:val="0"/>
      <w:marTop w:val="0"/>
      <w:marBottom w:val="0"/>
      <w:divBdr>
        <w:top w:val="none" w:sz="0" w:space="0" w:color="auto"/>
        <w:left w:val="none" w:sz="0" w:space="0" w:color="auto"/>
        <w:bottom w:val="none" w:sz="0" w:space="0" w:color="auto"/>
        <w:right w:val="none" w:sz="0" w:space="0" w:color="auto"/>
      </w:divBdr>
    </w:div>
    <w:div w:id="2015763854">
      <w:bodyDiv w:val="1"/>
      <w:marLeft w:val="0"/>
      <w:marRight w:val="0"/>
      <w:marTop w:val="0"/>
      <w:marBottom w:val="0"/>
      <w:divBdr>
        <w:top w:val="none" w:sz="0" w:space="0" w:color="auto"/>
        <w:left w:val="none" w:sz="0" w:space="0" w:color="auto"/>
        <w:bottom w:val="none" w:sz="0" w:space="0" w:color="auto"/>
        <w:right w:val="none" w:sz="0" w:space="0" w:color="auto"/>
      </w:divBdr>
    </w:div>
    <w:div w:id="203858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26B0BD47-AD3A-484D-959D-E26DA486D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31</Pages>
  <Words>7849</Words>
  <Characters>43175</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8</cp:revision>
  <cp:lastPrinted>2025-01-17T16:02:00Z</cp:lastPrinted>
  <dcterms:created xsi:type="dcterms:W3CDTF">2025-01-14T02:17:00Z</dcterms:created>
  <dcterms:modified xsi:type="dcterms:W3CDTF">2025-01-23T01:11:00Z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