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bookmarkStart w:colFirst="0" w:colLast="0" w:name="_heading=h.2et92p0"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tres de diciembre de dos mil veinticinco.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bookmarkStart w:colFirst="0" w:colLast="0" w:name="_heading=h.ojybkbsqpux0" w:id="1"/>
      <w:bookmarkEnd w:id="1"/>
      <w:r w:rsidDel="00000000" w:rsidR="00000000" w:rsidRPr="00000000">
        <w:rPr>
          <w:rFonts w:ascii="Palatino Linotype" w:cs="Palatino Linotype" w:eastAsia="Palatino Linotype" w:hAnsi="Palatino Linotype"/>
          <w:b w:val="1"/>
          <w:bCs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bCs w:val="1"/>
          <w:sz w:val="22"/>
          <w:szCs w:val="22"/>
          <w:rtl w:val="0"/>
        </w:rPr>
        <w:t xml:space="preserve">08349/INFOEM/IP/RR/2025</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bCs w:val="1"/>
          <w:sz w:val="22"/>
          <w:szCs w:val="22"/>
          <w:rtl w:val="0"/>
        </w:rPr>
        <w:t xml:space="preserve"> XXXXXX,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bCs w:val="1"/>
          <w:sz w:val="22"/>
          <w:szCs w:val="22"/>
          <w:rtl w:val="0"/>
        </w:rPr>
        <w:t xml:space="preserve"> 00315/ALMOJU/IP/2025</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bCs w:val="1"/>
          <w:sz w:val="22"/>
          <w:szCs w:val="22"/>
          <w:rtl w:val="0"/>
        </w:rPr>
        <w:t xml:space="preserve">Ayuntamiento de Almoloya de Juárez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4">
      <w:pPr>
        <w:numPr>
          <w:ilvl w:val="0"/>
          <w:numId w:val="2"/>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 N T E C E D E N T E 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6">
      <w:pPr>
        <w:numPr>
          <w:ilvl w:val="1"/>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bCs w:val="1"/>
          <w:sz w:val="22"/>
          <w:szCs w:val="22"/>
          <w:rtl w:val="0"/>
        </w:rPr>
        <w:t xml:space="preserve">cinco de junio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8">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“Conforme al artículo 6 de la Constitución Política de los Estados Unidos Mexicanos, le solicito lo siguiente: 1.- Me informe el nombre del funcionario o funcionarios que firmaron la conclusión del trámite del inmueble referido en el oficio: MAJ/TM/CCM/AESP/273/2023 de 19 de septiembre de 2023, expedido por la Coordinación de Catastro Municipal de Almoloya de Juárez. 2.- Me informe la fecha específica en que concluyó el trámite del inmueble referido en el oficio: MAJ/TM/CCM/AESP/273/2023 de 19 de septiembre de 2023, expedido por la Coordinación de Catastro Municipal de Almoloya de Juárez. 3. Me proporcione la solicitud presentada donde se pide levantar o terminar la suspensión del tramité del inmueble referido en el oficio: MAJ/TM/CCM/AESP/273/2023 de 19 de septiembre de 2023. 4. Me proporcione el acuerdo emitido por la Coordinación de Catastro Municipal de Almoloya de Juárez en el que determinó terminar la suspensión del tramité del inmueble referido en el oficio: MAJ/TM/CCM/AESP/273/2023 de 19 de septiembre de 2023 y darle continuidad. 5. El acuerdo referido en el punto anterior ¿fue notificado a Xxxxxxxxx Xxxxxxxxx Xxxxxxx? Ya que él es una de las partes con interés jurídico en el tramité multicitado. 6. Se me otorguen las constancias que acrediten la respuesta otorgada por el sujeto obligado.”</w:t>
      </w:r>
    </w:p>
    <w:p w:rsidR="00000000" w:rsidDel="00000000" w:rsidP="00000000" w:rsidRDefault="00000000" w:rsidRPr="00000000" w14:paraId="00000009">
      <w:pPr>
        <w:spacing w:line="360" w:lineRule="auto"/>
        <w:ind w:left="709" w:right="900"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bCs w:val="1"/>
          <w:sz w:val="22"/>
          <w:szCs w:val="22"/>
          <w:rtl w:val="0"/>
        </w:rPr>
        <w:t xml:space="preserve">veintitrés de junio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D">
      <w:pPr>
        <w:tabs>
          <w:tab w:val="left" w:leader="none" w:pos="7371"/>
        </w:tabs>
        <w:spacing w:line="360" w:lineRule="auto"/>
        <w:ind w:left="567" w:right="616" w:firstLine="0"/>
        <w:jc w:val="both"/>
        <w:rPr>
          <w:rFonts w:ascii="Palatino Linotype" w:cs="Palatino Linotype" w:eastAsia="Palatino Linotype" w:hAnsi="Palatino Linotype"/>
          <w:i w:val="1"/>
          <w:iCs w:val="1"/>
          <w:sz w:val="22"/>
          <w:szCs w:val="22"/>
        </w:rPr>
      </w:pPr>
      <w:bookmarkStart w:colFirst="0" w:colLast="0" w:name="_heading=h.3znysh7" w:id="2"/>
      <w:bookmarkEnd w:id="2"/>
      <w:r w:rsidDel="00000000" w:rsidR="00000000" w:rsidRPr="00000000">
        <w:rPr>
          <w:rtl w:val="0"/>
        </w:rPr>
      </w:r>
    </w:p>
    <w:p w:rsidR="00000000" w:rsidDel="00000000" w:rsidP="00000000" w:rsidRDefault="00000000" w:rsidRPr="00000000" w14:paraId="0000000E">
      <w:pPr>
        <w:tabs>
          <w:tab w:val="left" w:leader="none" w:pos="7371"/>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“Con fundamento en lo establecido en los artículos 4, 12, 59 y 164 de la Ley de Transparencia y Acceso a la Información Pública del Estado de México y Municipios, se adjunta la respuesta proporcionada por autoridad competente. Se le hace de su conocimiento que en caso de no estar conforme con la respuesta proporcionada, tiene derecho a impugnarla a través del recurso de revisión de conformidad con lo dispuesto en el artículo 177 de la Ley de Transparencia y Acceso a la Información Pública del Estado de México y Municipios, dentro del plazo de 15 días hábiles contados a partir del día siguiente de la presente notificación.</w:t>
      </w:r>
    </w:p>
    <w:p w:rsidR="00000000" w:rsidDel="00000000" w:rsidP="00000000" w:rsidRDefault="00000000" w:rsidRPr="00000000" w14:paraId="0000000F">
      <w:pPr>
        <w:tabs>
          <w:tab w:val="left" w:leader="none" w:pos="7371"/>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ATENTAMENTE</w:t>
      </w:r>
    </w:p>
    <w:p w:rsidR="00000000" w:rsidDel="00000000" w:rsidP="00000000" w:rsidRDefault="00000000" w:rsidRPr="00000000" w14:paraId="00000010">
      <w:pPr>
        <w:tabs>
          <w:tab w:val="left" w:leader="none" w:pos="7371"/>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LICENCIADO Christian Alejandro Arellano Serrano”</w:t>
      </w:r>
    </w:p>
    <w:p w:rsidR="00000000" w:rsidDel="00000000" w:rsidP="00000000" w:rsidRDefault="00000000" w:rsidRPr="00000000" w14:paraId="0000001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adjuntó a su respuesta los archivos electrónicos denominados </w:t>
      </w:r>
      <w:r w:rsidDel="00000000" w:rsidR="00000000" w:rsidRPr="00000000">
        <w:rPr>
          <w:rFonts w:ascii="Palatino Linotype" w:cs="Palatino Linotype" w:eastAsia="Palatino Linotype" w:hAnsi="Palatino Linotype"/>
          <w:b w:val="1"/>
          <w:bCs w:val="1"/>
          <w:i w:val="1"/>
          <w:iCs w:val="1"/>
          <w:sz w:val="22"/>
          <w:szCs w:val="22"/>
          <w:rtl w:val="0"/>
        </w:rPr>
        <w:t xml:space="preserve">“Resp. Sol. 00315-2025.pdf”</w:t>
      </w:r>
      <w:r w:rsidDel="00000000" w:rsidR="00000000" w:rsidRPr="00000000">
        <w:rPr>
          <w:rFonts w:ascii="Palatino Linotype" w:cs="Palatino Linotype" w:eastAsia="Palatino Linotype" w:hAnsi="Palatino Linotype"/>
          <w:sz w:val="22"/>
          <w:szCs w:val="22"/>
          <w:rtl w:val="0"/>
        </w:rPr>
        <w:t xml:space="preserve">, mismo que contiene lo siguiente: </w:t>
      </w:r>
    </w:p>
    <w:p w:rsidR="00000000" w:rsidDel="00000000" w:rsidP="00000000" w:rsidRDefault="00000000" w:rsidRPr="00000000" w14:paraId="0000001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Oficio número STGAJ/UT/349/2025 de fecha cinco de junio de dos mil veinticinco, signado por el Titular de la Unidad de Transparencia, mediante el cual solicitó al Coordinador de Catastro, la entrega de la información mediante oficio, únicamente aquella que se encuentre dentro de sus archivos y sea de su plena competencia. </w:t>
      </w:r>
    </w:p>
    <w:p w:rsidR="00000000" w:rsidDel="00000000" w:rsidP="00000000" w:rsidRDefault="00000000" w:rsidRPr="00000000" w14:paraId="000000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Oficio número MAJ/TM/CC/JAGG/229/2025 de fecha doce de junio de dos mil veinticinco, suscrito por el Coordinador de Catastro, mediante el cual informó: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616"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“Atento a lo anterior, y con fundamento en las facultades y atribuciones conferidas por los artículos 167, 168, 169 fracción IV Y 171 del Código Financiero del Estado de México y Municipios; y con base en el artículo 55 del mismo ordenamiento que, a la letra dice: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616"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"Las personas servidoras públicas que intervengan en los trámites que regule este Código, están obligadas a guardar absoluta reserva y confidencialidad, en términos de lo dispuesto por la Ley de Protección de Datos Personales en Posesión de Sujetos Obligados del Estado de México y Municipios, en cuanto a los datos y documentos que proporcionen los particulares o terceros relacionados con ellos; así como, los relativos a los procedimientos administrativos y jurisdiccionales originados por la aplicación del mismo."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616"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616"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Así mismo, con fundamento en los artículos 6, 143 y demás relativos y aplicables de la Ley de Transparencia y Acceso a la Información Pública del Estado de México y Municipios, </w:t>
      </w: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no es posible proporcionar la información solicitada hasta en tanto acredite su interés jurídico o legítimo previo cumplimiento con los requisitos establecidos, en el Manual Catastral del Estado de México, en términos de lo que establece el artículo 173 del Código Financiero del Estado de México y Municipios</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bCs w:val="1"/>
          <w:sz w:val="22"/>
          <w:szCs w:val="22"/>
          <w:rtl w:val="0"/>
        </w:rPr>
        <w:t xml:space="preserve">nueve de julio de dos mil veinticinco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Acto impugnado. </w:t>
      </w:r>
      <w:r w:rsidDel="00000000" w:rsidR="00000000" w:rsidRPr="00000000">
        <w:rPr>
          <w:rFonts w:ascii="Palatino Linotype" w:cs="Palatino Linotype" w:eastAsia="Palatino Linotype" w:hAnsi="Palatino Linotype"/>
          <w:i w:val="1"/>
          <w:iCs w:val="1"/>
          <w:sz w:val="22"/>
          <w:szCs w:val="22"/>
          <w:rtl w:val="0"/>
        </w:rPr>
        <w:t xml:space="preserve">“Se menciona en el documento anexo.” </w:t>
      </w:r>
    </w:p>
    <w:p w:rsidR="00000000" w:rsidDel="00000000" w:rsidP="00000000" w:rsidRDefault="00000000" w:rsidRPr="00000000" w14:paraId="0000001F">
      <w:pPr>
        <w:spacing w:line="276"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bCs w:val="1"/>
          <w:i w:val="1"/>
          <w:iCs w:val="1"/>
          <w:sz w:val="22"/>
          <w:szCs w:val="22"/>
          <w:u w:val="single"/>
        </w:rPr>
      </w:pPr>
      <w:r w:rsidDel="00000000" w:rsidR="00000000" w:rsidRPr="00000000">
        <w:rPr>
          <w:rFonts w:ascii="Palatino Linotype" w:cs="Palatino Linotype" w:eastAsia="Palatino Linotype" w:hAnsi="Palatino Linotype"/>
          <w:b w:val="1"/>
          <w:bCs w:val="1"/>
          <w:sz w:val="22"/>
          <w:szCs w:val="22"/>
          <w:rtl w:val="0"/>
        </w:rPr>
        <w:t xml:space="preserve">Motivos de inconformidad. </w:t>
      </w:r>
      <w:r w:rsidDel="00000000" w:rsidR="00000000" w:rsidRPr="00000000">
        <w:rPr>
          <w:rFonts w:ascii="Palatino Linotype" w:cs="Palatino Linotype" w:eastAsia="Palatino Linotype" w:hAnsi="Palatino Linotype"/>
          <w:i w:val="1"/>
          <w:iCs w:val="1"/>
          <w:sz w:val="22"/>
          <w:szCs w:val="22"/>
          <w:rtl w:val="0"/>
        </w:rPr>
        <w:t xml:space="preserve">“Se menciona en el documento anexo.”</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Adjuntando a su interposición el archivo electrónico denominado “</w:t>
      </w:r>
      <w:r w:rsidDel="00000000" w:rsidR="00000000" w:rsidRPr="00000000">
        <w:rPr>
          <w:rFonts w:ascii="Palatino Linotype" w:cs="Palatino Linotype" w:eastAsia="Palatino Linotype" w:hAnsi="Palatino Linotype"/>
          <w:b w:val="1"/>
          <w:bCs w:val="1"/>
          <w:i w:val="1"/>
          <w:iCs w:val="1"/>
          <w:sz w:val="22"/>
          <w:szCs w:val="22"/>
          <w:rtl w:val="0"/>
        </w:rPr>
        <w:t xml:space="preserve">14. Vs Ayuntamiento Almoloya.pdf”, </w:t>
      </w:r>
      <w:r w:rsidDel="00000000" w:rsidR="00000000" w:rsidRPr="00000000">
        <w:rPr>
          <w:rFonts w:ascii="Palatino Linotype" w:cs="Palatino Linotype" w:eastAsia="Palatino Linotype" w:hAnsi="Palatino Linotype"/>
          <w:sz w:val="22"/>
          <w:szCs w:val="22"/>
          <w:rtl w:val="0"/>
        </w:rPr>
        <w:t xml:space="preserve">el cual contiene lo siguiente: </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444525" cy="5221504"/>
            <wp:effectExtent b="0" l="0" r="0" t="0"/>
            <wp:docPr id="99991589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444525" cy="5221504"/>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472433" cy="5151303"/>
            <wp:effectExtent b="0" l="0" r="0" t="0"/>
            <wp:docPr id="99991589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472433" cy="5151303"/>
                    </a:xfrm>
                    <a:prstGeom prst="rect"/>
                    <a:ln/>
                  </pic:spPr>
                </pic:pic>
              </a:graphicData>
            </a:graphic>
          </wp:inline>
        </w:drawing>
      </w:r>
      <w:r w:rsidDel="00000000" w:rsidR="00000000" w:rsidRPr="00000000">
        <w:rPr>
          <w:rFonts w:ascii="Palatino Linotype" w:cs="Palatino Linotype" w:eastAsia="Palatino Linotype" w:hAnsi="Palatino Linotype"/>
          <w:sz w:val="22"/>
          <w:szCs w:val="22"/>
        </w:rPr>
        <w:drawing>
          <wp:inline distB="0" distT="0" distL="0" distR="0">
            <wp:extent cx="4324466" cy="1234513"/>
            <wp:effectExtent b="0" l="0" r="0" t="0"/>
            <wp:docPr id="99991589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324466" cy="123451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782672" cy="1702995"/>
            <wp:effectExtent b="0" l="0" r="0" t="0"/>
            <wp:docPr id="99991589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782672" cy="170299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bCs w:val="1"/>
          <w:sz w:val="22"/>
          <w:szCs w:val="22"/>
          <w:rtl w:val="0"/>
        </w:rPr>
        <w:t xml:space="preserve">08349/INFOEM/IP/RR/2025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bCs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3"/>
      <w:bookmarkEnd w:id="3"/>
      <w:r w:rsidDel="00000000" w:rsidR="00000000" w:rsidRPr="00000000">
        <w:rPr>
          <w:rFonts w:ascii="Palatino Linotype" w:cs="Palatino Linotype" w:eastAsia="Palatino Linotype" w:hAnsi="Palatino Linotype"/>
          <w:b w:val="1"/>
          <w:bCs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bCs w:val="1"/>
          <w:sz w:val="22"/>
          <w:szCs w:val="22"/>
          <w:rtl w:val="0"/>
        </w:rPr>
        <w:t xml:space="preserve">catorce de julio de dos mil veinticinco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De las constancias del expediente electrónico del SAIMEX, se observa que el Sujeto Obligado fue omiso en rendir su informe justificado; así como, la parte Recurrente fue omisa en hacer valer manifestaciones o rendir alegatos que conforme a derecho resultaran procedentes, como se muestra:</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316355"/>
            <wp:effectExtent b="0" l="0" r="0" t="0"/>
            <wp:docPr id="99991589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612130" cy="131635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7. Requerimiento de información adicional.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doce de septiembre de dos mil veinticinco</w:t>
      </w:r>
      <w:r w:rsidDel="00000000" w:rsidR="00000000" w:rsidRPr="00000000">
        <w:rPr>
          <w:rFonts w:ascii="Palatino Linotype" w:cs="Palatino Linotype" w:eastAsia="Palatino Linotype" w:hAnsi="Palatino Linotype"/>
          <w:sz w:val="22"/>
          <w:szCs w:val="22"/>
          <w:rtl w:val="0"/>
        </w:rPr>
        <w:t xml:space="preserve">, este Organismo Garante hizo un requerimiento de información adicional al Sujeto Obligado, el cual consistió en lo siguiente:</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360"/>
        </w:tabs>
        <w:ind w:left="426"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“Aprovecho este escrito para saludarle, y a la vez, referirme a las constancias que integran el expediente del recurso de revisión 08349/INFOEM/IP/RR/2025; originado de la respuesta a la solicitud de información 00315/ALMOJU/IP/2025, que para dar solvencia a dicho requerimiento, informó a través del Coordinador de Catastro que no era posible proporcionar la información solicitada hasta en tanto se acredite el interés jurídico o legítimo previo cumplimiento con los requisitos establecidos, en el Manual Catastral del Estado de México, en términos de lo que establece el artículo 173 del Código Financiero del Estado de México y Municipios.</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360"/>
        </w:tabs>
        <w:ind w:left="426"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360"/>
        </w:tabs>
        <w:ind w:left="426"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Atento a lo anterior, con fundamento en el artículo 14, fracciones I, II, V y XVI del Reglamento Interno del Instituto de Transparencia, Acceso a la Información Pública y Protección de Datos Personales del Estado de México y Municipios, con el objeto de contar con los elementos necesarios para la elaboración del proyecto de resolución correspondiente, se requiere al Sujeto Obligado para que precise lo siguiente:</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360"/>
        </w:tabs>
        <w:ind w:left="426"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360"/>
        </w:tabs>
        <w:ind w:left="426"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1.      Manifieste, a que trámite se refiere el oficio número MAJ/TM/CCM/AESP/273/2023 de fecha 19 de septiembre de 2023.</w:t>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360"/>
        </w:tabs>
        <w:ind w:left="426"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leader="none" w:pos="360"/>
        </w:tabs>
        <w:ind w:left="426"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2. Manifieste, quien lleva a cabo el trámite referido en el oficio número MAJ/TM/CCM/AESP/273/2023.</w:t>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360"/>
        </w:tabs>
        <w:ind w:left="426"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360"/>
        </w:tabs>
        <w:ind w:left="426"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3. Manifieste, en qué estado se encuentra el trámite referido en el oficio número MAJ/TM/CCM/AESP/273/2023.</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360"/>
        </w:tabs>
        <w:ind w:left="426"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360"/>
        </w:tabs>
        <w:ind w:left="426"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4. Manifieste, si el solicitante, forma parte del trámite del inmueble referido en el oficio número MAJ/TM/CCM/AESP/273/2023.</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360"/>
        </w:tabs>
        <w:ind w:left="426"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cual no se obtuvo respuesta por parte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numPr>
          <w:ilvl w:val="0"/>
          <w:numId w:val="3"/>
        </w:numPr>
        <w:pBdr>
          <w:top w:space="0" w:sz="0" w:val="nil"/>
          <w:left w:space="0" w:sz="0" w:val="nil"/>
          <w:bottom w:space="0" w:sz="0" w:val="nil"/>
          <w:right w:space="0" w:sz="0" w:val="nil"/>
          <w:between w:space="0" w:sz="0" w:val="nil"/>
        </w:pBdr>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Ampliación del plazo para emitir resolución.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diecinueve de septiembre de dos mil veinticinco</w:t>
      </w:r>
      <w:r w:rsidDel="00000000" w:rsidR="00000000" w:rsidRPr="00000000">
        <w:rPr>
          <w:rFonts w:ascii="Palatino Linotype" w:cs="Palatino Linotype" w:eastAsia="Palatino Linotype" w:hAnsi="Palatino Linotype"/>
          <w:sz w:val="22"/>
          <w:szCs w:val="22"/>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4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4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4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4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4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tabs>
          <w:tab w:val="left" w:leader="none" w:pos="709"/>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a)    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4C">
      <w:pPr>
        <w:tabs>
          <w:tab w:val="left" w:leader="none" w:pos="709"/>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b)   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4D">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  Conducta de la Autoridad:</w:t>
      </w:r>
      <w:r w:rsidDel="00000000" w:rsidR="00000000" w:rsidRPr="00000000">
        <w:rPr>
          <w:rFonts w:ascii="Palatino Linotype" w:cs="Palatino Linotype" w:eastAsia="Palatino Linotype" w:hAnsi="Palatino Linotype"/>
          <w:sz w:val="22"/>
          <w:szCs w:val="22"/>
          <w:rtl w:val="0"/>
        </w:rPr>
        <w:t xml:space="preserve"> Las Acciones u omisiones realizadas en el procedimiento. Así como si la autoridad actuó con la debida diligencia.</w:t>
      </w:r>
    </w:p>
    <w:p w:rsidR="00000000" w:rsidDel="00000000" w:rsidP="00000000" w:rsidRDefault="00000000" w:rsidRPr="00000000" w14:paraId="0000004E">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4F">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5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bCs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p>
    <w:p w:rsidR="00000000" w:rsidDel="00000000" w:rsidP="00000000" w:rsidRDefault="00000000" w:rsidRPr="00000000" w14:paraId="0000005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5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57">
      <w:pPr>
        <w:ind w:left="851"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iCs w:val="1"/>
          <w:sz w:val="22"/>
          <w:szCs w:val="22"/>
          <w:rtl w:val="0"/>
        </w:rPr>
        <w:t xml:space="preserve"> consultable en el Seminario Judicial de la Federación y su gaceta, con el registro digital 2002351.</w:t>
      </w:r>
    </w:p>
    <w:p w:rsidR="00000000" w:rsidDel="00000000" w:rsidP="00000000" w:rsidRDefault="00000000" w:rsidRPr="00000000" w14:paraId="00000058">
      <w:pPr>
        <w:ind w:left="851" w:right="84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iCs w:val="1"/>
          <w:sz w:val="22"/>
          <w:szCs w:val="22"/>
          <w:rtl w:val="0"/>
        </w:rPr>
        <w:t xml:space="preserve"> visible en el Seminario Judicial de la Federación y su gaceta, con el registro digital 2002350</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C">
      <w:pPr>
        <w:numPr>
          <w:ilvl w:val="0"/>
          <w:numId w:val="9"/>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veinte de noviembre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5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bCs w:val="1"/>
          <w:sz w:val="22"/>
          <w:szCs w:val="22"/>
        </w:rPr>
      </w:pPr>
      <w:bookmarkStart w:colFirst="0" w:colLast="0" w:name="_heading=h.30j0zll" w:id="4"/>
      <w:bookmarkEnd w:id="4"/>
      <w:r w:rsidDel="00000000" w:rsidR="00000000" w:rsidRPr="00000000">
        <w:rPr>
          <w:rFonts w:ascii="Palatino Linotype" w:cs="Palatino Linotype" w:eastAsia="Palatino Linotype" w:hAnsi="Palatino Linotype"/>
          <w:b w:val="1"/>
          <w:bCs w:val="1"/>
          <w:sz w:val="22"/>
          <w:szCs w:val="22"/>
          <w:rtl w:val="0"/>
        </w:rPr>
        <w:t xml:space="preserve">C O N S I D E R A N D O:</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6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63">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6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6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bCs w:val="1"/>
          <w:sz w:val="22"/>
          <w:szCs w:val="22"/>
          <w:rtl w:val="0"/>
        </w:rPr>
        <w:t xml:space="preserve">veintitrés de junio de dos mil veinticinco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bCs w:val="1"/>
          <w:sz w:val="22"/>
          <w:szCs w:val="22"/>
          <w:rtl w:val="0"/>
        </w:rPr>
        <w:t xml:space="preserve">nueve de julio de dos mil veinticinco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al décimo segundo día hábil en que tuvo conocimiento de la respuesta. </w:t>
      </w:r>
    </w:p>
    <w:p w:rsidR="00000000" w:rsidDel="00000000" w:rsidP="00000000" w:rsidRDefault="00000000" w:rsidRPr="00000000" w14:paraId="0000006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6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efecto de sustentar lo anterior, es de suma importancia mencionar que, si bien la persona solicitante no proporcionó un nombre para ser identificado,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6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Las solicitudes anónimas</w:t>
      </w:r>
      <w:r w:rsidDel="00000000" w:rsidR="00000000" w:rsidRPr="00000000">
        <w:rPr>
          <w:rFonts w:ascii="Palatino Linotype" w:cs="Palatino Linotype" w:eastAsia="Palatino Linotype" w:hAnsi="Palatino Linotype"/>
          <w:i w:val="1"/>
          <w:iCs w:val="1"/>
          <w:sz w:val="22"/>
          <w:szCs w:val="22"/>
          <w:rtl w:val="0"/>
        </w:rPr>
        <w:t xml:space="preserve">,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6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179. </w:t>
      </w:r>
      <w:r w:rsidDel="00000000" w:rsidR="00000000" w:rsidRPr="00000000">
        <w:rPr>
          <w:rFonts w:ascii="Palatino Linotype" w:cs="Palatino Linotype" w:eastAsia="Palatino Linotype" w:hAnsi="Palatino Linotype"/>
          <w:i w:val="1"/>
          <w:iCs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7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7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La negativa a la información solicitada;</w:t>
      </w:r>
    </w:p>
    <w:p w:rsidR="00000000" w:rsidDel="00000000" w:rsidP="00000000" w:rsidRDefault="00000000" w:rsidRPr="00000000" w14:paraId="00000072">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73">
      <w:pPr>
        <w:spacing w:line="360"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7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rsidR="00000000" w:rsidDel="00000000" w:rsidP="00000000" w:rsidRDefault="00000000" w:rsidRPr="00000000" w14:paraId="0000007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Sujeto Obligado</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7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tabs>
          <w:tab w:val="left" w:leader="none" w:pos="851"/>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4</w:t>
      </w:r>
      <w:r w:rsidDel="00000000" w:rsidR="00000000" w:rsidRPr="00000000">
        <w:rPr>
          <w:rFonts w:ascii="Palatino Linotype" w:cs="Palatino Linotype" w:eastAsia="Palatino Linotype" w:hAnsi="Palatino Linotype"/>
          <w:i w:val="1"/>
          <w:iCs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79">
      <w:pPr>
        <w:tabs>
          <w:tab w:val="left" w:leader="none" w:pos="851"/>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7A">
      <w:pPr>
        <w:tabs>
          <w:tab w:val="left" w:leader="none" w:pos="851"/>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sz w:val="22"/>
          <w:szCs w:val="22"/>
          <w:rtl w:val="0"/>
        </w:rPr>
        <w:t xml:space="preserve">.”(Sic)</w:t>
      </w:r>
    </w:p>
    <w:p w:rsidR="00000000" w:rsidDel="00000000" w:rsidP="00000000" w:rsidRDefault="00000000" w:rsidRPr="00000000" w14:paraId="0000007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7D">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12.-</w:t>
      </w:r>
      <w:r w:rsidDel="00000000" w:rsidR="00000000" w:rsidRPr="00000000">
        <w:rPr>
          <w:rFonts w:ascii="Palatino Linotype" w:cs="Palatino Linotype" w:eastAsia="Palatino Linotype" w:hAnsi="Palatino Linotype"/>
          <w:i w:val="1"/>
          <w:iCs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7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8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81">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2">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83">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4">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bCs w:val="1"/>
          <w:sz w:val="22"/>
          <w:szCs w:val="22"/>
          <w:rtl w:val="0"/>
        </w:rPr>
        <w:t xml:space="preserve"> </w:t>
      </w:r>
    </w:p>
    <w:p w:rsidR="00000000" w:rsidDel="00000000" w:rsidP="00000000" w:rsidRDefault="00000000" w:rsidRPr="00000000" w14:paraId="00000085">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87">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8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8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A">
      <w:pPr>
        <w:spacing w:line="360" w:lineRule="auto"/>
        <w:jc w:val="both"/>
        <w:rPr>
          <w:rFonts w:ascii="Palatino Linotype" w:cs="Palatino Linotype" w:eastAsia="Palatino Linotype" w:hAnsi="Palatino Linotype"/>
          <w:sz w:val="22"/>
          <w:szCs w:val="22"/>
        </w:rPr>
      </w:pPr>
      <w:bookmarkStart w:colFirst="0" w:colLast="0" w:name="_heading=h.1fob9te" w:id="5"/>
      <w:bookmarkEnd w:id="5"/>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8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C">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 </w:t>
      </w:r>
      <w:r w:rsidDel="00000000" w:rsidR="00000000" w:rsidRPr="00000000">
        <w:rPr>
          <w:rFonts w:ascii="Palatino Linotype" w:cs="Palatino Linotype" w:eastAsia="Palatino Linotype" w:hAnsi="Palatino Linotype"/>
          <w:i w:val="1"/>
          <w:iCs w:val="1"/>
          <w:sz w:val="22"/>
          <w:szCs w:val="22"/>
          <w:rtl w:val="0"/>
        </w:rPr>
        <w:t xml:space="preserve">Para los efectos de la presente Ley se entenderá por:</w:t>
      </w:r>
    </w:p>
    <w:p w:rsidR="00000000" w:rsidDel="00000000" w:rsidP="00000000" w:rsidRDefault="00000000" w:rsidRPr="00000000" w14:paraId="0000008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8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Documento:</w:t>
      </w:r>
      <w:r w:rsidDel="00000000" w:rsidR="00000000" w:rsidRPr="00000000">
        <w:rPr>
          <w:rFonts w:ascii="Palatino Linotype" w:cs="Palatino Linotype" w:eastAsia="Palatino Linotype" w:hAnsi="Palatino Linotype"/>
          <w:i w:val="1"/>
          <w:iCs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8F">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91">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2">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9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9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95">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96">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9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9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C">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le proporcione, información consistente en lo siguiente:</w:t>
      </w:r>
    </w:p>
    <w:p w:rsidR="00000000" w:rsidDel="00000000" w:rsidP="00000000" w:rsidRDefault="00000000" w:rsidRPr="00000000" w14:paraId="0000009D">
      <w:pPr>
        <w:spacing w:line="276"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9E">
      <w:pPr>
        <w:spacing w:line="276"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Del trámite del inmueble referido en el oficio número MAJ/TM/CCM/AESP/273/2023 de 19 de septiembre de 2023, expedido por la Coordinación de Catastro Municipal de Almoloya de Juárez, lo siguiente: </w:t>
      </w:r>
    </w:p>
    <w:p w:rsidR="00000000" w:rsidDel="00000000" w:rsidP="00000000" w:rsidRDefault="00000000" w:rsidRPr="00000000" w14:paraId="0000009F">
      <w:pPr>
        <w:spacing w:line="276"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A0">
      <w:pPr>
        <w:spacing w:line="360"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1.- Nombre del funcionario o funcionarios que firmaron la conclusión del trámite. </w:t>
      </w:r>
    </w:p>
    <w:p w:rsidR="00000000" w:rsidDel="00000000" w:rsidP="00000000" w:rsidRDefault="00000000" w:rsidRPr="00000000" w14:paraId="000000A1">
      <w:pPr>
        <w:spacing w:line="360"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2.- Fecha específica en que concluyó el trámite. </w:t>
      </w:r>
    </w:p>
    <w:p w:rsidR="00000000" w:rsidDel="00000000" w:rsidP="00000000" w:rsidRDefault="00000000" w:rsidRPr="00000000" w14:paraId="000000A2">
      <w:pPr>
        <w:spacing w:line="360"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3. La solicitud presentada donde se pide levantar o terminar la suspensión del tramité del inmueble referido. </w:t>
      </w:r>
    </w:p>
    <w:p w:rsidR="00000000" w:rsidDel="00000000" w:rsidP="00000000" w:rsidRDefault="00000000" w:rsidRPr="00000000" w14:paraId="000000A3">
      <w:pPr>
        <w:spacing w:line="360"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4. El acuerdo emitido por la Coordinación de Catastro Municipal de Almoloya de Juárez en el que determinó terminar la suspensión del tramité del inmueble y darle continuidad. </w:t>
      </w:r>
    </w:p>
    <w:p w:rsidR="00000000" w:rsidDel="00000000" w:rsidP="00000000" w:rsidRDefault="00000000" w:rsidRPr="00000000" w14:paraId="000000A4">
      <w:pPr>
        <w:spacing w:line="360"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5. Del acuerdo referido en el punto anterior ¿fue notificado a Xxxxxxxxx Xxxxxxxxx Xxxxxxx? Ya que él es una de las partes con interés jurídico en el tramité multicitado. </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360" w:lineRule="auto"/>
        <w:ind w:left="72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Coordinador de Catastro informó que no es posible proporcionar la información solicitada hasta en tanto acredite su interés jurídico o legítimo previo cumplimiento con los requisitos establecidos, en el Manual Catastral del Estado de México y en términos de lo que establece el artículo 173 del Código Financiero del Estado de México y Municipios.</w:t>
      </w:r>
    </w:p>
    <w:p w:rsidR="00000000" w:rsidDel="00000000" w:rsidP="00000000" w:rsidRDefault="00000000" w:rsidRPr="00000000" w14:paraId="000000A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Inconforme con la respuesta el hoy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que se analiza en el presente asunto, por medio del cual se adolece medularmente de la negativa a la información solicitada. </w:t>
      </w:r>
    </w:p>
    <w:p w:rsidR="00000000" w:rsidDel="00000000" w:rsidP="00000000" w:rsidRDefault="00000000" w:rsidRPr="00000000" w14:paraId="000000A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no obstante, las partes omitieron pronunciarse. </w:t>
      </w:r>
    </w:p>
    <w:p w:rsidR="00000000" w:rsidDel="00000000" w:rsidP="00000000" w:rsidRDefault="00000000" w:rsidRPr="00000000" w14:paraId="000000A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puntualizado lo anterior, no pasa inadvertido para este Organismo Garante que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desea conocer información referente al trámite del inmueble referido en el oficio número </w:t>
      </w:r>
      <w:r w:rsidDel="00000000" w:rsidR="00000000" w:rsidRPr="00000000">
        <w:rPr>
          <w:rFonts w:ascii="Palatino Linotype" w:cs="Palatino Linotype" w:eastAsia="Palatino Linotype" w:hAnsi="Palatino Linotype"/>
          <w:b w:val="1"/>
          <w:bCs w:val="1"/>
          <w:sz w:val="22"/>
          <w:szCs w:val="22"/>
          <w:rtl w:val="0"/>
        </w:rPr>
        <w:t xml:space="preserve">MAJ/TM/CCM/AESP/273/2023 </w:t>
      </w:r>
      <w:r w:rsidDel="00000000" w:rsidR="00000000" w:rsidRPr="00000000">
        <w:rPr>
          <w:rFonts w:ascii="Palatino Linotype" w:cs="Palatino Linotype" w:eastAsia="Palatino Linotype" w:hAnsi="Palatino Linotype"/>
          <w:sz w:val="22"/>
          <w:szCs w:val="22"/>
          <w:rtl w:val="0"/>
        </w:rPr>
        <w:t xml:space="preserve">de fecha diecinueve de septiembre de dos mil veintitrés, expedido por la Coordinación de Catastro Municipal, para ello, conviene señalar que este Instituto localizó que el referido oficio guarda relación con el recurso de revisión número 08347/INFOEM/IP/RR/2025, en el cual hay existencia de identidad de partes y también de causa; es decir la existencia de un "precedente", mismo en el que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hizo entrega del referido oficio de análisis y en el que se advierte que guarda relación con un trámite de traslado de dominio, es decir que guarda relación con un trámite privado. </w:t>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principio, a manera de analogía, es necesario precisar que el Traslado de Dominio, conforme a la página del Gobierno, en su apartado de Trámites y Servicios (consultada en </w:t>
      </w:r>
      <w:hyperlink r:id="rId13">
        <w:r w:rsidDel="00000000" w:rsidR="00000000" w:rsidRPr="00000000">
          <w:rPr>
            <w:rFonts w:ascii="Palatino Linotype" w:cs="Palatino Linotype" w:eastAsia="Palatino Linotype" w:hAnsi="Palatino Linotype"/>
            <w:color w:val="000000"/>
            <w:sz w:val="22"/>
            <w:szCs w:val="22"/>
            <w:u w:val="single"/>
            <w:rtl w:val="0"/>
          </w:rPr>
          <w:t xml:space="preserve">https://gobiernodechalco.gob.mx/tramites-servicios/154-traslado-de-dominio#:~:text=Es%20el%20cambio%20de%20propietario%20de%20un,113%2C%20114%2C%20115%2C%20116%2C%20117%2C%20173%2C%20175</w:t>
        </w:r>
      </w:hyperlink>
      <w:r w:rsidDel="00000000" w:rsidR="00000000" w:rsidRPr="00000000">
        <w:rPr>
          <w:rFonts w:ascii="Palatino Linotype" w:cs="Palatino Linotype" w:eastAsia="Palatino Linotype" w:hAnsi="Palatino Linotype"/>
          <w:sz w:val="22"/>
          <w:szCs w:val="22"/>
          <w:rtl w:val="0"/>
        </w:rPr>
        <w:t xml:space="preserve">), es el </w:t>
      </w:r>
      <w:r w:rsidDel="00000000" w:rsidR="00000000" w:rsidRPr="00000000">
        <w:rPr>
          <w:rFonts w:ascii="Palatino Linotype" w:cs="Palatino Linotype" w:eastAsia="Palatino Linotype" w:hAnsi="Palatino Linotype"/>
          <w:b w:val="1"/>
          <w:bCs w:val="1"/>
          <w:sz w:val="22"/>
          <w:szCs w:val="22"/>
          <w:u w:val="single"/>
          <w:rtl w:val="0"/>
        </w:rPr>
        <w:t xml:space="preserve">cambio de propietario de un predio, ya sea, que cedan los derechos o por medio de la venta del predio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A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Sobre el tema, el artículo 116 del Código Financiero del Estado de México, precisa que, tratándose de adquisiciones traslativas de dominio, el pago de impuestos al municipio se realizará dentro de los diecisiete días siguientes, a la de realizar cualquier supuesto de adquisición.</w:t>
      </w:r>
    </w:p>
    <w:p w:rsidR="00000000" w:rsidDel="00000000" w:rsidP="00000000" w:rsidRDefault="00000000" w:rsidRPr="00000000" w14:paraId="000000B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la Ventanilla Electrónica Única del Gobierno del Estado de México, en su apartado de dónde y cuándo poder realizar el trámite (consultada en la liga electrónica </w:t>
      </w:r>
      <w:hyperlink r:id="rId14">
        <w:r w:rsidDel="00000000" w:rsidR="00000000" w:rsidRPr="00000000">
          <w:rPr>
            <w:rFonts w:ascii="Palatino Linotype" w:cs="Palatino Linotype" w:eastAsia="Palatino Linotype" w:hAnsi="Palatino Linotype"/>
            <w:color w:val="000000"/>
            <w:sz w:val="22"/>
            <w:szCs w:val="22"/>
            <w:u w:val="single"/>
            <w:rtl w:val="0"/>
          </w:rPr>
          <w:t xml:space="preserve">https://sistemas2.edomex.gob.mx/TramitesyServicios/Tramite?tram=19138&amp;cont=0</w:t>
        </w:r>
      </w:hyperlink>
      <w:r w:rsidDel="00000000" w:rsidR="00000000" w:rsidRPr="00000000">
        <w:rPr>
          <w:rFonts w:ascii="Palatino Linotype" w:cs="Palatino Linotype" w:eastAsia="Palatino Linotype" w:hAnsi="Palatino Linotype"/>
          <w:sz w:val="22"/>
          <w:szCs w:val="22"/>
          <w:rtl w:val="0"/>
        </w:rPr>
        <w:t xml:space="preserve">), proporciona la dependencia en el que puede ser tramitado el Formato de Traslado de Dominio, el cual, corresponde al Municipio de Almoloya, a través de la Coordinadora de Catastro.</w:t>
      </w:r>
    </w:p>
    <w:p w:rsidR="00000000" w:rsidDel="00000000" w:rsidP="00000000" w:rsidRDefault="00000000" w:rsidRPr="00000000" w14:paraId="000000B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logra vislumbrar que, por una parte, el Ayuntamiento de Almoloya de Juárez, es competente para conocer de la información peticionada y, por otra, que la pretensión del ahora</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es obtener información relativa al traslado de dominio.</w:t>
      </w:r>
    </w:p>
    <w:p w:rsidR="00000000" w:rsidDel="00000000" w:rsidP="00000000" w:rsidRDefault="00000000" w:rsidRPr="00000000" w14:paraId="000000B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una vez analizadas las constancias que obran en el expediente electrónico, resulta necesario precisar que, por la propia y especial naturaleza de la solicitud, el Coordinador de Catastro Municipal es el servidor público habilitado competente para pronunciarse sobre la documental requerida, conforme a lo dispuesto en el artículo 27 del Bando Municipal de Almoloya de Juárez, el cual establece que la Coordinación de Catastro es el área encargada de operar el Sistema de Información Territorial, así como de integrar, conservar y mantener actualizado el Padrón Catastral Municipal, mediante acciones de identificación, inscripción, control y evaluación de los inmuebles, en apego a la normatividad aplicable en la materia.</w:t>
      </w:r>
    </w:p>
    <w:p w:rsidR="00000000" w:rsidDel="00000000" w:rsidP="00000000" w:rsidRDefault="00000000" w:rsidRPr="00000000" w14:paraId="000000B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Manual General de Organización de la Administración Pública Municipal de Almoloya de Juárez establece que la Coordinación de Catastro Municipal tiene como objetivo dar servicio a la población cualitativa y cuantitativamente, de los bienes inmuebles urbanos, rurales, de características especiales y de servicios catastrales en el Municipio; aunado a ello contara con las siguientes actividades: </w:t>
      </w:r>
    </w:p>
    <w:p w:rsidR="00000000" w:rsidDel="00000000" w:rsidP="00000000" w:rsidRDefault="00000000" w:rsidRPr="00000000" w14:paraId="000000B8">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B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 Coordinación de Catastro Municipal</w:t>
      </w:r>
      <w:r w:rsidDel="00000000" w:rsidR="00000000" w:rsidRPr="00000000">
        <w:rPr>
          <w:rtl w:val="0"/>
        </w:rPr>
      </w:r>
    </w:p>
    <w:p w:rsidR="00000000" w:rsidDel="00000000" w:rsidP="00000000" w:rsidRDefault="00000000" w:rsidRPr="00000000" w14:paraId="000000B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Funciones:</w:t>
      </w:r>
    </w:p>
    <w:p w:rsidR="00000000" w:rsidDel="00000000" w:rsidP="00000000" w:rsidRDefault="00000000" w:rsidRPr="00000000" w14:paraId="000000B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w:t>
      </w:r>
      <w:r w:rsidDel="00000000" w:rsidR="00000000" w:rsidRPr="00000000">
        <w:rPr>
          <w:rFonts w:ascii="Palatino Linotype" w:cs="Palatino Linotype" w:eastAsia="Palatino Linotype" w:hAnsi="Palatino Linotype"/>
          <w:b w:val="1"/>
          <w:bCs w:val="1"/>
          <w:i w:val="1"/>
          <w:iCs w:val="1"/>
          <w:sz w:val="22"/>
          <w:szCs w:val="22"/>
          <w:rtl w:val="0"/>
        </w:rPr>
        <w:t xml:space="preserve">. Llevar a cabo la inscripción y control de los inmuebles localizados dentro del territorio Municipal.</w:t>
      </w:r>
      <w:r w:rsidDel="00000000" w:rsidR="00000000" w:rsidRPr="00000000">
        <w:rPr>
          <w:rtl w:val="0"/>
        </w:rPr>
      </w:r>
    </w:p>
    <w:p w:rsidR="00000000" w:rsidDel="00000000" w:rsidP="00000000" w:rsidRDefault="00000000" w:rsidRPr="00000000" w14:paraId="000000BC">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Identificar en forma precisa los inmuebles ubicados dentro del territorio Municipal, mediante la localización geográfica y asignación de clave catastral que le corresponda.</w:t>
      </w:r>
    </w:p>
    <w:p w:rsidR="00000000" w:rsidDel="00000000" w:rsidP="00000000" w:rsidRDefault="00000000" w:rsidRPr="00000000" w14:paraId="000000B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Recibir las manifestaciones de los propietarios o poseedores de inmuebles, para efecto de su inscripción o actualización en el padrón catastral Municipal.</w:t>
      </w:r>
    </w:p>
    <w:p w:rsidR="00000000" w:rsidDel="00000000" w:rsidP="00000000" w:rsidRDefault="00000000" w:rsidRPr="00000000" w14:paraId="000000B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Realizar acciones en coordinación con el IGECEM para la consolidación, conservación y buen funcionamiento del catastro Municipal.</w:t>
      </w:r>
    </w:p>
    <w:p w:rsidR="00000000" w:rsidDel="00000000" w:rsidP="00000000" w:rsidRDefault="00000000" w:rsidRPr="00000000" w14:paraId="000000B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 Proporcionar al IGECEM dentro de los plazos que señale el LIGECEM, este título, su reglamento, el manual catastral y demás disposiciones aplicables en la materia, las propuestas, reportes, informes y documentos para integrar, conservar y mantener actualizada la información catastral del Estado.</w:t>
      </w:r>
    </w:p>
    <w:p w:rsidR="00000000" w:rsidDel="00000000" w:rsidP="00000000" w:rsidRDefault="00000000" w:rsidRPr="00000000" w14:paraId="000000C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 Integrar, conservar y mantener actualizados los registros gráficos y alfanuméricos, de los inmuebles ubicados dentro del territorio del Municipio.</w:t>
      </w:r>
    </w:p>
    <w:p w:rsidR="00000000" w:rsidDel="00000000" w:rsidP="00000000" w:rsidRDefault="00000000" w:rsidRPr="00000000" w14:paraId="000000C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 Practicar levantamientos topográficos catastrales y verificación de linderos, en los  términos del ordenamiento correspondiente.</w:t>
      </w:r>
    </w:p>
    <w:p w:rsidR="00000000" w:rsidDel="00000000" w:rsidP="00000000" w:rsidRDefault="00000000" w:rsidRPr="00000000" w14:paraId="000000C2">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VIII. Proporcionar la información que soliciten por escrito otras Dependencias.</w:t>
      </w:r>
    </w:p>
    <w:p w:rsidR="00000000" w:rsidDel="00000000" w:rsidP="00000000" w:rsidRDefault="00000000" w:rsidRPr="00000000" w14:paraId="000000C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IX. Solicitar la opinión técnica al IGECEM sobre la modificación y actualización de áreas homogéneas, bandas de valor, manzanas catastrales, códigos de clave de calle, nomenclatura y valores unitarios de suelo y construcción que conformara el proyecto de tablas de valores unitarios de suelo y construcción que proponga la legislatura.</w:t>
      </w:r>
    </w:p>
    <w:p w:rsidR="00000000" w:rsidDel="00000000" w:rsidP="00000000" w:rsidRDefault="00000000" w:rsidRPr="00000000" w14:paraId="000000C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C5">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XVIII. Verificar y registrar oportunamente, los cambios que se operen en los inmuebles, que por cualquier concepto alteren los datos contenidos en el padrón catastral Municipal.</w:t>
      </w:r>
    </w:p>
    <w:p w:rsidR="00000000" w:rsidDel="00000000" w:rsidP="00000000" w:rsidRDefault="00000000" w:rsidRPr="00000000" w14:paraId="000000C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XIX. Mantener actualizada la vinculación de los registros alfanuméricos y gráficos del padrón catastral municipal.“</w:t>
      </w:r>
    </w:p>
    <w:p w:rsidR="00000000" w:rsidDel="00000000" w:rsidP="00000000" w:rsidRDefault="00000000" w:rsidRPr="00000000" w14:paraId="000000C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anteriormente expuesto, se advierte que la unidad administrativa que cuenta con atribuciones para verificar y registrar oportunamente, los cambios que se operen en los inmuebles, que por cualquier concepto alteren los datos contenidos en el padrón catastral Municipal y el trámite relativo al traslado de dominio, es la Coordinación de Catastro. </w:t>
      </w:r>
    </w:p>
    <w:p w:rsidR="00000000" w:rsidDel="00000000" w:rsidP="00000000" w:rsidRDefault="00000000" w:rsidRPr="00000000" w14:paraId="000000C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se advierte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turnó la solicitud de información a la unidad administrativa competente, de modo que,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000000" w:rsidDel="00000000" w:rsidP="00000000" w:rsidRDefault="00000000" w:rsidRPr="00000000" w14:paraId="000000CB">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C">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000000" w:rsidDel="00000000" w:rsidP="00000000" w:rsidRDefault="00000000" w:rsidRPr="00000000" w14:paraId="000000CD">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sujetos obligados otorgarán acceso a los documentos que se encuentren en sus archivos o que estén obligados a documentar de acuerdo con sus facultades, competencias o funciones, en el formato en que el solicitante manifieste, de entre aquellos formatos existentes.</w:t>
      </w:r>
    </w:p>
    <w:p w:rsidR="00000000" w:rsidDel="00000000" w:rsidP="00000000" w:rsidRDefault="00000000" w:rsidRPr="00000000" w14:paraId="000000CE">
      <w:pPr>
        <w:tabs>
          <w:tab w:val="left" w:leader="none" w:pos="4962"/>
        </w:tabs>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circunstancia, se logra colegir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cumplió con el procedimiento de búsqueda establecido en el artículo 162 de la Ley de Transparencia y Acceso a la Información Pública del Estado de México y Municipios, toda vez que turnó la solicitud a la Coordinación de Catastro, unidad administrativa encargada de regular el trámite relativo al traslado de dominio. </w:t>
      </w:r>
    </w:p>
    <w:p w:rsidR="00000000" w:rsidDel="00000000" w:rsidP="00000000" w:rsidRDefault="00000000" w:rsidRPr="00000000" w14:paraId="000000D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Expuesto lo anterior, se procede al análisis pormenorizado de los requerimientos de información, a efecto de determinar si con la información remitida en respuesta, el </w:t>
      </w:r>
      <w:r w:rsidDel="00000000" w:rsidR="00000000" w:rsidRPr="00000000">
        <w:rPr>
          <w:rFonts w:ascii="Palatino Linotype" w:cs="Palatino Linotype" w:eastAsia="Palatino Linotype" w:hAnsi="Palatino Linotype"/>
          <w:b w:val="1"/>
          <w:bCs w:val="1"/>
          <w:sz w:val="22"/>
          <w:szCs w:val="22"/>
          <w:rtl w:val="0"/>
        </w:rPr>
        <w:t xml:space="preserve">Sujeto Obligad</w:t>
      </w:r>
      <w:r w:rsidDel="00000000" w:rsidR="00000000" w:rsidRPr="00000000">
        <w:rPr>
          <w:rFonts w:ascii="Palatino Linotype" w:cs="Palatino Linotype" w:eastAsia="Palatino Linotype" w:hAnsi="Palatino Linotype"/>
          <w:sz w:val="22"/>
          <w:szCs w:val="22"/>
          <w:rtl w:val="0"/>
        </w:rPr>
        <w:t xml:space="preserve"> colmó el derecho a de acceso a la información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ordenar su entrega. </w:t>
      </w:r>
    </w:p>
    <w:p w:rsidR="00000000" w:rsidDel="00000000" w:rsidP="00000000" w:rsidRDefault="00000000" w:rsidRPr="00000000" w14:paraId="000000D2">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Nombre del funcionario o funcionarios que firmaron la conclusión del trámite. </w:t>
      </w:r>
    </w:p>
    <w:p w:rsidR="00000000" w:rsidDel="00000000" w:rsidP="00000000" w:rsidRDefault="00000000" w:rsidRPr="00000000" w14:paraId="000000D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Fecha específica en que concluyó el trámite.</w:t>
      </w:r>
    </w:p>
    <w:p w:rsidR="00000000" w:rsidDel="00000000" w:rsidP="00000000" w:rsidRDefault="00000000" w:rsidRPr="00000000" w14:paraId="000000D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Referente a estos puntos de análisis,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respuesta informó que con fundamento en las facultades y atribuciones conferidas por los artículos 167, 168, 169 fracción IV Y 171 del Código Financiero del Estado de México y Municipios; las personas servidoras públicas que intervengan en los trámites que regule este Código, están obligadas a guardar absoluta reserva y confidencialidad, en términos de lo dispuesto por la Ley de Protección de Datos Personales en Posesión de Sujetos Obligados del Estado de México y Municipios, en cuanto a los datos y documentos que proporcionen los particulares o terceros relacionados con ellos; así como, los relativos a los procedimientos administrativos y jurisdiccionales originados por la aplicación del mismo.</w:t>
      </w:r>
    </w:p>
    <w:p w:rsidR="00000000" w:rsidDel="00000000" w:rsidP="00000000" w:rsidRDefault="00000000" w:rsidRPr="00000000" w14:paraId="000000D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este Organismo Garante no advierte de que manera el proporcionar el nombre del o los servidores públicos que firmaron la conclusión del trámite, puede violentar la reserva o confidencialidad a la que refiere el Sujeto Obligado, asimismo, por cuanto hace al nombre de servidores públicos, debe señalarse que si bien es cierto, el nombre es uno de los atributos de la personalidad y la manifestación principal del derecho subjetivo a la identidad, en virtud de que hace a una persona física identificada e identificable, por lo que al individualizar a los sujetos y se forma con el sustantivo propio, el primer apellido del padre y el primer apellido de la madre, en el orden que de común acuerdo determinen, es que se concluye que en efecto, el nombre identifica y hace identificables a las personas, por lo que además constituye un dato personal, susceptible de clasificación, sin embargo, </w:t>
      </w:r>
      <w:r w:rsidDel="00000000" w:rsidR="00000000" w:rsidRPr="00000000">
        <w:rPr>
          <w:rFonts w:ascii="Palatino Linotype" w:cs="Palatino Linotype" w:eastAsia="Palatino Linotype" w:hAnsi="Palatino Linotype"/>
          <w:b w:val="1"/>
          <w:bCs w:val="1"/>
          <w:sz w:val="22"/>
          <w:szCs w:val="22"/>
          <w:u w:val="single"/>
          <w:rtl w:val="0"/>
        </w:rPr>
        <w:t xml:space="preserve">si se trata de servidores públicos, dichos datos son de naturaleza pública</w:t>
      </w:r>
      <w:r w:rsidDel="00000000" w:rsidR="00000000" w:rsidRPr="00000000">
        <w:rPr>
          <w:rFonts w:ascii="Palatino Linotype" w:cs="Palatino Linotype" w:eastAsia="Palatino Linotype" w:hAnsi="Palatino Linotype"/>
          <w:sz w:val="22"/>
          <w:szCs w:val="22"/>
          <w:rtl w:val="0"/>
        </w:rPr>
        <w:t xml:space="preserve">, de conformidad con el artículo 92, fracción VII, de la Ley de Transparencia y Acceso a la Información Pública del Estado de México y Municipios.</w:t>
      </w:r>
    </w:p>
    <w:p w:rsidR="00000000" w:rsidDel="00000000" w:rsidP="00000000" w:rsidRDefault="00000000" w:rsidRPr="00000000" w14:paraId="000000D9">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A">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tl w:val="0"/>
        </w:rPr>
      </w:r>
    </w:p>
    <w:p w:rsidR="00000000" w:rsidDel="00000000" w:rsidP="00000000" w:rsidRDefault="00000000" w:rsidRPr="00000000" w14:paraId="000000DB">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tl w:val="0"/>
        </w:rPr>
      </w:r>
    </w:p>
    <w:p w:rsidR="00000000" w:rsidDel="00000000" w:rsidP="00000000" w:rsidRDefault="00000000" w:rsidRPr="00000000" w14:paraId="000000DC">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r w:rsidDel="00000000" w:rsidR="00000000" w:rsidRPr="00000000">
        <w:rPr>
          <w:rtl w:val="0"/>
        </w:rPr>
      </w:r>
    </w:p>
    <w:p w:rsidR="00000000" w:rsidDel="00000000" w:rsidP="00000000" w:rsidRDefault="00000000" w:rsidRPr="00000000" w14:paraId="000000DD">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El directorio deberá incluir, al menos el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nombre</w:t>
      </w:r>
      <w:r w:rsidDel="00000000" w:rsidR="00000000" w:rsidRPr="00000000">
        <w:rPr>
          <w:rFonts w:ascii="Palatino Linotype" w:cs="Palatino Linotype" w:eastAsia="Palatino Linotype" w:hAnsi="Palatino Linotype"/>
          <w:b w:val="1"/>
          <w:bCs w:val="1"/>
          <w:i w:val="1"/>
          <w:iCs w:val="1"/>
          <w:sz w:val="22"/>
          <w:szCs w:val="22"/>
          <w:rtl w:val="0"/>
        </w:rPr>
        <w:t xml:space="preserve">, cargo o nombramiento oficial asignado, nivel del puesto en la estructura orgánica</w:t>
      </w:r>
      <w:r w:rsidDel="00000000" w:rsidR="00000000" w:rsidRPr="00000000">
        <w:rPr>
          <w:rFonts w:ascii="Palatino Linotype" w:cs="Palatino Linotype" w:eastAsia="Palatino Linotype" w:hAnsi="Palatino Linotype"/>
          <w:i w:val="1"/>
          <w:iCs w:val="1"/>
          <w:sz w:val="22"/>
          <w:szCs w:val="22"/>
          <w:rtl w:val="0"/>
        </w:rPr>
        <w:t xml:space="preserve">, fecha de alta en el cargo, número telefónico, domicilio para recibir correspondencia y dirección de correo electrónico oficiales, datos que deberán señalarse de forma independiente por dependencia y entidad pública de cada sujeto obligado…” (Énfasis añadido)</w:t>
      </w:r>
      <w:r w:rsidDel="00000000" w:rsidR="00000000" w:rsidRPr="00000000">
        <w:rPr>
          <w:rtl w:val="0"/>
        </w:rPr>
      </w:r>
    </w:p>
    <w:p w:rsidR="00000000" w:rsidDel="00000000" w:rsidP="00000000" w:rsidRDefault="00000000" w:rsidRPr="00000000" w14:paraId="000000DE">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que se robustece, con lo señalado por los Lineamientos Técnicos Generales para la publicación, homologación y estandarización de la información de las obligaciones establecidas en el Título Quinto y en la fracción IV del artículo 31 de la entonces Ley General de Transparencia y Acceso a la Información Pública, que deben de difundir los sujetos obligados en los portales de Internet y en la Plataforma Nacional de Transparencia, que señala para su fracción VII, lo siguiente:</w:t>
      </w:r>
    </w:p>
    <w:p w:rsidR="00000000" w:rsidDel="00000000" w:rsidP="00000000" w:rsidRDefault="00000000" w:rsidRPr="00000000" w14:paraId="000000E0">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1">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r w:rsidDel="00000000" w:rsidR="00000000" w:rsidRPr="00000000">
        <w:rPr>
          <w:rtl w:val="0"/>
        </w:rPr>
      </w:r>
    </w:p>
    <w:p w:rsidR="00000000" w:rsidDel="00000000" w:rsidP="00000000" w:rsidRDefault="00000000" w:rsidRPr="00000000" w14:paraId="000000E2">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El directorio deberá incluir al menos el nombre, cargo o nombramiento asignado, nivel del puesto en la estructura orgánica, fecha de alta en el cargo, número telefónico, domicilio para recibir correspondencia y dirección de correo electrónico oficiales Para el cumplimiento de la presente fracción los sujetos obligados deberán integrar el directorio con los datos básicos para establecer contacto con sus servidores(as) públicos(as), integrantes y/o miembros, así como toda persona que desempeñe un empleo, cargo o comisión y/o ejerza actos de autoridad en los mismos.</w:t>
      </w:r>
      <w:r w:rsidDel="00000000" w:rsidR="00000000" w:rsidRPr="00000000">
        <w:rPr>
          <w:rtl w:val="0"/>
        </w:rPr>
      </w:r>
    </w:p>
    <w:p w:rsidR="00000000" w:rsidDel="00000000" w:rsidP="00000000" w:rsidRDefault="00000000" w:rsidRPr="00000000" w14:paraId="000000E3">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 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base10. Respecto de los prestadores de servicios profesionales reportados se incluirá una nota que especifique que éstos no forman parte de la estructura orgánica del sujeto obligado toda vez que fungen como apoyo para el desarrollo de las actividades de los puestos que sí conforman la estructura. </w:t>
      </w:r>
      <w:r w:rsidDel="00000000" w:rsidR="00000000" w:rsidRPr="00000000">
        <w:rPr>
          <w:rtl w:val="0"/>
        </w:rPr>
      </w:r>
    </w:p>
    <w:p w:rsidR="00000000" w:rsidDel="00000000" w:rsidP="00000000" w:rsidRDefault="00000000" w:rsidRPr="00000000" w14:paraId="000000E4">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Periodo de actualización: trimestral En su caso, 15 días hábiles después de alguna modificación </w:t>
      </w:r>
      <w:r w:rsidDel="00000000" w:rsidR="00000000" w:rsidRPr="00000000">
        <w:rPr>
          <w:rtl w:val="0"/>
        </w:rPr>
      </w:r>
    </w:p>
    <w:p w:rsidR="00000000" w:rsidDel="00000000" w:rsidP="00000000" w:rsidRDefault="00000000" w:rsidRPr="00000000" w14:paraId="000000E5">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Conservar en sitio de Internet: información vigente </w:t>
      </w:r>
      <w:r w:rsidDel="00000000" w:rsidR="00000000" w:rsidRPr="00000000">
        <w:rPr>
          <w:rtl w:val="0"/>
        </w:rPr>
      </w:r>
    </w:p>
    <w:p w:rsidR="00000000" w:rsidDel="00000000" w:rsidP="00000000" w:rsidRDefault="00000000" w:rsidRPr="00000000" w14:paraId="000000E6">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Aplica a: todos los sujetos obligados </w:t>
      </w:r>
      <w:r w:rsidDel="00000000" w:rsidR="00000000" w:rsidRPr="00000000">
        <w:rPr>
          <w:rtl w:val="0"/>
        </w:rPr>
      </w:r>
    </w:p>
    <w:p w:rsidR="00000000" w:rsidDel="00000000" w:rsidP="00000000" w:rsidRDefault="00000000" w:rsidRPr="00000000" w14:paraId="000000E7">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Criterios sustantivos de contenido </w:t>
      </w:r>
      <w:r w:rsidDel="00000000" w:rsidR="00000000" w:rsidRPr="00000000">
        <w:rPr>
          <w:rtl w:val="0"/>
        </w:rPr>
      </w:r>
    </w:p>
    <w:p w:rsidR="00000000" w:rsidDel="00000000" w:rsidP="00000000" w:rsidRDefault="00000000" w:rsidRPr="00000000" w14:paraId="000000E8">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Criterio 1 Ejercicio </w:t>
      </w:r>
      <w:r w:rsidDel="00000000" w:rsidR="00000000" w:rsidRPr="00000000">
        <w:rPr>
          <w:rtl w:val="0"/>
        </w:rPr>
      </w:r>
    </w:p>
    <w:p w:rsidR="00000000" w:rsidDel="00000000" w:rsidP="00000000" w:rsidRDefault="00000000" w:rsidRPr="00000000" w14:paraId="000000E9">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Criterio 2 Periodo que se informa (fecha de inicio y fecha de término con el formato día/mes/año) </w:t>
      </w:r>
      <w:r w:rsidDel="00000000" w:rsidR="00000000" w:rsidRPr="00000000">
        <w:rPr>
          <w:rtl w:val="0"/>
        </w:rPr>
      </w:r>
    </w:p>
    <w:p w:rsidR="00000000" w:rsidDel="00000000" w:rsidP="00000000" w:rsidRDefault="00000000" w:rsidRPr="00000000" w14:paraId="000000EA">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Criterio 3 Clave o nivel del puesto (de acuerdo con el catálogo que regule la actividad del sujeto obligado) </w:t>
      </w:r>
      <w:r w:rsidDel="00000000" w:rsidR="00000000" w:rsidRPr="00000000">
        <w:rPr>
          <w:rtl w:val="0"/>
        </w:rPr>
      </w:r>
    </w:p>
    <w:p w:rsidR="00000000" w:rsidDel="00000000" w:rsidP="00000000" w:rsidRDefault="00000000" w:rsidRPr="00000000" w14:paraId="000000EB">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Criterio 4 </w:t>
      </w:r>
      <w:r w:rsidDel="00000000" w:rsidR="00000000" w:rsidRPr="00000000">
        <w:rPr>
          <w:rFonts w:ascii="Palatino Linotype" w:cs="Palatino Linotype" w:eastAsia="Palatino Linotype" w:hAnsi="Palatino Linotype"/>
          <w:i w:val="1"/>
          <w:iCs w:val="1"/>
          <w:sz w:val="22"/>
          <w:szCs w:val="22"/>
          <w:rtl w:val="0"/>
        </w:rPr>
        <w:t xml:space="preserve">Denominación del cargo (de conformidad con nombramiento otorgado) </w:t>
      </w:r>
      <w:r w:rsidDel="00000000" w:rsidR="00000000" w:rsidRPr="00000000">
        <w:rPr>
          <w:rtl w:val="0"/>
        </w:rPr>
      </w:r>
    </w:p>
    <w:p w:rsidR="00000000" w:rsidDel="00000000" w:rsidP="00000000" w:rsidRDefault="00000000" w:rsidRPr="00000000" w14:paraId="000000EC">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Criterio 5 Nombre del servidor(a) público(a)(nombre[s], primer apellido, segundo apellido), integrante y/o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miembro del sujeto obligado, y/o persona que desempeñe un empleo, cargo o comisión y/o ejerza actos de autoridad</w:t>
      </w:r>
      <w:r w:rsidDel="00000000" w:rsidR="00000000" w:rsidRPr="00000000">
        <w:rPr>
          <w:rFonts w:ascii="Palatino Linotype" w:cs="Palatino Linotype" w:eastAsia="Palatino Linotype" w:hAnsi="Palatino Linotype"/>
          <w:i w:val="1"/>
          <w:iCs w:val="1"/>
          <w:sz w:val="22"/>
          <w:szCs w:val="22"/>
          <w:rtl w:val="0"/>
        </w:rPr>
        <w:t xml:space="preserve">. En su caso, incluir una nota que especifique el motivo por el cual no existe servidor(a) público(a) ocupando el cargo, por ejemplo: Vacante </w:t>
      </w:r>
      <w:r w:rsidDel="00000000" w:rsidR="00000000" w:rsidRPr="00000000">
        <w:rPr>
          <w:rtl w:val="0"/>
        </w:rPr>
      </w:r>
    </w:p>
    <w:p w:rsidR="00000000" w:rsidDel="00000000" w:rsidP="00000000" w:rsidRDefault="00000000" w:rsidRPr="00000000" w14:paraId="000000ED">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Criterio 6 Área de adscripción (de acuerdo con el catálogo que, en su caso, regule la actividad del sujeto obligado) </w:t>
      </w:r>
      <w:r w:rsidDel="00000000" w:rsidR="00000000" w:rsidRPr="00000000">
        <w:rPr>
          <w:rtl w:val="0"/>
        </w:rPr>
      </w:r>
    </w:p>
    <w:p w:rsidR="00000000" w:rsidDel="00000000" w:rsidP="00000000" w:rsidRDefault="00000000" w:rsidRPr="00000000" w14:paraId="000000EE">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Criterio 7 Fecha de alta en el cargo con el formato día/mes/año </w:t>
      </w:r>
      <w:r w:rsidDel="00000000" w:rsidR="00000000" w:rsidRPr="00000000">
        <w:rPr>
          <w:rtl w:val="0"/>
        </w:rPr>
      </w:r>
    </w:p>
    <w:p w:rsidR="00000000" w:rsidDel="00000000" w:rsidP="00000000" w:rsidRDefault="00000000" w:rsidRPr="00000000" w14:paraId="000000EF">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postal)12 </w:t>
      </w:r>
      <w:r w:rsidDel="00000000" w:rsidR="00000000" w:rsidRPr="00000000">
        <w:rPr>
          <w:rtl w:val="0"/>
        </w:rPr>
      </w:r>
    </w:p>
    <w:p w:rsidR="00000000" w:rsidDel="00000000" w:rsidP="00000000" w:rsidRDefault="00000000" w:rsidRPr="00000000" w14:paraId="000000F0">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Criterio 9 Número(s) de teléfono(s) oficial(es) y extensión (es) </w:t>
      </w:r>
      <w:r w:rsidDel="00000000" w:rsidR="00000000" w:rsidRPr="00000000">
        <w:rPr>
          <w:rtl w:val="0"/>
        </w:rPr>
      </w:r>
    </w:p>
    <w:p w:rsidR="00000000" w:rsidDel="00000000" w:rsidP="00000000" w:rsidRDefault="00000000" w:rsidRPr="00000000" w14:paraId="000000F1">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Criterio 10 Correo electrónico oficial, en su caso</w:t>
      </w:r>
      <w:r w:rsidDel="00000000" w:rsidR="00000000" w:rsidRPr="00000000">
        <w:rPr>
          <w:rtl w:val="0"/>
        </w:rPr>
      </w:r>
    </w:p>
    <w:p w:rsidR="00000000" w:rsidDel="00000000" w:rsidP="00000000" w:rsidRDefault="00000000" w:rsidRPr="00000000" w14:paraId="000000F2">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Criterio 11 Periodo de actualización de la información: trimestral. En su caso, 15 días hábiles después de alguna modificación </w:t>
      </w:r>
      <w:r w:rsidDel="00000000" w:rsidR="00000000" w:rsidRPr="00000000">
        <w:rPr>
          <w:rtl w:val="0"/>
        </w:rPr>
      </w:r>
    </w:p>
    <w:p w:rsidR="00000000" w:rsidDel="00000000" w:rsidP="00000000" w:rsidRDefault="00000000" w:rsidRPr="00000000" w14:paraId="000000F3">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Criterio 12 La información publicada deberá estar actualizada al periodo que corresponde de acuerdo con la Tabla de actualización y conservación de la información </w:t>
      </w:r>
      <w:r w:rsidDel="00000000" w:rsidR="00000000" w:rsidRPr="00000000">
        <w:rPr>
          <w:rtl w:val="0"/>
        </w:rPr>
      </w:r>
    </w:p>
    <w:p w:rsidR="00000000" w:rsidDel="00000000" w:rsidP="00000000" w:rsidRDefault="00000000" w:rsidRPr="00000000" w14:paraId="000000F4">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Criterio 13 Conservar en el sitio de Internet y a través de la Plataforma Nacional la Información de acuerdo con la Tabla de actualización y conservación de la información Criterios adjetivos de confiabilidad </w:t>
      </w:r>
      <w:r w:rsidDel="00000000" w:rsidR="00000000" w:rsidRPr="00000000">
        <w:rPr>
          <w:rtl w:val="0"/>
        </w:rPr>
      </w:r>
    </w:p>
    <w:p w:rsidR="00000000" w:rsidDel="00000000" w:rsidP="00000000" w:rsidRDefault="00000000" w:rsidRPr="00000000" w14:paraId="000000F5">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Criterio 14 Área(s) responsable(s)que genera(n), posee(n), publica(n) y actualiza(n) la información </w:t>
      </w:r>
      <w:r w:rsidDel="00000000" w:rsidR="00000000" w:rsidRPr="00000000">
        <w:rPr>
          <w:rtl w:val="0"/>
        </w:rPr>
      </w:r>
    </w:p>
    <w:p w:rsidR="00000000" w:rsidDel="00000000" w:rsidP="00000000" w:rsidRDefault="00000000" w:rsidRPr="00000000" w14:paraId="000000F6">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Criterio 15 Fecha de actualización de la información publicada con el formato día/mes/año </w:t>
      </w:r>
      <w:r w:rsidDel="00000000" w:rsidR="00000000" w:rsidRPr="00000000">
        <w:rPr>
          <w:rtl w:val="0"/>
        </w:rPr>
      </w:r>
    </w:p>
    <w:p w:rsidR="00000000" w:rsidDel="00000000" w:rsidP="00000000" w:rsidRDefault="00000000" w:rsidRPr="00000000" w14:paraId="000000F7">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Criterio 16 Fecha de validación de la información publicada con el formato día/mes/año </w:t>
      </w:r>
      <w:r w:rsidDel="00000000" w:rsidR="00000000" w:rsidRPr="00000000">
        <w:rPr>
          <w:rtl w:val="0"/>
        </w:rPr>
      </w:r>
    </w:p>
    <w:p w:rsidR="00000000" w:rsidDel="00000000" w:rsidP="00000000" w:rsidRDefault="00000000" w:rsidRPr="00000000" w14:paraId="000000F8">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Criterio 17 Nota. Este criterio se cumple en caso de que sea necesario que el sujeto obligado incluya alguna aclaración relativa a la información publicada y/o explicación por la falta de información Criterios adjetivos de formato </w:t>
      </w:r>
      <w:r w:rsidDel="00000000" w:rsidR="00000000" w:rsidRPr="00000000">
        <w:rPr>
          <w:rtl w:val="0"/>
        </w:rPr>
      </w:r>
    </w:p>
    <w:p w:rsidR="00000000" w:rsidDel="00000000" w:rsidP="00000000" w:rsidRDefault="00000000" w:rsidRPr="00000000" w14:paraId="000000F9">
      <w:pPr>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Criterio 18 La información publicada se organiza mediante el formato 7, en el que se incluyen todos los campos especificados en los criterios sustantivos de contenido Criterio 19 El soporte de la información permite su reutilización…” (Énfasis añadido)</w:t>
      </w:r>
      <w:r w:rsidDel="00000000" w:rsidR="00000000" w:rsidRPr="00000000">
        <w:rPr>
          <w:rtl w:val="0"/>
        </w:rPr>
      </w:r>
    </w:p>
    <w:p w:rsidR="00000000" w:rsidDel="00000000" w:rsidP="00000000" w:rsidRDefault="00000000" w:rsidRPr="00000000" w14:paraId="000000FA">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B">
      <w:pPr>
        <w:tabs>
          <w:tab w:val="left" w:leader="none" w:pos="4962"/>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se determina que el nombre y firma de servidores públicos, en este caso en particular no es susceptible de clasificarse, por lo que se determina ordenar la entrega del documento que dé cuenta del nombre del funcionario o funcionarios que firmaron la conclusión del trámite.</w:t>
      </w:r>
    </w:p>
    <w:p w:rsidR="00000000" w:rsidDel="00000000" w:rsidP="00000000" w:rsidRDefault="00000000" w:rsidRPr="00000000" w14:paraId="000000FC">
      <w:pPr>
        <w:tabs>
          <w:tab w:val="left" w:leader="none" w:pos="4962"/>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D">
      <w:pPr>
        <w:tabs>
          <w:tab w:val="left" w:leader="none" w:pos="4962"/>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Robusteciendo lo anterior, conviene señalar que este Organismo Garante localizó que previamente en el recurso de revisión registrado bajo el número 02760/INFOEM/IP/RR/2025 el cual guarda relación con el tema en comento,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informó a través de su informe justificado que el estatus del trámite del inmueble referido en el oficio MAJ/TM/CCM/AESP/273/2023, es concluido, por lo que, se insiste en que tiene competencia para conocer el nombre del servidor público que firmó la conclusión del trámite y la fecha en la que se concluyó el trámite, por lo que resulta procedente ordenar su entrega. </w:t>
      </w:r>
    </w:p>
    <w:p w:rsidR="00000000" w:rsidDel="00000000" w:rsidP="00000000" w:rsidRDefault="00000000" w:rsidRPr="00000000" w14:paraId="000000FE">
      <w:pPr>
        <w:tabs>
          <w:tab w:val="left" w:leader="none" w:pos="4962"/>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La solicitud presentada donde se pide levantar o terminar la suspensión del tramité del inmueble referido. </w:t>
      </w:r>
    </w:p>
    <w:p w:rsidR="00000000" w:rsidDel="00000000" w:rsidP="00000000" w:rsidRDefault="00000000" w:rsidRPr="00000000" w14:paraId="0000010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El acuerdo emitido por la Coordinación de Catastro Municipal de Almoloya de Juárez en el que determinó terminar la suspensión del tramité del inmueble y darle continuidad. </w:t>
      </w:r>
    </w:p>
    <w:p w:rsidR="00000000" w:rsidDel="00000000" w:rsidP="00000000" w:rsidRDefault="00000000" w:rsidRPr="00000000" w14:paraId="0000010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Del acuerdo referido en el punto anterior ¿fue notificado a </w:t>
      </w:r>
      <w:r w:rsidDel="00000000" w:rsidR="00000000" w:rsidRPr="00000000">
        <w:rPr>
          <w:rFonts w:ascii="Palatino Linotype" w:cs="Palatino Linotype" w:eastAsia="Palatino Linotype" w:hAnsi="Palatino Linotype"/>
          <w:b w:val="1"/>
          <w:bCs w:val="1"/>
          <w:sz w:val="22"/>
          <w:szCs w:val="22"/>
          <w:rtl w:val="0"/>
        </w:rPr>
        <w:t xml:space="preserve">Xxxxxxxxx Xxxxxxxxx Xxxxxxx</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 Ya que él es una de las partes con interés jurídico en el tramité multicitado.</w:t>
      </w:r>
    </w:p>
    <w:p w:rsidR="00000000" w:rsidDel="00000000" w:rsidP="00000000" w:rsidRDefault="00000000" w:rsidRPr="00000000" w14:paraId="000001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3">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para el presente caso, es necesario recordar que referente a estos puntos de análisis,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informó que no es posible proporcionar la información solicitada hasta en tanto acredite su interés jurídico o legítimo previo cumplimiento con los requisitos establecidos, en el Manual Catastral del Estado de México, en términos de lo que establece el artículo 173 del Código Financiero del Estado de México y Municipios.</w:t>
      </w:r>
    </w:p>
    <w:p w:rsidR="00000000" w:rsidDel="00000000" w:rsidP="00000000" w:rsidRDefault="00000000" w:rsidRPr="00000000" w14:paraId="00000104">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5">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esto, resulta importante señalar que, de las constancias que obran en el expediente electrónico del SAIMEX referente al recurso de revisión número 08347/INFOEM/IP/RR/2025, se advierte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ejecutó la suspensión del procedimiento de traslado de dominio referido por la persona solicitante y, en atención a lo dispuesto en el numeral ACGC015 del Manual Catastral del Estado de México, dicha suspensión </w:t>
      </w:r>
      <w:r w:rsidDel="00000000" w:rsidR="00000000" w:rsidRPr="00000000">
        <w:rPr>
          <w:rFonts w:ascii="Palatino Linotype" w:cs="Palatino Linotype" w:eastAsia="Palatino Linotype" w:hAnsi="Palatino Linotype"/>
          <w:sz w:val="22"/>
          <w:szCs w:val="22"/>
          <w:u w:val="single"/>
          <w:rtl w:val="0"/>
        </w:rPr>
        <w:t xml:space="preserve">solo puede llevarse a cabo cuando el inmueble de que se trate presenta un litigio entre particulares,</w:t>
      </w:r>
      <w:r w:rsidDel="00000000" w:rsidR="00000000" w:rsidRPr="00000000">
        <w:rPr>
          <w:rFonts w:ascii="Palatino Linotype" w:cs="Palatino Linotype" w:eastAsia="Palatino Linotype" w:hAnsi="Palatino Linotype"/>
          <w:sz w:val="22"/>
          <w:szCs w:val="22"/>
          <w:rtl w:val="0"/>
        </w:rPr>
        <w:t xml:space="preserve"> respecto del cual la autoridad catastral haya sido notificada formalmente por autoridad jurisdiccional o por alguna de las partes, mediante la presentación de copia certificada del acuerdo o de la sentencia correspondiente.</w:t>
      </w:r>
    </w:p>
    <w:p w:rsidR="00000000" w:rsidDel="00000000" w:rsidP="00000000" w:rsidRDefault="00000000" w:rsidRPr="00000000" w14:paraId="00000106">
      <w:pPr>
        <w:tabs>
          <w:tab w:val="left" w:leader="none" w:pos="466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7">
      <w:pPr>
        <w:tabs>
          <w:tab w:val="left" w:leader="none" w:pos="466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resulta importante señalar que la información es de interés público cuando resulta relevante o beneficiosa para la sociedad y su divulgación contribuye a que el público comprenda las actividades de los sujetos obligados, conforme a los criterios establecidos en la legislación general de transparencia. Lo anterior implica que, el interés público de la información se actualiza respecto de aquellas emitidas y difundidas por los órganos jurisdiccionales en ejercicio de su función pública, no así respecto de copias o constancias que obren en expedientes administrativos individuales y que se encuentren asociadas a actos de gestión patrimonial, como ocurre en este caso.</w:t>
      </w:r>
    </w:p>
    <w:p w:rsidR="00000000" w:rsidDel="00000000" w:rsidP="00000000" w:rsidRDefault="00000000" w:rsidRPr="00000000" w14:paraId="00000108">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9">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el presente caso no se trata de información cuyo conocimiento permita ilustrar un asunto de relevancia pública general, sino de información relativa al traslado de dominio individualizado, utilizada por la Coordinación de Catastro; por lo tanto, dicho documento obra en un expediente administrativo cuya finalidad es estrictamente catastral.</w:t>
      </w:r>
    </w:p>
    <w:p w:rsidR="00000000" w:rsidDel="00000000" w:rsidP="00000000" w:rsidRDefault="00000000" w:rsidRPr="00000000" w14:paraId="0000010A">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B">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la persona solicitante identifica expresamente a las partes y al inmueble materia del conflicto, como se desprende de su solicitud y de la narrativa ofrecida en su recurso de revisión, siendo este un elemento determinante, pues la combinación entre el contenido del expediente y el conocimiento previo del solicitante activa un riesgo real de identificación directa o indirecta de las personas involucradas, así como de la exposición de información patrimonial e inmobiliaria que, conforme al artículo 143, fracción I, de la Ley de Transparencia y Acceso a la Información Pública del Estado de México y Municipios, constituye dato personal confidencial.</w:t>
      </w:r>
    </w:p>
    <w:p w:rsidR="00000000" w:rsidDel="00000000" w:rsidP="00000000" w:rsidRDefault="00000000" w:rsidRPr="00000000" w14:paraId="0000010C">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D">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esta óptica, la aplicación del principio de proporcionalidad conduce a una conclusión clara, pues aunque la entrega de la información podría ser idónea para satisfacer el interés informativo del solicitante, no resulta necesaria ni proporcional en sentido estricto, pues incluso una versión pública testada no eliminaría el riesgo de identificación de las partes involucradas en el proceso que se comenta, toda vez que, la estructura misma del documento, que podría contener de manera enunciativa más no limitativa nombres, domicilios, vínculos familiares, descripciones del bien inmueble, claves catastrales, datos registrales y fechas, permite reconstruir los hechos y sujetos involucrados, máxime cuando estos ya son conocidos por el solicitante. </w:t>
      </w:r>
    </w:p>
    <w:p w:rsidR="00000000" w:rsidDel="00000000" w:rsidP="00000000" w:rsidRDefault="00000000" w:rsidRPr="00000000" w14:paraId="0000010E">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F">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consecuencia, la versión pública no constituye un medio menos restrictivo eficaz, y la única medida compatible con la tutela de los derechos personales y patrimoniales es la clasificación total de los documentos como confidencial.</w:t>
      </w:r>
    </w:p>
    <w:p w:rsidR="00000000" w:rsidDel="00000000" w:rsidP="00000000" w:rsidRDefault="00000000" w:rsidRPr="00000000" w14:paraId="00000110">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1">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Debe subrayarse que esta determinación no contradice el principio general de publicidad, sino que representa una excepción legítima y excepcional a su aplicación. Lo anterior, porque el documento solicitado no cumple con los parámetros de relevancia social ni utilidad pública que definen la información de interés público, al no derivar de un ejercicio de transparencia judicial ni encontrarse destinado a la comprensión de las funciones del órgano jurisdiccional que la haya emitido, pues su contenido se circunscribe a un conflicto entre particulares cuya exposición implicaría la divulgación de datos personales patrimoniales, sin aportar un beneficio generalizable a la sociedad.</w:t>
      </w:r>
    </w:p>
    <w:p w:rsidR="00000000" w:rsidDel="00000000" w:rsidP="00000000" w:rsidRDefault="00000000" w:rsidRPr="00000000" w14:paraId="00000112">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3">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lo anterior, el artículo 6 de la Ley de Transparencia estatal dispone que los datos personales son irrenunciables, intransferibles e indelegables, y que los sujetos obligados no deben proporcionarlos salvo en los casos expresamente previstos por la ley. En el presente caso, la finalidad del tratamiento, limitada a la tramitación catastral, no autoriza su difusión por la vía del acceso público. Por su parte, el artículo 55 del Código Financiero del Estado de México y Municipios robustece el deber de sigilo respecto de los actos y documentos derivados de procedimientos administrativos o jurisdiccionales con implicaciones fiscales o patrimoniales, principio que, en conjunción con el artículo 143 de la Ley de Transparencia y los principios de finalidad, proporcionalidad y lealtad previstos en la legislación de datos personales, sustenta la improcedencia de divulgar el documento solicitado.</w:t>
      </w:r>
    </w:p>
    <w:p w:rsidR="00000000" w:rsidDel="00000000" w:rsidP="00000000" w:rsidRDefault="00000000" w:rsidRPr="00000000" w14:paraId="00000114">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5">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cabe destacar que, dentro del expediente electrónico,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acreditó ser parte del procedimiento de traslado de dominio referido, lo anterior es así ya que de la solicitud de información no se advierte el nombre del solicitante y tampoco adjuntó un documento que acreditara su identidad; por lo que tampoco, resultaba procedente realizar una reconducción de vía, tal y como se muestra a continuación: </w:t>
      </w:r>
    </w:p>
    <w:p w:rsidR="00000000" w:rsidDel="00000000" w:rsidP="00000000" w:rsidRDefault="00000000" w:rsidRPr="00000000" w14:paraId="00000116">
      <w:pPr>
        <w:tabs>
          <w:tab w:val="left" w:leader="none" w:pos="4962"/>
        </w:tabs>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379438" cy="1538105"/>
            <wp:effectExtent b="0" l="0" r="0" t="0"/>
            <wp:docPr descr="Interfaz de usuario gráfica, Texto, Aplicación&#10;&#10;El contenido generado por IA puede ser incorrecto." id="999915898" name="image2.png"/>
            <a:graphic>
              <a:graphicData uri="http://schemas.openxmlformats.org/drawingml/2006/picture">
                <pic:pic>
                  <pic:nvPicPr>
                    <pic:cNvPr descr="Interfaz de usuario gráfica, Texto, Aplicación&#10;&#10;El contenido generado por IA puede ser incorrecto." id="0" name="image2.png"/>
                    <pic:cNvPicPr preferRelativeResize="0"/>
                  </pic:nvPicPr>
                  <pic:blipFill>
                    <a:blip r:embed="rId15"/>
                    <a:srcRect b="0" l="0" r="0" t="0"/>
                    <a:stretch>
                      <a:fillRect/>
                    </a:stretch>
                  </pic:blipFill>
                  <pic:spPr>
                    <a:xfrm>
                      <a:off x="0" y="0"/>
                      <a:ext cx="4379438" cy="153810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612919</wp:posOffset>
                </wp:positionH>
                <wp:positionV relativeFrom="paragraph">
                  <wp:posOffset>1242119</wp:posOffset>
                </wp:positionV>
                <wp:extent cx="4385945" cy="133470"/>
                <wp:effectExtent b="0" l="0" r="0" t="0"/>
                <wp:wrapNone/>
                <wp:docPr id="999915890" name=""/>
                <a:graphic>
                  <a:graphicData uri="http://schemas.microsoft.com/office/word/2010/wordprocessingShape">
                    <wps:wsp>
                      <wps:cNvSpPr/>
                      <wps:cNvPr id="2" name="Shape 2"/>
                      <wps:spPr>
                        <a:xfrm>
                          <a:off x="3159378" y="3719615"/>
                          <a:ext cx="4373245" cy="120770"/>
                        </a:xfrm>
                        <a:prstGeom prst="rect">
                          <a:avLst/>
                        </a:prstGeom>
                        <a:noFill/>
                        <a:ln cap="flat" cmpd="sng" w="127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612919</wp:posOffset>
                </wp:positionH>
                <wp:positionV relativeFrom="paragraph">
                  <wp:posOffset>1242119</wp:posOffset>
                </wp:positionV>
                <wp:extent cx="4385945" cy="133470"/>
                <wp:effectExtent b="0" l="0" r="0" t="0"/>
                <wp:wrapNone/>
                <wp:docPr id="999915890"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4385945" cy="133470"/>
                        </a:xfrm>
                        <a:prstGeom prst="rect"/>
                        <a:ln/>
                      </pic:spPr>
                    </pic:pic>
                  </a:graphicData>
                </a:graphic>
              </wp:anchor>
            </w:drawing>
          </mc:Fallback>
        </mc:AlternateContent>
      </w:r>
    </w:p>
    <w:p w:rsidR="00000000" w:rsidDel="00000000" w:rsidP="00000000" w:rsidRDefault="00000000" w:rsidRPr="00000000" w14:paraId="00000117">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8">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se confirma que su entrega expondría información que identifica a particulares y revela su situación patrimonial, vulnerando derechos que gozan de protección constitucional y legal reforzada.</w:t>
      </w:r>
    </w:p>
    <w:p w:rsidR="00000000" w:rsidDel="00000000" w:rsidP="00000000" w:rsidRDefault="00000000" w:rsidRPr="00000000" w14:paraId="00000119">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A">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tanto, desde la óptica de tutela integral de derechos, no resulta jurídicamente viable ordenar de la información contenida dentro del expediente de traslado de dominio, ni siquiera en versión pública. Esta decisión no debilita el principio de publicidad, sino que delimita su alcance conforme a los criterios de relevancia, finalidad y proporcionalidad; al tratarse de un documento que, fuera de su contexto jurisdiccional, no actualiza un interés público prevalente y sí compromete derechos personales de terceros.</w:t>
      </w:r>
    </w:p>
    <w:p w:rsidR="00000000" w:rsidDel="00000000" w:rsidP="00000000" w:rsidRDefault="00000000" w:rsidRPr="00000000" w14:paraId="0000011B">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C">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debe precisarse que la respuesta del Coordinador de Catastro resulta insuficiente, pues si bien señala que no es posible proporcionar la información solicitada hasta en tanto acredite su interés jurídico o legítimo previo cumplimiento con los requisitos establecidos en el Manual Catastral del Estado de México y el Código Financiero del Estado de México y Municipios, lo cierto es que, como ya fue referido en párrafos que anteceden,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señaló su nombre para ser identificado como parte dentro del procedimiento, aunado a que tampoco adjuntó un documento que acreditara su identidad. </w:t>
      </w:r>
    </w:p>
    <w:p w:rsidR="00000000" w:rsidDel="00000000" w:rsidP="00000000" w:rsidRDefault="00000000" w:rsidRPr="00000000" w14:paraId="0000011D">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E">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tomando en consideración lo anterior, este Organismo Garante advierte que lo procedente es clasificar la información como confidencial, pues se insiste que la información solicitada contiene datos personales y patrimoniales de personas físicas identificadas o identificables; aunado a que se trata de un trámite privado, por lo que el derecho de acceso a la información, no sería la vía para obtener la información solicitada. </w:t>
      </w:r>
    </w:p>
    <w:p w:rsidR="00000000" w:rsidDel="00000000" w:rsidP="00000000" w:rsidRDefault="00000000" w:rsidRPr="00000000" w14:paraId="0000011F">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0">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consecuencia, este Órgano Garante determina modificar la respuesta del Ayuntamiento de Almoloya de Juárez, para el efecto de que, a través de su Comité de Transparencia, emita el acuerdo correspondiente de clasificación total como información confidencial, fundando y motivando su determinación conforme a los principios y reglas señaladas en la normatividad de la materia, dejando debida constancia documental de su actuación.</w:t>
      </w:r>
    </w:p>
    <w:p w:rsidR="00000000" w:rsidDel="00000000" w:rsidP="00000000" w:rsidRDefault="00000000" w:rsidRPr="00000000" w14:paraId="0000012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en cuanto al derecho de acceso a datos personales, es de mencionar que para el ejercicio del derecho de acceso a datos personales es necesario que el titular acredite su identidad y en de ser el caso cuando se pretenda acceder a través de un representante; éste, deberá acreditar la identidad; requisito dispuesto en el artículo 106 de la </w:t>
      </w:r>
      <w:r w:rsidDel="00000000" w:rsidR="00000000" w:rsidRPr="00000000">
        <w:rPr>
          <w:rFonts w:ascii="Palatino Linotype" w:cs="Palatino Linotype" w:eastAsia="Palatino Linotype" w:hAnsi="Palatino Linotype"/>
          <w:b w:val="1"/>
          <w:bCs w:val="1"/>
          <w:sz w:val="22"/>
          <w:szCs w:val="22"/>
          <w:rtl w:val="0"/>
        </w:rPr>
        <w:t xml:space="preserve">Ley de Protección de Datos Personales en Posesión de Sujeto Obligados del Estado de México y Municipios, </w:t>
      </w:r>
      <w:r w:rsidDel="00000000" w:rsidR="00000000" w:rsidRPr="00000000">
        <w:rPr>
          <w:rFonts w:ascii="Palatino Linotype" w:cs="Palatino Linotype" w:eastAsia="Palatino Linotype" w:hAnsi="Palatino Linotype"/>
          <w:sz w:val="22"/>
          <w:szCs w:val="22"/>
          <w:rtl w:val="0"/>
        </w:rPr>
        <w:t xml:space="preserve">que es del texto literal siguiente. </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106</w:t>
      </w:r>
      <w:r w:rsidDel="00000000" w:rsidR="00000000" w:rsidRPr="00000000">
        <w:rPr>
          <w:rFonts w:ascii="Palatino Linotype" w:cs="Palatino Linotype" w:eastAsia="Palatino Linotype" w:hAnsi="Palatino Linotype"/>
          <w:i w:val="1"/>
          <w:iCs w:val="1"/>
          <w:sz w:val="22"/>
          <w:szCs w:val="22"/>
          <w:rtl w:val="0"/>
        </w:rPr>
        <w:t xml:space="preserve">. La recepción y trámite de las solicitudes para el ejercicio de los derechos ARCO, de portabilidad de los datos y limitación del tratamiento, se sujetará al procedimiento establecido en el presente Título y demás disposiciones que resulten aplicables en la materia. </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Los titulares o sus representantes legales podrán solicitar</w:t>
      </w:r>
      <w:r w:rsidDel="00000000" w:rsidR="00000000" w:rsidRPr="00000000">
        <w:rPr>
          <w:rFonts w:ascii="Palatino Linotype" w:cs="Palatino Linotype" w:eastAsia="Palatino Linotype" w:hAnsi="Palatino Linotype"/>
          <w:i w:val="1"/>
          <w:iCs w:val="1"/>
          <w:sz w:val="22"/>
          <w:szCs w:val="22"/>
          <w:rtl w:val="0"/>
        </w:rPr>
        <w:t xml:space="preserve"> a través de la Unidad de Transparencia, en términos de lo que establezca la presente Ley, que se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les otorgue acceso</w:t>
      </w:r>
      <w:r w:rsidDel="00000000" w:rsidR="00000000" w:rsidRPr="00000000">
        <w:rPr>
          <w:rFonts w:ascii="Palatino Linotype" w:cs="Palatino Linotype" w:eastAsia="Palatino Linotype" w:hAnsi="Palatino Linotype"/>
          <w:i w:val="1"/>
          <w:iCs w:val="1"/>
          <w:sz w:val="22"/>
          <w:szCs w:val="22"/>
          <w:rtl w:val="0"/>
        </w:rPr>
        <w:t xml:space="preserve">, rectifique, cancele, o que haga efectivo su derecho de oposición, respecto de los datos personales que le conciernan y que obren en un sistema de datos personales y base de datos en posesión de los sujetos obligados. </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Para el ejercicio de los derechos ARCO solicitados será necesario acreditar la identidad de titular y en su caso la identidad </w:t>
      </w:r>
      <w:r w:rsidDel="00000000" w:rsidR="00000000" w:rsidRPr="00000000">
        <w:rPr>
          <w:rFonts w:ascii="Palatino Linotype" w:cs="Palatino Linotype" w:eastAsia="Palatino Linotype" w:hAnsi="Palatino Linotype"/>
          <w:i w:val="1"/>
          <w:iCs w:val="1"/>
          <w:sz w:val="22"/>
          <w:szCs w:val="22"/>
          <w:rtl w:val="0"/>
        </w:rPr>
        <w:t xml:space="preserve">y personalidad con la que actúe el representante…”</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desprende que para el ejercicio de cualquiera de los derechos ARCO, el titular o su representante deberán acreditar su identidad, por ello, los medios para acreditar la identidad de las personas físicas, se encuentran previstos en los artículos 120 de la Ley de Protección de Datos Personales en Posesión de Sujetos Obligados del Estado de México y Municipios; 76 de los Lineamientos Generales de Protección de Datos Personales para el Sector Público; y 2.5 Bis del Código Civil del Estado de México</w:t>
      </w: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siendo estos:</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360" w:lineRule="auto"/>
        <w:ind w:left="42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Identificación oficial, como Credencial para votar, pasaporte, matrícula consular mexicana, carta de naturalización, cédula profesional o de pasante, etc.</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360" w:lineRule="auto"/>
        <w:ind w:left="42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 Credenciales expedidas por autoridades educativas que cuenten con autorización o con reconocimiento de validez oficial o instituciones de seguridad social, licencia para conducir, cartilla del servicio militar nacional, etc.</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360" w:lineRule="auto"/>
        <w:ind w:left="42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 Firma electrónica avanzada o del instrumento electrónico que lo sustituya</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360" w:lineRule="auto"/>
        <w:ind w:left="42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 Mecanismos de autenticación autorizados por el Instituto o el Instituto Nacional publicados por acuerdo general en el periódico oficial “Gaceta del Gobierno” o en el Diario Oficial de la Federación, siempre y cuando permitan de forma inequívoca la acreditación de la identidad del titular.</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señalar, que de las constancias que integran el expediente del recurso de revisión de mérito, no se advierten documentos que acrediten que los datos a los que se pretende acceder correspondan al solicitante ya que no adjuntó algún documento que permitiera identificar si se trata del titular de los datos personales, aunado a que en la solicitud de información, no señaló un nombre con el que pueda ser identificado, por lo que no se cuentan con elementos para que este Organismo realizara la reconducción de vía para resolver el asunto, ya que no es posible darle el tratamiento de acceso a información pública, toda vez que se trata de información concerniente con la vida privada y patrimonial del titular de los datos personales, tal como quedó acotado en párrafos anteriores. </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cabe hacer un paréntesis y referir que si bien la ley de la materia establece de manera puntual que para el ejercicio de los derechos ARCO solicitados </w:t>
      </w:r>
      <w:r w:rsidDel="00000000" w:rsidR="00000000" w:rsidRPr="00000000">
        <w:rPr>
          <w:rFonts w:ascii="Palatino Linotype" w:cs="Palatino Linotype" w:eastAsia="Palatino Linotype" w:hAnsi="Palatino Linotype"/>
          <w:b w:val="1"/>
          <w:bCs w:val="1"/>
          <w:sz w:val="22"/>
          <w:szCs w:val="22"/>
          <w:u w:val="single"/>
          <w:rtl w:val="0"/>
        </w:rPr>
        <w:t xml:space="preserve">será necesario acreditar la identidad del titula</w:t>
      </w:r>
      <w:r w:rsidDel="00000000" w:rsidR="00000000" w:rsidRPr="00000000">
        <w:rPr>
          <w:rFonts w:ascii="Palatino Linotype" w:cs="Palatino Linotype" w:eastAsia="Palatino Linotype" w:hAnsi="Palatino Linotype"/>
          <w:b w:val="1"/>
          <w:bCs w:val="1"/>
          <w:sz w:val="22"/>
          <w:szCs w:val="22"/>
          <w:rtl w:val="0"/>
        </w:rPr>
        <w:t xml:space="preserve">r </w:t>
      </w:r>
      <w:r w:rsidDel="00000000" w:rsidR="00000000" w:rsidRPr="00000000">
        <w:rPr>
          <w:rFonts w:ascii="Palatino Linotype" w:cs="Palatino Linotype" w:eastAsia="Palatino Linotype" w:hAnsi="Palatino Linotype"/>
          <w:sz w:val="22"/>
          <w:szCs w:val="22"/>
          <w:rtl w:val="0"/>
        </w:rPr>
        <w:t xml:space="preserve">y en su caso la identidad y personalidad con la que actúe el representante y que en</w:t>
      </w:r>
      <w:r w:rsidDel="00000000" w:rsidR="00000000" w:rsidRPr="00000000">
        <w:rPr>
          <w:rFonts w:ascii="Palatino Linotype" w:cs="Palatino Linotype" w:eastAsia="Palatino Linotype" w:hAnsi="Palatino Linotype"/>
          <w:b w:val="1"/>
          <w:bCs w:val="1"/>
          <w:sz w:val="22"/>
          <w:szCs w:val="22"/>
          <w:u w:val="single"/>
          <w:rtl w:val="0"/>
        </w:rPr>
        <w:t xml:space="preserve"> el caso concreto no aconteció al momento de la interposición de la solicitud</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sz w:val="22"/>
          <w:szCs w:val="22"/>
          <w:rtl w:val="0"/>
        </w:rPr>
        <w:t xml:space="preserve">Además,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remitió el documento que acreditara que el bien inmueble referido en la solicitud, es parte de su patrimonio; es decir, acreditara su interés jurídico en el presente asunto, tal y como le fue informado en respuesta; sino por el contrario, en la interposición del recurso manifestó medularmente que respecto a acreditar su interés jurídico o legitimo es contrario a derecho porque el sujeto obligado exige cumplir un requisito que la Constitución Federal no exige en el acceso a la información pública; de conformidad con el artículo 6, inciso A, fracción III; sin embargo, el artículo 106, párrafo tercero de </w:t>
      </w:r>
      <w:r w:rsidDel="00000000" w:rsidR="00000000" w:rsidRPr="00000000">
        <w:rPr>
          <w:rFonts w:ascii="Palatino Linotype" w:cs="Palatino Linotype" w:eastAsia="Palatino Linotype" w:hAnsi="Palatino Linotype"/>
          <w:b w:val="1"/>
          <w:bCs w:val="1"/>
          <w:sz w:val="22"/>
          <w:szCs w:val="22"/>
          <w:rtl w:val="0"/>
        </w:rPr>
        <w:t xml:space="preserve">Ley de Protección de Datos Personales en Posesión de Sujeto Obligados del Estado de México y Municipios, </w:t>
      </w:r>
      <w:r w:rsidDel="00000000" w:rsidR="00000000" w:rsidRPr="00000000">
        <w:rPr>
          <w:rFonts w:ascii="Palatino Linotype" w:cs="Palatino Linotype" w:eastAsia="Palatino Linotype" w:hAnsi="Palatino Linotype"/>
          <w:sz w:val="22"/>
          <w:szCs w:val="22"/>
          <w:rtl w:val="0"/>
        </w:rPr>
        <w:t xml:space="preserve">claramente establece que para el ejercicio de los derechos ARCO será necesario acreditar la identidad del titular y en su caso la identidad y personalidad con la que actúe el representante.</w:t>
      </w:r>
      <w:r w:rsidDel="00000000" w:rsidR="00000000" w:rsidRPr="00000000">
        <w:rPr>
          <w:rtl w:val="0"/>
        </w:rPr>
      </w:r>
    </w:p>
    <w:p w:rsidR="00000000" w:rsidDel="00000000" w:rsidP="00000000" w:rsidRDefault="00000000" w:rsidRPr="00000000" w14:paraId="00000133">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se dejan a salvo los derechos de la persona solicitante para que presente nueva solicitud en caso de ser de su interés; asimismo, es importante hacer de su conocimiento que la Ley otorga a los titulares de los datos personales el derecho a acceder, rectificar y cancelar su información personal en posesión de Sujetos Obligados, o bien oponerse al tratamiento de la misma, recordando que </w:t>
      </w:r>
      <w:r w:rsidDel="00000000" w:rsidR="00000000" w:rsidRPr="00000000">
        <w:rPr>
          <w:rFonts w:ascii="Palatino Linotype" w:cs="Palatino Linotype" w:eastAsia="Palatino Linotype" w:hAnsi="Palatino Linotype"/>
          <w:b w:val="1"/>
          <w:bCs w:val="1"/>
          <w:sz w:val="22"/>
          <w:szCs w:val="22"/>
          <w:rtl w:val="0"/>
        </w:rPr>
        <w:t xml:space="preserve">para ejercer dichos derechos ante el responsable o el Instituto, deberá acreditar que es el titular de los datos o, en caso de que lo haga en representación del titular de los datos personales, deberá acreditar ésta situación.</w:t>
      </w:r>
      <w:r w:rsidDel="00000000" w:rsidR="00000000" w:rsidRPr="00000000">
        <w:rPr>
          <w:rFonts w:ascii="Palatino Linotype" w:cs="Palatino Linotype" w:eastAsia="Palatino Linotype" w:hAnsi="Palatino Linotype"/>
          <w:sz w:val="22"/>
          <w:szCs w:val="22"/>
          <w:rtl w:val="0"/>
        </w:rPr>
        <w:t xml:space="preserve"> Esto está pensado para que NADIE más que el titular o el representante, puedan decidir el uso que se le dará a sus datos personales, como una medida de seguridad de su información personal.</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anterior pueden ser utilizados los medios de identificación y formas de acreditar la personalidad que se prevén en los artículos 120 y 121 de la Ley de Protección de Datos Personales en Posesión de Sujetos Obligados del Estado de México y Municipios; 76, 77, 78, 79, 80, 81 y 82 de los Lineamientos Generales de Protección de Datos Personales para el Sector Público; 2.5 fracción II y VIII, 2.5 Bis, 4.202, 4.203 y 4.204 del Código Civil del Estado de México, y de ésta manera evitar el uso malintencionado que alguien pueda hacer de la información o documentación que le concierne.</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Sobre la propiedad de un inmueble, el título de propiedad que es un documento legal que acredita la propiedad de un bien inmueble, este documento ampara los derechos de propiedad que la Ley concede al dueño legal, es decir; es un documento físico que sirve para demostrar los derechos intangibles sobre una cosa y es considerado también como el documento que da cuenta del patrimonio de un individuo, por lo que atañe única y exclusivamente a la esfera privada de esta y, por ello, no puede otorgarse a terceros en términos de lo señalado por el artículo 3 fracción IX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se hace del conocimiento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que existe el sistema denominado Sistema de Acceso, Rectificación, Cancelación y Oposición de Datos Personales del Estado de México, SARCOEM; a través del cual, puede ejercer los derechos ARCO, que se refieren a aquel derecho que tiene el titular de datos personales, para solicitar el acceso, rectificación, cancelación, oposición y portabilidad sobre el tratamiento de sus datos, ante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esté en posesión de los mismos.</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mencionar que  el sistema SARCOEM se encuentra en la dirección electrónica: </w:t>
      </w:r>
      <w:hyperlink r:id="rId17">
        <w:r w:rsidDel="00000000" w:rsidR="00000000" w:rsidRPr="00000000">
          <w:rPr>
            <w:rFonts w:ascii="Palatino Linotype" w:cs="Palatino Linotype" w:eastAsia="Palatino Linotype" w:hAnsi="Palatino Linotype"/>
            <w:sz w:val="22"/>
            <w:szCs w:val="22"/>
            <w:u w:val="single"/>
            <w:rtl w:val="0"/>
          </w:rPr>
          <w:t xml:space="preserve">https://www.sarcoem.org.mx/sarcoem/ciudadano/login.page</w:t>
        </w:r>
      </w:hyperlink>
      <w:r w:rsidDel="00000000" w:rsidR="00000000" w:rsidRPr="00000000">
        <w:rPr>
          <w:rFonts w:ascii="Palatino Linotype" w:cs="Palatino Linotype" w:eastAsia="Palatino Linotype" w:hAnsi="Palatino Linotype"/>
          <w:sz w:val="22"/>
          <w:szCs w:val="22"/>
          <w:rtl w:val="0"/>
        </w:rPr>
        <w:t xml:space="preserve">, asimismo, las guías de uso de dicho sistema, tales como el registro ciudadano, el registro de solicitudes, el seguimiento a recursos de revisión, entre otras, se encuentran disponibles en la siguiente dirección electrónica: </w:t>
      </w:r>
      <w:hyperlink r:id="rId18">
        <w:r w:rsidDel="00000000" w:rsidR="00000000" w:rsidRPr="00000000">
          <w:rPr>
            <w:rFonts w:ascii="Palatino Linotype" w:cs="Palatino Linotype" w:eastAsia="Palatino Linotype" w:hAnsi="Palatino Linotype"/>
            <w:sz w:val="22"/>
            <w:szCs w:val="22"/>
            <w:u w:val="single"/>
            <w:rtl w:val="0"/>
          </w:rPr>
          <w:t xml:space="preserve">https://www.sarcoem.org.mx/sarcoem/guias.html</w:t>
        </w:r>
      </w:hyperlink>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line="360" w:lineRule="auto"/>
        <w:ind w:right="8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13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0">
      <w:pPr>
        <w:spacing w:line="360" w:lineRule="auto"/>
        <w:ind w:left="567" w:firstLine="0"/>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 E S U E L V E</w:t>
      </w:r>
    </w:p>
    <w:p w:rsidR="00000000" w:rsidDel="00000000" w:rsidP="00000000" w:rsidRDefault="00000000" w:rsidRPr="00000000" w14:paraId="00000141">
      <w:pPr>
        <w:spacing w:line="360" w:lineRule="auto"/>
        <w:ind w:left="567" w:firstLine="0"/>
        <w:jc w:val="cente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14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w:t>
      </w:r>
      <w:r w:rsidDel="00000000" w:rsidR="00000000" w:rsidRPr="00000000">
        <w:rPr>
          <w:rFonts w:ascii="Palatino Linotype" w:cs="Palatino Linotype" w:eastAsia="Palatino Linotype" w:hAnsi="Palatino Linotype"/>
          <w:sz w:val="22"/>
          <w:szCs w:val="22"/>
          <w:rtl w:val="0"/>
        </w:rPr>
        <w:t xml:space="preserve"> Resultan </w:t>
      </w:r>
      <w:r w:rsidDel="00000000" w:rsidR="00000000" w:rsidRPr="00000000">
        <w:rPr>
          <w:rFonts w:ascii="Palatino Linotype" w:cs="Palatino Linotype" w:eastAsia="Palatino Linotype" w:hAnsi="Palatino Linotype"/>
          <w:b w:val="1"/>
          <w:bCs w:val="1"/>
          <w:sz w:val="22"/>
          <w:szCs w:val="22"/>
          <w:rtl w:val="0"/>
        </w:rPr>
        <w:t xml:space="preserve">parcialmente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bCs w:val="1"/>
          <w:sz w:val="22"/>
          <w:szCs w:val="22"/>
          <w:rtl w:val="0"/>
        </w:rPr>
        <w:t xml:space="preserve">08349/INFOEM/IP/RR/2025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bCs w:val="1"/>
          <w:sz w:val="22"/>
          <w:szCs w:val="22"/>
          <w:rtl w:val="0"/>
        </w:rPr>
        <w:t xml:space="preserve">Considerando 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bCs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4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 </w:t>
      </w:r>
      <w:r w:rsidDel="00000000" w:rsidR="00000000" w:rsidRPr="00000000">
        <w:rPr>
          <w:rFonts w:ascii="Palatino Linotype" w:cs="Palatino Linotype" w:eastAsia="Palatino Linotype" w:hAnsi="Palatino Linotype"/>
          <w:b w:val="1"/>
          <w:bCs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en términos del </w:t>
      </w:r>
      <w:r w:rsidDel="00000000" w:rsidR="00000000" w:rsidRPr="00000000">
        <w:rPr>
          <w:rFonts w:ascii="Palatino Linotype" w:cs="Palatino Linotype" w:eastAsia="Palatino Linotype" w:hAnsi="Palatino Linotype"/>
          <w:b w:val="1"/>
          <w:bCs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haga entrega, previa búsqueda exhaustiva y razonable, vía Sistema de Acceso a la Información Mexiquense, de lo siguiente: </w:t>
      </w:r>
    </w:p>
    <w:p w:rsidR="00000000" w:rsidDel="00000000" w:rsidP="00000000" w:rsidRDefault="00000000" w:rsidRPr="00000000" w14:paraId="0000014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6">
      <w:pPr>
        <w:numPr>
          <w:ilvl w:val="0"/>
          <w:numId w:val="7"/>
        </w:numPr>
        <w:pBdr>
          <w:top w:space="0" w:sz="0" w:val="nil"/>
          <w:left w:space="0" w:sz="0" w:val="nil"/>
          <w:bottom w:space="0" w:sz="0" w:val="nil"/>
          <w:right w:space="0" w:sz="0" w:val="nil"/>
          <w:between w:space="0" w:sz="0" w:val="nil"/>
        </w:pBdr>
        <w:spacing w:line="276" w:lineRule="auto"/>
        <w:ind w:left="1134" w:right="616" w:hanging="36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documento que dé cuenta de la fecha y nombre del funcionario o funcionarios que firmaron la conclusión del trámite.</w:t>
      </w:r>
    </w:p>
    <w:p w:rsidR="00000000" w:rsidDel="00000000" w:rsidP="00000000" w:rsidRDefault="00000000" w:rsidRPr="00000000" w14:paraId="00000147">
      <w:pPr>
        <w:numPr>
          <w:ilvl w:val="0"/>
          <w:numId w:val="7"/>
        </w:numPr>
        <w:pBdr>
          <w:top w:space="0" w:sz="0" w:val="nil"/>
          <w:left w:space="0" w:sz="0" w:val="nil"/>
          <w:bottom w:space="0" w:sz="0" w:val="nil"/>
          <w:right w:space="0" w:sz="0" w:val="nil"/>
          <w:between w:space="0" w:sz="0" w:val="nil"/>
        </w:pBdr>
        <w:spacing w:line="276" w:lineRule="auto"/>
        <w:ind w:left="1134" w:right="616" w:hanging="36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acuerdo mediante el cual el Comité de Transparencia del Ayuntamiento de Almoloya de Juárez, de manera fundada y motivada, clasifique como confidencial en su totalidad la información referente a la suspensión del tramité del inmueble referido en el oficio número MAJ/TM/CCM/AESP/273/2023 de fecha 19 de septiembre de 2023. </w:t>
      </w:r>
    </w:p>
    <w:p w:rsidR="00000000" w:rsidDel="00000000" w:rsidP="00000000" w:rsidRDefault="00000000" w:rsidRPr="00000000" w14:paraId="00000148">
      <w:pPr>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149">
      <w:pPr>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Notifíquese </w:t>
      </w:r>
      <w:r w:rsidDel="00000000" w:rsidR="00000000" w:rsidRPr="00000000">
        <w:rPr>
          <w:rFonts w:ascii="Palatino Linotype" w:cs="Palatino Linotype" w:eastAsia="Palatino Linotype" w:hAnsi="Palatino Linotype"/>
          <w:sz w:val="22"/>
          <w:szCs w:val="22"/>
          <w:rtl w:val="0"/>
        </w:rPr>
        <w:t xml:space="preserve">la presente resolución </w:t>
      </w:r>
      <w:r w:rsidDel="00000000" w:rsidR="00000000" w:rsidRPr="00000000">
        <w:rPr>
          <w:rFonts w:ascii="Palatino Linotype" w:cs="Palatino Linotype" w:eastAsia="Palatino Linotype" w:hAnsi="Palatino Linotype"/>
          <w:b w:val="1"/>
          <w:bCs w:val="1"/>
          <w:sz w:val="22"/>
          <w:szCs w:val="22"/>
          <w:rtl w:val="0"/>
        </w:rPr>
        <w:t xml:space="preserve">vía SAIMEX </w:t>
      </w:r>
      <w:r w:rsidDel="00000000" w:rsidR="00000000" w:rsidRPr="00000000">
        <w:rPr>
          <w:rFonts w:ascii="Palatino Linotype" w:cs="Palatino Linotype" w:eastAsia="Palatino Linotype" w:hAnsi="Palatino Linotype"/>
          <w:sz w:val="22"/>
          <w:szCs w:val="22"/>
          <w:rtl w:val="0"/>
        </w:rPr>
        <w:t xml:space="preserve">al T</w:t>
      </w:r>
      <w:r w:rsidDel="00000000" w:rsidR="00000000" w:rsidRPr="00000000">
        <w:rPr>
          <w:rFonts w:ascii="Palatino Linotype" w:cs="Palatino Linotype" w:eastAsia="Palatino Linotype" w:hAnsi="Palatino Linotype"/>
          <w:b w:val="1"/>
          <w:bCs w:val="1"/>
          <w:sz w:val="22"/>
          <w:szCs w:val="22"/>
          <w:rtl w:val="0"/>
        </w:rPr>
        <w:t xml:space="preserve">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4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Notifíquese vía SAIMEX </w:t>
      </w:r>
      <w:r w:rsidDel="00000000" w:rsidR="00000000" w:rsidRPr="00000000">
        <w:rPr>
          <w:rFonts w:ascii="Palatino Linotype" w:cs="Palatino Linotype" w:eastAsia="Palatino Linotype" w:hAnsi="Palatino Linotype"/>
          <w:sz w:val="22"/>
          <w:szCs w:val="22"/>
          <w:rtl w:val="0"/>
        </w:rPr>
        <w:t xml:space="preserve">a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14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w:t>
      </w:r>
      <w:r w:rsidDel="00000000" w:rsidR="00000000" w:rsidRPr="00000000">
        <w:rPr>
          <w:rFonts w:ascii="Palatino Linotype" w:cs="Palatino Linotype" w:eastAsia="Palatino Linotype" w:hAnsi="Palatino Linotype"/>
          <w:sz w:val="22"/>
          <w:szCs w:val="22"/>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4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1">
      <w:pPr>
        <w:spacing w:line="360" w:lineRule="auto"/>
        <w:jc w:val="both"/>
        <w:rPr>
          <w:rFonts w:ascii="Palatino Linotype" w:cs="Palatino Linotype" w:eastAsia="Palatino Linotype" w:hAnsi="Palatino Linotype"/>
          <w:sz w:val="22"/>
          <w:szCs w:val="22"/>
        </w:rPr>
        <w:sectPr>
          <w:headerReference r:id="rId19" w:type="default"/>
          <w:headerReference r:id="rId20" w:type="first"/>
          <w:footerReference r:id="rId21" w:type="default"/>
          <w:footerReference r:id="rId22" w:type="first"/>
          <w:pgSz w:h="15840" w:w="12240" w:orient="portrait"/>
          <w:pgMar w:bottom="1701" w:top="2041" w:left="1701" w:right="1701" w:header="709" w:footer="709"/>
          <w:pgNumType w:start="1"/>
          <w:titlePg w:val="1"/>
        </w:sectPr>
      </w:pPr>
      <w:bookmarkStart w:colFirst="0" w:colLast="0" w:name="_heading=h.tyjcwt" w:id="6"/>
      <w:bookmarkEnd w:id="6"/>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TRES DE DICIEMBRE DE DOS MIL VEINTICINCO, ANTE EL SECRETARIO TÉCNICO DEL PLENO ALEXIS TAPIA RAMÍREZ.                              </w:t>
      </w:r>
    </w:p>
    <w:p w:rsidR="00000000" w:rsidDel="00000000" w:rsidP="00000000" w:rsidRDefault="00000000" w:rsidRPr="00000000" w14:paraId="00000152">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23"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Página </w:t>
    </w:r>
    <w:r w:rsidDel="00000000" w:rsidR="00000000" w:rsidRPr="00000000">
      <w:rPr>
        <w:rFonts w:ascii="Arial" w:cs="Arial" w:eastAsia="Arial" w:hAnsi="Arial"/>
        <w:b w:val="1"/>
        <w:bCs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Página </w:t>
    </w:r>
    <w:r w:rsidDel="00000000" w:rsidR="00000000" w:rsidRPr="00000000">
      <w:rPr>
        <w:rFonts w:ascii="Arial" w:cs="Arial" w:eastAsia="Arial" w:hAnsi="Arial"/>
        <w:b w:val="1"/>
        <w:bCs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53">
      <w:pPr>
        <w:pBdr>
          <w:top w:space="0" w:sz="0" w:val="nil"/>
          <w:left w:space="0" w:sz="0" w:val="nil"/>
          <w:bottom w:space="0" w:sz="0" w:val="nil"/>
          <w:right w:space="0" w:sz="0" w:val="nil"/>
          <w:between w:space="0" w:sz="0" w:val="nil"/>
        </w:pBd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bCs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15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-638172</wp:posOffset>
          </wp:positionH>
          <wp:positionV relativeFrom="paragraph">
            <wp:posOffset>-450211</wp:posOffset>
          </wp:positionV>
          <wp:extent cx="7809876" cy="10165823"/>
          <wp:effectExtent b="0" l="0" r="0" t="0"/>
          <wp:wrapNone/>
          <wp:docPr id="99991589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56">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157">
          <w:pPr>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08349/INFOEM/IP/RR/2025</w:t>
          </w:r>
        </w:p>
      </w:tc>
    </w:tr>
    <w:tr>
      <w:trPr>
        <w:cantSplit w:val="0"/>
        <w:trHeight w:val="228" w:hRule="atLeast"/>
        <w:tblHeader w:val="0"/>
      </w:trPr>
      <w:tc>
        <w:tcPr>
          <w:vAlign w:val="center"/>
        </w:tcPr>
        <w:p w:rsidR="00000000" w:rsidDel="00000000" w:rsidP="00000000" w:rsidRDefault="00000000" w:rsidRPr="00000000" w14:paraId="00000158">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159">
          <w:pPr>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Almoloya de Juárez</w:t>
          </w:r>
        </w:p>
      </w:tc>
    </w:tr>
    <w:tr>
      <w:trPr>
        <w:cantSplit w:val="0"/>
        <w:tblHeader w:val="0"/>
      </w:trPr>
      <w:tc>
        <w:tcPr>
          <w:vAlign w:val="center"/>
        </w:tcPr>
        <w:p w:rsidR="00000000" w:rsidDel="00000000" w:rsidP="00000000" w:rsidRDefault="00000000" w:rsidRPr="00000000" w14:paraId="0000015A">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15B">
          <w:pPr>
            <w:ind w:right="-533"/>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15C">
    <w:pPr>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D">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-1066796</wp:posOffset>
          </wp:positionH>
          <wp:positionV relativeFrom="paragraph">
            <wp:posOffset>-398564</wp:posOffset>
          </wp:positionV>
          <wp:extent cx="7809876" cy="10165823"/>
          <wp:effectExtent b="0" l="0" r="0" t="0"/>
          <wp:wrapNone/>
          <wp:docPr id="99991589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5E">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15F">
          <w:pPr>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08349/INFOEM/IP/RR/2025</w:t>
          </w:r>
        </w:p>
      </w:tc>
    </w:tr>
    <w:tr>
      <w:trPr>
        <w:cantSplit w:val="0"/>
        <w:tblHeader w:val="0"/>
      </w:trPr>
      <w:tc>
        <w:tcPr>
          <w:vAlign w:val="center"/>
        </w:tcPr>
        <w:p w:rsidR="00000000" w:rsidDel="00000000" w:rsidP="00000000" w:rsidRDefault="00000000" w:rsidRPr="00000000" w14:paraId="00000160">
          <w:pPr>
            <w:ind w:left="35" w:hanging="35"/>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Recurrente:</w:t>
          </w:r>
        </w:p>
      </w:tc>
      <w:tc>
        <w:tcPr>
          <w:vAlign w:val="center"/>
        </w:tcPr>
        <w:p w:rsidR="00000000" w:rsidDel="00000000" w:rsidP="00000000" w:rsidRDefault="00000000" w:rsidRPr="00000000" w14:paraId="00000161">
          <w:pPr>
            <w:ind w:right="-533"/>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XXXXXX</w:t>
          </w:r>
        </w:p>
      </w:tc>
    </w:tr>
    <w:tr>
      <w:trPr>
        <w:cantSplit w:val="0"/>
        <w:trHeight w:val="228" w:hRule="atLeast"/>
        <w:tblHeader w:val="0"/>
      </w:trPr>
      <w:tc>
        <w:tcPr>
          <w:vAlign w:val="center"/>
        </w:tcPr>
        <w:p w:rsidR="00000000" w:rsidDel="00000000" w:rsidP="00000000" w:rsidRDefault="00000000" w:rsidRPr="00000000" w14:paraId="00000162">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163">
          <w:pPr>
            <w:ind w:right="27"/>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Almoloya de Juárez</w:t>
          </w:r>
        </w:p>
      </w:tc>
    </w:tr>
    <w:tr>
      <w:trPr>
        <w:cantSplit w:val="0"/>
        <w:tblHeader w:val="0"/>
      </w:trPr>
      <w:tc>
        <w:tcPr>
          <w:vAlign w:val="center"/>
        </w:tcPr>
        <w:p w:rsidR="00000000" w:rsidDel="00000000" w:rsidP="00000000" w:rsidRDefault="00000000" w:rsidRPr="00000000" w14:paraId="00000164">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165">
          <w:pPr>
            <w:ind w:right="-533"/>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166">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7">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bCs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3">
    <w:lvl w:ilvl="0">
      <w:start w:val="7"/>
      <w:numFmt w:val="decimal"/>
      <w:lvlText w:val="%1."/>
      <w:lvlJc w:val="left"/>
      <w:pPr>
        <w:ind w:left="2062"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3"/>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8"/>
      <w:numFmt w:val="decimal"/>
      <w:lvlText w:val="%1."/>
      <w:lvlJc w:val="left"/>
      <w:pPr>
        <w:ind w:left="720" w:hanging="360"/>
      </w:pPr>
      <w:rPr>
        <w:b w:val="1"/>
        <w:bCs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table" w:styleId="22" w:customStyle="1">
    <w:name w:val="22"/>
    <w:basedOn w:val="TableNormal1"/>
    <w:tblPr>
      <w:tblStyleRowBandSize w:val="1"/>
      <w:tblStyleColBandSize w:val="1"/>
      <w:tblCellMar>
        <w:left w:w="108.0" w:type="dxa"/>
        <w:right w:w="108.0" w:type="dxa"/>
      </w:tblCellMar>
    </w:tblPr>
  </w:style>
  <w:style w:type="table" w:styleId="21" w:customStyle="1">
    <w:name w:val="21"/>
    <w:basedOn w:val="TableNormal1"/>
    <w:tblPr>
      <w:tblStyleRowBandSize w:val="1"/>
      <w:tblStyleColBandSize w:val="1"/>
      <w:tblCellMar>
        <w:left w:w="115.0" w:type="dxa"/>
        <w:right w:w="115.0" w:type="dxa"/>
      </w:tblCellMar>
    </w:tblPr>
  </w:style>
  <w:style w:type="table" w:styleId="20" w:customStyle="1">
    <w:name w:val="20"/>
    <w:basedOn w:val="TableNormal1"/>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19" w:customStyle="1">
    <w:name w:val="19"/>
    <w:basedOn w:val="TableNormal1"/>
    <w:tblPr>
      <w:tblStyleRowBandSize w:val="1"/>
      <w:tblStyleColBandSize w:val="1"/>
      <w:tblCellMar>
        <w:left w:w="108.0" w:type="dxa"/>
        <w:right w:w="108.0" w:type="dxa"/>
      </w:tblCellMar>
    </w:tblPr>
  </w:style>
  <w:style w:type="table" w:styleId="18" w:customStyle="1">
    <w:name w:val="18"/>
    <w:basedOn w:val="TableNormal1"/>
    <w:tblPr>
      <w:tblStyleRowBandSize w:val="1"/>
      <w:tblStyleColBandSize w:val="1"/>
      <w:tblCellMar>
        <w:left w:w="108.0" w:type="dxa"/>
        <w:right w:w="108.0" w:type="dxa"/>
      </w:tblCellMar>
    </w:tblPr>
  </w:style>
  <w:style w:type="table" w:styleId="17" w:customStyle="1">
    <w:name w:val="17"/>
    <w:basedOn w:val="TableNormal1"/>
    <w:tblPr>
      <w:tblStyleRowBandSize w:val="1"/>
      <w:tblStyleColBandSize w:val="1"/>
      <w:tblCellMar>
        <w:left w:w="108.0" w:type="dxa"/>
        <w:right w:w="108.0" w:type="dxa"/>
      </w:tblCellMar>
    </w:tblPr>
  </w:style>
  <w:style w:type="table" w:styleId="16" w:customStyle="1">
    <w:name w:val="16"/>
    <w:basedOn w:val="TableNormal1"/>
    <w:tblPr>
      <w:tblStyleRowBandSize w:val="1"/>
      <w:tblStyleColBandSize w:val="1"/>
      <w:tblCellMar>
        <w:left w:w="108.0" w:type="dxa"/>
        <w:right w:w="108.0" w:type="dxa"/>
      </w:tblCellMar>
    </w:tblPr>
  </w:style>
  <w:style w:type="table" w:styleId="15" w:customStyle="1">
    <w:name w:val="15"/>
    <w:basedOn w:val="TableNormal1"/>
    <w:tblPr>
      <w:tblStyleRowBandSize w:val="1"/>
      <w:tblStyleColBandSize w:val="1"/>
      <w:tblCellMar>
        <w:left w:w="108.0" w:type="dxa"/>
        <w:right w:w="108.0" w:type="dxa"/>
      </w:tblCellMar>
    </w:tblPr>
  </w:style>
  <w:style w:type="table" w:styleId="14" w:customStyle="1">
    <w:name w:val="14"/>
    <w:basedOn w:val="TableNormal1"/>
    <w:tblPr>
      <w:tblStyleRowBandSize w:val="1"/>
      <w:tblStyleColBandSize w:val="1"/>
      <w:tblCellMar>
        <w:left w:w="108.0" w:type="dxa"/>
        <w:right w:w="108.0" w:type="dxa"/>
      </w:tblCellMar>
    </w:tblPr>
  </w:style>
  <w:style w:type="table" w:styleId="13" w:customStyle="1">
    <w:name w:val="13"/>
    <w:basedOn w:val="TableNormal1"/>
    <w:tblPr>
      <w:tblStyleRowBandSize w:val="1"/>
      <w:tblStyleColBandSize w:val="1"/>
      <w:tblCellMar>
        <w:left w:w="108.0" w:type="dxa"/>
        <w:right w:w="108.0" w:type="dxa"/>
      </w:tblCellMar>
    </w:tblPr>
  </w:style>
  <w:style w:type="table" w:styleId="12" w:customStyle="1">
    <w:name w:val="12"/>
    <w:basedOn w:val="TableNormal1"/>
    <w:tblPr>
      <w:tblStyleRowBandSize w:val="1"/>
      <w:tblStyleColBandSize w:val="1"/>
      <w:tblCellMar>
        <w:left w:w="115.0" w:type="dxa"/>
        <w:right w:w="115.0" w:type="dxa"/>
      </w:tblCellMar>
    </w:tblPr>
  </w:style>
  <w:style w:type="table" w:styleId="11" w:customStyle="1">
    <w:name w:val="11"/>
    <w:basedOn w:val="TableNormal1"/>
    <w:tblPr>
      <w:tblStyleRowBandSize w:val="1"/>
      <w:tblStyleColBandSize w:val="1"/>
      <w:tblCellMar>
        <w:left w:w="115.0" w:type="dxa"/>
        <w:right w:w="115.0" w:type="dxa"/>
      </w:tblCellMar>
    </w:tblPr>
  </w:style>
  <w:style w:type="table" w:styleId="10" w:customStyle="1">
    <w:name w:val="10"/>
    <w:basedOn w:val="TableNormal1"/>
    <w:tblPr>
      <w:tblStyleRowBandSize w:val="1"/>
      <w:tblStyleColBandSize w:val="1"/>
      <w:tblCellMar>
        <w:left w:w="115.0" w:type="dxa"/>
        <w:right w:w="115.0" w:type="dxa"/>
      </w:tblCellMar>
    </w:tblPr>
  </w:style>
  <w:style w:type="table" w:styleId="9" w:customStyle="1">
    <w:name w:val="9"/>
    <w:basedOn w:val="TableNormal2"/>
    <w:tblPr>
      <w:tblStyleRowBandSize w:val="1"/>
      <w:tblStyleColBandSize w:val="1"/>
      <w:tblCellMar>
        <w:left w:w="115.0" w:type="dxa"/>
        <w:right w:w="115.0" w:type="dxa"/>
      </w:tblCellMar>
    </w:tblPr>
  </w:style>
  <w:style w:type="table" w:styleId="8" w:customStyle="1">
    <w:name w:val="8"/>
    <w:basedOn w:val="TableNormal2"/>
    <w:tblPr>
      <w:tblStyleRowBandSize w:val="1"/>
      <w:tblStyleColBandSize w:val="1"/>
      <w:tblCellMar>
        <w:left w:w="115.0" w:type="dxa"/>
        <w:right w:w="115.0" w:type="dxa"/>
      </w:tblCellMar>
    </w:tblPr>
  </w:style>
  <w:style w:type="table" w:styleId="7" w:customStyle="1">
    <w:name w:val="7"/>
    <w:basedOn w:val="TableNormal2"/>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4"/>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6" w:customStyle="1">
    <w:name w:val="6"/>
    <w:basedOn w:val="TableNormal3"/>
    <w:tblPr>
      <w:tblStyleRowBandSize w:val="1"/>
      <w:tblStyleColBandSize w:val="1"/>
      <w:tblCellMar>
        <w:left w:w="115.0" w:type="dxa"/>
        <w:right w:w="115.0" w:type="dxa"/>
      </w:tblCellMar>
    </w:tblPr>
  </w:style>
  <w:style w:type="table" w:styleId="5" w:customStyle="1">
    <w:name w:val="5"/>
    <w:basedOn w:val="TableNormal3"/>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table" w:styleId="4" w:customStyle="1">
    <w:name w:val="4"/>
    <w:basedOn w:val="TableNormal4"/>
    <w:tblPr>
      <w:tblStyleRowBandSize w:val="1"/>
      <w:tblStyleColBandSize w:val="1"/>
      <w:tblCellMar>
        <w:left w:w="115.0" w:type="dxa"/>
        <w:right w:w="115.0" w:type="dxa"/>
      </w:tblCellMar>
    </w:tblPr>
  </w:style>
  <w:style w:type="table" w:styleId="3" w:customStyle="1">
    <w:name w:val="3"/>
    <w:basedOn w:val="TableNormal4"/>
    <w:tblPr>
      <w:tblStyleRowBandSize w:val="1"/>
      <w:tblStyleColBandSize w:val="1"/>
      <w:tblCellMar>
        <w:left w:w="115.0" w:type="dxa"/>
        <w:right w:w="115.0" w:type="dxa"/>
      </w:tblCellMar>
    </w:tblPr>
  </w:style>
  <w:style w:type="table" w:styleId="2" w:customStyle="1">
    <w:name w:val="2"/>
    <w:basedOn w:val="TableNormal5"/>
    <w:tblPr>
      <w:tblStyleRowBandSize w:val="1"/>
      <w:tblStyleColBandSize w:val="1"/>
      <w:tblCellMar>
        <w:left w:w="115.0" w:type="dxa"/>
        <w:right w:w="115.0" w:type="dxa"/>
      </w:tblCellMar>
    </w:tblPr>
  </w:style>
  <w:style w:type="table" w:styleId="1" w:customStyle="1">
    <w:name w:val="1"/>
    <w:basedOn w:val="TableNormal5"/>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4.png"/><Relationship Id="rId22" Type="http://schemas.openxmlformats.org/officeDocument/2006/relationships/footer" Target="footer2.xml"/><Relationship Id="rId10" Type="http://schemas.openxmlformats.org/officeDocument/2006/relationships/image" Target="media/image7.png"/><Relationship Id="rId21" Type="http://schemas.openxmlformats.org/officeDocument/2006/relationships/footer" Target="footer1.xml"/><Relationship Id="rId13" Type="http://schemas.openxmlformats.org/officeDocument/2006/relationships/hyperlink" Target="https://gobiernodechalco.gob.mx/tramites-servicios/154-traslado-de-dominio#:~:text=Es%20el%20cambio%20de%20propietario%20de%20un,113%2C%20114%2C%20115%2C%20116%2C%20117%2C%20173%2C%20175" TargetMode="External"/><Relationship Id="rId12" Type="http://schemas.openxmlformats.org/officeDocument/2006/relationships/image" Target="media/image6.png"/><Relationship Id="rId23"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15" Type="http://schemas.openxmlformats.org/officeDocument/2006/relationships/image" Target="media/image2.png"/><Relationship Id="rId14" Type="http://schemas.openxmlformats.org/officeDocument/2006/relationships/hyperlink" Target="https://sistemas2.edomex.gob.mx/TramitesyServicios/Tramite?tram=19138&amp;cont=0" TargetMode="External"/><Relationship Id="rId17" Type="http://schemas.openxmlformats.org/officeDocument/2006/relationships/hyperlink" Target="https://www.sarcoem.org.mx/sarcoem/ciudadano/login.page" TargetMode="External"/><Relationship Id="rId16" Type="http://schemas.openxmlformats.org/officeDocument/2006/relationships/image" Target="media/image8.png"/><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yperlink" Target="https://www.sarcoem.org.mx/sarcoem/guias.html" TargetMode="Externa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qAIsxd2qAIBdmB9vFJ1Y22dvrg==">CgMxLjAyCWguMmV0OTJwMDIOaC5vanlia2JzcXB1eDAyCWguM3pueXNoNzIIaC5namRneHMyCWguMzBqMHpsbDIJaC4xZm9iOXRlMghoLnR5amN3dDgAciExeGs2cXVvY0pDVU5zWExRdTBPQ0FZR292aWpTeWpjWXE=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2026-01-14T17:19:00Z</dcterms:created>
  <dc:creator>USER</dc:creator>
</cp:coreProperties>
</file>