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60B7B924" w:rsidR="00A83B4F" w:rsidRDefault="0029071C" w:rsidP="0001640F">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94336981"/>
      <w:r w:rsidR="003F171B">
        <w:rPr>
          <w:rFonts w:ascii="Palatino Linotype" w:hAnsi="Palatino Linotype" w:cs="Arial"/>
          <w:color w:val="000000"/>
          <w:lang w:val="es-MX" w:eastAsia="es-MX"/>
        </w:rPr>
        <w:t>veinti</w:t>
      </w:r>
      <w:r w:rsidR="00FD2218">
        <w:rPr>
          <w:rFonts w:ascii="Palatino Linotype" w:hAnsi="Palatino Linotype" w:cs="Arial"/>
          <w:color w:val="000000"/>
          <w:lang w:val="es-MX" w:eastAsia="es-MX"/>
        </w:rPr>
        <w:t>trés</w:t>
      </w:r>
      <w:r w:rsidR="003F171B">
        <w:rPr>
          <w:rFonts w:ascii="Palatino Linotype" w:hAnsi="Palatino Linotype" w:cs="Arial"/>
          <w:color w:val="000000"/>
          <w:lang w:val="es-MX" w:eastAsia="es-MX"/>
        </w:rPr>
        <w:t xml:space="preserve"> de </w:t>
      </w:r>
      <w:r w:rsidR="00FD2218">
        <w:rPr>
          <w:rFonts w:ascii="Palatino Linotype" w:hAnsi="Palatino Linotype" w:cs="Arial"/>
          <w:color w:val="000000"/>
          <w:lang w:val="es-MX" w:eastAsia="es-MX"/>
        </w:rPr>
        <w:t>abril</w:t>
      </w:r>
      <w:r w:rsidR="00126CCD" w:rsidRPr="00374FE7">
        <w:rPr>
          <w:rFonts w:ascii="Palatino Linotype" w:hAnsi="Palatino Linotype" w:cs="Arial"/>
          <w:color w:val="000000"/>
          <w:lang w:val="es-MX" w:eastAsia="es-MX"/>
        </w:rPr>
        <w:t xml:space="preserve"> </w:t>
      </w:r>
      <w:bookmarkEnd w:id="0"/>
      <w:r w:rsidR="003D71CA">
        <w:rPr>
          <w:rFonts w:ascii="Palatino Linotype" w:hAnsi="Palatino Linotype" w:cs="Arial"/>
          <w:color w:val="000000"/>
          <w:lang w:val="es-MX" w:eastAsia="es-MX"/>
        </w:rPr>
        <w:t xml:space="preserve">de </w:t>
      </w:r>
      <w:r w:rsidR="00126CCD" w:rsidRPr="00374FE7">
        <w:rPr>
          <w:rFonts w:ascii="Palatino Linotype" w:hAnsi="Palatino Linotype" w:cs="Arial"/>
          <w:color w:val="000000"/>
          <w:lang w:val="es-MX" w:eastAsia="es-MX"/>
        </w:rPr>
        <w:t>dos mil veinti</w:t>
      </w:r>
      <w:r w:rsidR="00FE49AC">
        <w:rPr>
          <w:rFonts w:ascii="Palatino Linotype" w:hAnsi="Palatino Linotype" w:cs="Arial"/>
          <w:color w:val="000000"/>
          <w:lang w:val="es-MX" w:eastAsia="es-MX"/>
        </w:rPr>
        <w:t>c</w:t>
      </w:r>
      <w:r w:rsidR="003F171B">
        <w:rPr>
          <w:rFonts w:ascii="Palatino Linotype" w:hAnsi="Palatino Linotype" w:cs="Arial"/>
          <w:color w:val="000000"/>
          <w:lang w:val="es-MX" w:eastAsia="es-MX"/>
        </w:rPr>
        <w:t>inco</w:t>
      </w:r>
      <w:r w:rsidRPr="00374FE7">
        <w:rPr>
          <w:rFonts w:ascii="Palatino Linotype" w:hAnsi="Palatino Linotype" w:cs="Arial"/>
          <w:color w:val="000000"/>
          <w:lang w:val="es-MX" w:eastAsia="es-MX"/>
        </w:rPr>
        <w:t>.</w:t>
      </w:r>
    </w:p>
    <w:p w14:paraId="6152DE08" w14:textId="77777777" w:rsidR="0001640F" w:rsidRPr="00374FE7" w:rsidRDefault="0001640F" w:rsidP="00115ABC">
      <w:pPr>
        <w:pStyle w:val="Sinespaciado"/>
        <w:rPr>
          <w:lang w:eastAsia="es-MX"/>
        </w:rPr>
      </w:pPr>
    </w:p>
    <w:p w14:paraId="54D402F3" w14:textId="7C7828EB"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bookmarkStart w:id="1" w:name="_GoBack"/>
      <w:r w:rsidR="00C45025" w:rsidRPr="00374FE7">
        <w:rPr>
          <w:rFonts w:ascii="Palatino Linotype" w:eastAsiaTheme="minorHAnsi" w:hAnsi="Palatino Linotype" w:cs="Arial"/>
          <w:b/>
          <w:lang w:val="es-MX" w:eastAsia="en-US"/>
        </w:rPr>
        <w:t>0</w:t>
      </w:r>
      <w:r w:rsidR="00FD2218">
        <w:rPr>
          <w:rFonts w:ascii="Palatino Linotype" w:eastAsiaTheme="minorHAnsi" w:hAnsi="Palatino Linotype" w:cs="Arial"/>
          <w:b/>
          <w:lang w:val="es-MX" w:eastAsia="en-US"/>
        </w:rPr>
        <w:t>210</w:t>
      </w:r>
      <w:r w:rsidR="006E6B4F">
        <w:rPr>
          <w:rFonts w:ascii="Palatino Linotype" w:eastAsiaTheme="minorHAnsi" w:hAnsi="Palatino Linotype" w:cs="Arial"/>
          <w:b/>
          <w:lang w:val="es-MX" w:eastAsia="en-US"/>
        </w:rPr>
        <w:t>0</w:t>
      </w:r>
      <w:r w:rsidRPr="00374FE7">
        <w:rPr>
          <w:rFonts w:ascii="Palatino Linotype" w:eastAsiaTheme="minorHAnsi" w:hAnsi="Palatino Linotype" w:cs="Arial"/>
          <w:b/>
          <w:bCs/>
          <w:lang w:val="es-MX" w:eastAsia="es-MX"/>
        </w:rPr>
        <w:t>/INFOEM/IP/RR/202</w:t>
      </w:r>
      <w:r w:rsidR="00230100">
        <w:rPr>
          <w:rFonts w:ascii="Palatino Linotype" w:eastAsiaTheme="minorHAnsi" w:hAnsi="Palatino Linotype" w:cs="Arial"/>
          <w:b/>
          <w:bCs/>
          <w:lang w:val="es-MX" w:eastAsia="es-MX"/>
        </w:rPr>
        <w:t>5</w:t>
      </w:r>
      <w:bookmarkEnd w:id="1"/>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115ABC" w:rsidRPr="00115ABC">
        <w:rPr>
          <w:rFonts w:ascii="Palatino Linotype" w:hAnsi="Palatino Linotype" w:cs="Arial"/>
        </w:rPr>
        <w:t>por un particular que al momento de ingresar la solicitud de información e interponer el recurso de revisión, no señaló nombre o seudónimo con el cual desee ser identificado</w:t>
      </w:r>
      <w:r w:rsidR="00AB55A1">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en lo sucesivo</w:t>
      </w:r>
      <w:r w:rsidR="00230100">
        <w:rPr>
          <w:rFonts w:ascii="Palatino Linotype" w:hAnsi="Palatino Linotype" w:cs="Arial"/>
        </w:rPr>
        <w:t xml:space="preserve"> la parte </w:t>
      </w:r>
      <w:r w:rsidR="005F1F89" w:rsidRPr="00374FE7">
        <w:rPr>
          <w:rFonts w:ascii="Palatino Linotype" w:hAnsi="Palatino Linotype" w:cs="Arial"/>
          <w:b/>
        </w:rPr>
        <w:t>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l</w:t>
      </w:r>
      <w:r w:rsidRPr="00374FE7">
        <w:rPr>
          <w:rFonts w:ascii="Palatino Linotype" w:eastAsiaTheme="minorHAnsi" w:hAnsi="Palatino Linotype" w:cs="Arial"/>
          <w:lang w:val="es-MX" w:eastAsia="en-US"/>
        </w:rPr>
        <w:t xml:space="preserve"> </w:t>
      </w:r>
      <w:r w:rsidR="00FD2218" w:rsidRPr="00FD2218">
        <w:rPr>
          <w:rFonts w:ascii="Palatino Linotype" w:eastAsiaTheme="minorHAnsi" w:hAnsi="Palatino Linotype" w:cs="Arial"/>
          <w:b/>
          <w:lang w:val="es-MX" w:eastAsia="en-US"/>
        </w:rPr>
        <w:t>Sistema Municipal Para el Desarrollo Integral de la Familia de Toluca</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 xml:space="preserve">Sujeto Obligado, </w:t>
      </w:r>
      <w:r w:rsidRPr="00374FE7">
        <w:rPr>
          <w:rFonts w:ascii="Palatino Linotype" w:eastAsiaTheme="minorHAnsi" w:hAnsi="Palatino Linotype" w:cs="Arial"/>
          <w:lang w:val="es-MX" w:eastAsia="en-US"/>
        </w:rPr>
        <w:t>se procede a dictar la presente resolución.</w:t>
      </w:r>
    </w:p>
    <w:p w14:paraId="3A39ACC2" w14:textId="77777777" w:rsidR="0001640F" w:rsidRPr="0001640F" w:rsidRDefault="0001640F" w:rsidP="00115ABC">
      <w:pPr>
        <w:pStyle w:val="Sinespaciado"/>
        <w:rPr>
          <w:rFonts w:eastAsiaTheme="minorHAnsi"/>
          <w:lang w:eastAsia="en-US"/>
        </w:rPr>
      </w:pPr>
    </w:p>
    <w:p w14:paraId="69327FC0" w14:textId="51A56C49" w:rsidR="003B0FAC" w:rsidRDefault="0029071C" w:rsidP="0001640F">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4CBA2DAD" w14:textId="77777777" w:rsidR="0001640F" w:rsidRPr="0001640F" w:rsidRDefault="0001640F" w:rsidP="00115ABC">
      <w:pPr>
        <w:pStyle w:val="Sinespaciado"/>
        <w:rPr>
          <w:rFonts w:eastAsiaTheme="minorHAnsi"/>
          <w:lang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47320316" w:rsidR="008A446B" w:rsidRDefault="0029071C" w:rsidP="0001640F">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115ABC">
        <w:rPr>
          <w:rFonts w:ascii="Palatino Linotype" w:eastAsiaTheme="minorHAnsi" w:hAnsi="Palatino Linotype" w:cs="Arial"/>
          <w:szCs w:val="22"/>
          <w:lang w:val="es-MX" w:eastAsia="en-US"/>
        </w:rPr>
        <w:t>seis de febrero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AB55A1">
        <w:rPr>
          <w:rFonts w:ascii="Palatino Linotype" w:eastAsiaTheme="minorHAnsi" w:hAnsi="Palatino Linotype" w:cs="Arial"/>
          <w:szCs w:val="22"/>
          <w:lang w:val="es-MX" w:eastAsia="en-US"/>
        </w:rPr>
        <w:t>c</w:t>
      </w:r>
      <w:r w:rsidR="00230100">
        <w:rPr>
          <w:rFonts w:ascii="Palatino Linotype" w:eastAsiaTheme="minorHAnsi" w:hAnsi="Palatino Linotype" w:cs="Arial"/>
          <w:szCs w:val="22"/>
          <w:lang w:val="es-MX" w:eastAsia="en-US"/>
        </w:rPr>
        <w:t>inco</w:t>
      </w:r>
      <w:r w:rsidRPr="00374FE7">
        <w:rPr>
          <w:rFonts w:ascii="Palatino Linotype" w:eastAsiaTheme="minorHAnsi" w:hAnsi="Palatino Linotype" w:cs="Arial"/>
          <w:szCs w:val="22"/>
          <w:lang w:val="es-MX" w:eastAsia="en-US"/>
        </w:rPr>
        <w:t xml:space="preserve">, </w:t>
      </w:r>
      <w:r w:rsidR="00230100">
        <w:rPr>
          <w:rFonts w:ascii="Palatino Linotype" w:eastAsiaTheme="minorHAnsi" w:hAnsi="Palatino Linotype" w:cs="Arial"/>
          <w:szCs w:val="22"/>
          <w:lang w:val="es-MX" w:eastAsia="en-US"/>
        </w:rPr>
        <w:t xml:space="preserve">la parte </w:t>
      </w:r>
      <w:r w:rsidR="00230100" w:rsidRPr="00230100">
        <w:rPr>
          <w:rFonts w:ascii="Palatino Linotype" w:eastAsiaTheme="minorHAnsi" w:hAnsi="Palatino Linotype" w:cs="Arial"/>
          <w:b/>
          <w:bCs/>
          <w:szCs w:val="22"/>
          <w:lang w:val="es-MX" w:eastAsia="en-US"/>
        </w:rPr>
        <w:t>R</w:t>
      </w:r>
      <w:r w:rsidRPr="00374FE7">
        <w:rPr>
          <w:rFonts w:ascii="Palatino Linotype" w:eastAsiaTheme="minorHAnsi" w:hAnsi="Palatino Linotype" w:cs="Arial"/>
          <w:b/>
          <w:szCs w:val="22"/>
          <w:lang w:val="es-MX" w:eastAsia="en-US"/>
        </w:rPr>
        <w:t>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w:t>
      </w:r>
      <w:r w:rsidR="00230100">
        <w:rPr>
          <w:rFonts w:ascii="Palatino Linotype" w:eastAsiaTheme="minorHAnsi" w:hAnsi="Palatino Linotype" w:cs="Arial"/>
          <w:szCs w:val="22"/>
          <w:lang w:val="es-MX" w:eastAsia="en-US"/>
        </w:rPr>
        <w:t xml:space="preserve">l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115ABC" w:rsidRPr="00115ABC">
        <w:rPr>
          <w:rFonts w:ascii="Palatino Linotype" w:eastAsiaTheme="minorHAnsi" w:hAnsi="Palatino Linotype" w:cs="Arial"/>
          <w:b/>
          <w:szCs w:val="22"/>
          <w:lang w:val="es-MX" w:eastAsia="en-US"/>
        </w:rPr>
        <w:t>00118/DIFTOLUCA/IP/2025</w:t>
      </w:r>
      <w:r w:rsidRPr="00374FE7">
        <w:rPr>
          <w:rFonts w:ascii="Palatino Linotype" w:eastAsiaTheme="minorHAnsi" w:hAnsi="Palatino Linotype" w:cs="Arial"/>
          <w:szCs w:val="22"/>
          <w:lang w:val="es-MX" w:eastAsia="en-US"/>
        </w:rPr>
        <w:t>, mediante la cual solicitó lo siguiente:</w:t>
      </w:r>
    </w:p>
    <w:p w14:paraId="4CEE322A" w14:textId="77777777" w:rsidR="0001640F" w:rsidRPr="00023A5D" w:rsidRDefault="0001640F" w:rsidP="00115ABC">
      <w:pPr>
        <w:pStyle w:val="Sinespaciado"/>
        <w:rPr>
          <w:rFonts w:eastAsiaTheme="minorHAnsi"/>
          <w:sz w:val="22"/>
          <w:szCs w:val="22"/>
          <w:lang w:eastAsia="en-US"/>
        </w:rPr>
      </w:pPr>
    </w:p>
    <w:p w14:paraId="2259B06C" w14:textId="21BC5FBC" w:rsidR="00DD2DA4" w:rsidRPr="00B77FED" w:rsidRDefault="0029071C" w:rsidP="00115ABC">
      <w:pPr>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115ABC" w:rsidRPr="00115ABC">
        <w:rPr>
          <w:rFonts w:ascii="Palatino Linotype" w:hAnsi="Palatino Linotype"/>
          <w:i/>
          <w:sz w:val="22"/>
          <w:szCs w:val="22"/>
          <w:lang w:val="es-MX" w:eastAsia="es-MX"/>
        </w:rPr>
        <w:t>quiero conocer el nombre de los servidores públicos que "renunciaron" durante el 2024, pago y cocepto con el que se le esta liquidando, finiquitando o entrgendo cualquier pago en relacionado con el cese de relación laboral y la documentación probatoria que compruebe que el dinero fue entregado a los servidores públicos</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A través de</w:t>
      </w:r>
      <w:r w:rsidR="007A5ED4">
        <w:rPr>
          <w:rFonts w:ascii="Palatino Linotype" w:eastAsiaTheme="minorHAnsi" w:hAnsi="Palatino Linotype" w:cstheme="minorBidi"/>
          <w:color w:val="000000"/>
          <w:lang w:val="es-MX" w:eastAsia="en-US"/>
        </w:rPr>
        <w:t>l</w:t>
      </w:r>
      <w:r w:rsidR="009C6853" w:rsidRPr="00374FE7">
        <w:rPr>
          <w:rFonts w:ascii="Palatino Linotype" w:eastAsiaTheme="minorHAnsi" w:hAnsi="Palatino Linotype" w:cstheme="minorBidi"/>
          <w:color w:val="000000"/>
          <w:lang w:val="es-MX" w:eastAsia="en-US"/>
        </w:rPr>
        <w:t xml:space="preserve"> </w:t>
      </w:r>
      <w:r w:rsidR="007A5ED4">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16EF157D"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115ABC">
        <w:rPr>
          <w:rFonts w:ascii="Palatino Linotype" w:eastAsiaTheme="minorHAnsi" w:hAnsi="Palatino Linotype" w:cs="Arial"/>
          <w:lang w:val="es-MX" w:eastAsia="en-US"/>
        </w:rPr>
        <w:t>dieciocho</w:t>
      </w:r>
      <w:r w:rsidR="007A5ED4">
        <w:rPr>
          <w:rFonts w:ascii="Palatino Linotype" w:eastAsiaTheme="minorHAnsi" w:hAnsi="Palatino Linotype" w:cs="Arial"/>
          <w:lang w:val="es-MX" w:eastAsia="en-US"/>
        </w:rPr>
        <w:t xml:space="preserve"> de febrero</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82270E">
        <w:rPr>
          <w:rFonts w:ascii="Palatino Linotype" w:eastAsiaTheme="minorHAnsi" w:hAnsi="Palatino Linotype" w:cs="Arial"/>
          <w:lang w:val="es-MX" w:eastAsia="en-US"/>
        </w:rPr>
        <w:t>c</w:t>
      </w:r>
      <w:r w:rsidR="00230100">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1AAE5DD2" w14:textId="77777777" w:rsidR="00115ABC" w:rsidRPr="00115ABC" w:rsidRDefault="0029071C" w:rsidP="00115ABC">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115ABC" w:rsidRPr="00115ABC">
        <w:rPr>
          <w:rFonts w:ascii="Palatino Linotype" w:hAnsi="Palatino Linotype"/>
          <w:i/>
          <w:sz w:val="22"/>
          <w:szCs w:val="22"/>
          <w:lang w:val="es-MX" w:eastAsia="es-MX"/>
        </w:rPr>
        <w:t>Sistema Municipal Para el Desarrollo Integral de la Familia de Toluca Toluca, México a 18 de Febrero de 2025 Nombre del solicitante: C. Solicitante Folio de la solicitud: 00118/DIFTOLUCA/IP/2025 En cumplimiento a lo dispuesto en el artículo 53 fracción II, IV, V y VI de la Ley de Transparencia y Acceso a la Información Pública del Estado de México y Municipios, adjunto a la presente la información y los elementos necesarios para la atención de la solicitud de información de este Sujeto Obligado. ATENTAMENTE LIC. ISAURA RÍOS VALDÉS TITULAR DE LA UNIDAD DE INFORMACIÓN, PLANEACIÓN, PROGRAMACIÓN Y EVALUACIÓN DEL SISTEMA MUNICIPAL DIF DE TOLUCA</w:t>
      </w:r>
    </w:p>
    <w:p w14:paraId="33CC933F" w14:textId="77777777" w:rsidR="00115ABC" w:rsidRDefault="00115ABC" w:rsidP="00115ABC">
      <w:pPr>
        <w:spacing w:line="276" w:lineRule="auto"/>
        <w:ind w:left="567" w:right="567"/>
        <w:jc w:val="both"/>
        <w:rPr>
          <w:rFonts w:ascii="Palatino Linotype" w:hAnsi="Palatino Linotype"/>
          <w:i/>
          <w:sz w:val="22"/>
          <w:szCs w:val="22"/>
          <w:lang w:val="es-MX" w:eastAsia="es-MX"/>
        </w:rPr>
      </w:pPr>
    </w:p>
    <w:p w14:paraId="2E51FA9C" w14:textId="4192B23D" w:rsidR="00115ABC" w:rsidRPr="00115ABC" w:rsidRDefault="00115ABC" w:rsidP="00115ABC">
      <w:pPr>
        <w:spacing w:line="276" w:lineRule="auto"/>
        <w:ind w:left="567" w:right="567"/>
        <w:jc w:val="both"/>
        <w:rPr>
          <w:rFonts w:ascii="Palatino Linotype" w:hAnsi="Palatino Linotype"/>
          <w:i/>
          <w:sz w:val="22"/>
          <w:szCs w:val="22"/>
          <w:lang w:val="es-MX" w:eastAsia="es-MX"/>
        </w:rPr>
      </w:pPr>
      <w:r w:rsidRPr="00115ABC">
        <w:rPr>
          <w:rFonts w:ascii="Palatino Linotype" w:hAnsi="Palatino Linotype"/>
          <w:i/>
          <w:sz w:val="22"/>
          <w:szCs w:val="22"/>
          <w:lang w:val="es-MX" w:eastAsia="es-MX"/>
        </w:rPr>
        <w:t>ATENTAMENTE</w:t>
      </w:r>
    </w:p>
    <w:p w14:paraId="3D4F3A50" w14:textId="1A080ACA" w:rsidR="0029071C" w:rsidRPr="00374FE7" w:rsidRDefault="00115ABC" w:rsidP="00115ABC">
      <w:pPr>
        <w:spacing w:line="276" w:lineRule="auto"/>
        <w:ind w:left="567" w:right="567"/>
        <w:jc w:val="both"/>
        <w:rPr>
          <w:rFonts w:ascii="Palatino Linotype" w:hAnsi="Palatino Linotype"/>
          <w:i/>
          <w:sz w:val="22"/>
          <w:szCs w:val="22"/>
          <w:lang w:val="es-MX" w:eastAsia="es-MX"/>
        </w:rPr>
      </w:pPr>
      <w:r w:rsidRPr="00115ABC">
        <w:rPr>
          <w:rFonts w:ascii="Palatino Linotype" w:hAnsi="Palatino Linotype"/>
          <w:i/>
          <w:sz w:val="22"/>
          <w:szCs w:val="22"/>
          <w:lang w:val="es-MX" w:eastAsia="es-MX"/>
        </w:rPr>
        <w:t>Lic. Isaura Ríos Valdés</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4B0DD911" w:rsid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xml:space="preserve">, adjuntó a su respuesta, </w:t>
      </w:r>
      <w:r w:rsidR="00230100">
        <w:rPr>
          <w:rFonts w:ascii="Palatino Linotype" w:eastAsiaTheme="minorHAnsi" w:hAnsi="Palatino Linotype" w:cs="Arial"/>
          <w:bCs/>
          <w:lang w:val="es-MX" w:eastAsia="en-US"/>
        </w:rPr>
        <w:t>el</w:t>
      </w:r>
      <w:r w:rsidRPr="00CF1704">
        <w:rPr>
          <w:rFonts w:ascii="Palatino Linotype" w:eastAsiaTheme="minorHAnsi" w:hAnsi="Palatino Linotype" w:cs="Arial"/>
          <w:bCs/>
          <w:lang w:val="es-MX" w:eastAsia="en-US"/>
        </w:rPr>
        <w:t xml:space="preserve"> archivo electrónico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115ABC" w:rsidRPr="00115ABC">
        <w:rPr>
          <w:rFonts w:ascii="Palatino Linotype" w:eastAsiaTheme="minorHAnsi" w:hAnsi="Palatino Linotype" w:cs="Arial"/>
          <w:bCs/>
          <w:i/>
          <w:iCs/>
          <w:lang w:val="es-MX" w:eastAsia="en-US"/>
        </w:rPr>
        <w:t>Respuesta UIPPE y SPH 118.pdf</w:t>
      </w:r>
      <w:r w:rsidRPr="00CF1704">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297932D8" w14:textId="45C66FFF" w:rsidR="0029071C" w:rsidRDefault="0029071C"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115ABC">
        <w:rPr>
          <w:rFonts w:ascii="Palatino Linotype" w:eastAsiaTheme="minorHAnsi" w:hAnsi="Palatino Linotype" w:cs="Arial"/>
          <w:lang w:val="es-MX" w:eastAsia="en-US"/>
        </w:rPr>
        <w:t>veintiséis</w:t>
      </w:r>
      <w:r w:rsidR="007A5ED4">
        <w:rPr>
          <w:rFonts w:ascii="Palatino Linotype" w:eastAsiaTheme="minorHAnsi" w:hAnsi="Palatino Linotype" w:cs="Arial"/>
          <w:lang w:val="es-MX" w:eastAsia="en-US"/>
        </w:rPr>
        <w:t xml:space="preserve"> de febrero</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115ABC">
        <w:rPr>
          <w:rFonts w:ascii="Palatino Linotype" w:eastAsiaTheme="minorHAnsi" w:hAnsi="Palatino Linotype" w:cs="Arial"/>
          <w:b/>
          <w:bCs/>
          <w:lang w:val="es-MX" w:eastAsia="es-MX"/>
        </w:rPr>
        <w:t>210</w:t>
      </w:r>
      <w:r w:rsidR="007A5ED4">
        <w:rPr>
          <w:rFonts w:ascii="Palatino Linotype" w:eastAsiaTheme="minorHAnsi" w:hAnsi="Palatino Linotype" w:cs="Arial"/>
          <w:b/>
          <w:bCs/>
          <w:lang w:val="es-MX" w:eastAsia="es-MX"/>
        </w:rPr>
        <w:t>0</w:t>
      </w:r>
      <w:r w:rsidR="00C45025" w:rsidRPr="00374FE7">
        <w:rPr>
          <w:rFonts w:ascii="Palatino Linotype" w:eastAsiaTheme="minorHAnsi" w:hAnsi="Palatino Linotype" w:cs="Arial"/>
          <w:b/>
          <w:bCs/>
          <w:lang w:val="es-MX" w:eastAsia="es-MX"/>
        </w:rPr>
        <w:t>/INFOEM/IP/RR/202</w:t>
      </w:r>
      <w:r w:rsidR="008218E5">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en el cual aduce, las siguientes manifestaciones:</w:t>
      </w:r>
    </w:p>
    <w:p w14:paraId="068AD5CB" w14:textId="77777777" w:rsidR="007A5ED4" w:rsidRPr="007A5ED4" w:rsidRDefault="007A5ED4" w:rsidP="007A5ED4">
      <w:pPr>
        <w:pStyle w:val="Sinespaciado"/>
        <w:rPr>
          <w:rFonts w:eastAsiaTheme="minorHAnsi"/>
          <w:lang w:eastAsia="en-US"/>
        </w:rPr>
      </w:pPr>
    </w:p>
    <w:p w14:paraId="29A04516" w14:textId="219A26F8" w:rsidR="002D6E4B" w:rsidRPr="00B77FED" w:rsidRDefault="0029071C" w:rsidP="007A5ED4">
      <w:pPr>
        <w:numPr>
          <w:ilvl w:val="0"/>
          <w:numId w:val="1"/>
        </w:numPr>
        <w:spacing w:line="360"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115ABC" w:rsidRPr="00115ABC">
        <w:rPr>
          <w:rFonts w:ascii="Palatino Linotype" w:eastAsiaTheme="minorHAnsi" w:hAnsi="Palatino Linotype" w:cstheme="minorBidi"/>
          <w:i/>
          <w:color w:val="000000"/>
          <w:sz w:val="22"/>
          <w:szCs w:val="22"/>
          <w:lang w:val="es-MX" w:eastAsia="en-US"/>
        </w:rPr>
        <w:t>No rersponde a la solicitud de información</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7A5ED4">
      <w:pPr>
        <w:pStyle w:val="Sinespaciado"/>
        <w:spacing w:line="360" w:lineRule="auto"/>
      </w:pPr>
    </w:p>
    <w:p w14:paraId="7CD83100" w14:textId="5EE6E841" w:rsidR="00821C4B" w:rsidRPr="003A2B8C" w:rsidRDefault="0029071C" w:rsidP="00115ABC">
      <w:pPr>
        <w:pStyle w:val="Prrafodelista"/>
        <w:numPr>
          <w:ilvl w:val="0"/>
          <w:numId w:val="1"/>
        </w:numPr>
        <w:spacing w:line="276" w:lineRule="auto"/>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115ABC" w:rsidRPr="00115ABC">
        <w:rPr>
          <w:rFonts w:ascii="Palatino Linotype" w:eastAsiaTheme="minorHAnsi" w:hAnsi="Palatino Linotype" w:cstheme="minorBidi"/>
          <w:i/>
          <w:color w:val="000000"/>
          <w:sz w:val="22"/>
          <w:szCs w:val="22"/>
          <w:lang w:val="es-MX" w:eastAsia="en-US"/>
        </w:rPr>
        <w:t>No rersponde a la solicitud de información</w:t>
      </w:r>
      <w:r w:rsidRPr="00374FE7">
        <w:rPr>
          <w:rFonts w:ascii="Palatino Linotype" w:eastAsiaTheme="minorHAnsi" w:hAnsi="Palatino Linotype" w:cstheme="minorBidi"/>
          <w:i/>
          <w:color w:val="000000"/>
          <w:sz w:val="22"/>
          <w:szCs w:val="22"/>
          <w:lang w:val="es-MX" w:eastAsia="en-US"/>
        </w:rPr>
        <w:t>” (Sic)</w:t>
      </w:r>
    </w:p>
    <w:p w14:paraId="41329C93" w14:textId="77777777" w:rsidR="003A2B8C" w:rsidRDefault="003A2B8C" w:rsidP="003A2B8C">
      <w:pPr>
        <w:jc w:val="both"/>
        <w:rPr>
          <w:rFonts w:ascii="Palatino Linotype" w:hAnsi="Palatino Linotype"/>
          <w:i/>
          <w:sz w:val="26"/>
          <w:szCs w:val="26"/>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374FE7">
        <w:rPr>
          <w:rFonts w:ascii="Palatino Linotype" w:eastAsiaTheme="minorHAnsi" w:hAnsi="Palatino Linotype" w:cs="Arial"/>
          <w:b/>
          <w:sz w:val="28"/>
          <w:lang w:val="es-MX" w:eastAsia="en-US"/>
        </w:rPr>
        <w:t>O. Del turno del recurso de revisión.</w:t>
      </w:r>
    </w:p>
    <w:p w14:paraId="11CB15BA" w14:textId="742271F9"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15ABC">
        <w:rPr>
          <w:rFonts w:ascii="Palatino Linotype" w:eastAsiaTheme="minorHAnsi" w:hAnsi="Palatino Linotype" w:cs="Arial"/>
          <w:lang w:val="es-MX" w:eastAsia="en-US"/>
        </w:rPr>
        <w:t>cinco de marzo</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3BB4E07F" w14:textId="77777777" w:rsidR="007A5ED4" w:rsidRDefault="00CF1DF5"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fue omiso en remitir su</w:t>
      </w:r>
      <w:r w:rsidR="00267458"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informe justificado</w:t>
      </w:r>
      <w:r w:rsidR="009A7B69">
        <w:rPr>
          <w:rFonts w:ascii="Palatino Linotype" w:eastAsiaTheme="minorHAnsi" w:hAnsi="Palatino Linotype" w:cs="Arial"/>
          <w:lang w:val="es-MX" w:eastAsia="en-US"/>
        </w:rPr>
        <w:t>;</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tampoco</w:t>
      </w:r>
      <w:r w:rsidR="006B2F26">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6B2F26">
        <w:rPr>
          <w:rFonts w:ascii="Palatino Linotype" w:eastAsiaTheme="minorHAnsi" w:hAnsi="Palatino Linotype" w:cs="Arial"/>
          <w:lang w:val="es-MX" w:eastAsia="en-US"/>
        </w:rPr>
        <w:t xml:space="preserve"> alegatos</w:t>
      </w:r>
      <w:r w:rsidR="007A5ED4">
        <w:rPr>
          <w:rFonts w:ascii="Palatino Linotype" w:eastAsiaTheme="minorHAnsi" w:hAnsi="Palatino Linotype" w:cs="Arial"/>
          <w:lang w:val="es-MX" w:eastAsia="en-US"/>
        </w:rPr>
        <w:t xml:space="preserve"> ni manifestaciones, de conformidad con la siguiente captura de pantalla:</w:t>
      </w:r>
    </w:p>
    <w:p w14:paraId="75A71F57" w14:textId="4DDA861B" w:rsidR="008218E5" w:rsidRPr="007A5ED4" w:rsidRDefault="00115ABC" w:rsidP="008218E5">
      <w:pPr>
        <w:spacing w:line="360" w:lineRule="auto"/>
        <w:jc w:val="both"/>
        <w:rPr>
          <w:rFonts w:ascii="Palatino Linotype" w:eastAsiaTheme="minorHAnsi" w:hAnsi="Palatino Linotype" w:cs="Arial"/>
          <w:i/>
          <w:sz w:val="22"/>
          <w:lang w:val="es-MX" w:eastAsia="en-US"/>
        </w:rPr>
      </w:pPr>
      <w:r w:rsidRPr="00115ABC">
        <w:rPr>
          <w:rFonts w:ascii="Palatino Linotype" w:eastAsiaTheme="minorHAnsi" w:hAnsi="Palatino Linotype" w:cs="Arial"/>
          <w:noProof/>
          <w:lang w:val="es-MX" w:eastAsia="es-MX"/>
        </w:rPr>
        <w:drawing>
          <wp:inline distT="0" distB="0" distL="0" distR="0" wp14:anchorId="5357A99A" wp14:editId="71D6B823">
            <wp:extent cx="5791835" cy="1404620"/>
            <wp:effectExtent l="152400" t="152400" r="361315" b="367030"/>
            <wp:docPr id="1173130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0488" name=""/>
                    <pic:cNvPicPr/>
                  </pic:nvPicPr>
                  <pic:blipFill>
                    <a:blip r:embed="rId8"/>
                    <a:stretch>
                      <a:fillRect/>
                    </a:stretch>
                  </pic:blipFill>
                  <pic:spPr>
                    <a:xfrm>
                      <a:off x="0" y="0"/>
                      <a:ext cx="5791835" cy="1404620"/>
                    </a:xfrm>
                    <a:prstGeom prst="rect">
                      <a:avLst/>
                    </a:prstGeom>
                    <a:ln>
                      <a:noFill/>
                    </a:ln>
                    <a:effectLst>
                      <a:outerShdw blurRad="292100" dist="139700" dir="2700000" algn="tl" rotWithShape="0">
                        <a:srgbClr val="333333">
                          <a:alpha val="65000"/>
                        </a:srgbClr>
                      </a:outerShdw>
                    </a:effectLst>
                  </pic:spPr>
                </pic:pic>
              </a:graphicData>
            </a:graphic>
          </wp:inline>
        </w:drawing>
      </w:r>
      <w:r w:rsidR="006B2F26">
        <w:rPr>
          <w:rFonts w:ascii="Palatino Linotype" w:eastAsiaTheme="minorHAnsi" w:hAnsi="Palatino Linotype" w:cs="Arial"/>
          <w:lang w:val="es-MX" w:eastAsia="en-US"/>
        </w:rPr>
        <w:t xml:space="preserve"> </w:t>
      </w:r>
    </w:p>
    <w:p w14:paraId="5117B94C" w14:textId="77777777" w:rsidR="00115ABC" w:rsidRDefault="00115ABC" w:rsidP="0029071C">
      <w:pPr>
        <w:tabs>
          <w:tab w:val="left" w:pos="3206"/>
        </w:tabs>
        <w:spacing w:line="360" w:lineRule="auto"/>
        <w:jc w:val="both"/>
        <w:rPr>
          <w:rFonts w:ascii="Palatino Linotype" w:eastAsiaTheme="minorHAnsi" w:hAnsi="Palatino Linotype" w:cs="Arial"/>
          <w:b/>
          <w:sz w:val="28"/>
          <w:lang w:val="es-MX" w:eastAsia="en-US"/>
        </w:rPr>
      </w:pPr>
    </w:p>
    <w:p w14:paraId="340B12C3" w14:textId="5562F9D8"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lastRenderedPageBreak/>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546578BC"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115ABC">
        <w:rPr>
          <w:rFonts w:ascii="Palatino Linotype" w:eastAsiaTheme="minorHAnsi" w:hAnsi="Palatino Linotype" w:cs="Arial"/>
          <w:lang w:val="es-MX" w:eastAsia="en-US"/>
        </w:rPr>
        <w:t>diecinueve</w:t>
      </w:r>
      <w:r w:rsidR="007A5ED4">
        <w:rPr>
          <w:rFonts w:ascii="Palatino Linotype" w:eastAsiaTheme="minorHAnsi" w:hAnsi="Palatino Linotype" w:cs="Arial"/>
          <w:lang w:val="es-MX" w:eastAsia="en-US"/>
        </w:rPr>
        <w:t xml:space="preserve"> de marzo</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1522168" w14:textId="77777777" w:rsidR="00115ABC" w:rsidRDefault="00115ABC" w:rsidP="0029071C">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460EBA73" w14:textId="1630A2E2" w:rsidR="008218E5" w:rsidRDefault="00115ABC" w:rsidP="00723B5A">
      <w:pPr>
        <w:spacing w:line="360" w:lineRule="auto"/>
        <w:jc w:val="both"/>
        <w:rPr>
          <w:rFonts w:ascii="Palatino Linotype" w:eastAsiaTheme="minorHAnsi" w:hAnsi="Palatino Linotype" w:cs="Arial"/>
          <w:lang w:val="es-MX" w:eastAsia="en-US"/>
        </w:rPr>
      </w:pPr>
      <w:r w:rsidRPr="00115AB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763ABF" w14:textId="77777777" w:rsidR="00115ABC" w:rsidRPr="00374FE7" w:rsidRDefault="00115ABC"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374FE7">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383200"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07972C8C"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61FB0D13" w14:textId="77777777" w:rsidR="00A31D20" w:rsidRDefault="00A31D20" w:rsidP="008218E5">
      <w:pPr>
        <w:autoSpaceDE w:val="0"/>
        <w:autoSpaceDN w:val="0"/>
        <w:adjustRightInd w:val="0"/>
        <w:spacing w:line="360" w:lineRule="auto"/>
        <w:jc w:val="both"/>
        <w:rPr>
          <w:rFonts w:ascii="Palatino Linotype" w:eastAsiaTheme="minorHAnsi" w:hAnsi="Palatino Linotype" w:cs="Arial"/>
          <w:lang w:val="es-MX" w:eastAsia="en-US"/>
        </w:rPr>
      </w:pPr>
    </w:p>
    <w:p w14:paraId="70812779" w14:textId="77777777" w:rsidR="00A31D20" w:rsidRPr="00913034" w:rsidRDefault="00A31D20" w:rsidP="00A31D20">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25D42FB7" w14:textId="77777777" w:rsidR="00A31D20" w:rsidRPr="00913034" w:rsidRDefault="00A31D20" w:rsidP="00A31D20">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w:t>
      </w:r>
      <w:r w:rsidRPr="00913034">
        <w:rPr>
          <w:rFonts w:ascii="Palatino Linotype" w:hAnsi="Palatino Linotype"/>
        </w:rPr>
        <w:lastRenderedPageBreak/>
        <w:t>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5837428A"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cs="Arial"/>
        </w:rPr>
      </w:pPr>
    </w:p>
    <w:p w14:paraId="5B0097C6"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40CB797F" w14:textId="77777777" w:rsidR="00A31D20" w:rsidRPr="00913034" w:rsidRDefault="00A31D20" w:rsidP="00A31D20">
      <w:pPr>
        <w:rPr>
          <w:lang w:val="es-MX"/>
        </w:rPr>
      </w:pPr>
    </w:p>
    <w:p w14:paraId="5900CC8F" w14:textId="77777777" w:rsidR="00A31D20" w:rsidRPr="00913034" w:rsidRDefault="00A31D20" w:rsidP="00A31D20">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0EB47879" w14:textId="77777777" w:rsidR="00A31D20" w:rsidRPr="00913034" w:rsidRDefault="00A31D20" w:rsidP="00A31D20">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3C7E6A5C" w14:textId="77777777" w:rsidR="00A31D20" w:rsidRPr="00913034" w:rsidRDefault="00A31D20" w:rsidP="00A31D20">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58C3324C"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rPr>
      </w:pPr>
    </w:p>
    <w:p w14:paraId="536D7682"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9683E75"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rPr>
      </w:pPr>
    </w:p>
    <w:p w14:paraId="1F30D131"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w:t>
      </w:r>
      <w:r w:rsidRPr="00913034">
        <w:rPr>
          <w:rFonts w:ascii="Palatino Linotype" w:hAnsi="Palatino Linotype" w:cs="Arial"/>
        </w:rPr>
        <w:lastRenderedPageBreak/>
        <w:t xml:space="preserve">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ED6119B" w14:textId="77777777" w:rsidR="00A31D20" w:rsidRPr="00913034" w:rsidRDefault="00A31D20" w:rsidP="00A31D20">
      <w:pPr>
        <w:widowControl w:val="0"/>
        <w:autoSpaceDE w:val="0"/>
        <w:autoSpaceDN w:val="0"/>
        <w:adjustRightInd w:val="0"/>
        <w:spacing w:line="360" w:lineRule="auto"/>
        <w:jc w:val="both"/>
        <w:rPr>
          <w:rFonts w:ascii="Palatino Linotype" w:hAnsi="Palatino Linotype" w:cs="Arial"/>
        </w:rPr>
      </w:pPr>
    </w:p>
    <w:p w14:paraId="656E21C0" w14:textId="77777777" w:rsidR="00A31D20" w:rsidRPr="00B640A9" w:rsidRDefault="00A31D20" w:rsidP="00A31D20">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54E425" w14:textId="77777777" w:rsidR="008218E5" w:rsidRP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669BAC30" w:rsidR="00081BEC" w:rsidRPr="00081BEC" w:rsidRDefault="00A31D20"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t>CUART</w:t>
      </w:r>
      <w:r w:rsidR="00081BEC" w:rsidRPr="00081BEC">
        <w:rPr>
          <w:rFonts w:ascii="Palatino Linotype" w:eastAsiaTheme="minorHAnsi" w:hAnsi="Palatino Linotype" w:cs="Arial"/>
          <w:b/>
          <w:sz w:val="28"/>
          <w:szCs w:val="28"/>
          <w:lang w:val="es-MX" w:eastAsia="en-US"/>
        </w:rPr>
        <w:t>O. De las causas de improcedencia.</w:t>
      </w:r>
    </w:p>
    <w:p w14:paraId="14EF5228" w14:textId="6F6B35E8" w:rsidR="002B17F9"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081BEC">
        <w:rPr>
          <w:rFonts w:ascii="Palatino Linotype" w:hAnsi="Palatino Linotype" w:cs="Arial"/>
        </w:rPr>
        <w:lastRenderedPageBreak/>
        <w:t>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62DDBEE9" w14:textId="77777777" w:rsidR="008218E5" w:rsidRPr="00081BEC" w:rsidRDefault="008218E5" w:rsidP="00081BEC">
      <w:pPr>
        <w:autoSpaceDE w:val="0"/>
        <w:autoSpaceDN w:val="0"/>
        <w:adjustRightInd w:val="0"/>
        <w:spacing w:line="360" w:lineRule="auto"/>
        <w:jc w:val="both"/>
        <w:rPr>
          <w:rFonts w:ascii="Palatino Linotype" w:hAnsi="Palatino Linotype" w:cs="Arial"/>
        </w:rPr>
      </w:pPr>
    </w:p>
    <w:p w14:paraId="409E6A35" w14:textId="67B871E6" w:rsidR="007A5ED4"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E627304" w14:textId="77777777" w:rsidR="00A31D20" w:rsidRDefault="00A31D20" w:rsidP="00081BEC">
      <w:pPr>
        <w:autoSpaceDE w:val="0"/>
        <w:autoSpaceDN w:val="0"/>
        <w:adjustRightInd w:val="0"/>
        <w:spacing w:line="360" w:lineRule="auto"/>
        <w:jc w:val="both"/>
        <w:rPr>
          <w:rFonts w:ascii="Palatino Linotype" w:hAnsi="Palatino Linotype" w:cs="Arial"/>
        </w:rPr>
      </w:pPr>
    </w:p>
    <w:p w14:paraId="6437ACD0" w14:textId="77777777" w:rsidR="00A31D20" w:rsidRDefault="00A31D20" w:rsidP="00081BEC">
      <w:pPr>
        <w:autoSpaceDE w:val="0"/>
        <w:autoSpaceDN w:val="0"/>
        <w:adjustRightInd w:val="0"/>
        <w:spacing w:line="360" w:lineRule="auto"/>
        <w:jc w:val="both"/>
        <w:rPr>
          <w:rFonts w:ascii="Palatino Linotype" w:hAnsi="Palatino Linotype" w:cs="Arial"/>
        </w:rPr>
      </w:pPr>
    </w:p>
    <w:p w14:paraId="258C246A" w14:textId="77777777" w:rsidR="00A31D20" w:rsidRPr="00081BEC" w:rsidRDefault="00A31D20" w:rsidP="00081BEC">
      <w:pPr>
        <w:autoSpaceDE w:val="0"/>
        <w:autoSpaceDN w:val="0"/>
        <w:adjustRightInd w:val="0"/>
        <w:spacing w:line="360" w:lineRule="auto"/>
        <w:jc w:val="both"/>
        <w:rPr>
          <w:rFonts w:ascii="Palatino Linotype" w:hAnsi="Palatino Linotype" w:cs="Arial"/>
        </w:rPr>
      </w:pPr>
    </w:p>
    <w:p w14:paraId="4A6150B3" w14:textId="4ED22BB1" w:rsidR="00081BEC" w:rsidRPr="00081BEC" w:rsidRDefault="00A31D20" w:rsidP="00081BEC">
      <w:pPr>
        <w:autoSpaceDE w:val="0"/>
        <w:autoSpaceDN w:val="0"/>
        <w:adjustRightInd w:val="0"/>
        <w:spacing w:line="360" w:lineRule="auto"/>
        <w:jc w:val="both"/>
        <w:rPr>
          <w:rFonts w:ascii="Palatino Linotype" w:hAnsi="Palatino Linotype" w:cs="Arial"/>
          <w:sz w:val="28"/>
          <w:szCs w:val="28"/>
        </w:rPr>
      </w:pPr>
      <w:r>
        <w:rPr>
          <w:rFonts w:ascii="Palatino Linotype" w:hAnsi="Palatino Linotype" w:cs="Arial"/>
          <w:b/>
          <w:sz w:val="28"/>
        </w:rPr>
        <w:lastRenderedPageBreak/>
        <w:t>QUIN</w:t>
      </w:r>
      <w:r w:rsidR="00081BEC" w:rsidRPr="00081BEC">
        <w:rPr>
          <w:rFonts w:ascii="Palatino Linotype" w:hAnsi="Palatino Linotype" w:cs="Arial"/>
          <w:b/>
          <w:sz w:val="28"/>
        </w:rPr>
        <w:t>TO</w:t>
      </w:r>
      <w:r w:rsidR="00081BEC" w:rsidRPr="00081BEC">
        <w:rPr>
          <w:rFonts w:ascii="Palatino Linotype" w:hAnsi="Palatino Linotype" w:cs="Arial"/>
          <w:b/>
          <w:sz w:val="28"/>
          <w:szCs w:val="28"/>
        </w:rPr>
        <w:t>.</w:t>
      </w:r>
      <w:r w:rsidR="00081BEC" w:rsidRPr="00081BEC">
        <w:rPr>
          <w:rFonts w:ascii="Palatino Linotype" w:hAnsi="Palatino Linotype" w:cs="Arial"/>
          <w:sz w:val="28"/>
          <w:szCs w:val="28"/>
        </w:rPr>
        <w:t xml:space="preserve"> </w:t>
      </w:r>
      <w:r w:rsidR="00081BEC"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20146B"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5C986EB1" w14:textId="04D7A8DA"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553D79"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REQUERIMIENTOS SOLICITADOS</w:t>
      </w:r>
      <w:r w:rsidR="002B17F9">
        <w:rPr>
          <w:rFonts w:ascii="Palatino Linotype" w:eastAsiaTheme="minorHAnsi" w:hAnsi="Palatino Linotype" w:cstheme="minorBidi"/>
          <w:b/>
          <w:szCs w:val="22"/>
          <w:lang w:val="es-MX" w:eastAsia="es-MX"/>
        </w:rPr>
        <w:t>.</w:t>
      </w:r>
      <w:r w:rsidRPr="00553D79">
        <w:rPr>
          <w:rFonts w:ascii="Palatino Linotype" w:eastAsiaTheme="minorHAnsi" w:hAnsi="Palatino Linotype" w:cstheme="minorBidi"/>
          <w:b/>
          <w:szCs w:val="22"/>
          <w:lang w:val="es-MX" w:eastAsia="es-MX"/>
        </w:rPr>
        <w:t xml:space="preserve"> </w:t>
      </w:r>
    </w:p>
    <w:p w14:paraId="78EEACF7" w14:textId="77777777" w:rsidR="00130316" w:rsidRDefault="00130316" w:rsidP="00130316">
      <w:pPr>
        <w:pStyle w:val="Sinespaciado"/>
        <w:rPr>
          <w:rFonts w:eastAsiaTheme="minorHAnsi"/>
          <w:lang w:eastAsia="es-MX"/>
        </w:rPr>
      </w:pPr>
    </w:p>
    <w:p w14:paraId="7F7F8974" w14:textId="39A5C05E" w:rsidR="00115ABC" w:rsidRDefault="00115ABC" w:rsidP="003D71CA">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E</w:t>
      </w:r>
      <w:r w:rsidRPr="00115ABC">
        <w:rPr>
          <w:rFonts w:ascii="Palatino Linotype" w:eastAsiaTheme="minorHAnsi" w:hAnsi="Palatino Linotype" w:cstheme="minorBidi"/>
          <w:bCs/>
          <w:szCs w:val="22"/>
          <w:lang w:val="es-MX" w:eastAsia="es-MX"/>
        </w:rPr>
        <w:t>l nombre de los servidores públicos que "renunciaron" durante el 2024</w:t>
      </w:r>
      <w:r>
        <w:rPr>
          <w:rFonts w:ascii="Palatino Linotype" w:eastAsiaTheme="minorHAnsi" w:hAnsi="Palatino Linotype" w:cstheme="minorBidi"/>
          <w:bCs/>
          <w:szCs w:val="22"/>
          <w:lang w:val="es-MX" w:eastAsia="es-MX"/>
        </w:rPr>
        <w:t>.</w:t>
      </w:r>
      <w:r w:rsidRPr="00115ABC">
        <w:rPr>
          <w:rFonts w:ascii="Palatino Linotype" w:eastAsiaTheme="minorHAnsi" w:hAnsi="Palatino Linotype" w:cstheme="minorBidi"/>
          <w:bCs/>
          <w:szCs w:val="22"/>
          <w:lang w:val="es-MX" w:eastAsia="es-MX"/>
        </w:rPr>
        <w:t xml:space="preserve"> </w:t>
      </w:r>
    </w:p>
    <w:p w14:paraId="476F09F5" w14:textId="77777777" w:rsidR="00115ABC" w:rsidRDefault="00115ABC" w:rsidP="003D71CA">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P</w:t>
      </w:r>
      <w:r w:rsidRPr="00115ABC">
        <w:rPr>
          <w:rFonts w:ascii="Palatino Linotype" w:eastAsiaTheme="minorHAnsi" w:hAnsi="Palatino Linotype" w:cstheme="minorBidi"/>
          <w:bCs/>
          <w:szCs w:val="22"/>
          <w:lang w:val="es-MX" w:eastAsia="es-MX"/>
        </w:rPr>
        <w:t>ago y concepto con el que se le está liquidando, finiquitando o entregando cualquier pago en relacionado con el cese de relación laboral</w:t>
      </w:r>
      <w:r>
        <w:rPr>
          <w:rFonts w:ascii="Palatino Linotype" w:eastAsiaTheme="minorHAnsi" w:hAnsi="Palatino Linotype" w:cstheme="minorBidi"/>
          <w:bCs/>
          <w:szCs w:val="22"/>
          <w:lang w:val="es-MX" w:eastAsia="es-MX"/>
        </w:rPr>
        <w:t>.</w:t>
      </w:r>
      <w:r w:rsidRPr="00115ABC">
        <w:rPr>
          <w:rFonts w:ascii="Palatino Linotype" w:eastAsiaTheme="minorHAnsi" w:hAnsi="Palatino Linotype" w:cstheme="minorBidi"/>
          <w:bCs/>
          <w:szCs w:val="22"/>
          <w:lang w:val="es-MX" w:eastAsia="es-MX"/>
        </w:rPr>
        <w:t xml:space="preserve"> </w:t>
      </w:r>
    </w:p>
    <w:p w14:paraId="039EEF3B" w14:textId="1C6D67A5" w:rsidR="00D563FD" w:rsidRDefault="00115ABC" w:rsidP="003D71CA">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L</w:t>
      </w:r>
      <w:r w:rsidRPr="00115ABC">
        <w:rPr>
          <w:rFonts w:ascii="Palatino Linotype" w:eastAsiaTheme="minorHAnsi" w:hAnsi="Palatino Linotype" w:cstheme="minorBidi"/>
          <w:bCs/>
          <w:szCs w:val="22"/>
          <w:lang w:val="es-MX" w:eastAsia="es-MX"/>
        </w:rPr>
        <w:t>a documentación probatoria que compruebe que el dinero fue entregado a los servidores públicos</w:t>
      </w:r>
      <w:r w:rsidR="0032287D">
        <w:rPr>
          <w:rFonts w:ascii="Palatino Linotype" w:eastAsiaTheme="minorHAnsi" w:hAnsi="Palatino Linotype" w:cstheme="minorBidi"/>
          <w:bCs/>
          <w:szCs w:val="22"/>
          <w:lang w:val="es-MX" w:eastAsia="es-MX"/>
        </w:rPr>
        <w:t xml:space="preserve">. </w:t>
      </w:r>
    </w:p>
    <w:p w14:paraId="55F57210" w14:textId="77777777" w:rsidR="00D563FD" w:rsidRPr="00D563F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4527183F" w14:textId="4B685B41" w:rsidR="00895D34" w:rsidRDefault="009602BA" w:rsidP="002E227E">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w:t>
      </w:r>
      <w:bookmarkStart w:id="2" w:name="_Hlk183536063"/>
      <w:bookmarkStart w:id="3" w:name="_Hlk190173948"/>
      <w:r w:rsidR="0032287D">
        <w:rPr>
          <w:rFonts w:ascii="Palatino Linotype" w:eastAsiaTheme="minorHAnsi" w:hAnsi="Palatino Linotype" w:cs="TimesNewRomanPS-ItalicMT"/>
          <w:iCs/>
          <w:lang w:val="es-MX" w:eastAsia="en-US"/>
        </w:rPr>
        <w:t xml:space="preserve"> a través del oficio</w:t>
      </w:r>
      <w:r w:rsidR="002E227E">
        <w:rPr>
          <w:rFonts w:ascii="Palatino Linotype" w:eastAsiaTheme="minorHAnsi" w:hAnsi="Palatino Linotype" w:cs="TimesNewRomanPS-ItalicMT"/>
          <w:iCs/>
          <w:lang w:val="es-MX" w:eastAsia="en-US"/>
        </w:rPr>
        <w:t xml:space="preserve"> número </w:t>
      </w:r>
      <w:r w:rsidR="002E227E" w:rsidRPr="002E227E">
        <w:rPr>
          <w:rFonts w:ascii="Palatino Linotype" w:eastAsiaTheme="minorHAnsi" w:hAnsi="Palatino Linotype" w:cs="TimesNewRomanPS-ItalicMT"/>
          <w:b/>
          <w:bCs/>
          <w:iCs/>
          <w:lang w:val="es-MX" w:eastAsia="en-US"/>
        </w:rPr>
        <w:t>200B10900/294/2025</w:t>
      </w:r>
      <w:r w:rsidR="002E227E">
        <w:rPr>
          <w:rFonts w:ascii="Palatino Linotype" w:eastAsiaTheme="minorHAnsi" w:hAnsi="Palatino Linotype" w:cs="TimesNewRomanPS-ItalicMT"/>
          <w:iCs/>
          <w:lang w:val="es-MX" w:eastAsia="en-US"/>
        </w:rPr>
        <w:t>,</w:t>
      </w:r>
      <w:r w:rsidR="0032287D">
        <w:rPr>
          <w:rFonts w:ascii="Palatino Linotype" w:eastAsiaTheme="minorHAnsi" w:hAnsi="Palatino Linotype" w:cs="TimesNewRomanPS-ItalicMT"/>
          <w:iCs/>
          <w:lang w:val="es-MX" w:eastAsia="en-US"/>
        </w:rPr>
        <w:t xml:space="preserve"> firmado por el </w:t>
      </w:r>
      <w:r w:rsidR="002E227E" w:rsidRPr="002E227E">
        <w:rPr>
          <w:rFonts w:ascii="Palatino Linotype" w:eastAsiaTheme="minorHAnsi" w:hAnsi="Palatino Linotype" w:cs="TimesNewRomanPS-ItalicMT"/>
          <w:b/>
          <w:bCs/>
          <w:iCs/>
          <w:lang w:val="es-MX" w:eastAsia="en-US"/>
        </w:rPr>
        <w:t xml:space="preserve">Director de Administración y </w:t>
      </w:r>
      <w:r w:rsidR="002E227E" w:rsidRPr="002E227E">
        <w:rPr>
          <w:rFonts w:ascii="Palatino Linotype" w:eastAsiaTheme="minorHAnsi" w:hAnsi="Palatino Linotype" w:cs="TimesNewRomanPS-ItalicMT"/>
          <w:b/>
          <w:bCs/>
          <w:iCs/>
          <w:lang w:val="es-MX" w:eastAsia="en-US"/>
        </w:rPr>
        <w:lastRenderedPageBreak/>
        <w:t>Tesorería del Sistema Municipal DIF de Toluca</w:t>
      </w:r>
      <w:r w:rsidR="0032287D">
        <w:rPr>
          <w:rFonts w:ascii="Palatino Linotype" w:eastAsiaTheme="minorHAnsi" w:hAnsi="Palatino Linotype" w:cs="TimesNewRomanPS-ItalicMT"/>
          <w:iCs/>
          <w:lang w:val="es-MX" w:eastAsia="en-US"/>
        </w:rPr>
        <w:t xml:space="preserve">, </w:t>
      </w:r>
      <w:r w:rsidR="002E227E">
        <w:rPr>
          <w:rFonts w:ascii="Palatino Linotype" w:eastAsiaTheme="minorHAnsi" w:hAnsi="Palatino Linotype" w:cs="TimesNewRomanPS-ItalicMT"/>
          <w:iCs/>
          <w:lang w:val="es-MX" w:eastAsia="en-US"/>
        </w:rPr>
        <w:t>comunicó</w:t>
      </w:r>
      <w:r w:rsidR="0032287D">
        <w:rPr>
          <w:rFonts w:ascii="Palatino Linotype" w:eastAsiaTheme="minorHAnsi" w:hAnsi="Palatino Linotype" w:cs="TimesNewRomanPS-ItalicMT"/>
          <w:iCs/>
          <w:lang w:val="es-MX" w:eastAsia="en-US"/>
        </w:rPr>
        <w:t xml:space="preserve"> que</w:t>
      </w:r>
      <w:bookmarkStart w:id="4" w:name="_Hlk192607414"/>
      <w:r w:rsidR="002E227E">
        <w:rPr>
          <w:rFonts w:ascii="Palatino Linotype" w:eastAsiaTheme="minorHAnsi" w:hAnsi="Palatino Linotype" w:cs="TimesNewRomanPS-ItalicMT"/>
          <w:iCs/>
          <w:lang w:val="es-MX" w:eastAsia="en-US"/>
        </w:rPr>
        <w:t xml:space="preserve">, </w:t>
      </w:r>
      <w:r w:rsidR="002E227E" w:rsidRPr="002E227E">
        <w:rPr>
          <w:rFonts w:ascii="Palatino Linotype" w:eastAsiaTheme="minorHAnsi" w:hAnsi="Palatino Linotype" w:cs="TimesNewRomanPS-ItalicMT"/>
          <w:iCs/>
          <w:lang w:val="es-MX" w:eastAsia="en-US"/>
        </w:rPr>
        <w:t xml:space="preserve">la información objeto de su solicitud, se encuentra publicada en el artículo 92, fracción XX denominada </w:t>
      </w:r>
      <w:r w:rsidR="002E227E" w:rsidRPr="002E227E">
        <w:rPr>
          <w:rFonts w:ascii="Palatino Linotype" w:eastAsiaTheme="minorHAnsi" w:hAnsi="Palatino Linotype" w:cs="TimesNewRomanPS-ItalicMT"/>
          <w:i/>
          <w:lang w:val="es-MX" w:eastAsia="en-US"/>
        </w:rPr>
        <w:t>"Las condiciones generales de trabajo”</w:t>
      </w:r>
      <w:r w:rsidR="002E227E" w:rsidRPr="002E227E">
        <w:rPr>
          <w:rFonts w:ascii="Palatino Linotype" w:eastAsiaTheme="minorHAnsi" w:hAnsi="Palatino Linotype" w:cs="TimesNewRomanPS-ItalicMT"/>
          <w:iCs/>
          <w:lang w:val="es-MX" w:eastAsia="en-US"/>
        </w:rPr>
        <w:t xml:space="preserve"> del Sistema de Información Pública de Oficio Mexiquense (IPOMEX) de este Sujeto Obligado; la cual puede ser consultada en </w:t>
      </w:r>
      <w:r w:rsidR="002E227E">
        <w:rPr>
          <w:rFonts w:ascii="Palatino Linotype" w:eastAsiaTheme="minorHAnsi" w:hAnsi="Palatino Linotype" w:cs="TimesNewRomanPS-ItalicMT"/>
          <w:iCs/>
          <w:lang w:val="es-MX" w:eastAsia="en-US"/>
        </w:rPr>
        <w:t xml:space="preserve">la </w:t>
      </w:r>
      <w:r w:rsidR="002E227E" w:rsidRPr="002E227E">
        <w:rPr>
          <w:rFonts w:ascii="Palatino Linotype" w:eastAsiaTheme="minorHAnsi" w:hAnsi="Palatino Linotype" w:cs="TimesNewRomanPS-ItalicMT"/>
          <w:iCs/>
          <w:lang w:val="es-MX" w:eastAsia="en-US"/>
        </w:rPr>
        <w:t>dirección electrónica</w:t>
      </w:r>
      <w:r w:rsidR="002E227E">
        <w:rPr>
          <w:rFonts w:ascii="Palatino Linotype" w:eastAsiaTheme="minorHAnsi" w:hAnsi="Palatino Linotype" w:cs="TimesNewRomanPS-ItalicMT"/>
          <w:iCs/>
          <w:lang w:val="es-MX" w:eastAsia="en-US"/>
        </w:rPr>
        <w:t xml:space="preserve"> remitida en formato cerrado.</w:t>
      </w:r>
      <w:bookmarkEnd w:id="2"/>
      <w:bookmarkEnd w:id="3"/>
      <w:bookmarkEnd w:id="4"/>
    </w:p>
    <w:p w14:paraId="33CD4CCC" w14:textId="77777777" w:rsidR="002E227E" w:rsidRPr="002E227E" w:rsidRDefault="002E227E" w:rsidP="002E227E">
      <w:pPr>
        <w:spacing w:line="360" w:lineRule="auto"/>
        <w:jc w:val="both"/>
        <w:rPr>
          <w:rFonts w:ascii="Palatino Linotype" w:eastAsiaTheme="minorHAnsi" w:hAnsi="Palatino Linotype" w:cs="TimesNewRomanPS-ItalicMT"/>
          <w:iCs/>
          <w:lang w:val="es-MX" w:eastAsia="en-US"/>
        </w:rPr>
      </w:pPr>
    </w:p>
    <w:p w14:paraId="1E962074" w14:textId="4A00F351" w:rsidR="009A7B69" w:rsidRDefault="009602BA" w:rsidP="0032287D">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2E227E" w:rsidRPr="002E227E">
        <w:rPr>
          <w:rFonts w:ascii="Palatino Linotype" w:eastAsiaTheme="minorHAnsi" w:hAnsi="Palatino Linotype" w:cstheme="minorBidi"/>
          <w:i/>
          <w:color w:val="000000"/>
          <w:szCs w:val="22"/>
          <w:lang w:val="es-MX" w:eastAsia="en-US"/>
        </w:rPr>
        <w:t>No rersponde a la solicitud de información</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626699BB" w14:textId="77777777" w:rsidR="0032287D" w:rsidRPr="0032287D" w:rsidRDefault="0032287D" w:rsidP="0032287D">
      <w:pPr>
        <w:spacing w:line="360" w:lineRule="auto"/>
        <w:jc w:val="both"/>
        <w:rPr>
          <w:rFonts w:ascii="Palatino Linotype" w:eastAsiaTheme="minorHAnsi" w:hAnsi="Palatino Linotype" w:cs="TimesNewRomanPS-ItalicMT"/>
          <w:iCs/>
          <w:lang w:val="es-MX" w:eastAsia="en-US"/>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lastRenderedPageBreak/>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081BEC" w:rsidRDefault="00B93F7E" w:rsidP="009602BA">
      <w:pPr>
        <w:spacing w:line="360" w:lineRule="auto"/>
        <w:jc w:val="both"/>
        <w:rPr>
          <w:rFonts w:ascii="Palatino Linotype" w:eastAsia="Calibri" w:hAnsi="Palatino Linotype" w:cs="Arial"/>
          <w:szCs w:val="22"/>
          <w:lang w:val="es-MX" w:eastAsia="en-US"/>
        </w:rPr>
      </w:pPr>
    </w:p>
    <w:p w14:paraId="70C63FB2" w14:textId="3A13C6D9"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w:t>
      </w:r>
      <w:r w:rsidRPr="00374FE7">
        <w:rPr>
          <w:rFonts w:ascii="Palatino Linotype" w:eastAsiaTheme="minorHAnsi" w:hAnsi="Palatino Linotype" w:cs="Arial"/>
          <w:szCs w:val="22"/>
          <w:lang w:val="es-MX" w:eastAsia="en-US"/>
        </w:rPr>
        <w:lastRenderedPageBreak/>
        <w:t xml:space="preserve">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w:t>
      </w:r>
      <w:r w:rsidR="002E227E">
        <w:rPr>
          <w:rFonts w:ascii="Palatino Linotype" w:eastAsia="Arial Unicode MS" w:hAnsi="Palatino Linotype" w:cs="Arial"/>
          <w:color w:val="000000"/>
          <w:szCs w:val="22"/>
          <w:lang w:val="es-MX" w:eastAsia="en-US"/>
        </w:rPr>
        <w:t xml:space="preserve"> entonces</w:t>
      </w:r>
      <w:r w:rsidRPr="00374FE7">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7737BACD" w14:textId="0C697C98" w:rsidR="00F65CF8" w:rsidRDefault="00F65CF8" w:rsidP="002E227E">
      <w:pPr>
        <w:spacing w:line="360" w:lineRule="auto"/>
        <w:jc w:val="both"/>
        <w:rPr>
          <w:rFonts w:ascii="Palatino Linotype" w:hAnsi="Palatino Linotype" w:cs="Tahoma"/>
          <w:bCs/>
        </w:rPr>
      </w:pPr>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xml:space="preserve">, de manera objetiva se precisa que se </w:t>
      </w:r>
      <w:r w:rsidR="002E227E">
        <w:rPr>
          <w:rFonts w:ascii="Palatino Linotype" w:hAnsi="Palatino Linotype" w:cs="Tahoma"/>
          <w:bCs/>
        </w:rPr>
        <w:t>requiere la siguiente información:</w:t>
      </w:r>
    </w:p>
    <w:p w14:paraId="6125CE12" w14:textId="77777777" w:rsidR="002E227E" w:rsidRDefault="002E227E" w:rsidP="002E227E">
      <w:pPr>
        <w:spacing w:line="360" w:lineRule="auto"/>
        <w:jc w:val="both"/>
        <w:rPr>
          <w:rFonts w:ascii="Palatino Linotype" w:hAnsi="Palatino Linotype" w:cs="Tahoma"/>
          <w:bCs/>
        </w:rPr>
      </w:pPr>
    </w:p>
    <w:p w14:paraId="6352E54F" w14:textId="77777777" w:rsidR="002E227E" w:rsidRDefault="002E227E" w:rsidP="003D71CA">
      <w:pPr>
        <w:pStyle w:val="Prrafodelista"/>
        <w:numPr>
          <w:ilvl w:val="0"/>
          <w:numId w:val="8"/>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E</w:t>
      </w:r>
      <w:r w:rsidRPr="00115ABC">
        <w:rPr>
          <w:rFonts w:ascii="Palatino Linotype" w:eastAsiaTheme="minorHAnsi" w:hAnsi="Palatino Linotype" w:cstheme="minorBidi"/>
          <w:bCs/>
          <w:szCs w:val="22"/>
          <w:lang w:val="es-MX" w:eastAsia="es-MX"/>
        </w:rPr>
        <w:t>l nombre de los servidores públicos que "renunciaron" durante el 2024</w:t>
      </w:r>
      <w:r>
        <w:rPr>
          <w:rFonts w:ascii="Palatino Linotype" w:eastAsiaTheme="minorHAnsi" w:hAnsi="Palatino Linotype" w:cstheme="minorBidi"/>
          <w:bCs/>
          <w:szCs w:val="22"/>
          <w:lang w:val="es-MX" w:eastAsia="es-MX"/>
        </w:rPr>
        <w:t>.</w:t>
      </w:r>
      <w:r w:rsidRPr="00115ABC">
        <w:rPr>
          <w:rFonts w:ascii="Palatino Linotype" w:eastAsiaTheme="minorHAnsi" w:hAnsi="Palatino Linotype" w:cstheme="minorBidi"/>
          <w:bCs/>
          <w:szCs w:val="22"/>
          <w:lang w:val="es-MX" w:eastAsia="es-MX"/>
        </w:rPr>
        <w:t xml:space="preserve"> </w:t>
      </w:r>
    </w:p>
    <w:p w14:paraId="7E33F71D" w14:textId="77777777" w:rsidR="002E227E" w:rsidRDefault="002E227E" w:rsidP="003D71CA">
      <w:pPr>
        <w:pStyle w:val="Prrafodelista"/>
        <w:numPr>
          <w:ilvl w:val="0"/>
          <w:numId w:val="8"/>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P</w:t>
      </w:r>
      <w:r w:rsidRPr="00115ABC">
        <w:rPr>
          <w:rFonts w:ascii="Palatino Linotype" w:eastAsiaTheme="minorHAnsi" w:hAnsi="Palatino Linotype" w:cstheme="minorBidi"/>
          <w:bCs/>
          <w:szCs w:val="22"/>
          <w:lang w:val="es-MX" w:eastAsia="es-MX"/>
        </w:rPr>
        <w:t>ago y concepto con el que se le está liquidando, finiquitando o entregando cualquier pago en relacionado con el cese de relación laboral</w:t>
      </w:r>
      <w:r>
        <w:rPr>
          <w:rFonts w:ascii="Palatino Linotype" w:eastAsiaTheme="minorHAnsi" w:hAnsi="Palatino Linotype" w:cstheme="minorBidi"/>
          <w:bCs/>
          <w:szCs w:val="22"/>
          <w:lang w:val="es-MX" w:eastAsia="es-MX"/>
        </w:rPr>
        <w:t>.</w:t>
      </w:r>
      <w:r w:rsidRPr="00115ABC">
        <w:rPr>
          <w:rFonts w:ascii="Palatino Linotype" w:eastAsiaTheme="minorHAnsi" w:hAnsi="Palatino Linotype" w:cstheme="minorBidi"/>
          <w:bCs/>
          <w:szCs w:val="22"/>
          <w:lang w:val="es-MX" w:eastAsia="es-MX"/>
        </w:rPr>
        <w:t xml:space="preserve"> </w:t>
      </w:r>
    </w:p>
    <w:p w14:paraId="2A9C178F" w14:textId="77777777" w:rsidR="002E227E" w:rsidRDefault="002E227E" w:rsidP="003D71CA">
      <w:pPr>
        <w:pStyle w:val="Prrafodelista"/>
        <w:numPr>
          <w:ilvl w:val="0"/>
          <w:numId w:val="8"/>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lastRenderedPageBreak/>
        <w:t>L</w:t>
      </w:r>
      <w:r w:rsidRPr="00115ABC">
        <w:rPr>
          <w:rFonts w:ascii="Palatino Linotype" w:eastAsiaTheme="minorHAnsi" w:hAnsi="Palatino Linotype" w:cstheme="minorBidi"/>
          <w:bCs/>
          <w:szCs w:val="22"/>
          <w:lang w:val="es-MX" w:eastAsia="es-MX"/>
        </w:rPr>
        <w:t>a documentación probatoria que compruebe que el dinero fue entregado a los servidores públicos</w:t>
      </w:r>
      <w:r>
        <w:rPr>
          <w:rFonts w:ascii="Palatino Linotype" w:eastAsiaTheme="minorHAnsi" w:hAnsi="Palatino Linotype" w:cstheme="minorBidi"/>
          <w:bCs/>
          <w:szCs w:val="22"/>
          <w:lang w:val="es-MX" w:eastAsia="es-MX"/>
        </w:rPr>
        <w:t xml:space="preserve">. </w:t>
      </w:r>
    </w:p>
    <w:p w14:paraId="30063C71" w14:textId="77777777" w:rsidR="00F65CF8" w:rsidRPr="00374FE7" w:rsidRDefault="00F65CF8" w:rsidP="00F65CF8">
      <w:pPr>
        <w:spacing w:line="360" w:lineRule="auto"/>
        <w:jc w:val="both"/>
        <w:rPr>
          <w:rFonts w:ascii="Palatino Linotype" w:hAnsi="Palatino Linotype" w:cs="Arial"/>
        </w:rPr>
      </w:pPr>
    </w:p>
    <w:p w14:paraId="3BE3349D" w14:textId="02CB8C49" w:rsidR="000C3D4F" w:rsidRDefault="00F65CF8" w:rsidP="000C3D4F">
      <w:pPr>
        <w:spacing w:line="360" w:lineRule="auto"/>
        <w:jc w:val="both"/>
        <w:rPr>
          <w:rFonts w:ascii="Palatino Linotype" w:eastAsiaTheme="minorHAnsi" w:hAnsi="Palatino Linotype" w:cs="TimesNewRomanPS-ItalicMT"/>
          <w:iCs/>
          <w:lang w:val="es-MX" w:eastAsia="en-US"/>
        </w:rPr>
      </w:pPr>
      <w:r w:rsidRPr="000C3D4F">
        <w:rPr>
          <w:rFonts w:ascii="Palatino Linotype" w:eastAsiaTheme="minorHAnsi" w:hAnsi="Palatino Linotype" w:cs="Arial"/>
          <w:color w:val="000000" w:themeColor="text1"/>
          <w:lang w:val="es-MX" w:eastAsia="en-US"/>
        </w:rPr>
        <w:t>Por lo anteriormente expuesto</w:t>
      </w:r>
      <w:r w:rsidRPr="000C3D4F">
        <w:rPr>
          <w:rFonts w:ascii="Palatino Linotype" w:hAnsi="Palatino Linotype" w:cs="Arial"/>
        </w:rPr>
        <w:t xml:space="preserve">, recordemos que, en respuesta, el </w:t>
      </w:r>
      <w:r w:rsidRPr="000C3D4F">
        <w:rPr>
          <w:rFonts w:ascii="Palatino Linotype" w:hAnsi="Palatino Linotype" w:cs="Arial"/>
          <w:b/>
          <w:bCs/>
        </w:rPr>
        <w:t>Sujeto Obligado</w:t>
      </w:r>
      <w:r w:rsidR="000C3D4F">
        <w:rPr>
          <w:rFonts w:ascii="Palatino Linotype" w:hAnsi="Palatino Linotype" w:cs="Arial"/>
        </w:rPr>
        <w:t xml:space="preserve"> </w:t>
      </w:r>
      <w:bookmarkStart w:id="5" w:name="_Hlk190173978"/>
      <w:r w:rsidR="002E227E">
        <w:rPr>
          <w:rFonts w:ascii="Palatino Linotype" w:hAnsi="Palatino Linotype" w:cs="Arial"/>
          <w:iCs/>
          <w:lang w:val="es-MX"/>
        </w:rPr>
        <w:t>remitió una liga electrónica en formato cerrado, en la cual, indica que se encuentra la información solicitada</w:t>
      </w:r>
      <w:r w:rsidR="000C3D4F" w:rsidRPr="0032287D">
        <w:rPr>
          <w:rFonts w:ascii="Palatino Linotype" w:eastAsiaTheme="minorHAnsi" w:hAnsi="Palatino Linotype" w:cs="TimesNewRomanPS-ItalicMT"/>
          <w:iCs/>
          <w:lang w:val="es-MX" w:eastAsia="en-US"/>
        </w:rPr>
        <w:t xml:space="preserve">. </w:t>
      </w:r>
    </w:p>
    <w:p w14:paraId="0C6D98BC" w14:textId="77777777" w:rsidR="002E227E" w:rsidRDefault="002E227E" w:rsidP="000C3D4F">
      <w:pPr>
        <w:spacing w:line="360" w:lineRule="auto"/>
        <w:jc w:val="both"/>
        <w:rPr>
          <w:rFonts w:ascii="Palatino Linotype" w:eastAsiaTheme="minorHAnsi" w:hAnsi="Palatino Linotype" w:cs="TimesNewRomanPS-ItalicMT"/>
          <w:iCs/>
          <w:lang w:val="es-MX" w:eastAsia="en-US"/>
        </w:rPr>
      </w:pPr>
    </w:p>
    <w:p w14:paraId="21892E75" w14:textId="77777777" w:rsidR="002E227E" w:rsidRDefault="002E227E" w:rsidP="002E227E">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Visto lo anterior, es necesario precisar que, para tener acceso a la liga proporcionada por parte del </w:t>
      </w:r>
      <w:r w:rsidRPr="00146EE7">
        <w:rPr>
          <w:rFonts w:ascii="Palatino Linotype" w:eastAsiaTheme="minorHAnsi" w:hAnsi="Palatino Linotype" w:cstheme="minorBidi"/>
          <w:b/>
          <w:lang w:val="es-MX" w:eastAsia="es-MX"/>
        </w:rPr>
        <w:t>Sujeto Obligado</w:t>
      </w:r>
      <w:r>
        <w:rPr>
          <w:rFonts w:ascii="Palatino Linotype" w:eastAsiaTheme="minorHAnsi" w:hAnsi="Palatino Linotype" w:cstheme="minorBidi"/>
          <w:lang w:val="es-MX" w:eastAsia="es-MX"/>
        </w:rPr>
        <w:t>,</w:t>
      </w:r>
      <w:r w:rsidRPr="00146EE7">
        <w:rPr>
          <w:rFonts w:ascii="Palatino Linotype" w:eastAsiaTheme="minorHAnsi" w:hAnsi="Palatino Linotype" w:cstheme="minorBidi"/>
          <w:lang w:val="es-MX" w:eastAsia="es-MX"/>
        </w:rPr>
        <w:t xml:space="preserve"> es necesario capturar la dirección electrónica carácter por carácter, ya que el documento digitalizado a tr</w:t>
      </w:r>
      <w:r>
        <w:rPr>
          <w:rFonts w:ascii="Palatino Linotype" w:eastAsiaTheme="minorHAnsi" w:hAnsi="Palatino Linotype" w:cstheme="minorBidi"/>
          <w:lang w:val="es-MX" w:eastAsia="es-MX"/>
        </w:rPr>
        <w:t>avés del cual se proporcionó el link</w:t>
      </w:r>
      <w:r w:rsidRPr="00146EE7">
        <w:rPr>
          <w:rFonts w:ascii="Palatino Linotype" w:eastAsiaTheme="minorHAnsi" w:hAnsi="Palatino Linotype" w:cstheme="minorBidi"/>
          <w:lang w:val="es-MX" w:eastAsia="es-MX"/>
        </w:rPr>
        <w:t xml:space="preserve"> no permite editar, modificar o procesar su contenido, asimismo, es imprescindible mencionar que dicha liga electrónica está compuesta por diversos caracteres, así como por mayúsculas y minúsculas, por lo que no es posible distinguir</w:t>
      </w:r>
      <w:r>
        <w:rPr>
          <w:rFonts w:ascii="Palatino Linotype" w:eastAsiaTheme="minorHAnsi" w:hAnsi="Palatino Linotype" w:cstheme="minorBidi"/>
          <w:lang w:val="es-MX" w:eastAsia="es-MX"/>
        </w:rPr>
        <w:t xml:space="preserve"> dichos caracteres. </w:t>
      </w:r>
    </w:p>
    <w:p w14:paraId="26C7EFA9" w14:textId="77777777" w:rsidR="002E227E" w:rsidRDefault="002E227E" w:rsidP="002E227E">
      <w:pPr>
        <w:spacing w:line="360" w:lineRule="auto"/>
        <w:ind w:right="49"/>
        <w:jc w:val="both"/>
        <w:rPr>
          <w:rFonts w:ascii="Palatino Linotype" w:eastAsiaTheme="minorHAnsi" w:hAnsi="Palatino Linotype" w:cstheme="minorBidi"/>
          <w:lang w:val="es-MX" w:eastAsia="es-MX"/>
        </w:rPr>
      </w:pPr>
    </w:p>
    <w:p w14:paraId="5F41DFDD" w14:textId="77777777" w:rsidR="002E227E" w:rsidRPr="00794628" w:rsidRDefault="002E227E" w:rsidP="002E227E">
      <w:pPr>
        <w:spacing w:line="360" w:lineRule="auto"/>
        <w:jc w:val="both"/>
        <w:rPr>
          <w:rFonts w:ascii="Palatino Linotype" w:hAnsi="Palatino Linotype"/>
          <w:lang w:eastAsia="es-MX"/>
        </w:rPr>
      </w:pPr>
      <w:r w:rsidRPr="00794628">
        <w:rPr>
          <w:rFonts w:ascii="Palatino Linotype" w:hAnsi="Palatino Linotype"/>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7D360756" w14:textId="77777777" w:rsidR="002E227E" w:rsidRPr="00794628" w:rsidRDefault="002E227E" w:rsidP="002E227E">
      <w:pPr>
        <w:spacing w:line="360" w:lineRule="auto"/>
        <w:jc w:val="both"/>
        <w:rPr>
          <w:rFonts w:ascii="Palatino Linotype" w:hAnsi="Palatino Linotype"/>
          <w:lang w:eastAsia="es-MX"/>
        </w:rPr>
      </w:pPr>
    </w:p>
    <w:p w14:paraId="1CC45738" w14:textId="77777777" w:rsidR="002E227E" w:rsidRPr="00794628" w:rsidRDefault="002E227E" w:rsidP="002E227E">
      <w:pPr>
        <w:spacing w:line="360" w:lineRule="auto"/>
        <w:jc w:val="both"/>
        <w:rPr>
          <w:rFonts w:ascii="Palatino Linotype" w:hAnsi="Palatino Linotype" w:cs="Tahoma"/>
          <w:b/>
          <w:bCs/>
          <w:i/>
        </w:rPr>
      </w:pPr>
      <w:r w:rsidRPr="00794628">
        <w:rPr>
          <w:rFonts w:ascii="Palatino Linotype" w:eastAsia="Calibri" w:hAnsi="Palatino Linotype" w:cs="Tahoma"/>
          <w:bCs/>
        </w:rPr>
        <w:t xml:space="preserve">Derivado de lo anterior, se considera necesario precisar que datos abiertos, conforme a la </w:t>
      </w:r>
      <w:r w:rsidRPr="00794628">
        <w:rPr>
          <w:rFonts w:ascii="Palatino Linotype" w:hAnsi="Palatino Linotype" w:cs="Tahoma"/>
          <w:bCs/>
        </w:rPr>
        <w:t>Carta Internacional de Datos Abiertos</w:t>
      </w:r>
      <w:r w:rsidRPr="00794628">
        <w:rPr>
          <w:rFonts w:ascii="Palatino Linotype" w:hAnsi="Palatino Linotype" w:cs="Tahoma"/>
          <w:bCs/>
          <w:vertAlign w:val="superscript"/>
        </w:rPr>
        <w:footnoteReference w:id="2"/>
      </w:r>
      <w:r w:rsidRPr="00794628">
        <w:rPr>
          <w:rFonts w:ascii="Palatino Linotype" w:eastAsia="Calibri" w:hAnsi="Palatino Linotype" w:cs="Tahoma"/>
          <w:bCs/>
        </w:rPr>
        <w:t xml:space="preserve"> </w:t>
      </w:r>
      <w:r w:rsidRPr="00794628">
        <w:rPr>
          <w:rFonts w:ascii="Palatino Linotype" w:hAnsi="Palatino Linotype" w:cs="Tahoma"/>
          <w:bCs/>
          <w:i/>
        </w:rPr>
        <w:t xml:space="preserve">son datos digitales que son puestos a disposición con las características técnicas y jurídicas necesarias para que </w:t>
      </w:r>
      <w:r w:rsidRPr="00794628">
        <w:rPr>
          <w:rFonts w:ascii="Palatino Linotype" w:hAnsi="Palatino Linotype" w:cs="Tahoma"/>
          <w:b/>
          <w:bCs/>
          <w:i/>
        </w:rPr>
        <w:t xml:space="preserve">puedan ser </w:t>
      </w:r>
      <w:r w:rsidRPr="00794628">
        <w:rPr>
          <w:rFonts w:ascii="Palatino Linotype" w:hAnsi="Palatino Linotype" w:cs="Tahoma"/>
          <w:b/>
          <w:bCs/>
          <w:i/>
          <w:u w:val="single"/>
        </w:rPr>
        <w:t xml:space="preserve">usados, </w:t>
      </w:r>
      <w:r w:rsidRPr="00794628">
        <w:rPr>
          <w:rFonts w:ascii="Palatino Linotype" w:hAnsi="Palatino Linotype" w:cs="Tahoma"/>
          <w:b/>
          <w:bCs/>
          <w:i/>
          <w:u w:val="single"/>
        </w:rPr>
        <w:lastRenderedPageBreak/>
        <w:t>reutilizados y redistribuidos</w:t>
      </w:r>
      <w:r w:rsidRPr="00794628">
        <w:rPr>
          <w:rFonts w:ascii="Palatino Linotype" w:hAnsi="Palatino Linotype" w:cs="Tahoma"/>
          <w:b/>
          <w:bCs/>
          <w:i/>
        </w:rPr>
        <w:t xml:space="preserve"> libremente por cualquier persona, en cualquier momento y en cualquier lugar.</w:t>
      </w:r>
    </w:p>
    <w:p w14:paraId="3352C541" w14:textId="77777777" w:rsidR="002E227E" w:rsidRPr="00794628" w:rsidRDefault="002E227E" w:rsidP="002E227E">
      <w:pPr>
        <w:spacing w:line="360" w:lineRule="auto"/>
        <w:jc w:val="both"/>
        <w:rPr>
          <w:rFonts w:ascii="Palatino Linotype" w:hAnsi="Palatino Linotype" w:cs="Tahoma"/>
          <w:b/>
          <w:bCs/>
          <w:i/>
        </w:rPr>
      </w:pPr>
    </w:p>
    <w:p w14:paraId="09661427" w14:textId="77777777" w:rsidR="002E227E" w:rsidRPr="00794628" w:rsidRDefault="002E227E" w:rsidP="002E227E">
      <w:pPr>
        <w:spacing w:line="360" w:lineRule="auto"/>
        <w:jc w:val="both"/>
        <w:rPr>
          <w:rFonts w:ascii="Palatino Linotype" w:hAnsi="Palatino Linotype"/>
          <w:lang w:eastAsia="es-MX"/>
        </w:rPr>
      </w:pPr>
      <w:r w:rsidRPr="00794628">
        <w:rPr>
          <w:rFonts w:ascii="Palatino Linotype" w:hAnsi="Palatino Linotype"/>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C1FBEDC" w14:textId="77777777" w:rsidR="002E227E" w:rsidRPr="00794628" w:rsidRDefault="002E227E" w:rsidP="002E227E">
      <w:pPr>
        <w:spacing w:line="360" w:lineRule="auto"/>
        <w:jc w:val="both"/>
        <w:rPr>
          <w:rFonts w:ascii="Palatino Linotype" w:hAnsi="Palatino Linotype"/>
          <w:sz w:val="22"/>
          <w:szCs w:val="22"/>
          <w:lang w:eastAsia="es-MX"/>
        </w:rPr>
      </w:pPr>
    </w:p>
    <w:p w14:paraId="58E9DB95" w14:textId="77777777" w:rsidR="002E227E" w:rsidRDefault="002E227E" w:rsidP="003D71CA">
      <w:pPr>
        <w:pStyle w:val="Prrafodelista"/>
        <w:numPr>
          <w:ilvl w:val="0"/>
          <w:numId w:val="9"/>
        </w:numPr>
        <w:ind w:left="567" w:right="616" w:firstLine="0"/>
        <w:jc w:val="both"/>
        <w:rPr>
          <w:rFonts w:ascii="Palatino Linotype" w:hAnsi="Palatino Linotype"/>
          <w:i/>
          <w:sz w:val="22"/>
          <w:szCs w:val="22"/>
          <w:lang w:eastAsia="es-MX"/>
        </w:rPr>
      </w:pPr>
      <w:r w:rsidRPr="00794628">
        <w:rPr>
          <w:rFonts w:ascii="Palatino Linotype" w:hAnsi="Palatino Linotype"/>
          <w:b/>
          <w:bCs/>
          <w:i/>
          <w:sz w:val="22"/>
          <w:szCs w:val="22"/>
          <w:lang w:eastAsia="es-MX"/>
        </w:rPr>
        <w:t xml:space="preserve">Dato abierto: </w:t>
      </w:r>
      <w:r w:rsidRPr="00794628">
        <w:rPr>
          <w:rFonts w:ascii="Palatino Linotype" w:hAnsi="Palatino Linotype"/>
          <w:i/>
          <w:sz w:val="22"/>
          <w:szCs w:val="22"/>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E99BEEB" w14:textId="77777777" w:rsidR="002E227E" w:rsidRDefault="002E227E" w:rsidP="002E227E">
      <w:pPr>
        <w:pStyle w:val="Prrafodelista"/>
        <w:ind w:left="567" w:right="616"/>
        <w:jc w:val="both"/>
        <w:rPr>
          <w:rFonts w:ascii="Palatino Linotype" w:hAnsi="Palatino Linotype"/>
          <w:i/>
          <w:sz w:val="22"/>
          <w:szCs w:val="22"/>
          <w:lang w:eastAsia="es-MX"/>
        </w:rPr>
      </w:pPr>
    </w:p>
    <w:p w14:paraId="0B3E0468" w14:textId="77777777" w:rsidR="002E227E" w:rsidRPr="00794628" w:rsidRDefault="002E227E" w:rsidP="003D71CA">
      <w:pPr>
        <w:pStyle w:val="Prrafodelista"/>
        <w:numPr>
          <w:ilvl w:val="0"/>
          <w:numId w:val="9"/>
        </w:numPr>
        <w:ind w:left="567" w:right="616" w:firstLine="0"/>
        <w:jc w:val="both"/>
        <w:rPr>
          <w:rFonts w:ascii="Palatino Linotype" w:hAnsi="Palatino Linotype"/>
          <w:i/>
          <w:sz w:val="22"/>
          <w:szCs w:val="22"/>
          <w:lang w:eastAsia="es-MX"/>
        </w:rPr>
      </w:pPr>
      <w:r w:rsidRPr="00794628">
        <w:rPr>
          <w:rFonts w:ascii="Palatino Linotype" w:hAnsi="Palatino Linotype"/>
          <w:b/>
          <w:bCs/>
          <w:i/>
          <w:sz w:val="22"/>
          <w:szCs w:val="22"/>
          <w:lang w:eastAsia="es-MX"/>
        </w:rPr>
        <w:t xml:space="preserve">Formato accesible: </w:t>
      </w:r>
      <w:r w:rsidRPr="00794628">
        <w:rPr>
          <w:rFonts w:ascii="Palatino Linotype" w:hAnsi="Palatino Linotype"/>
          <w:i/>
          <w:sz w:val="22"/>
          <w:szCs w:val="22"/>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53BC4BF" w14:textId="77777777" w:rsidR="002E227E" w:rsidRPr="00794628" w:rsidRDefault="002E227E" w:rsidP="002E227E">
      <w:pPr>
        <w:spacing w:line="360" w:lineRule="auto"/>
        <w:ind w:left="720"/>
        <w:jc w:val="both"/>
        <w:rPr>
          <w:rFonts w:ascii="Palatino Linotype" w:hAnsi="Palatino Linotype"/>
          <w:i/>
          <w:lang w:eastAsia="es-MX"/>
        </w:rPr>
      </w:pPr>
    </w:p>
    <w:p w14:paraId="40F7D1B7" w14:textId="77777777" w:rsidR="002E227E" w:rsidRPr="00794628" w:rsidRDefault="002E227E" w:rsidP="002E227E">
      <w:pPr>
        <w:spacing w:line="360" w:lineRule="auto"/>
        <w:jc w:val="both"/>
        <w:rPr>
          <w:rFonts w:ascii="Palatino Linotype" w:hAnsi="Palatino Linotype" w:cs="Tahoma"/>
          <w:bCs/>
        </w:rPr>
      </w:pPr>
      <w:r w:rsidRPr="00794628">
        <w:rPr>
          <w:rFonts w:ascii="Palatino Linotype" w:hAnsi="Palatino Linotype" w:cs="Tahoma"/>
          <w:bCs/>
        </w:rPr>
        <w:t xml:space="preserve">En este sentido, los datos abiertos cumplen con la finalidad de poder ser utilizados, </w:t>
      </w:r>
      <w:r w:rsidRPr="00794628">
        <w:rPr>
          <w:rFonts w:ascii="Palatino Linotype" w:hAnsi="Palatino Linotype" w:cs="Tahoma"/>
          <w:b/>
          <w:bCs/>
          <w:u w:val="single"/>
        </w:rPr>
        <w:t xml:space="preserve">reutilizados </w:t>
      </w:r>
      <w:r w:rsidRPr="00794628">
        <w:rPr>
          <w:rFonts w:ascii="Palatino Linotype" w:hAnsi="Palatino Linotype" w:cs="Tahoma"/>
          <w:bCs/>
        </w:rPr>
        <w:t xml:space="preserve">y redistribuidos; y que el formato de datos abiertos, </w:t>
      </w:r>
      <w:r w:rsidRPr="00794628">
        <w:rPr>
          <w:rFonts w:ascii="Palatino Linotype" w:hAnsi="Palatino Linotype" w:cs="Tahoma"/>
          <w:b/>
          <w:bCs/>
        </w:rPr>
        <w:t>debe permitir la aplicación y reproducción</w:t>
      </w:r>
      <w:r w:rsidRPr="00794628">
        <w:rPr>
          <w:rFonts w:ascii="Palatino Linotype" w:hAnsi="Palatino Linotype"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7E353CC2" w14:textId="77777777" w:rsidR="002E227E" w:rsidRDefault="002E227E" w:rsidP="002E227E">
      <w:pPr>
        <w:spacing w:line="360" w:lineRule="auto"/>
        <w:ind w:right="49"/>
        <w:jc w:val="both"/>
        <w:rPr>
          <w:rFonts w:ascii="Palatino Linotype" w:eastAsiaTheme="minorHAnsi" w:hAnsi="Palatino Linotype" w:cstheme="minorBidi"/>
          <w:lang w:val="es-MX" w:eastAsia="es-MX"/>
        </w:rPr>
      </w:pPr>
    </w:p>
    <w:p w14:paraId="5B68D22A" w14:textId="77777777" w:rsidR="002E227E" w:rsidRPr="00146EE7" w:rsidRDefault="002E227E" w:rsidP="002E227E">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lang w:val="es-MX" w:eastAsia="en-US"/>
        </w:rPr>
        <w:t>Por lo que, d</w:t>
      </w:r>
      <w:r w:rsidRPr="00146EE7">
        <w:rPr>
          <w:rFonts w:ascii="Palatino Linotype" w:eastAsiaTheme="minorHAnsi" w:hAnsi="Palatino Linotype" w:cs="Arial"/>
          <w:lang w:val="es-MX" w:eastAsia="en-US"/>
        </w:rPr>
        <w:t xml:space="preserve">icha orientación al particular resulta insuficiente, al no cumplir con los lineamientos que exige el numeral 161, de la ley de la materia, lo anterior en razón de </w:t>
      </w:r>
      <w:r w:rsidRPr="00146EE7">
        <w:rPr>
          <w:rFonts w:ascii="Palatino Linotype" w:eastAsiaTheme="minorHAnsi" w:hAnsi="Palatino Linotype" w:cs="Arial"/>
          <w:lang w:val="es-MX" w:eastAsia="en-US"/>
        </w:rPr>
        <w:lastRenderedPageBreak/>
        <w:t xml:space="preserve">que al ingresar al link remitido por </w:t>
      </w:r>
      <w:r w:rsidRPr="00146EE7">
        <w:rPr>
          <w:rFonts w:ascii="Palatino Linotype" w:eastAsiaTheme="minorHAnsi" w:hAnsi="Palatino Linotype" w:cs="Arial"/>
          <w:b/>
          <w:lang w:val="es-MX" w:eastAsia="en-US"/>
        </w:rPr>
        <w:t>El Sujeto Obligado</w:t>
      </w:r>
      <w:r w:rsidRPr="00146EE7">
        <w:rPr>
          <w:rFonts w:ascii="Palatino Linotype" w:eastAsiaTheme="minorHAnsi" w:hAnsi="Palatino Linotype" w:cs="Arial"/>
          <w:lang w:val="es-MX" w:eastAsia="en-US"/>
        </w:rPr>
        <w:t xml:space="preserve">, se requiere hacer una búsqueda en toda la información ahí publicada, lo que demuestra que la fuente no es precisa y concreta, ya que finalmente al lograr ingresar al portal de transparencia, se encuentra un gran cúmulo de información, que hace imposible identificar la referencia correcta en la cual </w:t>
      </w:r>
      <w:r w:rsidRPr="00146EE7">
        <w:rPr>
          <w:rFonts w:ascii="Palatino Linotype" w:eastAsiaTheme="minorHAnsi" w:hAnsi="Palatino Linotype" w:cs="Arial"/>
          <w:b/>
          <w:lang w:val="es-MX" w:eastAsia="en-US"/>
        </w:rPr>
        <w:t>El Recurrente</w:t>
      </w:r>
      <w:r w:rsidRPr="00146EE7">
        <w:rPr>
          <w:rFonts w:ascii="Palatino Linotype" w:eastAsiaTheme="minorHAnsi" w:hAnsi="Palatino Linotype" w:cs="Arial"/>
          <w:lang w:val="es-MX" w:eastAsia="en-US"/>
        </w:rPr>
        <w:t xml:space="preserve"> obtendrá la información; p</w:t>
      </w:r>
      <w:r w:rsidRPr="00146EE7">
        <w:rPr>
          <w:rFonts w:ascii="Palatino Linotype" w:hAnsi="Palatino Linotype" w:cs="Arial"/>
        </w:rPr>
        <w:t>ara efecto de fundar y motivar la precedente aseveración, se parte de la premisa normativa siguiente:</w:t>
      </w:r>
    </w:p>
    <w:p w14:paraId="5F53807B" w14:textId="77777777" w:rsidR="002E227E" w:rsidRPr="00146EE7" w:rsidRDefault="002E227E" w:rsidP="002E227E">
      <w:pPr>
        <w:spacing w:after="160" w:line="360" w:lineRule="auto"/>
        <w:ind w:right="51"/>
        <w:jc w:val="both"/>
        <w:rPr>
          <w:rFonts w:ascii="Palatino Linotype" w:hAnsi="Palatino Linotype" w:cs="Arial"/>
          <w:sz w:val="12"/>
        </w:rPr>
      </w:pPr>
    </w:p>
    <w:p w14:paraId="2174C5C1" w14:textId="77777777" w:rsidR="002E227E" w:rsidRPr="00146EE7" w:rsidRDefault="002E227E" w:rsidP="002E227E">
      <w:pPr>
        <w:spacing w:after="160" w:line="360" w:lineRule="auto"/>
        <w:ind w:right="51"/>
        <w:jc w:val="both"/>
        <w:rPr>
          <w:rFonts w:ascii="Palatino Linotype" w:hAnsi="Palatino Linotype" w:cs="Arial"/>
        </w:rPr>
      </w:pPr>
      <w:r w:rsidRPr="00146EE7">
        <w:rPr>
          <w:rFonts w:ascii="Palatino Linotype" w:hAnsi="Palatino Linotype" w:cs="Arial"/>
        </w:rPr>
        <w:t>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17D33324" w14:textId="77777777" w:rsidR="002E227E" w:rsidRPr="00146EE7" w:rsidRDefault="002E227E" w:rsidP="002E227E">
      <w:pPr>
        <w:spacing w:after="160" w:line="360" w:lineRule="auto"/>
        <w:ind w:right="51"/>
        <w:jc w:val="both"/>
        <w:rPr>
          <w:rFonts w:ascii="Palatino Linotype" w:hAnsi="Palatino Linotype" w:cs="Arial"/>
          <w:sz w:val="2"/>
        </w:rPr>
      </w:pPr>
    </w:p>
    <w:p w14:paraId="1C5D9E22" w14:textId="77777777" w:rsidR="002E227E" w:rsidRPr="00146EE7" w:rsidRDefault="002E227E" w:rsidP="002E227E">
      <w:pPr>
        <w:spacing w:after="160"/>
        <w:ind w:left="567" w:right="616"/>
        <w:jc w:val="both"/>
        <w:rPr>
          <w:rFonts w:ascii="Palatino Linotype" w:eastAsiaTheme="minorHAnsi" w:hAnsi="Palatino Linotype" w:cstheme="minorBidi"/>
          <w:i/>
          <w:sz w:val="22"/>
          <w:szCs w:val="22"/>
          <w:lang w:val="es-MX" w:eastAsia="en-US"/>
        </w:rPr>
      </w:pPr>
      <w:r w:rsidRPr="00146EE7">
        <w:rPr>
          <w:rFonts w:ascii="Palatino Linotype" w:eastAsiaTheme="minorHAnsi" w:hAnsi="Palatino Linotype" w:cstheme="minorBidi"/>
          <w:b/>
          <w:i/>
          <w:sz w:val="22"/>
          <w:szCs w:val="22"/>
          <w:lang w:val="es-MX" w:eastAsia="en-US"/>
        </w:rPr>
        <w:t>Artículo 11.</w:t>
      </w:r>
      <w:r w:rsidRPr="00146EE7">
        <w:rPr>
          <w:rFonts w:ascii="Palatino Linotype" w:eastAsiaTheme="minorHAnsi" w:hAnsi="Palatino Linotype" w:cstheme="minorBidi"/>
          <w:i/>
          <w:sz w:val="22"/>
          <w:szCs w:val="22"/>
          <w:lang w:val="es-MX" w:eastAsia="en-US"/>
        </w:rPr>
        <w:t xml:space="preserve"> En la generación, publicación y</w:t>
      </w:r>
      <w:r w:rsidRPr="00146EE7">
        <w:rPr>
          <w:rFonts w:ascii="Palatino Linotype" w:eastAsiaTheme="minorHAnsi" w:hAnsi="Palatino Linotype" w:cstheme="minorBidi"/>
          <w:b/>
          <w:i/>
          <w:sz w:val="22"/>
          <w:szCs w:val="22"/>
          <w:lang w:val="es-MX" w:eastAsia="en-US"/>
        </w:rPr>
        <w:t xml:space="preserve"> </w:t>
      </w:r>
      <w:r w:rsidRPr="00146EE7">
        <w:rPr>
          <w:rFonts w:ascii="Palatino Linotype" w:eastAsiaTheme="minorHAnsi" w:hAnsi="Palatino Linotype" w:cstheme="minorBidi"/>
          <w:b/>
          <w:i/>
          <w:sz w:val="22"/>
          <w:szCs w:val="22"/>
          <w:u w:val="single"/>
          <w:lang w:val="es-MX" w:eastAsia="en-US"/>
        </w:rPr>
        <w:t>entrega de información se deberá</w:t>
      </w:r>
      <w:r w:rsidRPr="00146EE7">
        <w:rPr>
          <w:rFonts w:ascii="Palatino Linotype" w:eastAsiaTheme="minorHAnsi" w:hAnsi="Palatino Linotype" w:cstheme="minorBidi"/>
          <w:i/>
          <w:sz w:val="22"/>
          <w:szCs w:val="22"/>
          <w:lang w:val="es-MX" w:eastAsia="en-US"/>
        </w:rPr>
        <w:t xml:space="preserve"> </w:t>
      </w:r>
      <w:r w:rsidRPr="00146EE7">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146EE7">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4E883EB7" w14:textId="77777777" w:rsidR="002E227E" w:rsidRPr="00146EE7" w:rsidRDefault="002E227E" w:rsidP="002E227E">
      <w:pPr>
        <w:spacing w:after="160"/>
        <w:ind w:left="567" w:right="616"/>
        <w:jc w:val="both"/>
        <w:rPr>
          <w:rFonts w:ascii="Palatino Linotype" w:eastAsiaTheme="minorHAnsi" w:hAnsi="Palatino Linotype" w:cstheme="minorBidi"/>
          <w:b/>
          <w:i/>
          <w:sz w:val="22"/>
          <w:szCs w:val="22"/>
          <w:lang w:val="es-MX" w:eastAsia="en-US"/>
        </w:rPr>
      </w:pPr>
      <w:r w:rsidRPr="00146EE7">
        <w:rPr>
          <w:rFonts w:ascii="Palatino Linotype" w:eastAsiaTheme="minorHAnsi" w:hAnsi="Palatino Linotype" w:cstheme="minorBidi"/>
          <w:b/>
          <w:i/>
          <w:sz w:val="22"/>
          <w:szCs w:val="22"/>
          <w:lang w:val="es-MX" w:eastAsia="en-US"/>
        </w:rPr>
        <w:t>[…]</w:t>
      </w:r>
    </w:p>
    <w:p w14:paraId="5BDACD71" w14:textId="77777777" w:rsidR="002E227E" w:rsidRPr="00146EE7" w:rsidRDefault="002E227E" w:rsidP="002E227E">
      <w:pPr>
        <w:spacing w:after="160"/>
        <w:ind w:left="567" w:right="616"/>
        <w:jc w:val="both"/>
        <w:rPr>
          <w:rFonts w:ascii="Palatino Linotype" w:eastAsiaTheme="minorHAnsi" w:hAnsi="Palatino Linotype" w:cstheme="minorBidi"/>
          <w:b/>
          <w:i/>
          <w:sz w:val="22"/>
          <w:szCs w:val="22"/>
          <w:u w:val="single"/>
          <w:lang w:val="es-MX" w:eastAsia="en-US"/>
        </w:rPr>
      </w:pPr>
      <w:r w:rsidRPr="00146EE7">
        <w:rPr>
          <w:rFonts w:ascii="Palatino Linotype" w:eastAsiaTheme="minorHAnsi" w:hAnsi="Palatino Linotype" w:cstheme="minorBidi"/>
          <w:b/>
          <w:i/>
          <w:sz w:val="22"/>
          <w:szCs w:val="22"/>
          <w:lang w:val="es-MX" w:eastAsia="en-US"/>
        </w:rPr>
        <w:t>Artículo 161.</w:t>
      </w:r>
      <w:r w:rsidRPr="00146EE7">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146EE7">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146EE7">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74085585" w14:textId="77777777" w:rsidR="002E227E" w:rsidRPr="00146EE7" w:rsidRDefault="002E227E" w:rsidP="002E227E">
      <w:pPr>
        <w:spacing w:after="160" w:line="360" w:lineRule="auto"/>
        <w:ind w:right="51"/>
        <w:jc w:val="both"/>
        <w:rPr>
          <w:rFonts w:ascii="Palatino Linotype" w:hAnsi="Palatino Linotype" w:cs="Arial"/>
          <w:sz w:val="8"/>
        </w:rPr>
      </w:pPr>
    </w:p>
    <w:p w14:paraId="7EC5B79D" w14:textId="77777777" w:rsidR="002E227E" w:rsidRPr="00146EE7" w:rsidRDefault="002E227E" w:rsidP="002E227E">
      <w:pPr>
        <w:spacing w:after="160" w:line="360" w:lineRule="auto"/>
        <w:ind w:right="51"/>
        <w:jc w:val="both"/>
        <w:rPr>
          <w:rFonts w:ascii="Palatino Linotype" w:hAnsi="Palatino Linotype" w:cs="Arial"/>
        </w:rPr>
      </w:pPr>
      <w:r w:rsidRPr="00146EE7">
        <w:rPr>
          <w:rFonts w:ascii="Palatino Linotype" w:hAnsi="Palatino Linotype" w:cs="Arial"/>
        </w:rPr>
        <w:lastRenderedPageBreak/>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146EE7">
        <w:rPr>
          <w:rFonts w:ascii="Palatino Linotype" w:hAnsi="Palatino Linotype" w:cs="Arial"/>
          <w:b/>
          <w:u w:val="single"/>
        </w:rPr>
        <w:t>haciéndole saber al solicitante como podrá consultar, reproducir o adquirir la información, en un plazo no mayor a cinco días hábiles</w:t>
      </w:r>
      <w:r w:rsidRPr="00146EE7">
        <w:rPr>
          <w:rFonts w:ascii="Palatino Linotype" w:hAnsi="Palatino Linotype" w:cs="Arial"/>
        </w:rPr>
        <w:t>, comprendiendo:</w:t>
      </w:r>
    </w:p>
    <w:p w14:paraId="0221FC3F" w14:textId="77777777" w:rsidR="002E227E" w:rsidRPr="00146EE7" w:rsidRDefault="002E227E" w:rsidP="003D71CA">
      <w:pPr>
        <w:numPr>
          <w:ilvl w:val="0"/>
          <w:numId w:val="4"/>
        </w:numPr>
        <w:spacing w:after="160" w:line="360" w:lineRule="auto"/>
        <w:ind w:right="51"/>
        <w:jc w:val="both"/>
        <w:rPr>
          <w:rFonts w:ascii="Palatino Linotype" w:hAnsi="Palatino Linotype" w:cs="Arial"/>
        </w:rPr>
      </w:pPr>
      <w:r w:rsidRPr="00146EE7">
        <w:rPr>
          <w:rFonts w:ascii="Palatino Linotype" w:hAnsi="Palatino Linotype" w:cs="Arial"/>
        </w:rPr>
        <w:t>La fuente</w:t>
      </w:r>
    </w:p>
    <w:p w14:paraId="6CD6BA40" w14:textId="77777777" w:rsidR="002E227E" w:rsidRPr="00146EE7" w:rsidRDefault="002E227E" w:rsidP="003D71CA">
      <w:pPr>
        <w:numPr>
          <w:ilvl w:val="0"/>
          <w:numId w:val="4"/>
        </w:numPr>
        <w:spacing w:after="160" w:line="360" w:lineRule="auto"/>
        <w:ind w:right="51"/>
        <w:jc w:val="both"/>
        <w:rPr>
          <w:rFonts w:ascii="Palatino Linotype" w:hAnsi="Palatino Linotype" w:cs="Arial"/>
        </w:rPr>
      </w:pPr>
      <w:r w:rsidRPr="00146EE7">
        <w:rPr>
          <w:rFonts w:ascii="Palatino Linotype" w:hAnsi="Palatino Linotype" w:cs="Arial"/>
        </w:rPr>
        <w:t>El lugar y</w:t>
      </w:r>
    </w:p>
    <w:p w14:paraId="04B42064" w14:textId="77777777" w:rsidR="002E227E" w:rsidRPr="00146EE7" w:rsidRDefault="002E227E" w:rsidP="003D71CA">
      <w:pPr>
        <w:numPr>
          <w:ilvl w:val="0"/>
          <w:numId w:val="4"/>
        </w:numPr>
        <w:spacing w:after="160" w:line="360" w:lineRule="auto"/>
        <w:ind w:right="51"/>
        <w:jc w:val="both"/>
        <w:rPr>
          <w:rFonts w:ascii="Palatino Linotype" w:hAnsi="Palatino Linotype" w:cs="Arial"/>
        </w:rPr>
      </w:pPr>
      <w:r w:rsidRPr="00146EE7">
        <w:rPr>
          <w:rFonts w:ascii="Palatino Linotype" w:hAnsi="Palatino Linotype" w:cs="Arial"/>
        </w:rPr>
        <w:t xml:space="preserve">La forma </w:t>
      </w:r>
    </w:p>
    <w:p w14:paraId="0D4B5F8B" w14:textId="77777777" w:rsidR="002E227E" w:rsidRPr="00146EE7" w:rsidRDefault="002E227E" w:rsidP="002E227E">
      <w:pPr>
        <w:spacing w:after="160" w:line="360" w:lineRule="auto"/>
        <w:ind w:right="51"/>
        <w:jc w:val="both"/>
        <w:rPr>
          <w:rFonts w:ascii="Palatino Linotype" w:hAnsi="Palatino Linotype" w:cs="Arial"/>
        </w:rPr>
      </w:pPr>
      <w:r w:rsidRPr="00146EE7">
        <w:rPr>
          <w:rFonts w:ascii="Palatino Linotype" w:hAnsi="Palatino Linotype" w:cs="Arial"/>
        </w:rPr>
        <w:t xml:space="preserve">Asimismo, se establece que la fuente de la información </w:t>
      </w:r>
      <w:r w:rsidRPr="00146EE7">
        <w:rPr>
          <w:rFonts w:ascii="Palatino Linotype" w:hAnsi="Palatino Linotype" w:cs="Arial"/>
          <w:b/>
        </w:rPr>
        <w:t>deberá ser</w:t>
      </w:r>
      <w:r w:rsidRPr="00146EE7">
        <w:rPr>
          <w:rFonts w:ascii="Palatino Linotype" w:hAnsi="Palatino Linotype" w:cs="Arial"/>
        </w:rPr>
        <w:t>:</w:t>
      </w:r>
    </w:p>
    <w:p w14:paraId="1F9D085A" w14:textId="77777777" w:rsidR="002E227E" w:rsidRPr="00146EE7" w:rsidRDefault="002E227E" w:rsidP="003D71CA">
      <w:pPr>
        <w:numPr>
          <w:ilvl w:val="0"/>
          <w:numId w:val="5"/>
        </w:numPr>
        <w:spacing w:after="160" w:line="360" w:lineRule="auto"/>
        <w:ind w:right="51"/>
        <w:jc w:val="both"/>
        <w:rPr>
          <w:rFonts w:ascii="Palatino Linotype" w:hAnsi="Palatino Linotype" w:cs="Arial"/>
        </w:rPr>
      </w:pPr>
      <w:r w:rsidRPr="00146EE7">
        <w:rPr>
          <w:rFonts w:ascii="Palatino Linotype" w:hAnsi="Palatino Linotype" w:cs="Arial"/>
        </w:rPr>
        <w:t>Precisa</w:t>
      </w:r>
    </w:p>
    <w:p w14:paraId="665628A7" w14:textId="77777777" w:rsidR="002E227E" w:rsidRPr="00146EE7" w:rsidRDefault="002E227E" w:rsidP="003D71CA">
      <w:pPr>
        <w:numPr>
          <w:ilvl w:val="0"/>
          <w:numId w:val="5"/>
        </w:numPr>
        <w:spacing w:after="160" w:line="360" w:lineRule="auto"/>
        <w:ind w:right="51"/>
        <w:jc w:val="both"/>
        <w:rPr>
          <w:rFonts w:ascii="Palatino Linotype" w:hAnsi="Palatino Linotype" w:cs="Arial"/>
        </w:rPr>
      </w:pPr>
      <w:r w:rsidRPr="00146EE7">
        <w:rPr>
          <w:rFonts w:ascii="Palatino Linotype" w:hAnsi="Palatino Linotype" w:cs="Arial"/>
        </w:rPr>
        <w:t>Concreta</w:t>
      </w:r>
    </w:p>
    <w:p w14:paraId="12628535" w14:textId="77777777" w:rsidR="002E227E" w:rsidRPr="00146EE7" w:rsidRDefault="002E227E" w:rsidP="003D71CA">
      <w:pPr>
        <w:numPr>
          <w:ilvl w:val="0"/>
          <w:numId w:val="5"/>
        </w:numPr>
        <w:spacing w:after="160" w:line="360" w:lineRule="auto"/>
        <w:ind w:right="51"/>
        <w:jc w:val="both"/>
        <w:rPr>
          <w:rFonts w:ascii="Palatino Linotype" w:hAnsi="Palatino Linotype" w:cs="Arial"/>
          <w:u w:val="single"/>
        </w:rPr>
      </w:pPr>
      <w:r w:rsidRPr="00146EE7">
        <w:rPr>
          <w:rFonts w:ascii="Palatino Linotype" w:hAnsi="Palatino Linotype" w:cs="Arial"/>
          <w:u w:val="single"/>
        </w:rPr>
        <w:t>Y NO debe implicar que el solicitante realice una búsqueda en toda la información que se encuentre disponible.</w:t>
      </w:r>
    </w:p>
    <w:p w14:paraId="689D035D" w14:textId="77777777" w:rsidR="002E227E" w:rsidRPr="00146EE7" w:rsidRDefault="002E227E" w:rsidP="002E227E">
      <w:pPr>
        <w:spacing w:line="360" w:lineRule="auto"/>
        <w:ind w:left="720" w:right="51"/>
        <w:jc w:val="both"/>
        <w:rPr>
          <w:rFonts w:ascii="Palatino Linotype" w:hAnsi="Palatino Linotype" w:cs="Arial"/>
          <w:b/>
          <w:sz w:val="18"/>
          <w:u w:val="single"/>
        </w:rPr>
      </w:pPr>
    </w:p>
    <w:p w14:paraId="6A970111" w14:textId="77777777" w:rsidR="002E227E" w:rsidRDefault="002E227E" w:rsidP="002E227E">
      <w:pPr>
        <w:spacing w:line="360" w:lineRule="auto"/>
        <w:ind w:right="51"/>
        <w:jc w:val="both"/>
        <w:rPr>
          <w:rFonts w:ascii="Palatino Linotype" w:eastAsiaTheme="minorHAnsi" w:hAnsi="Palatino Linotype" w:cs="Arial"/>
          <w:lang w:val="es-MX" w:eastAsia="en-US"/>
        </w:rPr>
      </w:pPr>
      <w:r w:rsidRPr="00146EE7">
        <w:rPr>
          <w:rFonts w:ascii="Palatino Linotype" w:eastAsiaTheme="minorHAnsi" w:hAnsi="Palatino Linotype" w:cs="Arial"/>
          <w:lang w:val="es-MX" w:eastAsia="en-US"/>
        </w:rPr>
        <w:t xml:space="preserve">Imperativos legales que establecen el procedimiento que debe seguir </w:t>
      </w:r>
      <w:r w:rsidRPr="00146EE7">
        <w:rPr>
          <w:rFonts w:ascii="Palatino Linotype" w:eastAsiaTheme="minorHAnsi" w:hAnsi="Palatino Linotype" w:cs="Arial"/>
          <w:b/>
          <w:lang w:val="es-MX" w:eastAsia="en-US"/>
        </w:rPr>
        <w:t xml:space="preserve">El Sujeto Obligado </w:t>
      </w:r>
      <w:r w:rsidRPr="00146EE7">
        <w:rPr>
          <w:rFonts w:ascii="Palatino Linotype" w:eastAsiaTheme="minorHAnsi" w:hAnsi="Palatino Linotype" w:cs="Arial"/>
          <w:lang w:val="es-MX" w:eastAsia="en-US"/>
        </w:rPr>
        <w:t xml:space="preserve">para que pueda tomarse como válida su orientación sobre la forma en que puede consultar la información requerida, y que en la especie no acontece, ello porque contrario a lo que establece </w:t>
      </w:r>
      <w:r w:rsidRPr="00146EE7">
        <w:rPr>
          <w:rFonts w:ascii="Palatino Linotype" w:eastAsiaTheme="minorHAnsi" w:hAnsi="Palatino Linotype" w:cs="Arial"/>
          <w:b/>
          <w:lang w:val="es-MX" w:eastAsia="en-US"/>
        </w:rPr>
        <w:t>El Sujeto Obligado</w:t>
      </w:r>
      <w:r w:rsidRPr="00146EE7">
        <w:rPr>
          <w:rFonts w:ascii="Palatino Linotype" w:eastAsiaTheme="minorHAnsi" w:hAnsi="Palatino Linotype" w:cs="Arial"/>
          <w:lang w:val="es-MX" w:eastAsia="en-US"/>
        </w:rPr>
        <w:t xml:space="preserve">, la fuente donde a su decir se encuentra la información, </w:t>
      </w:r>
      <w:r w:rsidRPr="00146EE7">
        <w:rPr>
          <w:rFonts w:ascii="Palatino Linotype" w:eastAsiaTheme="minorHAnsi" w:hAnsi="Palatino Linotype" w:cs="Arial"/>
          <w:b/>
          <w:u w:val="single"/>
          <w:lang w:val="es-MX" w:eastAsia="en-US"/>
        </w:rPr>
        <w:t>no es precisa</w:t>
      </w:r>
      <w:r w:rsidRPr="00146EE7">
        <w:rPr>
          <w:rFonts w:ascii="Palatino Linotype" w:eastAsiaTheme="minorHAnsi" w:hAnsi="Palatino Linotype" w:cs="Arial"/>
          <w:lang w:val="es-MX" w:eastAsia="en-US"/>
        </w:rPr>
        <w:t xml:space="preserve"> por no señalarse el lugar específico donde se encuentra la información solicitada; </w:t>
      </w:r>
      <w:r w:rsidRPr="00146EE7">
        <w:rPr>
          <w:rFonts w:ascii="Palatino Linotype" w:eastAsiaTheme="minorHAnsi" w:hAnsi="Palatino Linotype" w:cs="Arial"/>
          <w:b/>
          <w:u w:val="single"/>
          <w:lang w:val="es-MX" w:eastAsia="en-US"/>
        </w:rPr>
        <w:t>no es concreta</w:t>
      </w:r>
      <w:r w:rsidRPr="00146EE7">
        <w:rPr>
          <w:rFonts w:ascii="Palatino Linotype" w:eastAsiaTheme="minorHAnsi" w:hAnsi="Palatino Linotype" w:cs="Arial"/>
          <w:lang w:val="es-MX" w:eastAsia="en-US"/>
        </w:rPr>
        <w:t xml:space="preserve"> porque su fuente no es sólida, sino por el </w:t>
      </w:r>
      <w:r w:rsidRPr="00146EE7">
        <w:rPr>
          <w:rFonts w:ascii="Palatino Linotype" w:eastAsiaTheme="minorHAnsi" w:hAnsi="Palatino Linotype" w:cs="Arial"/>
          <w:lang w:val="es-MX" w:eastAsia="en-US"/>
        </w:rPr>
        <w:lastRenderedPageBreak/>
        <w:t xml:space="preserve">contrario ésta resulta abstracta y desinforma al crear incertidumbre con el cúmulo de información ahí establecida; y por último, su fuente </w:t>
      </w:r>
      <w:r w:rsidRPr="00146EE7">
        <w:rPr>
          <w:rFonts w:ascii="Palatino Linotype" w:eastAsiaTheme="minorHAnsi" w:hAnsi="Palatino Linotype" w:cs="Arial"/>
          <w:b/>
          <w:lang w:val="es-MX" w:eastAsia="en-US"/>
        </w:rPr>
        <w:t>SÍ implica que el solicitante realice una búsqueda en toda la información que se encuentra disponible</w:t>
      </w:r>
      <w:r w:rsidRPr="00146EE7">
        <w:rPr>
          <w:rFonts w:ascii="Palatino Linotype" w:eastAsiaTheme="minorHAnsi" w:hAnsi="Palatino Linotype" w:cs="Arial"/>
          <w:lang w:val="es-MX" w:eastAsia="en-US"/>
        </w:rPr>
        <w:t>, lo que a todas luces transgrede el numeral citado.</w:t>
      </w:r>
    </w:p>
    <w:p w14:paraId="3E10D3CD" w14:textId="77777777" w:rsidR="002E227E" w:rsidRDefault="002E227E" w:rsidP="002E227E">
      <w:pPr>
        <w:spacing w:line="360" w:lineRule="auto"/>
        <w:ind w:right="51"/>
        <w:jc w:val="both"/>
        <w:rPr>
          <w:rFonts w:ascii="Palatino Linotype" w:eastAsiaTheme="minorHAnsi" w:hAnsi="Palatino Linotype" w:cs="Arial"/>
          <w:lang w:val="es-MX" w:eastAsia="en-US"/>
        </w:rPr>
      </w:pPr>
    </w:p>
    <w:p w14:paraId="269A2528" w14:textId="2B6A6CD7" w:rsidR="002E227E" w:rsidRDefault="002E227E" w:rsidP="002E227E">
      <w:pPr>
        <w:pStyle w:val="Prrafodelista"/>
        <w:autoSpaceDE w:val="0"/>
        <w:autoSpaceDN w:val="0"/>
        <w:adjustRightInd w:val="0"/>
        <w:spacing w:line="360" w:lineRule="auto"/>
        <w:ind w:left="0"/>
        <w:jc w:val="both"/>
        <w:rPr>
          <w:rFonts w:ascii="Palatino Linotype" w:hAnsi="Palatino Linotype" w:cs="Arial"/>
        </w:rPr>
      </w:pPr>
      <w:r w:rsidRPr="00B7320F">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fue de </w:t>
      </w:r>
      <w:r>
        <w:rPr>
          <w:rFonts w:ascii="Palatino Linotype" w:hAnsi="Palatino Linotype" w:cs="Arial"/>
          <w:b/>
          <w:i/>
          <w:color w:val="000000" w:themeColor="text1"/>
        </w:rPr>
        <w:t>ocho</w:t>
      </w:r>
      <w:r w:rsidRPr="00B7320F">
        <w:rPr>
          <w:rFonts w:ascii="Palatino Linotype" w:hAnsi="Palatino Linotype" w:cs="Arial"/>
          <w:b/>
          <w:i/>
          <w:color w:val="000000" w:themeColor="text1"/>
        </w:rPr>
        <w:t xml:space="preserve"> días hábiles</w:t>
      </w:r>
      <w:r w:rsidRPr="00B7320F">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b/>
          <w:i/>
          <w:color w:val="000000" w:themeColor="text1"/>
          <w:u w:val="single"/>
        </w:rPr>
        <w:t>deberá hacerlo saber al solicitante en un plazo no mayor a cinco días hábiles</w:t>
      </w:r>
      <w:r w:rsidRPr="00B7320F">
        <w:rPr>
          <w:rFonts w:ascii="Palatino Linotype" w:hAnsi="Palatino Linotype" w:cs="Arial"/>
          <w:color w:val="000000" w:themeColor="text1"/>
        </w:rPr>
        <w:t xml:space="preserve">; bajo esa premisa,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rPr>
        <w:t xml:space="preserve">vulneró el referido dispositivo de la Ley de Transparencia, toda vez que no se pronunció dentro de los </w:t>
      </w:r>
      <w:r w:rsidRPr="00B7320F">
        <w:rPr>
          <w:rFonts w:ascii="Palatino Linotype" w:hAnsi="Palatino Linotype" w:cs="Arial"/>
          <w:b/>
          <w:u w:val="single"/>
        </w:rPr>
        <w:t>cinco días hábiles posteriores al ingreso de la solicitud</w:t>
      </w:r>
      <w:r w:rsidRPr="00B7320F">
        <w:rPr>
          <w:rFonts w:ascii="Palatino Linotype" w:hAnsi="Palatino Linotype" w:cs="Arial"/>
        </w:rPr>
        <w:t xml:space="preserve">, por lo que se le sugiere al </w:t>
      </w:r>
      <w:r w:rsidRPr="00B7320F">
        <w:rPr>
          <w:rFonts w:ascii="Palatino Linotype" w:hAnsi="Palatino Linotype" w:cs="Arial"/>
          <w:b/>
        </w:rPr>
        <w:t>Sujeto Obligado</w:t>
      </w:r>
      <w:r w:rsidRPr="00B7320F">
        <w:rPr>
          <w:rFonts w:ascii="Palatino Linotype" w:hAnsi="Palatino Linotype" w:cs="Arial"/>
        </w:rPr>
        <w:t xml:space="preserve"> atender las solicitudes de información con la mayor diligencia posible, orientando debidamente al solicitante dentro del plazo legalmente establecido. </w:t>
      </w:r>
    </w:p>
    <w:p w14:paraId="02904687" w14:textId="77777777" w:rsidR="002E227E" w:rsidRDefault="002E227E" w:rsidP="002E227E">
      <w:pPr>
        <w:pStyle w:val="Prrafodelista"/>
        <w:autoSpaceDE w:val="0"/>
        <w:autoSpaceDN w:val="0"/>
        <w:adjustRightInd w:val="0"/>
        <w:spacing w:line="360" w:lineRule="auto"/>
        <w:ind w:left="0"/>
        <w:jc w:val="both"/>
        <w:rPr>
          <w:rFonts w:ascii="Palatino Linotype" w:hAnsi="Palatino Linotype" w:cs="Arial"/>
        </w:rPr>
      </w:pPr>
    </w:p>
    <w:p w14:paraId="73EE5818" w14:textId="4F1F1591" w:rsidR="002E227E" w:rsidRPr="009B0627" w:rsidRDefault="002E227E" w:rsidP="002E227E">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sidR="00FA5CB2" w:rsidRPr="00FA5CB2">
        <w:rPr>
          <w:rFonts w:ascii="Palatino Linotype" w:hAnsi="Palatino Linotype" w:cs="Tahoma"/>
          <w:b/>
          <w:bCs/>
          <w:szCs w:val="22"/>
          <w:lang w:val="es-MX"/>
        </w:rPr>
        <w:t>Dirección de Administración y Tesorería</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19B693A0" w14:textId="77777777" w:rsidR="002E227E" w:rsidRPr="009B0627" w:rsidRDefault="002E227E" w:rsidP="002E227E">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0C4A11C2" w14:textId="77777777" w:rsidR="002E227E" w:rsidRPr="009B0627" w:rsidRDefault="002E227E" w:rsidP="003D71CA">
      <w:pPr>
        <w:numPr>
          <w:ilvl w:val="0"/>
          <w:numId w:val="10"/>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Las Unidades de Transparencia garantizarán que las solicitudes de acceso a la información se turnen a todas las áreas competentes que cuenten con la </w:t>
      </w:r>
      <w:r w:rsidRPr="009B0627">
        <w:rPr>
          <w:rFonts w:ascii="Palatino Linotype" w:hAnsi="Palatino Linotype" w:cs="Tahoma"/>
          <w:bCs/>
          <w:szCs w:val="22"/>
          <w:lang w:val="es-MX"/>
        </w:rPr>
        <w:lastRenderedPageBreak/>
        <w:t>información o deban tenerla -de acuerdo a las facultades, competencias y funciones-, con el objeto de que dichas áreas realicen una búsqueda exhaustiva y razonable de la información requerida, y</w:t>
      </w:r>
    </w:p>
    <w:p w14:paraId="1097EE89" w14:textId="77777777" w:rsidR="002E227E" w:rsidRPr="009B0627" w:rsidRDefault="002E227E" w:rsidP="002E227E">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2FA6B3F2" w14:textId="77777777" w:rsidR="002E227E" w:rsidRPr="009B0627" w:rsidRDefault="002E227E" w:rsidP="003D71CA">
      <w:pPr>
        <w:numPr>
          <w:ilvl w:val="0"/>
          <w:numId w:val="10"/>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9520AE8" w14:textId="77777777" w:rsidR="002E227E" w:rsidRPr="009B0627" w:rsidRDefault="002E227E" w:rsidP="002E227E">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4B791E67" w14:textId="0A2F1D53" w:rsidR="002E227E" w:rsidRDefault="002E227E" w:rsidP="00FA5CB2">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el </w:t>
      </w:r>
      <w:r w:rsidR="00FA5CB2" w:rsidRPr="00FA5CB2">
        <w:rPr>
          <w:rFonts w:ascii="Palatino Linotype" w:hAnsi="Palatino Linotype" w:cs="Tahoma"/>
          <w:b/>
          <w:bCs/>
          <w:szCs w:val="22"/>
          <w:lang w:val="es-MX"/>
        </w:rPr>
        <w:t xml:space="preserve">Reglamento Interno </w:t>
      </w:r>
      <w:r w:rsidR="00FA5CB2">
        <w:rPr>
          <w:rFonts w:ascii="Palatino Linotype" w:hAnsi="Palatino Linotype" w:cs="Tahoma"/>
          <w:b/>
          <w:bCs/>
          <w:szCs w:val="22"/>
          <w:lang w:val="es-MX"/>
        </w:rPr>
        <w:t xml:space="preserve">del </w:t>
      </w:r>
      <w:r w:rsidR="00FA5CB2" w:rsidRPr="00FA5CB2">
        <w:rPr>
          <w:rFonts w:ascii="Palatino Linotype" w:hAnsi="Palatino Linotype" w:cs="Tahoma"/>
          <w:b/>
          <w:bCs/>
          <w:szCs w:val="22"/>
          <w:lang w:val="es-MX"/>
        </w:rPr>
        <w:t>Sistema Municipal para el Desarrollo Integral de la Familia de Toluca</w:t>
      </w:r>
      <w:r>
        <w:rPr>
          <w:rFonts w:ascii="Palatino Linotype" w:hAnsi="Palatino Linotype" w:cs="Tahoma"/>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1894B186" w14:textId="77777777" w:rsidR="00FA5CB2" w:rsidRDefault="00FA5CB2" w:rsidP="00FA5CB2">
      <w:pPr>
        <w:autoSpaceDE w:val="0"/>
        <w:autoSpaceDN w:val="0"/>
        <w:adjustRightInd w:val="0"/>
        <w:spacing w:line="360" w:lineRule="auto"/>
        <w:jc w:val="both"/>
        <w:rPr>
          <w:rFonts w:ascii="Palatino Linotype" w:hAnsi="Palatino Linotype" w:cs="Tahoma"/>
          <w:bCs/>
          <w:szCs w:val="22"/>
          <w:lang w:val="es-MX"/>
        </w:rPr>
      </w:pPr>
    </w:p>
    <w:p w14:paraId="7A953D78" w14:textId="750EAA4F" w:rsidR="00FA5CB2" w:rsidRPr="00691D96" w:rsidRDefault="00FA5CB2" w:rsidP="00691D96">
      <w:pPr>
        <w:autoSpaceDE w:val="0"/>
        <w:autoSpaceDN w:val="0"/>
        <w:adjustRightInd w:val="0"/>
        <w:spacing w:after="240"/>
        <w:ind w:left="567" w:right="616"/>
        <w:jc w:val="both"/>
        <w:rPr>
          <w:rFonts w:ascii="Palatino Linotype" w:hAnsi="Palatino Linotype"/>
          <w:i/>
          <w:iCs/>
          <w:sz w:val="22"/>
          <w:szCs w:val="22"/>
        </w:rPr>
      </w:pPr>
      <w:r w:rsidRPr="00691D96">
        <w:rPr>
          <w:rFonts w:ascii="Palatino Linotype" w:hAnsi="Palatino Linotype"/>
          <w:b/>
          <w:bCs/>
          <w:i/>
          <w:iCs/>
          <w:sz w:val="22"/>
          <w:szCs w:val="22"/>
        </w:rPr>
        <w:t>Artículo 20.-</w:t>
      </w:r>
      <w:r w:rsidRPr="00691D96">
        <w:rPr>
          <w:rFonts w:ascii="Palatino Linotype" w:hAnsi="Palatino Linotype"/>
          <w:i/>
          <w:iCs/>
          <w:sz w:val="22"/>
          <w:szCs w:val="22"/>
        </w:rPr>
        <w:t xml:space="preserve"> Corresponde a la Dirección de Administración y Tesorería, quien tendrá además de las señaladas en el artículo 16 de la Ley, las siguientes atribuciones:</w:t>
      </w:r>
    </w:p>
    <w:p w14:paraId="29C67DEA" w14:textId="77777777" w:rsidR="00691D96" w:rsidRPr="00691D96" w:rsidRDefault="00691D96" w:rsidP="00691D96">
      <w:pPr>
        <w:autoSpaceDE w:val="0"/>
        <w:autoSpaceDN w:val="0"/>
        <w:adjustRightInd w:val="0"/>
        <w:spacing w:after="240"/>
        <w:ind w:left="567" w:right="616"/>
        <w:jc w:val="both"/>
        <w:rPr>
          <w:rFonts w:ascii="Palatino Linotype" w:hAnsi="Palatino Linotype"/>
          <w:i/>
          <w:iCs/>
          <w:sz w:val="22"/>
          <w:szCs w:val="22"/>
        </w:rPr>
      </w:pPr>
      <w:r w:rsidRPr="00691D96">
        <w:rPr>
          <w:rFonts w:ascii="Palatino Linotype" w:hAnsi="Palatino Linotype"/>
          <w:b/>
          <w:bCs/>
          <w:i/>
          <w:iCs/>
          <w:sz w:val="22"/>
          <w:szCs w:val="22"/>
        </w:rPr>
        <w:t>I.</w:t>
      </w:r>
      <w:r w:rsidRPr="00691D96">
        <w:rPr>
          <w:rFonts w:ascii="Palatino Linotype" w:hAnsi="Palatino Linotype"/>
          <w:i/>
          <w:iCs/>
          <w:sz w:val="22"/>
          <w:szCs w:val="22"/>
        </w:rPr>
        <w:t xml:space="preserve"> Elaborar el presupuesto anual del SMDIFTOL bajo la coordinación de sus diferentes Unidades Administrativas; </w:t>
      </w:r>
    </w:p>
    <w:p w14:paraId="7B3C2C7D" w14:textId="77777777" w:rsidR="00691D96" w:rsidRPr="00691D96" w:rsidRDefault="00691D96" w:rsidP="00691D96">
      <w:pPr>
        <w:autoSpaceDE w:val="0"/>
        <w:autoSpaceDN w:val="0"/>
        <w:adjustRightInd w:val="0"/>
        <w:spacing w:after="240"/>
        <w:ind w:left="567" w:right="616"/>
        <w:jc w:val="both"/>
        <w:rPr>
          <w:rFonts w:ascii="Palatino Linotype" w:hAnsi="Palatino Linotype"/>
          <w:i/>
          <w:iCs/>
          <w:sz w:val="22"/>
          <w:szCs w:val="22"/>
        </w:rPr>
      </w:pPr>
      <w:r w:rsidRPr="00691D96">
        <w:rPr>
          <w:rFonts w:ascii="Palatino Linotype" w:hAnsi="Palatino Linotype"/>
          <w:b/>
          <w:bCs/>
          <w:i/>
          <w:iCs/>
          <w:sz w:val="22"/>
          <w:szCs w:val="22"/>
        </w:rPr>
        <w:t>II.</w:t>
      </w:r>
      <w:r w:rsidRPr="00691D96">
        <w:rPr>
          <w:rFonts w:ascii="Palatino Linotype" w:hAnsi="Palatino Linotype"/>
          <w:i/>
          <w:iCs/>
          <w:sz w:val="22"/>
          <w:szCs w:val="22"/>
        </w:rPr>
        <w:t xml:space="preserve"> Supervisar y controlar la integración del presupuesto general optimizando los recursos financieros; </w:t>
      </w:r>
    </w:p>
    <w:p w14:paraId="2DE896A1" w14:textId="77777777" w:rsidR="00691D96" w:rsidRPr="00691D96" w:rsidRDefault="00691D96" w:rsidP="00691D96">
      <w:pPr>
        <w:autoSpaceDE w:val="0"/>
        <w:autoSpaceDN w:val="0"/>
        <w:adjustRightInd w:val="0"/>
        <w:spacing w:after="240"/>
        <w:ind w:left="567" w:right="616"/>
        <w:jc w:val="both"/>
        <w:rPr>
          <w:rFonts w:ascii="Palatino Linotype" w:hAnsi="Palatino Linotype"/>
          <w:i/>
          <w:iCs/>
          <w:sz w:val="22"/>
          <w:szCs w:val="22"/>
        </w:rPr>
      </w:pPr>
      <w:r w:rsidRPr="00691D96">
        <w:rPr>
          <w:rFonts w:ascii="Palatino Linotype" w:hAnsi="Palatino Linotype"/>
          <w:b/>
          <w:bCs/>
          <w:i/>
          <w:iCs/>
          <w:sz w:val="22"/>
          <w:szCs w:val="22"/>
        </w:rPr>
        <w:t xml:space="preserve">III. </w:t>
      </w:r>
      <w:r w:rsidRPr="00691D96">
        <w:rPr>
          <w:rFonts w:ascii="Palatino Linotype" w:hAnsi="Palatino Linotype"/>
          <w:i/>
          <w:iCs/>
          <w:sz w:val="22"/>
          <w:szCs w:val="22"/>
          <w:u w:val="single"/>
        </w:rPr>
        <w:t>Administrar de manera eficiente los recursos del SMDIFTOL</w:t>
      </w:r>
      <w:r w:rsidRPr="00691D96">
        <w:rPr>
          <w:rFonts w:ascii="Palatino Linotype" w:hAnsi="Palatino Linotype"/>
          <w:i/>
          <w:iCs/>
          <w:sz w:val="22"/>
          <w:szCs w:val="22"/>
        </w:rPr>
        <w:t xml:space="preserve">; </w:t>
      </w:r>
    </w:p>
    <w:p w14:paraId="1E50FF19" w14:textId="77777777" w:rsidR="00691D96" w:rsidRPr="00691D96" w:rsidRDefault="00691D96" w:rsidP="00691D96">
      <w:pPr>
        <w:autoSpaceDE w:val="0"/>
        <w:autoSpaceDN w:val="0"/>
        <w:adjustRightInd w:val="0"/>
        <w:spacing w:after="240"/>
        <w:ind w:left="567" w:right="616"/>
        <w:jc w:val="both"/>
        <w:rPr>
          <w:rFonts w:ascii="Palatino Linotype" w:hAnsi="Palatino Linotype"/>
          <w:i/>
          <w:iCs/>
          <w:sz w:val="22"/>
          <w:szCs w:val="22"/>
        </w:rPr>
      </w:pPr>
      <w:r w:rsidRPr="00691D96">
        <w:rPr>
          <w:rFonts w:ascii="Palatino Linotype" w:hAnsi="Palatino Linotype"/>
          <w:b/>
          <w:bCs/>
          <w:i/>
          <w:iCs/>
          <w:sz w:val="22"/>
          <w:szCs w:val="22"/>
        </w:rPr>
        <w:t>IV.</w:t>
      </w:r>
      <w:r w:rsidRPr="00691D96">
        <w:rPr>
          <w:rFonts w:ascii="Palatino Linotype" w:hAnsi="Palatino Linotype"/>
          <w:i/>
          <w:iCs/>
          <w:sz w:val="22"/>
          <w:szCs w:val="22"/>
        </w:rPr>
        <w:t xml:space="preserve"> </w:t>
      </w:r>
      <w:r w:rsidRPr="00691D96">
        <w:rPr>
          <w:rFonts w:ascii="Palatino Linotype" w:hAnsi="Palatino Linotype"/>
          <w:i/>
          <w:iCs/>
          <w:sz w:val="22"/>
          <w:szCs w:val="22"/>
          <w:u w:val="single"/>
        </w:rPr>
        <w:t>Coordinar el ejercicio del presupuesto asignado al SMDIFTOL, cuidando que su aplicación se realice con base en los principios de racionalidad, austeridad y disciplina financiera</w:t>
      </w:r>
      <w:r w:rsidRPr="00691D96">
        <w:rPr>
          <w:rFonts w:ascii="Palatino Linotype" w:hAnsi="Palatino Linotype"/>
          <w:i/>
          <w:iCs/>
          <w:sz w:val="22"/>
          <w:szCs w:val="22"/>
        </w:rPr>
        <w:t xml:space="preserve">; </w:t>
      </w:r>
    </w:p>
    <w:p w14:paraId="3D332255" w14:textId="4EE7666B" w:rsidR="00691D96" w:rsidRPr="00691D96" w:rsidRDefault="00691D96" w:rsidP="00691D96">
      <w:pPr>
        <w:autoSpaceDE w:val="0"/>
        <w:autoSpaceDN w:val="0"/>
        <w:adjustRightInd w:val="0"/>
        <w:ind w:left="567" w:right="616"/>
        <w:jc w:val="both"/>
        <w:rPr>
          <w:rFonts w:ascii="Palatino Linotype" w:hAnsi="Palatino Linotype"/>
          <w:i/>
          <w:iCs/>
          <w:sz w:val="22"/>
          <w:szCs w:val="22"/>
        </w:rPr>
      </w:pPr>
      <w:r w:rsidRPr="00691D96">
        <w:rPr>
          <w:rFonts w:ascii="Palatino Linotype" w:hAnsi="Palatino Linotype"/>
          <w:b/>
          <w:bCs/>
          <w:i/>
          <w:iCs/>
          <w:sz w:val="22"/>
          <w:szCs w:val="22"/>
        </w:rPr>
        <w:t>V.</w:t>
      </w:r>
      <w:r w:rsidRPr="00691D96">
        <w:rPr>
          <w:rFonts w:ascii="Palatino Linotype" w:hAnsi="Palatino Linotype"/>
          <w:i/>
          <w:iCs/>
          <w:sz w:val="22"/>
          <w:szCs w:val="22"/>
        </w:rPr>
        <w:t xml:space="preserve"> </w:t>
      </w:r>
      <w:r w:rsidRPr="00691D96">
        <w:rPr>
          <w:rFonts w:ascii="Palatino Linotype" w:hAnsi="Palatino Linotype"/>
          <w:i/>
          <w:iCs/>
          <w:sz w:val="22"/>
          <w:szCs w:val="22"/>
          <w:u w:val="single"/>
        </w:rPr>
        <w:t>Validar las pólizas-cheque generadas por el Departamento de Finanzas para efectuar los pagos</w:t>
      </w:r>
      <w:r w:rsidRPr="00691D96">
        <w:rPr>
          <w:rFonts w:ascii="Palatino Linotype" w:hAnsi="Palatino Linotype"/>
          <w:i/>
          <w:iCs/>
          <w:sz w:val="22"/>
          <w:szCs w:val="22"/>
        </w:rPr>
        <w:t xml:space="preserve"> a proveedores de bienes y servicios otorgados al SMDIFTOL, </w:t>
      </w:r>
      <w:r w:rsidRPr="00691D96">
        <w:rPr>
          <w:rFonts w:ascii="Palatino Linotype" w:hAnsi="Palatino Linotype"/>
          <w:i/>
          <w:iCs/>
          <w:sz w:val="22"/>
          <w:szCs w:val="22"/>
          <w:u w:val="single"/>
        </w:rPr>
        <w:t xml:space="preserve">los correspondientes al </w:t>
      </w:r>
      <w:r w:rsidRPr="00691D96">
        <w:rPr>
          <w:rFonts w:ascii="Palatino Linotype" w:hAnsi="Palatino Linotype"/>
          <w:i/>
          <w:iCs/>
          <w:sz w:val="22"/>
          <w:szCs w:val="22"/>
          <w:u w:val="single"/>
        </w:rPr>
        <w:lastRenderedPageBreak/>
        <w:t>pago de nómina y de obligaciones fiscales, laborales</w:t>
      </w:r>
      <w:r w:rsidRPr="00691D96">
        <w:rPr>
          <w:rFonts w:ascii="Palatino Linotype" w:hAnsi="Palatino Linotype"/>
          <w:i/>
          <w:iCs/>
          <w:sz w:val="22"/>
          <w:szCs w:val="22"/>
        </w:rPr>
        <w:t>, de seguridad social sindical y administrativas, así como verificar que las mismas cumplan con las políticas y normas aplicables;</w:t>
      </w:r>
    </w:p>
    <w:p w14:paraId="1136634B" w14:textId="12BE2802" w:rsidR="00FA5CB2" w:rsidRPr="00691D96" w:rsidRDefault="00FA5CB2" w:rsidP="00691D96">
      <w:pPr>
        <w:autoSpaceDE w:val="0"/>
        <w:autoSpaceDN w:val="0"/>
        <w:adjustRightInd w:val="0"/>
        <w:ind w:left="567" w:right="616"/>
        <w:jc w:val="both"/>
        <w:rPr>
          <w:rFonts w:ascii="Palatino Linotype" w:hAnsi="Palatino Linotype"/>
          <w:i/>
          <w:iCs/>
          <w:sz w:val="22"/>
          <w:szCs w:val="22"/>
        </w:rPr>
      </w:pPr>
      <w:r w:rsidRPr="00691D96">
        <w:rPr>
          <w:rFonts w:ascii="Palatino Linotype" w:hAnsi="Palatino Linotype"/>
          <w:i/>
          <w:iCs/>
          <w:sz w:val="22"/>
          <w:szCs w:val="22"/>
        </w:rPr>
        <w:t>(…)</w:t>
      </w:r>
    </w:p>
    <w:p w14:paraId="4FBCE366" w14:textId="4B11B299" w:rsidR="00FA5CB2" w:rsidRPr="00691D96" w:rsidRDefault="00691D96" w:rsidP="00691D96">
      <w:pPr>
        <w:autoSpaceDE w:val="0"/>
        <w:autoSpaceDN w:val="0"/>
        <w:adjustRightInd w:val="0"/>
        <w:ind w:left="567" w:right="616"/>
        <w:jc w:val="both"/>
        <w:rPr>
          <w:rFonts w:ascii="Palatino Linotype" w:hAnsi="Palatino Linotype"/>
          <w:i/>
          <w:iCs/>
          <w:sz w:val="22"/>
          <w:szCs w:val="22"/>
        </w:rPr>
      </w:pPr>
      <w:r w:rsidRPr="00691D96">
        <w:rPr>
          <w:rFonts w:ascii="Palatino Linotype" w:hAnsi="Palatino Linotype"/>
          <w:b/>
          <w:bCs/>
          <w:i/>
          <w:iCs/>
          <w:sz w:val="22"/>
          <w:szCs w:val="22"/>
        </w:rPr>
        <w:t>X.</w:t>
      </w:r>
      <w:r w:rsidRPr="00691D96">
        <w:rPr>
          <w:rFonts w:ascii="Palatino Linotype" w:hAnsi="Palatino Linotype"/>
          <w:i/>
          <w:iCs/>
          <w:sz w:val="22"/>
          <w:szCs w:val="22"/>
        </w:rPr>
        <w:t xml:space="preserve"> </w:t>
      </w:r>
      <w:r w:rsidRPr="00691D96">
        <w:rPr>
          <w:rFonts w:ascii="Palatino Linotype" w:hAnsi="Palatino Linotype"/>
          <w:i/>
          <w:iCs/>
          <w:sz w:val="22"/>
          <w:szCs w:val="22"/>
          <w:u w:val="single"/>
        </w:rPr>
        <w:t>Proveer a las Unidades Administrativas de los recursos humanos</w:t>
      </w:r>
      <w:r w:rsidRPr="00691D96">
        <w:rPr>
          <w:rFonts w:ascii="Palatino Linotype" w:hAnsi="Palatino Linotype"/>
          <w:i/>
          <w:iCs/>
          <w:sz w:val="22"/>
          <w:szCs w:val="22"/>
        </w:rPr>
        <w:t xml:space="preserve"> y materiales necesarios para su buen funcionamiento, así como de servicios de mantenimiento de inmuebles, parque vehicular y apoyo para la realización de eventos cuando así sea requerido;</w:t>
      </w:r>
    </w:p>
    <w:p w14:paraId="18D8A630" w14:textId="0E6C4A82" w:rsidR="002E227E" w:rsidRPr="00691D96" w:rsidRDefault="00691D96" w:rsidP="00691D96">
      <w:pPr>
        <w:autoSpaceDE w:val="0"/>
        <w:autoSpaceDN w:val="0"/>
        <w:adjustRightInd w:val="0"/>
        <w:spacing w:after="240"/>
        <w:ind w:left="567" w:right="616"/>
        <w:jc w:val="both"/>
        <w:rPr>
          <w:rFonts w:ascii="Palatino Linotype" w:hAnsi="Palatino Linotype" w:cs="Tahoma"/>
          <w:i/>
          <w:iCs/>
          <w:sz w:val="22"/>
          <w:szCs w:val="20"/>
          <w:lang w:val="es-MX"/>
        </w:rPr>
      </w:pPr>
      <w:r w:rsidRPr="00691D96">
        <w:rPr>
          <w:rFonts w:ascii="Palatino Linotype" w:hAnsi="Palatino Linotype"/>
          <w:i/>
          <w:iCs/>
          <w:sz w:val="22"/>
          <w:szCs w:val="22"/>
        </w:rPr>
        <w:t>(…)</w:t>
      </w:r>
    </w:p>
    <w:p w14:paraId="207B48D4" w14:textId="53F31C6F" w:rsidR="00691D96" w:rsidRDefault="002E227E" w:rsidP="002E227E">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szCs w:val="22"/>
          <w:lang w:val="es-MX"/>
        </w:rPr>
        <w:t xml:space="preserve">la solicitud 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2244BC53" w14:textId="77777777" w:rsidR="00023A5D" w:rsidRDefault="00023A5D" w:rsidP="002E227E">
      <w:pPr>
        <w:spacing w:line="360" w:lineRule="auto"/>
        <w:jc w:val="both"/>
        <w:rPr>
          <w:rFonts w:ascii="Palatino Linotype" w:eastAsia="Calibri" w:hAnsi="Palatino Linotype"/>
          <w:lang w:val="es-ES_tradnl"/>
        </w:rPr>
      </w:pPr>
    </w:p>
    <w:p w14:paraId="3B9B00B7" w14:textId="5D7AC4BD" w:rsidR="0073117F" w:rsidRPr="0073117F" w:rsidRDefault="00023A5D" w:rsidP="0073117F">
      <w:pPr>
        <w:spacing w:line="360" w:lineRule="auto"/>
        <w:jc w:val="both"/>
        <w:rPr>
          <w:rFonts w:ascii="Palatino Linotype" w:eastAsiaTheme="minorHAnsi" w:hAnsi="Palatino Linotype" w:cstheme="minorBidi"/>
          <w:bCs/>
          <w:szCs w:val="22"/>
          <w:lang w:val="es-MX" w:eastAsia="es-MX"/>
        </w:rPr>
      </w:pPr>
      <w:r>
        <w:rPr>
          <w:rFonts w:ascii="Palatino Linotype" w:eastAsia="Calibri" w:hAnsi="Palatino Linotype"/>
          <w:lang w:val="es-ES_tradnl"/>
        </w:rPr>
        <w:t xml:space="preserve">Ahora bien, </w:t>
      </w:r>
      <w:r w:rsidR="0073117F">
        <w:rPr>
          <w:rFonts w:ascii="Palatino Linotype" w:eastAsia="Calibri" w:hAnsi="Palatino Linotype"/>
          <w:lang w:val="es-ES_tradnl"/>
        </w:rPr>
        <w:t>respecto de la información solicitada, se advierte que, el particular pretende acceder a los documentos en donde conste el nombre de</w:t>
      </w:r>
      <w:r w:rsidR="0073117F">
        <w:rPr>
          <w:rFonts w:ascii="Palatino Linotype" w:eastAsiaTheme="minorHAnsi" w:hAnsi="Palatino Linotype" w:cstheme="minorBidi"/>
          <w:bCs/>
          <w:szCs w:val="22"/>
          <w:lang w:val="es-MX" w:eastAsia="es-MX"/>
        </w:rPr>
        <w:t xml:space="preserve"> </w:t>
      </w:r>
      <w:r w:rsidRPr="0073117F">
        <w:rPr>
          <w:rFonts w:ascii="Palatino Linotype" w:eastAsiaTheme="minorHAnsi" w:hAnsi="Palatino Linotype" w:cstheme="minorBidi"/>
          <w:bCs/>
          <w:szCs w:val="22"/>
          <w:lang w:val="es-MX" w:eastAsia="es-MX"/>
        </w:rPr>
        <w:t xml:space="preserve">los servidores públicos que </w:t>
      </w:r>
      <w:r w:rsidRPr="0073117F">
        <w:rPr>
          <w:rFonts w:ascii="Palatino Linotype" w:eastAsiaTheme="minorHAnsi" w:hAnsi="Palatino Linotype" w:cstheme="minorBidi"/>
          <w:bCs/>
          <w:i/>
          <w:iCs/>
          <w:szCs w:val="22"/>
          <w:lang w:val="es-MX" w:eastAsia="es-MX"/>
        </w:rPr>
        <w:t>"renunciaron"</w:t>
      </w:r>
      <w:r w:rsidRPr="0073117F">
        <w:rPr>
          <w:rFonts w:ascii="Palatino Linotype" w:eastAsiaTheme="minorHAnsi" w:hAnsi="Palatino Linotype" w:cstheme="minorBidi"/>
          <w:bCs/>
          <w:szCs w:val="22"/>
          <w:lang w:val="es-MX" w:eastAsia="es-MX"/>
        </w:rPr>
        <w:t xml:space="preserve"> durante el 2024</w:t>
      </w:r>
      <w:r w:rsidR="0073117F">
        <w:rPr>
          <w:rFonts w:ascii="Palatino Linotype" w:eastAsiaTheme="minorHAnsi" w:hAnsi="Palatino Linotype" w:cstheme="minorBidi"/>
          <w:bCs/>
          <w:szCs w:val="22"/>
          <w:lang w:val="es-MX" w:eastAsia="es-MX"/>
        </w:rPr>
        <w:t>; en contexto, l</w:t>
      </w:r>
      <w:r w:rsidR="0073117F" w:rsidRPr="0073117F">
        <w:rPr>
          <w:rFonts w:ascii="Palatino Linotype" w:eastAsia="Palatino Linotype" w:hAnsi="Palatino Linotype" w:cs="Palatino Linotype"/>
          <w:color w:val="000000"/>
          <w:lang w:val="es-MX" w:eastAsia="es-MX"/>
        </w:rPr>
        <w:t xml:space="preserve">a </w:t>
      </w:r>
      <w:r w:rsidR="0073117F" w:rsidRPr="0073117F">
        <w:rPr>
          <w:rFonts w:ascii="Palatino Linotype" w:eastAsia="Palatino Linotype" w:hAnsi="Palatino Linotype" w:cs="Palatino Linotype"/>
          <w:b/>
          <w:bCs/>
          <w:color w:val="000000"/>
          <w:lang w:val="es-MX" w:eastAsia="es-MX"/>
        </w:rPr>
        <w:t xml:space="preserve">renuncia </w:t>
      </w:r>
      <w:r w:rsidR="0073117F" w:rsidRPr="0073117F">
        <w:rPr>
          <w:rFonts w:ascii="Palatino Linotype" w:eastAsia="Palatino Linotype" w:hAnsi="Palatino Linotype" w:cs="Palatino Linotype"/>
          <w:color w:val="000000"/>
          <w:lang w:val="es-MX" w:eastAsia="es-MX"/>
        </w:rPr>
        <w:t xml:space="preserve">es una decisión voluntaria de un trabajador, en este caso, de un servidor público, por la naturaleza de la relación, de terminar su vínculo laboral con su empleador. </w:t>
      </w:r>
    </w:p>
    <w:p w14:paraId="44773EC0" w14:textId="77777777"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lang w:val="es-MX" w:eastAsia="es-MX"/>
        </w:rPr>
      </w:pPr>
    </w:p>
    <w:p w14:paraId="2DAF3686" w14:textId="5A3ED9F7"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u w:val="single"/>
          <w:lang w:val="es-MX" w:eastAsia="es-MX"/>
        </w:rPr>
      </w:pPr>
      <w:r w:rsidRPr="0073117F">
        <w:rPr>
          <w:rFonts w:ascii="Palatino Linotype" w:eastAsia="Palatino Linotype" w:hAnsi="Palatino Linotype" w:cs="Palatino Linotype"/>
          <w:color w:val="000000"/>
          <w:lang w:val="es-MX" w:eastAsia="es-MX"/>
        </w:rPr>
        <w:lastRenderedPageBreak/>
        <w:t>La Ley del Trabajo de los Servidores Públicos del Estado de México y Municipios, no contempla una formalidad para que un trabajador, pueda expresar su interés de separarse de su empleo, cargo o comisión, sin embargo, toda vez que una renuncia actualiza una causa de terminación de la relación laboral sin responsabilidad para las Instituciones Públicas en términos del artículo 89</w:t>
      </w:r>
      <w:r>
        <w:rPr>
          <w:rFonts w:ascii="Palatino Linotype" w:eastAsia="Palatino Linotype" w:hAnsi="Palatino Linotype" w:cs="Palatino Linotype"/>
          <w:color w:val="000000"/>
          <w:lang w:val="es-MX" w:eastAsia="es-MX"/>
        </w:rPr>
        <w:t>,</w:t>
      </w:r>
      <w:r w:rsidRPr="0073117F">
        <w:rPr>
          <w:rFonts w:ascii="Palatino Linotype" w:eastAsia="Palatino Linotype" w:hAnsi="Palatino Linotype" w:cs="Palatino Linotype"/>
          <w:color w:val="000000"/>
          <w:lang w:val="es-MX" w:eastAsia="es-MX"/>
        </w:rPr>
        <w:t xml:space="preserve"> fracción I</w:t>
      </w:r>
      <w:r>
        <w:rPr>
          <w:rFonts w:ascii="Palatino Linotype" w:eastAsia="Palatino Linotype" w:hAnsi="Palatino Linotype" w:cs="Palatino Linotype"/>
          <w:color w:val="000000"/>
          <w:lang w:val="es-MX" w:eastAsia="es-MX"/>
        </w:rPr>
        <w:t>,</w:t>
      </w:r>
      <w:r w:rsidRPr="0073117F">
        <w:rPr>
          <w:rFonts w:ascii="Palatino Linotype" w:eastAsia="Palatino Linotype" w:hAnsi="Palatino Linotype" w:cs="Palatino Linotype"/>
          <w:color w:val="000000"/>
          <w:lang w:val="es-MX" w:eastAsia="es-MX"/>
        </w:rPr>
        <w:t xml:space="preserve"> de la Ley del Trabajo de los Servidores Públicos vigente en el Estado de México, </w:t>
      </w:r>
      <w:r w:rsidRPr="0073117F">
        <w:rPr>
          <w:rFonts w:ascii="Palatino Linotype" w:eastAsia="Palatino Linotype" w:hAnsi="Palatino Linotype" w:cs="Palatino Linotype"/>
          <w:color w:val="000000"/>
          <w:u w:val="single"/>
          <w:lang w:val="es-MX" w:eastAsia="es-MX"/>
        </w:rPr>
        <w:t>esto implica que de existir algún litigió la carga probatoria recaiga sobre quien funge en calidad de empleador, por lo cual, esto les constriñe a contar con evidencia documental que permita acreditar que la voluntad del Servidor Público, fue separase voluntariamente de su trabajo.</w:t>
      </w:r>
    </w:p>
    <w:p w14:paraId="35CB864D" w14:textId="77777777"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lang w:val="es-MX" w:eastAsia="es-MX"/>
        </w:rPr>
      </w:pPr>
    </w:p>
    <w:p w14:paraId="5BEC06B9" w14:textId="4591D704"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lang w:val="es-MX" w:eastAsia="es-MX"/>
        </w:rPr>
      </w:pPr>
      <w:r w:rsidRPr="0073117F">
        <w:rPr>
          <w:rFonts w:ascii="Palatino Linotype" w:eastAsia="Palatino Linotype" w:hAnsi="Palatino Linotype" w:cs="Palatino Linotype"/>
          <w:color w:val="000000"/>
          <w:lang w:val="es-MX" w:eastAsia="es-MX"/>
        </w:rPr>
        <w:t xml:space="preserve">En este contexto, en el caso de que existan renuncias, dicho documento debe obrar en los archivos del </w:t>
      </w:r>
      <w:r w:rsidRPr="0073117F">
        <w:rPr>
          <w:rFonts w:ascii="Palatino Linotype" w:eastAsia="Palatino Linotype" w:hAnsi="Palatino Linotype" w:cs="Palatino Linotype"/>
          <w:b/>
          <w:bCs/>
          <w:color w:val="000000"/>
          <w:lang w:val="es-MX" w:eastAsia="es-MX"/>
        </w:rPr>
        <w:t>Sujeto Obligado</w:t>
      </w:r>
      <w:r w:rsidRPr="0073117F">
        <w:rPr>
          <w:rFonts w:ascii="Palatino Linotype" w:eastAsia="Palatino Linotype" w:hAnsi="Palatino Linotype" w:cs="Palatino Linotype"/>
          <w:color w:val="000000"/>
          <w:lang w:val="es-MX" w:eastAsia="es-MX"/>
        </w:rPr>
        <w:t xml:space="preserve">, pues es el documento idóneo para probar la separación voluntaria del empleo, sin embargo, toda vez que la </w:t>
      </w:r>
      <w:r w:rsidRPr="0073117F">
        <w:rPr>
          <w:rFonts w:ascii="Palatino Linotype" w:eastAsia="Palatino Linotype" w:hAnsi="Palatino Linotype" w:cs="Palatino Linotype"/>
          <w:b/>
          <w:bCs/>
          <w:color w:val="000000"/>
          <w:lang w:val="es-MX" w:eastAsia="es-MX"/>
        </w:rPr>
        <w:t>renuncia</w:t>
      </w:r>
      <w:r w:rsidRPr="0073117F">
        <w:rPr>
          <w:rFonts w:ascii="Palatino Linotype" w:eastAsia="Palatino Linotype" w:hAnsi="Palatino Linotype" w:cs="Palatino Linotype"/>
          <w:color w:val="000000"/>
          <w:lang w:val="es-MX" w:eastAsia="es-MX"/>
        </w:rPr>
        <w:t xml:space="preserve">, es una cuestión </w:t>
      </w:r>
      <w:r w:rsidRPr="0073117F">
        <w:rPr>
          <w:rFonts w:ascii="Palatino Linotype" w:eastAsia="Palatino Linotype" w:hAnsi="Palatino Linotype" w:cs="Palatino Linotype"/>
          <w:i/>
          <w:iCs/>
          <w:color w:val="000000"/>
          <w:lang w:val="es-MX" w:eastAsia="es-MX"/>
        </w:rPr>
        <w:t>de facto</w:t>
      </w:r>
      <w:r w:rsidRPr="0073117F">
        <w:rPr>
          <w:rFonts w:ascii="Palatino Linotype" w:eastAsia="Palatino Linotype" w:hAnsi="Palatino Linotype" w:cs="Palatino Linotype"/>
          <w:color w:val="000000"/>
          <w:lang w:val="es-MX" w:eastAsia="es-MX"/>
        </w:rPr>
        <w:t xml:space="preserve">, en el caso de que no haya habido renuncias en el plazo solicitado por el </w:t>
      </w:r>
      <w:r>
        <w:rPr>
          <w:rFonts w:ascii="Palatino Linotype" w:eastAsia="Palatino Linotype" w:hAnsi="Palatino Linotype" w:cs="Palatino Linotype"/>
          <w:color w:val="000000"/>
          <w:lang w:val="es-MX" w:eastAsia="es-MX"/>
        </w:rPr>
        <w:t>P</w:t>
      </w:r>
      <w:r w:rsidRPr="0073117F">
        <w:rPr>
          <w:rFonts w:ascii="Palatino Linotype" w:eastAsia="Palatino Linotype" w:hAnsi="Palatino Linotype" w:cs="Palatino Linotype"/>
          <w:color w:val="000000"/>
          <w:lang w:val="es-MX" w:eastAsia="es-MX"/>
        </w:rPr>
        <w:t>articular, bastará con que se precise en dichos términos.</w:t>
      </w:r>
    </w:p>
    <w:p w14:paraId="08CABD61" w14:textId="77777777"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lang w:val="es-MX" w:eastAsia="es-MX"/>
        </w:rPr>
      </w:pPr>
    </w:p>
    <w:p w14:paraId="64CFE15E" w14:textId="77777777"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lang w:val="es-MX" w:eastAsia="es-MX"/>
        </w:rPr>
      </w:pPr>
      <w:r w:rsidRPr="0073117F">
        <w:rPr>
          <w:rFonts w:ascii="Palatino Linotype" w:eastAsia="Palatino Linotype" w:hAnsi="Palatino Linotype" w:cs="Palatino Linotype"/>
          <w:color w:val="000000"/>
          <w:lang w:val="es-MX" w:eastAsia="es-MX"/>
        </w:rPr>
        <w:t>Ahora bien, no se deja de señalar que las renuncias, contienen en múltiples ocasiones, la expresión de voluntad que los llevó a tomar la decisión de renunciar, lo que implica un dato personal, al estar únicamente vinculado al ejercicio de un derecho personal y cuya divulgación implicaría la publicidad de información que únicamente compete a los intereses del Particular.</w:t>
      </w:r>
    </w:p>
    <w:p w14:paraId="1605B6A8" w14:textId="77777777" w:rsidR="0073117F" w:rsidRPr="0073117F" w:rsidRDefault="0073117F" w:rsidP="0073117F">
      <w:pPr>
        <w:tabs>
          <w:tab w:val="left" w:pos="4962"/>
        </w:tabs>
        <w:spacing w:line="360" w:lineRule="auto"/>
        <w:jc w:val="both"/>
        <w:rPr>
          <w:rFonts w:ascii="Palatino Linotype" w:eastAsia="Palatino Linotype" w:hAnsi="Palatino Linotype" w:cs="Palatino Linotype"/>
          <w:color w:val="000000"/>
          <w:lang w:val="es-MX" w:eastAsia="es-MX"/>
        </w:rPr>
      </w:pPr>
    </w:p>
    <w:p w14:paraId="48017A73" w14:textId="23F72790" w:rsidR="0073117F" w:rsidRPr="009C6154" w:rsidRDefault="0073117F" w:rsidP="009C6154">
      <w:pPr>
        <w:tabs>
          <w:tab w:val="left" w:pos="4962"/>
        </w:tabs>
        <w:spacing w:line="360" w:lineRule="auto"/>
        <w:jc w:val="both"/>
        <w:rPr>
          <w:rFonts w:ascii="Palatino Linotype" w:eastAsia="Palatino Linotype" w:hAnsi="Palatino Linotype" w:cs="Palatino Linotype"/>
          <w:color w:val="000000"/>
          <w:lang w:val="es-MX" w:eastAsia="es-MX"/>
        </w:rPr>
      </w:pPr>
      <w:r w:rsidRPr="0073117F">
        <w:rPr>
          <w:rFonts w:ascii="Palatino Linotype" w:eastAsia="Palatino Linotype" w:hAnsi="Palatino Linotype" w:cs="Palatino Linotype"/>
          <w:color w:val="000000"/>
          <w:lang w:val="es-MX" w:eastAsia="es-MX"/>
        </w:rPr>
        <w:t xml:space="preserve">Por ello la manifestación en la que exprese las razones por las cuales un servidor público se quiere separar de su empleo, corresponde al ámbito de la vida privada de los Particulares. </w:t>
      </w:r>
    </w:p>
    <w:p w14:paraId="25C00E58" w14:textId="153FA628" w:rsidR="00023A5D" w:rsidRDefault="009C6154" w:rsidP="009C6154">
      <w:p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lastRenderedPageBreak/>
        <w:t>Respecto a los documentos en donde conste el p</w:t>
      </w:r>
      <w:r w:rsidR="00023A5D" w:rsidRPr="009C6154">
        <w:rPr>
          <w:rFonts w:ascii="Palatino Linotype" w:eastAsiaTheme="minorHAnsi" w:hAnsi="Palatino Linotype" w:cstheme="minorBidi"/>
          <w:bCs/>
          <w:szCs w:val="22"/>
          <w:lang w:val="es-MX" w:eastAsia="es-MX"/>
        </w:rPr>
        <w:t>ago y concepto con el que se le está liquidando, finiquitando o entregando cualquier pago en relacionado con el cese de relación laboral</w:t>
      </w:r>
      <w:r>
        <w:rPr>
          <w:rFonts w:ascii="Palatino Linotype" w:eastAsiaTheme="minorHAnsi" w:hAnsi="Palatino Linotype" w:cstheme="minorBidi"/>
          <w:bCs/>
          <w:szCs w:val="22"/>
          <w:lang w:val="es-MX" w:eastAsia="es-MX"/>
        </w:rPr>
        <w:t xml:space="preserve"> y l</w:t>
      </w:r>
      <w:r w:rsidR="00023A5D" w:rsidRPr="009C6154">
        <w:rPr>
          <w:rFonts w:ascii="Palatino Linotype" w:eastAsiaTheme="minorHAnsi" w:hAnsi="Palatino Linotype" w:cstheme="minorBidi"/>
          <w:bCs/>
          <w:szCs w:val="22"/>
          <w:lang w:val="es-MX" w:eastAsia="es-MX"/>
        </w:rPr>
        <w:t xml:space="preserve">a documentación probatoria que compruebe que el dinero fue entregado a los servidores públicos. </w:t>
      </w:r>
    </w:p>
    <w:p w14:paraId="737ED465" w14:textId="77777777" w:rsidR="009C6154" w:rsidRDefault="009C6154" w:rsidP="009C6154">
      <w:pPr>
        <w:spacing w:line="360" w:lineRule="auto"/>
        <w:ind w:right="49"/>
        <w:jc w:val="both"/>
        <w:rPr>
          <w:rFonts w:ascii="Palatino Linotype" w:eastAsia="Palatino Linotype" w:hAnsi="Palatino Linotype" w:cs="Palatino Linotype"/>
          <w:sz w:val="22"/>
          <w:szCs w:val="22"/>
          <w:lang w:val="es-MX"/>
        </w:rPr>
      </w:pPr>
    </w:p>
    <w:p w14:paraId="26C9ED22" w14:textId="4C2CF34E" w:rsidR="009C6154" w:rsidRPr="009C6154" w:rsidRDefault="009C6154" w:rsidP="009C6154">
      <w:pPr>
        <w:spacing w:line="360" w:lineRule="auto"/>
        <w:ind w:right="49"/>
        <w:jc w:val="both"/>
        <w:rPr>
          <w:rFonts w:ascii="Palatino Linotype" w:eastAsia="Palatino Linotype" w:hAnsi="Palatino Linotype" w:cs="Palatino Linotype"/>
          <w:lang w:val="es-MX"/>
        </w:rPr>
      </w:pPr>
      <w:r w:rsidRPr="009C6154">
        <w:rPr>
          <w:rFonts w:ascii="Palatino Linotype" w:eastAsia="Palatino Linotype" w:hAnsi="Palatino Linotype" w:cs="Palatino Linotype"/>
          <w:lang w:val="es-MX"/>
        </w:rPr>
        <w:t xml:space="preserve">Es conveniente traer a contexto los artículos 89, 92, 94, 95, 96 y 97 de la Ley de Trabajo de los Servidores Públicos del Estado y Municipios, establece lo siguiente: </w:t>
      </w:r>
    </w:p>
    <w:p w14:paraId="2B9AFD41" w14:textId="77777777" w:rsidR="009C6154" w:rsidRPr="009C6154" w:rsidRDefault="009C6154" w:rsidP="009C6154">
      <w:pPr>
        <w:ind w:right="49"/>
        <w:jc w:val="both"/>
        <w:rPr>
          <w:rFonts w:ascii="Palatino Linotype" w:eastAsia="Palatino Linotype" w:hAnsi="Palatino Linotype" w:cs="Palatino Linotype"/>
          <w:sz w:val="22"/>
          <w:szCs w:val="22"/>
          <w:lang w:val="es-MX"/>
        </w:rPr>
      </w:pPr>
    </w:p>
    <w:p w14:paraId="73F28086"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“ARTÍCULO 89.</w:t>
      </w:r>
      <w:r w:rsidRPr="009C6154">
        <w:rPr>
          <w:rFonts w:ascii="Palatino Linotype" w:eastAsia="Palatino Linotype" w:hAnsi="Palatino Linotype" w:cs="Palatino Linotype"/>
          <w:i/>
          <w:sz w:val="22"/>
          <w:szCs w:val="22"/>
          <w:lang w:val="es-MX"/>
        </w:rPr>
        <w:t xml:space="preserve"> Son </w:t>
      </w:r>
      <w:r w:rsidRPr="009C6154">
        <w:rPr>
          <w:rFonts w:ascii="Palatino Linotype" w:eastAsia="Palatino Linotype" w:hAnsi="Palatino Linotype" w:cs="Palatino Linotype"/>
          <w:b/>
          <w:i/>
          <w:sz w:val="22"/>
          <w:szCs w:val="22"/>
          <w:lang w:val="es-MX"/>
        </w:rPr>
        <w:t>causas de terminación de la relación laboral</w:t>
      </w:r>
      <w:r w:rsidRPr="009C6154">
        <w:rPr>
          <w:rFonts w:ascii="Palatino Linotype" w:eastAsia="Palatino Linotype" w:hAnsi="Palatino Linotype" w:cs="Palatino Linotype"/>
          <w:i/>
          <w:sz w:val="22"/>
          <w:szCs w:val="22"/>
          <w:lang w:val="es-MX"/>
        </w:rPr>
        <w:t xml:space="preserve"> sin responsabilidad para las instituciones públicas: </w:t>
      </w:r>
    </w:p>
    <w:p w14:paraId="393993AF"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I.</w:t>
      </w:r>
      <w:r w:rsidRPr="009C6154">
        <w:rPr>
          <w:rFonts w:ascii="Palatino Linotype" w:eastAsia="Palatino Linotype" w:hAnsi="Palatino Linotype" w:cs="Palatino Linotype"/>
          <w:i/>
          <w:sz w:val="22"/>
          <w:szCs w:val="22"/>
          <w:lang w:val="es-MX"/>
        </w:rPr>
        <w:t xml:space="preserve"> La renuncia del servidor público; </w:t>
      </w:r>
    </w:p>
    <w:p w14:paraId="70E375EA"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II.</w:t>
      </w:r>
      <w:r w:rsidRPr="009C6154">
        <w:rPr>
          <w:rFonts w:ascii="Palatino Linotype" w:eastAsia="Palatino Linotype" w:hAnsi="Palatino Linotype" w:cs="Palatino Linotype"/>
          <w:i/>
          <w:sz w:val="22"/>
          <w:szCs w:val="22"/>
          <w:lang w:val="es-MX"/>
        </w:rPr>
        <w:t xml:space="preserve"> El mutuo consentimiento de las partes; </w:t>
      </w:r>
    </w:p>
    <w:p w14:paraId="612F8DF0"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III.</w:t>
      </w:r>
      <w:r w:rsidRPr="009C6154">
        <w:rPr>
          <w:rFonts w:ascii="Palatino Linotype" w:eastAsia="Palatino Linotype" w:hAnsi="Palatino Linotype" w:cs="Palatino Linotype"/>
          <w:i/>
          <w:sz w:val="22"/>
          <w:szCs w:val="22"/>
          <w:lang w:val="es-MX"/>
        </w:rPr>
        <w:t xml:space="preserve"> El vencimiento del término o conclusión de la obra determinantes de la contratación; </w:t>
      </w:r>
    </w:p>
    <w:p w14:paraId="78651ACF"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IV.</w:t>
      </w:r>
      <w:r w:rsidRPr="009C6154">
        <w:rPr>
          <w:rFonts w:ascii="Palatino Linotype" w:eastAsia="Palatino Linotype" w:hAnsi="Palatino Linotype" w:cs="Palatino Linotype"/>
          <w:i/>
          <w:sz w:val="22"/>
          <w:szCs w:val="22"/>
          <w:lang w:val="es-MX"/>
        </w:rPr>
        <w:t xml:space="preserve"> El término o conclusión de la administración en la cual fue contratado el servidor público a que se refiere el artículo 8 de ésta Ley; </w:t>
      </w:r>
    </w:p>
    <w:p w14:paraId="59C2633F"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V.</w:t>
      </w:r>
      <w:r w:rsidRPr="009C6154">
        <w:rPr>
          <w:rFonts w:ascii="Palatino Linotype" w:eastAsia="Palatino Linotype" w:hAnsi="Palatino Linotype" w:cs="Palatino Linotype"/>
          <w:i/>
          <w:sz w:val="22"/>
          <w:szCs w:val="22"/>
          <w:lang w:val="es-MX"/>
        </w:rPr>
        <w:t xml:space="preserve"> La muerte del servidor público; y </w:t>
      </w:r>
    </w:p>
    <w:p w14:paraId="11663F08"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VI.</w:t>
      </w:r>
      <w:r w:rsidRPr="009C6154">
        <w:rPr>
          <w:rFonts w:ascii="Palatino Linotype" w:eastAsia="Palatino Linotype" w:hAnsi="Palatino Linotype" w:cs="Palatino Linotype"/>
          <w:i/>
          <w:sz w:val="22"/>
          <w:szCs w:val="22"/>
          <w:lang w:val="es-MX"/>
        </w:rPr>
        <w:t xml:space="preserve"> La incapacidad permanente del servidor público que le impida el desempeño de sus labores.</w:t>
      </w:r>
    </w:p>
    <w:p w14:paraId="1A8CD2E7"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278395DA" w14:textId="77777777" w:rsidR="009C6154" w:rsidRPr="009C6154" w:rsidRDefault="009C6154" w:rsidP="009C6154">
      <w:pPr>
        <w:ind w:left="567" w:right="539"/>
        <w:jc w:val="both"/>
        <w:rPr>
          <w:rFonts w:ascii="Palatino Linotype" w:eastAsia="Palatino Linotype" w:hAnsi="Palatino Linotype" w:cs="Palatino Linotype"/>
          <w:b/>
          <w:i/>
          <w:sz w:val="22"/>
          <w:szCs w:val="22"/>
          <w:lang w:val="es-MX"/>
        </w:rPr>
      </w:pPr>
      <w:r w:rsidRPr="009C6154">
        <w:rPr>
          <w:rFonts w:ascii="Palatino Linotype" w:eastAsia="Palatino Linotype" w:hAnsi="Palatino Linotype" w:cs="Palatino Linotype"/>
          <w:b/>
          <w:i/>
          <w:sz w:val="22"/>
          <w:szCs w:val="22"/>
          <w:lang w:val="es-MX"/>
        </w:rPr>
        <w:t>ARTÍCULO 92.</w:t>
      </w:r>
      <w:r w:rsidRPr="009C6154">
        <w:rPr>
          <w:rFonts w:ascii="Palatino Linotype" w:eastAsia="Palatino Linotype" w:hAnsi="Palatino Linotype" w:cs="Palatino Linotype"/>
          <w:i/>
          <w:sz w:val="22"/>
          <w:szCs w:val="22"/>
          <w:lang w:val="es-MX"/>
        </w:rPr>
        <w:t xml:space="preserve"> </w:t>
      </w:r>
      <w:r w:rsidRPr="009C6154">
        <w:rPr>
          <w:rFonts w:ascii="Palatino Linotype" w:eastAsia="Palatino Linotype" w:hAnsi="Palatino Linotype" w:cs="Palatino Linotype"/>
          <w:b/>
          <w:i/>
          <w:sz w:val="22"/>
          <w:szCs w:val="22"/>
          <w:lang w:val="es-MX"/>
        </w:rPr>
        <w:t xml:space="preserve">El servidor público o la institución pública podrán rescindir en cualquier tiempo, por causa justificada, la relación laboral. </w:t>
      </w:r>
    </w:p>
    <w:p w14:paraId="7E188CEE" w14:textId="77777777" w:rsidR="009C6154" w:rsidRPr="009C6154" w:rsidRDefault="009C6154" w:rsidP="009C6154">
      <w:pPr>
        <w:ind w:left="567" w:right="539"/>
        <w:jc w:val="both"/>
        <w:rPr>
          <w:rFonts w:ascii="Palatino Linotype" w:eastAsia="Palatino Linotype" w:hAnsi="Palatino Linotype" w:cs="Palatino Linotype"/>
          <w:b/>
          <w:i/>
          <w:sz w:val="22"/>
          <w:szCs w:val="22"/>
          <w:lang w:val="es-MX"/>
        </w:rPr>
      </w:pPr>
    </w:p>
    <w:p w14:paraId="0EE38445"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ARTÍCULO 94.</w:t>
      </w:r>
      <w:r w:rsidRPr="009C6154">
        <w:rPr>
          <w:rFonts w:ascii="Palatino Linotype" w:eastAsia="Palatino Linotype" w:hAnsi="Palatino Linotype" w:cs="Palatino Linotype"/>
          <w:i/>
          <w:sz w:val="22"/>
          <w:szCs w:val="22"/>
          <w:lang w:val="es-MX"/>
        </w:rPr>
        <w:t xml:space="preserve"> La </w:t>
      </w:r>
      <w:r w:rsidRPr="009C6154">
        <w:rPr>
          <w:rFonts w:ascii="Palatino Linotype" w:eastAsia="Palatino Linotype" w:hAnsi="Palatino Linotype" w:cs="Palatino Linotype"/>
          <w:b/>
          <w:i/>
          <w:sz w:val="22"/>
          <w:szCs w:val="22"/>
          <w:lang w:val="es-MX"/>
        </w:rPr>
        <w:t>institución pública deberá dar aviso por escrito al servidor público de manera personal, de la fecha y causa o causas de la rescisión de la relación laboral.</w:t>
      </w:r>
      <w:r w:rsidRPr="009C6154">
        <w:rPr>
          <w:rFonts w:ascii="Palatino Linotype" w:eastAsia="Palatino Linotype" w:hAnsi="Palatino Linotype" w:cs="Palatino Linotype"/>
          <w:i/>
          <w:sz w:val="22"/>
          <w:szCs w:val="22"/>
          <w:lang w:val="es-MX"/>
        </w:rPr>
        <w:t xml:space="preserve"> </w:t>
      </w:r>
    </w:p>
    <w:p w14:paraId="12EA2AD7"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4955FDA5"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72A7011D"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02F06DB9"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La falta de aviso al servidor público, al Tribunal o a la Sala por sí sola bastará para considerar que el despido fue injustificado.</w:t>
      </w:r>
    </w:p>
    <w:p w14:paraId="5CAE1052"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1CB509E3"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lastRenderedPageBreak/>
        <w:t>ARTÍCULO 95.</w:t>
      </w:r>
      <w:r w:rsidRPr="009C6154">
        <w:rPr>
          <w:rFonts w:ascii="Palatino Linotype" w:eastAsia="Palatino Linotype" w:hAnsi="Palatino Linotype" w:cs="Palatino Linotype"/>
          <w:i/>
          <w:sz w:val="22"/>
          <w:szCs w:val="22"/>
          <w:lang w:val="es-MX"/>
        </w:rPr>
        <w:t xml:space="preserve"> Son </w:t>
      </w:r>
      <w:r w:rsidRPr="009C6154">
        <w:rPr>
          <w:rFonts w:ascii="Palatino Linotype" w:eastAsia="Palatino Linotype" w:hAnsi="Palatino Linotype" w:cs="Palatino Linotype"/>
          <w:b/>
          <w:i/>
          <w:sz w:val="22"/>
          <w:szCs w:val="22"/>
          <w:lang w:val="es-MX"/>
        </w:rPr>
        <w:t>causas de rescisión de la relación laboral</w:t>
      </w:r>
      <w:r w:rsidRPr="009C6154">
        <w:rPr>
          <w:rFonts w:ascii="Palatino Linotype" w:eastAsia="Palatino Linotype" w:hAnsi="Palatino Linotype" w:cs="Palatino Linotype"/>
          <w:i/>
          <w:sz w:val="22"/>
          <w:szCs w:val="22"/>
          <w:lang w:val="es-MX"/>
        </w:rPr>
        <w:t>, sin responsabilidad para el servidor público:</w:t>
      </w:r>
    </w:p>
    <w:p w14:paraId="684909C0"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w:t>
      </w:r>
    </w:p>
    <w:p w14:paraId="5508051B"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 xml:space="preserve">En estos casos, </w:t>
      </w:r>
      <w:r w:rsidRPr="009C6154">
        <w:rPr>
          <w:rFonts w:ascii="Palatino Linotype" w:eastAsia="Palatino Linotype" w:hAnsi="Palatino Linotype" w:cs="Palatino Linotype"/>
          <w:b/>
          <w:i/>
          <w:sz w:val="22"/>
          <w:szCs w:val="22"/>
          <w:lang w:val="es-MX"/>
        </w:rPr>
        <w:t xml:space="preserve">el servidor público podrá separarse de su trabajo dentro de los treinta días siguientes a la fecha en que se dé cualquiera de las causas y tendrá derecho a que la institución pública </w:t>
      </w:r>
      <w:r w:rsidRPr="009C6154">
        <w:rPr>
          <w:rFonts w:ascii="Palatino Linotype" w:eastAsia="Palatino Linotype" w:hAnsi="Palatino Linotype" w:cs="Palatino Linotype"/>
          <w:b/>
          <w:i/>
          <w:sz w:val="22"/>
          <w:szCs w:val="22"/>
          <w:u w:val="single"/>
          <w:lang w:val="es-MX"/>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9C6154">
        <w:rPr>
          <w:rFonts w:ascii="Palatino Linotype" w:eastAsia="Palatino Linotype" w:hAnsi="Palatino Linotype" w:cs="Palatino Linotype"/>
          <w:i/>
          <w:sz w:val="22"/>
          <w:szCs w:val="22"/>
          <w:lang w:val="es-MX"/>
        </w:rPr>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66DF8A7E"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2FB8CE67"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5FD306FB"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3DBFA28D"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t>ARTÍCULO 96.-</w:t>
      </w:r>
      <w:r w:rsidRPr="009C6154">
        <w:rPr>
          <w:rFonts w:ascii="Palatino Linotype" w:eastAsia="Palatino Linotype" w:hAnsi="Palatino Linotype" w:cs="Palatino Linotype"/>
          <w:i/>
          <w:sz w:val="22"/>
          <w:szCs w:val="22"/>
          <w:lang w:val="es-MX"/>
        </w:rPr>
        <w:t xml:space="preserve"> El servidor público podrá solicitar ante el Tribunal o la Sala correspondiente, que se le reinstale en el trabajo que desempeñaba, o que se le indemnice. </w:t>
      </w:r>
      <w:r w:rsidRPr="009C6154">
        <w:rPr>
          <w:rFonts w:ascii="Palatino Linotype" w:eastAsia="Palatino Linotype" w:hAnsi="Palatino Linotype" w:cs="Palatino Linotype"/>
          <w:b/>
          <w:i/>
          <w:sz w:val="22"/>
          <w:szCs w:val="22"/>
          <w:lang w:val="es-MX"/>
        </w:rPr>
        <w:t>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r w:rsidRPr="009C6154">
        <w:rPr>
          <w:rFonts w:ascii="Palatino Linotype" w:eastAsia="Palatino Linotype" w:hAnsi="Palatino Linotype" w:cs="Palatino Linotype"/>
          <w:i/>
          <w:sz w:val="22"/>
          <w:szCs w:val="22"/>
          <w:lang w:val="es-MX"/>
        </w:rPr>
        <w:t xml:space="preserve"> </w:t>
      </w:r>
    </w:p>
    <w:p w14:paraId="0A516EA9"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7BCBCD1E"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445001A7"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5488E631"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2F453E83"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22F3CE07"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b/>
          <w:i/>
          <w:sz w:val="22"/>
          <w:szCs w:val="22"/>
          <w:lang w:val="es-MX"/>
        </w:rPr>
        <w:lastRenderedPageBreak/>
        <w:t>En cualquier estado del procedimiento el demandado podrá pagar todo o en parte lo reclamado por el actor exhibiendo la cantidad líquida en moneda nacional o en cheque certificado a nombre de éste</w:t>
      </w:r>
      <w:r w:rsidRPr="009C6154">
        <w:rPr>
          <w:rFonts w:ascii="Palatino Linotype" w:eastAsia="Palatino Linotype" w:hAnsi="Palatino Linotype" w:cs="Palatino Linotype"/>
          <w:i/>
          <w:sz w:val="22"/>
          <w:szCs w:val="22"/>
          <w:lang w:val="es-MX"/>
        </w:rPr>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7E33AF6A"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 xml:space="preserve">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45DCE0FB"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1FDD83A6"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 xml:space="preserve">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 </w:t>
      </w:r>
    </w:p>
    <w:p w14:paraId="7E9A5A6C"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101040D0" w14:textId="77777777" w:rsid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 xml:space="preserve">Para la hipótesis de que la demandada sólo exhiba la cantidad por indemnizaciones y sus prestaciones accesorias dejarán de correr los salarios caídos, continuándose con el procedimiento por las prestaciones pendientes de pago. </w:t>
      </w:r>
    </w:p>
    <w:p w14:paraId="49BF09BE"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5A93264E"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r w:rsidRPr="009C6154">
        <w:rPr>
          <w:rFonts w:ascii="Palatino Linotype" w:eastAsia="Palatino Linotype" w:hAnsi="Palatino Linotype" w:cs="Palatino Linotype"/>
          <w:i/>
          <w:sz w:val="22"/>
          <w:szCs w:val="22"/>
          <w:lang w:val="es-MX"/>
        </w:rPr>
        <w:t>En caso de muerte del trabajador, dejarán de computarse los salarios vencidos como parte del conflicto.</w:t>
      </w:r>
    </w:p>
    <w:p w14:paraId="5A3167C2" w14:textId="77777777" w:rsidR="009C6154" w:rsidRPr="009C6154" w:rsidRDefault="009C6154" w:rsidP="009C6154">
      <w:pPr>
        <w:ind w:left="567" w:right="539"/>
        <w:jc w:val="both"/>
        <w:rPr>
          <w:rFonts w:ascii="Palatino Linotype" w:eastAsia="Palatino Linotype" w:hAnsi="Palatino Linotype" w:cs="Palatino Linotype"/>
          <w:i/>
          <w:sz w:val="22"/>
          <w:szCs w:val="22"/>
          <w:lang w:val="es-MX"/>
        </w:rPr>
      </w:pPr>
    </w:p>
    <w:p w14:paraId="34666D1F" w14:textId="77777777" w:rsidR="009C6154" w:rsidRPr="009C6154" w:rsidRDefault="009C6154" w:rsidP="009C6154">
      <w:pPr>
        <w:ind w:left="567" w:right="539"/>
        <w:jc w:val="both"/>
        <w:rPr>
          <w:rFonts w:ascii="Palatino Linotype" w:eastAsia="Palatino Linotype" w:hAnsi="Palatino Linotype" w:cs="Palatino Linotype"/>
          <w:b/>
          <w:i/>
          <w:sz w:val="22"/>
          <w:szCs w:val="22"/>
          <w:lang w:val="es-MX"/>
        </w:rPr>
      </w:pPr>
      <w:r w:rsidRPr="009C6154">
        <w:rPr>
          <w:rFonts w:ascii="Palatino Linotype" w:eastAsia="Palatino Linotype" w:hAnsi="Palatino Linotype" w:cs="Palatino Linotype"/>
          <w:b/>
          <w:i/>
          <w:sz w:val="22"/>
          <w:szCs w:val="22"/>
          <w:lang w:val="es-MX"/>
        </w:rPr>
        <w:t>ARTÍCULO 97.-</w:t>
      </w:r>
      <w:r w:rsidRPr="009C6154">
        <w:rPr>
          <w:rFonts w:ascii="Palatino Linotype" w:eastAsia="Palatino Linotype" w:hAnsi="Palatino Linotype" w:cs="Palatino Linotype"/>
          <w:i/>
          <w:sz w:val="22"/>
          <w:szCs w:val="22"/>
          <w:lang w:val="es-MX"/>
        </w:rPr>
        <w:t xml:space="preserve"> Las </w:t>
      </w:r>
      <w:r w:rsidRPr="009C6154">
        <w:rPr>
          <w:rFonts w:ascii="Palatino Linotype" w:eastAsia="Palatino Linotype" w:hAnsi="Palatino Linotype" w:cs="Palatino Linotype"/>
          <w:b/>
          <w:i/>
          <w:sz w:val="22"/>
          <w:szCs w:val="22"/>
          <w:lang w:val="es-MX"/>
        </w:rPr>
        <w:t>instituciones públicas</w:t>
      </w:r>
      <w:r w:rsidRPr="009C6154">
        <w:rPr>
          <w:rFonts w:ascii="Palatino Linotype" w:eastAsia="Palatino Linotype" w:hAnsi="Palatino Linotype" w:cs="Palatino Linotype"/>
          <w:i/>
          <w:sz w:val="22"/>
          <w:szCs w:val="22"/>
          <w:lang w:val="es-MX"/>
        </w:rPr>
        <w:t xml:space="preserve"> o dependencias no estarán </w:t>
      </w:r>
      <w:r w:rsidRPr="009C6154">
        <w:rPr>
          <w:rFonts w:ascii="Palatino Linotype" w:eastAsia="Palatino Linotype" w:hAnsi="Palatino Linotype" w:cs="Palatino Linotype"/>
          <w:b/>
          <w:i/>
          <w:sz w:val="22"/>
          <w:szCs w:val="22"/>
          <w:lang w:val="es-MX"/>
        </w:rPr>
        <w:t>obligadas</w:t>
      </w:r>
      <w:r w:rsidRPr="009C6154">
        <w:rPr>
          <w:rFonts w:ascii="Palatino Linotype" w:eastAsia="Palatino Linotype" w:hAnsi="Palatino Linotype" w:cs="Palatino Linotype"/>
          <w:i/>
          <w:sz w:val="22"/>
          <w:szCs w:val="22"/>
          <w:lang w:val="es-MX"/>
        </w:rPr>
        <w:t xml:space="preserve"> a reinstalar al servidor público, pero sí </w:t>
      </w:r>
      <w:r w:rsidRPr="009C6154">
        <w:rPr>
          <w:rFonts w:ascii="Palatino Linotype" w:eastAsia="Palatino Linotype" w:hAnsi="Palatino Linotype" w:cs="Palatino Linotype"/>
          <w:b/>
          <w:i/>
          <w:sz w:val="22"/>
          <w:szCs w:val="22"/>
          <w:lang w:val="es-MX"/>
        </w:rPr>
        <w:t>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w:t>
      </w:r>
      <w:r w:rsidRPr="009C6154">
        <w:rPr>
          <w:rFonts w:ascii="Palatino Linotype" w:eastAsia="Palatino Linotype" w:hAnsi="Palatino Linotype" w:cs="Palatino Linotype"/>
          <w:i/>
          <w:sz w:val="22"/>
          <w:szCs w:val="22"/>
          <w:lang w:val="es-MX"/>
        </w:rPr>
        <w:t xml:space="preserve"> independientemente del tiempo que dure el proceso, exhibiendo la totalidad de la cantidad liquida en moneda nacional o mediante cheque certificado al momento de la negativa de reinstalar al actor.”</w:t>
      </w:r>
    </w:p>
    <w:p w14:paraId="58750A76" w14:textId="77777777" w:rsidR="009C6154" w:rsidRPr="009C6154" w:rsidRDefault="009C6154" w:rsidP="009C61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lang w:val="es-MX"/>
        </w:rPr>
      </w:pPr>
    </w:p>
    <w:p w14:paraId="1D1F46A8" w14:textId="77777777" w:rsidR="009C6154" w:rsidRPr="009C6154" w:rsidRDefault="009C6154" w:rsidP="009C61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MX"/>
        </w:rPr>
      </w:pPr>
      <w:r w:rsidRPr="009C6154">
        <w:rPr>
          <w:rFonts w:ascii="Palatino Linotype" w:eastAsia="Palatino Linotype" w:hAnsi="Palatino Linotype" w:cs="Palatino Linotype"/>
          <w:color w:val="000000"/>
          <w:lang w:val="es-MX"/>
        </w:rPr>
        <w:t xml:space="preserve">De lo anterior, podemos advertir la existencia de dos supuestos, la terminación de la relación laboral y la rescisión laboral, ello sin dejar de lado la figura enmarcada en el artículo 94 tratándose del despido, o aquéllas derivadas de una sanción administrativa, además, se prevén los supuestos de rescisión laboral sin responsabilidad para los </w:t>
      </w:r>
      <w:r w:rsidRPr="009C6154">
        <w:rPr>
          <w:rFonts w:ascii="Palatino Linotype" w:eastAsia="Palatino Linotype" w:hAnsi="Palatino Linotype" w:cs="Palatino Linotype"/>
          <w:color w:val="000000"/>
          <w:lang w:val="es-MX"/>
        </w:rPr>
        <w:lastRenderedPageBreak/>
        <w:t>servidores públicos, el plazo en que éste debe separarse del trabajo cuando se actualice; asimismo, señala que en la existencia de alguno de esos supuestos, el servidor público tendrá derecho a que la institución pública lo indemnice con tres meses de sueldo base, veinte días por cada año devengado y a cubrirle las prestaciones a que tenga derecho, así como los salarios vencidos desde la fecha en que el servidor público se haya separado de su trabajo hasta que se cumplimente el laudo, o hasta que el servidor público se incorpore a laborar en un municipio o institución pública de los poderes del Estado, independientemente del tiempo que dure el proceso.</w:t>
      </w:r>
    </w:p>
    <w:p w14:paraId="4F76A0B5" w14:textId="77777777" w:rsidR="009C6154" w:rsidRPr="009C6154" w:rsidRDefault="009C6154" w:rsidP="009C6154">
      <w:pPr>
        <w:spacing w:line="360" w:lineRule="auto"/>
        <w:ind w:right="141"/>
        <w:jc w:val="both"/>
        <w:rPr>
          <w:rFonts w:ascii="Palatino Linotype" w:eastAsiaTheme="minorHAnsi" w:hAnsi="Palatino Linotype" w:cstheme="minorBidi"/>
          <w:bCs/>
          <w:sz w:val="28"/>
          <w:lang w:val="es-MX" w:eastAsia="es-MX"/>
        </w:rPr>
      </w:pPr>
    </w:p>
    <w:p w14:paraId="07011D32" w14:textId="77777777" w:rsidR="009C6154" w:rsidRPr="009C6154" w:rsidRDefault="009C6154" w:rsidP="009C61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MX"/>
        </w:rPr>
      </w:pPr>
      <w:r w:rsidRPr="009C6154">
        <w:rPr>
          <w:rFonts w:ascii="Palatino Linotype" w:eastAsia="Palatino Linotype" w:hAnsi="Palatino Linotype" w:cs="Palatino Linotype"/>
          <w:color w:val="000000"/>
          <w:lang w:val="es-MX"/>
        </w:rPr>
        <w:t>Asimismo, se señala  que el servidor público debe o puede optar por la indemnización, ésta será por el equivalente a tres meses de su salario base, del mismo modo que los salarios vencidos desde la fecha del despido hasta que se cumplimente el laudo o que se le reinstale en el trabajo que desempeñaba con el pago de los salarios vencidos desde la fecha del despido hasta que se cumplimente el laudo, o hasta que el servidor público se incorpore a laborar en un municipio o institución pública de los poderes del Estado, independientemente del tiempo que dure el proceso.</w:t>
      </w:r>
    </w:p>
    <w:p w14:paraId="0253C166" w14:textId="77777777" w:rsidR="009C6154" w:rsidRPr="009C6154" w:rsidRDefault="009C6154" w:rsidP="009C61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MX"/>
        </w:rPr>
      </w:pPr>
    </w:p>
    <w:p w14:paraId="2282DE41" w14:textId="77777777" w:rsidR="009C6154" w:rsidRPr="009C6154" w:rsidRDefault="009C6154" w:rsidP="009C6154">
      <w:pPr>
        <w:spacing w:line="360" w:lineRule="auto"/>
        <w:ind w:right="49"/>
        <w:jc w:val="both"/>
        <w:rPr>
          <w:rFonts w:ascii="Palatino Linotype" w:eastAsia="Palatino Linotype" w:hAnsi="Palatino Linotype" w:cs="Palatino Linotype"/>
          <w:lang w:val="es-MX"/>
        </w:rPr>
      </w:pPr>
      <w:r w:rsidRPr="009C6154">
        <w:rPr>
          <w:rFonts w:ascii="Palatino Linotype" w:eastAsia="Palatino Linotype" w:hAnsi="Palatino Linotype" w:cs="Palatino Linotype"/>
          <w:lang w:val="es-MX"/>
        </w:rPr>
        <w:t xml:space="preserve">Por lo tanto, para la terminación o rescisión laboral, originado por renuncias o juicios ante órganos jurisdiccionales en materia laboral, de los que derivaran </w:t>
      </w:r>
      <w:r w:rsidRPr="009C6154">
        <w:rPr>
          <w:rFonts w:ascii="Palatino Linotype" w:eastAsia="Palatino Linotype" w:hAnsi="Palatino Linotype" w:cs="Palatino Linotype"/>
          <w:b/>
          <w:bCs/>
          <w:u w:val="single"/>
          <w:lang w:val="es-MX"/>
        </w:rPr>
        <w:t>laudos condenando al pago de las prestaciones previstas en ese ordenamiento legal (que se traduce en finiquitos)</w:t>
      </w:r>
      <w:r w:rsidRPr="009C6154">
        <w:rPr>
          <w:rFonts w:ascii="Palatino Linotype" w:eastAsia="Palatino Linotype" w:hAnsi="Palatino Linotype" w:cs="Palatino Linotype"/>
          <w:lang w:val="es-MX"/>
        </w:rPr>
        <w:t xml:space="preserve">, el </w:t>
      </w:r>
      <w:r w:rsidRPr="009C6154">
        <w:rPr>
          <w:rFonts w:ascii="Palatino Linotype" w:eastAsia="Palatino Linotype" w:hAnsi="Palatino Linotype" w:cs="Palatino Linotype"/>
          <w:b/>
          <w:bCs/>
          <w:lang w:val="es-MX"/>
        </w:rPr>
        <w:t>Sujeto Obligado</w:t>
      </w:r>
      <w:r w:rsidRPr="009C6154">
        <w:rPr>
          <w:rFonts w:ascii="Palatino Linotype" w:eastAsia="Palatino Linotype" w:hAnsi="Palatino Linotype" w:cs="Palatino Linotype"/>
          <w:lang w:val="es-MX"/>
        </w:rPr>
        <w:t xml:space="preserve"> debe efectuar el pago de dichas prestaciones generando necesariamente un soporte documental.</w:t>
      </w:r>
    </w:p>
    <w:p w14:paraId="11953477" w14:textId="77777777" w:rsidR="009C6154" w:rsidRPr="009C6154" w:rsidRDefault="009C6154" w:rsidP="009C6154">
      <w:pPr>
        <w:spacing w:line="360" w:lineRule="auto"/>
        <w:ind w:right="49"/>
        <w:jc w:val="both"/>
        <w:rPr>
          <w:rFonts w:ascii="Palatino Linotype" w:eastAsia="Palatino Linotype" w:hAnsi="Palatino Linotype" w:cs="Palatino Linotype"/>
          <w:lang w:val="es-MX"/>
        </w:rPr>
      </w:pPr>
    </w:p>
    <w:p w14:paraId="240A6C55" w14:textId="3C7A47BB" w:rsidR="009C6154" w:rsidRPr="009C6154" w:rsidRDefault="009C6154" w:rsidP="009C6154">
      <w:pPr>
        <w:spacing w:line="360" w:lineRule="auto"/>
        <w:ind w:right="49"/>
        <w:jc w:val="both"/>
        <w:rPr>
          <w:rFonts w:ascii="Palatino Linotype" w:eastAsia="Palatino Linotype" w:hAnsi="Palatino Linotype" w:cs="Palatino Linotype"/>
          <w:lang w:val="es-MX"/>
        </w:rPr>
      </w:pPr>
      <w:r w:rsidRPr="009C6154">
        <w:rPr>
          <w:rFonts w:ascii="Palatino Linotype" w:eastAsia="Palatino Linotype" w:hAnsi="Palatino Linotype" w:cs="Palatino Linotype"/>
          <w:lang w:val="es-MX"/>
        </w:rPr>
        <w:lastRenderedPageBreak/>
        <w:t>Por otro lado, de conformidad con lo que establecen los Lineamientos para la entrega del Informe Trimestral emitidos por el Órgano Superior de Fiscalización del Estado de México, se advierte lo siguiente:</w:t>
      </w:r>
    </w:p>
    <w:p w14:paraId="3EEACE13" w14:textId="77777777" w:rsidR="009C6154" w:rsidRPr="009C6154" w:rsidRDefault="009C6154" w:rsidP="009C6154">
      <w:pPr>
        <w:spacing w:line="360" w:lineRule="auto"/>
        <w:ind w:right="49"/>
        <w:jc w:val="both"/>
        <w:rPr>
          <w:rFonts w:ascii="Palatino Linotype" w:eastAsia="Palatino Linotype" w:hAnsi="Palatino Linotype" w:cs="Palatino Linotype"/>
          <w:lang w:val="es-MX"/>
        </w:rPr>
      </w:pPr>
    </w:p>
    <w:p w14:paraId="50F07688" w14:textId="77777777" w:rsidR="009C6154" w:rsidRPr="009C6154" w:rsidRDefault="009C6154" w:rsidP="009C6154">
      <w:pPr>
        <w:spacing w:line="360" w:lineRule="auto"/>
        <w:ind w:right="49"/>
        <w:jc w:val="both"/>
        <w:rPr>
          <w:rFonts w:ascii="Palatino Linotype" w:eastAsia="Palatino Linotype" w:hAnsi="Palatino Linotype" w:cs="Palatino Linotype"/>
          <w:sz w:val="22"/>
          <w:szCs w:val="22"/>
          <w:lang w:val="es-MX"/>
        </w:rPr>
      </w:pPr>
      <w:r w:rsidRPr="009C6154">
        <w:rPr>
          <w:rFonts w:ascii="Palatino Linotype" w:eastAsia="Palatino Linotype" w:hAnsi="Palatino Linotype" w:cs="Palatino Linotype"/>
          <w:strike/>
          <w:noProof/>
          <w:color w:val="FF0000"/>
          <w:sz w:val="22"/>
          <w:szCs w:val="22"/>
          <w:lang w:val="es-MX" w:eastAsia="es-MX"/>
        </w:rPr>
        <w:drawing>
          <wp:inline distT="0" distB="0" distL="0" distR="0" wp14:anchorId="668892A3" wp14:editId="68BABDDA">
            <wp:extent cx="5622871" cy="5898543"/>
            <wp:effectExtent l="152400" t="152400" r="359410" b="368935"/>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36572" cy="5912916"/>
                    </a:xfrm>
                    <a:prstGeom prst="rect">
                      <a:avLst/>
                    </a:prstGeom>
                    <a:ln>
                      <a:noFill/>
                    </a:ln>
                    <a:effectLst>
                      <a:outerShdw blurRad="292100" dist="139700" dir="2700000" algn="tl" rotWithShape="0">
                        <a:srgbClr val="333333">
                          <a:alpha val="65000"/>
                        </a:srgbClr>
                      </a:outerShdw>
                    </a:effectLst>
                  </pic:spPr>
                </pic:pic>
              </a:graphicData>
            </a:graphic>
          </wp:inline>
        </w:drawing>
      </w:r>
    </w:p>
    <w:p w14:paraId="068FACA0" w14:textId="77777777" w:rsidR="009C6154" w:rsidRPr="009C6154" w:rsidRDefault="009C6154" w:rsidP="009C6154">
      <w:pPr>
        <w:pBdr>
          <w:top w:val="nil"/>
          <w:left w:val="nil"/>
          <w:bottom w:val="nil"/>
          <w:right w:val="nil"/>
          <w:between w:val="nil"/>
        </w:pBdr>
        <w:spacing w:line="360" w:lineRule="auto"/>
        <w:jc w:val="both"/>
        <w:rPr>
          <w:rFonts w:ascii="Palatino Linotype" w:eastAsia="Palatino Linotype" w:hAnsi="Palatino Linotype" w:cs="Palatino Linotype"/>
          <w:strike/>
          <w:color w:val="FF0000"/>
          <w:sz w:val="22"/>
          <w:szCs w:val="22"/>
          <w:lang w:val="es-MX"/>
        </w:rPr>
      </w:pPr>
      <w:r w:rsidRPr="009C6154">
        <w:rPr>
          <w:rFonts w:ascii="Palatino Linotype" w:eastAsia="Palatino Linotype" w:hAnsi="Palatino Linotype" w:cs="Palatino Linotype"/>
          <w:strike/>
          <w:noProof/>
          <w:color w:val="FF0000"/>
          <w:sz w:val="22"/>
          <w:szCs w:val="22"/>
          <w:lang w:val="es-MX" w:eastAsia="es-MX"/>
        </w:rPr>
        <w:lastRenderedPageBreak/>
        <w:drawing>
          <wp:inline distT="0" distB="0" distL="0" distR="0" wp14:anchorId="44FFC28C" wp14:editId="5D12741E">
            <wp:extent cx="5614044" cy="4460682"/>
            <wp:effectExtent l="152400" t="152400" r="367665" b="35941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20131" cy="4465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0DE360A" w14:textId="77777777" w:rsidR="009C6154" w:rsidRPr="009C6154" w:rsidRDefault="009C6154" w:rsidP="009C6154">
      <w:pPr>
        <w:spacing w:line="360" w:lineRule="auto"/>
        <w:ind w:right="49"/>
        <w:jc w:val="both"/>
        <w:rPr>
          <w:rFonts w:ascii="Palatino Linotype" w:eastAsia="Palatino Linotype" w:hAnsi="Palatino Linotype" w:cs="Palatino Linotype"/>
          <w:sz w:val="22"/>
          <w:szCs w:val="22"/>
          <w:lang w:val="es-MX"/>
        </w:rPr>
      </w:pPr>
    </w:p>
    <w:p w14:paraId="2A32862C" w14:textId="3A76AC07" w:rsidR="008E1B5F" w:rsidRPr="009C6154" w:rsidRDefault="008E1B5F" w:rsidP="008E1B5F">
      <w:pPr>
        <w:spacing w:line="360" w:lineRule="auto"/>
        <w:ind w:right="49"/>
        <w:jc w:val="both"/>
        <w:rPr>
          <w:rFonts w:ascii="Palatino Linotype" w:eastAsia="Palatino Linotype" w:hAnsi="Palatino Linotype" w:cs="Palatino Linotype"/>
          <w:lang w:val="es-MX"/>
        </w:rPr>
      </w:pPr>
      <w:r w:rsidRPr="008E1B5F">
        <w:rPr>
          <w:rFonts w:ascii="Palatino Linotype" w:eastAsia="Palatino Linotype" w:hAnsi="Palatino Linotype" w:cs="Palatino Linotype"/>
          <w:bCs/>
          <w:color w:val="000000"/>
          <w:lang w:val="es-MX" w:eastAsia="es-MX"/>
        </w:rPr>
        <w:t>Lo anterior, en virtud de que su acceso permite transparentar la aplicación de los recursos públicos que son otorgados para el cumplimiento de sus funciones.</w:t>
      </w:r>
      <w:r w:rsidRPr="008E1B5F">
        <w:rPr>
          <w:rFonts w:ascii="Palatino Linotype" w:eastAsia="Palatino Linotype" w:hAnsi="Palatino Linotype" w:cs="Palatino Linotype"/>
          <w:lang w:val="es-MX"/>
        </w:rPr>
        <w:t xml:space="preserve"> </w:t>
      </w:r>
      <w:r w:rsidRPr="009C6154">
        <w:rPr>
          <w:rFonts w:ascii="Palatino Linotype" w:eastAsia="Palatino Linotype" w:hAnsi="Palatino Linotype" w:cs="Palatino Linotype"/>
          <w:lang w:val="es-MX"/>
        </w:rPr>
        <w:t xml:space="preserve">De lo anterior, se prevé que el </w:t>
      </w:r>
      <w:r w:rsidRPr="009C6154">
        <w:rPr>
          <w:rFonts w:ascii="Palatino Linotype" w:eastAsia="Palatino Linotype" w:hAnsi="Palatino Linotype" w:cs="Palatino Linotype"/>
          <w:b/>
          <w:bCs/>
          <w:lang w:val="es-MX"/>
        </w:rPr>
        <w:t>Sujeto Obligado</w:t>
      </w:r>
      <w:r w:rsidRPr="009C6154">
        <w:rPr>
          <w:rFonts w:ascii="Palatino Linotype" w:eastAsia="Palatino Linotype" w:hAnsi="Palatino Linotype" w:cs="Palatino Linotype"/>
          <w:lang w:val="es-MX"/>
        </w:rPr>
        <w:t xml:space="preserve"> debe contar con la información requerida por la parte Solicitante. </w:t>
      </w:r>
    </w:p>
    <w:p w14:paraId="312E5351" w14:textId="6F521182" w:rsidR="008E1B5F" w:rsidRPr="008E1B5F" w:rsidRDefault="008E1B5F" w:rsidP="008E1B5F">
      <w:pPr>
        <w:spacing w:after="160" w:line="360" w:lineRule="auto"/>
        <w:ind w:right="49"/>
        <w:jc w:val="both"/>
        <w:rPr>
          <w:rFonts w:ascii="Palatino Linotype" w:eastAsia="Palatino Linotype" w:hAnsi="Palatino Linotype" w:cs="Palatino Linotype"/>
          <w:bCs/>
          <w:color w:val="000000"/>
          <w:lang w:val="es-MX" w:eastAsia="es-MX"/>
        </w:rPr>
      </w:pPr>
    </w:p>
    <w:p w14:paraId="593F2A2F" w14:textId="77777777" w:rsidR="008E1B5F" w:rsidRPr="008E1B5F" w:rsidRDefault="008E1B5F" w:rsidP="008E1B5F">
      <w:pPr>
        <w:tabs>
          <w:tab w:val="left" w:pos="4962"/>
        </w:tabs>
        <w:spacing w:line="360" w:lineRule="auto"/>
        <w:jc w:val="both"/>
        <w:rPr>
          <w:rFonts w:ascii="Palatino Linotype" w:eastAsia="Palatino Linotype" w:hAnsi="Palatino Linotype" w:cs="Palatino Linotype"/>
          <w:color w:val="000000"/>
          <w:sz w:val="22"/>
          <w:szCs w:val="22"/>
          <w:lang w:val="es-MX" w:eastAsia="es-MX"/>
        </w:rPr>
      </w:pPr>
    </w:p>
    <w:p w14:paraId="67422C28" w14:textId="77777777" w:rsidR="008E1B5F" w:rsidRPr="008E1B5F" w:rsidRDefault="008E1B5F" w:rsidP="008E1B5F">
      <w:pPr>
        <w:tabs>
          <w:tab w:val="left" w:pos="4962"/>
        </w:tabs>
        <w:spacing w:line="360" w:lineRule="auto"/>
        <w:jc w:val="both"/>
        <w:rPr>
          <w:rFonts w:ascii="Palatino Linotype" w:eastAsia="Palatino Linotype" w:hAnsi="Palatino Linotype" w:cs="Palatino Linotype"/>
          <w:color w:val="000000"/>
          <w:lang w:val="es-MX" w:eastAsia="es-MX"/>
        </w:rPr>
      </w:pPr>
      <w:r w:rsidRPr="008E1B5F">
        <w:rPr>
          <w:rFonts w:ascii="Palatino Linotype" w:eastAsia="Palatino Linotype" w:hAnsi="Palatino Linotype" w:cs="Palatino Linotype"/>
          <w:color w:val="000000"/>
          <w:lang w:val="es-MX" w:eastAsia="es-MX"/>
        </w:rPr>
        <w:lastRenderedPageBreak/>
        <w:t>Entonces, sobre los finiquitos también se identifica la existencia de información que es susceptible de ser eliminada para entregar dicha información en versión pública, como lo puede ser la existencia de datos personales.</w:t>
      </w:r>
    </w:p>
    <w:p w14:paraId="1C756B3E" w14:textId="77777777" w:rsidR="002E227E" w:rsidRPr="000C3D4F" w:rsidRDefault="002E227E" w:rsidP="000C3D4F">
      <w:pPr>
        <w:spacing w:line="360" w:lineRule="auto"/>
        <w:jc w:val="both"/>
        <w:rPr>
          <w:rFonts w:ascii="Palatino Linotype" w:hAnsi="Palatino Linotype" w:cs="Arial"/>
          <w:lang w:val="es-ES_tradnl"/>
        </w:rPr>
      </w:pPr>
    </w:p>
    <w:p w14:paraId="7117B831" w14:textId="77777777" w:rsidR="00691D96" w:rsidRPr="00430A46" w:rsidRDefault="00691D96" w:rsidP="003D71CA">
      <w:pPr>
        <w:pStyle w:val="Prrafodelista"/>
        <w:numPr>
          <w:ilvl w:val="0"/>
          <w:numId w:val="6"/>
        </w:numPr>
        <w:spacing w:line="360" w:lineRule="auto"/>
        <w:jc w:val="both"/>
        <w:rPr>
          <w:rFonts w:ascii="Palatino Linotype" w:hAnsi="Palatino Linotype" w:cs="Arial"/>
          <w:b/>
          <w:i/>
          <w:sz w:val="26"/>
          <w:szCs w:val="26"/>
        </w:rPr>
      </w:pPr>
      <w:r w:rsidRPr="00430A46">
        <w:rPr>
          <w:rFonts w:ascii="Palatino Linotype" w:hAnsi="Palatino Linotype" w:cs="Arial"/>
          <w:b/>
          <w:i/>
          <w:sz w:val="26"/>
          <w:szCs w:val="26"/>
        </w:rPr>
        <w:t>DE LA VERSIÓN PÚBLICA.</w:t>
      </w:r>
    </w:p>
    <w:p w14:paraId="36021D0C" w14:textId="77777777" w:rsidR="00691D96" w:rsidRPr="00430A46" w:rsidRDefault="00691D96" w:rsidP="00691D96">
      <w:pPr>
        <w:spacing w:line="360" w:lineRule="auto"/>
        <w:jc w:val="both"/>
        <w:rPr>
          <w:rFonts w:ascii="Palatino Linotype" w:hAnsi="Palatino Linotype" w:cs="Arial"/>
        </w:rPr>
      </w:pPr>
      <w:r w:rsidRPr="00430A46">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0A2128E8" w14:textId="77777777" w:rsidR="00691D96" w:rsidRPr="00430A46" w:rsidRDefault="00691D96" w:rsidP="00691D96">
      <w:pPr>
        <w:spacing w:line="360" w:lineRule="auto"/>
        <w:jc w:val="both"/>
        <w:rPr>
          <w:rFonts w:ascii="Palatino Linotype" w:hAnsi="Palatino Linotype" w:cs="Arial"/>
        </w:rPr>
      </w:pPr>
    </w:p>
    <w:p w14:paraId="352B1410"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Artículo 3.</w:t>
      </w:r>
      <w:r w:rsidRPr="00430A46">
        <w:rPr>
          <w:rFonts w:ascii="Palatino Linotype" w:hAnsi="Palatino Linotype" w:cs="Arial"/>
          <w:i/>
          <w:sz w:val="22"/>
        </w:rPr>
        <w:t xml:space="preserve"> Para los efectos de la presente Ley se entenderá por:</w:t>
      </w:r>
    </w:p>
    <w:p w14:paraId="50AD841A"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w:t>
      </w:r>
    </w:p>
    <w:p w14:paraId="2BB1AE91"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IX. Datos personales:</w:t>
      </w:r>
      <w:r w:rsidRPr="00430A46">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5A82B156"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XX.</w:t>
      </w:r>
      <w:r w:rsidRPr="00430A46">
        <w:rPr>
          <w:rFonts w:ascii="Palatino Linotype" w:hAnsi="Palatino Linotype" w:cs="Arial"/>
          <w:i/>
          <w:sz w:val="22"/>
        </w:rPr>
        <w:t xml:space="preserve"> </w:t>
      </w:r>
      <w:r w:rsidRPr="00430A46">
        <w:rPr>
          <w:rFonts w:ascii="Palatino Linotype" w:hAnsi="Palatino Linotype" w:cs="Arial"/>
          <w:b/>
          <w:i/>
          <w:sz w:val="22"/>
        </w:rPr>
        <w:t>Información clasificada:</w:t>
      </w:r>
      <w:r w:rsidRPr="00430A46">
        <w:rPr>
          <w:rFonts w:ascii="Palatino Linotype" w:hAnsi="Palatino Linotype" w:cs="Arial"/>
          <w:i/>
          <w:sz w:val="22"/>
        </w:rPr>
        <w:t xml:space="preserve"> Aquella considerada por la presente Ley como reservada o confidencial;</w:t>
      </w:r>
    </w:p>
    <w:p w14:paraId="62DA2714" w14:textId="77777777" w:rsidR="00691D96" w:rsidRPr="00430A46" w:rsidRDefault="00691D96" w:rsidP="00691D96">
      <w:pPr>
        <w:ind w:left="567" w:right="567"/>
        <w:jc w:val="both"/>
        <w:rPr>
          <w:rFonts w:ascii="Palatino Linotype" w:hAnsi="Palatino Linotype" w:cs="Arial"/>
          <w:i/>
          <w:sz w:val="22"/>
        </w:rPr>
      </w:pPr>
    </w:p>
    <w:p w14:paraId="661A0740"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XXI.</w:t>
      </w:r>
      <w:r w:rsidRPr="00430A46">
        <w:rPr>
          <w:rFonts w:ascii="Palatino Linotype" w:hAnsi="Palatino Linotype" w:cs="Arial"/>
          <w:i/>
          <w:sz w:val="22"/>
        </w:rPr>
        <w:t xml:space="preserve"> </w:t>
      </w:r>
      <w:r w:rsidRPr="00430A46">
        <w:rPr>
          <w:rFonts w:ascii="Palatino Linotype" w:hAnsi="Palatino Linotype" w:cs="Arial"/>
          <w:b/>
          <w:i/>
          <w:sz w:val="22"/>
        </w:rPr>
        <w:t>Información confidencial:</w:t>
      </w:r>
      <w:r w:rsidRPr="00430A46">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F950C0D"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w:t>
      </w:r>
    </w:p>
    <w:p w14:paraId="63FC147B"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XLV.</w:t>
      </w:r>
      <w:r w:rsidRPr="00430A46">
        <w:rPr>
          <w:rFonts w:ascii="Palatino Linotype" w:hAnsi="Palatino Linotype" w:cs="Arial"/>
          <w:i/>
          <w:sz w:val="22"/>
        </w:rPr>
        <w:t xml:space="preserve"> </w:t>
      </w:r>
      <w:r w:rsidRPr="00430A46">
        <w:rPr>
          <w:rFonts w:ascii="Palatino Linotype" w:hAnsi="Palatino Linotype" w:cs="Arial"/>
          <w:b/>
          <w:i/>
          <w:sz w:val="22"/>
        </w:rPr>
        <w:t>Versión pública:</w:t>
      </w:r>
      <w:r w:rsidRPr="00430A46">
        <w:rPr>
          <w:rFonts w:ascii="Palatino Linotype" w:hAnsi="Palatino Linotype" w:cs="Arial"/>
          <w:i/>
          <w:sz w:val="22"/>
        </w:rPr>
        <w:t xml:space="preserve"> Documento en el que se elimine, suprime o borra la información clasificada como reservada o confidencial para permitir su acceso.</w:t>
      </w:r>
    </w:p>
    <w:p w14:paraId="58AA90A4"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w:t>
      </w:r>
    </w:p>
    <w:p w14:paraId="227BDB3E" w14:textId="77777777" w:rsidR="00691D96" w:rsidRPr="00430A46" w:rsidRDefault="00691D96" w:rsidP="00691D96">
      <w:pPr>
        <w:ind w:left="567" w:right="567"/>
        <w:jc w:val="both"/>
        <w:rPr>
          <w:rFonts w:ascii="Palatino Linotype" w:hAnsi="Palatino Linotype" w:cs="Arial"/>
          <w:i/>
          <w:sz w:val="22"/>
        </w:rPr>
      </w:pPr>
    </w:p>
    <w:p w14:paraId="04969013"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 xml:space="preserve">Artículo 91. </w:t>
      </w:r>
      <w:r w:rsidRPr="00430A46">
        <w:rPr>
          <w:rFonts w:ascii="Palatino Linotype" w:hAnsi="Palatino Linotype" w:cs="Arial"/>
          <w:i/>
          <w:sz w:val="22"/>
        </w:rPr>
        <w:t>El acceso a la información pública será restringido excepcionalmente, cuando ésta sea clasificada como reservada o confidencial.</w:t>
      </w:r>
    </w:p>
    <w:p w14:paraId="1F21E55F" w14:textId="77777777" w:rsidR="00691D96" w:rsidRPr="00430A46" w:rsidRDefault="00691D96" w:rsidP="00691D96">
      <w:pPr>
        <w:ind w:left="567" w:right="567"/>
        <w:jc w:val="both"/>
        <w:rPr>
          <w:rFonts w:ascii="Palatino Linotype" w:hAnsi="Palatino Linotype" w:cs="Arial"/>
          <w:i/>
          <w:sz w:val="22"/>
        </w:rPr>
      </w:pPr>
    </w:p>
    <w:p w14:paraId="72693763"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Artículo 132.</w:t>
      </w:r>
      <w:r w:rsidRPr="00430A46">
        <w:rPr>
          <w:rFonts w:ascii="Palatino Linotype" w:hAnsi="Palatino Linotype" w:cs="Arial"/>
          <w:i/>
          <w:sz w:val="22"/>
        </w:rPr>
        <w:t xml:space="preserve"> </w:t>
      </w:r>
      <w:r w:rsidRPr="00430A46">
        <w:rPr>
          <w:rFonts w:ascii="Palatino Linotype" w:hAnsi="Palatino Linotype" w:cs="Arial"/>
          <w:i/>
          <w:sz w:val="22"/>
          <w:u w:val="single"/>
        </w:rPr>
        <w:t>La clasificación de la información se llevará a cabo en el momento en que</w:t>
      </w:r>
      <w:r w:rsidRPr="00430A46">
        <w:rPr>
          <w:rFonts w:ascii="Palatino Linotype" w:hAnsi="Palatino Linotype" w:cs="Arial"/>
          <w:i/>
          <w:sz w:val="22"/>
        </w:rPr>
        <w:t>:</w:t>
      </w:r>
    </w:p>
    <w:p w14:paraId="497ED4EA" w14:textId="77777777" w:rsidR="00691D96" w:rsidRPr="00430A46" w:rsidRDefault="00691D96" w:rsidP="00691D96">
      <w:pPr>
        <w:ind w:left="567" w:right="567"/>
        <w:jc w:val="both"/>
        <w:rPr>
          <w:rFonts w:ascii="Palatino Linotype" w:hAnsi="Palatino Linotype" w:cs="Arial"/>
          <w:i/>
          <w:sz w:val="22"/>
        </w:rPr>
      </w:pPr>
    </w:p>
    <w:p w14:paraId="21BAE9E7"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I.</w:t>
      </w:r>
      <w:r w:rsidRPr="00430A46">
        <w:rPr>
          <w:rFonts w:ascii="Palatino Linotype" w:hAnsi="Palatino Linotype" w:cs="Arial"/>
          <w:i/>
          <w:sz w:val="22"/>
        </w:rPr>
        <w:t xml:space="preserve"> Se reciba una solicitud de acceso a la información;</w:t>
      </w:r>
    </w:p>
    <w:p w14:paraId="1AAC150B"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II.</w:t>
      </w:r>
      <w:r w:rsidRPr="00430A46">
        <w:rPr>
          <w:rFonts w:ascii="Palatino Linotype" w:hAnsi="Palatino Linotype" w:cs="Arial"/>
          <w:i/>
          <w:sz w:val="22"/>
        </w:rPr>
        <w:t xml:space="preserve"> </w:t>
      </w:r>
      <w:r w:rsidRPr="00430A46">
        <w:rPr>
          <w:rFonts w:ascii="Palatino Linotype" w:hAnsi="Palatino Linotype" w:cs="Arial"/>
          <w:i/>
          <w:sz w:val="22"/>
          <w:u w:val="single"/>
        </w:rPr>
        <w:t>Se determine mediante resolución de autoridad competente; o</w:t>
      </w:r>
    </w:p>
    <w:p w14:paraId="56AFFD78" w14:textId="77777777" w:rsidR="00691D96" w:rsidRPr="00430A46" w:rsidRDefault="00691D96" w:rsidP="00691D96">
      <w:pPr>
        <w:ind w:left="567" w:right="567"/>
        <w:jc w:val="both"/>
        <w:rPr>
          <w:rFonts w:ascii="Palatino Linotype" w:hAnsi="Palatino Linotype" w:cs="Arial"/>
          <w:i/>
          <w:sz w:val="22"/>
          <w:u w:val="single"/>
        </w:rPr>
      </w:pPr>
      <w:r w:rsidRPr="00430A46">
        <w:rPr>
          <w:rFonts w:ascii="Palatino Linotype" w:hAnsi="Palatino Linotype" w:cs="Arial"/>
          <w:b/>
          <w:i/>
          <w:sz w:val="22"/>
        </w:rPr>
        <w:lastRenderedPageBreak/>
        <w:t>III.</w:t>
      </w:r>
      <w:r w:rsidRPr="00430A46">
        <w:rPr>
          <w:rFonts w:ascii="Palatino Linotype" w:hAnsi="Palatino Linotype" w:cs="Arial"/>
          <w:i/>
          <w:sz w:val="22"/>
        </w:rPr>
        <w:t xml:space="preserve"> </w:t>
      </w:r>
      <w:r w:rsidRPr="00430A46">
        <w:rPr>
          <w:rFonts w:ascii="Palatino Linotype" w:hAnsi="Palatino Linotype" w:cs="Arial"/>
          <w:i/>
          <w:sz w:val="22"/>
          <w:u w:val="single"/>
        </w:rPr>
        <w:t>Se generen versiones públicas para dar cumplimiento a las obligaciones de transparencia previstas en esta Ley.</w:t>
      </w:r>
    </w:p>
    <w:p w14:paraId="389BC075"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w:t>
      </w:r>
    </w:p>
    <w:p w14:paraId="4A331681" w14:textId="77777777" w:rsidR="00691D96" w:rsidRPr="00430A46" w:rsidRDefault="00691D96" w:rsidP="00691D96">
      <w:pPr>
        <w:spacing w:line="360" w:lineRule="auto"/>
        <w:jc w:val="both"/>
        <w:rPr>
          <w:rFonts w:ascii="Palatino Linotype" w:hAnsi="Palatino Linotype" w:cs="Arial"/>
          <w:i/>
        </w:rPr>
      </w:pPr>
    </w:p>
    <w:p w14:paraId="24F33013" w14:textId="77777777" w:rsidR="00691D96" w:rsidRDefault="00691D96" w:rsidP="00691D96">
      <w:pPr>
        <w:spacing w:line="360" w:lineRule="auto"/>
        <w:jc w:val="both"/>
        <w:rPr>
          <w:rFonts w:ascii="Palatino Linotype" w:hAnsi="Palatino Linotype" w:cs="Arial"/>
        </w:rPr>
      </w:pPr>
      <w:r w:rsidRPr="00430A46">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D582DB" w14:textId="77777777" w:rsidR="008E1B5F" w:rsidRDefault="008E1B5F" w:rsidP="00691D96">
      <w:pPr>
        <w:spacing w:line="360" w:lineRule="auto"/>
        <w:jc w:val="both"/>
        <w:rPr>
          <w:rFonts w:ascii="Palatino Linotype" w:hAnsi="Palatino Linotype" w:cs="Arial"/>
        </w:rPr>
      </w:pPr>
    </w:p>
    <w:p w14:paraId="32A5951B" w14:textId="77777777" w:rsidR="008E1B5F" w:rsidRPr="008E1B5F" w:rsidRDefault="008E1B5F" w:rsidP="008E1B5F">
      <w:pPr>
        <w:spacing w:line="360" w:lineRule="auto"/>
        <w:jc w:val="both"/>
        <w:rPr>
          <w:rFonts w:ascii="Palatino Linotype" w:eastAsia="Palatino Linotype" w:hAnsi="Palatino Linotype" w:cs="Palatino Linotype"/>
          <w:lang w:val="es-MX"/>
        </w:rPr>
      </w:pPr>
      <w:r w:rsidRPr="008E1B5F">
        <w:rPr>
          <w:rFonts w:ascii="Palatino Linotype" w:eastAsia="Palatino Linotype" w:hAnsi="Palatino Linotype" w:cs="Palatino Linotype"/>
          <w:lang w:val="es-MX"/>
        </w:rPr>
        <w:t xml:space="preserve">En lo que respecta al asunto que ahora nos ocupa, es de destacar lo siguiente: </w:t>
      </w:r>
    </w:p>
    <w:p w14:paraId="1555F7A1" w14:textId="77777777" w:rsidR="008E1B5F" w:rsidRP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p>
    <w:p w14:paraId="1D016355" w14:textId="77777777" w:rsidR="00D93D76" w:rsidRPr="00D93D76" w:rsidRDefault="008E1B5F" w:rsidP="003D71CA">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r w:rsidRPr="00D93D76">
        <w:rPr>
          <w:rFonts w:ascii="Palatino Linotype" w:eastAsia="Palatino Linotype" w:hAnsi="Palatino Linotype" w:cs="Palatino Linotype"/>
          <w:b/>
          <w:color w:val="000000"/>
          <w:u w:val="thick"/>
          <w:lang w:val="es-MX"/>
        </w:rPr>
        <w:t>Nombre de actores en juicios laborales que no recibieron recursos públicos.</w:t>
      </w:r>
      <w:r w:rsidRPr="00D93D76">
        <w:rPr>
          <w:rFonts w:ascii="Palatino Linotype" w:eastAsia="Palatino Linotype" w:hAnsi="Palatino Linotype" w:cs="Palatino Linotype"/>
          <w:b/>
          <w:color w:val="000000"/>
          <w:lang w:val="es-MX"/>
        </w:rPr>
        <w:t xml:space="preserve"> </w:t>
      </w:r>
    </w:p>
    <w:p w14:paraId="1E09984C" w14:textId="5D017C10" w:rsid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r w:rsidRPr="008E1B5F">
        <w:rPr>
          <w:rFonts w:ascii="Palatino Linotype" w:eastAsia="Palatino Linotype" w:hAnsi="Palatino Linotype" w:cs="Palatino Linotype"/>
          <w:color w:val="000000"/>
          <w:lang w:val="es-MX"/>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1FB75EB1" w14:textId="77777777" w:rsid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p>
    <w:p w14:paraId="71244B4C" w14:textId="356FDE7E" w:rsidR="008E1B5F" w:rsidRP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r w:rsidRPr="008E1B5F">
        <w:rPr>
          <w:rFonts w:ascii="Palatino Linotype" w:eastAsia="Palatino Linotype" w:hAnsi="Palatino Linotype" w:cs="Palatino Linotype"/>
          <w:color w:val="000000"/>
          <w:lang w:val="es-MX"/>
        </w:rPr>
        <w:t xml:space="preserve">Al respecto, cabe precisar que el nombre de la persona que demandó al Sujeto Obligado y que dicha demanda inició un procedimiento del cual </w:t>
      </w:r>
      <w:r w:rsidRPr="008E1B5F">
        <w:rPr>
          <w:rFonts w:ascii="Palatino Linotype" w:eastAsia="Palatino Linotype" w:hAnsi="Palatino Linotype" w:cs="Palatino Linotype"/>
          <w:b/>
          <w:color w:val="000000"/>
          <w:u w:val="single"/>
          <w:lang w:val="es-MX"/>
        </w:rPr>
        <w:t>no obtuvo algún beneficio</w:t>
      </w:r>
      <w:r w:rsidRPr="008E1B5F">
        <w:rPr>
          <w:rFonts w:ascii="Palatino Linotype" w:eastAsia="Palatino Linotype" w:hAnsi="Palatino Linotype" w:cs="Palatino Linotype"/>
          <w:color w:val="000000"/>
          <w:lang w:val="es-MX"/>
        </w:rPr>
        <w:t>,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w:t>
      </w:r>
    </w:p>
    <w:p w14:paraId="1869A733" w14:textId="3CC4C31B" w:rsidR="008E1B5F" w:rsidRP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r w:rsidRPr="008E1B5F">
        <w:rPr>
          <w:rFonts w:ascii="Palatino Linotype" w:eastAsia="Palatino Linotype" w:hAnsi="Palatino Linotype" w:cs="Palatino Linotype"/>
          <w:color w:val="000000"/>
          <w:lang w:val="es-MX"/>
        </w:rPr>
        <w:lastRenderedPageBreak/>
        <w:t xml:space="preserve">Sin embargo, para el caso específico, en el que la persona o personas que demandaron al </w:t>
      </w:r>
      <w:r w:rsidR="00D93D76" w:rsidRPr="008E1B5F">
        <w:rPr>
          <w:rFonts w:ascii="Palatino Linotype" w:eastAsia="Palatino Linotype" w:hAnsi="Palatino Linotype" w:cs="Palatino Linotype"/>
          <w:b/>
          <w:color w:val="000000"/>
          <w:lang w:val="es-MX"/>
        </w:rPr>
        <w:t>Sujeto Obligado</w:t>
      </w:r>
      <w:r w:rsidRPr="008E1B5F">
        <w:rPr>
          <w:rFonts w:ascii="Palatino Linotype" w:eastAsia="Palatino Linotype" w:hAnsi="Palatino Linotype" w:cs="Palatino Linotype"/>
          <w:color w:val="000000"/>
          <w:lang w:val="es-MX"/>
        </w:rPr>
        <w:t>, hayan recibido recursos públicos, la naturaleza de la información se modificara debido a su interés público; al respecto el entonces Instituto Nacional de Transparencia, Acceso a la Información y Protección de Datos Personales (INAI), emitió un criterio que robustece dicha situación y que más adelante será analizado a detalle.</w:t>
      </w:r>
    </w:p>
    <w:p w14:paraId="283FFFB5" w14:textId="77777777" w:rsidR="008E1B5F" w:rsidRPr="008E1B5F" w:rsidRDefault="008E1B5F" w:rsidP="008E1B5F">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lang w:val="es-MX"/>
        </w:rPr>
      </w:pPr>
    </w:p>
    <w:p w14:paraId="3A4194BA" w14:textId="77777777" w:rsid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r w:rsidRPr="008E1B5F">
        <w:rPr>
          <w:rFonts w:ascii="Palatino Linotype" w:eastAsia="Palatino Linotype" w:hAnsi="Palatino Linotype" w:cs="Palatino Linotype"/>
          <w:color w:val="000000"/>
          <w:lang w:val="es-MX"/>
        </w:rPr>
        <w:t>Es preciso señalar que el nombre de una persona corresponde su dato personal; sin embargo, acorde a lo que se solicita, se trata del nombre personas que 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manera vinculada con sus funciones ni con ejercicio de recursos públicos hasta en tanto le sea otorgada alguna cantidad derivada de estos recursos.</w:t>
      </w:r>
    </w:p>
    <w:p w14:paraId="04F05B7D" w14:textId="77777777" w:rsid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rPr>
      </w:pPr>
    </w:p>
    <w:p w14:paraId="00F37279" w14:textId="08CB93C3" w:rsidR="008E1B5F" w:rsidRP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r w:rsidRPr="008E1B5F">
        <w:rPr>
          <w:rFonts w:ascii="Palatino Linotype" w:eastAsia="Palatino Linotype" w:hAnsi="Palatino Linotype" w:cs="Palatino Linotype"/>
          <w:color w:val="000000"/>
          <w:lang w:val="es-MX"/>
        </w:rPr>
        <w:t>En efecto, si una persona presenta una demanda laboral en contra de un sujeto obligado, y no recibe recursos públicos, constituye un dato personal confidencial y debe ser protegido en términos del artículo 143, fracción I de la Ley de Transparencia y Acceso a la Información Pública del Estado de México y Municipios.</w:t>
      </w:r>
    </w:p>
    <w:p w14:paraId="167B49B3" w14:textId="77777777" w:rsidR="008E1B5F" w:rsidRPr="008E1B5F" w:rsidRDefault="008E1B5F" w:rsidP="008E1B5F">
      <w:pPr>
        <w:spacing w:line="360" w:lineRule="auto"/>
        <w:jc w:val="both"/>
        <w:rPr>
          <w:rFonts w:ascii="Palatino Linotype" w:eastAsia="Palatino Linotype" w:hAnsi="Palatino Linotype" w:cs="Palatino Linotype"/>
          <w:lang w:val="es-MX"/>
        </w:rPr>
      </w:pPr>
    </w:p>
    <w:p w14:paraId="46415469" w14:textId="77777777" w:rsidR="00D93D76" w:rsidRDefault="008E1B5F" w:rsidP="003D71CA">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r w:rsidRPr="00D93D76">
        <w:rPr>
          <w:rFonts w:ascii="Palatino Linotype" w:eastAsia="Palatino Linotype" w:hAnsi="Palatino Linotype" w:cs="Palatino Linotype"/>
          <w:b/>
          <w:color w:val="000000"/>
          <w:u w:val="thick"/>
          <w:lang w:val="es-MX"/>
        </w:rPr>
        <w:t>Del nombre de los actores en juicios laborales que recibieron recursos públicos.</w:t>
      </w:r>
      <w:r w:rsidRPr="00D93D76">
        <w:rPr>
          <w:rFonts w:ascii="Palatino Linotype" w:eastAsia="Palatino Linotype" w:hAnsi="Palatino Linotype" w:cs="Palatino Linotype"/>
          <w:b/>
          <w:color w:val="000000"/>
          <w:lang w:val="es-MX"/>
        </w:rPr>
        <w:t xml:space="preserve"> </w:t>
      </w:r>
    </w:p>
    <w:p w14:paraId="12C72548" w14:textId="17161C1D" w:rsidR="008E1B5F" w:rsidRPr="00D93D76" w:rsidRDefault="008E1B5F" w:rsidP="00D93D76">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r w:rsidRPr="00D93D76">
        <w:rPr>
          <w:rFonts w:ascii="Palatino Linotype" w:eastAsia="Palatino Linotype" w:hAnsi="Palatino Linotype" w:cs="Palatino Linotype"/>
          <w:color w:val="000000"/>
          <w:lang w:val="es-MX"/>
        </w:rPr>
        <w:t xml:space="preserve">Ahora bien, cuando un proceso judicial o cuasi jurisdiccional ha concluido, en la mayoría de los casos, con independencia de la parte a quien el juzgador conceda la </w:t>
      </w:r>
      <w:r w:rsidRPr="00D93D76">
        <w:rPr>
          <w:rFonts w:ascii="Palatino Linotype" w:eastAsia="Palatino Linotype" w:hAnsi="Palatino Linotype" w:cs="Palatino Linotype"/>
          <w:color w:val="000000"/>
          <w:lang w:val="es-MX"/>
        </w:rPr>
        <w:lastRenderedPageBreak/>
        <w:t>razón, se determina el pago de los montos económicos que hayan quedado pendientes al trabajador o los montos que correspondan por haber sido ganador de la controversia o incluso el pago de los montos acordados en conciliación; de tal suerte que si bien, la demanda inicia con la decisión personal una vez que la autoridad competente emite sentencia, cuando se ordena el pago, por cualquier motivo, se actualiza el supuesto del artículo 23, párrafo segundo, de la Ley de Transparencia y Acceso a la Información Pública del Estado de México y Municipios, por tratarse de la entrega de recursos públicos. Esto nos lleva a que la decisión tuvo consecuencias más allá del ámbito personal del demandante y, al haber la entrega de recursos públicos, se trata de información que se debe hacer pública, ya que existe interés público en conocer la forma en que se ejercen los recursos y porque simple y sencillamente existe disposición legal que obliga a la entrega de la información.</w:t>
      </w:r>
    </w:p>
    <w:p w14:paraId="7CEE048C" w14:textId="77777777" w:rsidR="008E1B5F" w:rsidRPr="008E1B5F" w:rsidRDefault="008E1B5F" w:rsidP="008E1B5F">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lang w:val="es-MX"/>
        </w:rPr>
      </w:pPr>
    </w:p>
    <w:p w14:paraId="523158B2" w14:textId="77777777" w:rsidR="008E1B5F" w:rsidRPr="008E1B5F" w:rsidRDefault="008E1B5F" w:rsidP="008E1B5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rPr>
      </w:pPr>
      <w:r w:rsidRPr="008E1B5F">
        <w:rPr>
          <w:rFonts w:ascii="Palatino Linotype" w:eastAsia="Palatino Linotype" w:hAnsi="Palatino Linotype" w:cs="Palatino Linotype"/>
          <w:color w:val="000000"/>
          <w:lang w:val="es-MX"/>
        </w:rPr>
        <w:t xml:space="preserve">Asimismo, se advierte que proporcionar el nombre de los actores que ya recibieron recursos públicos con motivo de las demandas interpuestas en contra del </w:t>
      </w:r>
      <w:r w:rsidRPr="008E1B5F">
        <w:rPr>
          <w:rFonts w:ascii="Palatino Linotype" w:eastAsia="Palatino Linotype" w:hAnsi="Palatino Linotype" w:cs="Palatino Linotype"/>
          <w:b/>
          <w:bCs/>
          <w:color w:val="000000"/>
          <w:lang w:val="es-MX"/>
        </w:rPr>
        <w:t>Sujeto Obligado</w:t>
      </w:r>
      <w:r w:rsidRPr="008E1B5F">
        <w:rPr>
          <w:rFonts w:ascii="Palatino Linotype" w:eastAsia="Palatino Linotype" w:hAnsi="Palatino Linotype" w:cs="Palatino Linotype"/>
          <w:color w:val="000000"/>
          <w:lang w:val="es-MX"/>
        </w:rPr>
        <w:t>, es información, cuya publicidad, puede abonar en la transparencia y rendición de cuentas; por tanto, es necesario, atraer al estudio el criterio 19/13 emitido por el entonces Instituto Nacional de Transparencia, Acceso a la Información y Protección de Datos Personales (INAI), antes IFAI; el cual a la letra precisa:</w:t>
      </w:r>
    </w:p>
    <w:p w14:paraId="4A248133" w14:textId="77777777" w:rsidR="008E1B5F" w:rsidRPr="008E1B5F" w:rsidRDefault="008E1B5F" w:rsidP="008E1B5F">
      <w:pPr>
        <w:spacing w:line="360" w:lineRule="auto"/>
        <w:jc w:val="both"/>
        <w:rPr>
          <w:rFonts w:ascii="Palatino Linotype" w:eastAsia="Palatino Linotype" w:hAnsi="Palatino Linotype" w:cs="Palatino Linotype"/>
          <w:sz w:val="22"/>
          <w:szCs w:val="22"/>
          <w:lang w:val="es-MX"/>
        </w:rPr>
      </w:pPr>
    </w:p>
    <w:p w14:paraId="757D67E0" w14:textId="77777777" w:rsidR="008E1B5F" w:rsidRPr="008E1B5F" w:rsidRDefault="008E1B5F" w:rsidP="008E1B5F">
      <w:pPr>
        <w:spacing w:line="276" w:lineRule="auto"/>
        <w:ind w:left="851" w:right="616"/>
        <w:jc w:val="both"/>
        <w:rPr>
          <w:rFonts w:ascii="Palatino Linotype" w:eastAsia="Palatino Linotype" w:hAnsi="Palatino Linotype" w:cs="Palatino Linotype"/>
          <w:i/>
          <w:sz w:val="22"/>
          <w:szCs w:val="22"/>
          <w:lang w:val="es-MX"/>
        </w:rPr>
      </w:pPr>
      <w:r w:rsidRPr="008E1B5F">
        <w:rPr>
          <w:rFonts w:ascii="Palatino Linotype" w:eastAsia="Palatino Linotype" w:hAnsi="Palatino Linotype" w:cs="Palatino Linotype"/>
          <w:i/>
          <w:sz w:val="22"/>
          <w:szCs w:val="22"/>
          <w:lang w:val="es-MX"/>
        </w:rPr>
        <w:t>“</w:t>
      </w:r>
      <w:r w:rsidRPr="008E1B5F">
        <w:rPr>
          <w:rFonts w:ascii="Palatino Linotype" w:eastAsia="Palatino Linotype" w:hAnsi="Palatino Linotype" w:cs="Palatino Linotype"/>
          <w:b/>
          <w:i/>
          <w:sz w:val="22"/>
          <w:szCs w:val="22"/>
          <w:lang w:val="es-MX"/>
        </w:rPr>
        <w:t>Nombre de actores en juicios laborales constituye, en principio, información confidencial.</w:t>
      </w:r>
      <w:r w:rsidRPr="008E1B5F">
        <w:rPr>
          <w:rFonts w:ascii="Palatino Linotype" w:eastAsia="Palatino Linotype" w:hAnsi="Palatino Linotype" w:cs="Palatino Linotype"/>
          <w:i/>
          <w:sz w:val="22"/>
          <w:szCs w:val="22"/>
          <w:lang w:val="es-MX"/>
        </w:rPr>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w:t>
      </w:r>
      <w:r w:rsidRPr="008E1B5F">
        <w:rPr>
          <w:rFonts w:ascii="Palatino Linotype" w:eastAsia="Palatino Linotype" w:hAnsi="Palatino Linotype" w:cs="Palatino Linotype"/>
          <w:i/>
          <w:sz w:val="22"/>
          <w:szCs w:val="22"/>
          <w:lang w:val="es-MX"/>
        </w:rPr>
        <w:lastRenderedPageBreak/>
        <w:t xml:space="preserve">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w:t>
      </w:r>
      <w:r w:rsidRPr="008E1B5F">
        <w:rPr>
          <w:rFonts w:ascii="Palatino Linotype" w:eastAsia="Palatino Linotype" w:hAnsi="Palatino Linotype" w:cs="Palatino Linotype"/>
          <w:b/>
          <w:i/>
          <w:sz w:val="22"/>
          <w:szCs w:val="22"/>
          <w:lang w:val="es-MX"/>
        </w:rPr>
        <w:t>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r w:rsidRPr="008E1B5F">
        <w:rPr>
          <w:rFonts w:ascii="Palatino Linotype" w:eastAsia="Palatino Linotype" w:hAnsi="Palatino Linotype" w:cs="Palatino Linotype"/>
          <w:i/>
          <w:sz w:val="22"/>
          <w:szCs w:val="22"/>
          <w:lang w:val="es-MX"/>
        </w:rPr>
        <w:t>”</w:t>
      </w:r>
    </w:p>
    <w:p w14:paraId="67070139" w14:textId="77777777" w:rsidR="008E1B5F" w:rsidRPr="008E1B5F" w:rsidRDefault="008E1B5F" w:rsidP="008E1B5F">
      <w:pPr>
        <w:spacing w:line="360" w:lineRule="auto"/>
        <w:jc w:val="both"/>
        <w:rPr>
          <w:rFonts w:ascii="Palatino Linotype" w:eastAsia="Palatino Linotype" w:hAnsi="Palatino Linotype" w:cs="Palatino Linotype"/>
          <w:sz w:val="22"/>
          <w:szCs w:val="22"/>
          <w:lang w:val="es-MX"/>
        </w:rPr>
      </w:pPr>
    </w:p>
    <w:p w14:paraId="2088213F" w14:textId="7A8DEAB0" w:rsidR="00691D96" w:rsidRPr="008E1B5F" w:rsidRDefault="008E1B5F" w:rsidP="00691D96">
      <w:pPr>
        <w:spacing w:line="360" w:lineRule="auto"/>
        <w:jc w:val="both"/>
        <w:rPr>
          <w:rFonts w:ascii="Palatino Linotype" w:eastAsia="Palatino Linotype" w:hAnsi="Palatino Linotype" w:cs="Palatino Linotype"/>
          <w:lang w:val="es-MX"/>
        </w:rPr>
      </w:pPr>
      <w:bookmarkStart w:id="6" w:name="_heading=h.w0sa8iyqsnbt" w:colFirst="0" w:colLast="0"/>
      <w:bookmarkEnd w:id="6"/>
      <w:r w:rsidRPr="008E1B5F">
        <w:rPr>
          <w:rFonts w:ascii="Palatino Linotype" w:eastAsia="Palatino Linotype" w:hAnsi="Palatino Linotype" w:cs="Palatino Linotype"/>
          <w:lang w:val="es-MX"/>
        </w:rPr>
        <w:t>En atención al criterio emitido por el entonces Instituto Nacional de Transparencia, Acceso a la Información y Protección de Datos Personales (INAI), se advierte que el nombre de los actores en los procedimientos laborales, que se concluyeran desfavorables a ellos, es un dato personal confidencial; sin embargo, procede su entrega, siempre que culmine con la entrega a favor de los actores de recurso público, pues se favorece la rendición de cuentas y se puede verificar el cumplimiento que el Sujeto Obligado de a las resoluciones o convenios suscritos ante la autoridad laboral.</w:t>
      </w:r>
    </w:p>
    <w:p w14:paraId="63AF8957" w14:textId="77777777" w:rsidR="008E1B5F" w:rsidRPr="008E1B5F" w:rsidRDefault="008E1B5F" w:rsidP="00691D96">
      <w:pPr>
        <w:spacing w:line="360" w:lineRule="auto"/>
        <w:jc w:val="both"/>
        <w:rPr>
          <w:rFonts w:ascii="Palatino Linotype" w:eastAsia="Palatino Linotype" w:hAnsi="Palatino Linotype" w:cs="Palatino Linotype"/>
          <w:sz w:val="22"/>
          <w:szCs w:val="22"/>
          <w:lang w:val="es-MX"/>
        </w:rPr>
      </w:pPr>
    </w:p>
    <w:p w14:paraId="21702749" w14:textId="77777777" w:rsidR="00691D96" w:rsidRDefault="00691D96" w:rsidP="00691D96">
      <w:pPr>
        <w:spacing w:line="360" w:lineRule="auto"/>
        <w:jc w:val="both"/>
        <w:rPr>
          <w:rFonts w:ascii="Palatino Linotype" w:hAnsi="Palatino Linotype" w:cs="Arial"/>
        </w:rPr>
      </w:pPr>
      <w:r w:rsidRPr="00430A46">
        <w:rPr>
          <w:rFonts w:ascii="Palatino Linotype" w:hAnsi="Palatino Linotype" w:cs="Arial"/>
        </w:rPr>
        <w:t xml:space="preserve">Por otro lado, los </w:t>
      </w:r>
      <w:r w:rsidRPr="00430A46">
        <w:rPr>
          <w:rFonts w:ascii="Palatino Linotype" w:hAnsi="Palatino Linotype" w:cs="Arial"/>
          <w:i/>
        </w:rPr>
        <w:t>Lineamientos Generales en Materia de Clasificación y Desclasificación de la Información, así como para la elaboración de Versiones Públicas</w:t>
      </w:r>
      <w:r w:rsidRPr="00430A46">
        <w:rPr>
          <w:rFonts w:ascii="Palatino Linotype" w:hAnsi="Palatino Linotype" w:cs="Arial"/>
        </w:rPr>
        <w:t xml:space="preserve">, emitidos por el Consejo </w:t>
      </w:r>
      <w:r w:rsidRPr="00430A46">
        <w:rPr>
          <w:rFonts w:ascii="Palatino Linotype" w:hAnsi="Palatino Linotype" w:cs="Arial"/>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BE4BBB1" w14:textId="77777777" w:rsidR="00D93D76" w:rsidRPr="00430A46" w:rsidRDefault="00D93D76" w:rsidP="00691D96">
      <w:pPr>
        <w:spacing w:line="360" w:lineRule="auto"/>
        <w:jc w:val="both"/>
        <w:rPr>
          <w:rFonts w:ascii="Palatino Linotype" w:hAnsi="Palatino Linotype" w:cs="Arial"/>
        </w:rPr>
      </w:pPr>
    </w:p>
    <w:p w14:paraId="669FD43D" w14:textId="77777777" w:rsidR="00691D96" w:rsidRPr="00430A46" w:rsidRDefault="00691D96" w:rsidP="00691D96">
      <w:pPr>
        <w:spacing w:line="360" w:lineRule="auto"/>
        <w:jc w:val="both"/>
        <w:rPr>
          <w:rFonts w:ascii="Palatino Linotype" w:hAnsi="Palatino Linotype" w:cs="Arial"/>
        </w:rPr>
      </w:pPr>
      <w:r w:rsidRPr="00430A46">
        <w:rPr>
          <w:rFonts w:ascii="Palatino Linotype" w:hAnsi="Palatino Linotype" w:cs="Arial"/>
        </w:rPr>
        <w:t>Entorno a lo que aquí nos interesa, los Lineamientos Quincuagésimo sexto, Quincuagésimo séptimo y Quincuagésimo octavo, establecen lo siguiente:</w:t>
      </w:r>
    </w:p>
    <w:p w14:paraId="1C9E1542" w14:textId="77777777" w:rsidR="00691D96" w:rsidRPr="00430A46" w:rsidRDefault="00691D96" w:rsidP="00691D96">
      <w:pPr>
        <w:pStyle w:val="Sinespaciado"/>
      </w:pPr>
    </w:p>
    <w:p w14:paraId="77A24A6F"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Quincuagésimo sexto.</w:t>
      </w:r>
      <w:r w:rsidRPr="00430A46">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80E6CC7" w14:textId="77777777" w:rsidR="00691D96" w:rsidRPr="00430A46" w:rsidRDefault="00691D96" w:rsidP="00691D96">
      <w:pPr>
        <w:ind w:left="567" w:right="567"/>
        <w:jc w:val="both"/>
        <w:rPr>
          <w:rFonts w:ascii="Palatino Linotype" w:hAnsi="Palatino Linotype" w:cs="Arial"/>
          <w:i/>
          <w:sz w:val="22"/>
        </w:rPr>
      </w:pPr>
    </w:p>
    <w:p w14:paraId="4C6FC9DC"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Quincuagésimo séptimo.</w:t>
      </w:r>
      <w:r w:rsidRPr="00430A46">
        <w:rPr>
          <w:rFonts w:ascii="Palatino Linotype" w:hAnsi="Palatino Linotype" w:cs="Arial"/>
          <w:i/>
          <w:sz w:val="22"/>
        </w:rPr>
        <w:t xml:space="preserve"> Se considera, en principio, como información pública y no podrá omitirse de las versiones públicas la siguiente:</w:t>
      </w:r>
    </w:p>
    <w:p w14:paraId="779FE645"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 xml:space="preserve"> </w:t>
      </w:r>
    </w:p>
    <w:p w14:paraId="4C51CDBE"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 xml:space="preserve">I. La relativa a las Obligaciones de Transparencia que contempla el Título V de la Ley General y las demás disposiciones legales aplicables; </w:t>
      </w:r>
    </w:p>
    <w:p w14:paraId="794EC26B"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5D857F40" w14:textId="77777777" w:rsidR="00691D96" w:rsidRPr="00430A46" w:rsidRDefault="00691D96" w:rsidP="00691D96">
      <w:pPr>
        <w:ind w:left="567" w:right="567"/>
        <w:jc w:val="both"/>
        <w:rPr>
          <w:rFonts w:ascii="Palatino Linotype" w:hAnsi="Palatino Linotype" w:cs="Arial"/>
          <w:i/>
          <w:sz w:val="22"/>
        </w:rPr>
      </w:pPr>
    </w:p>
    <w:p w14:paraId="656FA82B"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793655F" w14:textId="77777777" w:rsidR="00691D96" w:rsidRPr="00430A46" w:rsidRDefault="00691D96" w:rsidP="00691D96">
      <w:pPr>
        <w:ind w:left="567" w:right="567"/>
        <w:jc w:val="both"/>
        <w:rPr>
          <w:rFonts w:ascii="Palatino Linotype" w:hAnsi="Palatino Linotype" w:cs="Arial"/>
          <w:i/>
          <w:sz w:val="22"/>
        </w:rPr>
      </w:pPr>
    </w:p>
    <w:p w14:paraId="3CA4A8A1"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13E60E65" w14:textId="77777777" w:rsidR="00691D96" w:rsidRPr="00430A46" w:rsidRDefault="00691D96" w:rsidP="00691D96">
      <w:pPr>
        <w:ind w:left="567" w:right="567"/>
        <w:jc w:val="both"/>
        <w:rPr>
          <w:rFonts w:ascii="Palatino Linotype" w:hAnsi="Palatino Linotype" w:cs="Arial"/>
          <w:i/>
          <w:sz w:val="22"/>
        </w:rPr>
      </w:pPr>
    </w:p>
    <w:p w14:paraId="7BC2ED5D" w14:textId="77777777" w:rsidR="00691D96" w:rsidRPr="00430A46" w:rsidRDefault="00691D96" w:rsidP="00691D96">
      <w:pPr>
        <w:ind w:left="567" w:right="567"/>
        <w:jc w:val="both"/>
        <w:rPr>
          <w:rFonts w:ascii="Palatino Linotype" w:hAnsi="Palatino Linotype" w:cs="Arial"/>
          <w:i/>
          <w:sz w:val="22"/>
        </w:rPr>
      </w:pPr>
      <w:r w:rsidRPr="00430A46">
        <w:rPr>
          <w:rFonts w:ascii="Palatino Linotype" w:hAnsi="Palatino Linotype" w:cs="Arial"/>
          <w:b/>
          <w:i/>
          <w:sz w:val="22"/>
        </w:rPr>
        <w:t>Quincuagésimo octavo.</w:t>
      </w:r>
      <w:r w:rsidRPr="00430A46">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59B75809" w14:textId="77777777" w:rsidR="00691D96" w:rsidRDefault="00691D96" w:rsidP="00691D96">
      <w:pPr>
        <w:spacing w:line="360" w:lineRule="auto"/>
        <w:jc w:val="both"/>
        <w:rPr>
          <w:rFonts w:ascii="Palatino Linotype" w:hAnsi="Palatino Linotype" w:cs="Arial"/>
        </w:rPr>
      </w:pPr>
      <w:r w:rsidRPr="00430A46">
        <w:rPr>
          <w:rFonts w:ascii="Palatino Linotype" w:hAnsi="Palatino Linotype" w:cs="Arial"/>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9B9336D" w14:textId="77777777" w:rsidR="00691D96" w:rsidRPr="00430A46" w:rsidRDefault="00691D96" w:rsidP="00691D96">
      <w:pPr>
        <w:spacing w:line="360" w:lineRule="auto"/>
        <w:jc w:val="both"/>
        <w:rPr>
          <w:rFonts w:ascii="Palatino Linotype" w:hAnsi="Palatino Linotype" w:cs="Arial"/>
        </w:rPr>
      </w:pPr>
    </w:p>
    <w:p w14:paraId="00F6C221" w14:textId="77777777" w:rsidR="00691D96" w:rsidRDefault="00691D96" w:rsidP="00691D96">
      <w:pPr>
        <w:spacing w:line="360" w:lineRule="auto"/>
        <w:jc w:val="both"/>
        <w:rPr>
          <w:rFonts w:ascii="Palatino Linotype" w:hAnsi="Palatino Linotype" w:cs="Arial"/>
        </w:rPr>
      </w:pPr>
      <w:r w:rsidRPr="00430A46">
        <w:rPr>
          <w:rFonts w:ascii="Palatino Linotype" w:hAnsi="Palatino Linotype" w:cs="Arial"/>
        </w:rPr>
        <w:t>Por lo que respecta al Acuerdo del Comité de Transparencia que la sustente la versión pública, de la documentación a entregar, deberá ser notificado mediante el SAIMEX.</w:t>
      </w:r>
    </w:p>
    <w:p w14:paraId="15822430" w14:textId="77777777" w:rsidR="00691D96" w:rsidRPr="00430A46" w:rsidRDefault="00691D96" w:rsidP="00691D96">
      <w:pPr>
        <w:spacing w:line="360" w:lineRule="auto"/>
        <w:jc w:val="both"/>
        <w:rPr>
          <w:rFonts w:ascii="Palatino Linotype" w:hAnsi="Palatino Linotype" w:cs="Arial"/>
        </w:rPr>
      </w:pPr>
    </w:p>
    <w:p w14:paraId="3CB301C2" w14:textId="77777777" w:rsidR="00691D96" w:rsidRDefault="00691D96" w:rsidP="00691D96">
      <w:pPr>
        <w:pStyle w:val="Sinespaciado"/>
        <w:spacing w:line="360" w:lineRule="auto"/>
        <w:jc w:val="both"/>
        <w:rPr>
          <w:rFonts w:ascii="Palatino Linotype" w:hAnsi="Palatino Linotype" w:cs="Arial"/>
          <w:bCs/>
        </w:rPr>
      </w:pPr>
      <w:r w:rsidRPr="00430A46">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430A46">
        <w:rPr>
          <w:rFonts w:ascii="Palatino Linotype" w:hAnsi="Palatino Linotype" w:cs="Arial"/>
        </w:rPr>
        <w:t xml:space="preserve">de la Ley de Transparencia y Acceso a la Información Pública del Estado de México y Municipios, </w:t>
      </w:r>
      <w:r w:rsidRPr="00430A46">
        <w:rPr>
          <w:rFonts w:ascii="Palatino Linotype" w:hAnsi="Palatino Linotype" w:cs="Arial"/>
          <w:bCs/>
        </w:rPr>
        <w:t xml:space="preserve">a efecto de salvaguardar el derecho de acceso a la información pública consignado a favor del </w:t>
      </w:r>
      <w:r w:rsidRPr="00430A46">
        <w:rPr>
          <w:rFonts w:ascii="Palatino Linotype" w:hAnsi="Palatino Linotype" w:cs="Arial"/>
          <w:b/>
          <w:bCs/>
        </w:rPr>
        <w:t>Recurrente</w:t>
      </w:r>
      <w:r w:rsidRPr="00430A46">
        <w:rPr>
          <w:rFonts w:ascii="Palatino Linotype" w:hAnsi="Palatino Linotype" w:cs="Arial"/>
          <w:bCs/>
        </w:rPr>
        <w:t>.</w:t>
      </w:r>
    </w:p>
    <w:p w14:paraId="3A5736EC" w14:textId="77777777" w:rsidR="00691D96" w:rsidRPr="009D0958" w:rsidRDefault="00691D96" w:rsidP="00691D96">
      <w:pPr>
        <w:spacing w:line="360" w:lineRule="auto"/>
        <w:jc w:val="both"/>
        <w:rPr>
          <w:rFonts w:ascii="Palatino Linotype" w:eastAsiaTheme="minorHAnsi" w:hAnsi="Palatino Linotype" w:cs="Arial"/>
          <w:szCs w:val="22"/>
          <w:lang w:val="es-MX" w:eastAsia="en-US"/>
        </w:rPr>
      </w:pPr>
    </w:p>
    <w:p w14:paraId="3EE2C9CF" w14:textId="3E4140C4" w:rsidR="00691D96" w:rsidRPr="009D0958" w:rsidRDefault="00691D96" w:rsidP="00691D96">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9D0958">
        <w:rPr>
          <w:rFonts w:ascii="Palatino Linotype" w:hAnsi="Palatino Linotype"/>
          <w:b/>
        </w:rPr>
        <w:t xml:space="preserve">A </w:t>
      </w:r>
      <w:r w:rsidRPr="009D0958">
        <w:rPr>
          <w:rFonts w:ascii="Palatino Linotype" w:hAnsi="Palatino Linotype"/>
        </w:rPr>
        <w:t xml:space="preserve">la respuesta </w:t>
      </w:r>
      <w:r w:rsidRPr="009D0958">
        <w:rPr>
          <w:rFonts w:ascii="Palatino Linotype" w:hAnsi="Palatino Linotype"/>
        </w:rPr>
        <w:lastRenderedPageBreak/>
        <w:t xml:space="preserve">a la solicitud de información </w:t>
      </w:r>
      <w:r w:rsidR="00D93D76" w:rsidRPr="00D93D76">
        <w:rPr>
          <w:rFonts w:ascii="Palatino Linotype" w:hAnsi="Palatino Linotype" w:cs="Arial"/>
          <w:b/>
        </w:rPr>
        <w:t>00118/DIFTOLUCA/IP/2025</w:t>
      </w:r>
      <w:r w:rsidRPr="009D0958">
        <w:rPr>
          <w:rFonts w:ascii="Palatino Linotype" w:hAnsi="Palatino Linotype" w:cs="Arial"/>
        </w:rPr>
        <w:t xml:space="preserve">, </w:t>
      </w:r>
      <w:r w:rsidRPr="009D0958">
        <w:rPr>
          <w:rFonts w:ascii="Palatino Linotype" w:hAnsi="Palatino Linotype"/>
        </w:rPr>
        <w:t>que ha sido materia del presente fallo.</w:t>
      </w:r>
    </w:p>
    <w:p w14:paraId="1D64EE61" w14:textId="77777777" w:rsidR="00691D96" w:rsidRPr="009D0958" w:rsidRDefault="00691D96" w:rsidP="00691D96">
      <w:pPr>
        <w:spacing w:line="360" w:lineRule="auto"/>
        <w:jc w:val="both"/>
        <w:rPr>
          <w:rFonts w:ascii="Palatino Linotype" w:hAnsi="Palatino Linotype"/>
        </w:rPr>
      </w:pPr>
    </w:p>
    <w:p w14:paraId="4419D375" w14:textId="77777777" w:rsidR="00691D96" w:rsidRPr="009D0958" w:rsidRDefault="00691D96" w:rsidP="00691D96">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406699C9" w14:textId="77777777" w:rsidR="00691D96" w:rsidRPr="009D0958" w:rsidRDefault="00691D96" w:rsidP="00691D96">
      <w:pPr>
        <w:spacing w:line="360" w:lineRule="auto"/>
        <w:jc w:val="both"/>
        <w:rPr>
          <w:rFonts w:ascii="Palatino Linotype" w:hAnsi="Palatino Linotype"/>
        </w:rPr>
      </w:pPr>
    </w:p>
    <w:p w14:paraId="3B267B6D" w14:textId="77777777" w:rsidR="00691D96" w:rsidRPr="009D0958" w:rsidRDefault="00691D96" w:rsidP="00691D96">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4E59E268" w14:textId="77777777" w:rsidR="00691D96" w:rsidRPr="009D0958" w:rsidRDefault="00691D96" w:rsidP="00691D96">
      <w:pPr>
        <w:rPr>
          <w:rFonts w:ascii="Palatino Linotype" w:hAnsi="Palatino Linotype"/>
          <w:lang w:val="es-ES_tradnl"/>
        </w:rPr>
      </w:pPr>
    </w:p>
    <w:p w14:paraId="694F9981" w14:textId="2562967E" w:rsidR="00691D96" w:rsidRPr="009D0958" w:rsidRDefault="00691D96" w:rsidP="00691D96">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D93D76" w:rsidRPr="00D93D76">
        <w:rPr>
          <w:rFonts w:ascii="Palatino Linotype" w:hAnsi="Palatino Linotype" w:cs="Arial"/>
          <w:b/>
        </w:rPr>
        <w:t>00118/DIFTOLUCA/IP/2025</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Pr="009D0958">
        <w:rPr>
          <w:rFonts w:ascii="Palatino Linotype" w:hAnsi="Palatino Linotype" w:cs="Arial"/>
          <w:b/>
        </w:rPr>
        <w:t>QUINTO</w:t>
      </w:r>
      <w:r w:rsidRPr="009D0958">
        <w:rPr>
          <w:rFonts w:ascii="Palatino Linotype" w:hAnsi="Palatino Linotype" w:cs="Arial"/>
        </w:rPr>
        <w:t xml:space="preserve"> de esta resolución.</w:t>
      </w:r>
    </w:p>
    <w:p w14:paraId="2DC0CF05"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rPr>
      </w:pPr>
    </w:p>
    <w:p w14:paraId="58D2AE88" w14:textId="117439EA" w:rsidR="00691D96" w:rsidRPr="009D0958" w:rsidRDefault="00691D96" w:rsidP="00691D96">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Pr="009D0958">
        <w:rPr>
          <w:rFonts w:ascii="Palatino Linotype" w:hAnsi="Palatino Linotype" w:cs="Arial"/>
          <w:b/>
        </w:rPr>
        <w:t xml:space="preserve">QUINTO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de ser procedente en versión pública,</w:t>
      </w:r>
      <w:r w:rsidR="00D93D76">
        <w:rPr>
          <w:rFonts w:ascii="Palatino Linotype" w:hAnsi="Palatino Linotype" w:cs="Arial"/>
        </w:rPr>
        <w:t xml:space="preserve"> </w:t>
      </w:r>
      <w:r w:rsidR="00D93D76" w:rsidRPr="00D93D76">
        <w:rPr>
          <w:rFonts w:ascii="Palatino Linotype" w:hAnsi="Palatino Linotype" w:cs="Arial"/>
        </w:rPr>
        <w:t>durante el periodo comprendido del uno de enero al treinta y uno de diciembre de dos mil veinticuatro</w:t>
      </w:r>
      <w:r w:rsidR="00D93D76">
        <w:rPr>
          <w:rFonts w:ascii="Palatino Linotype" w:hAnsi="Palatino Linotype" w:cs="Arial"/>
        </w:rPr>
        <w:t>,</w:t>
      </w:r>
      <w:r>
        <w:rPr>
          <w:rFonts w:ascii="Palatino Linotype" w:hAnsi="Palatino Linotype" w:cs="Arial"/>
        </w:rPr>
        <w:t xml:space="preserve"> </w:t>
      </w:r>
      <w:r w:rsidR="00D93D76">
        <w:rPr>
          <w:rFonts w:ascii="Palatino Linotype" w:hAnsi="Palatino Linotype" w:cs="Arial"/>
        </w:rPr>
        <w:t xml:space="preserve">de </w:t>
      </w:r>
      <w:r>
        <w:rPr>
          <w:rFonts w:ascii="Palatino Linotype" w:hAnsi="Palatino Linotype" w:cs="Arial"/>
        </w:rPr>
        <w:t>lo siguiente</w:t>
      </w:r>
      <w:r w:rsidRPr="009D0958">
        <w:rPr>
          <w:rFonts w:ascii="Palatino Linotype" w:hAnsi="Palatino Linotype" w:cs="Arial"/>
        </w:rPr>
        <w:t>:</w:t>
      </w:r>
    </w:p>
    <w:p w14:paraId="257E8EB2" w14:textId="77777777" w:rsidR="00691D96" w:rsidRPr="009D0958" w:rsidRDefault="00691D96" w:rsidP="00691D96">
      <w:pPr>
        <w:spacing w:line="360" w:lineRule="auto"/>
        <w:jc w:val="both"/>
        <w:rPr>
          <w:rFonts w:ascii="Palatino Linotype" w:hAnsi="Palatino Linotype" w:cs="Arial"/>
        </w:rPr>
      </w:pPr>
    </w:p>
    <w:p w14:paraId="76214D28" w14:textId="32DE77B0" w:rsidR="00D93D76" w:rsidRDefault="00D93D76" w:rsidP="003D71CA">
      <w:pPr>
        <w:pStyle w:val="Prrafodelista"/>
        <w:numPr>
          <w:ilvl w:val="0"/>
          <w:numId w:val="11"/>
        </w:numPr>
        <w:spacing w:after="240" w:line="276" w:lineRule="auto"/>
        <w:jc w:val="both"/>
        <w:rPr>
          <w:rFonts w:ascii="Palatino Linotype" w:eastAsiaTheme="minorHAnsi" w:hAnsi="Palatino Linotype"/>
          <w:lang w:eastAsia="es-MX"/>
        </w:rPr>
      </w:pPr>
      <w:r>
        <w:rPr>
          <w:rFonts w:ascii="Palatino Linotype" w:eastAsiaTheme="minorHAnsi" w:hAnsi="Palatino Linotype"/>
          <w:lang w:eastAsia="es-MX"/>
        </w:rPr>
        <w:t xml:space="preserve">El o los documentos en donde conste </w:t>
      </w:r>
      <w:r w:rsidRPr="00D93D76">
        <w:rPr>
          <w:rFonts w:ascii="Palatino Linotype" w:eastAsiaTheme="minorHAnsi" w:hAnsi="Palatino Linotype"/>
          <w:lang w:eastAsia="es-MX"/>
        </w:rPr>
        <w:t xml:space="preserve">el nombre de los servidores públicos que </w:t>
      </w:r>
      <w:r w:rsidRPr="00D93D76">
        <w:rPr>
          <w:rFonts w:ascii="Palatino Linotype" w:eastAsiaTheme="minorHAnsi" w:hAnsi="Palatino Linotype"/>
          <w:i/>
          <w:iCs/>
          <w:lang w:eastAsia="es-MX"/>
        </w:rPr>
        <w:t>"renunciaron"</w:t>
      </w:r>
      <w:bookmarkStart w:id="7" w:name="_Hlk194404031"/>
      <w:r>
        <w:rPr>
          <w:rFonts w:ascii="Palatino Linotype" w:eastAsiaTheme="minorHAnsi" w:hAnsi="Palatino Linotype"/>
          <w:lang w:eastAsia="es-MX"/>
        </w:rPr>
        <w:t>.</w:t>
      </w:r>
      <w:r w:rsidRPr="00D93D76">
        <w:rPr>
          <w:rFonts w:ascii="Palatino Linotype" w:eastAsiaTheme="minorHAnsi" w:hAnsi="Palatino Linotype"/>
          <w:lang w:eastAsia="es-MX"/>
        </w:rPr>
        <w:t xml:space="preserve"> </w:t>
      </w:r>
      <w:bookmarkEnd w:id="7"/>
    </w:p>
    <w:p w14:paraId="3AEC8E40" w14:textId="41C2D01A" w:rsidR="00D93D76" w:rsidRDefault="00D93D76" w:rsidP="003D71CA">
      <w:pPr>
        <w:pStyle w:val="Prrafodelista"/>
        <w:numPr>
          <w:ilvl w:val="0"/>
          <w:numId w:val="11"/>
        </w:numPr>
        <w:spacing w:after="240" w:line="276" w:lineRule="auto"/>
        <w:jc w:val="both"/>
        <w:rPr>
          <w:rFonts w:ascii="Palatino Linotype" w:eastAsiaTheme="minorHAnsi" w:hAnsi="Palatino Linotype"/>
          <w:lang w:eastAsia="es-MX"/>
        </w:rPr>
      </w:pPr>
      <w:r>
        <w:rPr>
          <w:rFonts w:ascii="Palatino Linotype" w:eastAsiaTheme="minorHAnsi" w:hAnsi="Palatino Linotype"/>
          <w:lang w:eastAsia="es-MX"/>
        </w:rPr>
        <w:t xml:space="preserve">El o los documentos en donde conste el </w:t>
      </w:r>
      <w:r w:rsidRPr="00D93D76">
        <w:rPr>
          <w:rFonts w:ascii="Palatino Linotype" w:eastAsiaTheme="minorHAnsi" w:hAnsi="Palatino Linotype"/>
          <w:lang w:eastAsia="es-MX"/>
        </w:rPr>
        <w:t xml:space="preserve">pago y concepto </w:t>
      </w:r>
      <w:r>
        <w:rPr>
          <w:rFonts w:ascii="Palatino Linotype" w:eastAsiaTheme="minorHAnsi" w:hAnsi="Palatino Linotype"/>
          <w:lang w:eastAsia="es-MX"/>
        </w:rPr>
        <w:t>de la</w:t>
      </w:r>
      <w:r w:rsidRPr="00D93D76">
        <w:rPr>
          <w:rFonts w:ascii="Palatino Linotype" w:eastAsiaTheme="minorHAnsi" w:hAnsi="Palatino Linotype"/>
          <w:lang w:eastAsia="es-MX"/>
        </w:rPr>
        <w:t xml:space="preserve"> liquida</w:t>
      </w:r>
      <w:r>
        <w:rPr>
          <w:rFonts w:ascii="Palatino Linotype" w:eastAsiaTheme="minorHAnsi" w:hAnsi="Palatino Linotype"/>
          <w:lang w:eastAsia="es-MX"/>
        </w:rPr>
        <w:t>ción</w:t>
      </w:r>
      <w:r w:rsidR="007B489A">
        <w:rPr>
          <w:rFonts w:ascii="Palatino Linotype" w:eastAsiaTheme="minorHAnsi" w:hAnsi="Palatino Linotype"/>
          <w:lang w:eastAsia="es-MX"/>
        </w:rPr>
        <w:t xml:space="preserve"> y/o</w:t>
      </w:r>
      <w:r w:rsidRPr="00D93D76">
        <w:rPr>
          <w:rFonts w:ascii="Palatino Linotype" w:eastAsiaTheme="minorHAnsi" w:hAnsi="Palatino Linotype"/>
          <w:lang w:eastAsia="es-MX"/>
        </w:rPr>
        <w:t xml:space="preserve"> finiquit</w:t>
      </w:r>
      <w:r>
        <w:rPr>
          <w:rFonts w:ascii="Palatino Linotype" w:eastAsiaTheme="minorHAnsi" w:hAnsi="Palatino Linotype"/>
          <w:lang w:eastAsia="es-MX"/>
        </w:rPr>
        <w:t>o</w:t>
      </w:r>
      <w:r w:rsidR="007B489A">
        <w:rPr>
          <w:rFonts w:ascii="Palatino Linotype" w:eastAsiaTheme="minorHAnsi" w:hAnsi="Palatino Linotype"/>
          <w:lang w:eastAsia="es-MX"/>
        </w:rPr>
        <w:t xml:space="preserve">, </w:t>
      </w:r>
      <w:r w:rsidRPr="00D93D76">
        <w:rPr>
          <w:rFonts w:ascii="Palatino Linotype" w:eastAsiaTheme="minorHAnsi" w:hAnsi="Palatino Linotype"/>
          <w:lang w:eastAsia="es-MX"/>
        </w:rPr>
        <w:t>entregado</w:t>
      </w:r>
      <w:r w:rsidR="007B489A">
        <w:rPr>
          <w:rFonts w:ascii="Palatino Linotype" w:eastAsiaTheme="minorHAnsi" w:hAnsi="Palatino Linotype"/>
          <w:lang w:eastAsia="es-MX"/>
        </w:rPr>
        <w:t xml:space="preserve"> a las personadas </w:t>
      </w:r>
      <w:r w:rsidRPr="00D93D76">
        <w:rPr>
          <w:rFonts w:ascii="Palatino Linotype" w:eastAsiaTheme="minorHAnsi" w:hAnsi="Palatino Linotype"/>
          <w:lang w:eastAsia="es-MX"/>
        </w:rPr>
        <w:t>relacionad</w:t>
      </w:r>
      <w:r w:rsidR="007B489A">
        <w:rPr>
          <w:rFonts w:ascii="Palatino Linotype" w:eastAsiaTheme="minorHAnsi" w:hAnsi="Palatino Linotype"/>
          <w:lang w:eastAsia="es-MX"/>
        </w:rPr>
        <w:t>as</w:t>
      </w:r>
      <w:r w:rsidRPr="00D93D76">
        <w:rPr>
          <w:rFonts w:ascii="Palatino Linotype" w:eastAsiaTheme="minorHAnsi" w:hAnsi="Palatino Linotype"/>
          <w:lang w:eastAsia="es-MX"/>
        </w:rPr>
        <w:t xml:space="preserve"> con el cese de relación laboral</w:t>
      </w:r>
      <w:r>
        <w:rPr>
          <w:rFonts w:ascii="Palatino Linotype" w:eastAsiaTheme="minorHAnsi" w:hAnsi="Palatino Linotype"/>
          <w:lang w:eastAsia="es-MX"/>
        </w:rPr>
        <w:t>.</w:t>
      </w:r>
    </w:p>
    <w:p w14:paraId="5E5E4C3F" w14:textId="77777777" w:rsidR="00691D96" w:rsidRDefault="00691D96" w:rsidP="00691D96">
      <w:pPr>
        <w:spacing w:after="240"/>
        <w:ind w:left="284" w:right="283"/>
        <w:jc w:val="both"/>
        <w:rPr>
          <w:rFonts w:ascii="Palatino Linotype" w:hAnsi="Palatino Linotype" w:cs="Arial"/>
          <w:i/>
          <w:sz w:val="23"/>
          <w:szCs w:val="23"/>
        </w:rPr>
      </w:pPr>
      <w:r w:rsidRPr="005B700B">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w:t>
      </w:r>
      <w:r w:rsidRPr="005B700B">
        <w:rPr>
          <w:rFonts w:ascii="Palatino Linotype" w:hAnsi="Palatino Linotype" w:cs="Arial"/>
          <w:i/>
          <w:sz w:val="23"/>
          <w:szCs w:val="23"/>
        </w:rPr>
        <w:lastRenderedPageBreak/>
        <w:t xml:space="preserve">Acceso a la Información Pública del Estado de México y Municipios, en el que funde y motive las razones sobre los datos que se supriman o eliminen y se ponga a disposición del </w:t>
      </w:r>
      <w:r w:rsidRPr="005B700B">
        <w:rPr>
          <w:rFonts w:ascii="Palatino Linotype" w:hAnsi="Palatino Linotype" w:cs="Arial"/>
          <w:b/>
          <w:i/>
          <w:sz w:val="23"/>
          <w:szCs w:val="23"/>
        </w:rPr>
        <w:t>Recurrente</w:t>
      </w:r>
      <w:r w:rsidRPr="005B700B">
        <w:rPr>
          <w:rFonts w:ascii="Palatino Linotype" w:hAnsi="Palatino Linotype" w:cs="Arial"/>
          <w:i/>
          <w:sz w:val="23"/>
          <w:szCs w:val="23"/>
        </w:rPr>
        <w:t>.</w:t>
      </w:r>
    </w:p>
    <w:p w14:paraId="629FE959" w14:textId="77777777" w:rsidR="00691D96" w:rsidRPr="00F269A2" w:rsidRDefault="00691D96" w:rsidP="00691D96">
      <w:pPr>
        <w:pStyle w:val="Sinespaciado"/>
      </w:pPr>
    </w:p>
    <w:p w14:paraId="2BC7DAB8"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1E8116"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szCs w:val="28"/>
          <w:lang w:val="es-ES_tradnl"/>
        </w:rPr>
      </w:pPr>
    </w:p>
    <w:p w14:paraId="064B0455" w14:textId="77777777" w:rsidR="00691D96" w:rsidRPr="009D0958" w:rsidRDefault="00691D96" w:rsidP="00691D96">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06F1F478"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b/>
          <w:szCs w:val="28"/>
        </w:rPr>
      </w:pPr>
    </w:p>
    <w:p w14:paraId="003BBC8E" w14:textId="3E21AF89" w:rsidR="002E227E" w:rsidRDefault="00691D96" w:rsidP="00691D96">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w:t>
      </w:r>
      <w:r w:rsidRPr="009D0958">
        <w:rPr>
          <w:rFonts w:ascii="Palatino Linotype" w:hAnsi="Palatino Linotype" w:cs="Arial"/>
        </w:rPr>
        <w:lastRenderedPageBreak/>
        <w:t>por el artículo 196, de la Ley de Transparencia y Acceso a la Información Pública del Estado de México y Municipios.</w:t>
      </w:r>
      <w:bookmarkEnd w:id="5"/>
    </w:p>
    <w:p w14:paraId="2AB742F9" w14:textId="77777777" w:rsidR="00691D96" w:rsidRPr="00691D96" w:rsidRDefault="00691D96" w:rsidP="00691D96">
      <w:pPr>
        <w:autoSpaceDE w:val="0"/>
        <w:autoSpaceDN w:val="0"/>
        <w:adjustRightInd w:val="0"/>
        <w:spacing w:line="360" w:lineRule="auto"/>
        <w:ind w:right="49"/>
        <w:jc w:val="both"/>
        <w:rPr>
          <w:rFonts w:ascii="Palatino Linotype" w:hAnsi="Palatino Linotype" w:cs="Arial"/>
        </w:rPr>
      </w:pPr>
    </w:p>
    <w:p w14:paraId="2C59DFB6" w14:textId="2A2B1D79"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01640F">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6E6B4F">
        <w:rPr>
          <w:rFonts w:ascii="Palatino Linotype" w:hAnsi="Palatino Linotype" w:cs="Arial"/>
        </w:rPr>
        <w:t>DÉCIM</w:t>
      </w:r>
      <w:r w:rsidR="00230100">
        <w:rPr>
          <w:rFonts w:ascii="Palatino Linotype" w:hAnsi="Palatino Linotype" w:cs="Arial"/>
        </w:rPr>
        <w:t>A</w:t>
      </w:r>
      <w:r w:rsidR="006E6B4F">
        <w:rPr>
          <w:rFonts w:ascii="Palatino Linotype" w:hAnsi="Palatino Linotype" w:cs="Arial"/>
        </w:rPr>
        <w:t xml:space="preserve"> </w:t>
      </w:r>
      <w:r w:rsidR="00115ABC">
        <w:rPr>
          <w:rFonts w:ascii="Palatino Linotype" w:hAnsi="Palatino Linotype" w:cs="Arial"/>
        </w:rPr>
        <w:t>CUART</w:t>
      </w:r>
      <w:r w:rsidR="006E6B4F">
        <w:rPr>
          <w:rFonts w:ascii="Palatino Linotype" w:hAnsi="Palatino Linotype" w:cs="Arial"/>
        </w:rPr>
        <w:t>A</w:t>
      </w:r>
      <w:r w:rsidR="00230100" w:rsidRPr="00284821">
        <w:rPr>
          <w:rFonts w:ascii="Palatino Linotype" w:hAnsi="Palatino Linotype" w:cs="Arial"/>
        </w:rPr>
        <w:t xml:space="preserve"> SESIÓN ORDINARIA CEL</w:t>
      </w:r>
      <w:r w:rsidR="00663AF3" w:rsidRPr="00284821">
        <w:rPr>
          <w:rFonts w:ascii="Palatino Linotype" w:hAnsi="Palatino Linotype" w:cs="Arial"/>
        </w:rPr>
        <w:t xml:space="preserve">EBRADA EL </w:t>
      </w:r>
      <w:r w:rsidR="00115ABC" w:rsidRPr="00115ABC">
        <w:rPr>
          <w:rFonts w:ascii="Palatino Linotype" w:hAnsi="Palatino Linotype" w:cs="Arial"/>
        </w:rPr>
        <w:t xml:space="preserve">VEINTITRÉS DE ABRIL </w:t>
      </w:r>
      <w:r w:rsidR="00115ABC" w:rsidRPr="00230100">
        <w:rPr>
          <w:rFonts w:ascii="Palatino Linotype" w:hAnsi="Palatino Linotype" w:cs="Arial"/>
        </w:rPr>
        <w:t xml:space="preserve">DOS </w:t>
      </w:r>
      <w:r w:rsidR="00230100" w:rsidRPr="00230100">
        <w:rPr>
          <w:rFonts w:ascii="Palatino Linotype" w:hAnsi="Palatino Linotype" w:cs="Arial"/>
        </w:rPr>
        <w:t>MIL VEINTICINCO</w:t>
      </w:r>
      <w:r w:rsidRPr="00374FE7">
        <w:rPr>
          <w:rFonts w:ascii="Palatino Linotype" w:eastAsiaTheme="minorHAnsi" w:hAnsi="Palatino Linotype" w:cs="Arial"/>
          <w:lang w:val="es-MX" w:eastAsia="en-US"/>
        </w:rPr>
        <w:t>, ANTE EL SECRETARIO TÉCNICO</w:t>
      </w:r>
      <w:r w:rsidR="003D71CA">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D71CA">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BE68F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4A8E931" w:rsidR="0029071C" w:rsidRPr="003E56C9" w:rsidRDefault="0029071C" w:rsidP="003E56C9"/>
    <w:sectPr w:rsidR="0029071C"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4F84" w14:textId="77777777" w:rsidR="00880550" w:rsidRDefault="00880550" w:rsidP="000B5E25">
      <w:r>
        <w:separator/>
      </w:r>
    </w:p>
  </w:endnote>
  <w:endnote w:type="continuationSeparator" w:id="0">
    <w:p w14:paraId="13CDAFE8" w14:textId="77777777" w:rsidR="00880550" w:rsidRDefault="0088055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0BF1473F"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959E1">
      <w:rPr>
        <w:rFonts w:ascii="Palatino Linotype" w:hAnsi="Palatino Linotype" w:cs="Arial"/>
        <w:bCs/>
        <w:noProof/>
        <w:sz w:val="20"/>
        <w:szCs w:val="20"/>
      </w:rPr>
      <w:t>10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959E1">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69B6624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959E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959E1">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DDD69" w14:textId="77777777" w:rsidR="00880550" w:rsidRDefault="00880550" w:rsidP="000B5E25">
      <w:r>
        <w:separator/>
      </w:r>
    </w:p>
  </w:footnote>
  <w:footnote w:type="continuationSeparator" w:id="0">
    <w:p w14:paraId="6899FCEA" w14:textId="77777777" w:rsidR="00880550" w:rsidRDefault="00880550" w:rsidP="000B5E25">
      <w:r>
        <w:continuationSeparator/>
      </w:r>
    </w:p>
  </w:footnote>
  <w:footnote w:id="1">
    <w:p w14:paraId="4AA2E1CD" w14:textId="77777777" w:rsidR="00CA53FA" w:rsidRPr="00F07740" w:rsidRDefault="00CA53F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A53FA" w:rsidRPr="00946E1F" w:rsidRDefault="00CA53F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7F7BDFE" w14:textId="77777777" w:rsidR="002E227E" w:rsidRPr="00BA61D0" w:rsidRDefault="002E227E" w:rsidP="002E227E">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eastAsiaTheme="majorEastAsia"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5959E1">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1BF6038C"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D2218">
            <w:rPr>
              <w:rFonts w:ascii="Palatino Linotype" w:hAnsi="Palatino Linotype"/>
              <w:sz w:val="22"/>
              <w:szCs w:val="22"/>
              <w:lang w:val="es-ES_tradnl"/>
            </w:rPr>
            <w:t>2100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5DBBE411" w:rsidR="00CA53FA" w:rsidRPr="0029071C" w:rsidRDefault="00FD2218" w:rsidP="00AB55A1">
          <w:pPr>
            <w:spacing w:line="276" w:lineRule="auto"/>
            <w:jc w:val="right"/>
            <w:rPr>
              <w:rFonts w:ascii="Palatino Linotype" w:hAnsi="Palatino Linotype"/>
              <w:sz w:val="22"/>
              <w:szCs w:val="22"/>
            </w:rPr>
          </w:pPr>
          <w:r w:rsidRPr="00FD2218">
            <w:rPr>
              <w:rFonts w:ascii="Palatino Linotype" w:hAnsi="Palatino Linotype"/>
              <w:sz w:val="22"/>
              <w:szCs w:val="22"/>
            </w:rPr>
            <w:t>Sistema Municipal Para el Desarrollo Integral de la Familia de Toluca</w:t>
          </w:r>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5959E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3D6319E3"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D2218">
            <w:rPr>
              <w:rFonts w:ascii="Palatino Linotype" w:hAnsi="Palatino Linotype"/>
              <w:sz w:val="22"/>
              <w:szCs w:val="22"/>
              <w:lang w:val="es-ES_tradnl"/>
            </w:rPr>
            <w:t>2100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00AE4832" w:rsidR="00CA53FA" w:rsidRPr="006D30E6" w:rsidRDefault="005959E1"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11EB41D3" w:rsidR="00CA53FA" w:rsidRPr="0029071C" w:rsidRDefault="00FD2218" w:rsidP="00AB55A1">
          <w:pPr>
            <w:spacing w:line="276" w:lineRule="auto"/>
            <w:jc w:val="right"/>
            <w:rPr>
              <w:rFonts w:ascii="Palatino Linotype" w:hAnsi="Palatino Linotype"/>
              <w:sz w:val="22"/>
              <w:szCs w:val="22"/>
            </w:rPr>
          </w:pPr>
          <w:r w:rsidRPr="00FD2218">
            <w:rPr>
              <w:rFonts w:ascii="Palatino Linotype" w:hAnsi="Palatino Linotype"/>
              <w:sz w:val="22"/>
              <w:szCs w:val="22"/>
            </w:rPr>
            <w:t>Sistema Municipal Para el Desarrollo Integral de la Familia de Toluca</w:t>
          </w:r>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5959E1">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4pt;height:14.4pt;visibility:visible;mso-wrap-style:square" o:bullet="t">
        <v:imagedata r:id="rId1" o:title=""/>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6AD6963"/>
    <w:multiLevelType w:val="hybridMultilevel"/>
    <w:tmpl w:val="CDDCE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672BDD"/>
    <w:multiLevelType w:val="hybridMultilevel"/>
    <w:tmpl w:val="B066E6A0"/>
    <w:lvl w:ilvl="0" w:tplc="080A0007">
      <w:start w:val="1"/>
      <w:numFmt w:val="bullet"/>
      <w:lvlText w:val=""/>
      <w:lvlPicBulletId w:val="0"/>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7"/>
  </w:num>
  <w:num w:numId="5">
    <w:abstractNumId w:val="8"/>
  </w:num>
  <w:num w:numId="6">
    <w:abstractNumId w:val="11"/>
  </w:num>
  <w:num w:numId="7">
    <w:abstractNumId w:val="1"/>
  </w:num>
  <w:num w:numId="8">
    <w:abstractNumId w:val="9"/>
  </w:num>
  <w:num w:numId="9">
    <w:abstractNumId w:val="5"/>
  </w:num>
  <w:num w:numId="10">
    <w:abstractNumId w:val="3"/>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62CE"/>
    <w:rsid w:val="000120BC"/>
    <w:rsid w:val="0001640F"/>
    <w:rsid w:val="00023A5D"/>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570"/>
    <w:rsid w:val="0010712B"/>
    <w:rsid w:val="00107603"/>
    <w:rsid w:val="00115ABC"/>
    <w:rsid w:val="00123996"/>
    <w:rsid w:val="0012510D"/>
    <w:rsid w:val="00126CCD"/>
    <w:rsid w:val="00130316"/>
    <w:rsid w:val="00137D13"/>
    <w:rsid w:val="001424E1"/>
    <w:rsid w:val="0014397A"/>
    <w:rsid w:val="00143F6E"/>
    <w:rsid w:val="00151D4C"/>
    <w:rsid w:val="00152CA2"/>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B3F"/>
    <w:rsid w:val="002A040B"/>
    <w:rsid w:val="002A0AF4"/>
    <w:rsid w:val="002A4B43"/>
    <w:rsid w:val="002A676F"/>
    <w:rsid w:val="002B17F9"/>
    <w:rsid w:val="002B1A86"/>
    <w:rsid w:val="002B48AD"/>
    <w:rsid w:val="002B7930"/>
    <w:rsid w:val="002C0BE5"/>
    <w:rsid w:val="002C240F"/>
    <w:rsid w:val="002D17B8"/>
    <w:rsid w:val="002D32D2"/>
    <w:rsid w:val="002D61F7"/>
    <w:rsid w:val="002D6656"/>
    <w:rsid w:val="002D6E4B"/>
    <w:rsid w:val="002E00B6"/>
    <w:rsid w:val="002E227E"/>
    <w:rsid w:val="002E2D87"/>
    <w:rsid w:val="002E3085"/>
    <w:rsid w:val="002E4785"/>
    <w:rsid w:val="002F3B20"/>
    <w:rsid w:val="00305594"/>
    <w:rsid w:val="003059E0"/>
    <w:rsid w:val="00307006"/>
    <w:rsid w:val="0030701F"/>
    <w:rsid w:val="0031472B"/>
    <w:rsid w:val="00320F38"/>
    <w:rsid w:val="00321CC2"/>
    <w:rsid w:val="0032287D"/>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15AB"/>
    <w:rsid w:val="00386D38"/>
    <w:rsid w:val="00391AD0"/>
    <w:rsid w:val="00396DB6"/>
    <w:rsid w:val="00397B41"/>
    <w:rsid w:val="003A1AF3"/>
    <w:rsid w:val="003A2B8C"/>
    <w:rsid w:val="003A4C68"/>
    <w:rsid w:val="003B0FAC"/>
    <w:rsid w:val="003B1C85"/>
    <w:rsid w:val="003B70B0"/>
    <w:rsid w:val="003C6409"/>
    <w:rsid w:val="003D71CA"/>
    <w:rsid w:val="003E21A7"/>
    <w:rsid w:val="003E56C9"/>
    <w:rsid w:val="003F171B"/>
    <w:rsid w:val="003F424E"/>
    <w:rsid w:val="003F689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7EBF"/>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9032F"/>
    <w:rsid w:val="005909E0"/>
    <w:rsid w:val="005959E1"/>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1D96"/>
    <w:rsid w:val="0069468D"/>
    <w:rsid w:val="00694976"/>
    <w:rsid w:val="006A6362"/>
    <w:rsid w:val="006B2F26"/>
    <w:rsid w:val="006B321A"/>
    <w:rsid w:val="006B418F"/>
    <w:rsid w:val="006B7174"/>
    <w:rsid w:val="006C3931"/>
    <w:rsid w:val="006D1713"/>
    <w:rsid w:val="006D30E6"/>
    <w:rsid w:val="006D3A03"/>
    <w:rsid w:val="006E08FA"/>
    <w:rsid w:val="006E6B4F"/>
    <w:rsid w:val="006F2978"/>
    <w:rsid w:val="006F29CD"/>
    <w:rsid w:val="006F358C"/>
    <w:rsid w:val="006F5F93"/>
    <w:rsid w:val="0070129E"/>
    <w:rsid w:val="00710FED"/>
    <w:rsid w:val="00716632"/>
    <w:rsid w:val="00717A0C"/>
    <w:rsid w:val="00723B5A"/>
    <w:rsid w:val="0072658E"/>
    <w:rsid w:val="0073117F"/>
    <w:rsid w:val="00732345"/>
    <w:rsid w:val="0074342A"/>
    <w:rsid w:val="0074517D"/>
    <w:rsid w:val="007528A6"/>
    <w:rsid w:val="007532C7"/>
    <w:rsid w:val="00756F04"/>
    <w:rsid w:val="00757D60"/>
    <w:rsid w:val="00770F18"/>
    <w:rsid w:val="007764BB"/>
    <w:rsid w:val="007828DC"/>
    <w:rsid w:val="0079140E"/>
    <w:rsid w:val="0079783C"/>
    <w:rsid w:val="007A118C"/>
    <w:rsid w:val="007A37FE"/>
    <w:rsid w:val="007A5ED4"/>
    <w:rsid w:val="007B1893"/>
    <w:rsid w:val="007B489A"/>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5D3"/>
    <w:rsid w:val="0082270E"/>
    <w:rsid w:val="0082458F"/>
    <w:rsid w:val="0083345F"/>
    <w:rsid w:val="00835035"/>
    <w:rsid w:val="008500D3"/>
    <w:rsid w:val="00852668"/>
    <w:rsid w:val="00855F8D"/>
    <w:rsid w:val="008578BF"/>
    <w:rsid w:val="008609C8"/>
    <w:rsid w:val="008660D6"/>
    <w:rsid w:val="00872C8F"/>
    <w:rsid w:val="00880550"/>
    <w:rsid w:val="00890836"/>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1B5F"/>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47E18"/>
    <w:rsid w:val="009526B5"/>
    <w:rsid w:val="009602BA"/>
    <w:rsid w:val="00961002"/>
    <w:rsid w:val="00966B6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174A"/>
    <w:rsid w:val="009C6154"/>
    <w:rsid w:val="009C6853"/>
    <w:rsid w:val="009D2E87"/>
    <w:rsid w:val="009D39B3"/>
    <w:rsid w:val="009D7E06"/>
    <w:rsid w:val="009E0C45"/>
    <w:rsid w:val="009E0E89"/>
    <w:rsid w:val="009E15AC"/>
    <w:rsid w:val="009E1F26"/>
    <w:rsid w:val="009E68E7"/>
    <w:rsid w:val="009F4FF4"/>
    <w:rsid w:val="009F5B82"/>
    <w:rsid w:val="009F62C3"/>
    <w:rsid w:val="009F71DC"/>
    <w:rsid w:val="00A0100D"/>
    <w:rsid w:val="00A05133"/>
    <w:rsid w:val="00A05D3A"/>
    <w:rsid w:val="00A26BD8"/>
    <w:rsid w:val="00A31D20"/>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B420B"/>
    <w:rsid w:val="00BB5B89"/>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2B4E"/>
    <w:rsid w:val="00D92BFE"/>
    <w:rsid w:val="00D93D76"/>
    <w:rsid w:val="00D96D23"/>
    <w:rsid w:val="00DA14E0"/>
    <w:rsid w:val="00DB195E"/>
    <w:rsid w:val="00DC1583"/>
    <w:rsid w:val="00DC2B31"/>
    <w:rsid w:val="00DC32DB"/>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00588"/>
    <w:rsid w:val="00F17A40"/>
    <w:rsid w:val="00F23D6E"/>
    <w:rsid w:val="00F241AD"/>
    <w:rsid w:val="00F30C33"/>
    <w:rsid w:val="00F32EBF"/>
    <w:rsid w:val="00F34A32"/>
    <w:rsid w:val="00F365E4"/>
    <w:rsid w:val="00F455F1"/>
    <w:rsid w:val="00F50F2C"/>
    <w:rsid w:val="00F52DF0"/>
    <w:rsid w:val="00F565FD"/>
    <w:rsid w:val="00F570D3"/>
    <w:rsid w:val="00F62221"/>
    <w:rsid w:val="00F65CF8"/>
    <w:rsid w:val="00F712EE"/>
    <w:rsid w:val="00F73BB1"/>
    <w:rsid w:val="00F814A4"/>
    <w:rsid w:val="00F8513C"/>
    <w:rsid w:val="00F93CF4"/>
    <w:rsid w:val="00F97C38"/>
    <w:rsid w:val="00FA5CB2"/>
    <w:rsid w:val="00FA7ED5"/>
    <w:rsid w:val="00FB1441"/>
    <w:rsid w:val="00FB72DD"/>
    <w:rsid w:val="00FC05A9"/>
    <w:rsid w:val="00FC0DAE"/>
    <w:rsid w:val="00FC0EBE"/>
    <w:rsid w:val="00FC1FC5"/>
    <w:rsid w:val="00FC6F08"/>
    <w:rsid w:val="00FC7CC7"/>
    <w:rsid w:val="00FD2218"/>
    <w:rsid w:val="00FD3B73"/>
    <w:rsid w:val="00FE2FFB"/>
    <w:rsid w:val="00FE49AC"/>
    <w:rsid w:val="00FF2D02"/>
    <w:rsid w:val="00FF369E"/>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C85F8-4078-4C90-9F27-94C71354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8983</Words>
  <Characters>49407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2025-04-01T00:07:00Z</dcterms:created>
  <dcterms:modified xsi:type="dcterms:W3CDTF">2025-05-09T17:25:00Z</dcterms:modified>
</cp:coreProperties>
</file>