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once de junio de dos mil veinticinco.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rtl w:val="0"/>
        </w:rPr>
        <w:t xml:space="preserve">03274/INFOEM/IP/RR/2025</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XXXXXX XXX XXXXXXXXX</w:t>
      </w:r>
      <w:r w:rsidDel="00000000" w:rsidR="00000000" w:rsidRPr="00000000">
        <w:rPr>
          <w:rFonts w:ascii="Palatino Linotype" w:cs="Palatino Linotype" w:eastAsia="Palatino Linotype" w:hAnsi="Palatino Linotype"/>
          <w:rtl w:val="0"/>
        </w:rPr>
        <w:t xml:space="preserve">, al cual en lo sucesivo se le denominará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rtl w:val="0"/>
        </w:rPr>
        <w:t xml:space="preserve">00433/CUAUTIZC/IP/2025</w:t>
      </w:r>
      <w:r w:rsidDel="00000000" w:rsidR="00000000" w:rsidRPr="00000000">
        <w:rPr>
          <w:rFonts w:ascii="Palatino Linotype" w:cs="Palatino Linotype" w:eastAsia="Palatino Linotype" w:hAnsi="Palatino Linotype"/>
          <w:rtl w:val="0"/>
        </w:rPr>
        <w:t xml:space="preserve"> proporcionada por parte del </w:t>
      </w:r>
      <w:r w:rsidDel="00000000" w:rsidR="00000000" w:rsidRPr="00000000">
        <w:rPr>
          <w:rFonts w:ascii="Palatino Linotype" w:cs="Palatino Linotype" w:eastAsia="Palatino Linotype" w:hAnsi="Palatino Linotype"/>
          <w:b w:val="1"/>
          <w:rtl w:val="0"/>
        </w:rPr>
        <w:t xml:space="preserve">Ayuntamiento de Cuautitlán Izcalli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rPr>
      </w:pPr>
      <w:bookmarkStart w:colFirst="0" w:colLast="0" w:name="_heading=h.3znysh7" w:id="0"/>
      <w:bookmarkEnd w:id="0"/>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Solicitud de acceso a la información.</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trece de febrero de dos mil veinticinco</w:t>
      </w:r>
      <w:r w:rsidDel="00000000" w:rsidR="00000000" w:rsidRPr="00000000">
        <w:rPr>
          <w:rFonts w:ascii="Palatino Linotype" w:cs="Palatino Linotype" w:eastAsia="Palatino Linotype" w:hAnsi="Palatino Linotype"/>
          <w:rtl w:val="0"/>
        </w:rPr>
        <w:t xml:space="preserve">, el Recurrente formuló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requiriéndole lo siguiente</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08">
      <w:pPr>
        <w:tabs>
          <w:tab w:val="left" w:leader="none" w:pos="1530"/>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p>
    <w:p w:rsidR="00000000" w:rsidDel="00000000" w:rsidP="00000000" w:rsidRDefault="00000000" w:rsidRPr="00000000" w14:paraId="00000009">
      <w:pPr>
        <w:ind w:left="567" w:right="843" w:firstLine="0"/>
        <w:jc w:val="both"/>
        <w:rPr>
          <w:rFonts w:ascii="Palatino Linotype" w:cs="Palatino Linotype" w:eastAsia="Palatino Linotype" w:hAnsi="Palatino Linotype"/>
          <w:i w:val="1"/>
        </w:rPr>
      </w:pPr>
      <w:bookmarkStart w:colFirst="0" w:colLast="0" w:name="_heading=h.30j0zll" w:id="1"/>
      <w:bookmarkEnd w:id="1"/>
      <w:r w:rsidDel="00000000" w:rsidR="00000000" w:rsidRPr="00000000">
        <w:rPr>
          <w:rFonts w:ascii="Palatino Linotype" w:cs="Palatino Linotype" w:eastAsia="Palatino Linotype" w:hAnsi="Palatino Linotype"/>
          <w:i w:val="1"/>
          <w:rtl w:val="0"/>
        </w:rPr>
        <w:t xml:space="preserve">“Listado de pagos efectuados a medios de comunicación, facturas y contratos, del periodo 2024 y 2023”.</w:t>
      </w:r>
    </w:p>
    <w:p w:rsidR="00000000" w:rsidDel="00000000" w:rsidP="00000000" w:rsidRDefault="00000000" w:rsidRPr="00000000" w14:paraId="0000000A">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Ampliación de plazo para emitir respuesta. </w:t>
      </w:r>
      <w:r w:rsidDel="00000000" w:rsidR="00000000" w:rsidRPr="00000000">
        <w:rPr>
          <w:rFonts w:ascii="Palatino Linotype" w:cs="Palatino Linotype" w:eastAsia="Palatino Linotype" w:hAnsi="Palatino Linotype"/>
          <w:color w:val="000000"/>
          <w:rtl w:val="0"/>
        </w:rPr>
        <w:t xml:space="preserve">Con fecha </w:t>
      </w:r>
      <w:r w:rsidDel="00000000" w:rsidR="00000000" w:rsidRPr="00000000">
        <w:rPr>
          <w:rFonts w:ascii="Palatino Linotype" w:cs="Palatino Linotype" w:eastAsia="Palatino Linotype" w:hAnsi="Palatino Linotype"/>
          <w:b w:val="1"/>
          <w:color w:val="000000"/>
          <w:rtl w:val="0"/>
        </w:rPr>
        <w:t xml:space="preserve">siete de marzo de dos mil veinticinco</w:t>
      </w:r>
      <w:r w:rsidDel="00000000" w:rsidR="00000000" w:rsidRPr="00000000">
        <w:rPr>
          <w:rFonts w:ascii="Palatino Linotype" w:cs="Palatino Linotype" w:eastAsia="Palatino Linotype" w:hAnsi="Palatino Linotype"/>
          <w:color w:val="000000"/>
          <w:rtl w:val="0"/>
        </w:rPr>
        <w:t xml:space="preserve">, 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solicitó la ampliación de plazo para emitir respuesta, al tenor de lo siguiente: </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Rule="auto"/>
        <w:ind w:left="567" w:right="56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Rule="auto"/>
        <w:ind w:left="567" w:right="56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Se aprueba por unanimidad la prórroga solicitada por siete días hábiles más.</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2">
      <w:pPr>
        <w:spacing w:after="0" w:line="360" w:lineRule="auto"/>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Como refiere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que nos ocupa y derivado de las constancias que obran en el expediente, se advierte que no se observaron las formalidades que establece la Ley de la materia, pues no se anexó la resolución mediante la cual el Comité de Transparencia aprobó la ampliación del plazo.</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Respuesta. </w:t>
      </w:r>
      <w:r w:rsidDel="00000000" w:rsidR="00000000" w:rsidRPr="00000000">
        <w:rPr>
          <w:rFonts w:ascii="Palatino Linotype" w:cs="Palatino Linotype" w:eastAsia="Palatino Linotype" w:hAnsi="Palatino Linotype"/>
          <w:color w:val="000000"/>
          <w:rtl w:val="0"/>
        </w:rPr>
        <w:t xml:space="preserve">En fecha </w:t>
      </w:r>
      <w:r w:rsidDel="00000000" w:rsidR="00000000" w:rsidRPr="00000000">
        <w:rPr>
          <w:rFonts w:ascii="Palatino Linotype" w:cs="Palatino Linotype" w:eastAsia="Palatino Linotype" w:hAnsi="Palatino Linotype"/>
          <w:b w:val="1"/>
          <w:color w:val="000000"/>
          <w:rtl w:val="0"/>
        </w:rPr>
        <w:t xml:space="preserve">diecinueve de marzo de dos mil veinticinco</w:t>
      </w:r>
      <w:r w:rsidDel="00000000" w:rsidR="00000000" w:rsidRPr="00000000">
        <w:rPr>
          <w:rFonts w:ascii="Palatino Linotype" w:cs="Palatino Linotype" w:eastAsia="Palatino Linotype" w:hAnsi="Palatino Linotype"/>
          <w:color w:val="000000"/>
          <w:rtl w:val="0"/>
        </w:rPr>
        <w:t xml:space="preserve">, 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emitió respuesta a la solicitud de información, al tenor de lo siguiente: </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Rule="auto"/>
        <w:ind w:left="567" w:right="56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Rule="auto"/>
        <w:ind w:left="567" w:right="56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Se procede a notificar la respuesta a la solicitud de información pública. Así mismo se hace de su conocimiento que usted puede interponer su recurso de revisión dentro del plazo de 15 días hábiles contados a partir de la fecha en que se realice la notificación vía electrónica, a través del SAIMEX.</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Asimismo, adjuntó a su respuesta los archivos que se describen a continuación: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Oficio de catorce de febrero de dos mil veinticinco, signado por el Tesorero Municipal, mediante el cual informa que, no se encuentra en posibilidades de dar la debida respuesta actualizada, completa, congruente, confiable, verificable y veraz, toda vez que se encuentran en el proceso de entrega-recepción por conclusión del periodo constitucional municipal e inicial la administración 2025-2027; lo cual es en específico, revisar y verificar que el contenido del soporte documental y electrónico respecto a informes, expedientes, documentos probatorios, coincidan con las evidencias físicas. </w:t>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Oficio signado por el Director de Administración, mediante el cual informa que, es incompetente para poseer o administrar la información solicitada.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Recurso de Revisión. </w:t>
      </w:r>
      <w:r w:rsidDel="00000000" w:rsidR="00000000" w:rsidRPr="00000000">
        <w:rPr>
          <w:rFonts w:ascii="Palatino Linotype" w:cs="Palatino Linotype" w:eastAsia="Palatino Linotype" w:hAnsi="Palatino Linotype"/>
          <w:color w:val="000000"/>
          <w:rtl w:val="0"/>
        </w:rPr>
        <w:t xml:space="preserve">En fecha </w:t>
      </w:r>
      <w:r w:rsidDel="00000000" w:rsidR="00000000" w:rsidRPr="00000000">
        <w:rPr>
          <w:rFonts w:ascii="Palatino Linotype" w:cs="Palatino Linotype" w:eastAsia="Palatino Linotype" w:hAnsi="Palatino Linotype"/>
          <w:b w:val="1"/>
          <w:color w:val="000000"/>
          <w:rtl w:val="0"/>
        </w:rPr>
        <w:t xml:space="preserve">diecinueve de marzo de dos mil veinticinco</w:t>
      </w:r>
      <w:r w:rsidDel="00000000" w:rsidR="00000000" w:rsidRPr="00000000">
        <w:rPr>
          <w:rFonts w:ascii="Palatino Linotype" w:cs="Palatino Linotype" w:eastAsia="Palatino Linotype" w:hAnsi="Palatino Linotype"/>
          <w:color w:val="000000"/>
          <w:rtl w:val="0"/>
        </w:rPr>
        <w:t xml:space="preserve"> la persona Solicitante interpuso Recurso de Revisión a través del </w:t>
      </w:r>
      <w:r w:rsidDel="00000000" w:rsidR="00000000" w:rsidRPr="00000000">
        <w:rPr>
          <w:rFonts w:ascii="Palatino Linotype" w:cs="Palatino Linotype" w:eastAsia="Palatino Linotype" w:hAnsi="Palatino Linotype"/>
          <w:b w:val="1"/>
          <w:color w:val="000000"/>
          <w:rtl w:val="0"/>
        </w:rPr>
        <w:t xml:space="preserve">SAIMEX</w:t>
      </w:r>
      <w:r w:rsidDel="00000000" w:rsidR="00000000" w:rsidRPr="00000000">
        <w:rPr>
          <w:rFonts w:ascii="Palatino Linotype" w:cs="Palatino Linotype" w:eastAsia="Palatino Linotype" w:hAnsi="Palatino Linotype"/>
          <w:color w:val="000000"/>
          <w:rtl w:val="0"/>
        </w:rPr>
        <w:t xml:space="preserve">, a través del cual expresó lo siguiente:</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1276"/>
        </w:tabs>
        <w:spacing w:after="0" w:lineRule="auto"/>
        <w:ind w:left="567" w:right="49" w:firstLine="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Acto impugnado</w:t>
      </w:r>
      <w:r w:rsidDel="00000000" w:rsidR="00000000" w:rsidRPr="00000000">
        <w:rPr>
          <w:rFonts w:ascii="Palatino Linotype" w:cs="Palatino Linotype" w:eastAsia="Palatino Linotype" w:hAnsi="Palatino Linotype"/>
          <w:b w:val="1"/>
          <w:i w:val="1"/>
          <w:color w:val="000000"/>
          <w:rtl w:val="0"/>
        </w:rPr>
        <w:t xml:space="preserve">. </w:t>
      </w:r>
      <w:r w:rsidDel="00000000" w:rsidR="00000000" w:rsidRPr="00000000">
        <w:rPr>
          <w:rFonts w:ascii="Palatino Linotype" w:cs="Palatino Linotype" w:eastAsia="Palatino Linotype" w:hAnsi="Palatino Linotype"/>
          <w:i w:val="1"/>
          <w:color w:val="000000"/>
          <w:rtl w:val="0"/>
        </w:rPr>
        <w:t xml:space="preserve">“Respuesta”.</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1276"/>
        </w:tabs>
        <w:spacing w:after="0" w:lineRule="auto"/>
        <w:ind w:left="567" w:right="49" w:firstLine="0"/>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1276"/>
        </w:tabs>
        <w:spacing w:after="0" w:lineRule="auto"/>
        <w:ind w:left="567" w:right="4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b w:val="1"/>
          <w:color w:val="000000"/>
          <w:rtl w:val="0"/>
        </w:rPr>
        <w:t xml:space="preserve">Razones o motivos de la inconformidad: </w:t>
      </w:r>
      <w:r w:rsidDel="00000000" w:rsidR="00000000" w:rsidRPr="00000000">
        <w:rPr>
          <w:rFonts w:ascii="Palatino Linotype" w:cs="Palatino Linotype" w:eastAsia="Palatino Linotype" w:hAnsi="Palatino Linotype"/>
          <w:i w:val="1"/>
          <w:color w:val="000000"/>
          <w:rtl w:val="0"/>
        </w:rPr>
        <w:t xml:space="preserve">“No remiten lo solicitado”. </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1276"/>
        </w:tabs>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Turno.</w:t>
      </w:r>
      <w:r w:rsidDel="00000000" w:rsidR="00000000" w:rsidRPr="00000000">
        <w:rPr>
          <w:rFonts w:ascii="Palatino Linotype" w:cs="Palatino Linotype" w:eastAsia="Palatino Linotype" w:hAnsi="Palatino Linotype"/>
          <w:color w:val="000000"/>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color w:val="000000"/>
          <w:rtl w:val="0"/>
        </w:rPr>
        <w:t xml:space="preserve">03274/INFOEM/IP/RR/2025</w:t>
      </w:r>
      <w:r w:rsidDel="00000000" w:rsidR="00000000" w:rsidRPr="00000000">
        <w:rPr>
          <w:rFonts w:ascii="Palatino Linotype" w:cs="Palatino Linotype" w:eastAsia="Palatino Linotype" w:hAnsi="Palatino Linotype"/>
          <w:color w:val="000000"/>
          <w:rtl w:val="0"/>
        </w:rPr>
        <w:t xml:space="preserve">, se turnó por el sistema electrónico del Instituto de Transparencia, Acceso a la Información Pública y Protección de162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Admisión del recurso de revisión</w:t>
      </w:r>
      <w:r w:rsidDel="00000000" w:rsidR="00000000" w:rsidRPr="00000000">
        <w:rPr>
          <w:rFonts w:ascii="Palatino Linotype" w:cs="Palatino Linotype" w:eastAsia="Palatino Linotype" w:hAnsi="Palatino Linotype"/>
          <w:color w:val="000000"/>
          <w:rtl w:val="0"/>
        </w:rPr>
        <w:t xml:space="preserve">: En fecha </w:t>
      </w:r>
      <w:r w:rsidDel="00000000" w:rsidR="00000000" w:rsidRPr="00000000">
        <w:rPr>
          <w:rFonts w:ascii="Palatino Linotype" w:cs="Palatino Linotype" w:eastAsia="Palatino Linotype" w:hAnsi="Palatino Linotype"/>
          <w:b w:val="1"/>
          <w:color w:val="000000"/>
          <w:rtl w:val="0"/>
        </w:rPr>
        <w:t xml:space="preserve">veintiuno de abril de dos mil veinticinco</w:t>
      </w:r>
      <w:r w:rsidDel="00000000" w:rsidR="00000000" w:rsidRPr="00000000">
        <w:rPr>
          <w:rFonts w:ascii="Palatino Linotype" w:cs="Palatino Linotype" w:eastAsia="Palatino Linotype" w:hAnsi="Palatino Linotype"/>
          <w:color w:val="000000"/>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27">
      <w:pPr>
        <w:pBdr>
          <w:top w:space="0" w:sz="0" w:val="nil"/>
          <w:left w:space="0" w:sz="0" w:val="nil"/>
          <w:bottom w:space="0" w:sz="0" w:val="nil"/>
          <w:right w:space="0" w:sz="0" w:val="nil"/>
          <w:between w:space="0" w:sz="0" w:val="nil"/>
        </w:pBdr>
        <w:ind w:left="720" w:right="49" w:firstLine="0"/>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Manifestaciones. </w:t>
      </w:r>
      <w:r w:rsidDel="00000000" w:rsidR="00000000" w:rsidRPr="00000000">
        <w:rPr>
          <w:rFonts w:ascii="Palatino Linotype" w:cs="Palatino Linotype" w:eastAsia="Palatino Linotype" w:hAnsi="Palatino Linotype"/>
          <w:color w:val="000000"/>
          <w:rtl w:val="0"/>
        </w:rPr>
        <w:t xml:space="preserve">En fecha </w:t>
      </w:r>
      <w:r w:rsidDel="00000000" w:rsidR="00000000" w:rsidRPr="00000000">
        <w:rPr>
          <w:rFonts w:ascii="Palatino Linotype" w:cs="Palatino Linotype" w:eastAsia="Palatino Linotype" w:hAnsi="Palatino Linotype"/>
          <w:b w:val="1"/>
          <w:color w:val="000000"/>
          <w:rtl w:val="0"/>
        </w:rPr>
        <w:t xml:space="preserve">veinticinco de abril de dos mil veinticinco</w:t>
      </w:r>
      <w:r w:rsidDel="00000000" w:rsidR="00000000" w:rsidRPr="00000000">
        <w:rPr>
          <w:rFonts w:ascii="Palatino Linotype" w:cs="Palatino Linotype" w:eastAsia="Palatino Linotype" w:hAnsi="Palatino Linotype"/>
          <w:color w:val="000000"/>
          <w:rtl w:val="0"/>
        </w:rPr>
        <w:t xml:space="preserve">, el Sujeto Obligado rindió su informe justificado al tenor de lo siguiente:</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veinticinco de marzo de dos mil veinticinco, signado por el Tesorero Municipal, mediante el cual informa que la información solicitada se encuentra contenida en la parte integrante del análisis del procedimiento entrega-recepción obligatorio por el Poder Legislativo del Estado de México, regulado por el ÓRGANO SUPERIOR DE FISCALIZACIÓN DEL ESTADO DE MÉXICO, siendo que  una vez que se termine el procedimiento descrito con antelación se proporcionará la información con todos los elementos que garantiza el acceso a la información.</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color w:val="000000"/>
          <w:rtl w:val="0"/>
        </w:rPr>
        <w:t xml:space="preserve">Documento que se hizo del conocimiento de la parte Recurrente en fecha </w:t>
      </w:r>
      <w:r w:rsidDel="00000000" w:rsidR="00000000" w:rsidRPr="00000000">
        <w:rPr>
          <w:rFonts w:ascii="Palatino Linotype" w:cs="Palatino Linotype" w:eastAsia="Palatino Linotype" w:hAnsi="Palatino Linotype"/>
          <w:b w:val="1"/>
          <w:color w:val="000000"/>
          <w:rtl w:val="0"/>
        </w:rPr>
        <w:t xml:space="preserve">cuatro de junio de dos mil veinticinco.</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 parte Recurrente no realizó manifestaciones. </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Ampliación de plazo.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cuatro de junio de dos mil veinticinco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3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3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3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3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3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3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    Complejidad del asunto:</w:t>
      </w:r>
      <w:r w:rsidDel="00000000" w:rsidR="00000000" w:rsidRPr="00000000">
        <w:rPr>
          <w:rFonts w:ascii="Palatino Linotype" w:cs="Palatino Linotype" w:eastAsia="Palatino Linotype" w:hAnsi="Palatino Linotype"/>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3D">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3E">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  Conducta de la Autoridad:</w:t>
      </w:r>
      <w:r w:rsidDel="00000000" w:rsidR="00000000" w:rsidRPr="00000000">
        <w:rPr>
          <w:rFonts w:ascii="Palatino Linotype" w:cs="Palatino Linotype" w:eastAsia="Palatino Linotype" w:hAnsi="Palatino Linotype"/>
          <w:rtl w:val="0"/>
        </w:rPr>
        <w:t xml:space="preserve"> Las Acciones u omisiones realizadas en el procedimiento. Así como si la autoridad actuó con la debida diligencia.</w:t>
      </w:r>
    </w:p>
    <w:p w:rsidR="00000000" w:rsidDel="00000000" w:rsidP="00000000" w:rsidRDefault="00000000" w:rsidRPr="00000000" w14:paraId="0000003F">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4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4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p>
    <w:p w:rsidR="00000000" w:rsidDel="00000000" w:rsidP="00000000" w:rsidRDefault="00000000" w:rsidRPr="00000000" w14:paraId="0000004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4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9">
      <w:pPr>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4A">
      <w:pPr>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4B">
      <w:pPr>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ff0000"/>
          <w:sz w:val="18"/>
          <w:szCs w:val="18"/>
        </w:rPr>
      </w:pPr>
      <w:r w:rsidDel="00000000" w:rsidR="00000000" w:rsidRPr="00000000">
        <w:rPr>
          <w:rFonts w:ascii="Palatino Linotype" w:cs="Palatino Linotype" w:eastAsia="Palatino Linotype" w:hAnsi="Palatino Linotype"/>
          <w:color w:val="000000"/>
          <w:rtl w:val="0"/>
        </w:rPr>
        <w:t xml:space="preserve">Por ello, este organismo garante comprometido con la tutela de los derechos humanos confiados señala que este exceso del plazo legal para resolver el presente asunto resulta de carácter excepcional.</w:t>
      </w:r>
      <w:r w:rsidDel="00000000" w:rsidR="00000000" w:rsidRPr="00000000">
        <w:rPr>
          <w:rFonts w:ascii="Palatino Linotype" w:cs="Palatino Linotype" w:eastAsia="Palatino Linotype" w:hAnsi="Palatino Linotype"/>
          <w:color w:val="ff0000"/>
          <w:sz w:val="18"/>
          <w:szCs w:val="18"/>
          <w:rtl w:val="0"/>
        </w:rPr>
        <w:t xml:space="preserve">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ff0000"/>
          <w:sz w:val="18"/>
          <w:szCs w:val="18"/>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ff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Cierre de instrucción</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En fecha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diez de junio de dos mil veinticinco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la Comisionada Ponente determinó el cierre de instrucción en términos de la fracción VI del artículo 185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5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3">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5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5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5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proporcionó su respuesta a la solicitud de información el </w:t>
      </w:r>
      <w:r w:rsidDel="00000000" w:rsidR="00000000" w:rsidRPr="00000000">
        <w:rPr>
          <w:rFonts w:ascii="Palatino Linotype" w:cs="Palatino Linotype" w:eastAsia="Palatino Linotype" w:hAnsi="Palatino Linotype"/>
          <w:b w:val="1"/>
          <w:rtl w:val="0"/>
        </w:rPr>
        <w:t xml:space="preserve">diecinueve de marzo de dos mil veinticinco</w:t>
      </w:r>
      <w:r w:rsidDel="00000000" w:rsidR="00000000" w:rsidRPr="00000000">
        <w:rPr>
          <w:rFonts w:ascii="Palatino Linotype" w:cs="Palatino Linotype" w:eastAsia="Palatino Linotype" w:hAnsi="Palatino Linotype"/>
          <w:rtl w:val="0"/>
        </w:rPr>
        <w:t xml:space="preserve">, y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presentó su recurso de revisión el </w:t>
      </w:r>
      <w:r w:rsidDel="00000000" w:rsidR="00000000" w:rsidRPr="00000000">
        <w:rPr>
          <w:rFonts w:ascii="Palatino Linotype" w:cs="Palatino Linotype" w:eastAsia="Palatino Linotype" w:hAnsi="Palatino Linotype"/>
          <w:b w:val="1"/>
          <w:rtl w:val="0"/>
        </w:rPr>
        <w:t xml:space="preserve">diecinueve de marzo de dos mil veinticinco</w:t>
      </w:r>
      <w:r w:rsidDel="00000000" w:rsidR="00000000" w:rsidRPr="00000000">
        <w:rPr>
          <w:rFonts w:ascii="Palatino Linotype" w:cs="Palatino Linotype" w:eastAsia="Palatino Linotype" w:hAnsi="Palatino Linotype"/>
          <w:rtl w:val="0"/>
        </w:rPr>
        <w:t xml:space="preserve">, esto es el mismo día en que tuvo conocimiento de la respuesta. </w:t>
      </w:r>
    </w:p>
    <w:p w:rsidR="00000000" w:rsidDel="00000000" w:rsidP="00000000" w:rsidRDefault="00000000" w:rsidRPr="00000000" w14:paraId="0000005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000000" w:rsidDel="00000000" w:rsidP="00000000" w:rsidRDefault="00000000" w:rsidRPr="00000000" w14:paraId="0000005C">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spacing w:after="120" w:before="120" w:line="240" w:lineRule="auto"/>
        <w:ind w:left="567" w:right="90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rtl w:val="0"/>
        </w:rPr>
        <w:t xml:space="preserve">“RECURSO DE RECLAMACIÓN. SU INTERPOSICIÓN NO ES EXTEMPORÁNEA SI SE REALIZA ANTES DE QUE INICIE EL PLAZO PARA HACERLO</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Palatino Linotype" w:cs="Palatino Linotype" w:eastAsia="Palatino Linotype" w:hAnsi="Palatino Linotype"/>
          <w:i w:val="1"/>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r w:rsidDel="00000000" w:rsidR="00000000" w:rsidRPr="00000000">
        <w:rPr>
          <w:rtl w:val="0"/>
        </w:rPr>
      </w:r>
    </w:p>
    <w:p w:rsidR="00000000" w:rsidDel="00000000" w:rsidP="00000000" w:rsidRDefault="00000000" w:rsidRPr="00000000" w14:paraId="0000005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Es de suma importancia mencionar que, si bien la persona solicitante </w:t>
      </w:r>
      <w:r w:rsidDel="00000000" w:rsidR="00000000" w:rsidRPr="00000000">
        <w:rPr>
          <w:rFonts w:ascii="Palatino Linotype" w:cs="Palatino Linotype" w:eastAsia="Palatino Linotype" w:hAnsi="Palatino Linotype"/>
          <w:b w:val="1"/>
          <w:color w:val="000000"/>
          <w:rtl w:val="0"/>
        </w:rPr>
        <w:t xml:space="preserve">proporcionó un seudónimo </w:t>
      </w:r>
      <w:r w:rsidDel="00000000" w:rsidR="00000000" w:rsidRPr="00000000">
        <w:rPr>
          <w:rFonts w:ascii="Palatino Linotype" w:cs="Palatino Linotype" w:eastAsia="Palatino Linotype" w:hAnsi="Palatino Linotype"/>
          <w:color w:val="000000"/>
          <w:rtl w:val="0"/>
        </w:rPr>
        <w:t xml:space="preserve">para ser identificado, como se advierte en el detalle de seguimiento del SAIMEX</w:t>
      </w:r>
      <w:r w:rsidDel="00000000" w:rsidR="00000000" w:rsidRPr="00000000">
        <w:rPr>
          <w:rFonts w:ascii="Palatino Linotype" w:cs="Palatino Linotype" w:eastAsia="Palatino Linotype" w:hAnsi="Palatino Linotype"/>
          <w:rtl w:val="0"/>
        </w:rPr>
        <w:t xml:space="preserve">,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60">
      <w:pP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1">
      <w:pPr>
        <w:spacing w:after="0" w:lineRule="auto"/>
        <w:ind w:left="567" w:right="4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Las solicitudes anónimas, con nombre incompleto o seudónimo serán procedentes para su trámite por parte del sujeto obligado ante quien se presente.</w:t>
      </w:r>
      <w:r w:rsidDel="00000000" w:rsidR="00000000" w:rsidRPr="00000000">
        <w:rPr>
          <w:rFonts w:ascii="Palatino Linotype" w:cs="Palatino Linotype" w:eastAsia="Palatino Linotype" w:hAnsi="Palatino Linotype"/>
          <w:i w:val="1"/>
          <w:color w:val="000000"/>
          <w:rtl w:val="0"/>
        </w:rPr>
        <w:t xml:space="preserve"> No podrá requerirse información adicional con motivo del nombre proporcionado por el solicitante.</w:t>
      </w:r>
    </w:p>
    <w:p w:rsidR="00000000" w:rsidDel="00000000" w:rsidP="00000000" w:rsidRDefault="00000000" w:rsidRPr="00000000" w14:paraId="0000006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6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procedente la interposición del recurso de revisión al rubro anotado, toda vez que se actualiza la hipótesis prevista en el artículo 179, fracción I de la ley de la materia, que a la letra dice:</w:t>
      </w:r>
    </w:p>
    <w:p w:rsidR="00000000" w:rsidDel="00000000" w:rsidP="00000000" w:rsidRDefault="00000000" w:rsidRPr="00000000" w14:paraId="0000006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6">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 </w:t>
      </w:r>
      <w:r w:rsidDel="00000000" w:rsidR="00000000" w:rsidRPr="00000000">
        <w:rPr>
          <w:rFonts w:ascii="Palatino Linotype" w:cs="Palatino Linotype" w:eastAsia="Palatino Linotype" w:hAnsi="Palatino Linotype"/>
          <w:i w:val="1"/>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67">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8">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negativa de entrega de la información;</w:t>
      </w:r>
      <w:r w:rsidDel="00000000" w:rsidR="00000000" w:rsidRPr="00000000">
        <w:rPr>
          <w:rFonts w:ascii="Palatino Linotype" w:cs="Palatino Linotype" w:eastAsia="Palatino Linotype" w:hAnsi="Palatino Linotype"/>
          <w:i w:val="1"/>
          <w:color w:val="ff0000"/>
          <w:rtl w:val="0"/>
        </w:rPr>
        <w:t xml:space="preserve"> </w:t>
      </w:r>
      <w:r w:rsidDel="00000000" w:rsidR="00000000" w:rsidRPr="00000000">
        <w:rPr>
          <w:rtl w:val="0"/>
        </w:rPr>
      </w:r>
    </w:p>
    <w:p w:rsidR="00000000" w:rsidDel="00000000" w:rsidP="00000000" w:rsidRDefault="00000000" w:rsidRPr="00000000" w14:paraId="00000069">
      <w:pPr>
        <w:spacing w:after="0" w:line="36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6A">
      <w:pPr>
        <w:spacing w:after="0" w:line="360" w:lineRule="auto"/>
        <w:ind w:right="49"/>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color w:val="000000"/>
          <w:rtl w:val="0"/>
        </w:rPr>
        <w:t xml:space="preserve">Tercero. Materia de Revisión</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rsidR="00000000" w:rsidDel="00000000" w:rsidP="00000000" w:rsidRDefault="00000000" w:rsidRPr="00000000" w14:paraId="0000006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Estudio de fondo del asunto.</w:t>
      </w:r>
      <w:r w:rsidDel="00000000" w:rsidR="00000000" w:rsidRPr="00000000">
        <w:rPr>
          <w:rFonts w:ascii="Palatino Linotype" w:cs="Palatino Linotype" w:eastAsia="Palatino Linotype" w:hAnsi="Palatino Linotype"/>
          <w:rtl w:val="0"/>
        </w:rPr>
        <w:t xml:space="preserve">  Es conveniente analizar si la respuesta del Sujeto Obligado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6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F">
      <w:pPr>
        <w:tabs>
          <w:tab w:val="left" w:leader="none" w:pos="851"/>
        </w:tabs>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70">
      <w:pPr>
        <w:tabs>
          <w:tab w:val="left" w:leader="none" w:pos="851"/>
        </w:tabs>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71">
      <w:pPr>
        <w:tabs>
          <w:tab w:val="left" w:leader="none" w:pos="851"/>
        </w:tabs>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7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5">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76">
      <w:pPr>
        <w:spacing w:after="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7">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78">
      <w:pPr>
        <w:spacing w:after="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9">
      <w:pP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Del="00000000" w:rsidR="00000000" w:rsidRPr="00000000">
        <w:rPr>
          <w:rFonts w:ascii="Palatino Linotype" w:cs="Palatino Linotype" w:eastAsia="Palatino Linotype" w:hAnsi="Palatino Linotype"/>
          <w:rtl w:val="0"/>
        </w:rPr>
        <w:t xml:space="preserve">sólo</w:t>
      </w:r>
      <w:r w:rsidDel="00000000" w:rsidR="00000000" w:rsidRPr="00000000">
        <w:rPr>
          <w:rFonts w:ascii="Palatino Linotype" w:cs="Palatino Linotype" w:eastAsia="Palatino Linotype" w:hAnsi="Palatino Linotype"/>
          <w:color w:val="000000"/>
          <w:rtl w:val="0"/>
        </w:rPr>
        <w:t xml:space="preserve"> se </w:t>
      </w:r>
      <w:r w:rsidDel="00000000" w:rsidR="00000000" w:rsidRPr="00000000">
        <w:rPr>
          <w:rFonts w:ascii="Palatino Linotype" w:cs="Palatino Linotype" w:eastAsia="Palatino Linotype" w:hAnsi="Palatino Linotype"/>
          <w:rtl w:val="0"/>
        </w:rPr>
        <w:t xml:space="preserve">concretarán</w:t>
      </w:r>
      <w:r w:rsidDel="00000000" w:rsidR="00000000" w:rsidRPr="00000000">
        <w:rPr>
          <w:rFonts w:ascii="Palatino Linotype" w:cs="Palatino Linotype" w:eastAsia="Palatino Linotype" w:hAnsi="Palatino Linotype"/>
          <w:color w:val="000000"/>
          <w:rtl w:val="0"/>
        </w:rPr>
        <w:t xml:space="preserve">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7A">
      <w:pP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B">
      <w:pPr>
        <w:spacing w:after="0" w:line="360" w:lineRule="auto"/>
        <w:ind w:right="49"/>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color w:val="000000"/>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color w:val="000000"/>
          <w:rtl w:val="0"/>
        </w:rPr>
        <w:t xml:space="preserve"> </w:t>
      </w:r>
    </w:p>
    <w:p w:rsidR="00000000" w:rsidDel="00000000" w:rsidP="00000000" w:rsidRDefault="00000000" w:rsidRPr="00000000" w14:paraId="0000007C">
      <w:pPr>
        <w:spacing w:after="0" w:lineRule="auto"/>
        <w:ind w:left="851" w:right="49"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D">
      <w:pPr>
        <w:spacing w:after="0" w:lineRule="auto"/>
        <w:ind w:left="567" w:right="4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color w:val="000000"/>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7E">
      <w:pPr>
        <w:spacing w:after="0" w:lineRule="auto"/>
        <w:ind w:left="567" w:right="49"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7F">
      <w:pP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w:t>
      </w:r>
      <w:r w:rsidDel="00000000" w:rsidR="00000000" w:rsidRPr="00000000">
        <w:rPr>
          <w:rFonts w:ascii="Palatino Linotype" w:cs="Palatino Linotype" w:eastAsia="Palatino Linotype" w:hAnsi="Palatino Linotype"/>
          <w:color w:val="000000"/>
          <w:rtl w:val="0"/>
        </w:rPr>
        <w:t xml:space="preserve">sólo proporcionarán la información pública que </w:t>
      </w:r>
      <w:r w:rsidDel="00000000" w:rsidR="00000000" w:rsidRPr="00000000">
        <w:rPr>
          <w:rFonts w:ascii="Palatino Linotype" w:cs="Palatino Linotype" w:eastAsia="Palatino Linotype" w:hAnsi="Palatino Linotype"/>
          <w:rtl w:val="0"/>
        </w:rPr>
        <w:t xml:space="preserve">generen</w:t>
      </w:r>
      <w:r w:rsidDel="00000000" w:rsidR="00000000" w:rsidRPr="00000000">
        <w:rPr>
          <w:rFonts w:ascii="Palatino Linotype" w:cs="Palatino Linotype" w:eastAsia="Palatino Linotype" w:hAnsi="Palatino Linotype"/>
          <w:color w:val="000000"/>
          <w:rtl w:val="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80">
      <w:pP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8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8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8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5">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86">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7">
      <w:pPr>
        <w:spacing w:after="0" w:lineRule="auto"/>
        <w:ind w:left="567" w:right="4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b w:val="1"/>
          <w:i w:val="1"/>
          <w:color w:val="000000"/>
          <w:rtl w:val="0"/>
        </w:rPr>
        <w:t xml:space="preserve">XI. Documento:</w:t>
      </w:r>
      <w:r w:rsidDel="00000000" w:rsidR="00000000" w:rsidRPr="00000000">
        <w:rPr>
          <w:rFonts w:ascii="Palatino Linotype" w:cs="Palatino Linotype" w:eastAsia="Palatino Linotype" w:hAnsi="Palatino Linotype"/>
          <w:i w:val="1"/>
          <w:color w:val="000000"/>
          <w:rtl w:val="0"/>
        </w:rPr>
        <w:t xml:space="preserve"> Los expedientes, reportes, estudios, actas</w:t>
      </w:r>
      <w:r w:rsidDel="00000000" w:rsidR="00000000" w:rsidRPr="00000000">
        <w:rPr>
          <w:rFonts w:ascii="Palatino Linotype" w:cs="Palatino Linotype" w:eastAsia="Palatino Linotype" w:hAnsi="Palatino Linotype"/>
          <w:b w:val="1"/>
          <w:i w:val="1"/>
          <w:color w:val="000000"/>
          <w:rtl w:val="0"/>
        </w:rPr>
        <w:t xml:space="preserve">,</w:t>
      </w:r>
      <w:r w:rsidDel="00000000" w:rsidR="00000000" w:rsidRPr="00000000">
        <w:rPr>
          <w:rFonts w:ascii="Palatino Linotype" w:cs="Palatino Linotype" w:eastAsia="Palatino Linotype" w:hAnsi="Palatino Linotype"/>
          <w:i w:val="1"/>
          <w:color w:val="000000"/>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88">
      <w:pPr>
        <w:spacing w:after="0" w:line="360" w:lineRule="auto"/>
        <w:ind w:left="851"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8A">
      <w:pPr>
        <w:spacing w:after="0" w:line="360" w:lineRule="auto"/>
        <w:ind w:left="851"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tabs>
          <w:tab w:val="left" w:leader="none" w:pos="7797"/>
        </w:tabs>
        <w:spacing w:after="0" w:lineRule="auto"/>
        <w:ind w:left="709" w:right="49"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8C">
      <w:pPr>
        <w:tabs>
          <w:tab w:val="left" w:leader="none" w:pos="7797"/>
        </w:tabs>
        <w:spacing w:after="0" w:lineRule="auto"/>
        <w:ind w:left="709"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8D">
      <w:pPr>
        <w:tabs>
          <w:tab w:val="left" w:leader="none" w:pos="7797"/>
        </w:tabs>
        <w:spacing w:after="0" w:lineRule="auto"/>
        <w:ind w:left="709"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8E">
      <w:pPr>
        <w:tabs>
          <w:tab w:val="left" w:leader="none" w:pos="7797"/>
        </w:tabs>
        <w:spacing w:after="0" w:lineRule="auto"/>
        <w:ind w:left="709" w:right="49"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8F">
      <w:pPr>
        <w:tabs>
          <w:tab w:val="left" w:leader="none" w:pos="7797"/>
        </w:tabs>
        <w:spacing w:after="0" w:lineRule="auto"/>
        <w:ind w:left="709" w:right="49"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9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es de recordar que la parte Solicitante requirió se le proporcionara el listado de pagos efectuados a medios de comunicación, facturas y contratos del periodo 2024 y 2023. </w:t>
      </w:r>
    </w:p>
    <w:p w:rsidR="00000000" w:rsidDel="00000000" w:rsidP="00000000" w:rsidRDefault="00000000" w:rsidRPr="00000000" w14:paraId="0000009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3">
      <w:pP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En respuesta</w:t>
      </w:r>
      <w:r w:rsidDel="00000000" w:rsidR="00000000" w:rsidRPr="00000000">
        <w:rPr>
          <w:rFonts w:ascii="Palatino Linotype" w:cs="Palatino Linotype" w:eastAsia="Palatino Linotype" w:hAnsi="Palatino Linotype"/>
          <w:color w:val="000000"/>
          <w:rtl w:val="0"/>
        </w:rPr>
        <w:t xml:space="preserve">, el Tesorero Municipal informó que, no se encuentra en posibilidades de dar la debida respuesta actualizada, completa, congruente, confiable, verificable y veraz, toda vez que </w:t>
      </w:r>
      <w:r w:rsidDel="00000000" w:rsidR="00000000" w:rsidRPr="00000000">
        <w:rPr>
          <w:rFonts w:ascii="Palatino Linotype" w:cs="Palatino Linotype" w:eastAsia="Palatino Linotype" w:hAnsi="Palatino Linotype"/>
          <w:b w:val="1"/>
          <w:color w:val="000000"/>
          <w:rtl w:val="0"/>
        </w:rPr>
        <w:t xml:space="preserve">se encuentran en el proceso de entrega-recepción</w:t>
      </w:r>
      <w:r w:rsidDel="00000000" w:rsidR="00000000" w:rsidRPr="00000000">
        <w:rPr>
          <w:rFonts w:ascii="Palatino Linotype" w:cs="Palatino Linotype" w:eastAsia="Palatino Linotype" w:hAnsi="Palatino Linotype"/>
          <w:color w:val="000000"/>
          <w:rtl w:val="0"/>
        </w:rPr>
        <w:t xml:space="preserve"> por conclusión del periodo constitucional municipal e inicial la administración 2025-2027; lo cual es en específico, revisar y verificar que el contenido del soporte documental y electrónico respecto a informes, expedientes, documentos probatorios, coincidan con las evidencias físicas. </w:t>
      </w:r>
    </w:p>
    <w:p w:rsidR="00000000" w:rsidDel="00000000" w:rsidP="00000000" w:rsidRDefault="00000000" w:rsidRPr="00000000" w14:paraId="00000094">
      <w:pP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95">
      <w:pP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su parte, el Director de Administración, informó que es incompetente para poseer o administrar la información solicitada. </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Derivado de ello, la parte Recurrente se inconformó arguyendo que no se remite lo solicitado. </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así que, en atención a ello, el Tesorero Municipal, refirió que  una vez que se termine el procedimiento descrito con antelación se proporcionará la información con todos los elementos que garantiza el acceso a la información.</w:t>
      </w:r>
    </w:p>
    <w:p w:rsidR="00000000" w:rsidDel="00000000" w:rsidP="00000000" w:rsidRDefault="00000000" w:rsidRPr="00000000" w14:paraId="0000009A">
      <w:pP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9B">
      <w:pP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ese sentido, antes de iniciar el análisis del presente asunto, es de señalar que, de la lectura a la solicitud de información se advierte que la parte Recurrente solicitó el listado de pagos y las facturas de los pagos efectuados a los medios de comunicación, por lo que, es de mencionar que, el Sujeto Obligado no se encuentra obligado a generar documentos atendiendo a los intereses de los particulares, esto en atención al artículo 12 de la Ley de Transparencia y Acceso a la Información Pública del Estado de México y Municipios, por lo que, únicamente deberá hacer entrega de la información que obre en sus archivos, en el estado en que esta se encuentre. </w:t>
      </w:r>
    </w:p>
    <w:p w:rsidR="00000000" w:rsidDel="00000000" w:rsidP="00000000" w:rsidRDefault="00000000" w:rsidRPr="00000000" w14:paraId="0000009C">
      <w:pP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9D">
      <w:pP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Asimismo, se advierte que, las facturas solicitadas dan cuenta de los pagos efectuados, en atención a la naturaleza de la factura, al ser un documento comprobatorio donde se detallan la operación de la compra-venta de un servicio. </w:t>
      </w:r>
    </w:p>
    <w:p w:rsidR="00000000" w:rsidDel="00000000" w:rsidP="00000000" w:rsidRDefault="00000000" w:rsidRPr="00000000" w14:paraId="0000009E">
      <w:pP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9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atendiendo a la naturaleza del asunto, resulta necesario contextualizar la información solicitada, para ello, es necesario traer a colación lo que establecen los artículos 26 y 27 de la Ley de Contratación Pública del Estado de México y Municipios, las adquisiciones, arrendamientos y servicios se adjudicarán a través de licitaciones públicas mediante convocatoria pública o bien, a través de las excepciones a dicho procedimiento, como se observa a continuación: </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1">
      <w:pPr>
        <w:spacing w:after="0" w:lineRule="auto"/>
        <w:ind w:left="567" w:right="49"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LEY DE CONTRATACIÓN PÚBLICA DEL ESTADO DE MÉXICO Y MUNICIPIO</w:t>
      </w:r>
    </w:p>
    <w:p w:rsidR="00000000" w:rsidDel="00000000" w:rsidP="00000000" w:rsidRDefault="00000000" w:rsidRPr="00000000" w14:paraId="000000A2">
      <w:pPr>
        <w:spacing w:after="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3">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26.-</w:t>
      </w:r>
      <w:r w:rsidDel="00000000" w:rsidR="00000000" w:rsidRPr="00000000">
        <w:rPr>
          <w:rFonts w:ascii="Palatino Linotype" w:cs="Palatino Linotype" w:eastAsia="Palatino Linotype" w:hAnsi="Palatino Linotype"/>
          <w:i w:val="1"/>
          <w:rtl w:val="0"/>
        </w:rPr>
        <w:t xml:space="preserve"> Las adquisiciones, arrendamientos y servicios se adjudicarán a través de licitaciones públicas, mediante convocatoria pública. </w:t>
      </w:r>
    </w:p>
    <w:p w:rsidR="00000000" w:rsidDel="00000000" w:rsidP="00000000" w:rsidRDefault="00000000" w:rsidRPr="00000000" w14:paraId="000000A4">
      <w:pPr>
        <w:spacing w:after="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5">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27.-</w:t>
      </w:r>
      <w:r w:rsidDel="00000000" w:rsidR="00000000" w:rsidRPr="00000000">
        <w:rPr>
          <w:rFonts w:ascii="Palatino Linotype" w:cs="Palatino Linotype" w:eastAsia="Palatino Linotype" w:hAnsi="Palatino Linotype"/>
          <w:i w:val="1"/>
          <w:rtl w:val="0"/>
        </w:rPr>
        <w:t xml:space="preserve"> La Secretaría, las entidades, los tribunales administrativos y los ayuntamientos podrán adjudicar adquisiciones, arrendamientos y servicios, mediante las excepciones al procedimiento de licitación que a continuación se señalan: </w:t>
      </w:r>
    </w:p>
    <w:p w:rsidR="00000000" w:rsidDel="00000000" w:rsidP="00000000" w:rsidRDefault="00000000" w:rsidRPr="00000000" w14:paraId="000000A6">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Invitación restringida. </w:t>
      </w:r>
    </w:p>
    <w:p w:rsidR="00000000" w:rsidDel="00000000" w:rsidP="00000000" w:rsidRDefault="00000000" w:rsidRPr="00000000" w14:paraId="000000A7">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Adjudicación directa.</w:t>
      </w:r>
    </w:p>
    <w:p w:rsidR="00000000" w:rsidDel="00000000" w:rsidP="00000000" w:rsidRDefault="00000000" w:rsidRPr="00000000" w14:paraId="000000A8">
      <w:pPr>
        <w:spacing w:after="0" w:line="36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al procedimiento de </w:t>
      </w:r>
      <w:r w:rsidDel="00000000" w:rsidR="00000000" w:rsidRPr="00000000">
        <w:rPr>
          <w:rFonts w:ascii="Palatino Linotype" w:cs="Palatino Linotype" w:eastAsia="Palatino Linotype" w:hAnsi="Palatino Linotype"/>
          <w:b w:val="1"/>
          <w:rtl w:val="0"/>
        </w:rPr>
        <w:t xml:space="preserve">licitación pública</w:t>
      </w:r>
      <w:r w:rsidDel="00000000" w:rsidR="00000000" w:rsidRPr="00000000">
        <w:rPr>
          <w:rFonts w:ascii="Palatino Linotype" w:cs="Palatino Linotype" w:eastAsia="Palatino Linotype" w:hAnsi="Palatino Linotype"/>
          <w:rtl w:val="0"/>
        </w:rPr>
        <w:t xml:space="preserve">, es de mencionar que de acuerdo con el Banco Interamericano de Desarrollo, la licitación es un procedimiento formal y competitivo de adquisiciones, mediante el cual se solicitan, reciben y evalúan ofertas para la adquisición de bienes, obras o servicios y se adjudica el contrato correspondiente al licitador que ofrezca la propuesta más ventajosa. (Desarrollo, 1995)</w:t>
      </w:r>
    </w:p>
    <w:p w:rsidR="00000000" w:rsidDel="00000000" w:rsidP="00000000" w:rsidRDefault="00000000" w:rsidRPr="00000000" w14:paraId="000000A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cuando hace a la </w:t>
      </w:r>
      <w:r w:rsidDel="00000000" w:rsidR="00000000" w:rsidRPr="00000000">
        <w:rPr>
          <w:rFonts w:ascii="Palatino Linotype" w:cs="Palatino Linotype" w:eastAsia="Palatino Linotype" w:hAnsi="Palatino Linotype"/>
          <w:b w:val="1"/>
          <w:rtl w:val="0"/>
        </w:rPr>
        <w:t xml:space="preserve">adjudicación directa</w:t>
      </w:r>
      <w:r w:rsidDel="00000000" w:rsidR="00000000" w:rsidRPr="00000000">
        <w:rPr>
          <w:rFonts w:ascii="Palatino Linotype" w:cs="Palatino Linotype" w:eastAsia="Palatino Linotype" w:hAnsi="Palatino Linotype"/>
          <w:rtl w:val="0"/>
        </w:rPr>
        <w:t xml:space="preserve">, la Secretaría de la Función Pública, (consultable en </w:t>
      </w:r>
      <w:hyperlink r:id="rId7">
        <w:r w:rsidDel="00000000" w:rsidR="00000000" w:rsidRPr="00000000">
          <w:rPr>
            <w:rFonts w:ascii="Palatino Linotype" w:cs="Palatino Linotype" w:eastAsia="Palatino Linotype" w:hAnsi="Palatino Linotype"/>
            <w:color w:val="0563c1"/>
            <w:u w:val="single"/>
            <w:rtl w:val="0"/>
          </w:rPr>
          <w:t xml:space="preserve">https://www.gob.mx/sfp/acciones-y-programas/1-3-3-adjudicacion-directa</w:t>
        </w:r>
      </w:hyperlink>
      <w:r w:rsidDel="00000000" w:rsidR="00000000" w:rsidRPr="00000000">
        <w:rPr>
          <w:rFonts w:ascii="Palatino Linotype" w:cs="Palatino Linotype" w:eastAsia="Palatino Linotype" w:hAnsi="Palatino Linotype"/>
          <w:rtl w:val="0"/>
        </w:rPr>
        <w:t xml:space="preserve">) establece que, es un procedimiento que se realiza sin puesta en concurrencia y, por ende, sin que exista competencia, adjudicándose el contrato a un proveedor que ha sido preseleccionado para tales efectos por la dependencia o entidad. </w:t>
      </w:r>
    </w:p>
    <w:p w:rsidR="00000000" w:rsidDel="00000000" w:rsidP="00000000" w:rsidRDefault="00000000" w:rsidRPr="00000000" w14:paraId="000000A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último, respecto a la </w:t>
      </w:r>
      <w:r w:rsidDel="00000000" w:rsidR="00000000" w:rsidRPr="00000000">
        <w:rPr>
          <w:rFonts w:ascii="Palatino Linotype" w:cs="Palatino Linotype" w:eastAsia="Palatino Linotype" w:hAnsi="Palatino Linotype"/>
          <w:b w:val="1"/>
          <w:rtl w:val="0"/>
        </w:rPr>
        <w:t xml:space="preserve">invitación restringida a cuando menos tres proveedores</w:t>
      </w:r>
      <w:r w:rsidDel="00000000" w:rsidR="00000000" w:rsidRPr="00000000">
        <w:rPr>
          <w:rFonts w:ascii="Palatino Linotype" w:cs="Palatino Linotype" w:eastAsia="Palatino Linotype" w:hAnsi="Palatino Linotype"/>
          <w:rtl w:val="0"/>
        </w:rPr>
        <w:t xml:space="preserve">, la Secretaría de la Contraloría (consultable en </w:t>
      </w:r>
      <w:hyperlink r:id="rId8">
        <w:r w:rsidDel="00000000" w:rsidR="00000000" w:rsidRPr="00000000">
          <w:rPr>
            <w:rFonts w:ascii="Palatino Linotype" w:cs="Palatino Linotype" w:eastAsia="Palatino Linotype" w:hAnsi="Palatino Linotype"/>
            <w:color w:val="0563c1"/>
            <w:u w:val="single"/>
            <w:rtl w:val="0"/>
          </w:rPr>
          <w:t xml:space="preserve">http://www.contraloriadf.gob.mx/contraloria/cursos/ADQUISICIONES/paginas/32.php#:~:text=Es%20un%20procedimiento%20administrativo%2C%20de,tres%20oferentes%20a%20presentar%20propuestas%2C</w:t>
        </w:r>
      </w:hyperlink>
      <w:r w:rsidDel="00000000" w:rsidR="00000000" w:rsidRPr="00000000">
        <w:rPr>
          <w:rFonts w:ascii="Palatino Linotype" w:cs="Palatino Linotype" w:eastAsia="Palatino Linotype" w:hAnsi="Palatino Linotype"/>
          <w:rtl w:val="0"/>
        </w:rPr>
        <w:t xml:space="preserve">) precisa que es un procedimiento de excepción a la licitación pública que permite a las dependencias, unidades administrativas, órganos desconcentrados y entidades, en forma discrecional, realizar un procedimiento para adquirir, arrendar o contratar, invitando a por lo menos tres oferentes a presentar propuestas.</w:t>
      </w:r>
    </w:p>
    <w:p w:rsidR="00000000" w:rsidDel="00000000" w:rsidP="00000000" w:rsidRDefault="00000000" w:rsidRPr="00000000" w14:paraId="000000A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Reglamento de la Ley de Contratación Pública del Estado de México y Municipios, precisa lo siguiente: </w:t>
      </w:r>
    </w:p>
    <w:p w:rsidR="00000000" w:rsidDel="00000000" w:rsidP="00000000" w:rsidRDefault="00000000" w:rsidRPr="00000000" w14:paraId="000000B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Rule="auto"/>
        <w:ind w:left="567" w:right="4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b w:val="1"/>
          <w:i w:val="1"/>
          <w:color w:val="000000"/>
          <w:rtl w:val="0"/>
        </w:rPr>
        <w:t xml:space="preserve">Artículo 2. - </w:t>
      </w:r>
      <w:r w:rsidDel="00000000" w:rsidR="00000000" w:rsidRPr="00000000">
        <w:rPr>
          <w:rFonts w:ascii="Palatino Linotype" w:cs="Palatino Linotype" w:eastAsia="Palatino Linotype" w:hAnsi="Palatino Linotype"/>
          <w:i w:val="1"/>
          <w:color w:val="000000"/>
          <w:rtl w:val="0"/>
        </w:rPr>
        <w:t xml:space="preserve">Para los efectos de este Reglamento, se entenderá por:</w:t>
      </w:r>
    </w:p>
    <w:p w:rsidR="00000000" w:rsidDel="00000000" w:rsidP="00000000" w:rsidRDefault="00000000" w:rsidRPr="00000000" w14:paraId="000000B2">
      <w:pPr>
        <w:spacing w:after="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tabs>
          <w:tab w:val="left" w:leader="none" w:pos="795"/>
        </w:tabs>
        <w:spacing w:after="0" w:lineRule="auto"/>
        <w:ind w:left="567" w:right="4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I. </w:t>
      </w:r>
      <w:r w:rsidDel="00000000" w:rsidR="00000000" w:rsidRPr="00000000">
        <w:rPr>
          <w:rFonts w:ascii="Palatino Linotype" w:cs="Palatino Linotype" w:eastAsia="Palatino Linotype" w:hAnsi="Palatino Linotype"/>
          <w:b w:val="1"/>
          <w:i w:val="1"/>
          <w:color w:val="000000"/>
          <w:rtl w:val="0"/>
        </w:rPr>
        <w:t xml:space="preserve">Adjudicación directa:</w:t>
      </w:r>
      <w:r w:rsidDel="00000000" w:rsidR="00000000" w:rsidRPr="00000000">
        <w:rPr>
          <w:rFonts w:ascii="Palatino Linotype" w:cs="Palatino Linotype" w:eastAsia="Palatino Linotype" w:hAnsi="Palatino Linotype"/>
          <w:i w:val="1"/>
          <w:color w:val="000000"/>
          <w:rtl w:val="0"/>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tabs>
          <w:tab w:val="left" w:leader="none" w:pos="795"/>
        </w:tabs>
        <w:spacing w:after="0" w:lineRule="auto"/>
        <w:ind w:left="567" w:right="4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w:t>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tabs>
          <w:tab w:val="left" w:leader="none" w:pos="795"/>
        </w:tabs>
        <w:spacing w:after="0" w:lineRule="auto"/>
        <w:ind w:left="567" w:right="4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XII.</w:t>
        <w:tab/>
      </w:r>
      <w:r w:rsidDel="00000000" w:rsidR="00000000" w:rsidRPr="00000000">
        <w:rPr>
          <w:rFonts w:ascii="Palatino Linotype" w:cs="Palatino Linotype" w:eastAsia="Palatino Linotype" w:hAnsi="Palatino Linotype"/>
          <w:b w:val="1"/>
          <w:i w:val="1"/>
          <w:color w:val="000000"/>
          <w:rtl w:val="0"/>
        </w:rPr>
        <w:t xml:space="preserve">Invitación restringida:</w:t>
      </w:r>
      <w:r w:rsidDel="00000000" w:rsidR="00000000" w:rsidRPr="00000000">
        <w:rPr>
          <w:rFonts w:ascii="Palatino Linotype" w:cs="Palatino Linotype" w:eastAsia="Palatino Linotype" w:hAnsi="Palatino Linotype"/>
          <w:i w:val="1"/>
          <w:color w:val="000000"/>
          <w:rtl w:val="0"/>
        </w:rPr>
        <w:t xml:space="preserve">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w:t>
      </w:r>
    </w:p>
    <w:p w:rsidR="00000000" w:rsidDel="00000000" w:rsidP="00000000" w:rsidRDefault="00000000" w:rsidRPr="00000000" w14:paraId="000000B6">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7">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XIV.</w:t>
        <w:tab/>
      </w:r>
      <w:r w:rsidDel="00000000" w:rsidR="00000000" w:rsidRPr="00000000">
        <w:rPr>
          <w:rFonts w:ascii="Palatino Linotype" w:cs="Palatino Linotype" w:eastAsia="Palatino Linotype" w:hAnsi="Palatino Linotype"/>
          <w:b w:val="1"/>
          <w:i w:val="1"/>
          <w:rtl w:val="0"/>
        </w:rPr>
        <w:t xml:space="preserve">Licitación pública:</w:t>
      </w:r>
      <w:r w:rsidDel="00000000" w:rsidR="00000000" w:rsidRPr="00000000">
        <w:rPr>
          <w:rFonts w:ascii="Palatino Linotype" w:cs="Palatino Linotype" w:eastAsia="Palatino Linotype" w:hAnsi="Palatino Linotype"/>
          <w:i w:val="1"/>
          <w:rtl w:val="0"/>
        </w:rPr>
        <w:t xml:space="preserve"> Modalidad de adquisición de bienes y contratación de servicios, mediante convocatoria</w:t>
        <w:tab/>
        <w:t xml:space="preserve">pública que realicen la Secretaría, organismos auxiliares, tribunales administrativos o municipios, por el que se aseguran las mejores condiciones en cuanto a precio, calidad, financiamiento, oportunidad y demás circunst ancias pertinentes.</w:t>
      </w:r>
    </w:p>
    <w:p w:rsidR="00000000" w:rsidDel="00000000" w:rsidP="00000000" w:rsidRDefault="00000000" w:rsidRPr="00000000" w14:paraId="000000B8">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0B9">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w:t>
        <w:tab/>
      </w:r>
      <w:r w:rsidDel="00000000" w:rsidR="00000000" w:rsidRPr="00000000">
        <w:rPr>
          <w:rFonts w:ascii="Palatino Linotype" w:cs="Palatino Linotype" w:eastAsia="Palatino Linotype" w:hAnsi="Palatino Linotype"/>
          <w:b w:val="1"/>
          <w:i w:val="1"/>
          <w:rtl w:val="0"/>
        </w:rPr>
        <w:t xml:space="preserve">Procedimiento de adquisición:</w:t>
      </w:r>
      <w:r w:rsidDel="00000000" w:rsidR="00000000" w:rsidRPr="00000000">
        <w:rPr>
          <w:rFonts w:ascii="Palatino Linotype" w:cs="Palatino Linotype" w:eastAsia="Palatino Linotype" w:hAnsi="Palatino Linotype"/>
          <w:i w:val="1"/>
          <w:rtl w:val="0"/>
        </w:rPr>
        <w:t xml:space="preserve"> Conjunto de etapas por las que la Secretaría, las dependencias, organismos auxiliares, tribunales administrativos o municipios , adquieren bienes, contratan servicios o  adquieren  en  arrendamiento bienes  inmuebles  para  el cumplimiento  de  sus funciones, programas y acciones.</w:t>
      </w:r>
    </w:p>
    <w:p w:rsidR="00000000" w:rsidDel="00000000" w:rsidP="00000000" w:rsidRDefault="00000000" w:rsidRPr="00000000" w14:paraId="000000BA">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B">
      <w:pPr>
        <w:spacing w:after="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respecta a la materia del derecho de acceso a la información pública, es de destacar que de acuerdo con lo que establece el artículo 92, fracción XXIX de la Ley de Transparencia y Acceso a la Información Pública del Estado de México y Municipios los sujetos obligados deben poner a disposición de los particulares la información relacionada con los procedimientos de contratación, tal como se puede apreciar a continuación: </w:t>
      </w:r>
    </w:p>
    <w:p w:rsidR="00000000" w:rsidDel="00000000" w:rsidP="00000000" w:rsidRDefault="00000000" w:rsidRPr="00000000" w14:paraId="000000B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E">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92.</w:t>
      </w:r>
      <w:r w:rsidDel="00000000" w:rsidR="00000000" w:rsidRPr="00000000">
        <w:rPr>
          <w:rFonts w:ascii="Palatino Linotype" w:cs="Palatino Linotype" w:eastAsia="Palatino Linotype" w:hAnsi="Palatino Linotype"/>
          <w:i w:val="1"/>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BF">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0">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XXIX.</w:t>
      </w:r>
      <w:r w:rsidDel="00000000" w:rsidR="00000000" w:rsidRPr="00000000">
        <w:rPr>
          <w:rFonts w:ascii="Palatino Linotype" w:cs="Palatino Linotype" w:eastAsia="Palatino Linotype" w:hAnsi="Palatino Linotype"/>
          <w:i w:val="1"/>
          <w:rtl w:val="0"/>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000000" w:rsidDel="00000000" w:rsidP="00000000" w:rsidRDefault="00000000" w:rsidRPr="00000000" w14:paraId="000000C1">
      <w:pPr>
        <w:spacing w:after="0" w:lineRule="auto"/>
        <w:ind w:left="567" w:right="49"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a) De licitaciones públicas o procedimientos de invitación restringida: </w:t>
      </w:r>
    </w:p>
    <w:p w:rsidR="00000000" w:rsidDel="00000000" w:rsidP="00000000" w:rsidRDefault="00000000" w:rsidRPr="00000000" w14:paraId="000000C2">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La convocatoria o invitación emitida, así como los fundamentos legales aplicados para llevarla a cabo; </w:t>
      </w:r>
    </w:p>
    <w:p w:rsidR="00000000" w:rsidDel="00000000" w:rsidP="00000000" w:rsidRDefault="00000000" w:rsidRPr="00000000" w14:paraId="000000C3">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 Los nombres de los participantes o invitados; </w:t>
      </w:r>
    </w:p>
    <w:p w:rsidR="00000000" w:rsidDel="00000000" w:rsidP="00000000" w:rsidRDefault="00000000" w:rsidRPr="00000000" w14:paraId="000000C4">
      <w:pPr>
        <w:spacing w:after="0" w:lineRule="auto"/>
        <w:ind w:left="567" w:right="49"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3) El nombre del ganador y las razones que lo justifican; </w:t>
      </w:r>
    </w:p>
    <w:p w:rsidR="00000000" w:rsidDel="00000000" w:rsidP="00000000" w:rsidRDefault="00000000" w:rsidRPr="00000000" w14:paraId="000000C5">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4) El área solicitante y la responsable de su ejecución; </w:t>
      </w:r>
    </w:p>
    <w:p w:rsidR="00000000" w:rsidDel="00000000" w:rsidP="00000000" w:rsidRDefault="00000000" w:rsidRPr="00000000" w14:paraId="000000C6">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5) Las convocatorias e invitaciones emitidas; </w:t>
      </w:r>
    </w:p>
    <w:p w:rsidR="00000000" w:rsidDel="00000000" w:rsidP="00000000" w:rsidRDefault="00000000" w:rsidRPr="00000000" w14:paraId="000000C7">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6) Los dictámenes y fallo de adjudicación; </w:t>
      </w:r>
    </w:p>
    <w:p w:rsidR="00000000" w:rsidDel="00000000" w:rsidP="00000000" w:rsidRDefault="00000000" w:rsidRPr="00000000" w14:paraId="000000C8">
      <w:pPr>
        <w:spacing w:after="0" w:lineRule="auto"/>
        <w:ind w:left="567" w:right="49"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7) El contrato y, en su caso, sus anexos; </w:t>
      </w:r>
    </w:p>
    <w:p w:rsidR="00000000" w:rsidDel="00000000" w:rsidP="00000000" w:rsidRDefault="00000000" w:rsidRPr="00000000" w14:paraId="000000C9">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8) Los mecanismos de vigilancia y supervisión, incluyendo en su caso, los estudios de impacto urbano y ambiental, según corresponda; </w:t>
      </w:r>
    </w:p>
    <w:p w:rsidR="00000000" w:rsidDel="00000000" w:rsidP="00000000" w:rsidRDefault="00000000" w:rsidRPr="00000000" w14:paraId="000000CA">
      <w:pPr>
        <w:spacing w:after="0" w:lineRule="auto"/>
        <w:ind w:left="567" w:right="49"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9) La partida presupuestal, de conformidad con el clasificador por objeto del gasto, en el caso de ser aplicable; </w:t>
      </w:r>
    </w:p>
    <w:p w:rsidR="00000000" w:rsidDel="00000000" w:rsidP="00000000" w:rsidRDefault="00000000" w:rsidRPr="00000000" w14:paraId="000000CB">
      <w:pPr>
        <w:spacing w:after="0" w:lineRule="auto"/>
        <w:ind w:left="567" w:right="49"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10) Origen de los recursos especificando si son federales, estatales o municipales, así como el tipo de fondo de participación o aportación respectiva; </w:t>
      </w:r>
    </w:p>
    <w:p w:rsidR="00000000" w:rsidDel="00000000" w:rsidP="00000000" w:rsidRDefault="00000000" w:rsidRPr="00000000" w14:paraId="000000CC">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11) Los convenios modificatorios que, en su caso, sean firmados, precisando el objeto y la fecha de celebración; </w:t>
      </w:r>
    </w:p>
    <w:p w:rsidR="00000000" w:rsidDel="00000000" w:rsidP="00000000" w:rsidRDefault="00000000" w:rsidRPr="00000000" w14:paraId="000000CD">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12) Los informes de avance físico y financiero sobre las obras o servicios contratados; </w:t>
      </w:r>
    </w:p>
    <w:p w:rsidR="00000000" w:rsidDel="00000000" w:rsidP="00000000" w:rsidRDefault="00000000" w:rsidRPr="00000000" w14:paraId="000000CE">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13) El convenio de terminación; y </w:t>
      </w:r>
    </w:p>
    <w:p w:rsidR="00000000" w:rsidDel="00000000" w:rsidP="00000000" w:rsidRDefault="00000000" w:rsidRPr="00000000" w14:paraId="000000CF">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14) El finiquito. </w:t>
      </w:r>
    </w:p>
    <w:p w:rsidR="00000000" w:rsidDel="00000000" w:rsidP="00000000" w:rsidRDefault="00000000" w:rsidRPr="00000000" w14:paraId="000000D0">
      <w:pPr>
        <w:spacing w:after="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1">
      <w:pPr>
        <w:spacing w:after="0" w:lineRule="auto"/>
        <w:ind w:left="567" w:right="49"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b) De las adjudicaciones directas: </w:t>
      </w:r>
    </w:p>
    <w:p w:rsidR="00000000" w:rsidDel="00000000" w:rsidP="00000000" w:rsidRDefault="00000000" w:rsidRPr="00000000" w14:paraId="000000D2">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La propuesta enviada por el participante; </w:t>
      </w:r>
    </w:p>
    <w:p w:rsidR="00000000" w:rsidDel="00000000" w:rsidP="00000000" w:rsidRDefault="00000000" w:rsidRPr="00000000" w14:paraId="000000D3">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 Los motivos y fundamentos legales aplicados para llevarla a cabo; </w:t>
      </w:r>
    </w:p>
    <w:p w:rsidR="00000000" w:rsidDel="00000000" w:rsidP="00000000" w:rsidRDefault="00000000" w:rsidRPr="00000000" w14:paraId="000000D4">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La autorización del ejercicio de la opción; </w:t>
      </w:r>
    </w:p>
    <w:p w:rsidR="00000000" w:rsidDel="00000000" w:rsidP="00000000" w:rsidRDefault="00000000" w:rsidRPr="00000000" w14:paraId="000000D5">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4) En su caso, las cotizaciones consideradas, especificando los nombres de los proveedores y sus montos; </w:t>
      </w:r>
    </w:p>
    <w:p w:rsidR="00000000" w:rsidDel="00000000" w:rsidP="00000000" w:rsidRDefault="00000000" w:rsidRPr="00000000" w14:paraId="000000D6">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5) El nombre de la persona física o jurídica colectiva adjudicada; </w:t>
      </w:r>
    </w:p>
    <w:p w:rsidR="00000000" w:rsidDel="00000000" w:rsidP="00000000" w:rsidRDefault="00000000" w:rsidRPr="00000000" w14:paraId="000000D7">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6) La unidad administrativa solicitante y la responsable de su ejecución; </w:t>
      </w:r>
    </w:p>
    <w:p w:rsidR="00000000" w:rsidDel="00000000" w:rsidP="00000000" w:rsidRDefault="00000000" w:rsidRPr="00000000" w14:paraId="000000D8">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7) El número, fecha, el monto del contrato y el plazo de entrega o de ejecución de los servicios u obra; </w:t>
      </w:r>
    </w:p>
    <w:p w:rsidR="00000000" w:rsidDel="00000000" w:rsidP="00000000" w:rsidRDefault="00000000" w:rsidRPr="00000000" w14:paraId="000000D9">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8) Los mecanismos de vigilancia y supervisión, incluyendo, en su caso, los estudios de impacto urbano y ambiental, según corresponda; </w:t>
      </w:r>
    </w:p>
    <w:p w:rsidR="00000000" w:rsidDel="00000000" w:rsidP="00000000" w:rsidRDefault="00000000" w:rsidRPr="00000000" w14:paraId="000000DA">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9) Los informes de avance sobre las obras o servicios contratados; </w:t>
      </w:r>
    </w:p>
    <w:p w:rsidR="00000000" w:rsidDel="00000000" w:rsidP="00000000" w:rsidRDefault="00000000" w:rsidRPr="00000000" w14:paraId="000000DB">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10) El convenio de terminación; y </w:t>
      </w:r>
    </w:p>
    <w:p w:rsidR="00000000" w:rsidDel="00000000" w:rsidP="00000000" w:rsidRDefault="00000000" w:rsidRPr="00000000" w14:paraId="000000DC">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11) El finiquito.</w:t>
      </w:r>
    </w:p>
    <w:p w:rsidR="00000000" w:rsidDel="00000000" w:rsidP="00000000" w:rsidRDefault="00000000" w:rsidRPr="00000000" w14:paraId="000000D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se tiene que, la información relacionada con estos procedimientos, es información que se debe transparentar y poner a disposición del público, toda vez que se tratan de obligaciones de transparencia que todos los sujetos obligados deben acatar. Además de ello, se puntualiza que, dentro de la información de naturaleza pública se advierten los datos que desea obtener la parte Recurrente, como el costo, forma del pago, nombre del proveedor, placas y series e incluso, se debe anexar las facturas como anexos. </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rtl w:val="0"/>
        </w:rPr>
        <w:t xml:space="preserve">Por otro lado, debido a que se solicitó información de pagos y facturas, es de mencionar lo que establece el Glosario de Términos Hacendarios que emite el Instituto Hacendario del Estado de México, el cual define como </w:t>
      </w:r>
      <w:r w:rsidDel="00000000" w:rsidR="00000000" w:rsidRPr="00000000">
        <w:rPr>
          <w:rFonts w:ascii="Palatino Linotype" w:cs="Palatino Linotype" w:eastAsia="Palatino Linotype" w:hAnsi="Palatino Linotype"/>
          <w:i w:val="1"/>
          <w:rtl w:val="0"/>
        </w:rPr>
        <w:t xml:space="preserve">“factura” al</w:t>
      </w:r>
      <w:r w:rsidDel="00000000" w:rsidR="00000000" w:rsidRPr="00000000">
        <w:rPr>
          <w:rFonts w:ascii="Palatino Linotype" w:cs="Palatino Linotype" w:eastAsia="Palatino Linotype" w:hAnsi="Palatino Linotype"/>
          <w:b w:val="1"/>
          <w:i w:val="1"/>
          <w:rtl w:val="0"/>
        </w:rPr>
        <w:t xml:space="preserve"> documento fiscal que emite la persona física o moral para comprobar la venta o adquisición de un bien y/o servicio.</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de señalar que cuando las facturas amparan las erogaciones que se realizan con erario público tienen naturaleza pública, pues constituyen un medio idóneo de evidencia del gasto realizado con recursos públicos. </w:t>
      </w:r>
    </w:p>
    <w:p w:rsidR="00000000" w:rsidDel="00000000" w:rsidP="00000000" w:rsidRDefault="00000000" w:rsidRPr="00000000" w14:paraId="000000E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Código Financiero del Estado de México, establece en su artículo 344 lo siguiente: </w:t>
      </w:r>
    </w:p>
    <w:p w:rsidR="00000000" w:rsidDel="00000000" w:rsidP="00000000" w:rsidRDefault="00000000" w:rsidRPr="00000000" w14:paraId="000000E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6">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344.-</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Los Entes Públicos, a través de cualquiera de sus unidades administrativas</w:t>
      </w:r>
      <w:r w:rsidDel="00000000" w:rsidR="00000000" w:rsidRPr="00000000">
        <w:rPr>
          <w:rFonts w:ascii="Palatino Linotype" w:cs="Palatino Linotype" w:eastAsia="Palatino Linotype" w:hAnsi="Palatino Linotype"/>
          <w:i w:val="1"/>
          <w:rtl w:val="0"/>
        </w:rPr>
        <w:t xml:space="preserve">, de acuerdo con su naturaleza jurídica y según corresponda, </w:t>
      </w:r>
      <w:r w:rsidDel="00000000" w:rsidR="00000000" w:rsidRPr="00000000">
        <w:rPr>
          <w:rFonts w:ascii="Palatino Linotype" w:cs="Palatino Linotype" w:eastAsia="Palatino Linotype" w:hAnsi="Palatino Linotype"/>
          <w:b w:val="1"/>
          <w:i w:val="1"/>
          <w:u w:val="single"/>
          <w:rtl w:val="0"/>
        </w:rPr>
        <w:t xml:space="preserve">registrarán contablemente el efecto patrimonial y presupuestal de las operaciones financieras que realicen, en el momento en que ocurran, con base en el sistema y políticas de registro establecidas</w:t>
      </w:r>
      <w:r w:rsidDel="00000000" w:rsidR="00000000" w:rsidRPr="00000000">
        <w:rPr>
          <w:rFonts w:ascii="Palatino Linotype" w:cs="Palatino Linotype" w:eastAsia="Palatino Linotype" w:hAnsi="Palatino Linotype"/>
          <w:i w:val="1"/>
          <w:rtl w:val="0"/>
        </w:rPr>
        <w:t xml:space="preserve">, en el caso de los Municipios</w:t>
      </w:r>
      <w:r w:rsidDel="00000000" w:rsidR="00000000" w:rsidRPr="00000000">
        <w:rPr>
          <w:rFonts w:ascii="Palatino Linotype" w:cs="Palatino Linotype" w:eastAsia="Palatino Linotype" w:hAnsi="Palatino Linotype"/>
          <w:b w:val="1"/>
          <w:i w:val="1"/>
          <w:u w:val="single"/>
          <w:rtl w:val="0"/>
        </w:rPr>
        <w:t xml:space="preserve">, se hará por la Tesorería.</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E7">
      <w:pPr>
        <w:spacing w:after="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E8">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Todo registro contable y presupuestal deberá estar soportado con los documentos comprobatorios originales o en medios electrónicos, los que deberán permanecer en custodia y conservación</w:t>
      </w:r>
      <w:r w:rsidDel="00000000" w:rsidR="00000000" w:rsidRPr="00000000">
        <w:rPr>
          <w:rFonts w:ascii="Palatino Linotype" w:cs="Palatino Linotype" w:eastAsia="Palatino Linotype" w:hAnsi="Palatino Linotype"/>
          <w:i w:val="1"/>
          <w:rtl w:val="0"/>
        </w:rPr>
        <w:t xml:space="preserve">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rsidR="00000000" w:rsidDel="00000000" w:rsidP="00000000" w:rsidRDefault="00000000" w:rsidRPr="00000000" w14:paraId="000000E9">
      <w:pPr>
        <w:spacing w:after="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EA">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Tratándose de documentos de carácter histórico, se estará a lo dispuesto por la legislación de la materia.</w:t>
      </w:r>
    </w:p>
    <w:p w:rsidR="00000000" w:rsidDel="00000000" w:rsidP="00000000" w:rsidRDefault="00000000" w:rsidRPr="00000000" w14:paraId="000000EB">
      <w:pPr>
        <w:spacing w:after="0" w:line="360" w:lineRule="auto"/>
        <w:ind w:right="49"/>
        <w:jc w:val="both"/>
        <w:rPr/>
      </w:pPr>
      <w:r w:rsidDel="00000000" w:rsidR="00000000" w:rsidRPr="00000000">
        <w:rPr>
          <w:rtl w:val="0"/>
        </w:rPr>
      </w:r>
    </w:p>
    <w:p w:rsidR="00000000" w:rsidDel="00000000" w:rsidP="00000000" w:rsidRDefault="00000000" w:rsidRPr="00000000" w14:paraId="000000E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los entes públicos deberán registrar contablemente las operaciones financieras que realicen, el cual deberá estar soportado con los documentos comprobatorios originales o en medios electrónicos, sin embargo, si bien es cierto, el Código Financiero del Estado de México y Municipios establece la obligación de llevar registros contables y presupuestales, también lo es que no define qué se debe entender por estos, por lo que, de conformidad con el </w:t>
      </w:r>
      <w:r w:rsidDel="00000000" w:rsidR="00000000" w:rsidRPr="00000000">
        <w:rPr>
          <w:rFonts w:ascii="Palatino Linotype" w:cs="Palatino Linotype" w:eastAsia="Palatino Linotype" w:hAnsi="Palatino Linotype"/>
          <w:i w:val="1"/>
          <w:rtl w:val="0"/>
        </w:rPr>
        <w:t xml:space="preserve">Glosario de Términos Administrativos</w:t>
      </w:r>
      <w:r w:rsidDel="00000000" w:rsidR="00000000" w:rsidRPr="00000000">
        <w:rPr>
          <w:rFonts w:ascii="Palatino Linotype" w:cs="Palatino Linotype" w:eastAsia="Palatino Linotype" w:hAnsi="Palatino Linotype"/>
          <w:rtl w:val="0"/>
        </w:rPr>
        <w:t xml:space="preserve"> y el </w:t>
      </w:r>
      <w:r w:rsidDel="00000000" w:rsidR="00000000" w:rsidRPr="00000000">
        <w:rPr>
          <w:rFonts w:ascii="Palatino Linotype" w:cs="Palatino Linotype" w:eastAsia="Palatino Linotype" w:hAnsi="Palatino Linotype"/>
          <w:i w:val="1"/>
          <w:rtl w:val="0"/>
        </w:rPr>
        <w:t xml:space="preserve">Glosario de Términos para el Proceso de Planeación, Programación, Presupuestación y Evaluación en la Administración Pública</w:t>
      </w:r>
      <w:r w:rsidDel="00000000" w:rsidR="00000000" w:rsidRPr="00000000">
        <w:rPr>
          <w:rFonts w:ascii="Palatino Linotype" w:cs="Palatino Linotype" w:eastAsia="Palatino Linotype" w:hAnsi="Palatino Linotype"/>
          <w:rtl w:val="0"/>
        </w:rPr>
        <w:t xml:space="preserve">, definen los registros como: </w:t>
      </w:r>
    </w:p>
    <w:p w:rsidR="00000000" w:rsidDel="00000000" w:rsidP="00000000" w:rsidRDefault="00000000" w:rsidRPr="00000000" w14:paraId="000000ED">
      <w:pPr>
        <w:spacing w:after="0" w:line="36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EE">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Registro contable. </w:t>
      </w:r>
      <w:r w:rsidDel="00000000" w:rsidR="00000000" w:rsidRPr="00000000">
        <w:rPr>
          <w:rFonts w:ascii="Palatino Linotype" w:cs="Palatino Linotype" w:eastAsia="Palatino Linotype" w:hAnsi="Palatino Linotype"/>
          <w:i w:val="1"/>
          <w:rtl w:val="0"/>
        </w:rPr>
        <w:t xml:space="preserve">Asiento que se realiza en los libros de contabilidad de las actividades relacionadas con el ingreso y egreso de un ente económico. </w:t>
      </w:r>
    </w:p>
    <w:p w:rsidR="00000000" w:rsidDel="00000000" w:rsidP="00000000" w:rsidRDefault="00000000" w:rsidRPr="00000000" w14:paraId="000000EF">
      <w:pPr>
        <w:spacing w:after="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0">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Registro Presupuestario. </w:t>
      </w:r>
      <w:r w:rsidDel="00000000" w:rsidR="00000000" w:rsidRPr="00000000">
        <w:rPr>
          <w:rFonts w:ascii="Palatino Linotype" w:cs="Palatino Linotype" w:eastAsia="Palatino Linotype" w:hAnsi="Palatino Linotype"/>
          <w:i w:val="1"/>
          <w:rtl w:val="0"/>
        </w:rPr>
        <w:t xml:space="preserve">Asiento contable de las erogaciones realizadas por las dependencias y entidades con relación a la asignación, modificación y ejercicio de los recursos presupuestarios que se les hayan autorizado. </w:t>
      </w:r>
    </w:p>
    <w:p w:rsidR="00000000" w:rsidDel="00000000" w:rsidP="00000000" w:rsidRDefault="00000000" w:rsidRPr="00000000" w14:paraId="000000F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citados, se colige que los entes fiscalizables</w:t>
      </w:r>
      <w:r w:rsidDel="00000000" w:rsidR="00000000" w:rsidRPr="00000000">
        <w:rPr>
          <w:rFonts w:ascii="Palatino Linotype" w:cs="Palatino Linotype" w:eastAsia="Palatino Linotype" w:hAnsi="Palatino Linotype"/>
          <w:b w:val="1"/>
          <w:u w:val="single"/>
          <w:rtl w:val="0"/>
        </w:rPr>
        <w:t xml:space="preserve"> deben contar con una unidad administrativa que registra contablemente el efecto patrimonial y presupuestal de las operaciones financieras</w:t>
      </w:r>
      <w:r w:rsidDel="00000000" w:rsidR="00000000" w:rsidRPr="00000000">
        <w:rPr>
          <w:rFonts w:ascii="Palatino Linotype" w:cs="Palatino Linotype" w:eastAsia="Palatino Linotype" w:hAnsi="Palatino Linotype"/>
          <w:rtl w:val="0"/>
        </w:rPr>
        <w:t xml:space="preserve"> que realizan y por lo general, se encuentran en las denominadas </w:t>
      </w:r>
      <w:r w:rsidDel="00000000" w:rsidR="00000000" w:rsidRPr="00000000">
        <w:rPr>
          <w:rFonts w:ascii="Palatino Linotype" w:cs="Palatino Linotype" w:eastAsia="Palatino Linotype" w:hAnsi="Palatino Linotype"/>
          <w:i w:val="1"/>
          <w:rtl w:val="0"/>
        </w:rPr>
        <w:t xml:space="preserve">pólizas contables </w:t>
      </w:r>
      <w:r w:rsidDel="00000000" w:rsidR="00000000" w:rsidRPr="00000000">
        <w:rPr>
          <w:rFonts w:ascii="Palatino Linotype" w:cs="Palatino Linotype" w:eastAsia="Palatino Linotype" w:hAnsi="Palatino Linotype"/>
          <w:rtl w:val="0"/>
        </w:rPr>
        <w:t xml:space="preserve">las cuales son aquellos documentos en los que se asientan en forma individual todas y cada una de las operaciones desarrolladas por una institución, así como la información necesaria para la identificación de estas. </w:t>
      </w:r>
    </w:p>
    <w:p w:rsidR="00000000" w:rsidDel="00000000" w:rsidP="00000000" w:rsidRDefault="00000000" w:rsidRPr="00000000" w14:paraId="000000F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compete al Sujeto Obligado, el Bando Municipal de Cuautitlán Izcalli 2025, establece que:</w:t>
      </w:r>
    </w:p>
    <w:p w:rsidR="00000000" w:rsidDel="00000000" w:rsidP="00000000" w:rsidRDefault="00000000" w:rsidRPr="00000000" w14:paraId="000000F5">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6">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60.</w:t>
      </w:r>
      <w:r w:rsidDel="00000000" w:rsidR="00000000" w:rsidRPr="00000000">
        <w:rPr>
          <w:rFonts w:ascii="Palatino Linotype" w:cs="Palatino Linotype" w:eastAsia="Palatino Linotype" w:hAnsi="Palatino Linotype"/>
          <w:i w:val="1"/>
          <w:rtl w:val="0"/>
        </w:rPr>
        <w:t xml:space="preserve"> La Tesorería Municipal es la dependencia encargada de ejecutar los servicios relacionados con la recaudación, concentración, administración y custodia de fondos y valores, así como la realización de pagos con cargo al presupuesto de egresos. </w:t>
      </w:r>
    </w:p>
    <w:p w:rsidR="00000000" w:rsidDel="00000000" w:rsidP="00000000" w:rsidRDefault="00000000" w:rsidRPr="00000000" w14:paraId="000000F7">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8">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61.</w:t>
      </w:r>
      <w:r w:rsidDel="00000000" w:rsidR="00000000" w:rsidRPr="00000000">
        <w:rPr>
          <w:rFonts w:ascii="Palatino Linotype" w:cs="Palatino Linotype" w:eastAsia="Palatino Linotype" w:hAnsi="Palatino Linotype"/>
          <w:i w:val="1"/>
          <w:rtl w:val="0"/>
        </w:rPr>
        <w:t xml:space="preserve"> Para ejercer sus atribuciones, la Tesorería Municipal contará con las siguientes áreas: </w:t>
      </w:r>
    </w:p>
    <w:p w:rsidR="00000000" w:rsidDel="00000000" w:rsidP="00000000" w:rsidRDefault="00000000" w:rsidRPr="00000000" w14:paraId="000000F9">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Subdirección Financiera; </w:t>
      </w:r>
    </w:p>
    <w:p w:rsidR="00000000" w:rsidDel="00000000" w:rsidP="00000000" w:rsidRDefault="00000000" w:rsidRPr="00000000" w14:paraId="000000FA">
      <w:pPr>
        <w:spacing w:after="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 Departamento de Control de Pagos;</w:t>
      </w:r>
    </w:p>
    <w:p w:rsidR="00000000" w:rsidDel="00000000" w:rsidP="00000000" w:rsidRDefault="00000000" w:rsidRPr="00000000" w14:paraId="000000FB">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b) Departamento de Archivo; y </w:t>
      </w:r>
    </w:p>
    <w:p w:rsidR="00000000" w:rsidDel="00000000" w:rsidP="00000000" w:rsidRDefault="00000000" w:rsidRPr="00000000" w14:paraId="000000FC">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 Departamento de Sistemas; </w:t>
      </w:r>
    </w:p>
    <w:p w:rsidR="00000000" w:rsidDel="00000000" w:rsidP="00000000" w:rsidRDefault="00000000" w:rsidRPr="00000000" w14:paraId="000000FD">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Subdirección de Ingresos y Catastro Municipal; </w:t>
      </w:r>
    </w:p>
    <w:p w:rsidR="00000000" w:rsidDel="00000000" w:rsidP="00000000" w:rsidRDefault="00000000" w:rsidRPr="00000000" w14:paraId="000000FE">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Departamento de Rezago y Ejecución Fiscal; </w:t>
      </w:r>
    </w:p>
    <w:p w:rsidR="00000000" w:rsidDel="00000000" w:rsidP="00000000" w:rsidRDefault="00000000" w:rsidRPr="00000000" w14:paraId="000000FF">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b) Departamento de Agua e Ingresos Diversos; </w:t>
      </w:r>
    </w:p>
    <w:p w:rsidR="00000000" w:rsidDel="00000000" w:rsidP="00000000" w:rsidRDefault="00000000" w:rsidRPr="00000000" w14:paraId="00000100">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 Departamento de Catastro Municipal; </w:t>
      </w:r>
    </w:p>
    <w:p w:rsidR="00000000" w:rsidDel="00000000" w:rsidP="00000000" w:rsidRDefault="00000000" w:rsidRPr="00000000" w14:paraId="00000101">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 Departamento de Impuesto Predial; </w:t>
      </w:r>
    </w:p>
    <w:p w:rsidR="00000000" w:rsidDel="00000000" w:rsidP="00000000" w:rsidRDefault="00000000" w:rsidRPr="00000000" w14:paraId="00000102">
      <w:pPr>
        <w:spacing w:after="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III. Subdirección de Egresos; </w:t>
      </w:r>
    </w:p>
    <w:p w:rsidR="00000000" w:rsidDel="00000000" w:rsidP="00000000" w:rsidRDefault="00000000" w:rsidRPr="00000000" w14:paraId="00000103">
      <w:pPr>
        <w:spacing w:after="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 Departamento de Contabilidad General; </w:t>
      </w:r>
    </w:p>
    <w:p w:rsidR="00000000" w:rsidDel="00000000" w:rsidP="00000000" w:rsidRDefault="00000000" w:rsidRPr="00000000" w14:paraId="00000104">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b) Departamento de Programas Especiales; </w:t>
      </w:r>
    </w:p>
    <w:p w:rsidR="00000000" w:rsidDel="00000000" w:rsidP="00000000" w:rsidRDefault="00000000" w:rsidRPr="00000000" w14:paraId="00000105">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 Departamento de Presupuesto y Solventación; </w:t>
      </w:r>
    </w:p>
    <w:p w:rsidR="00000000" w:rsidDel="00000000" w:rsidP="00000000" w:rsidRDefault="00000000" w:rsidRPr="00000000" w14:paraId="00000106">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Enlace Administrativo. </w:t>
      </w:r>
    </w:p>
    <w:p w:rsidR="00000000" w:rsidDel="00000000" w:rsidP="00000000" w:rsidRDefault="00000000" w:rsidRPr="00000000" w14:paraId="00000107">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8">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62.</w:t>
      </w:r>
      <w:r w:rsidDel="00000000" w:rsidR="00000000" w:rsidRPr="00000000">
        <w:rPr>
          <w:rFonts w:ascii="Palatino Linotype" w:cs="Palatino Linotype" w:eastAsia="Palatino Linotype" w:hAnsi="Palatino Linotype"/>
          <w:i w:val="1"/>
          <w:rtl w:val="0"/>
        </w:rPr>
        <w:t xml:space="preserve"> Son atribuciones de la Tesorería Municipal, las siguientes: </w:t>
      </w:r>
    </w:p>
    <w:p w:rsidR="00000000" w:rsidDel="00000000" w:rsidP="00000000" w:rsidRDefault="00000000" w:rsidRPr="00000000" w14:paraId="00000109">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Administrar la hacienda pública municipal, de conformidad con las disposiciones legales aplicables; </w:t>
      </w:r>
    </w:p>
    <w:p w:rsidR="00000000" w:rsidDel="00000000" w:rsidP="00000000" w:rsidRDefault="00000000" w:rsidRPr="00000000" w14:paraId="0000010A">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000000" w:rsidDel="00000000" w:rsidP="00000000" w:rsidRDefault="00000000" w:rsidRPr="00000000" w14:paraId="0000010B">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Imponer las sanciones administrativas que procedan por infracciones a las disposiciones fiscales; </w:t>
      </w:r>
    </w:p>
    <w:p w:rsidR="00000000" w:rsidDel="00000000" w:rsidP="00000000" w:rsidRDefault="00000000" w:rsidRPr="00000000" w14:paraId="0000010C">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Llevar los registros contables, financieros y administrativos de los ingresos, egresos, e inventarios; </w:t>
      </w:r>
    </w:p>
    <w:p w:rsidR="00000000" w:rsidDel="00000000" w:rsidP="00000000" w:rsidRDefault="00000000" w:rsidRPr="00000000" w14:paraId="0000010D">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Asesorar a las dependencias de la Administración Pública Municipal, en la formulación y programación de su anteproyecto y proyecto de presupuesto de egresos de cada ejercicio fiscal; </w:t>
      </w:r>
    </w:p>
    <w:p w:rsidR="00000000" w:rsidDel="00000000" w:rsidP="00000000" w:rsidRDefault="00000000" w:rsidRPr="00000000" w14:paraId="0000010E">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Integrar, revisar y validar conjuntamente con la Dirección de Información, Planeación, Programación y Evaluación, el presupuesto definitivo de egresos con base a resultados de las dependencias municipales del Ayuntamiento; </w:t>
      </w:r>
    </w:p>
    <w:p w:rsidR="00000000" w:rsidDel="00000000" w:rsidP="00000000" w:rsidRDefault="00000000" w:rsidRPr="00000000" w14:paraId="0000010F">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Consolidar el presupuesto definitivo de ingresos y egresos de las diferentes dependencias de la Administración Pública Municipal centralizada y someterlos al Ayuntamiento para su aprobación; </w:t>
      </w:r>
    </w:p>
    <w:p w:rsidR="00000000" w:rsidDel="00000000" w:rsidP="00000000" w:rsidRDefault="00000000" w:rsidRPr="00000000" w14:paraId="00000110">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Proponer al Ayuntamiento por conducto del Titular de la Presidencia Municipal, las políticas, estrategias y campañas para incrementar los ingresos de la Hacienda Pública Municipal; </w:t>
      </w:r>
    </w:p>
    <w:p w:rsidR="00000000" w:rsidDel="00000000" w:rsidP="00000000" w:rsidRDefault="00000000" w:rsidRPr="00000000" w14:paraId="00000111">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Mejorar permanentemente los sistemas de recaudación para el fortalecimiento de la Hacienda Municipal; </w:t>
      </w:r>
    </w:p>
    <w:p w:rsidR="00000000" w:rsidDel="00000000" w:rsidP="00000000" w:rsidRDefault="00000000" w:rsidRPr="00000000" w14:paraId="00000112">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 Proponer la elaboración de políticas, lineamientos y normas para la instrumentación, implementación y modernización del proceso de planeación, programación, presupuestación, control y evaluación del gasto público municipal, acorde a lo establecido en el Plan de Desarrollo Municipal y los programas que deriven de éste, observando la congruencia con el Plan Nacional de Desarrollo y el Plan de Desarrollo Estatal; </w:t>
      </w:r>
    </w:p>
    <w:p w:rsidR="00000000" w:rsidDel="00000000" w:rsidP="00000000" w:rsidRDefault="00000000" w:rsidRPr="00000000" w14:paraId="00000113">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 Proponer lineamientos para la instrumentación de sistemas de estadística e informática en las dependencias de la Administración Pública Municipal, en materia hacendaria y de recaudación; </w:t>
      </w:r>
    </w:p>
    <w:p w:rsidR="00000000" w:rsidDel="00000000" w:rsidP="00000000" w:rsidRDefault="00000000" w:rsidRPr="00000000" w14:paraId="00000114">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 Recaudar las contribuciones municipales y someter a consideración del Ayuntamiento las propuestas que sobre subsidios conceda a entidades, instituciones públicas, privadas y a los particulares, atendiendo a las disposiciones jurídicas aplicables; </w:t>
      </w:r>
    </w:p>
    <w:p w:rsidR="00000000" w:rsidDel="00000000" w:rsidP="00000000" w:rsidRDefault="00000000" w:rsidRPr="00000000" w14:paraId="00000115">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XIII. Otorgar subsidios aprobados por el Ayuntamiento, en multas, recargos y accesorios derivados de créditos fiscales con la finalidad de incentivar la disminución del rezago hacendario; </w:t>
      </w:r>
    </w:p>
    <w:p w:rsidR="00000000" w:rsidDel="00000000" w:rsidP="00000000" w:rsidRDefault="00000000" w:rsidRPr="00000000" w14:paraId="00000116">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XIV. Controlar y vigilar el ejercicio de la inversión y gasto público municipal, observando su congruencia con los objetivos y metas señaladas en el Plan de Desarrollo Municipal y la normatividad aplicable; </w:t>
      </w:r>
    </w:p>
    <w:p w:rsidR="00000000" w:rsidDel="00000000" w:rsidP="00000000" w:rsidRDefault="00000000" w:rsidRPr="00000000" w14:paraId="00000117">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XV. Integrar y ejecutar los calendarios de gasto, ministraciones, ampliaciones y reducciones líquidas, liberaciones, retenciones, recalendarizaciones y traspasos presupuestarios de las dependencias de la Administración Pública Municipal, sobre la base de estudios y la disponibilidad financiera; </w:t>
      </w:r>
    </w:p>
    <w:p w:rsidR="00000000" w:rsidDel="00000000" w:rsidP="00000000" w:rsidRDefault="00000000" w:rsidRPr="00000000" w14:paraId="00000118">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XVI. Imponer las sanciones que correspondan por infracciones a las disposiciones fiscales y, en su caso, ordenar la aplicación del procedimiento administrativo de ejecución; </w:t>
      </w:r>
    </w:p>
    <w:p w:rsidR="00000000" w:rsidDel="00000000" w:rsidP="00000000" w:rsidRDefault="00000000" w:rsidRPr="00000000" w14:paraId="00000119">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XVII. Gestionar y administrar las cantidades que correspondan al Gobierno Municipal, derivadas de los convenios con la Federación y el Estado, en los términos de la Ley de Coordinación Fiscal, convenios de colaboración administrativa y demás ordenamientos legales; </w:t>
      </w:r>
    </w:p>
    <w:p w:rsidR="00000000" w:rsidDel="00000000" w:rsidP="00000000" w:rsidRDefault="00000000" w:rsidRPr="00000000" w14:paraId="0000011A">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XVIII. Resolver a través de la Subtesorería de Ingresos, las consultas que en materia de contribuciones realicen los contribuyentes; </w:t>
      </w:r>
    </w:p>
    <w:p w:rsidR="00000000" w:rsidDel="00000000" w:rsidP="00000000" w:rsidRDefault="00000000" w:rsidRPr="00000000" w14:paraId="0000011B">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XIX. Ordenar las visitas domiciliarias a las personas ciudadanas del Municipio, a fin de verificar el cumplimiento de sus obligaciones fiscales en materia de registro de bienes inmuebles, para corroborar que los datos que se encuentran en el Padrón Catastral correspondan a los registros reales y se mantengan actualizados; </w:t>
      </w:r>
    </w:p>
    <w:p w:rsidR="00000000" w:rsidDel="00000000" w:rsidP="00000000" w:rsidRDefault="00000000" w:rsidRPr="00000000" w14:paraId="0000011C">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 Enviar a las personas contribuyentes comunicados, en el ámbito de su competencia, promoviendo el pago de sus créditos fiscales, sin que ello se considere el inicio del Procedimiento Administrativo de Ejecución; </w:t>
      </w:r>
    </w:p>
    <w:p w:rsidR="00000000" w:rsidDel="00000000" w:rsidP="00000000" w:rsidRDefault="00000000" w:rsidRPr="00000000" w14:paraId="0000011D">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 Supervisar las actividades del catastro municipal; </w:t>
      </w:r>
    </w:p>
    <w:p w:rsidR="00000000" w:rsidDel="00000000" w:rsidP="00000000" w:rsidRDefault="00000000" w:rsidRPr="00000000" w14:paraId="0000011E">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XXII. Preparar y emitir opinión en relación con los convenios, contratos y autorizaciones que celebre el Ayuntamiento cuando se refieran a asuntos de su competencia </w:t>
      </w:r>
    </w:p>
    <w:p w:rsidR="00000000" w:rsidDel="00000000" w:rsidP="00000000" w:rsidRDefault="00000000" w:rsidRPr="00000000" w14:paraId="0000011F">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XXIII. Consolidar los proyectos de presupuestos de las diferentes dependencias de la Administración Pública Municipal y someterlos al Ayuntamiento para su análisis, estudio y aprobación; </w:t>
      </w:r>
    </w:p>
    <w:p w:rsidR="00000000" w:rsidDel="00000000" w:rsidP="00000000" w:rsidRDefault="00000000" w:rsidRPr="00000000" w14:paraId="00000120">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XXIV. Someter a la consideración del Ayuntamiento la aprobación de las tarifas o cuotas extraordinarias de contribuciones que, de acuerdo con las disposiciones legales sean procedentes; </w:t>
      </w:r>
    </w:p>
    <w:p w:rsidR="00000000" w:rsidDel="00000000" w:rsidP="00000000" w:rsidRDefault="00000000" w:rsidRPr="00000000" w14:paraId="00000121">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XXV. Integrar y ejecutar los calendarios del gasto, ministraciones, ampliaciones y reducciones liquidas, liberaciones, retenciones, recalendarizaciones y traspasos presupuestarios de la dependencia de la Administración Pública Municipal, sobre el análisis y estudios médicos y la disponibilidad financiera; </w:t>
      </w:r>
    </w:p>
    <w:p w:rsidR="00000000" w:rsidDel="00000000" w:rsidP="00000000" w:rsidRDefault="00000000" w:rsidRPr="00000000" w14:paraId="00000122">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XXVI. Otorgar subsidios por el Ayuntamiento, en multas, recargos y accesorios derivados de créditos fiscales con la finalidad de incentivar el pago por parte de las personas contribuyentes y disminuir el rezago hacendario; </w:t>
      </w:r>
    </w:p>
    <w:p w:rsidR="00000000" w:rsidDel="00000000" w:rsidP="00000000" w:rsidRDefault="00000000" w:rsidRPr="00000000" w14:paraId="00000123">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XXVII. Vigilar el correcto funcionamiento y mejoramiento continuo de los sistemas informáticos para el cobro digital de los impuestos y derechos y demás ingresos municipales, en cumplimiento de las disposiciones fiscales y hacendarias; </w:t>
      </w:r>
    </w:p>
    <w:p w:rsidR="00000000" w:rsidDel="00000000" w:rsidP="00000000" w:rsidRDefault="00000000" w:rsidRPr="00000000" w14:paraId="00000124">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XXVIII. Las demás que determine el Ayuntamiento, Titular de la Presidencia Municipal las que señalen los ordenamientos jurídicos para los Municipios o Ayuntamientos, a este tipo de dependencias. </w:t>
      </w:r>
    </w:p>
    <w:p w:rsidR="00000000" w:rsidDel="00000000" w:rsidP="00000000" w:rsidRDefault="00000000" w:rsidRPr="00000000" w14:paraId="00000125">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6">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63</w:t>
      </w:r>
      <w:r w:rsidDel="00000000" w:rsidR="00000000" w:rsidRPr="00000000">
        <w:rPr>
          <w:rFonts w:ascii="Palatino Linotype" w:cs="Palatino Linotype" w:eastAsia="Palatino Linotype" w:hAnsi="Palatino Linotype"/>
          <w:i w:val="1"/>
          <w:rtl w:val="0"/>
        </w:rPr>
        <w:t xml:space="preserve">. La Hacienda Pública Municipal se integra, administra y controla de conformidad a lo establecido en la Ley Orgánica, la Ley de Bienes del Estado de México y de sus Municipios, la Ley de Ingresos de los Municipios del Estado de México para el ejercicio fiscal que corresponda, la Ley de Contratación Pública del Estado de México y Municipios, el Código Financiero del Estado de México y Municipios, el Código Administrativo del Estado de México sus reglamentos y demás disposiciones que deriven de ellos.</w:t>
      </w:r>
    </w:p>
    <w:p w:rsidR="00000000" w:rsidDel="00000000" w:rsidP="00000000" w:rsidRDefault="00000000" w:rsidRPr="00000000" w14:paraId="0000012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8">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64.</w:t>
      </w:r>
      <w:r w:rsidDel="00000000" w:rsidR="00000000" w:rsidRPr="00000000">
        <w:rPr>
          <w:rFonts w:ascii="Palatino Linotype" w:cs="Palatino Linotype" w:eastAsia="Palatino Linotype" w:hAnsi="Palatino Linotype"/>
          <w:i w:val="1"/>
          <w:rtl w:val="0"/>
        </w:rPr>
        <w:t xml:space="preserve"> La Dirección de Administración es la encargada de </w:t>
      </w:r>
      <w:r w:rsidDel="00000000" w:rsidR="00000000" w:rsidRPr="00000000">
        <w:rPr>
          <w:rFonts w:ascii="Palatino Linotype" w:cs="Palatino Linotype" w:eastAsia="Palatino Linotype" w:hAnsi="Palatino Linotype"/>
          <w:b w:val="1"/>
          <w:i w:val="1"/>
          <w:rtl w:val="0"/>
        </w:rPr>
        <w:t xml:space="preserve">gestionar, administrar y suministrar los recursos materiales,</w:t>
      </w:r>
      <w:r w:rsidDel="00000000" w:rsidR="00000000" w:rsidRPr="00000000">
        <w:rPr>
          <w:rFonts w:ascii="Palatino Linotype" w:cs="Palatino Linotype" w:eastAsia="Palatino Linotype" w:hAnsi="Palatino Linotype"/>
          <w:i w:val="1"/>
          <w:rtl w:val="0"/>
        </w:rPr>
        <w:t xml:space="preserve"> técnicos, humanos e informáticos de la Administración Pública Municipal.</w:t>
      </w:r>
    </w:p>
    <w:p w:rsidR="00000000" w:rsidDel="00000000" w:rsidP="00000000" w:rsidRDefault="00000000" w:rsidRPr="00000000" w14:paraId="00000129">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La Dirección de Administración se regirá conforme a lo dispuesto en la Ley Orgánica, la Ley de Contratación Pública del Estado de México y Municipios; la Ley de Seguridad Social para los Servidores Públicos del Estado de México y Municipios; la Ley de Bienes del Estado de México y sus Municipios, así como lo dispuesto en las demás leyes, reglamentos, decretos, acuerdos y disposiciones, que le resulten aplicables. </w:t>
      </w:r>
    </w:p>
    <w:p w:rsidR="00000000" w:rsidDel="00000000" w:rsidP="00000000" w:rsidRDefault="00000000" w:rsidRPr="00000000" w14:paraId="0000012A">
      <w:pPr>
        <w:spacing w:after="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B">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65.</w:t>
      </w:r>
      <w:r w:rsidDel="00000000" w:rsidR="00000000" w:rsidRPr="00000000">
        <w:rPr>
          <w:rFonts w:ascii="Palatino Linotype" w:cs="Palatino Linotype" w:eastAsia="Palatino Linotype" w:hAnsi="Palatino Linotype"/>
          <w:i w:val="1"/>
          <w:rtl w:val="0"/>
        </w:rPr>
        <w:t xml:space="preserve"> Para ejercer sus atribuciones, la Dirección de Administración se apoyará en las siguientes áreas: </w:t>
      </w:r>
    </w:p>
    <w:p w:rsidR="00000000" w:rsidDel="00000000" w:rsidP="00000000" w:rsidRDefault="00000000" w:rsidRPr="00000000" w14:paraId="0000012C">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Subdirección de Servicios Generales; </w:t>
      </w:r>
    </w:p>
    <w:p w:rsidR="00000000" w:rsidDel="00000000" w:rsidP="00000000" w:rsidRDefault="00000000" w:rsidRPr="00000000" w14:paraId="0000012D">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Departamento de Control Vehicular y Taller;</w:t>
      </w:r>
    </w:p>
    <w:p w:rsidR="00000000" w:rsidDel="00000000" w:rsidP="00000000" w:rsidRDefault="00000000" w:rsidRPr="00000000" w14:paraId="0000012E">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b) Departamento de Mantenimiento y Limpieza; </w:t>
      </w:r>
    </w:p>
    <w:p w:rsidR="00000000" w:rsidDel="00000000" w:rsidP="00000000" w:rsidRDefault="00000000" w:rsidRPr="00000000" w14:paraId="0000012F">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 Departamento de Logística; </w:t>
      </w:r>
    </w:p>
    <w:p w:rsidR="00000000" w:rsidDel="00000000" w:rsidP="00000000" w:rsidRDefault="00000000" w:rsidRPr="00000000" w14:paraId="00000130">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Subdirección de Informática; </w:t>
      </w:r>
    </w:p>
    <w:p w:rsidR="00000000" w:rsidDel="00000000" w:rsidP="00000000" w:rsidRDefault="00000000" w:rsidRPr="00000000" w14:paraId="00000131">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Subdirección de Recursos Humanos; </w:t>
      </w:r>
    </w:p>
    <w:p w:rsidR="00000000" w:rsidDel="00000000" w:rsidP="00000000" w:rsidRDefault="00000000" w:rsidRPr="00000000" w14:paraId="00000132">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Departamento de Nómina; </w:t>
      </w:r>
    </w:p>
    <w:p w:rsidR="00000000" w:rsidDel="00000000" w:rsidP="00000000" w:rsidRDefault="00000000" w:rsidRPr="00000000" w14:paraId="00000133">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b) Departamento de Capacitación y Evaluación; </w:t>
      </w:r>
    </w:p>
    <w:p w:rsidR="00000000" w:rsidDel="00000000" w:rsidP="00000000" w:rsidRDefault="00000000" w:rsidRPr="00000000" w14:paraId="00000134">
      <w:pPr>
        <w:spacing w:after="0" w:lineRule="auto"/>
        <w:ind w:left="567" w:right="49"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IV. Subdirección de Recursos Materiales; </w:t>
      </w:r>
    </w:p>
    <w:p w:rsidR="00000000" w:rsidDel="00000000" w:rsidP="00000000" w:rsidRDefault="00000000" w:rsidRPr="00000000" w14:paraId="00000135">
      <w:pPr>
        <w:spacing w:after="0" w:lineRule="auto"/>
        <w:ind w:left="567" w:right="49"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a) Departamento de Licitaciones Públicas; </w:t>
      </w:r>
    </w:p>
    <w:p w:rsidR="00000000" w:rsidDel="00000000" w:rsidP="00000000" w:rsidRDefault="00000000" w:rsidRPr="00000000" w14:paraId="00000136">
      <w:pPr>
        <w:spacing w:after="0" w:lineRule="auto"/>
        <w:ind w:left="567" w:right="49"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b) Departamento de Adjudicaciones; </w:t>
      </w:r>
    </w:p>
    <w:p w:rsidR="00000000" w:rsidDel="00000000" w:rsidP="00000000" w:rsidRDefault="00000000" w:rsidRPr="00000000" w14:paraId="00000137">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 Departamento de Almacén; </w:t>
      </w:r>
    </w:p>
    <w:p w:rsidR="00000000" w:rsidDel="00000000" w:rsidP="00000000" w:rsidRDefault="00000000" w:rsidRPr="00000000" w14:paraId="00000138">
      <w:pPr>
        <w:spacing w:after="0" w:lineRule="auto"/>
        <w:ind w:left="567" w:right="49"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d) Departamento de Seguimiento de Contratos; </w:t>
      </w:r>
    </w:p>
    <w:p w:rsidR="00000000" w:rsidDel="00000000" w:rsidP="00000000" w:rsidRDefault="00000000" w:rsidRPr="00000000" w14:paraId="00000139">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Departamento de Atención a Guardia Civil Municipal; y, </w:t>
      </w:r>
    </w:p>
    <w:p w:rsidR="00000000" w:rsidDel="00000000" w:rsidP="00000000" w:rsidRDefault="00000000" w:rsidRPr="00000000" w14:paraId="0000013A">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Departamento de Archivo; y </w:t>
      </w:r>
    </w:p>
    <w:p w:rsidR="00000000" w:rsidDel="00000000" w:rsidP="00000000" w:rsidRDefault="00000000" w:rsidRPr="00000000" w14:paraId="0000013B">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Enlace Administrativo.</w:t>
      </w:r>
    </w:p>
    <w:p w:rsidR="00000000" w:rsidDel="00000000" w:rsidP="00000000" w:rsidRDefault="00000000" w:rsidRPr="00000000" w14:paraId="0000013C">
      <w:pPr>
        <w:spacing w:after="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3D">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66.</w:t>
      </w:r>
      <w:r w:rsidDel="00000000" w:rsidR="00000000" w:rsidRPr="00000000">
        <w:rPr>
          <w:rFonts w:ascii="Palatino Linotype" w:cs="Palatino Linotype" w:eastAsia="Palatino Linotype" w:hAnsi="Palatino Linotype"/>
          <w:i w:val="1"/>
          <w:rtl w:val="0"/>
        </w:rPr>
        <w:t xml:space="preserve"> Son atribuciones de la Dirección de Administración, las siguientes: </w:t>
      </w:r>
    </w:p>
    <w:p w:rsidR="00000000" w:rsidDel="00000000" w:rsidP="00000000" w:rsidRDefault="00000000" w:rsidRPr="00000000" w14:paraId="0000013E">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Vigilar el cumplimiento de las disposiciones legales que regulen las relaciones laborales entre la Administración Pública Municipal Centralizada y las personas servidoras públicas adscritas; </w:t>
      </w:r>
    </w:p>
    <w:p w:rsidR="00000000" w:rsidDel="00000000" w:rsidP="00000000" w:rsidRDefault="00000000" w:rsidRPr="00000000" w14:paraId="0000013F">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Establecer y difundir entre las diversas dependencias municipales, las políticas, manuales y procedimientos de carácter interno necesarios para la administración y el control eficiente de los recursos humanos, los recursos materiales, del parque vehicular, así como el mantenimiento adecuado y la conservación de los muebles e inmuebles municipales; </w:t>
      </w:r>
    </w:p>
    <w:p w:rsidR="00000000" w:rsidDel="00000000" w:rsidP="00000000" w:rsidRDefault="00000000" w:rsidRPr="00000000" w14:paraId="00000140">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Poner a consideración de la persona titular de la Presidencia Municipal, los nombramientos, tabuladores de sueldos, renuncias, licencias y jubilaciones de las personas servidoras públicas de la Administración Pública Municipal Centralizada, atendiendo a la normativa aplicable, con excepción de aquellas cuyo nombramiento sea determinado de manera distinta por otras disposiciones jurídicas vigentes; </w:t>
      </w:r>
    </w:p>
    <w:p w:rsidR="00000000" w:rsidDel="00000000" w:rsidP="00000000" w:rsidRDefault="00000000" w:rsidRPr="00000000" w14:paraId="00000141">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Coordinar la integración del presupuesto del capítulo 1000 Servicios Personales y llevar el seguimiento de su ejercicio; </w:t>
      </w:r>
    </w:p>
    <w:p w:rsidR="00000000" w:rsidDel="00000000" w:rsidP="00000000" w:rsidRDefault="00000000" w:rsidRPr="00000000" w14:paraId="00000142">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Coordinar los trabajos de revisión anual del convenio colectivo de trabajo con la representación sindical, proyectando el costo de las prestaciones y atendiendo la capacidad financiera del Ayuntamiento; </w:t>
      </w:r>
    </w:p>
    <w:p w:rsidR="00000000" w:rsidDel="00000000" w:rsidP="00000000" w:rsidRDefault="00000000" w:rsidRPr="00000000" w14:paraId="00000143">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Vigilar que se elaboren y actualicen los perfiles y descripciones de puestos que se requieran en las diferentes dependencias, a efecto de optimizar el capital humano; </w:t>
      </w:r>
    </w:p>
    <w:p w:rsidR="00000000" w:rsidDel="00000000" w:rsidP="00000000" w:rsidRDefault="00000000" w:rsidRPr="00000000" w14:paraId="00000144">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Vigilar y supervisar la integración de los expedientes del personal, así como la expedición de las credenciales de identificación laboral; </w:t>
      </w:r>
    </w:p>
    <w:p w:rsidR="00000000" w:rsidDel="00000000" w:rsidP="00000000" w:rsidRDefault="00000000" w:rsidRPr="00000000" w14:paraId="00000145">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Evaluar el desempeño de las áreas administrativas que integran la Dirección, para determinar el grado de eficiencia y eficacia, y el cumplimiento de las atribuciones que tienen encomendadas;</w:t>
      </w:r>
    </w:p>
    <w:p w:rsidR="00000000" w:rsidDel="00000000" w:rsidP="00000000" w:rsidRDefault="00000000" w:rsidRPr="00000000" w14:paraId="00000146">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Formular e implementar las medidas necesarias para la adecuada racionalización y optimización del gasto; </w:t>
      </w:r>
    </w:p>
    <w:p w:rsidR="00000000" w:rsidDel="00000000" w:rsidP="00000000" w:rsidRDefault="00000000" w:rsidRPr="00000000" w14:paraId="00000147">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 Supervisar la formulación y elaboración del Programa Anual de Adquisiciones apegado al Presupuesto de Egresos de la Administración Pública Municipal Centralizada y a los programas, metas y acciones del Plan de Desarrollo Municipal; </w:t>
      </w:r>
    </w:p>
    <w:p w:rsidR="00000000" w:rsidDel="00000000" w:rsidP="00000000" w:rsidRDefault="00000000" w:rsidRPr="00000000" w14:paraId="00000148">
      <w:pPr>
        <w:spacing w:after="0" w:lineRule="auto"/>
        <w:ind w:left="567" w:right="49"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XI. Autorizar las convocatorias, bases y suscribir los contratos derivados de los procedimientos de adquisición de bienes y contratación de servicios, de conformidad con la legislación aplicable; </w:t>
      </w:r>
    </w:p>
    <w:p w:rsidR="00000000" w:rsidDel="00000000" w:rsidP="00000000" w:rsidRDefault="00000000" w:rsidRPr="00000000" w14:paraId="00000149">
      <w:pPr>
        <w:spacing w:after="0" w:lineRule="auto"/>
        <w:ind w:left="567" w:right="49"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XII. Observar los criterios, lineamientos y políticas en materia de adquisiciones, arrendamientos y contratación de servicios, conforme a lo señalado por las disposiciones jurídicas aplicables; </w:t>
      </w:r>
    </w:p>
    <w:p w:rsidR="00000000" w:rsidDel="00000000" w:rsidP="00000000" w:rsidRDefault="00000000" w:rsidRPr="00000000" w14:paraId="0000014A">
      <w:pPr>
        <w:spacing w:after="0" w:lineRule="auto"/>
        <w:ind w:left="567" w:right="49"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XIII. Intervenir en las adquisiciones, arrendamientos y contratación de servicios que realice la Administración Pública Municipal Centralizada, de acuerdo con lo establecido en las disposiciones jurídicas aplicables, pudiendo delegar esta facultad en las personas servidoras públicas municipales designadas para tales efectos, a menos que, por disposición de carácter general, deba ser ejercida directamente por la persona titular; </w:t>
      </w:r>
    </w:p>
    <w:p w:rsidR="00000000" w:rsidDel="00000000" w:rsidP="00000000" w:rsidRDefault="00000000" w:rsidRPr="00000000" w14:paraId="0000014B">
      <w:pPr>
        <w:spacing w:after="0" w:lineRule="auto"/>
        <w:ind w:left="567" w:right="49"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XIV. Supervisar la adquisición de los bienes y la contratación de la prestación de servicios, que cubran las necesidades para el buen funcionamiento del Municipio y sus dependencias; así como vigilar que el procedimiento de adquisición se apegue a la normativa establecida; </w:t>
      </w:r>
    </w:p>
    <w:p w:rsidR="00000000" w:rsidDel="00000000" w:rsidP="00000000" w:rsidRDefault="00000000" w:rsidRPr="00000000" w14:paraId="0000014C">
      <w:pPr>
        <w:spacing w:after="0" w:lineRule="auto"/>
        <w:ind w:left="567" w:right="49"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XV. Vigilar la integración y actualización del Padrón de Proveedores; </w:t>
      </w:r>
    </w:p>
    <w:p w:rsidR="00000000" w:rsidDel="00000000" w:rsidP="00000000" w:rsidRDefault="00000000" w:rsidRPr="00000000" w14:paraId="0000014D">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XVI. Supervisar y vigilar la adecuada administración y el control eficaz del almacén;</w:t>
      </w:r>
    </w:p>
    <w:p w:rsidR="00000000" w:rsidDel="00000000" w:rsidP="00000000" w:rsidRDefault="00000000" w:rsidRPr="00000000" w14:paraId="0000014E">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XVII. Supervisar y vigilar el control, mantenimiento y adquisición del parque vehicular oficial, así como del suministro de los combustibles; </w:t>
      </w:r>
    </w:p>
    <w:p w:rsidR="00000000" w:rsidDel="00000000" w:rsidP="00000000" w:rsidRDefault="00000000" w:rsidRPr="00000000" w14:paraId="0000014F">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XVIII. Vigilar las políticas y lineamientos de carácter interno necesarios para una eficiente administración de los servicios de energía eléctrica y comunicaciones, utilizados en la Administración Pública Municipal; </w:t>
      </w:r>
    </w:p>
    <w:p w:rsidR="00000000" w:rsidDel="00000000" w:rsidP="00000000" w:rsidRDefault="00000000" w:rsidRPr="00000000" w14:paraId="00000150">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XIX. Presidir los Comités que le competan de conformidad con la legislación aplicable a sus atribuciones; </w:t>
      </w:r>
    </w:p>
    <w:p w:rsidR="00000000" w:rsidDel="00000000" w:rsidP="00000000" w:rsidRDefault="00000000" w:rsidRPr="00000000" w14:paraId="00000151">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 Supervisar la elaboración del programa operativo anual de la Dirección de Administración, conforme al Plan de Desarrollo Municipal y al presupuesto de egresos autorizado; </w:t>
      </w:r>
    </w:p>
    <w:p w:rsidR="00000000" w:rsidDel="00000000" w:rsidP="00000000" w:rsidRDefault="00000000" w:rsidRPr="00000000" w14:paraId="00000152">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 Supervisar y vigilar que las áreas administrativas integrantes de la Dirección coadyuven con la Tesorería Municipal, presentando las metas e indicadores para dar cumplimiento a los programas y proyectos establecidos en el Plan de Desarrollo Municipal Vigente; </w:t>
      </w:r>
    </w:p>
    <w:p w:rsidR="00000000" w:rsidDel="00000000" w:rsidP="00000000" w:rsidRDefault="00000000" w:rsidRPr="00000000" w14:paraId="00000153">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XXII. Verificar que se realicen inventarios físicos de los recursos materiales, tecnológicos y consumibles existentes en la Dirección; </w:t>
      </w:r>
    </w:p>
    <w:p w:rsidR="00000000" w:rsidDel="00000000" w:rsidP="00000000" w:rsidRDefault="00000000" w:rsidRPr="00000000" w14:paraId="00000154">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XXIII. Promover la implementación de mecanismos y sistemas informáticos, digitales y por internet, que fortalezcan la transparencia y simplificación administrativa, en los procesos de licitación, adjudicación y contratación de servicios y productos que se requieran para la operación del Municipio de Cuautitlán, de conformidad con la legislación en la materia;</w:t>
      </w:r>
    </w:p>
    <w:p w:rsidR="00000000" w:rsidDel="00000000" w:rsidP="00000000" w:rsidRDefault="00000000" w:rsidRPr="00000000" w14:paraId="00000155">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XXIV. Supervisar en coordinación con la Comisión Municipal de Transparencia y Acceso a la Información Pública y la Comisión Municipal de Mejora Regulatoria, para la ejecución de la política municipal para el uso estratégico y aprovechamiento de las tecnologías de la información y comunicación hacia el desarrollo de un Gobierno Digital Municipal y la implementación de la Agenda Digital; </w:t>
      </w:r>
    </w:p>
    <w:p w:rsidR="00000000" w:rsidDel="00000000" w:rsidP="00000000" w:rsidRDefault="00000000" w:rsidRPr="00000000" w14:paraId="00000156">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XXV. Participar, en acuerdo con la Coordinación de Gobierno Digital y Mejora Regulatoria en la elaboración de lineamientos y normatividad para la adquisición, instalación, uso y mantenimiento de los recursos de cómputo requeridos en el Municipio de Cuautitlán de conformidad con la normatividad en la materia, así como su divulgación; </w:t>
      </w:r>
    </w:p>
    <w:p w:rsidR="00000000" w:rsidDel="00000000" w:rsidP="00000000" w:rsidRDefault="00000000" w:rsidRPr="00000000" w14:paraId="00000157">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XXVI. Participar, en acuerdo con la Coordinación de Gobierno Digital y Mejora Regulatoria en la coordinación y supervisión de la implantación y operación de los sistemas autorizados y utilizados en las Dependencias de la Administración Pública Municipal Centralizada;</w:t>
      </w:r>
    </w:p>
    <w:p w:rsidR="00000000" w:rsidDel="00000000" w:rsidP="00000000" w:rsidRDefault="00000000" w:rsidRPr="00000000" w14:paraId="00000158">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XXVII. Vigilar el mantenimiento preventivo y correctivo tanto de software como de hardware, para apoyar la administración de los sistemas institucionales; </w:t>
      </w:r>
    </w:p>
    <w:p w:rsidR="00000000" w:rsidDel="00000000" w:rsidP="00000000" w:rsidRDefault="00000000" w:rsidRPr="00000000" w14:paraId="00000159">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XXVIII. Proponer al Ayuntamiento la conformación del régimen complementario de seguridad social a que hace referencia la Ley Orgánica y administrar y evaluar su implementación; </w:t>
      </w:r>
    </w:p>
    <w:p w:rsidR="00000000" w:rsidDel="00000000" w:rsidP="00000000" w:rsidRDefault="00000000" w:rsidRPr="00000000" w14:paraId="0000015A">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XXIX. Proponer al Ayuntamiento la conformación del sistema de mérito y reconocimiento al servicio público municipal y administrar y evaluar su implementación; </w:t>
      </w:r>
    </w:p>
    <w:p w:rsidR="00000000" w:rsidDel="00000000" w:rsidP="00000000" w:rsidRDefault="00000000" w:rsidRPr="00000000" w14:paraId="0000015B">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XXX. Proponer al Ayuntamiento los métodos y procedimientos para la selección y desarrollo del personal de las áreas encargadas de los principales servicios públicos que deberá implementar el Ayuntamiento que propicien la institucionalización del servicio civil de carrera municipal; y, </w:t>
      </w:r>
    </w:p>
    <w:p w:rsidR="00000000" w:rsidDel="00000000" w:rsidP="00000000" w:rsidRDefault="00000000" w:rsidRPr="00000000" w14:paraId="0000015C">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XXXI. Las demás que deriven de otros ordenamientos legales aplicables o le sean encomendados en el área de su competencia por la persona titular de la Presidencia Municipal.</w:t>
      </w:r>
    </w:p>
    <w:p w:rsidR="00000000" w:rsidDel="00000000" w:rsidP="00000000" w:rsidRDefault="00000000" w:rsidRPr="00000000" w14:paraId="0000015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colige que, el Sujeto Obligado cuenta con facultades, atribuciones y competencia, para generar, administrar y poseer la información solicitada, debido a que cuenta con unidades administrativas como, la Tesorería Municipal y la Dirección de Administración. </w:t>
      </w:r>
    </w:p>
    <w:p w:rsidR="00000000" w:rsidDel="00000000" w:rsidP="00000000" w:rsidRDefault="00000000" w:rsidRPr="00000000" w14:paraId="0000015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0">
      <w:pPr>
        <w:spacing w:after="0" w:line="360" w:lineRule="auto"/>
        <w:ind w:right="-9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Correlativo a lo anterior, es necesario precisar que de las constancias que obran en el expediente se logra vislumbrar que el Sujeto Obligado, turnó la solicitud de información a las unidades administrativas competentes, a saber la Dirección de Administración y Tesorería Municipal,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000000" w:rsidDel="00000000" w:rsidP="00000000" w:rsidRDefault="00000000" w:rsidRPr="00000000" w14:paraId="00000161">
      <w:pPr>
        <w:spacing w:after="0" w:line="360" w:lineRule="auto"/>
        <w:ind w:right="56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360" w:lineRule="auto"/>
        <w:ind w:left="567" w:right="56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000000" w:rsidDel="00000000" w:rsidP="00000000" w:rsidRDefault="00000000" w:rsidRPr="00000000" w14:paraId="00000163">
      <w:pPr>
        <w:spacing w:after="0" w:line="360" w:lineRule="auto"/>
        <w:ind w:left="567" w:right="56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360" w:lineRule="auto"/>
        <w:ind w:left="567" w:right="56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Los sujetos obligados otorgaran acceso a los documentos que se encuentren en sus archivos o que estén obligados a documentar de acuerdo con sus facultades, competencias o funciones, en el formato en que la solicitante manifieste, de entre aquellos formatos existentes.</w:t>
      </w:r>
    </w:p>
    <w:p w:rsidR="00000000" w:rsidDel="00000000" w:rsidP="00000000" w:rsidRDefault="00000000" w:rsidRPr="00000000" w14:paraId="00000165">
      <w:pP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66">
      <w:pP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y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al área competente para conocer de lo peticionado. </w:t>
      </w:r>
    </w:p>
    <w:p w:rsidR="00000000" w:rsidDel="00000000" w:rsidP="00000000" w:rsidRDefault="00000000" w:rsidRPr="00000000" w14:paraId="0000016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relación con los agravios hechos valer por la parte Recurrente; se advierte que, en respuesta la Dirección de Administración refirió que, era incompetente debido a que, era la Tesorería quien debía poseer la información, no obstante, como se analizó anteriormente, se desprende que la Dirección de Administración se integra por una Subdirección de Recursos Materiales y este se integra por departamentos, entre los cuales destaca el Departamento de Licitaciones Públicas, el Departamento de Adjudicaciones y el Departamento de Seguimiento de Contratos. </w:t>
      </w:r>
    </w:p>
    <w:p w:rsidR="00000000" w:rsidDel="00000000" w:rsidP="00000000" w:rsidRDefault="00000000" w:rsidRPr="00000000" w14:paraId="0000016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A">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Asimismo, se advierte que, dentro de sus atribuciones se encuentran las de autorizar las convocatorias, bases y suscribir los contratos derivados de los procedimientos de adquisición de bienes y contratación de servicios, así como, observar los criterios, lineamientos y políticas en materia de adquisiciones e intervenir en las adquisiciones, arrendamientos y contrataciones de servicios que realice la administración pública municipal, de tal manera que, se colige que, la Dirección de Administración </w:t>
      </w:r>
      <w:r w:rsidDel="00000000" w:rsidR="00000000" w:rsidRPr="00000000">
        <w:rPr>
          <w:rFonts w:ascii="Palatino Linotype" w:cs="Palatino Linotype" w:eastAsia="Palatino Linotype" w:hAnsi="Palatino Linotype"/>
          <w:b w:val="1"/>
          <w:rtl w:val="0"/>
        </w:rPr>
        <w:t xml:space="preserve">si cuenta con competencia para poseer, generar o administrar parte de la información solicitada como los contratos suscritos con los medios de comunicación. </w:t>
      </w:r>
    </w:p>
    <w:p w:rsidR="00000000" w:rsidDel="00000000" w:rsidP="00000000" w:rsidRDefault="00000000" w:rsidRPr="00000000" w14:paraId="0000016B">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6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en respuesta, la Tesorería Municipal en respuesta refirió que, no se encontraba en posibilidades de otorgar la información porque se encontraba en proceso de entrega-recepción por conclusión de la administración municipal e inicio de la administración 2025-2027, por lo que, se debe de revisar y verificar que el contenido del soporte documental y electrónico coincidan con las evidencias físicas. </w:t>
      </w:r>
    </w:p>
    <w:p w:rsidR="00000000" w:rsidDel="00000000" w:rsidP="00000000" w:rsidRDefault="00000000" w:rsidRPr="00000000" w14:paraId="0000016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esto no se considera una respuesta válida, debido a que, si bien, pueden encontrarse en un proceso de entrega-recepción, esto no basta para restringir el acceso a la información, esto en atención a que, el derecho de acceso a la información pública únicamente puede ser limitado cuando se actualiza una causal de clasificación o la inexistencia. </w:t>
      </w:r>
    </w:p>
    <w:p w:rsidR="00000000" w:rsidDel="00000000" w:rsidP="00000000" w:rsidRDefault="00000000" w:rsidRPr="00000000" w14:paraId="0000016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presente caso, la Tesorería Municipal no alegó la clasificación ni la inexistencia de la información solicitada, por lo que, no se advierte motivo alguno para restringir su acceso. </w:t>
      </w:r>
    </w:p>
    <w:p w:rsidR="00000000" w:rsidDel="00000000" w:rsidP="00000000" w:rsidRDefault="00000000" w:rsidRPr="00000000" w14:paraId="0000017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la Tesorería Municipal refirió que, debía verificar y revisar que el contenido del soporte documental y electrónico respecto a informes, expedientes y documentos probatorios, coincidan con las evidencias físicas, sin embargo, es de destacar que una de las obligaciones fiscales de los Entes Fiscalizables es hacer entrega del Informe Trimestral respectivo al Órgano Superior de Fiscalización de la Entidad, siendo que, dentro de la información que integra el Informe Trimestral se encuentra información contable, situación que, permite advertir que, el Sujeto Obligado al haber cumplido con sus obligaciones fiscales y al haber proporcionado el informe trimestral respectivo, el Órgano Superior de Fiscalización ya verificó y revisó su situación contable; por lo que, la Tesorería Municipal no puede restringir la información por lo anteriormente expuesto, ya que, esta obra en sus archivos, fue generada y fue revisada por el Órgano Fiscalizador. </w:t>
      </w:r>
    </w:p>
    <w:p w:rsidR="00000000" w:rsidDel="00000000" w:rsidP="00000000" w:rsidRDefault="00000000" w:rsidRPr="00000000" w14:paraId="0000017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se considera procedente, ordenar, por una parte, una nueva búsqueda exhaustiva y razonable en la Dirección de Administración con la finalidad de que, proporcione los contratos suscritos con medios de comunicación de los años 2023 y 2024 y, por otra parte, ordenar a la Tesorería Municipal la entrega de las facturas generadas con motivo de los pagos realizados a los medios de comunicación de los años 2023 y 2024.</w:t>
      </w:r>
    </w:p>
    <w:p w:rsidR="00000000" w:rsidDel="00000000" w:rsidP="00000000" w:rsidRDefault="00000000" w:rsidRPr="00000000" w14:paraId="0000017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supuesto que no se hayan celebrado contratos o efectuado pagos,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17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000000" w:rsidDel="00000000" w:rsidP="00000000" w:rsidRDefault="00000000" w:rsidRPr="00000000" w14:paraId="0000017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17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Entre los datos que puede encontrar en la información que se determina ordenar, de manera enunciativa, </w:t>
      </w:r>
      <w:r w:rsidDel="00000000" w:rsidR="00000000" w:rsidRPr="00000000">
        <w:rPr>
          <w:rFonts w:ascii="Palatino Linotype" w:cs="Palatino Linotype" w:eastAsia="Palatino Linotype" w:hAnsi="Palatino Linotype"/>
          <w:b w:val="1"/>
          <w:rtl w:val="0"/>
        </w:rPr>
        <w:t xml:space="preserve">más no limitativa </w:t>
      </w:r>
      <w:r w:rsidDel="00000000" w:rsidR="00000000" w:rsidRPr="00000000">
        <w:rPr>
          <w:rFonts w:ascii="Palatino Linotype" w:cs="Palatino Linotype" w:eastAsia="Palatino Linotype" w:hAnsi="Palatino Linotype"/>
          <w:rtl w:val="0"/>
        </w:rPr>
        <w:t xml:space="preserve">es la siguiente: </w:t>
      </w:r>
    </w:p>
    <w:p w:rsidR="00000000" w:rsidDel="00000000" w:rsidP="00000000" w:rsidRDefault="00000000" w:rsidRPr="00000000" w14:paraId="0000017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respecta a al RFC de personas físicas o morales proveedores, de acuerdo al criterio SO/004/2021, emitido por el entonces Instituto Nacional de Transparencia, Acceso a la Información y Protección de Datos Personales, que establece lo siguiente:</w:t>
      </w:r>
    </w:p>
    <w:p w:rsidR="00000000" w:rsidDel="00000000" w:rsidP="00000000" w:rsidRDefault="00000000" w:rsidRPr="00000000" w14:paraId="0000017F">
      <w:pPr>
        <w:spacing w:after="280" w:before="280" w:lineRule="auto"/>
        <w:ind w:left="850"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Registro Federal de Contribuyentes (RFC) de personas físicas proveedores o contratistas</w:t>
      </w:r>
      <w:r w:rsidDel="00000000" w:rsidR="00000000" w:rsidRPr="00000000">
        <w:rPr>
          <w:rFonts w:ascii="Palatino Linotype" w:cs="Palatino Linotype" w:eastAsia="Palatino Linotype" w:hAnsi="Palatino Linotype"/>
          <w:b w:val="1"/>
          <w:i w:val="1"/>
          <w:u w:val="single"/>
          <w:rtl w:val="0"/>
        </w:rPr>
        <w:t xml:space="preserve">.</w:t>
      </w:r>
      <w:r w:rsidDel="00000000" w:rsidR="00000000" w:rsidRPr="00000000">
        <w:rPr>
          <w:rFonts w:ascii="Palatino Linotype" w:cs="Palatino Linotype" w:eastAsia="Palatino Linotype" w:hAnsi="Palatino Linotype"/>
          <w:i w:val="1"/>
          <w:u w:val="single"/>
          <w:rtl w:val="0"/>
        </w:rPr>
        <w:t xml:space="preserve"> </w:t>
      </w:r>
      <w:r w:rsidDel="00000000" w:rsidR="00000000" w:rsidRPr="00000000">
        <w:rPr>
          <w:rFonts w:ascii="Palatino Linotype" w:cs="Palatino Linotype" w:eastAsia="Palatino Linotype" w:hAnsi="Palatino Linotype"/>
          <w:b w:val="1"/>
          <w:i w:val="1"/>
          <w:u w:val="single"/>
          <w:rtl w:val="0"/>
        </w:rPr>
        <w:t xml:space="preserve">El RFC de contratistas o proveedores de sujetos obligados debe ser público</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ya que, al tratarse de personas relacionadas con contrataciones públicas, su difusión favorece la transparencia con la que deben administrarse los recursos públicos, en términos del artículo 134 de la Constitución Política de los Estados Unidos Mexicanos.</w:t>
      </w:r>
    </w:p>
    <w:p w:rsidR="00000000" w:rsidDel="00000000" w:rsidP="00000000" w:rsidRDefault="00000000" w:rsidRPr="00000000" w14:paraId="00000180">
      <w:pPr>
        <w:widowControl w:val="0"/>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las cuentas bancarias y claves interbancarias es de precisar que dicha información es confidencial únicamente; por lo que, concierne a los particulares, y no así para los sujetos obligados que prevé el artículo 23, de la Ley de Transparencia y Acceso a la Información Pública del Estado de México y Municipios,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toda vez que su publicidad abona a la transparencia y a la rendición de cuentas.</w:t>
      </w:r>
    </w:p>
    <w:p w:rsidR="00000000" w:rsidDel="00000000" w:rsidP="00000000" w:rsidRDefault="00000000" w:rsidRPr="00000000" w14:paraId="00000181">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es importante precisar que de acuerdo al </w:t>
      </w:r>
      <w:r w:rsidDel="00000000" w:rsidR="00000000" w:rsidRPr="00000000">
        <w:rPr>
          <w:rFonts w:ascii="Palatino Linotype" w:cs="Palatino Linotype" w:eastAsia="Palatino Linotype" w:hAnsi="Palatino Linotype"/>
          <w:b w:val="1"/>
          <w:rtl w:val="0"/>
        </w:rPr>
        <w:t xml:space="preserve">criterio 11/17</w:t>
      </w:r>
      <w:r w:rsidDel="00000000" w:rsidR="00000000" w:rsidRPr="00000000">
        <w:rPr>
          <w:rFonts w:ascii="Palatino Linotype" w:cs="Palatino Linotype" w:eastAsia="Palatino Linotype" w:hAnsi="Palatino Linotype"/>
          <w:rtl w:val="0"/>
        </w:rPr>
        <w:t xml:space="preserve"> emitido por el entonces INAI, las cuentas bancarias y/o clave interbancaria de los Sujetos Obligados es información de carácter público cuando:</w:t>
      </w:r>
    </w:p>
    <w:p w:rsidR="00000000" w:rsidDel="00000000" w:rsidP="00000000" w:rsidRDefault="00000000" w:rsidRPr="00000000" w14:paraId="00000182">
      <w:pPr>
        <w:tabs>
          <w:tab w:val="left" w:leader="none" w:pos="8222"/>
        </w:tabs>
        <w:spacing w:after="0" w:before="280" w:lineRule="auto"/>
        <w:ind w:left="851" w:right="902"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Criterio 11/17</w:t>
      </w:r>
    </w:p>
    <w:p w:rsidR="00000000" w:rsidDel="00000000" w:rsidP="00000000" w:rsidRDefault="00000000" w:rsidRPr="00000000" w14:paraId="00000183">
      <w:pPr>
        <w:tabs>
          <w:tab w:val="left" w:leader="none" w:pos="8222"/>
        </w:tabs>
        <w:spacing w:after="0" w:before="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000000" w:rsidDel="00000000" w:rsidP="00000000" w:rsidRDefault="00000000" w:rsidRPr="00000000" w14:paraId="0000018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El número (folio) de la credencial para votar (Reconocimiento Óptico de Caracteres).</w:t>
      </w:r>
      <w:r w:rsidDel="00000000" w:rsidR="00000000" w:rsidRPr="00000000">
        <w:rPr>
          <w:rFonts w:ascii="Palatino Linotype" w:cs="Palatino Linotype" w:eastAsia="Palatino Linotype" w:hAnsi="Palatino Linotype"/>
          <w:rtl w:val="0"/>
        </w:rPr>
        <w:t xml:space="preserve"> Al respecto, debe precisarse que, en el reverso de la credencial para votar, se advierte la incorporación de un número de control denominado OCR (por sus siglas en inglés Optical Character Recognition), el cual se integra de 12 o 13 dígitos de la siguiente manera: los cuatro primeros corresponden con la clave de la sección electoral de la residencia del ciudadano, los restantes corresponden a un número consecutivo único asignado al momento de conformar la clave de elector correspondiente.</w:t>
      </w:r>
    </w:p>
    <w:p w:rsidR="00000000" w:rsidDel="00000000" w:rsidP="00000000" w:rsidRDefault="00000000" w:rsidRPr="00000000" w14:paraId="0000018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el número de credencial de elector corresponde al denominado “Reconocimiento Óptico de Caracteres”. En este sentido, se considera que dicho número de control, al contener el número de la sección electoral en donde vota el ciudadano –titular de dicho documento-constituye un dato personal en razón de que revela información concerniente a una persona física identificada o identificable en función de la información geoelectoral ahí contenida. </w:t>
      </w:r>
    </w:p>
    <w:p w:rsidR="00000000" w:rsidDel="00000000" w:rsidP="00000000" w:rsidRDefault="00000000" w:rsidRPr="00000000" w14:paraId="0000018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se determina que tal dato debe ser considerado como confidencial, por configurarse la hipótesis prevista en el artículo 143, fracción I, de la Ley de Transparencia vigente en la entidad. </w:t>
      </w:r>
    </w:p>
    <w:p w:rsidR="00000000" w:rsidDel="00000000" w:rsidP="00000000" w:rsidRDefault="00000000" w:rsidRPr="00000000" w14:paraId="0000018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18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D">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18E">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8F">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190">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 Información clasificada: Aquella considerada por la presente Ley como reservada o confidencial;</w:t>
      </w:r>
    </w:p>
    <w:p w:rsidR="00000000" w:rsidDel="00000000" w:rsidP="00000000" w:rsidRDefault="00000000" w:rsidRPr="00000000" w14:paraId="00000191">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92">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193">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94">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95">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132.</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p>
    <w:p w:rsidR="00000000" w:rsidDel="00000000" w:rsidP="00000000" w:rsidRDefault="00000000" w:rsidRPr="00000000" w14:paraId="00000196">
      <w:pPr>
        <w:tabs>
          <w:tab w:val="left" w:leader="none" w:pos="1134"/>
        </w:tabs>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reciba una solicitud de acceso a la información;</w:t>
      </w:r>
    </w:p>
    <w:p w:rsidR="00000000" w:rsidDel="00000000" w:rsidP="00000000" w:rsidRDefault="00000000" w:rsidRPr="00000000" w14:paraId="00000197">
      <w:pPr>
        <w:tabs>
          <w:tab w:val="left" w:leader="none" w:pos="1134"/>
        </w:tabs>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determine mediante resolución de autoridad competente; o</w:t>
      </w:r>
    </w:p>
    <w:p w:rsidR="00000000" w:rsidDel="00000000" w:rsidP="00000000" w:rsidRDefault="00000000" w:rsidRPr="00000000" w14:paraId="00000198">
      <w:pPr>
        <w:tabs>
          <w:tab w:val="left" w:leader="none" w:pos="1134"/>
        </w:tabs>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 generen versiones públicas para dar cumplimiento a las obligaciones de transparencia previstas en esta Ley.</w:t>
      </w:r>
    </w:p>
    <w:p w:rsidR="00000000" w:rsidDel="00000000" w:rsidP="00000000" w:rsidRDefault="00000000" w:rsidRPr="00000000" w14:paraId="00000199">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9A">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9B">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9C">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9D">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9E">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9F">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A0">
      <w:pPr>
        <w:spacing w:after="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A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A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000000" w:rsidDel="00000000" w:rsidP="00000000" w:rsidRDefault="00000000" w:rsidRPr="00000000" w14:paraId="000001A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5">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Quincuagésimo</w:t>
      </w:r>
      <w:r w:rsidDel="00000000" w:rsidR="00000000" w:rsidRPr="00000000">
        <w:rPr>
          <w:rFonts w:ascii="Palatino Linotype" w:cs="Palatino Linotype" w:eastAsia="Palatino Linotype" w:hAnsi="Palatino Linotype"/>
          <w:i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primero.</w:t>
      </w:r>
      <w:r w:rsidDel="00000000" w:rsidR="00000000" w:rsidRPr="00000000">
        <w:rPr>
          <w:rFonts w:ascii="Palatino Linotype" w:cs="Palatino Linotype" w:eastAsia="Palatino Linotype" w:hAnsi="Palatino Linotype"/>
          <w:i w:val="1"/>
          <w:rtl w:val="0"/>
        </w:rPr>
        <w:t xml:space="preserve"> Toda acta del Comité de Transparencia deberá contener: </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número de sesión y fecha; </w:t>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del área que solicitó la clasificación de información; </w:t>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fundamentación legal y motivación correspondiente; </w: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resolución o resoluciones aprobadas; y </w:t>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rúbrica o firma digital de cada integrante del Comité de Transparencia. </w:t>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Los motivos y razonamientos que sustenten la confirmación o modificación de la prueba de daño;</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Descripción de las partes o secciones reservadas, en caso de clasificación parcial; </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El periodo por el que mantendrá su clasificación y fecha de expiración; y </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El nombre del titular y área encargada de realizar la versión pública del documento, en su caso. </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B3">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segundo.</w:t>
      </w:r>
      <w:r w:rsidDel="00000000" w:rsidR="00000000" w:rsidRPr="00000000">
        <w:rPr>
          <w:rFonts w:ascii="Palatino Linotype" w:cs="Palatino Linotype" w:eastAsia="Palatino Linotype" w:hAnsi="Palatino Linotype"/>
          <w:i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B4">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B5">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B6">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B7">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Señalar las personas o instancias autorizadas a acceder a la información clasificada.</w:t>
      </w:r>
    </w:p>
    <w:p w:rsidR="00000000" w:rsidDel="00000000" w:rsidP="00000000" w:rsidRDefault="00000000" w:rsidRPr="00000000" w14:paraId="000001B8">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B9">
      <w:pPr>
        <w:spacing w:after="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B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1B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Quincuagésimo cuarto.</w:t>
      </w:r>
      <w:r w:rsidDel="00000000" w:rsidR="00000000" w:rsidRPr="00000000">
        <w:rPr>
          <w:rFonts w:ascii="Palatino Linotype" w:cs="Palatino Linotype" w:eastAsia="Palatino Linotype" w:hAnsi="Palatino Linotype"/>
          <w:i w:val="1"/>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BD">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quinto.</w:t>
      </w:r>
      <w:r w:rsidDel="00000000" w:rsidR="00000000" w:rsidRPr="00000000">
        <w:rPr>
          <w:rFonts w:ascii="Palatino Linotype" w:cs="Palatino Linotype" w:eastAsia="Palatino Linotype" w:hAnsi="Palatino Linotype"/>
          <w:i w:val="1"/>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BE">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BF">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séptimo.</w:t>
      </w:r>
      <w:r w:rsidDel="00000000" w:rsidR="00000000" w:rsidRPr="00000000">
        <w:rPr>
          <w:rFonts w:ascii="Palatino Linotype" w:cs="Palatino Linotype" w:eastAsia="Palatino Linotype" w:hAnsi="Palatino Linotype"/>
          <w:i w:val="1"/>
          <w:rtl w:val="0"/>
        </w:rPr>
        <w:t xml:space="preserve"> Se considera, en principio, como información pública y no podrá omitirse de las versiones públicas la siguiente: </w:t>
      </w:r>
    </w:p>
    <w:p w:rsidR="00000000" w:rsidDel="00000000" w:rsidP="00000000" w:rsidRDefault="00000000" w:rsidRPr="00000000" w14:paraId="000001C0">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C1">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C2">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C3">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C4">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C5">
      <w:pPr>
        <w:spacing w:after="0" w:line="36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C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0" w:lineRule="auto"/>
        <w:ind w:left="567" w:right="49" w:firstLine="0"/>
        <w:jc w:val="both"/>
        <w:rPr>
          <w:color w:val="000000"/>
        </w:rPr>
      </w:pPr>
      <w:r w:rsidDel="00000000" w:rsidR="00000000" w:rsidRPr="00000000">
        <w:rPr>
          <w:rtl w:val="0"/>
        </w:rPr>
      </w:r>
    </w:p>
    <w:p w:rsidR="00000000" w:rsidDel="00000000" w:rsidP="00000000" w:rsidRDefault="00000000" w:rsidRPr="00000000" w14:paraId="000001C8">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Es así como, en mérito de lo expuesto en líneas anteriores, resultan fundadas las razones o motivos de inconformidad hechos valer por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dentro del recurso de revisión </w:t>
      </w:r>
      <w:r w:rsidDel="00000000" w:rsidR="00000000" w:rsidRPr="00000000">
        <w:rPr>
          <w:rFonts w:ascii="Palatino Linotype" w:cs="Palatino Linotype" w:eastAsia="Palatino Linotype" w:hAnsi="Palatino Linotype"/>
          <w:b w:val="1"/>
          <w:rtl w:val="0"/>
        </w:rPr>
        <w:t xml:space="preserve">03274/INFOEM/IP/RR/2025</w:t>
      </w:r>
      <w:r w:rsidDel="00000000" w:rsidR="00000000" w:rsidRPr="00000000">
        <w:rPr>
          <w:rFonts w:ascii="Palatino Linotype" w:cs="Palatino Linotype" w:eastAsia="Palatino Linotype" w:hAnsi="Palatino Linotype"/>
          <w:rtl w:val="0"/>
        </w:rPr>
        <w:t xml:space="preserve">; por ello, y con fundamento en la fracción III del numeral 186 de la Ley de Transparencia y Acceso a la Información Pública del Estado de México y Municipios, se</w:t>
      </w:r>
      <w:r w:rsidDel="00000000" w:rsidR="00000000" w:rsidRPr="00000000">
        <w:rPr>
          <w:rFonts w:ascii="Palatino Linotype" w:cs="Palatino Linotype" w:eastAsia="Palatino Linotype" w:hAnsi="Palatino Linotype"/>
          <w:b w:val="1"/>
          <w:rtl w:val="0"/>
        </w:rPr>
        <w:t xml:space="preserve"> REVOCA </w:t>
      </w:r>
      <w:r w:rsidDel="00000000" w:rsidR="00000000" w:rsidRPr="00000000">
        <w:rPr>
          <w:rFonts w:ascii="Palatino Linotype" w:cs="Palatino Linotype" w:eastAsia="Palatino Linotype" w:hAnsi="Palatino Linotype"/>
          <w:rtl w:val="0"/>
        </w:rPr>
        <w:t xml:space="preserve">la respuesta a la solicitud de información número </w:t>
      </w:r>
      <w:r w:rsidDel="00000000" w:rsidR="00000000" w:rsidRPr="00000000">
        <w:rPr>
          <w:rFonts w:ascii="Palatino Linotype" w:cs="Palatino Linotype" w:eastAsia="Palatino Linotype" w:hAnsi="Palatino Linotype"/>
          <w:b w:val="1"/>
          <w:rtl w:val="0"/>
        </w:rPr>
        <w:t xml:space="preserve">00433/CUAUTIZC/IP/2025. </w:t>
      </w:r>
    </w:p>
    <w:p w:rsidR="00000000" w:rsidDel="00000000" w:rsidP="00000000" w:rsidRDefault="00000000" w:rsidRPr="00000000" w14:paraId="000001C9">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C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C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C">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w:t>
        <w:tab/>
        <w:t xml:space="preserve">R E S U E L V E:</w:t>
      </w:r>
    </w:p>
    <w:p w:rsidR="00000000" w:rsidDel="00000000" w:rsidP="00000000" w:rsidRDefault="00000000" w:rsidRPr="00000000" w14:paraId="000001CD">
      <w:pPr>
        <w:spacing w:after="0" w:line="360" w:lineRule="auto"/>
        <w:ind w:right="49"/>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C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Resultan</w:t>
      </w:r>
      <w:r w:rsidDel="00000000" w:rsidR="00000000" w:rsidRPr="00000000">
        <w:rPr>
          <w:rFonts w:ascii="Palatino Linotype" w:cs="Palatino Linotype" w:eastAsia="Palatino Linotype" w:hAnsi="Palatino Linotype"/>
          <w:b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03274/INFOEM/IP/RR/2025</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se </w:t>
      </w:r>
      <w:r w:rsidDel="00000000" w:rsidR="00000000" w:rsidRPr="00000000">
        <w:rPr>
          <w:rFonts w:ascii="Palatino Linotype" w:cs="Palatino Linotype" w:eastAsia="Palatino Linotype" w:hAnsi="Palatino Linotype"/>
          <w:b w:val="1"/>
          <w:rtl w:val="0"/>
        </w:rPr>
        <w:t xml:space="preserve">REVOCA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C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que, en observancia de los </w:t>
      </w:r>
      <w:r w:rsidDel="00000000" w:rsidR="00000000" w:rsidRPr="00000000">
        <w:rPr>
          <w:rFonts w:ascii="Palatino Linotype" w:cs="Palatino Linotype" w:eastAsia="Palatino Linotype" w:hAnsi="Palatino Linotype"/>
          <w:b w:val="1"/>
          <w:rtl w:val="0"/>
        </w:rPr>
        <w:t xml:space="preserve">Considerandos Cuarto y Quinto</w:t>
      </w:r>
      <w:r w:rsidDel="00000000" w:rsidR="00000000" w:rsidRPr="00000000">
        <w:rPr>
          <w:rFonts w:ascii="Palatino Linotype" w:cs="Palatino Linotype" w:eastAsia="Palatino Linotype" w:hAnsi="Palatino Linotype"/>
          <w:rtl w:val="0"/>
        </w:rPr>
        <w:t xml:space="preserve">, haga entrega, previa búsqueda exhaustiva y razonable, vía Sistema de Acceso a la Información Mexiquense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 versión pública, de lo siguiente:</w:t>
      </w:r>
    </w:p>
    <w:p w:rsidR="00000000" w:rsidDel="00000000" w:rsidP="00000000" w:rsidRDefault="00000000" w:rsidRPr="00000000" w14:paraId="000001D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67"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Contratos suscritos con medios de comunicación en los años 2023 y 2024.</w:t>
      </w:r>
    </w:p>
    <w:p w:rsidR="00000000" w:rsidDel="00000000" w:rsidP="00000000" w:rsidRDefault="00000000" w:rsidRPr="00000000" w14:paraId="000001D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67"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Facturas generadas con motivo de los pagos realizados a los medios de comunicación de los años 2023 y 2024.  </w:t>
      </w:r>
    </w:p>
    <w:p w:rsidR="00000000" w:rsidDel="00000000" w:rsidP="00000000" w:rsidRDefault="00000000" w:rsidRPr="00000000" w14:paraId="000001D4">
      <w:pPr>
        <w:tabs>
          <w:tab w:val="left" w:leader="none" w:pos="8080"/>
        </w:tabs>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D5">
      <w:pPr>
        <w:tabs>
          <w:tab w:val="left" w:leader="none" w:pos="8080"/>
        </w:tabs>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Del="00000000" w:rsidR="00000000" w:rsidRPr="00000000">
        <w:rPr>
          <w:rFonts w:ascii="Palatino Linotype" w:cs="Palatino Linotype" w:eastAsia="Palatino Linotype" w:hAnsi="Palatino Linotype"/>
          <w:b w:val="1"/>
          <w:i w:val="1"/>
          <w:rtl w:val="0"/>
        </w:rPr>
        <w:t xml:space="preserve">la parte Recurrente</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D6">
      <w:pPr>
        <w:tabs>
          <w:tab w:val="left" w:leader="none" w:pos="8080"/>
        </w:tabs>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D7">
      <w:pPr>
        <w:tabs>
          <w:tab w:val="left" w:leader="none" w:pos="8080"/>
        </w:tabs>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supuesto que no se hayan celebrado contratos o efectuado pagos,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1D8">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D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rsidR="00000000" w:rsidDel="00000000" w:rsidP="00000000" w:rsidRDefault="00000000" w:rsidRPr="00000000" w14:paraId="000001D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w:t>
      </w:r>
      <w:r w:rsidDel="00000000" w:rsidR="00000000" w:rsidRPr="00000000">
        <w:rPr>
          <w:rFonts w:ascii="Palatino Linotype" w:cs="Palatino Linotype" w:eastAsia="Palatino Linotype" w:hAnsi="Palatino Linotype"/>
          <w:rtl w:val="0"/>
        </w:rPr>
        <w:t xml:space="preserve"> a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000000" w:rsidDel="00000000" w:rsidP="00000000" w:rsidRDefault="00000000" w:rsidRPr="00000000" w14:paraId="000001D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rsidR="00000000" w:rsidDel="00000000" w:rsidP="00000000" w:rsidRDefault="00000000" w:rsidRPr="00000000" w14:paraId="000001D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ONCE DE JUNIO DOS MIL VEINTICINCO, ANTE EL SECRETARIO TÉCNICO DEL PLENO ALEXIS TAPIA RAMÍREZ. </w:t>
      </w:r>
    </w:p>
    <w:p w:rsidR="00000000" w:rsidDel="00000000" w:rsidP="00000000" w:rsidRDefault="00000000" w:rsidRPr="00000000" w14:paraId="000001E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1">
      <w:pPr>
        <w:spacing w:after="0" w:line="360" w:lineRule="auto"/>
        <w:ind w:right="49"/>
        <w:jc w:val="both"/>
        <w:rPr>
          <w:rFonts w:ascii="Palatino Linotype" w:cs="Palatino Linotype" w:eastAsia="Palatino Linotype" w:hAnsi="Palatino Linotype"/>
        </w:rPr>
      </w:pPr>
      <w:bookmarkStart w:colFirst="0" w:colLast="0" w:name="_heading=h.2et92p0" w:id="2"/>
      <w:bookmarkEnd w:id="2"/>
      <w:r w:rsidDel="00000000" w:rsidR="00000000" w:rsidRPr="00000000">
        <w:rPr>
          <w:rtl w:val="0"/>
        </w:rPr>
      </w:r>
    </w:p>
    <w:p w:rsidR="00000000" w:rsidDel="00000000" w:rsidP="00000000" w:rsidRDefault="00000000" w:rsidRPr="00000000" w14:paraId="000001E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5">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-716278</wp:posOffset>
          </wp:positionH>
          <wp:positionV relativeFrom="paragraph">
            <wp:posOffset>-401953</wp:posOffset>
          </wp:positionV>
          <wp:extent cx="7809876" cy="10165823"/>
          <wp:effectExtent b="0" l="0" r="0" t="0"/>
          <wp:wrapNone/>
          <wp:docPr id="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E7">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03274/INFOEM/IP/RR/2025</w:t>
          </w:r>
        </w:p>
      </w:tc>
    </w:tr>
    <w:tr>
      <w:trPr>
        <w:cantSplit w:val="0"/>
        <w:trHeight w:val="217" w:hRule="atLeast"/>
        <w:tblHeader w:val="0"/>
      </w:trPr>
      <w:tc>
        <w:tcPr>
          <w:vAlign w:val="center"/>
        </w:tcPr>
        <w:p w:rsidR="00000000" w:rsidDel="00000000" w:rsidP="00000000" w:rsidRDefault="00000000" w:rsidRPr="00000000" w14:paraId="000001E9">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EA">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EB">
          <w:pPr>
            <w:pBdr>
              <w:top w:space="0" w:sz="0" w:val="nil"/>
              <w:left w:space="0" w:sz="0" w:val="nil"/>
              <w:bottom w:space="0" w:sz="0" w:val="nil"/>
              <w:right w:space="0" w:sz="0" w:val="nil"/>
              <w:between w:space="0" w:sz="0" w:val="nil"/>
            </w:pBdr>
            <w:tabs>
              <w:tab w:val="center" w:leader="none" w:pos="4419"/>
              <w:tab w:val="right" w:leader="none" w:pos="8838"/>
            </w:tabs>
            <w:ind w:right="168"/>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Cuautitlán Izcalli </w:t>
          </w:r>
        </w:p>
      </w:tc>
    </w:tr>
    <w:tr>
      <w:trPr>
        <w:cantSplit w:val="0"/>
        <w:tblHeader w:val="0"/>
      </w:trPr>
      <w:tc>
        <w:tcPr>
          <w:vAlign w:val="center"/>
        </w:tcPr>
        <w:p w:rsidR="00000000" w:rsidDel="00000000" w:rsidP="00000000" w:rsidRDefault="00000000" w:rsidRPr="00000000" w14:paraId="000001EC">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ED">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EE">
    <w:pPr>
      <w:pBdr>
        <w:top w:space="0" w:sz="0" w:val="nil"/>
        <w:left w:space="0" w:sz="0" w:val="nil"/>
        <w:bottom w:space="0" w:sz="0" w:val="nil"/>
        <w:right w:space="0" w:sz="0" w:val="nil"/>
        <w:between w:space="0" w:sz="0" w:val="nil"/>
      </w:pBdr>
      <w:tabs>
        <w:tab w:val="left" w:leader="none" w:pos="2805"/>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spacing w:after="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-702308</wp:posOffset>
          </wp:positionH>
          <wp:positionV relativeFrom="paragraph">
            <wp:posOffset>-86993</wp:posOffset>
          </wp:positionV>
          <wp:extent cx="7809865" cy="10165715"/>
          <wp:effectExtent b="0" l="0" r="0" t="0"/>
          <wp:wrapNone/>
          <wp:docPr id="2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F0">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F1">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03274/INFOEM/IP/RR/2025</w:t>
          </w:r>
        </w:p>
      </w:tc>
    </w:tr>
    <w:tr>
      <w:trPr>
        <w:cantSplit w:val="0"/>
        <w:tblHeader w:val="0"/>
      </w:trPr>
      <w:tc>
        <w:tcPr>
          <w:vAlign w:val="center"/>
        </w:tcPr>
        <w:p w:rsidR="00000000" w:rsidDel="00000000" w:rsidP="00000000" w:rsidRDefault="00000000" w:rsidRPr="00000000" w14:paraId="000001F2">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Recurrente:</w:t>
          </w:r>
        </w:p>
      </w:tc>
      <w:tc>
        <w:tcPr>
          <w:vAlign w:val="center"/>
        </w:tcPr>
        <w:p w:rsidR="00000000" w:rsidDel="00000000" w:rsidP="00000000" w:rsidRDefault="00000000" w:rsidRPr="00000000" w14:paraId="000001F3">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XXXXXX XXX XXXXXXXXX </w:t>
          </w:r>
        </w:p>
      </w:tc>
    </w:tr>
    <w:tr>
      <w:trPr>
        <w:cantSplit w:val="0"/>
        <w:trHeight w:val="152" w:hRule="atLeast"/>
        <w:tblHeader w:val="0"/>
      </w:trPr>
      <w:tc>
        <w:tcPr>
          <w:vAlign w:val="center"/>
        </w:tcPr>
        <w:p w:rsidR="00000000" w:rsidDel="00000000" w:rsidP="00000000" w:rsidRDefault="00000000" w:rsidRPr="00000000" w14:paraId="000001F4">
          <w:pP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1F5">
          <w:pPr>
            <w:pBdr>
              <w:top w:space="0" w:sz="0" w:val="nil"/>
              <w:left w:space="0" w:sz="0" w:val="nil"/>
              <w:bottom w:space="0" w:sz="0" w:val="nil"/>
              <w:right w:space="0" w:sz="0" w:val="nil"/>
              <w:between w:space="0" w:sz="0" w:val="nil"/>
            </w:pBdr>
            <w:tabs>
              <w:tab w:val="center" w:leader="none" w:pos="4419"/>
              <w:tab w:val="right" w:leader="none" w:pos="8838"/>
            </w:tabs>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Cuautitlán Izcalli</w:t>
          </w:r>
        </w:p>
      </w:tc>
    </w:tr>
    <w:tr>
      <w:trPr>
        <w:cantSplit w:val="0"/>
        <w:tblHeader w:val="0"/>
      </w:trPr>
      <w:tc>
        <w:tcPr>
          <w:vAlign w:val="center"/>
        </w:tcPr>
        <w:p w:rsidR="00000000" w:rsidDel="00000000" w:rsidP="00000000" w:rsidRDefault="00000000" w:rsidRPr="00000000" w14:paraId="000001F6">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F7">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F8">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062" w:hanging="360"/>
      </w:pPr>
      <w:rPr>
        <w:b w:val="1"/>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080" w:hanging="360"/>
      </w:pPr>
      <w:rPr>
        <w:rFonts w:ascii="Palatino Linotype" w:cs="Palatino Linotype" w:eastAsia="Palatino Linotype" w:hAnsi="Palatino Linotype"/>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0"/>
      <w:numFmt w:val="bullet"/>
      <w:lvlText w:val="•"/>
      <w:lvlJc w:val="left"/>
      <w:pPr>
        <w:ind w:left="1080" w:hanging="72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val="1"/>
    <w:rsid w:val="00CD74AE"/>
    <w:pPr>
      <w:ind w:left="720"/>
      <w:contextualSpacing w:val="1"/>
    </w:pPr>
  </w:style>
  <w:style w:type="character" w:styleId="Hipervnculo">
    <w:name w:val="Hyperlink"/>
    <w:aliases w:val="Hipervínculo1,Hipervínculo11,Hipervínculo12,Hipervínculo13,Hipervínculo14,Hipervínculo15"/>
    <w:basedOn w:val="Fuentedeprrafopredeter"/>
    <w:uiPriority w:val="99"/>
    <w:unhideWhenUsed w:val="1"/>
    <w:qFormat w:val="1"/>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hAnsi="Times New Roman"/>
      <w:sz w:val="24"/>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val="1"/>
    <w:locked w:val="1"/>
    <w:rsid w:val="009F3FE6"/>
  </w:style>
  <w:style w:type="table" w:styleId="6" w:customStyle="1">
    <w:name w:val="6"/>
    <w:basedOn w:val="TableNormal10"/>
    <w:tblPr>
      <w:tblStyleRowBandSize w:val="1"/>
      <w:tblStyleColBandSize w:val="1"/>
      <w:tblCellMar>
        <w:top w:w="15.0" w:type="dxa"/>
        <w:left w:w="15.0" w:type="dxa"/>
        <w:bottom w:w="15.0" w:type="dxa"/>
        <w:right w:w="15.0" w:type="dxa"/>
      </w:tblCellMar>
    </w:tblPr>
  </w:style>
  <w:style w:type="table" w:styleId="5" w:customStyle="1">
    <w:name w:val="5"/>
    <w:basedOn w:val="TableNormal10"/>
    <w:tblPr>
      <w:tblStyleRowBandSize w:val="1"/>
      <w:tblStyleColBandSize w:val="1"/>
      <w:tblCellMar>
        <w:left w:w="115.0" w:type="dxa"/>
        <w:right w:w="115.0" w:type="dxa"/>
      </w:tblCellMar>
    </w:tbl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top w:w="15.0" w:type="dxa"/>
        <w:left w:w="115.0" w:type="dxa"/>
        <w:bottom w:w="15.0" w:type="dxa"/>
        <w:right w:w="115.0" w:type="dxa"/>
      </w:tblCellMar>
    </w:tblPr>
  </w:style>
  <w:style w:type="table" w:styleId="2" w:customStyle="1">
    <w:name w:val="2"/>
    <w:basedOn w:val="TableNormal10"/>
    <w:tblPr>
      <w:tblStyleRowBandSize w:val="1"/>
      <w:tblStyleColBandSize w:val="1"/>
      <w:tblCellMar>
        <w:top w:w="15.0" w:type="dxa"/>
        <w:left w:w="115.0" w:type="dxa"/>
        <w:bottom w:w="15.0" w:type="dxa"/>
        <w:right w:w="115.0" w:type="dxa"/>
      </w:tblCellMar>
    </w:tblPr>
  </w:style>
  <w:style w:type="table" w:styleId="1" w:customStyle="1">
    <w:name w:val="1"/>
    <w:basedOn w:val="TableNormal10"/>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character" w:styleId="Mencinsinresolver2" w:customStyle="1">
    <w:name w:val="Mención sin resolver2"/>
    <w:basedOn w:val="Fuentedeprrafopredeter"/>
    <w:uiPriority w:val="99"/>
    <w:semiHidden w:val="1"/>
    <w:unhideWhenUsed w:val="1"/>
    <w:rsid w:val="00AC79ED"/>
    <w:rPr>
      <w:color w:val="605e5c"/>
      <w:shd w:color="auto" w:fill="e1dfdd" w:val="clear"/>
    </w:rPr>
  </w:style>
  <w:style w:type="paragraph" w:styleId="Default" w:customStyle="1">
    <w:name w:val="Default"/>
    <w:rsid w:val="00A27592"/>
    <w:pPr>
      <w:autoSpaceDE w:val="0"/>
      <w:autoSpaceDN w:val="0"/>
      <w:adjustRightInd w:val="0"/>
      <w:spacing w:after="0" w:line="240" w:lineRule="auto"/>
    </w:pPr>
    <w:rPr>
      <w:rFonts w:ascii="Arial" w:cs="Arial" w:hAnsi="Arial"/>
      <w:color w:val="000000"/>
      <w:sz w:val="24"/>
      <w:szCs w:val="24"/>
    </w:rPr>
  </w:style>
  <w:style w:type="character" w:styleId="normaltextrun" w:customStyle="1">
    <w:name w:val="normaltextrun"/>
    <w:basedOn w:val="Fuentedeprrafopredeter"/>
    <w:rsid w:val="002F3C2D"/>
  </w:style>
  <w:style w:type="paragraph" w:styleId="Sinespaciado">
    <w:name w:val="No Spacing"/>
    <w:aliases w:val="Francesa,INAI"/>
    <w:link w:val="SinespaciadoCar"/>
    <w:uiPriority w:val="1"/>
    <w:qFormat w:val="1"/>
    <w:rsid w:val="00F01E4E"/>
    <w:pPr>
      <w:spacing w:after="0" w:line="240" w:lineRule="auto"/>
    </w:pPr>
    <w:rPr>
      <w:rFonts w:ascii="Times New Roman" w:cs="Times New Roman" w:eastAsia="Times New Roman" w:hAnsi="Times New Roman"/>
      <w:sz w:val="24"/>
      <w:szCs w:val="24"/>
      <w:lang w:eastAsia="es-ES" w:val="es-ES"/>
    </w:rPr>
  </w:style>
  <w:style w:type="character" w:styleId="SinespaciadoCar" w:customStyle="1">
    <w:name w:val="Sin espaciado Car"/>
    <w:aliases w:val="Francesa Car,INAI Car"/>
    <w:link w:val="Sinespaciado"/>
    <w:uiPriority w:val="1"/>
    <w:locked w:val="1"/>
    <w:rsid w:val="00F01E4E"/>
    <w:rPr>
      <w:rFonts w:ascii="Times New Roman" w:cs="Times New Roman" w:eastAsia="Times New Roman" w:hAnsi="Times New Roman"/>
      <w:sz w:val="24"/>
      <w:szCs w:val="24"/>
      <w:lang w:eastAsia="es-ES" w:val="es-ES"/>
    </w:rPr>
  </w:style>
  <w:style w:type="character" w:styleId="Mencinsinresolver3" w:customStyle="1">
    <w:name w:val="Mención sin resolver3"/>
    <w:basedOn w:val="Fuentedeprrafopredeter"/>
    <w:uiPriority w:val="99"/>
    <w:semiHidden w:val="1"/>
    <w:unhideWhenUsed w:val="1"/>
    <w:rsid w:val="0036720C"/>
    <w:rPr>
      <w:color w:val="605e5c"/>
      <w:shd w:color="auto" w:fill="e1dfdd" w:val="clear"/>
    </w:rPr>
  </w:style>
  <w:style w:type="character" w:styleId="Hipervnculovisitado">
    <w:name w:val="FollowedHyperlink"/>
    <w:basedOn w:val="Fuentedeprrafopredeter"/>
    <w:uiPriority w:val="99"/>
    <w:semiHidden w:val="1"/>
    <w:unhideWhenUsed w:val="1"/>
    <w:rsid w:val="00996EF5"/>
    <w:rPr>
      <w:color w:val="954f72" w:themeColor="followedHyperlink"/>
      <w:u w:val="single"/>
    </w:rPr>
  </w:style>
  <w:style w:type="table" w:styleId="a" w:customStyle="1">
    <w:basedOn w:val="TableNormal1"/>
    <w:pPr>
      <w:spacing w:after="0" w:line="240" w:lineRule="auto"/>
    </w:pPr>
    <w:tblPr>
      <w:tblStyleRowBandSize w:val="1"/>
      <w:tblStyleColBandSize w:val="1"/>
      <w:tblCellMar>
        <w:left w:w="108.0" w:type="dxa"/>
        <w:right w:w="108.0" w:type="dxa"/>
      </w:tblCellMar>
    </w:tblPr>
  </w:style>
  <w:style w:type="table" w:styleId="a0" w:customStyle="1">
    <w:basedOn w:val="TableNormal1"/>
    <w:tblPr>
      <w:tblStyleRowBandSize w:val="1"/>
      <w:tblStyleColBandSize w:val="1"/>
      <w:tblCellMar>
        <w:top w:w="15.0" w:type="dxa"/>
        <w:left w:w="115.0" w:type="dxa"/>
        <w:bottom w:w="15.0" w:type="dxa"/>
        <w:right w:w="115.0" w:type="dxa"/>
      </w:tblCellMar>
    </w:tblPr>
  </w:style>
  <w:style w:type="table" w:styleId="a1" w:customStyle="1">
    <w:basedOn w:val="TableNormal1"/>
    <w:tblPr>
      <w:tblStyleRowBandSize w:val="1"/>
      <w:tblStyleColBandSize w:val="1"/>
      <w:tblCellMar>
        <w:top w:w="15.0" w:type="dxa"/>
        <w:left w:w="115.0" w:type="dxa"/>
        <w:bottom w:w="15.0" w:type="dxa"/>
        <w:right w:w="115.0" w:type="dxa"/>
      </w:tblCellMar>
    </w:tblPr>
  </w:style>
  <w:style w:type="paragraph" w:styleId="Textoindependiente">
    <w:name w:val="Body Text"/>
    <w:basedOn w:val="Normal"/>
    <w:link w:val="TextoindependienteCar"/>
    <w:uiPriority w:val="1"/>
    <w:qFormat w:val="1"/>
    <w:rsid w:val="008E7CA6"/>
    <w:pPr>
      <w:autoSpaceDE w:val="0"/>
      <w:autoSpaceDN w:val="0"/>
      <w:adjustRightInd w:val="0"/>
      <w:spacing w:after="0" w:line="240" w:lineRule="auto"/>
      <w:ind w:left="93"/>
    </w:pPr>
    <w:rPr>
      <w:rFonts w:ascii="Times New Roman" w:hAnsi="Times New Roman" w:eastAsiaTheme="minorHAnsi"/>
      <w:sz w:val="23"/>
      <w:szCs w:val="23"/>
    </w:rPr>
  </w:style>
  <w:style w:type="character" w:styleId="TextoindependienteCar" w:customStyle="1">
    <w:name w:val="Texto independiente Car"/>
    <w:basedOn w:val="Fuentedeprrafopredeter"/>
    <w:link w:val="Textoindependiente"/>
    <w:uiPriority w:val="1"/>
    <w:rsid w:val="008E7CA6"/>
    <w:rPr>
      <w:rFonts w:ascii="Times New Roman" w:cs="Times New Roman" w:hAnsi="Times New Roman" w:eastAsiaTheme="minorHAnsi"/>
      <w:sz w:val="23"/>
      <w:szCs w:val="23"/>
      <w:lang w:eastAsia="en-US"/>
    </w:rPr>
  </w:style>
  <w:style w:type="table" w:styleId="a2"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table" w:styleId="a3"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
    <w:basedOn w:val="TableNormal"/>
    <w:pPr>
      <w:spacing w:after="0" w:line="240" w:lineRule="auto"/>
    </w:p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gob.mx/sfp/acciones-y-programas/1-3-3-adjudicacion-directa" TargetMode="External"/><Relationship Id="rId8" Type="http://schemas.openxmlformats.org/officeDocument/2006/relationships/hyperlink" Target="http://www.contraloriadf.gob.mx/contraloria/cursos/ADQUISICIONES/paginas/32.php#:~:text=Es%20un%20procedimiento%20administrativo%2C%20de,tres%20oferentes%20a%20presentar%20propuestas%2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UVCoJxBwABuMSHOUsZaj6QQ7Gw==">CgMxLjAyCWguM3pueXNoNzIJaC4zMGowemxsMgloLjJldDkycDA4AHIhMWt2d1lUVTViZ1p1OTVvNFdFTlE4WGRZSUN0cU9uX2R0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2025-06-27T17:24:00Z</dcterms:created>
  <dc:creator>Cuenta Microsoft</dc:creator>
</cp:coreProperties>
</file>