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3F056" w14:textId="77777777" w:rsidR="002B2F6D" w:rsidRPr="001653DF" w:rsidRDefault="00B17ABB">
      <w:pPr>
        <w:spacing w:line="360" w:lineRule="auto"/>
        <w:ind w:right="-599"/>
        <w:jc w:val="both"/>
        <w:rPr>
          <w:rFonts w:ascii="Palatino Linotype" w:eastAsia="Palatino Linotype" w:hAnsi="Palatino Linotype" w:cs="Palatino Linotype"/>
        </w:rPr>
      </w:pPr>
      <w:r w:rsidRPr="001653DF">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doce (12) de febrero de dos mil veinticinco.</w:t>
      </w:r>
    </w:p>
    <w:p w14:paraId="1DD807C2" w14:textId="77777777" w:rsidR="002B2F6D" w:rsidRPr="001653DF" w:rsidRDefault="002B2F6D">
      <w:pPr>
        <w:spacing w:line="360" w:lineRule="auto"/>
        <w:ind w:right="-599"/>
        <w:jc w:val="both"/>
        <w:rPr>
          <w:rFonts w:ascii="Palatino Linotype" w:eastAsia="Palatino Linotype" w:hAnsi="Palatino Linotype" w:cs="Palatino Linotype"/>
        </w:rPr>
      </w:pPr>
    </w:p>
    <w:p w14:paraId="03AE6257" w14:textId="47A59F15" w:rsidR="002B2F6D" w:rsidRPr="001653DF" w:rsidRDefault="00B17ABB" w:rsidP="00164857">
      <w:pPr>
        <w:pBdr>
          <w:top w:val="nil"/>
          <w:left w:val="nil"/>
          <w:bottom w:val="nil"/>
          <w:right w:val="nil"/>
          <w:between w:val="nil"/>
        </w:pBdr>
        <w:tabs>
          <w:tab w:val="center" w:pos="4419"/>
          <w:tab w:val="right" w:pos="8838"/>
        </w:tabs>
        <w:spacing w:line="360" w:lineRule="auto"/>
        <w:ind w:right="-29"/>
        <w:jc w:val="both"/>
        <w:rPr>
          <w:rFonts w:ascii="Palatino Linotype" w:eastAsia="Palatino Linotype" w:hAnsi="Palatino Linotype" w:cs="Palatino Linotype"/>
          <w:color w:val="000000"/>
        </w:rPr>
      </w:pPr>
      <w:r w:rsidRPr="001653DF">
        <w:rPr>
          <w:rFonts w:ascii="Palatino Linotype" w:eastAsia="Palatino Linotype" w:hAnsi="Palatino Linotype" w:cs="Palatino Linotype"/>
          <w:b/>
          <w:color w:val="000000"/>
        </w:rPr>
        <w:t xml:space="preserve">VISTO </w:t>
      </w:r>
      <w:r w:rsidRPr="001653DF">
        <w:rPr>
          <w:rFonts w:ascii="Palatino Linotype" w:eastAsia="Palatino Linotype" w:hAnsi="Palatino Linotype" w:cs="Palatino Linotype"/>
          <w:color w:val="000000"/>
        </w:rPr>
        <w:t xml:space="preserve">el expediente electrónico formado con motivo del recurso de revisión </w:t>
      </w:r>
      <w:r w:rsidRPr="001653DF">
        <w:rPr>
          <w:rFonts w:ascii="Palatino Linotype" w:eastAsia="Palatino Linotype" w:hAnsi="Palatino Linotype" w:cs="Palatino Linotype"/>
          <w:b/>
          <w:color w:val="000000"/>
        </w:rPr>
        <w:t xml:space="preserve">04488/INFOEM/IP/RR/2024, </w:t>
      </w:r>
      <w:r w:rsidRPr="001653DF">
        <w:rPr>
          <w:rFonts w:ascii="Palatino Linotype" w:eastAsia="Palatino Linotype" w:hAnsi="Palatino Linotype" w:cs="Palatino Linotype"/>
          <w:color w:val="000000"/>
        </w:rPr>
        <w:t xml:space="preserve">promovido por </w:t>
      </w:r>
      <w:r w:rsidR="005476BC">
        <w:rPr>
          <w:rFonts w:ascii="Palatino Linotype" w:eastAsia="Palatino Linotype" w:hAnsi="Palatino Linotype" w:cs="Palatino Linotype"/>
          <w:sz w:val="22"/>
          <w:szCs w:val="22"/>
        </w:rPr>
        <w:t>XXXXXXXX</w:t>
      </w:r>
      <w:r w:rsidRPr="001653DF">
        <w:rPr>
          <w:rFonts w:ascii="Palatino Linotype" w:eastAsia="Palatino Linotype" w:hAnsi="Palatino Linotype" w:cs="Palatino Linotype"/>
          <w:b/>
          <w:color w:val="000000"/>
        </w:rPr>
        <w:t>,</w:t>
      </w:r>
      <w:r w:rsidRPr="001653DF">
        <w:rPr>
          <w:rFonts w:ascii="Palatino Linotype" w:eastAsia="Palatino Linotype" w:hAnsi="Palatino Linotype" w:cs="Palatino Linotype"/>
          <w:color w:val="000000"/>
        </w:rPr>
        <w:t xml:space="preserve"> en su calidad de </w:t>
      </w:r>
      <w:r w:rsidRPr="001653DF">
        <w:rPr>
          <w:rFonts w:ascii="Palatino Linotype" w:eastAsia="Palatino Linotype" w:hAnsi="Palatino Linotype" w:cs="Palatino Linotype"/>
          <w:b/>
          <w:color w:val="000000"/>
        </w:rPr>
        <w:t>RECURRENTE</w:t>
      </w:r>
      <w:r w:rsidRPr="001653DF">
        <w:rPr>
          <w:rFonts w:ascii="Palatino Linotype" w:eastAsia="Palatino Linotype" w:hAnsi="Palatino Linotype" w:cs="Palatino Linotype"/>
          <w:color w:val="000000"/>
        </w:rPr>
        <w:t xml:space="preserve">, en contra de la respuesta del </w:t>
      </w:r>
      <w:r w:rsidRPr="001653DF">
        <w:rPr>
          <w:rFonts w:ascii="Palatino Linotype" w:eastAsia="Palatino Linotype" w:hAnsi="Palatino Linotype" w:cs="Palatino Linotype"/>
          <w:b/>
          <w:color w:val="000000"/>
        </w:rPr>
        <w:t>Ayuntamiento de Naucalpan de Juárez</w:t>
      </w:r>
      <w:r w:rsidRPr="001653DF">
        <w:rPr>
          <w:rFonts w:ascii="Palatino Linotype" w:eastAsia="Palatino Linotype" w:hAnsi="Palatino Linotype" w:cs="Palatino Linotype"/>
          <w:color w:val="000000"/>
        </w:rPr>
        <w:t>,</w:t>
      </w:r>
      <w:r w:rsidRPr="001653DF">
        <w:rPr>
          <w:rFonts w:ascii="Palatino Linotype" w:eastAsia="Palatino Linotype" w:hAnsi="Palatino Linotype" w:cs="Palatino Linotype"/>
          <w:b/>
          <w:color w:val="000000"/>
        </w:rPr>
        <w:t xml:space="preserve"> </w:t>
      </w:r>
      <w:r w:rsidRPr="001653DF">
        <w:rPr>
          <w:rFonts w:ascii="Palatino Linotype" w:eastAsia="Palatino Linotype" w:hAnsi="Palatino Linotype" w:cs="Palatino Linotype"/>
          <w:color w:val="000000"/>
        </w:rPr>
        <w:t>en lo sucesivo el</w:t>
      </w:r>
      <w:r w:rsidRPr="001653DF">
        <w:rPr>
          <w:rFonts w:ascii="Palatino Linotype" w:eastAsia="Palatino Linotype" w:hAnsi="Palatino Linotype" w:cs="Palatino Linotype"/>
          <w:b/>
          <w:color w:val="000000"/>
        </w:rPr>
        <w:t xml:space="preserve"> SUJETO OBLIGADO, </w:t>
      </w:r>
      <w:r w:rsidRPr="001653DF">
        <w:rPr>
          <w:rFonts w:ascii="Palatino Linotype" w:eastAsia="Palatino Linotype" w:hAnsi="Palatino Linotype" w:cs="Palatino Linotype"/>
          <w:color w:val="000000"/>
        </w:rPr>
        <w:t xml:space="preserve">se procede a dictar la presente resolución, con base en los siguientes: </w:t>
      </w:r>
    </w:p>
    <w:p w14:paraId="53FF544F" w14:textId="77777777" w:rsidR="002B2F6D" w:rsidRPr="001653DF" w:rsidRDefault="00B17ABB">
      <w:pPr>
        <w:pStyle w:val="Ttulo1"/>
        <w:ind w:right="-599"/>
        <w:jc w:val="center"/>
        <w:rPr>
          <w:rFonts w:ascii="Palatino Linotype" w:eastAsia="Palatino Linotype" w:hAnsi="Palatino Linotype" w:cs="Palatino Linotype"/>
          <w:b w:val="0"/>
          <w:sz w:val="24"/>
          <w:szCs w:val="24"/>
        </w:rPr>
      </w:pPr>
      <w:bookmarkStart w:id="0" w:name="_heading=h.30j0zll" w:colFirst="0" w:colLast="0"/>
      <w:bookmarkEnd w:id="0"/>
      <w:r w:rsidRPr="001653DF">
        <w:rPr>
          <w:rFonts w:ascii="Palatino Linotype" w:eastAsia="Palatino Linotype" w:hAnsi="Palatino Linotype" w:cs="Palatino Linotype"/>
          <w:sz w:val="24"/>
          <w:szCs w:val="24"/>
        </w:rPr>
        <w:t xml:space="preserve">A N T E C E D E N T E S </w:t>
      </w:r>
    </w:p>
    <w:p w14:paraId="05523717" w14:textId="77777777" w:rsidR="002B2F6D" w:rsidRPr="001653DF" w:rsidRDefault="002B2F6D">
      <w:pPr>
        <w:ind w:right="-599"/>
        <w:jc w:val="both"/>
        <w:rPr>
          <w:rFonts w:ascii="Palatino Linotype" w:eastAsia="Palatino Linotype" w:hAnsi="Palatino Linotype" w:cs="Palatino Linotype"/>
        </w:rPr>
      </w:pPr>
    </w:p>
    <w:p w14:paraId="3E181F68" w14:textId="77777777" w:rsidR="002B2F6D" w:rsidRPr="001653DF" w:rsidRDefault="00B17ABB" w:rsidP="00164857">
      <w:pPr>
        <w:numPr>
          <w:ilvl w:val="0"/>
          <w:numId w:val="3"/>
        </w:numPr>
        <w:pBdr>
          <w:top w:val="nil"/>
          <w:left w:val="nil"/>
          <w:bottom w:val="nil"/>
          <w:right w:val="nil"/>
          <w:between w:val="nil"/>
        </w:pBdr>
        <w:spacing w:line="360" w:lineRule="auto"/>
        <w:ind w:left="0" w:right="-29" w:firstLine="0"/>
        <w:jc w:val="both"/>
        <w:rPr>
          <w:rFonts w:ascii="Palatino Linotype" w:hAnsi="Palatino Linotype"/>
          <w:color w:val="000000"/>
        </w:rPr>
      </w:pPr>
      <w:r w:rsidRPr="001653DF">
        <w:rPr>
          <w:rFonts w:ascii="Palatino Linotype" w:eastAsia="Palatino Linotype" w:hAnsi="Palatino Linotype" w:cs="Palatino Linotype"/>
          <w:color w:val="000000"/>
        </w:rPr>
        <w:t xml:space="preserve">El </w:t>
      </w:r>
      <w:r w:rsidRPr="001653DF">
        <w:rPr>
          <w:rFonts w:ascii="Palatino Linotype" w:eastAsia="Palatino Linotype" w:hAnsi="Palatino Linotype" w:cs="Palatino Linotype"/>
          <w:b/>
          <w:color w:val="000000"/>
        </w:rPr>
        <w:t>once de junio de dos mil veinticuatro</w:t>
      </w:r>
      <w:r w:rsidRPr="001653DF">
        <w:rPr>
          <w:rFonts w:ascii="Palatino Linotype" w:eastAsia="Palatino Linotype" w:hAnsi="Palatino Linotype" w:cs="Palatino Linotype"/>
          <w:color w:val="000000"/>
        </w:rPr>
        <w:t xml:space="preserve">, </w:t>
      </w:r>
      <w:r w:rsidRPr="001653DF">
        <w:rPr>
          <w:rFonts w:ascii="Palatino Linotype" w:eastAsia="Palatino Linotype" w:hAnsi="Palatino Linotype" w:cs="Palatino Linotype"/>
          <w:b/>
          <w:color w:val="000000"/>
        </w:rPr>
        <w:t xml:space="preserve">EL RECURRENTE </w:t>
      </w:r>
      <w:r w:rsidRPr="001653DF">
        <w:rPr>
          <w:rFonts w:ascii="Palatino Linotype" w:eastAsia="Palatino Linotype" w:hAnsi="Palatino Linotype" w:cs="Palatino Linotype"/>
          <w:color w:val="000000"/>
        </w:rPr>
        <w:t>presentó</w:t>
      </w:r>
      <w:r w:rsidRPr="001653DF">
        <w:rPr>
          <w:rFonts w:ascii="Palatino Linotype" w:eastAsia="Palatino Linotype" w:hAnsi="Palatino Linotype" w:cs="Palatino Linotype"/>
          <w:b/>
          <w:color w:val="000000"/>
        </w:rPr>
        <w:t>,</w:t>
      </w:r>
      <w:r w:rsidRPr="001653DF">
        <w:rPr>
          <w:rFonts w:ascii="Palatino Linotype" w:eastAsia="Palatino Linotype" w:hAnsi="Palatino Linotype" w:cs="Palatino Linotype"/>
          <w:color w:val="000000"/>
        </w:rPr>
        <w:t xml:space="preserve"> ante el </w:t>
      </w:r>
      <w:r w:rsidRPr="001653DF">
        <w:rPr>
          <w:rFonts w:ascii="Palatino Linotype" w:eastAsia="Palatino Linotype" w:hAnsi="Palatino Linotype" w:cs="Palatino Linotype"/>
          <w:b/>
          <w:color w:val="000000"/>
        </w:rPr>
        <w:t>SUJETO OBLIGADO</w:t>
      </w:r>
      <w:r w:rsidRPr="001653DF">
        <w:rPr>
          <w:rFonts w:ascii="Palatino Linotype" w:eastAsia="Palatino Linotype" w:hAnsi="Palatino Linotype" w:cs="Palatino Linotype"/>
          <w:color w:val="000000"/>
        </w:rPr>
        <w:t xml:space="preserve"> vía </w:t>
      </w:r>
      <w:r w:rsidRPr="001653DF">
        <w:rPr>
          <w:rFonts w:ascii="Palatino Linotype" w:eastAsia="Palatino Linotype" w:hAnsi="Palatino Linotype" w:cs="Palatino Linotype"/>
          <w:b/>
          <w:color w:val="000000"/>
        </w:rPr>
        <w:t>Plataforma Nacional de Transparencia (PNT)</w:t>
      </w:r>
      <w:r w:rsidRPr="001653DF">
        <w:rPr>
          <w:rFonts w:ascii="Palatino Linotype" w:eastAsia="Palatino Linotype" w:hAnsi="Palatino Linotype" w:cs="Palatino Linotype"/>
          <w:color w:val="000000"/>
        </w:rPr>
        <w:t xml:space="preserve"> y Sistema de Acceso a la Información Mexiquense (</w:t>
      </w:r>
      <w:r w:rsidRPr="001653DF">
        <w:rPr>
          <w:rFonts w:ascii="Palatino Linotype" w:eastAsia="Palatino Linotype" w:hAnsi="Palatino Linotype" w:cs="Palatino Linotype"/>
          <w:b/>
          <w:color w:val="000000"/>
        </w:rPr>
        <w:t>SAIMEX)</w:t>
      </w:r>
      <w:r w:rsidRPr="001653DF">
        <w:rPr>
          <w:rFonts w:ascii="Palatino Linotype" w:eastAsia="Palatino Linotype" w:hAnsi="Palatino Linotype" w:cs="Palatino Linotype"/>
          <w:color w:val="000000"/>
        </w:rPr>
        <w:t xml:space="preserve">, la solicitud de información pública registrada con el número </w:t>
      </w:r>
      <w:r w:rsidRPr="001653DF">
        <w:rPr>
          <w:rFonts w:ascii="Palatino Linotype" w:eastAsia="Palatino Linotype" w:hAnsi="Palatino Linotype" w:cs="Palatino Linotype"/>
          <w:b/>
          <w:color w:val="000000"/>
        </w:rPr>
        <w:t>00467/NAUCALPA/IP/2024</w:t>
      </w:r>
      <w:r w:rsidRPr="001653DF">
        <w:rPr>
          <w:rFonts w:ascii="Palatino Linotype" w:eastAsia="Palatino Linotype" w:hAnsi="Palatino Linotype" w:cs="Palatino Linotype"/>
          <w:color w:val="000000"/>
        </w:rPr>
        <w:t>,</w:t>
      </w:r>
      <w:r w:rsidRPr="001653DF">
        <w:rPr>
          <w:rFonts w:ascii="Palatino Linotype" w:eastAsia="Palatino Linotype" w:hAnsi="Palatino Linotype" w:cs="Palatino Linotype"/>
          <w:b/>
          <w:color w:val="000000"/>
        </w:rPr>
        <w:t xml:space="preserve"> </w:t>
      </w:r>
      <w:r w:rsidRPr="001653DF">
        <w:rPr>
          <w:rFonts w:ascii="Palatino Linotype" w:eastAsia="Palatino Linotype" w:hAnsi="Palatino Linotype" w:cs="Palatino Linotype"/>
        </w:rPr>
        <w:t>en la que se</w:t>
      </w:r>
      <w:r w:rsidRPr="001653DF">
        <w:rPr>
          <w:rFonts w:ascii="Palatino Linotype" w:eastAsia="Palatino Linotype" w:hAnsi="Palatino Linotype" w:cs="Palatino Linotype"/>
          <w:color w:val="000000"/>
        </w:rPr>
        <w:t xml:space="preserve"> solicitó lo siguiente:</w:t>
      </w:r>
    </w:p>
    <w:p w14:paraId="3E79BF82" w14:textId="77777777" w:rsidR="002B2F6D" w:rsidRPr="001653DF" w:rsidRDefault="002B2F6D">
      <w:pPr>
        <w:spacing w:line="360" w:lineRule="auto"/>
        <w:ind w:right="-599"/>
        <w:jc w:val="both"/>
        <w:rPr>
          <w:rFonts w:ascii="Palatino Linotype" w:eastAsia="Palatino Linotype" w:hAnsi="Palatino Linotype" w:cs="Palatino Linotype"/>
        </w:rPr>
      </w:pPr>
    </w:p>
    <w:p w14:paraId="5FB4B930" w14:textId="77777777" w:rsidR="002B2F6D" w:rsidRPr="001653DF" w:rsidRDefault="00B17ABB" w:rsidP="00507EFD">
      <w:pPr>
        <w:spacing w:line="360" w:lineRule="auto"/>
        <w:ind w:left="567" w:right="-29"/>
        <w:jc w:val="both"/>
        <w:rPr>
          <w:rFonts w:ascii="Palatino Linotype" w:eastAsia="Palatino Linotype" w:hAnsi="Palatino Linotype" w:cs="Palatino Linotype"/>
        </w:rPr>
      </w:pPr>
      <w:r w:rsidRPr="001653DF">
        <w:rPr>
          <w:rFonts w:ascii="Palatino Linotype" w:eastAsia="Palatino Linotype" w:hAnsi="Palatino Linotype" w:cs="Palatino Linotype"/>
          <w:i/>
          <w:color w:val="000000"/>
        </w:rPr>
        <w:t>“Solicito copias simples digitales de todos los permisos, concesiones y licencias emitidas para la construcción del proyecto de Conjunto Urbano de Tipo Mixto llamado "Terralago" ubicado en vía Doctor Jorge Jiménez Cantú 931, Lote 20, vía Doctor Jorge Jiménez Cantú 75, Lote XVIII Fraccionamiento Lomas Verdes (Centro Cívico), Municipio de Naucalpan de Juárez, Estado de México”</w:t>
      </w:r>
      <w:r w:rsidRPr="001653DF">
        <w:rPr>
          <w:rFonts w:ascii="Palatino Linotype" w:eastAsia="Palatino Linotype" w:hAnsi="Palatino Linotype" w:cs="Palatino Linotype"/>
          <w:color w:val="000000"/>
        </w:rPr>
        <w:t xml:space="preserve"> (Sic)</w:t>
      </w:r>
    </w:p>
    <w:p w14:paraId="333153E9" w14:textId="77777777" w:rsidR="002B2F6D" w:rsidRPr="001653DF" w:rsidRDefault="00B17ABB" w:rsidP="00507EFD">
      <w:pPr>
        <w:numPr>
          <w:ilvl w:val="0"/>
          <w:numId w:val="1"/>
        </w:numPr>
        <w:pBdr>
          <w:top w:val="nil"/>
          <w:left w:val="nil"/>
          <w:bottom w:val="nil"/>
          <w:right w:val="nil"/>
          <w:between w:val="nil"/>
        </w:pBdr>
        <w:spacing w:line="360" w:lineRule="auto"/>
        <w:ind w:left="0" w:right="113" w:firstLine="0"/>
        <w:jc w:val="both"/>
        <w:rPr>
          <w:rFonts w:ascii="Palatino Linotype" w:eastAsia="Palatino Linotype" w:hAnsi="Palatino Linotype" w:cs="Palatino Linotype"/>
          <w:color w:val="000000"/>
        </w:rPr>
      </w:pPr>
      <w:r w:rsidRPr="001653DF">
        <w:rPr>
          <w:rFonts w:ascii="Palatino Linotype" w:eastAsia="Palatino Linotype" w:hAnsi="Palatino Linotype" w:cs="Palatino Linotype"/>
          <w:color w:val="000000"/>
        </w:rPr>
        <w:lastRenderedPageBreak/>
        <w:t>Se eligió como modalidad de entrega a través de la plataforma digital Sistema de Acceso a la Información Mexiquense (SAIMEX).</w:t>
      </w:r>
    </w:p>
    <w:p w14:paraId="066CD396" w14:textId="77777777" w:rsidR="002B2F6D" w:rsidRPr="001653DF" w:rsidRDefault="002B2F6D">
      <w:pPr>
        <w:pBdr>
          <w:top w:val="nil"/>
          <w:left w:val="nil"/>
          <w:bottom w:val="nil"/>
          <w:right w:val="nil"/>
          <w:between w:val="nil"/>
        </w:pBdr>
        <w:spacing w:line="360" w:lineRule="auto"/>
        <w:ind w:left="720" w:right="-599"/>
        <w:jc w:val="both"/>
        <w:rPr>
          <w:rFonts w:ascii="Palatino Linotype" w:eastAsia="Palatino Linotype" w:hAnsi="Palatino Linotype" w:cs="Palatino Linotype"/>
          <w:color w:val="000000"/>
        </w:rPr>
      </w:pPr>
    </w:p>
    <w:p w14:paraId="17FDCEFA" w14:textId="77777777" w:rsidR="002B2F6D" w:rsidRPr="001653DF" w:rsidRDefault="00B17ABB" w:rsidP="00507EFD">
      <w:pPr>
        <w:numPr>
          <w:ilvl w:val="0"/>
          <w:numId w:val="3"/>
        </w:numPr>
        <w:pBdr>
          <w:top w:val="nil"/>
          <w:left w:val="nil"/>
          <w:bottom w:val="nil"/>
          <w:right w:val="nil"/>
          <w:between w:val="nil"/>
        </w:pBdr>
        <w:spacing w:line="360" w:lineRule="auto"/>
        <w:ind w:left="0" w:right="-29" w:firstLine="0"/>
        <w:jc w:val="both"/>
        <w:rPr>
          <w:rFonts w:ascii="Palatino Linotype" w:hAnsi="Palatino Linotype"/>
          <w:color w:val="000000"/>
        </w:rPr>
      </w:pPr>
      <w:r w:rsidRPr="001653DF">
        <w:rPr>
          <w:rFonts w:ascii="Palatino Linotype" w:eastAsia="Palatino Linotype" w:hAnsi="Palatino Linotype" w:cs="Palatino Linotype"/>
          <w:color w:val="000000"/>
        </w:rPr>
        <w:t xml:space="preserve">En fecha </w:t>
      </w:r>
      <w:r w:rsidRPr="001653DF">
        <w:rPr>
          <w:rFonts w:ascii="Palatino Linotype" w:eastAsia="Palatino Linotype" w:hAnsi="Palatino Linotype" w:cs="Palatino Linotype"/>
          <w:b/>
          <w:color w:val="000000"/>
        </w:rPr>
        <w:t>dos de julio del año dos mil veinticuatro,</w:t>
      </w:r>
      <w:r w:rsidRPr="001653DF">
        <w:rPr>
          <w:rFonts w:ascii="Palatino Linotype" w:eastAsia="Palatino Linotype" w:hAnsi="Palatino Linotype" w:cs="Palatino Linotype"/>
          <w:color w:val="000000"/>
        </w:rPr>
        <w:t xml:space="preserve"> se concedió una prórroga al SUJETO OBLIGADO.</w:t>
      </w:r>
    </w:p>
    <w:p w14:paraId="7EFA0A1C" w14:textId="77777777" w:rsidR="002B2F6D" w:rsidRPr="001653DF" w:rsidRDefault="002B2F6D">
      <w:pPr>
        <w:pBdr>
          <w:top w:val="nil"/>
          <w:left w:val="nil"/>
          <w:bottom w:val="nil"/>
          <w:right w:val="nil"/>
          <w:between w:val="nil"/>
        </w:pBdr>
        <w:spacing w:line="360" w:lineRule="auto"/>
        <w:ind w:right="-599"/>
        <w:jc w:val="both"/>
        <w:rPr>
          <w:rFonts w:ascii="Palatino Linotype" w:eastAsia="Palatino Linotype" w:hAnsi="Palatino Linotype" w:cs="Palatino Linotype"/>
          <w:color w:val="000000"/>
        </w:rPr>
      </w:pPr>
    </w:p>
    <w:p w14:paraId="5962C457" w14:textId="77777777" w:rsidR="002B2F6D" w:rsidRPr="001653DF" w:rsidRDefault="00B17ABB" w:rsidP="00507EFD">
      <w:pPr>
        <w:numPr>
          <w:ilvl w:val="0"/>
          <w:numId w:val="3"/>
        </w:numPr>
        <w:pBdr>
          <w:top w:val="nil"/>
          <w:left w:val="nil"/>
          <w:bottom w:val="nil"/>
          <w:right w:val="nil"/>
          <w:between w:val="nil"/>
        </w:pBdr>
        <w:spacing w:line="360" w:lineRule="auto"/>
        <w:ind w:left="0" w:right="-29" w:firstLine="0"/>
        <w:jc w:val="both"/>
        <w:rPr>
          <w:rFonts w:ascii="Palatino Linotype" w:hAnsi="Palatino Linotype"/>
          <w:color w:val="000000"/>
        </w:rPr>
      </w:pPr>
      <w:r w:rsidRPr="001653DF">
        <w:rPr>
          <w:rFonts w:ascii="Palatino Linotype" w:eastAsia="Palatino Linotype" w:hAnsi="Palatino Linotype" w:cs="Palatino Linotype"/>
          <w:color w:val="000000"/>
        </w:rPr>
        <w:t xml:space="preserve">En fecha </w:t>
      </w:r>
      <w:r w:rsidRPr="001653DF">
        <w:rPr>
          <w:rFonts w:ascii="Palatino Linotype" w:eastAsia="Palatino Linotype" w:hAnsi="Palatino Linotype" w:cs="Palatino Linotype"/>
          <w:b/>
          <w:color w:val="000000"/>
        </w:rPr>
        <w:t>once de julio de dos mil veinticuatro</w:t>
      </w:r>
      <w:r w:rsidRPr="001653DF">
        <w:rPr>
          <w:rFonts w:ascii="Palatino Linotype" w:eastAsia="Palatino Linotype" w:hAnsi="Palatino Linotype" w:cs="Palatino Linotype"/>
          <w:color w:val="000000"/>
        </w:rPr>
        <w:t xml:space="preserve">, el </w:t>
      </w:r>
      <w:r w:rsidRPr="001653DF">
        <w:rPr>
          <w:rFonts w:ascii="Palatino Linotype" w:eastAsia="Palatino Linotype" w:hAnsi="Palatino Linotype" w:cs="Palatino Linotype"/>
          <w:b/>
          <w:color w:val="000000"/>
        </w:rPr>
        <w:t>SUJETO OBLIGADO</w:t>
      </w:r>
      <w:r w:rsidRPr="001653DF">
        <w:rPr>
          <w:rFonts w:ascii="Palatino Linotype" w:eastAsia="Palatino Linotype" w:hAnsi="Palatino Linotype" w:cs="Palatino Linotype"/>
          <w:b/>
          <w:i/>
          <w:color w:val="000000"/>
        </w:rPr>
        <w:t xml:space="preserve"> </w:t>
      </w:r>
      <w:r w:rsidRPr="001653DF">
        <w:rPr>
          <w:rFonts w:ascii="Palatino Linotype" w:eastAsia="Palatino Linotype" w:hAnsi="Palatino Linotype" w:cs="Palatino Linotype"/>
          <w:color w:val="000000"/>
        </w:rPr>
        <w:t>dio respuesta a la solicitud de información adjuntando archivo digital en formato PDF, siendo el siguiente:</w:t>
      </w:r>
    </w:p>
    <w:p w14:paraId="3D13144C" w14:textId="77777777" w:rsidR="002B2F6D" w:rsidRPr="001653DF" w:rsidRDefault="002B2F6D">
      <w:pPr>
        <w:spacing w:line="360" w:lineRule="auto"/>
        <w:ind w:right="-599"/>
        <w:jc w:val="both"/>
        <w:rPr>
          <w:rFonts w:ascii="Palatino Linotype" w:eastAsia="Palatino Linotype" w:hAnsi="Palatino Linotype" w:cs="Palatino Linotype"/>
        </w:rPr>
      </w:pPr>
    </w:p>
    <w:p w14:paraId="1FFE8785" w14:textId="77777777" w:rsidR="002B2F6D" w:rsidRPr="001653DF" w:rsidRDefault="00B17ABB" w:rsidP="00507EFD">
      <w:pPr>
        <w:numPr>
          <w:ilvl w:val="0"/>
          <w:numId w:val="2"/>
        </w:numPr>
        <w:pBdr>
          <w:top w:val="nil"/>
          <w:left w:val="nil"/>
          <w:bottom w:val="nil"/>
          <w:right w:val="nil"/>
          <w:between w:val="nil"/>
        </w:pBdr>
        <w:spacing w:line="360" w:lineRule="auto"/>
        <w:ind w:left="567" w:right="113" w:firstLine="0"/>
        <w:jc w:val="both"/>
        <w:rPr>
          <w:rFonts w:ascii="Palatino Linotype" w:eastAsia="Palatino Linotype" w:hAnsi="Palatino Linotype" w:cs="Palatino Linotype"/>
          <w:i/>
          <w:color w:val="000000"/>
        </w:rPr>
      </w:pPr>
      <w:r w:rsidRPr="001653DF">
        <w:rPr>
          <w:rFonts w:ascii="Palatino Linotype" w:eastAsia="Palatino Linotype" w:hAnsi="Palatino Linotype" w:cs="Palatino Linotype"/>
          <w:b/>
          <w:color w:val="000000"/>
        </w:rPr>
        <w:t xml:space="preserve">RS467.pdf: </w:t>
      </w:r>
      <w:r w:rsidRPr="001653DF">
        <w:rPr>
          <w:rFonts w:ascii="Palatino Linotype" w:eastAsia="Palatino Linotype" w:hAnsi="Palatino Linotype" w:cs="Palatino Linotype"/>
          <w:color w:val="000000"/>
        </w:rPr>
        <w:t xml:space="preserve">Contiene el oficio número DGDU/SJ-III/1415/2024, de fecha once de julio de dos mil veinticuatro, suscrito por el Subdirector Jurídico adscrito a la Dirección General de Desarrollo Urbano, en la que entre otras cosas refirió: </w:t>
      </w:r>
      <w:r w:rsidRPr="001653DF">
        <w:rPr>
          <w:rFonts w:ascii="Palatino Linotype" w:eastAsia="Palatino Linotype" w:hAnsi="Palatino Linotype" w:cs="Palatino Linotype"/>
          <w:i/>
          <w:color w:val="000000"/>
        </w:rPr>
        <w:t xml:space="preserve">“…realizó una búsqueda exhaustiva en los archivos electrónicos y físicos con que cuenta dicha Subdirección, sin embargo, no se localizó alguna expresión documental que diera respuesta a lo solicitado…” </w:t>
      </w:r>
      <w:r w:rsidRPr="001653DF">
        <w:rPr>
          <w:rFonts w:ascii="Palatino Linotype" w:eastAsia="Palatino Linotype" w:hAnsi="Palatino Linotype" w:cs="Palatino Linotype"/>
          <w:color w:val="000000"/>
        </w:rPr>
        <w:t xml:space="preserve">(Sic) </w:t>
      </w:r>
    </w:p>
    <w:p w14:paraId="02A1BFFA" w14:textId="77777777" w:rsidR="002B2F6D" w:rsidRPr="001653DF" w:rsidRDefault="002B2F6D">
      <w:pPr>
        <w:pBdr>
          <w:top w:val="nil"/>
          <w:left w:val="nil"/>
          <w:bottom w:val="nil"/>
          <w:right w:val="nil"/>
          <w:between w:val="nil"/>
        </w:pBdr>
        <w:spacing w:line="360" w:lineRule="auto"/>
        <w:ind w:left="567" w:right="-599"/>
        <w:jc w:val="both"/>
        <w:rPr>
          <w:rFonts w:ascii="Palatino Linotype" w:eastAsia="Palatino Linotype" w:hAnsi="Palatino Linotype" w:cs="Palatino Linotype"/>
          <w:i/>
          <w:color w:val="000000"/>
        </w:rPr>
      </w:pPr>
    </w:p>
    <w:p w14:paraId="124E9850" w14:textId="77777777" w:rsidR="002B2F6D" w:rsidRPr="001653DF" w:rsidRDefault="00B17ABB" w:rsidP="00507EFD">
      <w:pPr>
        <w:pBdr>
          <w:top w:val="nil"/>
          <w:left w:val="nil"/>
          <w:bottom w:val="nil"/>
          <w:right w:val="nil"/>
          <w:between w:val="nil"/>
        </w:pBdr>
        <w:spacing w:line="360" w:lineRule="auto"/>
        <w:ind w:left="567" w:right="-29"/>
        <w:jc w:val="both"/>
        <w:rPr>
          <w:rFonts w:ascii="Palatino Linotype" w:eastAsia="Palatino Linotype" w:hAnsi="Palatino Linotype" w:cs="Palatino Linotype"/>
          <w:color w:val="000000"/>
        </w:rPr>
      </w:pPr>
      <w:r w:rsidRPr="001653DF">
        <w:rPr>
          <w:rFonts w:ascii="Palatino Linotype" w:eastAsia="Palatino Linotype" w:hAnsi="Palatino Linotype" w:cs="Palatino Linotype"/>
          <w:color w:val="000000"/>
        </w:rPr>
        <w:t xml:space="preserve">También contiene el oficio número DGDU/SOU/IV/288/2024, de fecha veintiuno de junio de dos mil veinticuatro, suscrito por el Subdirector de Operación Urbana de la Dirección General de Desarrollo Urbano, en el que entre otras cosas se lee lo siguiente: </w:t>
      </w:r>
      <w:r w:rsidRPr="001653DF">
        <w:rPr>
          <w:rFonts w:ascii="Palatino Linotype" w:eastAsia="Palatino Linotype" w:hAnsi="Palatino Linotype" w:cs="Palatino Linotype"/>
          <w:i/>
          <w:color w:val="000000"/>
        </w:rPr>
        <w:t xml:space="preserve">“…se realizó con los datos proporcionados minuciosa y exhaustiva, una </w:t>
      </w:r>
      <w:r w:rsidRPr="001653DF">
        <w:rPr>
          <w:rFonts w:ascii="Palatino Linotype" w:eastAsia="Palatino Linotype" w:hAnsi="Palatino Linotype" w:cs="Palatino Linotype"/>
          <w:i/>
          <w:color w:val="000000"/>
        </w:rPr>
        <w:lastRenderedPageBreak/>
        <w:t xml:space="preserve">búsqueda en los archivos físicos y digitales con que cuentan actualmente en posesión los Departamentos de Licencias de Construcción y Uso y Control del Suelo, ambos a cargo de esta Subdirección de Operación Urbana y no se localizó el registro del expediente, antecedente o solicitud de Licencia de Uso del Suelo para el predio que se indica en la petición…” </w:t>
      </w:r>
      <w:r w:rsidRPr="001653DF">
        <w:rPr>
          <w:rFonts w:ascii="Palatino Linotype" w:eastAsia="Palatino Linotype" w:hAnsi="Palatino Linotype" w:cs="Palatino Linotype"/>
          <w:color w:val="000000"/>
        </w:rPr>
        <w:t>(Sic)</w:t>
      </w:r>
    </w:p>
    <w:p w14:paraId="6C35FB45" w14:textId="77777777" w:rsidR="002B2F6D" w:rsidRPr="001653DF" w:rsidRDefault="00B17ABB">
      <w:pPr>
        <w:pBdr>
          <w:top w:val="nil"/>
          <w:left w:val="nil"/>
          <w:bottom w:val="nil"/>
          <w:right w:val="nil"/>
          <w:between w:val="nil"/>
        </w:pBdr>
        <w:spacing w:line="360" w:lineRule="auto"/>
        <w:ind w:left="993" w:right="-599"/>
        <w:jc w:val="both"/>
        <w:rPr>
          <w:rFonts w:ascii="Palatino Linotype" w:eastAsia="Palatino Linotype" w:hAnsi="Palatino Linotype" w:cs="Palatino Linotype"/>
          <w:i/>
          <w:color w:val="000000"/>
        </w:rPr>
      </w:pPr>
      <w:r w:rsidRPr="001653DF">
        <w:rPr>
          <w:rFonts w:ascii="Palatino Linotype" w:eastAsia="Palatino Linotype" w:hAnsi="Palatino Linotype" w:cs="Palatino Linotype"/>
          <w:i/>
          <w:color w:val="000000"/>
        </w:rPr>
        <w:t xml:space="preserve"> </w:t>
      </w:r>
    </w:p>
    <w:p w14:paraId="6DF57E79" w14:textId="77777777" w:rsidR="002B2F6D" w:rsidRPr="001653DF" w:rsidRDefault="00B17ABB" w:rsidP="00507EFD">
      <w:pPr>
        <w:numPr>
          <w:ilvl w:val="0"/>
          <w:numId w:val="3"/>
        </w:numPr>
        <w:pBdr>
          <w:top w:val="nil"/>
          <w:left w:val="nil"/>
          <w:bottom w:val="nil"/>
          <w:right w:val="nil"/>
          <w:between w:val="nil"/>
        </w:pBdr>
        <w:spacing w:line="360" w:lineRule="auto"/>
        <w:ind w:left="0" w:right="-29" w:firstLine="0"/>
        <w:jc w:val="both"/>
        <w:rPr>
          <w:rFonts w:ascii="Palatino Linotype" w:hAnsi="Palatino Linotype"/>
          <w:color w:val="000000"/>
        </w:rPr>
      </w:pPr>
      <w:r w:rsidRPr="001653DF">
        <w:rPr>
          <w:rFonts w:ascii="Palatino Linotype" w:eastAsia="Palatino Linotype" w:hAnsi="Palatino Linotype" w:cs="Palatino Linotype"/>
          <w:color w:val="000000"/>
        </w:rPr>
        <w:t xml:space="preserve">En fecha </w:t>
      </w:r>
      <w:r w:rsidRPr="001653DF">
        <w:rPr>
          <w:rFonts w:ascii="Palatino Linotype" w:eastAsia="Palatino Linotype" w:hAnsi="Palatino Linotype" w:cs="Palatino Linotype"/>
          <w:b/>
          <w:color w:val="000000"/>
        </w:rPr>
        <w:t>quince de julio de dos mil veinticuatro,</w:t>
      </w:r>
      <w:r w:rsidRPr="001653DF">
        <w:rPr>
          <w:rFonts w:ascii="Palatino Linotype" w:eastAsia="Palatino Linotype" w:hAnsi="Palatino Linotype" w:cs="Palatino Linotype"/>
          <w:color w:val="000000"/>
        </w:rPr>
        <w:t xml:space="preserve"> el particular interpuso el recurso de revisión en contra de la respuesta, manifestando:</w:t>
      </w:r>
    </w:p>
    <w:p w14:paraId="7E01E442" w14:textId="77777777" w:rsidR="002B2F6D" w:rsidRPr="001653DF" w:rsidRDefault="002B2F6D">
      <w:pPr>
        <w:pBdr>
          <w:top w:val="nil"/>
          <w:left w:val="nil"/>
          <w:bottom w:val="nil"/>
          <w:right w:val="nil"/>
          <w:between w:val="nil"/>
        </w:pBdr>
        <w:spacing w:line="360" w:lineRule="auto"/>
        <w:ind w:right="-599"/>
        <w:jc w:val="both"/>
        <w:rPr>
          <w:rFonts w:ascii="Palatino Linotype" w:eastAsia="Palatino Linotype" w:hAnsi="Palatino Linotype" w:cs="Palatino Linotype"/>
          <w:color w:val="000000"/>
        </w:rPr>
      </w:pPr>
    </w:p>
    <w:p w14:paraId="299EC55E" w14:textId="77777777" w:rsidR="002B2F6D" w:rsidRPr="001653DF" w:rsidRDefault="00B17ABB" w:rsidP="00507EFD">
      <w:pPr>
        <w:numPr>
          <w:ilvl w:val="0"/>
          <w:numId w:val="2"/>
        </w:numPr>
        <w:pBdr>
          <w:top w:val="nil"/>
          <w:left w:val="nil"/>
          <w:bottom w:val="nil"/>
          <w:right w:val="nil"/>
          <w:between w:val="nil"/>
        </w:pBdr>
        <w:spacing w:line="360" w:lineRule="auto"/>
        <w:ind w:right="-29"/>
        <w:jc w:val="both"/>
        <w:rPr>
          <w:rFonts w:ascii="Palatino Linotype" w:eastAsia="Palatino Linotype" w:hAnsi="Palatino Linotype" w:cs="Palatino Linotype"/>
          <w:i/>
          <w:color w:val="000000"/>
        </w:rPr>
      </w:pPr>
      <w:r w:rsidRPr="001653DF">
        <w:rPr>
          <w:rFonts w:ascii="Palatino Linotype" w:eastAsia="Palatino Linotype" w:hAnsi="Palatino Linotype" w:cs="Palatino Linotype"/>
          <w:b/>
          <w:color w:val="000000"/>
        </w:rPr>
        <w:t xml:space="preserve">ACTO IMPUGNADO: </w:t>
      </w:r>
      <w:r w:rsidRPr="001653DF">
        <w:rPr>
          <w:rFonts w:ascii="Palatino Linotype" w:eastAsia="Palatino Linotype" w:hAnsi="Palatino Linotype" w:cs="Palatino Linotype"/>
          <w:b/>
          <w:i/>
          <w:color w:val="000000"/>
        </w:rPr>
        <w:t>“</w:t>
      </w:r>
      <w:r w:rsidRPr="001653DF">
        <w:rPr>
          <w:rFonts w:ascii="Palatino Linotype" w:eastAsia="Palatino Linotype" w:hAnsi="Palatino Linotype" w:cs="Palatino Linotype"/>
          <w:i/>
          <w:color w:val="000000"/>
        </w:rPr>
        <w:t xml:space="preserve">El sujeto obligado afirma que "no se localizó alguna expresión documental que diera respuesta </w:t>
      </w:r>
      <w:bookmarkStart w:id="1" w:name="_GoBack"/>
      <w:r w:rsidRPr="001653DF">
        <w:rPr>
          <w:rFonts w:ascii="Palatino Linotype" w:eastAsia="Palatino Linotype" w:hAnsi="Palatino Linotype" w:cs="Palatino Linotype"/>
          <w:i/>
          <w:color w:val="000000"/>
        </w:rPr>
        <w:t>a lo solicitado", sin embargo, el documento que se pidió a través de la solicitud de transparencia aparece citado en la Gaceta de Gobierno del Estado de México tomo CCXV No. 74. En la Gaceta se menciona el que proyecto Conjunto Urbano de Tipo Mixto llamado "Terralago" ubicado en vía Doctor Jorge Jiménez Cantú 931, Lote 20, vía Doctor Jorge Jiménez Cantú 75, Lote XVIII Fraccionamiento Lomas Verdes (Centro Cívico), Municipio de Naucalpan de Juárez, Estado de México, cuenta con Licencias de Uso de Suelo y Constancias de Alineamiento y Número Oficial emitidas por la Dirección General de Desarrollo Urbano del Municipio de Naucalpan de Juárez. Se adjunta el archivo de la Gaceta como evidencia</w:t>
      </w:r>
      <w:bookmarkEnd w:id="1"/>
      <w:r w:rsidRPr="001653DF">
        <w:rPr>
          <w:rFonts w:ascii="Palatino Linotype" w:eastAsia="Palatino Linotype" w:hAnsi="Palatino Linotype" w:cs="Palatino Linotype"/>
          <w:i/>
          <w:color w:val="000000"/>
        </w:rPr>
        <w:t>” (Sic)</w:t>
      </w:r>
    </w:p>
    <w:p w14:paraId="4B0677B2" w14:textId="77777777" w:rsidR="002B2F6D" w:rsidRPr="001653DF" w:rsidRDefault="002B2F6D">
      <w:pPr>
        <w:pBdr>
          <w:top w:val="nil"/>
          <w:left w:val="nil"/>
          <w:bottom w:val="nil"/>
          <w:right w:val="nil"/>
          <w:between w:val="nil"/>
        </w:pBdr>
        <w:spacing w:line="360" w:lineRule="auto"/>
        <w:ind w:left="720" w:right="-599"/>
        <w:jc w:val="both"/>
        <w:rPr>
          <w:rFonts w:ascii="Palatino Linotype" w:eastAsia="Palatino Linotype" w:hAnsi="Palatino Linotype" w:cs="Palatino Linotype"/>
          <w:color w:val="000000"/>
        </w:rPr>
      </w:pPr>
    </w:p>
    <w:p w14:paraId="522ACB9E" w14:textId="77777777" w:rsidR="002B2F6D" w:rsidRPr="001653DF" w:rsidRDefault="00B17ABB">
      <w:pPr>
        <w:numPr>
          <w:ilvl w:val="0"/>
          <w:numId w:val="2"/>
        </w:numPr>
        <w:pBdr>
          <w:top w:val="nil"/>
          <w:left w:val="nil"/>
          <w:bottom w:val="nil"/>
          <w:right w:val="nil"/>
          <w:between w:val="nil"/>
        </w:pBdr>
        <w:spacing w:line="360" w:lineRule="auto"/>
        <w:ind w:right="-599"/>
        <w:jc w:val="both"/>
        <w:rPr>
          <w:rFonts w:ascii="Palatino Linotype" w:eastAsia="Palatino Linotype" w:hAnsi="Palatino Linotype" w:cs="Palatino Linotype"/>
          <w:color w:val="000000"/>
        </w:rPr>
      </w:pPr>
      <w:r w:rsidRPr="001653DF">
        <w:rPr>
          <w:rFonts w:ascii="Palatino Linotype" w:eastAsia="Palatino Linotype" w:hAnsi="Palatino Linotype" w:cs="Palatino Linotype"/>
          <w:b/>
          <w:color w:val="000000"/>
        </w:rPr>
        <w:t>RAZONES O MOTIVOS DE LA INCONFORMIDAD.</w:t>
      </w:r>
    </w:p>
    <w:p w14:paraId="4ED25213" w14:textId="77777777" w:rsidR="002B2F6D" w:rsidRPr="001653DF" w:rsidRDefault="00B17ABB" w:rsidP="00507EFD">
      <w:pPr>
        <w:numPr>
          <w:ilvl w:val="0"/>
          <w:numId w:val="3"/>
        </w:numPr>
        <w:pBdr>
          <w:top w:val="nil"/>
          <w:left w:val="nil"/>
          <w:bottom w:val="nil"/>
          <w:right w:val="nil"/>
          <w:between w:val="nil"/>
        </w:pBdr>
        <w:spacing w:line="360" w:lineRule="auto"/>
        <w:ind w:left="0" w:right="-29" w:firstLine="0"/>
        <w:jc w:val="both"/>
        <w:rPr>
          <w:rFonts w:ascii="Palatino Linotype" w:hAnsi="Palatino Linotype"/>
          <w:color w:val="000000"/>
        </w:rPr>
      </w:pPr>
      <w:r w:rsidRPr="001653DF">
        <w:rPr>
          <w:rFonts w:ascii="Palatino Linotype" w:eastAsia="Palatino Linotype" w:hAnsi="Palatino Linotype" w:cs="Palatino Linotype"/>
          <w:color w:val="000000"/>
        </w:rPr>
        <w:lastRenderedPageBreak/>
        <w:t>Consecutivamente</w:t>
      </w:r>
      <w:r w:rsidRPr="001653DF">
        <w:rPr>
          <w:rFonts w:ascii="Palatino Linotype" w:eastAsia="Palatino Linotype" w:hAnsi="Palatino Linotype" w:cs="Palatino Linotype"/>
          <w:i/>
          <w:color w:val="000000"/>
        </w:rPr>
        <w:t xml:space="preserve">, </w:t>
      </w:r>
      <w:r w:rsidRPr="001653DF">
        <w:rPr>
          <w:rFonts w:ascii="Palatino Linotype" w:eastAsia="Palatino Linotype" w:hAnsi="Palatino Linotype" w:cs="Palatino Linotype"/>
          <w:color w:val="000000"/>
        </w:rPr>
        <w:t>con fundamento en lo dispuesto por el artículo 185 fracción I de la Ley de Transparencia y Acceso a la Información Pública del Estado de México y Municipios, los recursos de referencia, fue turnado</w:t>
      </w:r>
      <w:r w:rsidRPr="001653DF">
        <w:rPr>
          <w:rFonts w:ascii="Palatino Linotype" w:eastAsia="Palatino Linotype" w:hAnsi="Palatino Linotype" w:cs="Palatino Linotype"/>
          <w:b/>
          <w:color w:val="000000"/>
        </w:rPr>
        <w:t xml:space="preserve"> </w:t>
      </w:r>
      <w:r w:rsidRPr="001653DF">
        <w:rPr>
          <w:rFonts w:ascii="Palatino Linotype" w:eastAsia="Palatino Linotype" w:hAnsi="Palatino Linotype" w:cs="Palatino Linotype"/>
          <w:color w:val="000000"/>
        </w:rPr>
        <w:t xml:space="preserve">a la Comisionada  </w:t>
      </w:r>
      <w:r w:rsidRPr="001653DF">
        <w:rPr>
          <w:rFonts w:ascii="Palatino Linotype" w:eastAsia="Palatino Linotype" w:hAnsi="Palatino Linotype" w:cs="Palatino Linotype"/>
          <w:b/>
          <w:color w:val="000000"/>
        </w:rPr>
        <w:t xml:space="preserve">María del Rosario Mejía Ayala, </w:t>
      </w:r>
      <w:r w:rsidRPr="001653DF">
        <w:rPr>
          <w:rFonts w:ascii="Palatino Linotype" w:eastAsia="Palatino Linotype" w:hAnsi="Palatino Linotype" w:cs="Palatino Linotype"/>
          <w:color w:val="000000"/>
        </w:rPr>
        <w:t xml:space="preserve">con el objeto de su análisis; quien con fundamento en lo dispuesto por el artículo 185 fracción II de la ley de la materia, a través del </w:t>
      </w:r>
      <w:r w:rsidRPr="001653DF">
        <w:rPr>
          <w:rFonts w:ascii="Palatino Linotype" w:eastAsia="Palatino Linotype" w:hAnsi="Palatino Linotype" w:cs="Palatino Linotype"/>
          <w:b/>
          <w:color w:val="000000"/>
        </w:rPr>
        <w:t xml:space="preserve">acuerdo de admisión </w:t>
      </w:r>
      <w:r w:rsidRPr="001653DF">
        <w:rPr>
          <w:rFonts w:ascii="Palatino Linotype" w:eastAsia="Palatino Linotype" w:hAnsi="Palatino Linotype" w:cs="Palatino Linotype"/>
          <w:color w:val="000000"/>
        </w:rPr>
        <w:t xml:space="preserve">de fecha </w:t>
      </w:r>
      <w:r w:rsidRPr="001653DF">
        <w:rPr>
          <w:rFonts w:ascii="Palatino Linotype" w:eastAsia="Palatino Linotype" w:hAnsi="Palatino Linotype" w:cs="Palatino Linotype"/>
          <w:b/>
          <w:color w:val="000000"/>
        </w:rPr>
        <w:t>quince de julio de dos mil veinticuatro</w:t>
      </w:r>
      <w:r w:rsidRPr="001653DF">
        <w:rPr>
          <w:rFonts w:ascii="Palatino Linotype" w:eastAsia="Palatino Linotype" w:hAnsi="Palatino Linotype" w:cs="Palatino Linotype"/>
          <w:color w:val="000000"/>
        </w:rPr>
        <w:t xml:space="preserve">, puso a disposición de las partes el expediente electrónico vía SAIMEX a efecto de que en un plazo máximo de siete días </w:t>
      </w:r>
      <w:r w:rsidRPr="001653DF">
        <w:rPr>
          <w:rFonts w:ascii="Palatino Linotype" w:eastAsia="Palatino Linotype" w:hAnsi="Palatino Linotype" w:cs="Palatino Linotype"/>
        </w:rPr>
        <w:t>manifestara</w:t>
      </w:r>
      <w:r w:rsidRPr="001653DF">
        <w:rPr>
          <w:rFonts w:ascii="Palatino Linotype" w:eastAsia="Palatino Linotype" w:hAnsi="Palatino Linotype" w:cs="Palatino Linotype"/>
          <w:color w:val="000000"/>
        </w:rPr>
        <w:t xml:space="preserve"> lo que a su derecho conviniera, </w:t>
      </w:r>
      <w:r w:rsidRPr="001653DF">
        <w:rPr>
          <w:rFonts w:ascii="Palatino Linotype" w:eastAsia="Palatino Linotype" w:hAnsi="Palatino Linotype" w:cs="Palatino Linotype"/>
        </w:rPr>
        <w:t>ofreciera</w:t>
      </w:r>
      <w:r w:rsidRPr="001653DF">
        <w:rPr>
          <w:rFonts w:ascii="Palatino Linotype" w:eastAsia="Palatino Linotype" w:hAnsi="Palatino Linotype" w:cs="Palatino Linotype"/>
          <w:color w:val="000000"/>
        </w:rPr>
        <w:t xml:space="preserve"> pruebas y alegatos según corresponda al caso concreto, de esta forma para que el </w:t>
      </w:r>
      <w:r w:rsidRPr="001653DF">
        <w:rPr>
          <w:rFonts w:ascii="Palatino Linotype" w:eastAsia="Palatino Linotype" w:hAnsi="Palatino Linotype" w:cs="Palatino Linotype"/>
          <w:b/>
          <w:color w:val="000000"/>
        </w:rPr>
        <w:t xml:space="preserve">SUJETO OBLIGADO </w:t>
      </w:r>
      <w:r w:rsidRPr="001653DF">
        <w:rPr>
          <w:rFonts w:ascii="Palatino Linotype" w:eastAsia="Palatino Linotype" w:hAnsi="Palatino Linotype" w:cs="Palatino Linotype"/>
        </w:rPr>
        <w:t>presentará</w:t>
      </w:r>
      <w:r w:rsidRPr="001653DF">
        <w:rPr>
          <w:rFonts w:ascii="Palatino Linotype" w:eastAsia="Palatino Linotype" w:hAnsi="Palatino Linotype" w:cs="Palatino Linotype"/>
          <w:color w:val="000000"/>
        </w:rPr>
        <w:t xml:space="preserve"> el Informe Justificado procedente.</w:t>
      </w:r>
    </w:p>
    <w:p w14:paraId="75A38F65" w14:textId="77777777" w:rsidR="002B2F6D" w:rsidRPr="001653DF" w:rsidRDefault="002B2F6D">
      <w:pPr>
        <w:pBdr>
          <w:top w:val="nil"/>
          <w:left w:val="nil"/>
          <w:bottom w:val="nil"/>
          <w:right w:val="nil"/>
          <w:between w:val="nil"/>
        </w:pBdr>
        <w:spacing w:line="360" w:lineRule="auto"/>
        <w:ind w:right="-599"/>
        <w:jc w:val="both"/>
        <w:rPr>
          <w:rFonts w:ascii="Palatino Linotype" w:eastAsia="Palatino Linotype" w:hAnsi="Palatino Linotype" w:cs="Palatino Linotype"/>
          <w:color w:val="000000"/>
        </w:rPr>
      </w:pPr>
    </w:p>
    <w:p w14:paraId="1EC1167F" w14:textId="77777777" w:rsidR="002B2F6D" w:rsidRPr="001653DF" w:rsidRDefault="00B17ABB" w:rsidP="00507EFD">
      <w:pPr>
        <w:numPr>
          <w:ilvl w:val="0"/>
          <w:numId w:val="3"/>
        </w:numPr>
        <w:pBdr>
          <w:top w:val="nil"/>
          <w:left w:val="nil"/>
          <w:bottom w:val="nil"/>
          <w:right w:val="nil"/>
          <w:between w:val="nil"/>
        </w:pBdr>
        <w:spacing w:line="360" w:lineRule="auto"/>
        <w:ind w:left="0" w:right="-29" w:firstLine="0"/>
        <w:jc w:val="both"/>
        <w:rPr>
          <w:rFonts w:ascii="Palatino Linotype" w:hAnsi="Palatino Linotype"/>
          <w:color w:val="000000"/>
        </w:rPr>
      </w:pPr>
      <w:r w:rsidRPr="001653DF">
        <w:rPr>
          <w:rFonts w:ascii="Palatino Linotype" w:eastAsia="Palatino Linotype" w:hAnsi="Palatino Linotype" w:cs="Palatino Linotype"/>
          <w:color w:val="000000"/>
        </w:rPr>
        <w:t xml:space="preserve">Por su parte, el </w:t>
      </w:r>
      <w:r w:rsidRPr="001653DF">
        <w:rPr>
          <w:rFonts w:ascii="Palatino Linotype" w:eastAsia="Palatino Linotype" w:hAnsi="Palatino Linotype" w:cs="Palatino Linotype"/>
          <w:b/>
          <w:color w:val="000000"/>
        </w:rPr>
        <w:t xml:space="preserve">RECURRENTE </w:t>
      </w:r>
      <w:r w:rsidRPr="001653DF">
        <w:rPr>
          <w:rFonts w:ascii="Palatino Linotype" w:eastAsia="Palatino Linotype" w:hAnsi="Palatino Linotype" w:cs="Palatino Linotype"/>
          <w:color w:val="000000"/>
        </w:rPr>
        <w:t xml:space="preserve">en fecha </w:t>
      </w:r>
      <w:r w:rsidRPr="001653DF">
        <w:rPr>
          <w:rFonts w:ascii="Palatino Linotype" w:eastAsia="Palatino Linotype" w:hAnsi="Palatino Linotype" w:cs="Palatino Linotype"/>
          <w:b/>
          <w:color w:val="000000"/>
        </w:rPr>
        <w:t>dieciséis de julio de dos mil veinticuatro,</w:t>
      </w:r>
      <w:r w:rsidRPr="001653DF">
        <w:rPr>
          <w:rFonts w:ascii="Palatino Linotype" w:eastAsia="Palatino Linotype" w:hAnsi="Palatino Linotype" w:cs="Palatino Linotype"/>
          <w:color w:val="000000"/>
        </w:rPr>
        <w:t xml:space="preserve"> adjuntó un archivo en formato PDF </w:t>
      </w:r>
      <w:r w:rsidRPr="001653DF">
        <w:rPr>
          <w:rFonts w:ascii="Palatino Linotype" w:eastAsia="Palatino Linotype" w:hAnsi="Palatino Linotype" w:cs="Palatino Linotype"/>
          <w:b/>
          <w:color w:val="000000"/>
        </w:rPr>
        <w:t xml:space="preserve">gaceta.pdf, </w:t>
      </w:r>
      <w:r w:rsidRPr="001653DF">
        <w:rPr>
          <w:rFonts w:ascii="Palatino Linotype" w:eastAsia="Palatino Linotype" w:hAnsi="Palatino Linotype" w:cs="Palatino Linotype"/>
          <w:color w:val="000000"/>
        </w:rPr>
        <w:t>el cual contiene el “</w:t>
      </w:r>
      <w:r w:rsidRPr="001653DF">
        <w:rPr>
          <w:rFonts w:ascii="Palatino Linotype" w:eastAsia="Palatino Linotype" w:hAnsi="Palatino Linotype" w:cs="Palatino Linotype"/>
          <w:i/>
          <w:color w:val="000000"/>
        </w:rPr>
        <w:t xml:space="preserve">ACUERDO DE AUTORIZACIÓN DE CONJUNTO URBANO” </w:t>
      </w:r>
      <w:r w:rsidRPr="001653DF">
        <w:rPr>
          <w:rFonts w:ascii="Palatino Linotype" w:eastAsia="Palatino Linotype" w:hAnsi="Palatino Linotype" w:cs="Palatino Linotype"/>
          <w:color w:val="000000"/>
        </w:rPr>
        <w:t>publicado en el Periódico Oficial Gaceta del Gobierno del Estado de México, de fecha viernes veintiocho de abril de dos mil veintitrés.</w:t>
      </w:r>
    </w:p>
    <w:p w14:paraId="7088C2E7" w14:textId="77777777" w:rsidR="002B2F6D" w:rsidRPr="001653DF" w:rsidRDefault="002B2F6D">
      <w:pPr>
        <w:pBdr>
          <w:top w:val="nil"/>
          <w:left w:val="nil"/>
          <w:bottom w:val="nil"/>
          <w:right w:val="nil"/>
          <w:between w:val="nil"/>
        </w:pBdr>
        <w:ind w:left="720" w:right="-599"/>
        <w:jc w:val="both"/>
        <w:rPr>
          <w:rFonts w:ascii="Palatino Linotype" w:eastAsia="Palatino Linotype" w:hAnsi="Palatino Linotype" w:cs="Palatino Linotype"/>
          <w:color w:val="000000"/>
        </w:rPr>
      </w:pPr>
    </w:p>
    <w:p w14:paraId="49A9FDAC" w14:textId="77777777" w:rsidR="002B2F6D" w:rsidRPr="001653DF" w:rsidRDefault="00B17ABB">
      <w:pPr>
        <w:numPr>
          <w:ilvl w:val="0"/>
          <w:numId w:val="3"/>
        </w:numPr>
        <w:pBdr>
          <w:top w:val="nil"/>
          <w:left w:val="nil"/>
          <w:bottom w:val="nil"/>
          <w:right w:val="nil"/>
          <w:between w:val="nil"/>
        </w:pBdr>
        <w:spacing w:line="360" w:lineRule="auto"/>
        <w:ind w:left="0" w:right="-599" w:firstLine="0"/>
        <w:jc w:val="both"/>
        <w:rPr>
          <w:rFonts w:ascii="Palatino Linotype" w:hAnsi="Palatino Linotype"/>
          <w:color w:val="000000"/>
        </w:rPr>
      </w:pPr>
      <w:r w:rsidRPr="001653DF">
        <w:rPr>
          <w:rFonts w:ascii="Palatino Linotype" w:eastAsia="Palatino Linotype" w:hAnsi="Palatino Linotype" w:cs="Palatino Linotype"/>
          <w:color w:val="000000"/>
        </w:rPr>
        <w:t xml:space="preserve">Por su parte el </w:t>
      </w:r>
      <w:r w:rsidRPr="001653DF">
        <w:rPr>
          <w:rFonts w:ascii="Palatino Linotype" w:eastAsia="Palatino Linotype" w:hAnsi="Palatino Linotype" w:cs="Palatino Linotype"/>
          <w:b/>
          <w:color w:val="000000"/>
        </w:rPr>
        <w:t xml:space="preserve">SUJETO OBLIGADO </w:t>
      </w:r>
      <w:r w:rsidRPr="001653DF">
        <w:rPr>
          <w:rFonts w:ascii="Palatino Linotype" w:eastAsia="Palatino Linotype" w:hAnsi="Palatino Linotype" w:cs="Palatino Linotype"/>
          <w:color w:val="000000"/>
        </w:rPr>
        <w:t>no rindió Informe Justificado.</w:t>
      </w:r>
    </w:p>
    <w:p w14:paraId="19757CBD" w14:textId="77777777" w:rsidR="002B2F6D" w:rsidRPr="001653DF" w:rsidRDefault="002B2F6D">
      <w:pPr>
        <w:pBdr>
          <w:top w:val="nil"/>
          <w:left w:val="nil"/>
          <w:bottom w:val="nil"/>
          <w:right w:val="nil"/>
          <w:between w:val="nil"/>
        </w:pBdr>
        <w:spacing w:line="360" w:lineRule="auto"/>
        <w:ind w:right="-599"/>
        <w:jc w:val="both"/>
        <w:rPr>
          <w:rFonts w:ascii="Palatino Linotype" w:eastAsia="Palatino Linotype" w:hAnsi="Palatino Linotype" w:cs="Palatino Linotype"/>
          <w:color w:val="000000"/>
        </w:rPr>
      </w:pPr>
    </w:p>
    <w:p w14:paraId="4B3F1C8D" w14:textId="77777777" w:rsidR="002B2F6D" w:rsidRPr="001653DF" w:rsidRDefault="00B17ABB" w:rsidP="00507EFD">
      <w:pPr>
        <w:numPr>
          <w:ilvl w:val="0"/>
          <w:numId w:val="3"/>
        </w:numPr>
        <w:pBdr>
          <w:top w:val="nil"/>
          <w:left w:val="nil"/>
          <w:bottom w:val="nil"/>
          <w:right w:val="nil"/>
          <w:between w:val="nil"/>
        </w:pBdr>
        <w:spacing w:line="360" w:lineRule="auto"/>
        <w:ind w:left="0" w:right="-29" w:firstLine="0"/>
        <w:jc w:val="both"/>
        <w:rPr>
          <w:rFonts w:ascii="Palatino Linotype" w:eastAsia="Palatino Linotype" w:hAnsi="Palatino Linotype" w:cs="Palatino Linotype"/>
          <w:b/>
          <w:color w:val="000000"/>
        </w:rPr>
      </w:pPr>
      <w:r w:rsidRPr="001653DF">
        <w:rPr>
          <w:rFonts w:ascii="Palatino Linotype" w:eastAsia="Palatino Linotype" w:hAnsi="Palatino Linotype" w:cs="Palatino Linotype"/>
          <w:color w:val="000000"/>
        </w:rPr>
        <w:t xml:space="preserve">Este organismo garante no pasa por alto justificar, que la dilación en la resolución del presente asunto encuentra justificación en el alto número de recursos de revisión recibidos, circunstancia atípica que ha rebasado las capacidades técnicas y humanas del </w:t>
      </w:r>
      <w:r w:rsidRPr="001653DF">
        <w:rPr>
          <w:rFonts w:ascii="Palatino Linotype" w:eastAsia="Palatino Linotype" w:hAnsi="Palatino Linotype" w:cs="Palatino Linotype"/>
          <w:color w:val="000000"/>
        </w:rPr>
        <w:lastRenderedPageBreak/>
        <w:t>personal encargado de la proyección de las resoluciones a dichos medios de impugnación.</w:t>
      </w:r>
    </w:p>
    <w:p w14:paraId="4F372869" w14:textId="77777777" w:rsidR="002B2F6D" w:rsidRPr="001653DF" w:rsidRDefault="002B2F6D">
      <w:pPr>
        <w:pBdr>
          <w:top w:val="nil"/>
          <w:left w:val="nil"/>
          <w:bottom w:val="nil"/>
          <w:right w:val="nil"/>
          <w:between w:val="nil"/>
        </w:pBdr>
        <w:spacing w:line="360" w:lineRule="auto"/>
        <w:ind w:right="-599"/>
        <w:jc w:val="both"/>
        <w:rPr>
          <w:rFonts w:ascii="Palatino Linotype" w:eastAsia="Palatino Linotype" w:hAnsi="Palatino Linotype" w:cs="Palatino Linotype"/>
          <w:color w:val="000000"/>
        </w:rPr>
      </w:pPr>
    </w:p>
    <w:p w14:paraId="12162029" w14:textId="77777777" w:rsidR="002B2F6D" w:rsidRPr="001653DF" w:rsidRDefault="00B17ABB" w:rsidP="00507EFD">
      <w:pPr>
        <w:numPr>
          <w:ilvl w:val="0"/>
          <w:numId w:val="3"/>
        </w:numPr>
        <w:pBdr>
          <w:top w:val="nil"/>
          <w:left w:val="nil"/>
          <w:bottom w:val="nil"/>
          <w:right w:val="nil"/>
          <w:between w:val="nil"/>
        </w:pBdr>
        <w:spacing w:line="360" w:lineRule="auto"/>
        <w:ind w:left="0" w:right="-29" w:firstLine="0"/>
        <w:jc w:val="both"/>
        <w:rPr>
          <w:rFonts w:ascii="Palatino Linotype" w:eastAsia="Palatino Linotype" w:hAnsi="Palatino Linotype" w:cs="Palatino Linotype"/>
          <w:b/>
          <w:color w:val="000000"/>
        </w:rPr>
      </w:pPr>
      <w:r w:rsidRPr="001653DF">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75DC7A77" w14:textId="77777777" w:rsidR="002B2F6D" w:rsidRPr="001653DF" w:rsidRDefault="002B2F6D">
      <w:pPr>
        <w:pBdr>
          <w:top w:val="nil"/>
          <w:left w:val="nil"/>
          <w:bottom w:val="nil"/>
          <w:right w:val="nil"/>
          <w:between w:val="nil"/>
        </w:pBdr>
        <w:spacing w:line="360" w:lineRule="auto"/>
        <w:ind w:left="720" w:right="-599"/>
        <w:jc w:val="both"/>
        <w:rPr>
          <w:rFonts w:ascii="Palatino Linotype" w:eastAsia="Palatino Linotype" w:hAnsi="Palatino Linotype" w:cs="Palatino Linotype"/>
          <w:b/>
          <w:color w:val="000000"/>
        </w:rPr>
      </w:pPr>
    </w:p>
    <w:p w14:paraId="26532290" w14:textId="77777777" w:rsidR="002B2F6D" w:rsidRPr="001653DF" w:rsidRDefault="00B17ABB" w:rsidP="00507EFD">
      <w:pPr>
        <w:numPr>
          <w:ilvl w:val="0"/>
          <w:numId w:val="3"/>
        </w:numPr>
        <w:pBdr>
          <w:top w:val="nil"/>
          <w:left w:val="nil"/>
          <w:bottom w:val="nil"/>
          <w:right w:val="nil"/>
          <w:between w:val="nil"/>
        </w:pBdr>
        <w:spacing w:line="360" w:lineRule="auto"/>
        <w:ind w:left="0" w:right="-29" w:firstLine="0"/>
        <w:jc w:val="both"/>
        <w:rPr>
          <w:rFonts w:ascii="Palatino Linotype" w:eastAsia="Palatino Linotype" w:hAnsi="Palatino Linotype" w:cs="Palatino Linotype"/>
          <w:b/>
          <w:color w:val="000000"/>
        </w:rPr>
      </w:pPr>
      <w:r w:rsidRPr="001653DF">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E61C78D" w14:textId="77777777" w:rsidR="002B2F6D" w:rsidRPr="001653DF" w:rsidRDefault="002B2F6D">
      <w:pPr>
        <w:pBdr>
          <w:top w:val="nil"/>
          <w:left w:val="nil"/>
          <w:bottom w:val="nil"/>
          <w:right w:val="nil"/>
          <w:between w:val="nil"/>
        </w:pBdr>
        <w:spacing w:line="360" w:lineRule="auto"/>
        <w:ind w:right="-599"/>
        <w:jc w:val="both"/>
        <w:rPr>
          <w:rFonts w:ascii="Palatino Linotype" w:eastAsia="Palatino Linotype" w:hAnsi="Palatino Linotype" w:cs="Palatino Linotype"/>
          <w:b/>
          <w:color w:val="000000"/>
        </w:rPr>
      </w:pPr>
    </w:p>
    <w:p w14:paraId="683152DF" w14:textId="77777777" w:rsidR="002B2F6D" w:rsidRPr="001653DF" w:rsidRDefault="00B17ABB" w:rsidP="00507EFD">
      <w:pPr>
        <w:numPr>
          <w:ilvl w:val="0"/>
          <w:numId w:val="3"/>
        </w:numPr>
        <w:pBdr>
          <w:top w:val="nil"/>
          <w:left w:val="nil"/>
          <w:bottom w:val="nil"/>
          <w:right w:val="nil"/>
          <w:between w:val="nil"/>
        </w:pBdr>
        <w:spacing w:line="360" w:lineRule="auto"/>
        <w:ind w:left="0" w:right="-29" w:firstLine="0"/>
        <w:jc w:val="both"/>
        <w:rPr>
          <w:rFonts w:ascii="Palatino Linotype" w:eastAsia="Palatino Linotype" w:hAnsi="Palatino Linotype" w:cs="Palatino Linotype"/>
          <w:b/>
          <w:color w:val="000000"/>
        </w:rPr>
      </w:pPr>
      <w:r w:rsidRPr="001653DF">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7452F5F" w14:textId="77777777" w:rsidR="002B2F6D" w:rsidRPr="001653DF" w:rsidRDefault="002B2F6D">
      <w:pPr>
        <w:pBdr>
          <w:top w:val="nil"/>
          <w:left w:val="nil"/>
          <w:bottom w:val="nil"/>
          <w:right w:val="nil"/>
          <w:between w:val="nil"/>
        </w:pBdr>
        <w:spacing w:line="360" w:lineRule="auto"/>
        <w:ind w:right="-599"/>
        <w:jc w:val="both"/>
        <w:rPr>
          <w:rFonts w:ascii="Palatino Linotype" w:eastAsia="Palatino Linotype" w:hAnsi="Palatino Linotype" w:cs="Palatino Linotype"/>
          <w:b/>
          <w:color w:val="000000"/>
        </w:rPr>
      </w:pPr>
    </w:p>
    <w:p w14:paraId="44371ABD" w14:textId="77777777" w:rsidR="002B2F6D" w:rsidRPr="001653DF" w:rsidRDefault="00B17ABB" w:rsidP="00507EFD">
      <w:pPr>
        <w:numPr>
          <w:ilvl w:val="0"/>
          <w:numId w:val="3"/>
        </w:numPr>
        <w:pBdr>
          <w:top w:val="nil"/>
          <w:left w:val="nil"/>
          <w:bottom w:val="nil"/>
          <w:right w:val="nil"/>
          <w:between w:val="nil"/>
        </w:pBdr>
        <w:spacing w:line="360" w:lineRule="auto"/>
        <w:ind w:left="0" w:right="-29" w:firstLine="0"/>
        <w:jc w:val="both"/>
        <w:rPr>
          <w:rFonts w:ascii="Palatino Linotype" w:eastAsia="Palatino Linotype" w:hAnsi="Palatino Linotype" w:cs="Palatino Linotype"/>
          <w:b/>
          <w:color w:val="000000"/>
        </w:rPr>
      </w:pPr>
      <w:r w:rsidRPr="001653DF">
        <w:rPr>
          <w:rFonts w:ascii="Palatino Linotype" w:eastAsia="Palatino Linotype" w:hAnsi="Palatino Linotype" w:cs="Palatino Linotype"/>
          <w:color w:val="000000"/>
        </w:rPr>
        <w:lastRenderedPageBreak/>
        <w:t xml:space="preserve">Por ello, excepcionalmente, si un asunto es resuelto con posterioridad a los plazos señalados por la norma debe analizarse la razonabilidad de dicha dilación atendiendo a los siguientes criterios:   </w:t>
      </w:r>
    </w:p>
    <w:p w14:paraId="1109AC97" w14:textId="77777777" w:rsidR="002B2F6D" w:rsidRPr="001653DF" w:rsidRDefault="002B2F6D">
      <w:pPr>
        <w:pBdr>
          <w:top w:val="nil"/>
          <w:left w:val="nil"/>
          <w:bottom w:val="nil"/>
          <w:right w:val="nil"/>
          <w:between w:val="nil"/>
        </w:pBdr>
        <w:spacing w:line="360" w:lineRule="auto"/>
        <w:ind w:right="-599"/>
        <w:jc w:val="both"/>
        <w:rPr>
          <w:rFonts w:ascii="Palatino Linotype" w:eastAsia="Palatino Linotype" w:hAnsi="Palatino Linotype" w:cs="Palatino Linotype"/>
          <w:b/>
          <w:color w:val="000000"/>
        </w:rPr>
      </w:pPr>
    </w:p>
    <w:p w14:paraId="3B2ECDDC" w14:textId="77777777" w:rsidR="002B2F6D" w:rsidRPr="001653DF" w:rsidRDefault="00B17ABB" w:rsidP="00507EFD">
      <w:pPr>
        <w:numPr>
          <w:ilvl w:val="0"/>
          <w:numId w:val="4"/>
        </w:numPr>
        <w:pBdr>
          <w:top w:val="nil"/>
          <w:left w:val="nil"/>
          <w:bottom w:val="nil"/>
          <w:right w:val="nil"/>
          <w:between w:val="nil"/>
        </w:pBdr>
        <w:spacing w:line="360" w:lineRule="auto"/>
        <w:ind w:left="992" w:right="113"/>
        <w:jc w:val="both"/>
        <w:rPr>
          <w:rFonts w:ascii="Palatino Linotype" w:eastAsia="Palatino Linotype" w:hAnsi="Palatino Linotype" w:cs="Palatino Linotype"/>
        </w:rPr>
      </w:pPr>
      <w:r w:rsidRPr="001653DF">
        <w:rPr>
          <w:rFonts w:ascii="Palatino Linotype" w:eastAsia="Palatino Linotype" w:hAnsi="Palatino Linotype" w:cs="Palatino Linotype"/>
          <w:color w:val="000000"/>
        </w:rPr>
        <w:t xml:space="preserve">Complejidad del </w:t>
      </w:r>
      <w:r w:rsidRPr="001653DF">
        <w:rPr>
          <w:rFonts w:ascii="Palatino Linotype" w:eastAsia="Palatino Linotype" w:hAnsi="Palatino Linotype" w:cs="Palatino Linotype"/>
        </w:rPr>
        <w:t>asunto</w:t>
      </w:r>
      <w:r w:rsidRPr="001653DF">
        <w:rPr>
          <w:rFonts w:ascii="Palatino Linotype" w:eastAsia="Palatino Linotype" w:hAnsi="Palatino Linotype" w:cs="Palatino Linotype"/>
          <w:color w:val="000000"/>
        </w:rPr>
        <w:t xml:space="preserve">: La complejidad de la prueba, la pluralidad de sujetos procesales, el tiempo transcurrido, las características y contexto del recurso. </w:t>
      </w:r>
    </w:p>
    <w:p w14:paraId="0D9C42D2" w14:textId="77777777" w:rsidR="002B2F6D" w:rsidRPr="001653DF" w:rsidRDefault="00B17ABB">
      <w:pPr>
        <w:numPr>
          <w:ilvl w:val="0"/>
          <w:numId w:val="4"/>
        </w:numPr>
        <w:pBdr>
          <w:top w:val="nil"/>
          <w:left w:val="nil"/>
          <w:bottom w:val="nil"/>
          <w:right w:val="nil"/>
          <w:between w:val="nil"/>
        </w:pBdr>
        <w:spacing w:line="360" w:lineRule="auto"/>
        <w:ind w:left="992" w:right="-599"/>
        <w:jc w:val="both"/>
        <w:rPr>
          <w:rFonts w:ascii="Palatino Linotype" w:eastAsia="Palatino Linotype" w:hAnsi="Palatino Linotype" w:cs="Palatino Linotype"/>
          <w:color w:val="000000"/>
        </w:rPr>
      </w:pPr>
      <w:r w:rsidRPr="001653DF">
        <w:rPr>
          <w:rFonts w:ascii="Palatino Linotype" w:eastAsia="Palatino Linotype" w:hAnsi="Palatino Linotype" w:cs="Palatino Linotype"/>
          <w:color w:val="000000"/>
        </w:rPr>
        <w:t>Actividad Procesal del interesado. Acciones u omisiones del interesado.</w:t>
      </w:r>
    </w:p>
    <w:p w14:paraId="3EBC3A38" w14:textId="77777777" w:rsidR="002B2F6D" w:rsidRPr="001653DF" w:rsidRDefault="00B17ABB" w:rsidP="00507EFD">
      <w:pPr>
        <w:numPr>
          <w:ilvl w:val="0"/>
          <w:numId w:val="4"/>
        </w:numPr>
        <w:pBdr>
          <w:top w:val="nil"/>
          <w:left w:val="nil"/>
          <w:bottom w:val="nil"/>
          <w:right w:val="nil"/>
          <w:between w:val="nil"/>
        </w:pBdr>
        <w:spacing w:line="360" w:lineRule="auto"/>
        <w:ind w:left="992" w:right="-29"/>
        <w:jc w:val="both"/>
        <w:rPr>
          <w:rFonts w:ascii="Palatino Linotype" w:eastAsia="Palatino Linotype" w:hAnsi="Palatino Linotype" w:cs="Palatino Linotype"/>
          <w:color w:val="000000"/>
        </w:rPr>
      </w:pPr>
      <w:r w:rsidRPr="001653DF">
        <w:rPr>
          <w:rFonts w:ascii="Palatino Linotype" w:eastAsia="Palatino Linotype" w:hAnsi="Palatino Linotype" w:cs="Palatino Linotype"/>
          <w:color w:val="000000"/>
        </w:rPr>
        <w:t>Conducta de la Autoridad: Las Acciones u omisiones realizadas en el procedimiento. Así como si la autoridad actuó con la debida diligencia.</w:t>
      </w:r>
    </w:p>
    <w:p w14:paraId="56125E91" w14:textId="77777777" w:rsidR="002B2F6D" w:rsidRPr="001653DF" w:rsidRDefault="00B17ABB" w:rsidP="00507EFD">
      <w:pPr>
        <w:numPr>
          <w:ilvl w:val="0"/>
          <w:numId w:val="4"/>
        </w:numPr>
        <w:pBdr>
          <w:top w:val="nil"/>
          <w:left w:val="nil"/>
          <w:bottom w:val="nil"/>
          <w:right w:val="nil"/>
          <w:between w:val="nil"/>
        </w:pBdr>
        <w:spacing w:line="360" w:lineRule="auto"/>
        <w:ind w:left="992" w:right="-29"/>
        <w:jc w:val="both"/>
        <w:rPr>
          <w:rFonts w:ascii="Palatino Linotype" w:eastAsia="Palatino Linotype" w:hAnsi="Palatino Linotype" w:cs="Palatino Linotype"/>
          <w:color w:val="000000"/>
        </w:rPr>
      </w:pPr>
      <w:r w:rsidRPr="001653DF">
        <w:rPr>
          <w:rFonts w:ascii="Palatino Linotype" w:eastAsia="Palatino Linotype" w:hAnsi="Palatino Linotype" w:cs="Palatino Linotype"/>
          <w:color w:val="000000"/>
        </w:rPr>
        <w:t>La afectación generada en la situación jurídica de la persona involucrada en el proceso: Violación a sus derechos humanos.</w:t>
      </w:r>
    </w:p>
    <w:p w14:paraId="19C2D3EB" w14:textId="77777777" w:rsidR="002B2F6D" w:rsidRPr="001653DF" w:rsidRDefault="002B2F6D">
      <w:pPr>
        <w:pBdr>
          <w:top w:val="nil"/>
          <w:left w:val="nil"/>
          <w:bottom w:val="nil"/>
          <w:right w:val="nil"/>
          <w:between w:val="nil"/>
        </w:pBdr>
        <w:spacing w:line="360" w:lineRule="auto"/>
        <w:ind w:left="992" w:right="-599"/>
        <w:jc w:val="both"/>
        <w:rPr>
          <w:rFonts w:ascii="Palatino Linotype" w:eastAsia="Palatino Linotype" w:hAnsi="Palatino Linotype" w:cs="Palatino Linotype"/>
          <w:color w:val="000000"/>
        </w:rPr>
      </w:pPr>
    </w:p>
    <w:p w14:paraId="62489FC8" w14:textId="77777777" w:rsidR="002B2F6D" w:rsidRPr="001653DF" w:rsidRDefault="00B17ABB" w:rsidP="00507EFD">
      <w:pPr>
        <w:numPr>
          <w:ilvl w:val="0"/>
          <w:numId w:val="3"/>
        </w:numPr>
        <w:pBdr>
          <w:top w:val="nil"/>
          <w:left w:val="nil"/>
          <w:bottom w:val="nil"/>
          <w:right w:val="nil"/>
          <w:between w:val="nil"/>
        </w:pBdr>
        <w:spacing w:line="360" w:lineRule="auto"/>
        <w:ind w:left="0" w:right="-29" w:firstLine="0"/>
        <w:jc w:val="both"/>
        <w:rPr>
          <w:rFonts w:ascii="Palatino Linotype" w:eastAsia="Palatino Linotype" w:hAnsi="Palatino Linotype" w:cs="Palatino Linotype"/>
          <w:b/>
          <w:color w:val="000000"/>
        </w:rPr>
      </w:pPr>
      <w:r w:rsidRPr="001653DF">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726AB74" w14:textId="77777777" w:rsidR="002B2F6D" w:rsidRPr="001653DF" w:rsidRDefault="002B2F6D">
      <w:pPr>
        <w:pBdr>
          <w:top w:val="nil"/>
          <w:left w:val="nil"/>
          <w:bottom w:val="nil"/>
          <w:right w:val="nil"/>
          <w:between w:val="nil"/>
        </w:pBdr>
        <w:spacing w:line="360" w:lineRule="auto"/>
        <w:ind w:right="-599"/>
        <w:jc w:val="both"/>
        <w:rPr>
          <w:rFonts w:ascii="Palatino Linotype" w:eastAsia="Palatino Linotype" w:hAnsi="Palatino Linotype" w:cs="Palatino Linotype"/>
          <w:b/>
          <w:color w:val="000000"/>
        </w:rPr>
      </w:pPr>
    </w:p>
    <w:p w14:paraId="418C34EB" w14:textId="77777777" w:rsidR="002B2F6D" w:rsidRPr="001653DF" w:rsidRDefault="00B17ABB" w:rsidP="00507EFD">
      <w:pPr>
        <w:numPr>
          <w:ilvl w:val="0"/>
          <w:numId w:val="3"/>
        </w:numPr>
        <w:pBdr>
          <w:top w:val="nil"/>
          <w:left w:val="nil"/>
          <w:bottom w:val="nil"/>
          <w:right w:val="nil"/>
          <w:between w:val="nil"/>
        </w:pBdr>
        <w:spacing w:line="360" w:lineRule="auto"/>
        <w:ind w:left="0" w:right="-29" w:firstLine="0"/>
        <w:jc w:val="both"/>
        <w:rPr>
          <w:rFonts w:ascii="Palatino Linotype" w:eastAsia="Palatino Linotype" w:hAnsi="Palatino Linotype" w:cs="Palatino Linotype"/>
          <w:b/>
          <w:color w:val="000000"/>
        </w:rPr>
      </w:pPr>
      <w:r w:rsidRPr="001653DF">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sidRPr="001653DF">
        <w:rPr>
          <w:rFonts w:ascii="Palatino Linotype" w:eastAsia="Palatino Linotype" w:hAnsi="Palatino Linotype" w:cs="Palatino Linotype"/>
        </w:rPr>
        <w:t>del rubro</w:t>
      </w:r>
      <w:r w:rsidRPr="001653DF">
        <w:rPr>
          <w:rFonts w:ascii="Palatino Linotype" w:eastAsia="Palatino Linotype" w:hAnsi="Palatino Linotype" w:cs="Palatino Linotype"/>
          <w:color w:val="000000"/>
        </w:rPr>
        <w:t xml:space="preserve"> </w:t>
      </w:r>
      <w:r w:rsidRPr="001653DF">
        <w:rPr>
          <w:rFonts w:ascii="Palatino Linotype" w:eastAsia="Palatino Linotype" w:hAnsi="Palatino Linotype" w:cs="Palatino Linotype"/>
          <w:i/>
          <w:color w:val="000000"/>
        </w:rPr>
        <w:t xml:space="preserve">“TÉRMINOS </w:t>
      </w:r>
      <w:r w:rsidRPr="001653DF">
        <w:rPr>
          <w:rFonts w:ascii="Palatino Linotype" w:eastAsia="Palatino Linotype" w:hAnsi="Palatino Linotype" w:cs="Palatino Linotype"/>
          <w:i/>
          <w:color w:val="000000"/>
        </w:rPr>
        <w:lastRenderedPageBreak/>
        <w:t>PROCESALES. PARA DETERMINAR SI UN FUNCIONARIO JUDICIAL ACTUÓ INDEBIDAMENTE POR NO RESPETARLOS SE DEBE ATENDER AL PRESUPUESTO QUE CONSIDERÓ EL LEGISLADOR AL FIJARLOS Y LAS CARACTERÍSTICAS DEL CASO.”</w:t>
      </w:r>
      <w:r w:rsidRPr="001653DF">
        <w:rPr>
          <w:rFonts w:ascii="Palatino Linotype" w:eastAsia="Palatino Linotype" w:hAnsi="Palatino Linotype" w:cs="Palatino Linotype"/>
          <w:color w:val="000000"/>
        </w:rPr>
        <w:t xml:space="preserve">, visible en la Gaceta del </w:t>
      </w:r>
      <w:r w:rsidRPr="001653DF">
        <w:rPr>
          <w:rFonts w:ascii="Palatino Linotype" w:eastAsia="Palatino Linotype" w:hAnsi="Palatino Linotype" w:cs="Palatino Linotype"/>
        </w:rPr>
        <w:t>Semanario</w:t>
      </w:r>
      <w:r w:rsidRPr="001653DF">
        <w:rPr>
          <w:rFonts w:ascii="Palatino Linotype" w:eastAsia="Palatino Linotype" w:hAnsi="Palatino Linotype" w:cs="Palatino Linotype"/>
          <w:color w:val="000000"/>
        </w:rPr>
        <w:t xml:space="preserve"> Judicial de la Federación con el registro digital 205635.</w:t>
      </w:r>
    </w:p>
    <w:p w14:paraId="3AD6E28E" w14:textId="77777777" w:rsidR="002B2F6D" w:rsidRPr="001653DF" w:rsidRDefault="002B2F6D">
      <w:pPr>
        <w:pBdr>
          <w:top w:val="nil"/>
          <w:left w:val="nil"/>
          <w:bottom w:val="nil"/>
          <w:right w:val="nil"/>
          <w:between w:val="nil"/>
        </w:pBdr>
        <w:spacing w:line="360" w:lineRule="auto"/>
        <w:ind w:left="644" w:right="-599"/>
        <w:jc w:val="both"/>
        <w:rPr>
          <w:rFonts w:ascii="Palatino Linotype" w:eastAsia="Palatino Linotype" w:hAnsi="Palatino Linotype" w:cs="Palatino Linotype"/>
        </w:rPr>
      </w:pPr>
    </w:p>
    <w:p w14:paraId="60BE2A7D" w14:textId="77777777" w:rsidR="002B2F6D" w:rsidRPr="001653DF" w:rsidRDefault="00B17ABB" w:rsidP="00507EFD">
      <w:pPr>
        <w:numPr>
          <w:ilvl w:val="0"/>
          <w:numId w:val="3"/>
        </w:numPr>
        <w:spacing w:line="360" w:lineRule="auto"/>
        <w:ind w:left="0" w:right="-29" w:firstLine="0"/>
        <w:jc w:val="both"/>
        <w:rPr>
          <w:rFonts w:ascii="Palatino Linotype" w:hAnsi="Palatino Linotype"/>
        </w:rPr>
      </w:pPr>
      <w:r w:rsidRPr="001653DF">
        <w:rPr>
          <w:rFonts w:ascii="Palatino Linotype" w:eastAsia="Palatino Linotype" w:hAnsi="Palatino Linotype" w:cs="Palatino Linotype"/>
        </w:rPr>
        <w:t xml:space="preserve">Seguidamente el </w:t>
      </w:r>
      <w:r w:rsidRPr="001653DF">
        <w:rPr>
          <w:rFonts w:ascii="Palatino Linotype" w:eastAsia="Palatino Linotype" w:hAnsi="Palatino Linotype" w:cs="Palatino Linotype"/>
          <w:b/>
        </w:rPr>
        <w:t>cinco de febrero de dos mil veinticinco</w:t>
      </w:r>
      <w:r w:rsidRPr="001653DF">
        <w:rPr>
          <w:rFonts w:ascii="Palatino Linotype" w:eastAsia="Palatino Linotype" w:hAnsi="Palatino Linotype" w:cs="Palatino Linotype"/>
        </w:rPr>
        <w:t xml:space="preserve">, se notificó el acuerdo mediante el cual se aprobó la ampliación de plazo para emitir resolución. </w:t>
      </w:r>
    </w:p>
    <w:p w14:paraId="7A70F37E" w14:textId="77777777" w:rsidR="002B2F6D" w:rsidRPr="001653DF" w:rsidRDefault="002B2F6D">
      <w:pPr>
        <w:spacing w:line="360" w:lineRule="auto"/>
        <w:ind w:right="-599"/>
        <w:jc w:val="both"/>
        <w:rPr>
          <w:rFonts w:ascii="Palatino Linotype" w:eastAsia="Palatino Linotype" w:hAnsi="Palatino Linotype" w:cs="Palatino Linotype"/>
        </w:rPr>
      </w:pPr>
    </w:p>
    <w:p w14:paraId="5A3A332A" w14:textId="77777777" w:rsidR="002B2F6D" w:rsidRPr="001653DF" w:rsidRDefault="00B17ABB" w:rsidP="00507EFD">
      <w:pPr>
        <w:numPr>
          <w:ilvl w:val="0"/>
          <w:numId w:val="3"/>
        </w:numPr>
        <w:spacing w:line="360" w:lineRule="auto"/>
        <w:ind w:left="0" w:right="-29" w:firstLine="0"/>
        <w:jc w:val="both"/>
        <w:rPr>
          <w:rFonts w:ascii="Palatino Linotype" w:eastAsia="Palatino Linotype" w:hAnsi="Palatino Linotype" w:cs="Palatino Linotype"/>
          <w:b/>
        </w:rPr>
      </w:pPr>
      <w:r w:rsidRPr="001653DF">
        <w:rPr>
          <w:rFonts w:ascii="Palatino Linotype" w:eastAsia="Palatino Linotype" w:hAnsi="Palatino Linotype" w:cs="Palatino Linotype"/>
        </w:rPr>
        <w:t xml:space="preserve">La Comisionada Ponente decretó el cierre de instrucción mediante acuerdo del </w:t>
      </w:r>
      <w:r w:rsidRPr="001653DF">
        <w:rPr>
          <w:rFonts w:ascii="Palatino Linotype" w:eastAsia="Palatino Linotype" w:hAnsi="Palatino Linotype" w:cs="Palatino Linotype"/>
          <w:b/>
        </w:rPr>
        <w:t>seis de febrero de dos mil veinticinco</w:t>
      </w:r>
      <w:r w:rsidRPr="001653DF">
        <w:rPr>
          <w:rFonts w:ascii="Palatino Linotype" w:eastAsia="Palatino Linotype" w:hAnsi="Palatino Linotype" w:cs="Palatino Linotype"/>
        </w:rPr>
        <w:t>, por lo que, ordenó turnar el expediente a resolución, misma que a continuación se pronuncia.</w:t>
      </w:r>
    </w:p>
    <w:p w14:paraId="05C9BEFC" w14:textId="77777777" w:rsidR="002B2F6D" w:rsidRPr="001653DF" w:rsidRDefault="002B2F6D">
      <w:pPr>
        <w:pBdr>
          <w:top w:val="nil"/>
          <w:left w:val="nil"/>
          <w:bottom w:val="nil"/>
          <w:right w:val="nil"/>
          <w:between w:val="nil"/>
        </w:pBdr>
        <w:spacing w:line="360" w:lineRule="auto"/>
        <w:ind w:left="720" w:right="-599"/>
        <w:jc w:val="both"/>
        <w:rPr>
          <w:rFonts w:ascii="Palatino Linotype" w:eastAsia="Palatino Linotype" w:hAnsi="Palatino Linotype" w:cs="Palatino Linotype"/>
          <w:b/>
          <w:color w:val="000000"/>
        </w:rPr>
      </w:pPr>
    </w:p>
    <w:p w14:paraId="27B06C2A" w14:textId="77777777" w:rsidR="002B2F6D" w:rsidRPr="001653DF" w:rsidRDefault="00B17ABB" w:rsidP="00507EFD">
      <w:pPr>
        <w:spacing w:line="360" w:lineRule="auto"/>
        <w:ind w:right="-599"/>
        <w:jc w:val="center"/>
        <w:rPr>
          <w:rFonts w:ascii="Palatino Linotype" w:eastAsia="Palatino Linotype" w:hAnsi="Palatino Linotype" w:cs="Palatino Linotype"/>
          <w:b/>
        </w:rPr>
      </w:pPr>
      <w:r w:rsidRPr="001653DF">
        <w:rPr>
          <w:rFonts w:ascii="Palatino Linotype" w:eastAsia="Palatino Linotype" w:hAnsi="Palatino Linotype" w:cs="Palatino Linotype"/>
          <w:b/>
        </w:rPr>
        <w:t>C O N S I D E R A N D O</w:t>
      </w:r>
    </w:p>
    <w:p w14:paraId="36325DF3" w14:textId="77777777" w:rsidR="002B2F6D" w:rsidRPr="001653DF" w:rsidRDefault="002B2F6D">
      <w:pPr>
        <w:spacing w:line="360" w:lineRule="auto"/>
        <w:ind w:right="-599"/>
        <w:jc w:val="both"/>
        <w:rPr>
          <w:rFonts w:ascii="Palatino Linotype" w:eastAsia="Palatino Linotype" w:hAnsi="Palatino Linotype" w:cs="Palatino Linotype"/>
          <w:b/>
        </w:rPr>
      </w:pPr>
    </w:p>
    <w:p w14:paraId="454B1330" w14:textId="77777777" w:rsidR="002B2F6D" w:rsidRPr="001653DF" w:rsidRDefault="00B17ABB">
      <w:pPr>
        <w:keepNext/>
        <w:keepLines/>
        <w:spacing w:line="360" w:lineRule="auto"/>
        <w:ind w:right="-599"/>
        <w:jc w:val="both"/>
        <w:rPr>
          <w:rFonts w:ascii="Palatino Linotype" w:eastAsia="Palatino Linotype" w:hAnsi="Palatino Linotype" w:cs="Palatino Linotype"/>
          <w:b/>
        </w:rPr>
      </w:pPr>
      <w:bookmarkStart w:id="2" w:name="_heading=h.3znysh7" w:colFirst="0" w:colLast="0"/>
      <w:bookmarkEnd w:id="2"/>
      <w:r w:rsidRPr="001653DF">
        <w:rPr>
          <w:rFonts w:ascii="Palatino Linotype" w:eastAsia="Palatino Linotype" w:hAnsi="Palatino Linotype" w:cs="Palatino Linotype"/>
          <w:b/>
        </w:rPr>
        <w:t>PRIMERO. Competencia</w:t>
      </w:r>
    </w:p>
    <w:p w14:paraId="6C2BDF18" w14:textId="77777777" w:rsidR="002B2F6D" w:rsidRPr="001653DF" w:rsidRDefault="00B17ABB" w:rsidP="00507EFD">
      <w:pPr>
        <w:numPr>
          <w:ilvl w:val="0"/>
          <w:numId w:val="3"/>
        </w:numPr>
        <w:spacing w:line="360" w:lineRule="auto"/>
        <w:ind w:left="0" w:right="113" w:firstLine="0"/>
        <w:jc w:val="both"/>
        <w:rPr>
          <w:rFonts w:ascii="Palatino Linotype" w:hAnsi="Palatino Linotype"/>
        </w:rPr>
      </w:pPr>
      <w:r w:rsidRPr="001653DF">
        <w:rPr>
          <w:rFonts w:ascii="Palatino Linotype" w:eastAsia="Palatino Linotype" w:hAnsi="Palatino Linotype" w:cs="Palatino Linotype"/>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w:t>
      </w:r>
      <w:r w:rsidRPr="001653DF">
        <w:rPr>
          <w:rFonts w:ascii="Palatino Linotype" w:eastAsia="Palatino Linotype" w:hAnsi="Palatino Linotype" w:cs="Palatino Linotype"/>
        </w:rPr>
        <w:lastRenderedPageBreak/>
        <w:t>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6A1A8092" w14:textId="77777777" w:rsidR="002B2F6D" w:rsidRPr="001653DF" w:rsidRDefault="002B2F6D">
      <w:pPr>
        <w:spacing w:line="360" w:lineRule="auto"/>
        <w:ind w:left="644" w:right="-599"/>
        <w:jc w:val="both"/>
        <w:rPr>
          <w:rFonts w:ascii="Palatino Linotype" w:eastAsia="Palatino Linotype" w:hAnsi="Palatino Linotype" w:cs="Palatino Linotype"/>
        </w:rPr>
      </w:pPr>
    </w:p>
    <w:p w14:paraId="15C34DC3" w14:textId="77777777" w:rsidR="002B2F6D" w:rsidRPr="001653DF" w:rsidRDefault="00B17ABB">
      <w:pPr>
        <w:keepNext/>
        <w:keepLines/>
        <w:spacing w:line="360" w:lineRule="auto"/>
        <w:ind w:right="-599"/>
        <w:jc w:val="both"/>
        <w:rPr>
          <w:rFonts w:ascii="Palatino Linotype" w:eastAsia="Palatino Linotype" w:hAnsi="Palatino Linotype" w:cs="Palatino Linotype"/>
          <w:b/>
        </w:rPr>
      </w:pPr>
      <w:bookmarkStart w:id="3" w:name="_heading=h.2et92p0" w:colFirst="0" w:colLast="0"/>
      <w:bookmarkEnd w:id="3"/>
      <w:r w:rsidRPr="001653DF">
        <w:rPr>
          <w:rFonts w:ascii="Palatino Linotype" w:eastAsia="Palatino Linotype" w:hAnsi="Palatino Linotype" w:cs="Palatino Linotype"/>
          <w:b/>
        </w:rPr>
        <w:t>SEGUNDO. Procedencia.</w:t>
      </w:r>
    </w:p>
    <w:p w14:paraId="008AFAD3" w14:textId="77777777" w:rsidR="002B2F6D" w:rsidRPr="001653DF" w:rsidRDefault="00B17ABB" w:rsidP="00164857">
      <w:pPr>
        <w:numPr>
          <w:ilvl w:val="0"/>
          <w:numId w:val="3"/>
        </w:numPr>
        <w:spacing w:line="360" w:lineRule="auto"/>
        <w:ind w:left="0" w:right="-29" w:firstLine="0"/>
        <w:jc w:val="both"/>
        <w:rPr>
          <w:rFonts w:ascii="Palatino Linotype" w:hAnsi="Palatino Linotype"/>
        </w:rPr>
      </w:pPr>
      <w:r w:rsidRPr="001653DF">
        <w:rPr>
          <w:rFonts w:ascii="Palatino Linotype" w:eastAsia="Palatino Linotype" w:hAnsi="Palatino Linotype" w:cs="Palatino Linotype"/>
        </w:rPr>
        <w:t>Este Órgano Garante considera que el medio de impugnación reúne los requisitos de procedencia toda vez que; los recursos fueron presentados dentro del plazo establecido en el artículo 178 de la Ley de Transparencia y Acceso a la Información Pública del Estado de México y Municipios; asimismo no se tiene conocimiento que se encuentre en trámite algún medio de defensa presentado por el Recurrente ante otra instancia.</w:t>
      </w:r>
    </w:p>
    <w:p w14:paraId="6EC520FB" w14:textId="77777777" w:rsidR="002B2F6D" w:rsidRPr="001653DF" w:rsidRDefault="002B2F6D">
      <w:pPr>
        <w:spacing w:line="360" w:lineRule="auto"/>
        <w:ind w:right="-599"/>
        <w:jc w:val="both"/>
        <w:rPr>
          <w:rFonts w:ascii="Palatino Linotype" w:eastAsia="Palatino Linotype" w:hAnsi="Palatino Linotype" w:cs="Palatino Linotype"/>
        </w:rPr>
      </w:pPr>
    </w:p>
    <w:p w14:paraId="1B8F1D18" w14:textId="77777777" w:rsidR="002B2F6D" w:rsidRPr="001653DF" w:rsidRDefault="00B17ABB" w:rsidP="00164857">
      <w:pPr>
        <w:numPr>
          <w:ilvl w:val="0"/>
          <w:numId w:val="3"/>
        </w:numPr>
        <w:spacing w:line="360" w:lineRule="auto"/>
        <w:ind w:left="0" w:right="-29" w:firstLine="0"/>
        <w:jc w:val="both"/>
        <w:rPr>
          <w:rFonts w:ascii="Palatino Linotype" w:hAnsi="Palatino Linotype"/>
        </w:rPr>
      </w:pPr>
      <w:r w:rsidRPr="001653DF">
        <w:rPr>
          <w:rFonts w:ascii="Palatino Linotype" w:eastAsia="Palatino Linotype" w:hAnsi="Palatino Linotype" w:cs="Palatino Linotype"/>
        </w:rPr>
        <w:t>Por otro lado los escritos contienen las formalidades previstas en el artículo 180 último párrafo de la citada Ley de la materia, por lo que es procedente que este Instituto conozca y resuelva el presente recurso.</w:t>
      </w:r>
    </w:p>
    <w:p w14:paraId="5C5BF3EA" w14:textId="77777777" w:rsidR="002B2F6D" w:rsidRPr="001653DF" w:rsidRDefault="002B2F6D">
      <w:pPr>
        <w:spacing w:line="360" w:lineRule="auto"/>
        <w:ind w:right="-599"/>
        <w:jc w:val="both"/>
        <w:rPr>
          <w:rFonts w:ascii="Palatino Linotype" w:eastAsia="Palatino Linotype" w:hAnsi="Palatino Linotype" w:cs="Palatino Linotype"/>
        </w:rPr>
      </w:pPr>
    </w:p>
    <w:p w14:paraId="4EA93BD0" w14:textId="77777777" w:rsidR="002B2F6D" w:rsidRPr="001653DF" w:rsidRDefault="00B17ABB">
      <w:pPr>
        <w:pStyle w:val="Ttulo2"/>
        <w:tabs>
          <w:tab w:val="left" w:pos="0"/>
        </w:tabs>
        <w:spacing w:before="0" w:line="360" w:lineRule="auto"/>
        <w:ind w:right="-599"/>
        <w:jc w:val="both"/>
        <w:rPr>
          <w:rFonts w:ascii="Palatino Linotype" w:eastAsia="Palatino Linotype" w:hAnsi="Palatino Linotype" w:cs="Palatino Linotype"/>
          <w:b/>
          <w:color w:val="000000"/>
          <w:sz w:val="24"/>
          <w:szCs w:val="24"/>
        </w:rPr>
      </w:pPr>
      <w:r w:rsidRPr="001653DF">
        <w:rPr>
          <w:rFonts w:ascii="Palatino Linotype" w:eastAsia="Palatino Linotype" w:hAnsi="Palatino Linotype" w:cs="Palatino Linotype"/>
          <w:b/>
          <w:color w:val="000000"/>
          <w:sz w:val="24"/>
          <w:szCs w:val="24"/>
        </w:rPr>
        <w:t>TERCERO. Descripción de hechos y planteamiento de la controversia.</w:t>
      </w:r>
    </w:p>
    <w:p w14:paraId="4D68724E" w14:textId="77777777" w:rsidR="002B2F6D" w:rsidRPr="001653DF" w:rsidRDefault="002B2F6D">
      <w:pPr>
        <w:tabs>
          <w:tab w:val="left" w:pos="0"/>
        </w:tabs>
        <w:ind w:right="-599"/>
        <w:rPr>
          <w:rFonts w:ascii="Palatino Linotype" w:hAnsi="Palatino Linotype"/>
        </w:rPr>
      </w:pPr>
    </w:p>
    <w:p w14:paraId="3AF5E8B6" w14:textId="77777777" w:rsidR="002B2F6D" w:rsidRPr="001653DF" w:rsidRDefault="00B17ABB" w:rsidP="00164857">
      <w:pPr>
        <w:numPr>
          <w:ilvl w:val="0"/>
          <w:numId w:val="3"/>
        </w:numPr>
        <w:pBdr>
          <w:top w:val="nil"/>
          <w:left w:val="nil"/>
          <w:bottom w:val="nil"/>
          <w:right w:val="nil"/>
          <w:between w:val="nil"/>
        </w:pBdr>
        <w:tabs>
          <w:tab w:val="left" w:pos="567"/>
        </w:tabs>
        <w:spacing w:line="360" w:lineRule="auto"/>
        <w:ind w:left="0" w:right="-29" w:firstLine="0"/>
        <w:jc w:val="both"/>
        <w:rPr>
          <w:rFonts w:ascii="Palatino Linotype" w:hAnsi="Palatino Linotype"/>
        </w:rPr>
      </w:pPr>
      <w:r w:rsidRPr="001653DF">
        <w:rPr>
          <w:rFonts w:ascii="Palatino Linotype" w:eastAsia="Palatino Linotype" w:hAnsi="Palatino Linotype" w:cs="Palatino Linotype"/>
          <w:color w:val="000000"/>
        </w:rPr>
        <w:lastRenderedPageBreak/>
        <w:t xml:space="preserve">Con el objeto de ilustrar la controversia planteada, resulta conveniente precisar que realizado el estudio de las constancias que integran el expediente en que se actúa, se desprende que el Recurrente solicitó: </w:t>
      </w:r>
    </w:p>
    <w:p w14:paraId="06ED67CF" w14:textId="77777777" w:rsidR="002B2F6D" w:rsidRPr="001653DF" w:rsidRDefault="002B2F6D">
      <w:pPr>
        <w:pBdr>
          <w:top w:val="nil"/>
          <w:left w:val="nil"/>
          <w:bottom w:val="nil"/>
          <w:right w:val="nil"/>
          <w:between w:val="nil"/>
        </w:pBdr>
        <w:tabs>
          <w:tab w:val="left" w:pos="567"/>
        </w:tabs>
        <w:spacing w:line="360" w:lineRule="auto"/>
        <w:ind w:right="-599"/>
        <w:jc w:val="both"/>
        <w:rPr>
          <w:rFonts w:ascii="Palatino Linotype" w:eastAsia="Palatino Linotype" w:hAnsi="Palatino Linotype" w:cs="Palatino Linotype"/>
          <w:color w:val="000000"/>
        </w:rPr>
      </w:pPr>
    </w:p>
    <w:p w14:paraId="5CB433EF" w14:textId="77777777" w:rsidR="002B2F6D" w:rsidRPr="001653DF" w:rsidRDefault="00B17ABB" w:rsidP="00164857">
      <w:pPr>
        <w:numPr>
          <w:ilvl w:val="0"/>
          <w:numId w:val="5"/>
        </w:numPr>
        <w:pBdr>
          <w:top w:val="nil"/>
          <w:left w:val="nil"/>
          <w:bottom w:val="nil"/>
          <w:right w:val="nil"/>
          <w:between w:val="nil"/>
        </w:pBdr>
        <w:tabs>
          <w:tab w:val="left" w:pos="567"/>
        </w:tabs>
        <w:spacing w:line="360" w:lineRule="auto"/>
        <w:ind w:right="-29"/>
        <w:jc w:val="both"/>
        <w:rPr>
          <w:rFonts w:ascii="Palatino Linotype" w:eastAsia="Palatino Linotype" w:hAnsi="Palatino Linotype" w:cs="Palatino Linotype"/>
          <w:color w:val="000000"/>
        </w:rPr>
      </w:pPr>
      <w:r w:rsidRPr="001653DF">
        <w:rPr>
          <w:rFonts w:ascii="Palatino Linotype" w:eastAsia="Palatino Linotype" w:hAnsi="Palatino Linotype" w:cs="Palatino Linotype"/>
          <w:color w:val="000000"/>
        </w:rPr>
        <w:t xml:space="preserve"> Copias simples digitales de todos los permisos, concesiones y licencias emitidas para la construcción del proyecto de Conjunto Urbano de Tipo Mixto llamado “Terralago” ubicado en vía Doctor Jorge Jiménez Cantú 931, Lote 0, vía Doctor Jorge Jiménez Cantú 75, Lote XVIII Fraccionamiento Lomas Verdes (Centro Cívico), Municipio de Naucalpan de Juárez, Estado de México</w:t>
      </w:r>
    </w:p>
    <w:p w14:paraId="08393976" w14:textId="77777777" w:rsidR="002B2F6D" w:rsidRPr="001653DF" w:rsidRDefault="002B2F6D">
      <w:pPr>
        <w:pBdr>
          <w:top w:val="nil"/>
          <w:left w:val="nil"/>
          <w:bottom w:val="nil"/>
          <w:right w:val="nil"/>
          <w:between w:val="nil"/>
        </w:pBdr>
        <w:tabs>
          <w:tab w:val="left" w:pos="567"/>
        </w:tabs>
        <w:spacing w:line="360" w:lineRule="auto"/>
        <w:ind w:left="928" w:right="-599"/>
        <w:jc w:val="both"/>
        <w:rPr>
          <w:rFonts w:ascii="Palatino Linotype" w:eastAsia="Palatino Linotype" w:hAnsi="Palatino Linotype" w:cs="Palatino Linotype"/>
          <w:color w:val="000000"/>
        </w:rPr>
      </w:pPr>
    </w:p>
    <w:p w14:paraId="165E0AFC" w14:textId="77777777" w:rsidR="002B2F6D" w:rsidRPr="001653DF" w:rsidRDefault="00B17ABB" w:rsidP="00164857">
      <w:pPr>
        <w:numPr>
          <w:ilvl w:val="0"/>
          <w:numId w:val="3"/>
        </w:numPr>
        <w:pBdr>
          <w:top w:val="nil"/>
          <w:left w:val="nil"/>
          <w:bottom w:val="nil"/>
          <w:right w:val="nil"/>
          <w:between w:val="nil"/>
        </w:pBdr>
        <w:tabs>
          <w:tab w:val="left" w:pos="284"/>
        </w:tabs>
        <w:spacing w:line="360" w:lineRule="auto"/>
        <w:ind w:left="0" w:right="-29" w:firstLine="0"/>
        <w:jc w:val="both"/>
        <w:rPr>
          <w:rFonts w:ascii="Palatino Linotype" w:hAnsi="Palatino Linotype"/>
          <w:color w:val="000000"/>
        </w:rPr>
      </w:pPr>
      <w:r w:rsidRPr="001653DF">
        <w:rPr>
          <w:rFonts w:ascii="Palatino Linotype" w:eastAsia="Palatino Linotype" w:hAnsi="Palatino Linotype" w:cs="Palatino Linotype"/>
          <w:color w:val="000000"/>
        </w:rPr>
        <w:t xml:space="preserve">En respuesta el Sujeto Obligado, remitió el archivo ya descrito en el numeral 3. Inconforme con la respuesta, se interpuso el </w:t>
      </w:r>
      <w:r w:rsidRPr="001653DF">
        <w:rPr>
          <w:rFonts w:ascii="Palatino Linotype" w:eastAsia="Palatino Linotype" w:hAnsi="Palatino Linotype" w:cs="Palatino Linotype"/>
        </w:rPr>
        <w:t>recurso</w:t>
      </w:r>
      <w:r w:rsidRPr="001653DF">
        <w:rPr>
          <w:rFonts w:ascii="Palatino Linotype" w:eastAsia="Palatino Linotype" w:hAnsi="Palatino Linotype" w:cs="Palatino Linotype"/>
          <w:color w:val="000000"/>
        </w:rPr>
        <w:t xml:space="preserve"> de revisión, argumentando sustancialmente que no se entregó la información solicitada.</w:t>
      </w:r>
    </w:p>
    <w:p w14:paraId="30D811FB" w14:textId="77777777" w:rsidR="002B2F6D" w:rsidRPr="001653DF" w:rsidRDefault="002B2F6D">
      <w:pPr>
        <w:pBdr>
          <w:top w:val="nil"/>
          <w:left w:val="nil"/>
          <w:bottom w:val="nil"/>
          <w:right w:val="nil"/>
          <w:between w:val="nil"/>
        </w:pBdr>
        <w:tabs>
          <w:tab w:val="left" w:pos="284"/>
        </w:tabs>
        <w:spacing w:line="360" w:lineRule="auto"/>
        <w:ind w:left="644" w:right="-599"/>
        <w:jc w:val="both"/>
        <w:rPr>
          <w:rFonts w:ascii="Palatino Linotype" w:eastAsia="Palatino Linotype" w:hAnsi="Palatino Linotype" w:cs="Palatino Linotype"/>
        </w:rPr>
      </w:pPr>
    </w:p>
    <w:p w14:paraId="6C369901" w14:textId="77777777" w:rsidR="002B2F6D" w:rsidRPr="001653DF" w:rsidRDefault="00B17ABB" w:rsidP="00164857">
      <w:pPr>
        <w:numPr>
          <w:ilvl w:val="0"/>
          <w:numId w:val="3"/>
        </w:numPr>
        <w:pBdr>
          <w:top w:val="nil"/>
          <w:left w:val="nil"/>
          <w:bottom w:val="nil"/>
          <w:right w:val="nil"/>
          <w:between w:val="nil"/>
        </w:pBdr>
        <w:tabs>
          <w:tab w:val="left" w:pos="284"/>
        </w:tabs>
        <w:spacing w:line="360" w:lineRule="auto"/>
        <w:ind w:left="0" w:right="113" w:firstLine="0"/>
        <w:jc w:val="both"/>
        <w:rPr>
          <w:rFonts w:ascii="Palatino Linotype" w:hAnsi="Palatino Linotype"/>
          <w:color w:val="000000"/>
        </w:rPr>
      </w:pPr>
      <w:r w:rsidRPr="001653DF">
        <w:rPr>
          <w:rFonts w:ascii="Palatino Linotype" w:eastAsia="Palatino Linotype" w:hAnsi="Palatino Linotype" w:cs="Palatino Linotype"/>
        </w:rPr>
        <w:t>La controversia a resolver en el presente proveído, corresponde a determinar si se actualiza la causal de procedencia prevista en el artículo 179, fracción I de la Ley de Transparencia y Acceso a la Información Pública del Estado de México y Municipios.</w:t>
      </w:r>
    </w:p>
    <w:p w14:paraId="0598BEDE" w14:textId="77777777" w:rsidR="002B2F6D" w:rsidRPr="001653DF" w:rsidRDefault="002B2F6D">
      <w:pPr>
        <w:pBdr>
          <w:top w:val="nil"/>
          <w:left w:val="nil"/>
          <w:bottom w:val="nil"/>
          <w:right w:val="nil"/>
          <w:between w:val="nil"/>
        </w:pBdr>
        <w:spacing w:line="360" w:lineRule="auto"/>
        <w:ind w:left="720" w:right="-599"/>
        <w:jc w:val="both"/>
        <w:rPr>
          <w:rFonts w:ascii="Palatino Linotype" w:eastAsia="Palatino Linotype" w:hAnsi="Palatino Linotype" w:cs="Palatino Linotype"/>
          <w:color w:val="000000"/>
        </w:rPr>
      </w:pPr>
    </w:p>
    <w:p w14:paraId="4FDEF5BB" w14:textId="77777777" w:rsidR="002B2F6D" w:rsidRPr="001653DF" w:rsidRDefault="00B17ABB">
      <w:pPr>
        <w:pStyle w:val="Ttulo1"/>
        <w:spacing w:before="0" w:line="360" w:lineRule="auto"/>
        <w:ind w:right="-599"/>
        <w:jc w:val="both"/>
        <w:rPr>
          <w:rFonts w:ascii="Palatino Linotype" w:eastAsia="Palatino Linotype" w:hAnsi="Palatino Linotype" w:cs="Palatino Linotype"/>
          <w:color w:val="000000"/>
          <w:sz w:val="24"/>
          <w:szCs w:val="24"/>
        </w:rPr>
      </w:pPr>
      <w:r w:rsidRPr="001653DF">
        <w:rPr>
          <w:rFonts w:ascii="Palatino Linotype" w:eastAsia="Palatino Linotype" w:hAnsi="Palatino Linotype" w:cs="Palatino Linotype"/>
          <w:color w:val="000000"/>
          <w:sz w:val="24"/>
          <w:szCs w:val="24"/>
        </w:rPr>
        <w:t>CUARTO. Estudio de la controversia.</w:t>
      </w:r>
    </w:p>
    <w:p w14:paraId="3785F1C8" w14:textId="77777777" w:rsidR="002B2F6D" w:rsidRPr="001653DF" w:rsidRDefault="00B17ABB" w:rsidP="00164857">
      <w:pPr>
        <w:numPr>
          <w:ilvl w:val="0"/>
          <w:numId w:val="3"/>
        </w:numPr>
        <w:pBdr>
          <w:top w:val="nil"/>
          <w:left w:val="nil"/>
          <w:bottom w:val="nil"/>
          <w:right w:val="nil"/>
          <w:between w:val="nil"/>
        </w:pBdr>
        <w:tabs>
          <w:tab w:val="left" w:pos="0"/>
        </w:tabs>
        <w:spacing w:line="360" w:lineRule="auto"/>
        <w:ind w:left="0" w:right="-29" w:firstLine="0"/>
        <w:jc w:val="both"/>
        <w:rPr>
          <w:rFonts w:ascii="Palatino Linotype" w:hAnsi="Palatino Linotype"/>
          <w:color w:val="000000"/>
        </w:rPr>
      </w:pPr>
      <w:r w:rsidRPr="001653DF">
        <w:rPr>
          <w:rFonts w:ascii="Palatino Linotype" w:eastAsia="Palatino Linotype" w:hAnsi="Palatino Linotype" w:cs="Palatino Linotype"/>
          <w:color w:val="000000"/>
        </w:rPr>
        <w:t xml:space="preserve">Este Órgano Garante basará el análisis del presente, en el contenido íntegro de las actuaciones que obran en el expediente electrónico en el SAIMEX, para dictar el fallo </w:t>
      </w:r>
      <w:r w:rsidRPr="001653DF">
        <w:rPr>
          <w:rFonts w:ascii="Palatino Linotype" w:eastAsia="Palatino Linotype" w:hAnsi="Palatino Linotype" w:cs="Palatino Linotype"/>
          <w:color w:val="000000"/>
        </w:rPr>
        <w:lastRenderedPageBreak/>
        <w:t>correspondiente 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 en concordancia con el párrafo tercero del artículo 1 de la Constitución Política de los Estados Unidos Mexicanos y los numerales 8 y 9 de la Ley de Transparencia local.</w:t>
      </w:r>
    </w:p>
    <w:p w14:paraId="2899603F" w14:textId="77777777" w:rsidR="002B2F6D" w:rsidRPr="001653DF" w:rsidRDefault="002B2F6D">
      <w:pPr>
        <w:pBdr>
          <w:top w:val="nil"/>
          <w:left w:val="nil"/>
          <w:bottom w:val="nil"/>
          <w:right w:val="nil"/>
          <w:between w:val="nil"/>
        </w:pBdr>
        <w:spacing w:line="360" w:lineRule="auto"/>
        <w:ind w:left="644" w:right="-599"/>
        <w:jc w:val="both"/>
        <w:rPr>
          <w:rFonts w:ascii="Palatino Linotype" w:eastAsia="Palatino Linotype" w:hAnsi="Palatino Linotype" w:cs="Palatino Linotype"/>
          <w:color w:val="000000"/>
        </w:rPr>
      </w:pPr>
    </w:p>
    <w:p w14:paraId="1F0E1B85" w14:textId="77777777" w:rsidR="002B2F6D" w:rsidRPr="001653DF" w:rsidRDefault="00B17ABB" w:rsidP="00164857">
      <w:pPr>
        <w:numPr>
          <w:ilvl w:val="0"/>
          <w:numId w:val="3"/>
        </w:numPr>
        <w:pBdr>
          <w:top w:val="nil"/>
          <w:left w:val="nil"/>
          <w:bottom w:val="nil"/>
          <w:right w:val="nil"/>
          <w:between w:val="nil"/>
        </w:pBdr>
        <w:spacing w:line="360" w:lineRule="auto"/>
        <w:ind w:left="0" w:right="-29" w:firstLine="0"/>
        <w:jc w:val="both"/>
        <w:rPr>
          <w:rFonts w:ascii="Palatino Linotype" w:hAnsi="Palatino Linotype"/>
          <w:color w:val="000000"/>
        </w:rPr>
      </w:pPr>
      <w:r w:rsidRPr="001653DF">
        <w:rPr>
          <w:rFonts w:ascii="Palatino Linotype" w:eastAsia="Palatino Linotype" w:hAnsi="Palatino Linotype" w:cs="Palatino Linotype"/>
          <w:color w:val="000000"/>
        </w:rPr>
        <w:t xml:space="preserve">En ese tenor, y considerando tanto el motivo de la inconformidad como la documentación remitida por </w:t>
      </w:r>
      <w:r w:rsidRPr="001653DF">
        <w:rPr>
          <w:rFonts w:ascii="Palatino Linotype" w:eastAsia="Palatino Linotype" w:hAnsi="Palatino Linotype" w:cs="Palatino Linotype"/>
          <w:b/>
          <w:color w:val="000000"/>
        </w:rPr>
        <w:t>EL SUJETO OBLIGADO</w:t>
      </w:r>
      <w:r w:rsidRPr="001653DF">
        <w:rPr>
          <w:rFonts w:ascii="Palatino Linotype" w:eastAsia="Palatino Linotype" w:hAnsi="Palatino Linotype" w:cs="Palatino Linotype"/>
          <w:color w:val="000000"/>
        </w:rPr>
        <w:t xml:space="preserve">, se procede a analizar si dicha información es suficiente para tener por colmado el derecho de acceso a la información de la </w:t>
      </w:r>
      <w:r w:rsidRPr="001653DF">
        <w:rPr>
          <w:rFonts w:ascii="Palatino Linotype" w:eastAsia="Palatino Linotype" w:hAnsi="Palatino Linotype" w:cs="Palatino Linotype"/>
          <w:b/>
          <w:color w:val="000000"/>
        </w:rPr>
        <w:t>PERSONA RECURRENTE</w:t>
      </w:r>
      <w:r w:rsidRPr="001653DF">
        <w:rPr>
          <w:rFonts w:ascii="Palatino Linotype" w:eastAsia="Palatino Linotype" w:hAnsi="Palatino Linotype" w:cs="Palatino Linotype"/>
          <w:color w:val="000000"/>
        </w:rPr>
        <w:t xml:space="preserve"> o en su caso, ordenar la entrega de la información correspondiente.</w:t>
      </w:r>
    </w:p>
    <w:p w14:paraId="7B426D7E" w14:textId="77777777" w:rsidR="002B2F6D" w:rsidRPr="001653DF" w:rsidRDefault="002B2F6D">
      <w:pPr>
        <w:pBdr>
          <w:top w:val="nil"/>
          <w:left w:val="nil"/>
          <w:bottom w:val="nil"/>
          <w:right w:val="nil"/>
          <w:between w:val="nil"/>
        </w:pBdr>
        <w:spacing w:line="360" w:lineRule="auto"/>
        <w:ind w:right="-599"/>
        <w:jc w:val="both"/>
        <w:rPr>
          <w:rFonts w:ascii="Palatino Linotype" w:eastAsia="Palatino Linotype" w:hAnsi="Palatino Linotype" w:cs="Palatino Linotype"/>
          <w:color w:val="000000"/>
        </w:rPr>
      </w:pPr>
    </w:p>
    <w:p w14:paraId="3E6F731C" w14:textId="77777777" w:rsidR="002B2F6D" w:rsidRPr="001653DF" w:rsidRDefault="00B17ABB" w:rsidP="00164857">
      <w:pPr>
        <w:numPr>
          <w:ilvl w:val="0"/>
          <w:numId w:val="3"/>
        </w:numPr>
        <w:pBdr>
          <w:top w:val="nil"/>
          <w:left w:val="nil"/>
          <w:bottom w:val="nil"/>
          <w:right w:val="nil"/>
          <w:between w:val="nil"/>
        </w:pBdr>
        <w:tabs>
          <w:tab w:val="left" w:pos="0"/>
        </w:tabs>
        <w:spacing w:line="360" w:lineRule="auto"/>
        <w:ind w:left="0" w:right="-29" w:firstLine="0"/>
        <w:jc w:val="both"/>
        <w:rPr>
          <w:rFonts w:ascii="Palatino Linotype" w:hAnsi="Palatino Linotype"/>
          <w:color w:val="000000"/>
        </w:rPr>
      </w:pPr>
      <w:r w:rsidRPr="001653DF">
        <w:rPr>
          <w:rFonts w:ascii="Palatino Linotype" w:eastAsia="Palatino Linotype" w:hAnsi="Palatino Linotype" w:cs="Palatino Linotype"/>
          <w:color w:val="000000"/>
        </w:rPr>
        <w:t>Por otra parte</w:t>
      </w:r>
      <w:r w:rsidRPr="001653DF">
        <w:rPr>
          <w:rFonts w:ascii="Palatino Linotype" w:eastAsia="Palatino Linotype" w:hAnsi="Palatino Linotype" w:cs="Palatino Linotype"/>
        </w:rPr>
        <w:t xml:space="preserve">, y aunado a lo antepuesto, el último párrafo del artículo 24 de la Ley de la materia, dispone que los Sujetos Obligados </w:t>
      </w:r>
      <w:r w:rsidRPr="001653DF">
        <w:rPr>
          <w:rFonts w:ascii="Palatino Linotype" w:eastAsia="Palatino Linotype" w:hAnsi="Palatino Linotype" w:cs="Palatino Linotype"/>
          <w:color w:val="000000"/>
        </w:rPr>
        <w:t xml:space="preserve">sólo proporcionarán la información pública que </w:t>
      </w:r>
      <w:r w:rsidRPr="001653DF">
        <w:rPr>
          <w:rFonts w:ascii="Palatino Linotype" w:eastAsia="Palatino Linotype" w:hAnsi="Palatino Linotype" w:cs="Palatino Linotype"/>
        </w:rPr>
        <w:t>generen</w:t>
      </w:r>
      <w:r w:rsidRPr="001653DF">
        <w:rPr>
          <w:rFonts w:ascii="Palatino Linotype" w:eastAsia="Palatino Linotype" w:hAnsi="Palatino Linotype" w:cs="Palatino Linotype"/>
          <w:color w:val="000000"/>
        </w:rPr>
        <w:t>,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549FC838" w14:textId="77777777" w:rsidR="002B2F6D" w:rsidRPr="001653DF" w:rsidRDefault="002B2F6D">
      <w:pPr>
        <w:spacing w:line="360" w:lineRule="auto"/>
        <w:ind w:right="-599"/>
        <w:jc w:val="both"/>
        <w:rPr>
          <w:rFonts w:ascii="Palatino Linotype" w:eastAsia="Palatino Linotype" w:hAnsi="Palatino Linotype" w:cs="Palatino Linotype"/>
          <w:color w:val="000000"/>
        </w:rPr>
      </w:pPr>
    </w:p>
    <w:p w14:paraId="10D0FE63" w14:textId="77777777" w:rsidR="002B2F6D" w:rsidRPr="001653DF" w:rsidRDefault="00B17ABB" w:rsidP="00164857">
      <w:pPr>
        <w:numPr>
          <w:ilvl w:val="0"/>
          <w:numId w:val="3"/>
        </w:numPr>
        <w:pBdr>
          <w:top w:val="nil"/>
          <w:left w:val="nil"/>
          <w:bottom w:val="nil"/>
          <w:right w:val="nil"/>
          <w:between w:val="nil"/>
        </w:pBdr>
        <w:spacing w:line="360" w:lineRule="auto"/>
        <w:ind w:left="0" w:right="-29" w:firstLine="0"/>
        <w:jc w:val="both"/>
        <w:rPr>
          <w:rFonts w:ascii="Palatino Linotype" w:hAnsi="Palatino Linotype"/>
          <w:color w:val="000000"/>
        </w:rPr>
      </w:pPr>
      <w:r w:rsidRPr="001653DF">
        <w:rPr>
          <w:rFonts w:ascii="Palatino Linotype" w:eastAsia="Palatino Linotype" w:hAnsi="Palatino Linotype" w:cs="Palatino Linotype"/>
          <w:color w:val="000000"/>
        </w:rPr>
        <w:lastRenderedPageBreak/>
        <w:t xml:space="preserve">Siempre y cuando no se trate de información reservada o clasificada, que difundirla pondría en riesgo la seguridad jurídica y física del titular de la información, </w:t>
      </w:r>
      <w:r w:rsidRPr="001653DF">
        <w:rPr>
          <w:rFonts w:ascii="Palatino Linotype" w:eastAsia="Palatino Linotype" w:hAnsi="Palatino Linotype" w:cs="Palatino Linotype"/>
          <w:b/>
          <w:color w:val="000000"/>
          <w:u w:val="single"/>
        </w:rPr>
        <w:t>debiendo tener audacia los Sujetos Obligados para cuidar esta información a través del acuerdo clasificatorio del comité de transparencia y la versión pública que emita el servidor público habilitado de cada Sujeto Obligado;</w:t>
      </w:r>
      <w:r w:rsidRPr="001653DF">
        <w:rPr>
          <w:rFonts w:ascii="Palatino Linotype" w:eastAsia="Palatino Linotype" w:hAnsi="Palatino Linotype" w:cs="Palatino Linotype"/>
          <w:color w:val="000000"/>
        </w:rPr>
        <w:t xml:space="preserve"> como se establece en la Ley de Transparencia y Acceso a la Información Pública del Estado de México y Municipios.</w:t>
      </w:r>
    </w:p>
    <w:p w14:paraId="3CBBE0F9" w14:textId="77777777" w:rsidR="002B2F6D" w:rsidRPr="001653DF" w:rsidRDefault="002B2F6D">
      <w:pPr>
        <w:spacing w:line="360" w:lineRule="auto"/>
        <w:ind w:right="-599"/>
        <w:jc w:val="both"/>
        <w:rPr>
          <w:rFonts w:ascii="Palatino Linotype" w:eastAsia="Palatino Linotype" w:hAnsi="Palatino Linotype" w:cs="Palatino Linotype"/>
          <w:color w:val="000000"/>
        </w:rPr>
      </w:pPr>
    </w:p>
    <w:p w14:paraId="0EB29577" w14:textId="77777777" w:rsidR="002B2F6D" w:rsidRPr="001653DF" w:rsidRDefault="00B17ABB" w:rsidP="00164857">
      <w:pPr>
        <w:numPr>
          <w:ilvl w:val="0"/>
          <w:numId w:val="3"/>
        </w:numPr>
        <w:pBdr>
          <w:top w:val="nil"/>
          <w:left w:val="nil"/>
          <w:bottom w:val="nil"/>
          <w:right w:val="nil"/>
          <w:between w:val="nil"/>
        </w:pBdr>
        <w:spacing w:line="360" w:lineRule="auto"/>
        <w:ind w:left="0" w:right="113" w:firstLine="0"/>
        <w:jc w:val="both"/>
        <w:rPr>
          <w:rFonts w:ascii="Palatino Linotype" w:hAnsi="Palatino Linotype"/>
          <w:color w:val="000000"/>
        </w:rPr>
      </w:pPr>
      <w:r w:rsidRPr="001653DF">
        <w:rPr>
          <w:rFonts w:ascii="Palatino Linotype" w:eastAsia="Palatino Linotype" w:hAnsi="Palatino Linotype" w:cs="Palatino Linotype"/>
          <w:color w:val="000000"/>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41CA402" w14:textId="77777777" w:rsidR="002B2F6D" w:rsidRPr="001653DF" w:rsidRDefault="002B2F6D">
      <w:pPr>
        <w:pBdr>
          <w:top w:val="nil"/>
          <w:left w:val="nil"/>
          <w:bottom w:val="nil"/>
          <w:right w:val="nil"/>
          <w:between w:val="nil"/>
        </w:pBdr>
        <w:spacing w:line="276" w:lineRule="auto"/>
        <w:ind w:right="-599"/>
        <w:jc w:val="both"/>
        <w:rPr>
          <w:rFonts w:ascii="Palatino Linotype" w:eastAsia="Palatino Linotype" w:hAnsi="Palatino Linotype" w:cs="Palatino Linotype"/>
          <w:color w:val="000000"/>
        </w:rPr>
      </w:pPr>
    </w:p>
    <w:p w14:paraId="09CCE042" w14:textId="77777777" w:rsidR="002B2F6D" w:rsidRPr="001653DF" w:rsidRDefault="00B17ABB">
      <w:pPr>
        <w:ind w:left="1134"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t>“</w:t>
      </w:r>
      <w:r w:rsidRPr="001653DF">
        <w:rPr>
          <w:rFonts w:ascii="Palatino Linotype" w:eastAsia="Palatino Linotype" w:hAnsi="Palatino Linotype" w:cs="Palatino Linotype"/>
          <w:b/>
          <w:i/>
          <w:sz w:val="22"/>
          <w:szCs w:val="22"/>
        </w:rPr>
        <w:t xml:space="preserve">Artículo 3. </w:t>
      </w:r>
      <w:r w:rsidRPr="001653DF">
        <w:rPr>
          <w:rFonts w:ascii="Palatino Linotype" w:eastAsia="Palatino Linotype" w:hAnsi="Palatino Linotype" w:cs="Palatino Linotype"/>
          <w:i/>
          <w:sz w:val="22"/>
          <w:szCs w:val="22"/>
        </w:rPr>
        <w:t>Para los efectos de la presente Ley se entenderá por:</w:t>
      </w:r>
    </w:p>
    <w:p w14:paraId="13C3FD73" w14:textId="77777777" w:rsidR="002B2F6D" w:rsidRPr="001653DF" w:rsidRDefault="00B17ABB">
      <w:pPr>
        <w:ind w:left="1134"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t>…</w:t>
      </w:r>
    </w:p>
    <w:p w14:paraId="60DEE477" w14:textId="77777777" w:rsidR="002B2F6D" w:rsidRPr="001653DF" w:rsidRDefault="00B17ABB" w:rsidP="00164857">
      <w:pPr>
        <w:spacing w:line="276" w:lineRule="auto"/>
        <w:ind w:left="1134" w:right="-29"/>
        <w:jc w:val="both"/>
        <w:rPr>
          <w:rFonts w:ascii="Palatino Linotype" w:eastAsia="Palatino Linotype" w:hAnsi="Palatino Linotype" w:cs="Palatino Linotype"/>
          <w:i/>
          <w:color w:val="000000"/>
          <w:sz w:val="22"/>
          <w:szCs w:val="22"/>
        </w:rPr>
      </w:pPr>
      <w:r w:rsidRPr="001653DF">
        <w:rPr>
          <w:rFonts w:ascii="Palatino Linotype" w:eastAsia="Palatino Linotype" w:hAnsi="Palatino Linotype" w:cs="Palatino Linotype"/>
          <w:b/>
          <w:i/>
          <w:color w:val="000000"/>
          <w:sz w:val="22"/>
          <w:szCs w:val="22"/>
        </w:rPr>
        <w:t>XI. Documento:</w:t>
      </w:r>
      <w:r w:rsidRPr="001653DF">
        <w:rPr>
          <w:rFonts w:ascii="Palatino Linotype" w:eastAsia="Palatino Linotype" w:hAnsi="Palatino Linotype" w:cs="Palatino Linotype"/>
          <w:i/>
          <w:color w:val="000000"/>
          <w:sz w:val="22"/>
          <w:szCs w:val="22"/>
        </w:rPr>
        <w:t xml:space="preserve"> Los expedientes, reportes, estudios, </w:t>
      </w:r>
      <w:r w:rsidRPr="001653DF">
        <w:rPr>
          <w:rFonts w:ascii="Palatino Linotype" w:eastAsia="Palatino Linotype" w:hAnsi="Palatino Linotype" w:cs="Palatino Linotype"/>
          <w:b/>
          <w:i/>
          <w:color w:val="000000"/>
          <w:sz w:val="22"/>
          <w:szCs w:val="22"/>
        </w:rPr>
        <w:t>actas,</w:t>
      </w:r>
      <w:r w:rsidRPr="001653DF">
        <w:rPr>
          <w:rFonts w:ascii="Palatino Linotype" w:eastAsia="Palatino Linotype" w:hAnsi="Palatino Linotype" w:cs="Palatino Linotype"/>
          <w:i/>
          <w:color w:val="000000"/>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w:t>
      </w:r>
      <w:r w:rsidRPr="001653DF">
        <w:rPr>
          <w:rFonts w:ascii="Palatino Linotype" w:eastAsia="Palatino Linotype" w:hAnsi="Palatino Linotype" w:cs="Palatino Linotype"/>
          <w:i/>
          <w:color w:val="000000"/>
          <w:sz w:val="22"/>
          <w:szCs w:val="22"/>
        </w:rPr>
        <w:lastRenderedPageBreak/>
        <w:t>públicos e integrantes, sin importar su fuente o fecha de elaboración. Los documentos podrán estar en cualquier medio, sea escrito, impreso, sonoro, visual, electrónico, informático u holográfico</w:t>
      </w:r>
      <w:r w:rsidRPr="001653DF">
        <w:rPr>
          <w:rFonts w:ascii="Palatino Linotype" w:eastAsia="Palatino Linotype" w:hAnsi="Palatino Linotype" w:cs="Palatino Linotype"/>
          <w:b/>
          <w:i/>
          <w:color w:val="000000"/>
          <w:sz w:val="22"/>
          <w:szCs w:val="22"/>
        </w:rPr>
        <w:t>…</w:t>
      </w:r>
      <w:r w:rsidRPr="001653DF">
        <w:rPr>
          <w:rFonts w:ascii="Palatino Linotype" w:eastAsia="Palatino Linotype" w:hAnsi="Palatino Linotype" w:cs="Palatino Linotype"/>
          <w:i/>
          <w:color w:val="000000"/>
          <w:sz w:val="22"/>
          <w:szCs w:val="22"/>
        </w:rPr>
        <w:t>”(Sic)</w:t>
      </w:r>
    </w:p>
    <w:p w14:paraId="61EF9234" w14:textId="77777777" w:rsidR="002B2F6D" w:rsidRPr="001653DF" w:rsidRDefault="002B2F6D">
      <w:pPr>
        <w:pBdr>
          <w:top w:val="nil"/>
          <w:left w:val="nil"/>
          <w:bottom w:val="nil"/>
          <w:right w:val="nil"/>
          <w:between w:val="nil"/>
        </w:pBdr>
        <w:tabs>
          <w:tab w:val="left" w:pos="0"/>
        </w:tabs>
        <w:spacing w:line="360" w:lineRule="auto"/>
        <w:ind w:right="-599"/>
        <w:jc w:val="both"/>
        <w:rPr>
          <w:rFonts w:ascii="Palatino Linotype" w:eastAsia="Palatino Linotype" w:hAnsi="Palatino Linotype" w:cs="Palatino Linotype"/>
          <w:color w:val="000000"/>
        </w:rPr>
      </w:pPr>
    </w:p>
    <w:p w14:paraId="3EC8C116" w14:textId="77777777" w:rsidR="002B2F6D" w:rsidRPr="001653DF" w:rsidRDefault="00B17ABB" w:rsidP="00164857">
      <w:pPr>
        <w:numPr>
          <w:ilvl w:val="0"/>
          <w:numId w:val="3"/>
        </w:numPr>
        <w:pBdr>
          <w:top w:val="nil"/>
          <w:left w:val="nil"/>
          <w:bottom w:val="nil"/>
          <w:right w:val="nil"/>
          <w:between w:val="nil"/>
        </w:pBdr>
        <w:spacing w:line="360" w:lineRule="auto"/>
        <w:ind w:left="0" w:right="-29" w:firstLine="0"/>
        <w:jc w:val="both"/>
        <w:rPr>
          <w:rFonts w:ascii="Palatino Linotype" w:hAnsi="Palatino Linotype"/>
          <w:color w:val="000000"/>
        </w:rPr>
      </w:pPr>
      <w:r w:rsidRPr="001653DF">
        <w:rPr>
          <w:rFonts w:ascii="Palatino Linotype" w:eastAsia="Palatino Linotype" w:hAnsi="Palatino Linotype" w:cs="Palatino Linotype"/>
          <w:color w:val="000000"/>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36A44DEC" w14:textId="77777777" w:rsidR="002B2F6D" w:rsidRPr="001653DF" w:rsidRDefault="002B2F6D">
      <w:pPr>
        <w:ind w:left="851" w:right="-599"/>
        <w:jc w:val="both"/>
        <w:rPr>
          <w:rFonts w:ascii="Palatino Linotype" w:eastAsia="Palatino Linotype" w:hAnsi="Palatino Linotype" w:cs="Palatino Linotype"/>
        </w:rPr>
      </w:pPr>
    </w:p>
    <w:p w14:paraId="584E23E9" w14:textId="77777777" w:rsidR="002B2F6D" w:rsidRPr="001653DF" w:rsidRDefault="00B17ABB">
      <w:pPr>
        <w:spacing w:line="276" w:lineRule="auto"/>
        <w:ind w:left="1134" w:right="-599"/>
        <w:jc w:val="both"/>
        <w:rPr>
          <w:rFonts w:ascii="Palatino Linotype" w:eastAsia="Palatino Linotype" w:hAnsi="Palatino Linotype" w:cs="Palatino Linotype"/>
          <w:b/>
          <w:i/>
          <w:sz w:val="22"/>
          <w:szCs w:val="22"/>
        </w:rPr>
      </w:pPr>
      <w:r w:rsidRPr="001653DF">
        <w:rPr>
          <w:rFonts w:ascii="Palatino Linotype" w:eastAsia="Palatino Linotype" w:hAnsi="Palatino Linotype" w:cs="Palatino Linotype"/>
          <w:b/>
          <w:sz w:val="22"/>
          <w:szCs w:val="22"/>
        </w:rPr>
        <w:t>“</w:t>
      </w:r>
      <w:r w:rsidRPr="001653DF">
        <w:rPr>
          <w:rFonts w:ascii="Palatino Linotype" w:eastAsia="Palatino Linotype" w:hAnsi="Palatino Linotype" w:cs="Palatino Linotype"/>
          <w:b/>
          <w:i/>
          <w:sz w:val="22"/>
          <w:szCs w:val="22"/>
        </w:rPr>
        <w:t>CRITERIO 0002-11</w:t>
      </w:r>
    </w:p>
    <w:p w14:paraId="48C47EEE" w14:textId="77777777" w:rsidR="002B2F6D" w:rsidRPr="001653DF" w:rsidRDefault="00B17ABB" w:rsidP="00164857">
      <w:pPr>
        <w:spacing w:line="276" w:lineRule="auto"/>
        <w:ind w:left="1134" w:right="-2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1653DF">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5464FC5" w14:textId="77777777" w:rsidR="002B2F6D" w:rsidRPr="001653DF" w:rsidRDefault="00B17ABB" w:rsidP="00164857">
      <w:pPr>
        <w:spacing w:line="276" w:lineRule="auto"/>
        <w:ind w:left="1134" w:right="-2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656F1434" w14:textId="77777777" w:rsidR="002B2F6D" w:rsidRPr="001653DF" w:rsidRDefault="00B17ABB" w:rsidP="00164857">
      <w:pPr>
        <w:spacing w:line="276" w:lineRule="auto"/>
        <w:ind w:left="1134" w:right="-29"/>
        <w:jc w:val="both"/>
        <w:rPr>
          <w:rFonts w:ascii="Palatino Linotype" w:eastAsia="Palatino Linotype" w:hAnsi="Palatino Linotype" w:cs="Palatino Linotype"/>
          <w:b/>
          <w:i/>
          <w:sz w:val="22"/>
          <w:szCs w:val="22"/>
        </w:rPr>
      </w:pPr>
      <w:r w:rsidRPr="001653DF">
        <w:rPr>
          <w:rFonts w:ascii="Palatino Linotype" w:eastAsia="Palatino Linotype" w:hAnsi="Palatino Linotype" w:cs="Palatino Linotype"/>
          <w:b/>
          <w:i/>
          <w:sz w:val="22"/>
          <w:szCs w:val="22"/>
        </w:rPr>
        <w:t>1) Que se trate de información registrada en cualquier soporte documental, que en ejercicio de las atribuciones conferidas, sea generada por los Sujetos Obligados;</w:t>
      </w:r>
    </w:p>
    <w:p w14:paraId="7166EE59" w14:textId="77777777" w:rsidR="002B2F6D" w:rsidRPr="001653DF" w:rsidRDefault="00B17ABB" w:rsidP="00164857">
      <w:pPr>
        <w:spacing w:line="276" w:lineRule="auto"/>
        <w:ind w:left="1134" w:right="-2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14:paraId="14D2B5E9" w14:textId="77777777" w:rsidR="002B2F6D" w:rsidRPr="001653DF" w:rsidRDefault="00B17ABB" w:rsidP="00164857">
      <w:pPr>
        <w:spacing w:line="276" w:lineRule="auto"/>
        <w:ind w:left="1134" w:right="-2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t>3) Que se trate de información registrada en cualquier soporte documental, que en ejercicio de las atribuciones conferidas, se encuentre en posesión de los Sujetos Obligados.”(Sic)</w:t>
      </w:r>
    </w:p>
    <w:p w14:paraId="72995C92" w14:textId="77777777" w:rsidR="002B2F6D" w:rsidRPr="001653DF" w:rsidRDefault="002B2F6D">
      <w:pPr>
        <w:spacing w:line="360" w:lineRule="auto"/>
        <w:ind w:left="1134" w:right="-599"/>
        <w:jc w:val="both"/>
        <w:rPr>
          <w:rFonts w:ascii="Palatino Linotype" w:eastAsia="Palatino Linotype" w:hAnsi="Palatino Linotype" w:cs="Palatino Linotype"/>
        </w:rPr>
      </w:pPr>
    </w:p>
    <w:p w14:paraId="00813E56" w14:textId="77777777" w:rsidR="002B2F6D" w:rsidRPr="001653DF" w:rsidRDefault="00B17ABB" w:rsidP="00164857">
      <w:pPr>
        <w:numPr>
          <w:ilvl w:val="0"/>
          <w:numId w:val="3"/>
        </w:numPr>
        <w:pBdr>
          <w:top w:val="nil"/>
          <w:left w:val="nil"/>
          <w:bottom w:val="nil"/>
          <w:right w:val="nil"/>
          <w:between w:val="nil"/>
        </w:pBdr>
        <w:spacing w:line="360" w:lineRule="auto"/>
        <w:ind w:left="0" w:right="-29" w:firstLine="0"/>
        <w:jc w:val="both"/>
        <w:rPr>
          <w:rFonts w:ascii="Palatino Linotype" w:hAnsi="Palatino Linotype"/>
          <w:color w:val="000000"/>
        </w:rPr>
      </w:pPr>
      <w:r w:rsidRPr="001653DF">
        <w:rPr>
          <w:rFonts w:ascii="Palatino Linotype" w:eastAsia="Palatino Linotype" w:hAnsi="Palatino Linotype" w:cs="Palatino Linotype"/>
          <w:color w:val="000000"/>
        </w:rPr>
        <w:lastRenderedPageBreak/>
        <w:t xml:space="preserve"> De ahí que el </w:t>
      </w:r>
      <w:r w:rsidRPr="001653DF">
        <w:rPr>
          <w:rFonts w:ascii="Palatino Linotype" w:eastAsia="Palatino Linotype" w:hAnsi="Palatino Linotype" w:cs="Palatino Linotype"/>
          <w:b/>
          <w:color w:val="000000"/>
        </w:rPr>
        <w:t>SUJETO OBLIGADO</w:t>
      </w:r>
      <w:r w:rsidRPr="001653DF">
        <w:rPr>
          <w:rFonts w:ascii="Palatino Linotype" w:eastAsia="Palatino Linotype" w:hAnsi="Palatino Linotype" w:cs="Palatino Linotype"/>
          <w:color w:val="000000"/>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w:t>
      </w:r>
      <w:r w:rsidRPr="001653DF">
        <w:rPr>
          <w:rFonts w:ascii="Palatino Linotype" w:eastAsia="Palatino Linotype" w:hAnsi="Palatino Linotype" w:cs="Palatino Linotype"/>
          <w:color w:val="000000"/>
          <w:vertAlign w:val="superscript"/>
        </w:rPr>
        <w:footnoteReference w:id="1"/>
      </w:r>
      <w:r w:rsidRPr="001653DF">
        <w:rPr>
          <w:rFonts w:ascii="Palatino Linotype" w:eastAsia="Palatino Linotype" w:hAnsi="Palatino Linotype" w:cs="Palatino Linotype"/>
          <w:color w:val="000000"/>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1653DF">
        <w:rPr>
          <w:rFonts w:ascii="Palatino Linotype" w:eastAsia="Palatino Linotype" w:hAnsi="Palatino Linotype" w:cs="Palatino Linotype"/>
          <w:color w:val="000000"/>
          <w:vertAlign w:val="superscript"/>
        </w:rPr>
        <w:footnoteReference w:id="2"/>
      </w:r>
      <w:r w:rsidRPr="001653DF">
        <w:rPr>
          <w:rFonts w:ascii="Palatino Linotype" w:eastAsia="Palatino Linotype" w:hAnsi="Palatino Linotype" w:cs="Palatino Linotype"/>
          <w:color w:val="000000"/>
        </w:rPr>
        <w:t>.</w:t>
      </w:r>
    </w:p>
    <w:p w14:paraId="79410EEE" w14:textId="77777777" w:rsidR="002B2F6D" w:rsidRPr="001653DF" w:rsidRDefault="002B2F6D">
      <w:pPr>
        <w:pBdr>
          <w:top w:val="nil"/>
          <w:left w:val="nil"/>
          <w:bottom w:val="nil"/>
          <w:right w:val="nil"/>
          <w:between w:val="nil"/>
        </w:pBdr>
        <w:spacing w:line="360" w:lineRule="auto"/>
        <w:ind w:right="-599"/>
        <w:jc w:val="both"/>
        <w:rPr>
          <w:rFonts w:ascii="Palatino Linotype" w:eastAsia="Palatino Linotype" w:hAnsi="Palatino Linotype" w:cs="Palatino Linotype"/>
          <w:color w:val="000000"/>
        </w:rPr>
      </w:pPr>
    </w:p>
    <w:p w14:paraId="4FE6A850" w14:textId="77777777" w:rsidR="002B2F6D" w:rsidRPr="001653DF" w:rsidRDefault="00B17ABB" w:rsidP="00164857">
      <w:pPr>
        <w:numPr>
          <w:ilvl w:val="0"/>
          <w:numId w:val="3"/>
        </w:numPr>
        <w:pBdr>
          <w:top w:val="nil"/>
          <w:left w:val="nil"/>
          <w:bottom w:val="nil"/>
          <w:right w:val="nil"/>
          <w:between w:val="nil"/>
        </w:pBdr>
        <w:spacing w:line="360" w:lineRule="auto"/>
        <w:ind w:left="0" w:right="113" w:firstLine="0"/>
        <w:jc w:val="both"/>
        <w:rPr>
          <w:rFonts w:ascii="Palatino Linotype" w:hAnsi="Palatino Linotype"/>
          <w:color w:val="000000"/>
        </w:rPr>
      </w:pPr>
      <w:r w:rsidRPr="001653DF">
        <w:rPr>
          <w:rFonts w:ascii="Palatino Linotype" w:eastAsia="Palatino Linotype" w:hAnsi="Palatino Linotype" w:cs="Palatino Linotype"/>
          <w:color w:val="000000"/>
        </w:rPr>
        <w:t>Ahora bien, derivado del análisis del recurso de revisión materia del presente estudio, se procede al análisis del agravio hecho valer por el ahora RECURRENTE, concerniente a la respuesta del Ayuntamiento de Naucalpan de Juárez.</w:t>
      </w:r>
    </w:p>
    <w:p w14:paraId="5ED3E0FF" w14:textId="77777777" w:rsidR="002B2F6D" w:rsidRPr="001653DF" w:rsidRDefault="002B2F6D" w:rsidP="00382242">
      <w:pPr>
        <w:pBdr>
          <w:top w:val="nil"/>
          <w:left w:val="nil"/>
          <w:bottom w:val="nil"/>
          <w:right w:val="nil"/>
          <w:between w:val="nil"/>
        </w:pBdr>
        <w:spacing w:line="360" w:lineRule="auto"/>
        <w:ind w:left="720" w:right="-599"/>
        <w:rPr>
          <w:rFonts w:ascii="Palatino Linotype" w:eastAsia="Palatino Linotype" w:hAnsi="Palatino Linotype" w:cs="Palatino Linotype"/>
          <w:color w:val="000000"/>
        </w:rPr>
      </w:pPr>
    </w:p>
    <w:p w14:paraId="016B91F9" w14:textId="77777777" w:rsidR="002B2F6D" w:rsidRPr="001653DF" w:rsidRDefault="00B17ABB" w:rsidP="00164857">
      <w:pPr>
        <w:numPr>
          <w:ilvl w:val="0"/>
          <w:numId w:val="3"/>
        </w:numPr>
        <w:pBdr>
          <w:top w:val="nil"/>
          <w:left w:val="nil"/>
          <w:bottom w:val="nil"/>
          <w:right w:val="nil"/>
          <w:between w:val="nil"/>
        </w:pBdr>
        <w:spacing w:line="360" w:lineRule="auto"/>
        <w:ind w:left="0" w:right="-29" w:firstLine="0"/>
        <w:jc w:val="both"/>
        <w:rPr>
          <w:rFonts w:ascii="Palatino Linotype" w:hAnsi="Palatino Linotype"/>
          <w:color w:val="000000"/>
        </w:rPr>
      </w:pPr>
      <w:r w:rsidRPr="001653DF">
        <w:rPr>
          <w:rFonts w:ascii="Palatino Linotype" w:eastAsia="Palatino Linotype" w:hAnsi="Palatino Linotype" w:cs="Palatino Linotype"/>
          <w:color w:val="000000"/>
        </w:rPr>
        <w:t xml:space="preserve">Sobre el tema, las </w:t>
      </w:r>
      <w:r w:rsidRPr="001653DF">
        <w:rPr>
          <w:rFonts w:ascii="Palatino Linotype" w:eastAsia="Palatino Linotype" w:hAnsi="Palatino Linotype" w:cs="Palatino Linotype"/>
          <w:b/>
          <w:color w:val="000000"/>
          <w:u w:val="single"/>
        </w:rPr>
        <w:t>licencias de construcción</w:t>
      </w:r>
      <w:r w:rsidRPr="001653DF">
        <w:rPr>
          <w:rFonts w:ascii="Palatino Linotype" w:eastAsia="Palatino Linotype" w:hAnsi="Palatino Linotype" w:cs="Palatino Linotype"/>
          <w:color w:val="000000"/>
        </w:rPr>
        <w:t>, se trae a colación lo establecido por el Código Administrativo del Estado de México el cual establece lo siguiente:</w:t>
      </w:r>
    </w:p>
    <w:p w14:paraId="16CBB030" w14:textId="77777777" w:rsidR="002B2F6D" w:rsidRPr="001653DF" w:rsidRDefault="002B2F6D">
      <w:pPr>
        <w:spacing w:line="360" w:lineRule="auto"/>
        <w:ind w:right="-599"/>
        <w:jc w:val="both"/>
        <w:rPr>
          <w:rFonts w:ascii="Palatino Linotype" w:eastAsia="Palatino Linotype" w:hAnsi="Palatino Linotype" w:cs="Palatino Linotype"/>
        </w:rPr>
      </w:pPr>
    </w:p>
    <w:p w14:paraId="1F32D3CB" w14:textId="77777777" w:rsidR="002B2F6D" w:rsidRPr="001653DF" w:rsidRDefault="00B17ABB">
      <w:pPr>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b/>
          <w:i/>
          <w:sz w:val="22"/>
          <w:szCs w:val="22"/>
        </w:rPr>
        <w:t>Artículo 18.20.-</w:t>
      </w:r>
      <w:r w:rsidRPr="001653DF">
        <w:rPr>
          <w:rFonts w:ascii="Palatino Linotype" w:eastAsia="Palatino Linotype" w:hAnsi="Palatino Linotype" w:cs="Palatino Linotype"/>
          <w:i/>
          <w:sz w:val="22"/>
          <w:szCs w:val="22"/>
        </w:rPr>
        <w:t xml:space="preserve"> La licencia de construcción tiene por objeto autorizar:</w:t>
      </w:r>
    </w:p>
    <w:p w14:paraId="7BF3D41E" w14:textId="77777777" w:rsidR="002B2F6D" w:rsidRPr="001653DF" w:rsidRDefault="00B17ABB">
      <w:pPr>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lastRenderedPageBreak/>
        <w:t>I. Obra nueva;</w:t>
      </w:r>
    </w:p>
    <w:p w14:paraId="541D8263" w14:textId="77777777" w:rsidR="002B2F6D" w:rsidRPr="001653DF" w:rsidRDefault="00B17ABB">
      <w:pPr>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t>II. Ampliación, modificación o reparación que afecte elementos estructurales de la obra existente;</w:t>
      </w:r>
    </w:p>
    <w:p w14:paraId="0B1FFF63" w14:textId="77777777" w:rsidR="002B2F6D" w:rsidRPr="001653DF" w:rsidRDefault="00B17ABB">
      <w:pPr>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t>III. Demolición parcial o total;</w:t>
      </w:r>
    </w:p>
    <w:p w14:paraId="65953043" w14:textId="77777777" w:rsidR="002B2F6D" w:rsidRPr="001653DF" w:rsidRDefault="00B17ABB">
      <w:pPr>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t>IV. Excavación o relleno;</w:t>
      </w:r>
    </w:p>
    <w:p w14:paraId="27695621" w14:textId="77777777" w:rsidR="002B2F6D" w:rsidRPr="001653DF" w:rsidRDefault="00B17ABB">
      <w:pPr>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t>V. Construcción de bardas;</w:t>
      </w:r>
    </w:p>
    <w:p w14:paraId="0F19F706" w14:textId="77777777" w:rsidR="002B2F6D" w:rsidRPr="001653DF" w:rsidRDefault="00B17ABB">
      <w:pPr>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t>VI. Obras de conexión a las redes de agua potable y drenaje;</w:t>
      </w:r>
    </w:p>
    <w:p w14:paraId="72265C25" w14:textId="77777777" w:rsidR="002B2F6D" w:rsidRPr="001653DF" w:rsidRDefault="00B17ABB">
      <w:pPr>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t>VII. Modificación del proyecto de una obra autorizada;</w:t>
      </w:r>
    </w:p>
    <w:p w14:paraId="44A9F5C5" w14:textId="77777777" w:rsidR="002B2F6D" w:rsidRPr="001653DF" w:rsidRDefault="00B17ABB">
      <w:pPr>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t>VIII. Construcción e instalación de estaciones repetidoras y antenas para radiotelecomunicaciones;</w:t>
      </w:r>
    </w:p>
    <w:p w14:paraId="474669FF" w14:textId="77777777" w:rsidR="002B2F6D" w:rsidRPr="001653DF" w:rsidRDefault="00B17ABB">
      <w:pPr>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t>IX. Anuncios publicitarios que requieran de elementos estructurales; y</w:t>
      </w:r>
    </w:p>
    <w:p w14:paraId="735D36E6" w14:textId="77777777" w:rsidR="002B2F6D" w:rsidRPr="001653DF" w:rsidRDefault="00B17ABB" w:rsidP="00164857">
      <w:pPr>
        <w:spacing w:line="276" w:lineRule="auto"/>
        <w:ind w:left="567" w:right="-2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t>X. Instalaciones o modificaciones de ascensores para personas, montacargas, escaleras mecánicas o cualquier otro mecanismo de transporte electromecánico.</w:t>
      </w:r>
    </w:p>
    <w:p w14:paraId="5A0FF889" w14:textId="77777777" w:rsidR="002B2F6D" w:rsidRPr="001653DF" w:rsidRDefault="00B17ABB" w:rsidP="00164857">
      <w:pPr>
        <w:spacing w:line="276" w:lineRule="auto"/>
        <w:ind w:left="567" w:right="-2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t>La licencia de construcción tendrá vigencia de un año y podrá autorizar, además del uso de la vía pública, uno o más de los rubros señalados, conforme a la solicitud que se presente.</w:t>
      </w:r>
    </w:p>
    <w:p w14:paraId="31BE77A9" w14:textId="77777777" w:rsidR="002B2F6D" w:rsidRPr="001653DF" w:rsidRDefault="002B2F6D">
      <w:pPr>
        <w:spacing w:line="276" w:lineRule="auto"/>
        <w:ind w:left="567" w:right="-599"/>
        <w:jc w:val="both"/>
        <w:rPr>
          <w:rFonts w:ascii="Palatino Linotype" w:eastAsia="Palatino Linotype" w:hAnsi="Palatino Linotype" w:cs="Palatino Linotype"/>
          <w:i/>
          <w:sz w:val="22"/>
          <w:szCs w:val="22"/>
        </w:rPr>
      </w:pPr>
    </w:p>
    <w:p w14:paraId="73016AB4" w14:textId="77777777" w:rsidR="002B2F6D" w:rsidRPr="001653DF" w:rsidRDefault="00B17ABB" w:rsidP="00164857">
      <w:pPr>
        <w:spacing w:line="276" w:lineRule="auto"/>
        <w:ind w:left="567" w:right="-2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t>La autoridad municipal que emita la licencia de construcción deberá revisar que en el proyecto que autoriza se observen las disposiciones de este Libro, las Normas Técnicas y demás disposiciones jurídicas aplicables y deberá otorgar o negar la misma dando respuesta en un plazo no mayor de tres días hábiles posteriores a la fecha de presentación o recepción de la solicitud que reúna todos los requisitos establecidos en la Ley.</w:t>
      </w:r>
    </w:p>
    <w:p w14:paraId="18677334" w14:textId="77777777" w:rsidR="002B2F6D" w:rsidRPr="001653DF" w:rsidRDefault="00B17ABB">
      <w:pPr>
        <w:spacing w:line="360" w:lineRule="auto"/>
        <w:ind w:left="567" w:right="-599"/>
        <w:jc w:val="both"/>
        <w:rPr>
          <w:rFonts w:ascii="Palatino Linotype" w:eastAsia="Palatino Linotype" w:hAnsi="Palatino Linotype" w:cs="Palatino Linotype"/>
          <w:i/>
          <w:sz w:val="20"/>
          <w:szCs w:val="20"/>
        </w:rPr>
      </w:pPr>
      <w:r w:rsidRPr="001653DF">
        <w:rPr>
          <w:rFonts w:ascii="Palatino Linotype" w:eastAsia="Palatino Linotype" w:hAnsi="Palatino Linotype" w:cs="Palatino Linotype"/>
          <w:i/>
          <w:sz w:val="20"/>
          <w:szCs w:val="20"/>
        </w:rPr>
        <w:t>…</w:t>
      </w:r>
    </w:p>
    <w:p w14:paraId="53BB5673" w14:textId="77777777" w:rsidR="002B2F6D" w:rsidRPr="001653DF" w:rsidRDefault="002B2F6D">
      <w:pPr>
        <w:spacing w:line="360" w:lineRule="auto"/>
        <w:ind w:left="567" w:right="-599"/>
        <w:jc w:val="both"/>
        <w:rPr>
          <w:rFonts w:ascii="Palatino Linotype" w:eastAsia="Palatino Linotype" w:hAnsi="Palatino Linotype" w:cs="Palatino Linotype"/>
          <w:i/>
        </w:rPr>
      </w:pPr>
    </w:p>
    <w:p w14:paraId="54F05B55" w14:textId="77777777" w:rsidR="008326E9" w:rsidRPr="001653DF" w:rsidRDefault="008326E9" w:rsidP="008326E9">
      <w:pPr>
        <w:pStyle w:val="Prrafodelista"/>
        <w:numPr>
          <w:ilvl w:val="0"/>
          <w:numId w:val="3"/>
        </w:numPr>
        <w:spacing w:line="360" w:lineRule="auto"/>
        <w:ind w:left="0" w:firstLine="0"/>
        <w:jc w:val="both"/>
        <w:rPr>
          <w:rFonts w:ascii="Palatino Linotype" w:eastAsia="Calibri" w:hAnsi="Palatino Linotype" w:cs="Tahoma"/>
          <w:iCs/>
          <w:lang w:val="es-ES" w:eastAsia="es-ES_tradnl"/>
        </w:rPr>
      </w:pPr>
      <w:r w:rsidRPr="001653DF">
        <w:rPr>
          <w:rFonts w:ascii="Palatino Linotype" w:eastAsia="Calibri" w:hAnsi="Palatino Linotype" w:cs="Tahoma"/>
          <w:iCs/>
          <w:lang w:eastAsia="es-ES_tradnl"/>
        </w:rPr>
        <w:t xml:space="preserve">Así de lo anterior, se advierte que el Plan de Desarrollo Municipal es el instrumento de planeación que tiene la capacidad de asignar recursos para la ejecución y el </w:t>
      </w:r>
      <w:r w:rsidRPr="001653DF">
        <w:rPr>
          <w:rFonts w:ascii="Palatino Linotype" w:eastAsia="Calibri" w:hAnsi="Palatino Linotype" w:cs="Tahoma"/>
          <w:bCs/>
          <w:iCs/>
          <w:lang w:eastAsia="es-ES_tradnl"/>
        </w:rPr>
        <w:t xml:space="preserve">desarrollo </w:t>
      </w:r>
      <w:r w:rsidRPr="001653DF">
        <w:rPr>
          <w:rFonts w:ascii="Palatino Linotype" w:eastAsia="Calibri" w:hAnsi="Palatino Linotype" w:cs="Tahoma"/>
          <w:iCs/>
          <w:lang w:eastAsia="es-ES_tradnl"/>
        </w:rPr>
        <w:t xml:space="preserve">de los proyectos relacionados con el </w:t>
      </w:r>
      <w:r w:rsidRPr="001653DF">
        <w:rPr>
          <w:rFonts w:ascii="Palatino Linotype" w:eastAsia="Calibri" w:hAnsi="Palatino Linotype" w:cs="Tahoma"/>
          <w:bCs/>
          <w:iCs/>
          <w:lang w:eastAsia="es-ES_tradnl"/>
        </w:rPr>
        <w:t>objetivo</w:t>
      </w:r>
      <w:r w:rsidRPr="001653DF">
        <w:rPr>
          <w:rFonts w:ascii="Palatino Linotype" w:eastAsia="Calibri" w:hAnsi="Palatino Linotype" w:cs="Tahoma"/>
          <w:b/>
          <w:bCs/>
          <w:iCs/>
          <w:lang w:eastAsia="es-ES_tradnl"/>
        </w:rPr>
        <w:t xml:space="preserve"> </w:t>
      </w:r>
      <w:r w:rsidRPr="001653DF">
        <w:rPr>
          <w:rFonts w:ascii="Palatino Linotype" w:eastAsia="Calibri" w:hAnsi="Palatino Linotype" w:cs="Tahoma"/>
          <w:iCs/>
          <w:lang w:eastAsia="es-ES_tradnl"/>
        </w:rPr>
        <w:t xml:space="preserve">de </w:t>
      </w:r>
      <w:r w:rsidRPr="001653DF">
        <w:rPr>
          <w:rFonts w:ascii="Palatino Linotype" w:eastAsia="Calibri" w:hAnsi="Palatino Linotype" w:cs="Tahoma"/>
          <w:bCs/>
          <w:iCs/>
          <w:lang w:eastAsia="es-ES_tradnl"/>
        </w:rPr>
        <w:t xml:space="preserve">desarrollo </w:t>
      </w:r>
      <w:r w:rsidRPr="001653DF">
        <w:rPr>
          <w:rFonts w:ascii="Palatino Linotype" w:eastAsia="Calibri" w:hAnsi="Palatino Linotype" w:cs="Tahoma"/>
          <w:iCs/>
          <w:lang w:eastAsia="es-ES_tradnl"/>
        </w:rPr>
        <w:t xml:space="preserve">territorial durante la vigencia de un periodo de gobierno, dentro del cual se encuentra el uso de suelo, además </w:t>
      </w:r>
      <w:r w:rsidRPr="001653DF">
        <w:rPr>
          <w:rFonts w:ascii="Palatino Linotype" w:eastAsia="Calibri" w:hAnsi="Palatino Linotype" w:cs="Tahoma"/>
          <w:iCs/>
          <w:lang w:val="es-ES" w:eastAsia="es-ES_tradnl"/>
        </w:rPr>
        <w:t xml:space="preserve">el Código Administrativo del Estado de México en su artículo 5.10, </w:t>
      </w:r>
      <w:r w:rsidRPr="001653DF">
        <w:rPr>
          <w:rFonts w:ascii="Palatino Linotype" w:eastAsia="Calibri" w:hAnsi="Palatino Linotype" w:cs="Tahoma"/>
          <w:iCs/>
          <w:lang w:val="es-ES" w:eastAsia="es-ES_tradnl"/>
        </w:rPr>
        <w:lastRenderedPageBreak/>
        <w:t xml:space="preserve">fracción VI señala que los municipios tendrán la atribución de expedir cédulas informativas de zonificación, </w:t>
      </w:r>
      <w:r w:rsidRPr="001653DF">
        <w:rPr>
          <w:rFonts w:ascii="Palatino Linotype" w:eastAsia="Calibri" w:hAnsi="Palatino Linotype" w:cs="Tahoma"/>
          <w:iCs/>
          <w:u w:val="single"/>
          <w:lang w:val="es-ES" w:eastAsia="es-ES_tradnl"/>
        </w:rPr>
        <w:t>licencias de uso de suelo y licencias de construcción</w:t>
      </w:r>
      <w:r w:rsidRPr="001653DF">
        <w:rPr>
          <w:rFonts w:ascii="Palatino Linotype" w:eastAsia="Calibri" w:hAnsi="Palatino Linotype" w:cs="Tahoma"/>
          <w:iCs/>
          <w:lang w:val="es-ES" w:eastAsia="es-ES_tradnl"/>
        </w:rPr>
        <w:t>.</w:t>
      </w:r>
    </w:p>
    <w:p w14:paraId="23ECB8C0" w14:textId="77777777" w:rsidR="008326E9" w:rsidRPr="001653DF" w:rsidRDefault="008326E9" w:rsidP="008326E9">
      <w:pPr>
        <w:tabs>
          <w:tab w:val="left" w:pos="4962"/>
        </w:tabs>
        <w:spacing w:line="360" w:lineRule="auto"/>
        <w:jc w:val="both"/>
        <w:rPr>
          <w:rFonts w:ascii="Palatino Linotype" w:eastAsia="Calibri" w:hAnsi="Palatino Linotype" w:cs="Tahoma"/>
          <w:iCs/>
          <w:lang w:val="es-ES" w:eastAsia="es-ES_tradnl"/>
        </w:rPr>
      </w:pPr>
    </w:p>
    <w:p w14:paraId="4B7874AB" w14:textId="77777777" w:rsidR="008326E9" w:rsidRPr="001653DF" w:rsidRDefault="008326E9" w:rsidP="00507EFD">
      <w:pPr>
        <w:pStyle w:val="Prrafodelista"/>
        <w:numPr>
          <w:ilvl w:val="0"/>
          <w:numId w:val="3"/>
        </w:numPr>
        <w:spacing w:line="360" w:lineRule="auto"/>
        <w:ind w:left="0" w:firstLine="0"/>
        <w:jc w:val="both"/>
        <w:rPr>
          <w:rFonts w:ascii="Palatino Linotype" w:eastAsia="Calibri" w:hAnsi="Palatino Linotype" w:cs="Tahoma"/>
          <w:iCs/>
          <w:lang w:val="es-ES" w:eastAsia="es-ES_tradnl"/>
        </w:rPr>
      </w:pPr>
      <w:r w:rsidRPr="001653DF">
        <w:rPr>
          <w:rFonts w:ascii="Palatino Linotype" w:eastAsia="Calibri" w:hAnsi="Palatino Linotype" w:cs="Tahoma"/>
          <w:iCs/>
          <w:lang w:val="es-ES" w:eastAsia="es-ES_tradnl"/>
        </w:rPr>
        <w:t>Por su parte el Reglamento del Libro Quinto del Código Administrativo del Estado de México, sobre las licencias de uso de suelo señala lo siguiente:</w:t>
      </w:r>
    </w:p>
    <w:p w14:paraId="67209292" w14:textId="77777777" w:rsidR="008326E9" w:rsidRPr="001653DF" w:rsidRDefault="008326E9" w:rsidP="008326E9">
      <w:pPr>
        <w:tabs>
          <w:tab w:val="left" w:pos="4962"/>
        </w:tabs>
        <w:spacing w:line="360" w:lineRule="auto"/>
        <w:jc w:val="both"/>
        <w:rPr>
          <w:rFonts w:ascii="Palatino Linotype" w:eastAsia="Calibri" w:hAnsi="Palatino Linotype" w:cs="Tahoma"/>
          <w:iCs/>
          <w:lang w:val="es-ES" w:eastAsia="es-ES_tradnl"/>
        </w:rPr>
      </w:pPr>
    </w:p>
    <w:p w14:paraId="67A3CBB2" w14:textId="77777777" w:rsidR="008326E9" w:rsidRPr="001653DF" w:rsidRDefault="008326E9" w:rsidP="008326E9">
      <w:pPr>
        <w:tabs>
          <w:tab w:val="left" w:pos="4962"/>
        </w:tabs>
        <w:spacing w:line="360" w:lineRule="auto"/>
        <w:ind w:left="567" w:right="539"/>
        <w:jc w:val="both"/>
        <w:rPr>
          <w:rFonts w:ascii="Palatino Linotype" w:eastAsia="Calibri" w:hAnsi="Palatino Linotype" w:cs="Tahoma"/>
          <w:b/>
          <w:i/>
          <w:iCs/>
          <w:sz w:val="20"/>
          <w:lang w:eastAsia="es-ES_tradnl"/>
        </w:rPr>
      </w:pPr>
      <w:r w:rsidRPr="001653DF">
        <w:rPr>
          <w:rFonts w:ascii="Palatino Linotype" w:eastAsia="Calibri" w:hAnsi="Palatino Linotype" w:cs="Tahoma"/>
          <w:b/>
          <w:i/>
          <w:iCs/>
          <w:sz w:val="20"/>
          <w:lang w:eastAsia="es-ES_tradnl"/>
        </w:rPr>
        <w:t>DEL OBJETO DE LA LICENCIA DE USO DEL SUELO</w:t>
      </w:r>
    </w:p>
    <w:p w14:paraId="11CA51A5" w14:textId="77777777" w:rsidR="008326E9" w:rsidRPr="001653DF" w:rsidRDefault="008326E9" w:rsidP="008326E9">
      <w:pPr>
        <w:tabs>
          <w:tab w:val="left" w:pos="4962"/>
        </w:tabs>
        <w:spacing w:line="360" w:lineRule="auto"/>
        <w:ind w:left="567" w:right="539"/>
        <w:jc w:val="both"/>
        <w:rPr>
          <w:rFonts w:ascii="Palatino Linotype" w:eastAsia="Calibri" w:hAnsi="Palatino Linotype" w:cs="Tahoma"/>
          <w:i/>
          <w:iCs/>
          <w:sz w:val="20"/>
          <w:lang w:eastAsia="es-ES_tradnl"/>
        </w:rPr>
      </w:pPr>
      <w:r w:rsidRPr="001653DF">
        <w:rPr>
          <w:rFonts w:ascii="Palatino Linotype" w:eastAsia="Calibri" w:hAnsi="Palatino Linotype" w:cs="Tahoma"/>
          <w:b/>
          <w:i/>
          <w:iCs/>
          <w:sz w:val="20"/>
          <w:lang w:eastAsia="es-ES_tradnl"/>
        </w:rPr>
        <w:t>Artículo 135.</w:t>
      </w:r>
      <w:r w:rsidRPr="001653DF">
        <w:rPr>
          <w:rFonts w:ascii="Palatino Linotype" w:eastAsia="Calibri" w:hAnsi="Palatino Linotype" w:cs="Tahoma"/>
          <w:i/>
          <w:iCs/>
          <w:sz w:val="20"/>
          <w:lang w:eastAsia="es-ES_tradnl"/>
        </w:rPr>
        <w:t xml:space="preserve"> La licencia de uso del suelo tendrá por objeto autorizar las normas para el uso y aprovechamiento de un determinado predio tales como: el coeficiente de ocupación del suelo, el coeficiente de utilización del suelo, la altura máxima de edificación, el número de cajones de estacionamiento, y en su caso el alineamiento y número oficial, además de señalar las restricciones correspondientes del Plan Municipal de Desarrollo Urbano correspondiente. A solicitud del interesado la licencia de uso del suelo podrá contener también el alineamiento y número oficial.</w:t>
      </w:r>
    </w:p>
    <w:p w14:paraId="19AAE296" w14:textId="77777777" w:rsidR="008326E9" w:rsidRPr="001653DF" w:rsidRDefault="008326E9" w:rsidP="008326E9">
      <w:pPr>
        <w:tabs>
          <w:tab w:val="left" w:pos="4962"/>
        </w:tabs>
        <w:spacing w:line="360" w:lineRule="auto"/>
        <w:ind w:left="567" w:right="539"/>
        <w:jc w:val="both"/>
        <w:rPr>
          <w:rFonts w:ascii="Palatino Linotype" w:eastAsia="Calibri" w:hAnsi="Palatino Linotype" w:cs="Tahoma"/>
          <w:b/>
          <w:i/>
          <w:iCs/>
          <w:sz w:val="20"/>
          <w:lang w:eastAsia="es-ES_tradnl"/>
        </w:rPr>
      </w:pPr>
    </w:p>
    <w:p w14:paraId="4BC35E72" w14:textId="77777777" w:rsidR="008326E9" w:rsidRPr="001653DF" w:rsidRDefault="008326E9" w:rsidP="008326E9">
      <w:pPr>
        <w:tabs>
          <w:tab w:val="left" w:pos="4962"/>
        </w:tabs>
        <w:spacing w:line="360" w:lineRule="auto"/>
        <w:ind w:left="567" w:right="539"/>
        <w:jc w:val="both"/>
        <w:rPr>
          <w:rFonts w:ascii="Palatino Linotype" w:eastAsia="Calibri" w:hAnsi="Palatino Linotype" w:cs="Tahoma"/>
          <w:i/>
          <w:iCs/>
          <w:sz w:val="20"/>
          <w:lang w:eastAsia="es-ES_tradnl"/>
        </w:rPr>
      </w:pPr>
      <w:r w:rsidRPr="001653DF">
        <w:rPr>
          <w:rFonts w:ascii="Palatino Linotype" w:eastAsia="Calibri" w:hAnsi="Palatino Linotype" w:cs="Tahoma"/>
          <w:b/>
          <w:i/>
          <w:iCs/>
          <w:sz w:val="20"/>
          <w:lang w:eastAsia="es-ES_tradnl"/>
        </w:rPr>
        <w:t>DEL PROCEDIMIENTO PARA OBTENER LICENCIA DE USO DEL SUELO</w:t>
      </w:r>
      <w:r w:rsidRPr="001653DF">
        <w:rPr>
          <w:rFonts w:ascii="Palatino Linotype" w:eastAsia="Calibri" w:hAnsi="Palatino Linotype" w:cs="Tahoma"/>
          <w:i/>
          <w:iCs/>
          <w:sz w:val="20"/>
          <w:lang w:eastAsia="es-ES_tradnl"/>
        </w:rPr>
        <w:t xml:space="preserve"> </w:t>
      </w:r>
    </w:p>
    <w:p w14:paraId="210B1FF8" w14:textId="77777777" w:rsidR="008326E9" w:rsidRPr="001653DF" w:rsidRDefault="008326E9" w:rsidP="008326E9">
      <w:pPr>
        <w:tabs>
          <w:tab w:val="left" w:pos="4962"/>
        </w:tabs>
        <w:spacing w:line="360" w:lineRule="auto"/>
        <w:ind w:left="567" w:right="539"/>
        <w:jc w:val="both"/>
        <w:rPr>
          <w:rFonts w:ascii="Palatino Linotype" w:eastAsia="Calibri" w:hAnsi="Palatino Linotype" w:cs="Tahoma"/>
          <w:i/>
          <w:iCs/>
          <w:sz w:val="20"/>
          <w:lang w:eastAsia="es-ES_tradnl"/>
        </w:rPr>
      </w:pPr>
      <w:r w:rsidRPr="001653DF">
        <w:rPr>
          <w:rFonts w:ascii="Palatino Linotype" w:eastAsia="Calibri" w:hAnsi="Palatino Linotype" w:cs="Tahoma"/>
          <w:b/>
          <w:i/>
          <w:iCs/>
          <w:sz w:val="20"/>
          <w:lang w:eastAsia="es-ES_tradnl"/>
        </w:rPr>
        <w:t>Artículo 136.</w:t>
      </w:r>
      <w:r w:rsidRPr="001653DF">
        <w:rPr>
          <w:rFonts w:ascii="Palatino Linotype" w:eastAsia="Calibri" w:hAnsi="Palatino Linotype" w:cs="Tahoma"/>
          <w:i/>
          <w:iCs/>
          <w:sz w:val="20"/>
          <w:lang w:eastAsia="es-ES_tradnl"/>
        </w:rPr>
        <w:t xml:space="preserve"> El procedimiento para obtener licencia de uso del suelo se sujetará a lo siguiente:</w:t>
      </w:r>
    </w:p>
    <w:p w14:paraId="42D63DCB" w14:textId="77777777" w:rsidR="008326E9" w:rsidRPr="001653DF" w:rsidRDefault="008326E9" w:rsidP="008326E9">
      <w:pPr>
        <w:tabs>
          <w:tab w:val="left" w:pos="4962"/>
        </w:tabs>
        <w:spacing w:line="360" w:lineRule="auto"/>
        <w:ind w:left="567" w:right="539"/>
        <w:jc w:val="both"/>
        <w:rPr>
          <w:rFonts w:ascii="Palatino Linotype" w:eastAsia="Calibri" w:hAnsi="Palatino Linotype" w:cs="Tahoma"/>
          <w:i/>
          <w:iCs/>
          <w:sz w:val="20"/>
          <w:lang w:val="es-ES" w:eastAsia="es-ES_tradnl"/>
        </w:rPr>
      </w:pPr>
      <w:r w:rsidRPr="001653DF">
        <w:rPr>
          <w:rFonts w:ascii="Palatino Linotype" w:eastAsia="Calibri" w:hAnsi="Palatino Linotype" w:cs="Tahoma"/>
          <w:i/>
          <w:iCs/>
          <w:sz w:val="20"/>
          <w:lang w:val="es-ES" w:eastAsia="es-ES_tradnl"/>
        </w:rPr>
        <w:t>I. El interesado presentará solicitud ante la autoridad competente, en la que señalará lo siguiente:</w:t>
      </w:r>
    </w:p>
    <w:p w14:paraId="300D6046" w14:textId="77777777" w:rsidR="008326E9" w:rsidRPr="001653DF" w:rsidRDefault="008326E9" w:rsidP="008326E9">
      <w:pPr>
        <w:tabs>
          <w:tab w:val="left" w:pos="4962"/>
        </w:tabs>
        <w:spacing w:line="360" w:lineRule="auto"/>
        <w:ind w:left="567" w:right="539"/>
        <w:jc w:val="both"/>
        <w:rPr>
          <w:rFonts w:ascii="Palatino Linotype" w:eastAsia="Calibri" w:hAnsi="Palatino Linotype" w:cs="Tahoma"/>
          <w:i/>
          <w:iCs/>
          <w:sz w:val="20"/>
          <w:lang w:val="es-ES" w:eastAsia="es-ES_tradnl"/>
        </w:rPr>
      </w:pPr>
      <w:r w:rsidRPr="001653DF">
        <w:rPr>
          <w:rFonts w:ascii="Palatino Linotype" w:eastAsia="Calibri" w:hAnsi="Palatino Linotype" w:cs="Tahoma"/>
          <w:i/>
          <w:iCs/>
          <w:sz w:val="20"/>
          <w:lang w:val="es-ES" w:eastAsia="es-ES_tradnl"/>
        </w:rPr>
        <w:t>A) Uso actual y pretendido del suelo;</w:t>
      </w:r>
    </w:p>
    <w:p w14:paraId="0C333ADE" w14:textId="77777777" w:rsidR="008326E9" w:rsidRPr="001653DF" w:rsidRDefault="008326E9" w:rsidP="008326E9">
      <w:pPr>
        <w:tabs>
          <w:tab w:val="left" w:pos="4962"/>
        </w:tabs>
        <w:spacing w:line="360" w:lineRule="auto"/>
        <w:ind w:left="567" w:right="539"/>
        <w:jc w:val="both"/>
        <w:rPr>
          <w:rFonts w:ascii="Palatino Linotype" w:eastAsia="Calibri" w:hAnsi="Palatino Linotype" w:cs="Tahoma"/>
          <w:i/>
          <w:iCs/>
          <w:sz w:val="20"/>
          <w:lang w:val="es-ES" w:eastAsia="es-ES_tradnl"/>
        </w:rPr>
      </w:pPr>
      <w:r w:rsidRPr="001653DF">
        <w:rPr>
          <w:rFonts w:ascii="Palatino Linotype" w:eastAsia="Calibri" w:hAnsi="Palatino Linotype" w:cs="Tahoma"/>
          <w:i/>
          <w:iCs/>
          <w:sz w:val="20"/>
          <w:lang w:val="es-ES" w:eastAsia="es-ES_tradnl"/>
        </w:rPr>
        <w:t>B) Superficie total del predio;</w:t>
      </w:r>
    </w:p>
    <w:p w14:paraId="24661D88" w14:textId="77777777" w:rsidR="008326E9" w:rsidRPr="001653DF" w:rsidRDefault="008326E9" w:rsidP="008326E9">
      <w:pPr>
        <w:tabs>
          <w:tab w:val="left" w:pos="4962"/>
        </w:tabs>
        <w:spacing w:line="360" w:lineRule="auto"/>
        <w:ind w:left="567" w:right="539"/>
        <w:jc w:val="both"/>
        <w:rPr>
          <w:rFonts w:ascii="Palatino Linotype" w:eastAsia="Calibri" w:hAnsi="Palatino Linotype" w:cs="Tahoma"/>
          <w:i/>
          <w:iCs/>
          <w:sz w:val="20"/>
          <w:lang w:val="es-ES" w:eastAsia="es-ES_tradnl"/>
        </w:rPr>
      </w:pPr>
      <w:r w:rsidRPr="001653DF">
        <w:rPr>
          <w:rFonts w:ascii="Palatino Linotype" w:eastAsia="Calibri" w:hAnsi="Palatino Linotype" w:cs="Tahoma"/>
          <w:i/>
          <w:iCs/>
          <w:sz w:val="20"/>
          <w:lang w:val="es-ES" w:eastAsia="es-ES_tradnl"/>
        </w:rPr>
        <w:t>C) Superficie construida o por construir;</w:t>
      </w:r>
    </w:p>
    <w:p w14:paraId="7C87BDCC" w14:textId="77777777" w:rsidR="008326E9" w:rsidRPr="001653DF" w:rsidRDefault="008326E9" w:rsidP="008326E9">
      <w:pPr>
        <w:tabs>
          <w:tab w:val="left" w:pos="4962"/>
        </w:tabs>
        <w:spacing w:line="360" w:lineRule="auto"/>
        <w:ind w:left="567" w:right="539"/>
        <w:jc w:val="both"/>
        <w:rPr>
          <w:rFonts w:ascii="Palatino Linotype" w:eastAsia="Calibri" w:hAnsi="Palatino Linotype" w:cs="Tahoma"/>
          <w:i/>
          <w:iCs/>
          <w:sz w:val="20"/>
          <w:lang w:val="es-ES" w:eastAsia="es-ES_tradnl"/>
        </w:rPr>
      </w:pPr>
      <w:r w:rsidRPr="001653DF">
        <w:rPr>
          <w:rFonts w:ascii="Palatino Linotype" w:eastAsia="Calibri" w:hAnsi="Palatino Linotype" w:cs="Tahoma"/>
          <w:i/>
          <w:iCs/>
          <w:sz w:val="20"/>
          <w:lang w:val="es-ES" w:eastAsia="es-ES_tradnl"/>
        </w:rPr>
        <w:t>D) Clave catastral, si la hubiere;</w:t>
      </w:r>
    </w:p>
    <w:p w14:paraId="7E8941AD" w14:textId="77777777" w:rsidR="008326E9" w:rsidRPr="001653DF" w:rsidRDefault="008326E9" w:rsidP="008326E9">
      <w:pPr>
        <w:tabs>
          <w:tab w:val="left" w:pos="4962"/>
        </w:tabs>
        <w:spacing w:line="360" w:lineRule="auto"/>
        <w:ind w:left="567" w:right="539"/>
        <w:jc w:val="both"/>
        <w:rPr>
          <w:rFonts w:ascii="Palatino Linotype" w:eastAsia="Calibri" w:hAnsi="Palatino Linotype" w:cs="Tahoma"/>
          <w:i/>
          <w:iCs/>
          <w:sz w:val="20"/>
          <w:lang w:val="es-ES" w:eastAsia="es-ES_tradnl"/>
        </w:rPr>
      </w:pPr>
      <w:r w:rsidRPr="001653DF">
        <w:rPr>
          <w:rFonts w:ascii="Palatino Linotype" w:eastAsia="Calibri" w:hAnsi="Palatino Linotype" w:cs="Tahoma"/>
          <w:i/>
          <w:iCs/>
          <w:sz w:val="20"/>
          <w:lang w:val="es-ES" w:eastAsia="es-ES_tradnl"/>
        </w:rPr>
        <w:t>E) Localización del inmueble, a través de representación gráfica (croquis);</w:t>
      </w:r>
    </w:p>
    <w:p w14:paraId="72A992BD" w14:textId="77777777" w:rsidR="008326E9" w:rsidRPr="001653DF" w:rsidRDefault="008326E9" w:rsidP="008326E9">
      <w:pPr>
        <w:tabs>
          <w:tab w:val="left" w:pos="4962"/>
        </w:tabs>
        <w:spacing w:line="360" w:lineRule="auto"/>
        <w:ind w:left="567" w:right="539"/>
        <w:jc w:val="both"/>
        <w:rPr>
          <w:rFonts w:ascii="Palatino Linotype" w:eastAsia="Calibri" w:hAnsi="Palatino Linotype" w:cs="Tahoma"/>
          <w:i/>
          <w:iCs/>
          <w:sz w:val="20"/>
          <w:lang w:val="es-ES" w:eastAsia="es-ES_tradnl"/>
        </w:rPr>
      </w:pPr>
      <w:r w:rsidRPr="001653DF">
        <w:rPr>
          <w:rFonts w:ascii="Palatino Linotype" w:eastAsia="Calibri" w:hAnsi="Palatino Linotype" w:cs="Tahoma"/>
          <w:i/>
          <w:iCs/>
          <w:sz w:val="20"/>
          <w:lang w:val="es-ES" w:eastAsia="es-ES_tradnl"/>
        </w:rPr>
        <w:t>II. A la solicitud se acompañarán los documentos siguientes:</w:t>
      </w:r>
    </w:p>
    <w:p w14:paraId="6E6F5777" w14:textId="77777777" w:rsidR="008326E9" w:rsidRPr="001653DF" w:rsidRDefault="008326E9" w:rsidP="008326E9">
      <w:pPr>
        <w:tabs>
          <w:tab w:val="left" w:pos="4962"/>
        </w:tabs>
        <w:spacing w:line="360" w:lineRule="auto"/>
        <w:ind w:left="567" w:right="539"/>
        <w:jc w:val="both"/>
        <w:rPr>
          <w:rFonts w:ascii="Palatino Linotype" w:eastAsia="Calibri" w:hAnsi="Palatino Linotype" w:cs="Tahoma"/>
          <w:i/>
          <w:iCs/>
          <w:sz w:val="20"/>
          <w:lang w:val="es-ES" w:eastAsia="es-ES_tradnl"/>
        </w:rPr>
      </w:pPr>
      <w:r w:rsidRPr="001653DF">
        <w:rPr>
          <w:rFonts w:ascii="Palatino Linotype" w:eastAsia="Calibri" w:hAnsi="Palatino Linotype" w:cs="Tahoma"/>
          <w:i/>
          <w:iCs/>
          <w:sz w:val="20"/>
          <w:lang w:val="es-ES" w:eastAsia="es-ES_tradnl"/>
        </w:rPr>
        <w:lastRenderedPageBreak/>
        <w:t>A) Título de propiedad y certificado de inscripción en el Instituto de la Función Registral del Estado de México;</w:t>
      </w:r>
    </w:p>
    <w:p w14:paraId="407B6558" w14:textId="77777777" w:rsidR="008326E9" w:rsidRPr="001653DF" w:rsidRDefault="008326E9" w:rsidP="008326E9">
      <w:pPr>
        <w:tabs>
          <w:tab w:val="left" w:pos="4962"/>
        </w:tabs>
        <w:spacing w:line="360" w:lineRule="auto"/>
        <w:ind w:left="567" w:right="539"/>
        <w:jc w:val="both"/>
        <w:rPr>
          <w:rFonts w:ascii="Palatino Linotype" w:eastAsia="Calibri" w:hAnsi="Palatino Linotype" w:cs="Tahoma"/>
          <w:i/>
          <w:iCs/>
          <w:sz w:val="20"/>
          <w:lang w:val="es-ES" w:eastAsia="es-ES_tradnl"/>
        </w:rPr>
      </w:pPr>
      <w:r w:rsidRPr="001653DF">
        <w:rPr>
          <w:rFonts w:ascii="Palatino Linotype" w:eastAsia="Calibri" w:hAnsi="Palatino Linotype" w:cs="Tahoma"/>
          <w:i/>
          <w:iCs/>
          <w:sz w:val="20"/>
          <w:lang w:val="es-ES" w:eastAsia="es-ES_tradnl"/>
        </w:rPr>
        <w:t>B) En caso de posesión del inmueble o predio, podrá acreditarse con alguno de los documentos siguientes:</w:t>
      </w:r>
      <w:r w:rsidRPr="001653DF">
        <w:rPr>
          <w:rFonts w:ascii="Palatino Linotype" w:eastAsia="Calibri" w:hAnsi="Palatino Linotype" w:cs="Tahoma"/>
          <w:i/>
          <w:iCs/>
          <w:sz w:val="20"/>
          <w:lang w:val="es-ES" w:eastAsia="es-ES_tradnl"/>
        </w:rPr>
        <w:cr/>
      </w:r>
      <w:r w:rsidRPr="001653DF">
        <w:rPr>
          <w:rFonts w:ascii="Palatino Linotype" w:hAnsi="Palatino Linotype"/>
          <w:sz w:val="20"/>
          <w:szCs w:val="20"/>
          <w:lang w:eastAsia="es-ES"/>
        </w:rPr>
        <w:t xml:space="preserve"> </w:t>
      </w:r>
      <w:r w:rsidRPr="001653DF">
        <w:rPr>
          <w:rFonts w:ascii="Palatino Linotype" w:eastAsia="Calibri" w:hAnsi="Palatino Linotype" w:cs="Tahoma"/>
          <w:i/>
          <w:iCs/>
          <w:sz w:val="20"/>
          <w:lang w:val="es-ES" w:eastAsia="es-ES_tradnl"/>
        </w:rPr>
        <w:t>1. Contrato de compra-venta, usufructo, comodato o arrendamiento vigente sobre el inmueble;</w:t>
      </w:r>
    </w:p>
    <w:p w14:paraId="58EBB736" w14:textId="77777777" w:rsidR="008326E9" w:rsidRPr="001653DF" w:rsidRDefault="008326E9" w:rsidP="008326E9">
      <w:pPr>
        <w:tabs>
          <w:tab w:val="left" w:pos="4962"/>
        </w:tabs>
        <w:spacing w:line="360" w:lineRule="auto"/>
        <w:ind w:left="567" w:right="539"/>
        <w:jc w:val="both"/>
        <w:rPr>
          <w:rFonts w:ascii="Palatino Linotype" w:eastAsia="Calibri" w:hAnsi="Palatino Linotype" w:cs="Tahoma"/>
          <w:i/>
          <w:iCs/>
          <w:sz w:val="20"/>
          <w:lang w:val="es-ES" w:eastAsia="es-ES_tradnl"/>
        </w:rPr>
      </w:pPr>
      <w:r w:rsidRPr="001653DF">
        <w:rPr>
          <w:rFonts w:ascii="Palatino Linotype" w:eastAsia="Calibri" w:hAnsi="Palatino Linotype" w:cs="Tahoma"/>
          <w:i/>
          <w:iCs/>
          <w:sz w:val="20"/>
          <w:lang w:val="es-ES" w:eastAsia="es-ES_tradnl"/>
        </w:rPr>
        <w:t>2. Resolución judicial firme que constituya o declare la propiedad o posesión o cualquier otro derecho real o personal vigente a favor del solicitante sobre el inmueble;</w:t>
      </w:r>
    </w:p>
    <w:p w14:paraId="65E06F14" w14:textId="77777777" w:rsidR="008326E9" w:rsidRPr="001653DF" w:rsidRDefault="008326E9" w:rsidP="008326E9">
      <w:pPr>
        <w:tabs>
          <w:tab w:val="left" w:pos="4962"/>
        </w:tabs>
        <w:spacing w:line="360" w:lineRule="auto"/>
        <w:ind w:left="567" w:right="539"/>
        <w:jc w:val="both"/>
        <w:rPr>
          <w:rFonts w:ascii="Palatino Linotype" w:eastAsia="Calibri" w:hAnsi="Palatino Linotype" w:cs="Tahoma"/>
          <w:i/>
          <w:iCs/>
          <w:sz w:val="20"/>
          <w:lang w:val="es-ES" w:eastAsia="es-ES_tradnl"/>
        </w:rPr>
      </w:pPr>
      <w:r w:rsidRPr="001653DF">
        <w:rPr>
          <w:rFonts w:ascii="Palatino Linotype" w:eastAsia="Calibri" w:hAnsi="Palatino Linotype" w:cs="Tahoma"/>
          <w:i/>
          <w:iCs/>
          <w:sz w:val="20"/>
          <w:lang w:val="es-ES" w:eastAsia="es-ES_tradnl"/>
        </w:rPr>
        <w:t>3. Inmatriculación administrativa;</w:t>
      </w:r>
    </w:p>
    <w:p w14:paraId="6E1231A6" w14:textId="77777777" w:rsidR="008326E9" w:rsidRPr="001653DF" w:rsidRDefault="008326E9" w:rsidP="008326E9">
      <w:pPr>
        <w:tabs>
          <w:tab w:val="left" w:pos="4962"/>
        </w:tabs>
        <w:spacing w:line="360" w:lineRule="auto"/>
        <w:ind w:left="567" w:right="539"/>
        <w:jc w:val="both"/>
        <w:rPr>
          <w:rFonts w:ascii="Palatino Linotype" w:eastAsia="Calibri" w:hAnsi="Palatino Linotype" w:cs="Tahoma"/>
          <w:i/>
          <w:iCs/>
          <w:sz w:val="20"/>
          <w:lang w:val="es-ES" w:eastAsia="es-ES_tradnl"/>
        </w:rPr>
      </w:pPr>
      <w:r w:rsidRPr="001653DF">
        <w:rPr>
          <w:rFonts w:ascii="Palatino Linotype" w:eastAsia="Calibri" w:hAnsi="Palatino Linotype" w:cs="Tahoma"/>
          <w:i/>
          <w:iCs/>
          <w:sz w:val="20"/>
          <w:lang w:val="es-ES" w:eastAsia="es-ES_tradnl"/>
        </w:rPr>
        <w:t>4. Recibo de pago del impuesto sobre traslación de dominio;</w:t>
      </w:r>
    </w:p>
    <w:p w14:paraId="4B078FE9" w14:textId="77777777" w:rsidR="008326E9" w:rsidRPr="001653DF" w:rsidRDefault="008326E9" w:rsidP="008326E9">
      <w:pPr>
        <w:tabs>
          <w:tab w:val="left" w:pos="4962"/>
        </w:tabs>
        <w:spacing w:line="360" w:lineRule="auto"/>
        <w:ind w:left="567" w:right="539"/>
        <w:jc w:val="both"/>
        <w:rPr>
          <w:rFonts w:ascii="Palatino Linotype" w:eastAsia="Calibri" w:hAnsi="Palatino Linotype" w:cs="Tahoma"/>
          <w:i/>
          <w:iCs/>
          <w:sz w:val="20"/>
          <w:lang w:val="es-ES" w:eastAsia="es-ES_tradnl"/>
        </w:rPr>
      </w:pPr>
      <w:r w:rsidRPr="001653DF">
        <w:rPr>
          <w:rFonts w:ascii="Palatino Linotype" w:eastAsia="Calibri" w:hAnsi="Palatino Linotype" w:cs="Tahoma"/>
          <w:i/>
          <w:iCs/>
          <w:sz w:val="20"/>
          <w:lang w:val="es-ES" w:eastAsia="es-ES_tradnl"/>
        </w:rPr>
        <w:t>5. Acta de entrega de la posesión, en caso de viviendas;</w:t>
      </w:r>
    </w:p>
    <w:p w14:paraId="7C28B8FB" w14:textId="77777777" w:rsidR="008326E9" w:rsidRPr="001653DF" w:rsidRDefault="008326E9" w:rsidP="008326E9">
      <w:pPr>
        <w:tabs>
          <w:tab w:val="left" w:pos="4962"/>
        </w:tabs>
        <w:spacing w:line="360" w:lineRule="auto"/>
        <w:ind w:left="567" w:right="539"/>
        <w:jc w:val="both"/>
        <w:rPr>
          <w:rFonts w:ascii="Palatino Linotype" w:eastAsia="Calibri" w:hAnsi="Palatino Linotype" w:cs="Tahoma"/>
          <w:i/>
          <w:iCs/>
          <w:sz w:val="20"/>
          <w:lang w:val="es-ES" w:eastAsia="es-ES_tradnl"/>
        </w:rPr>
      </w:pPr>
      <w:r w:rsidRPr="001653DF">
        <w:rPr>
          <w:rFonts w:ascii="Palatino Linotype" w:eastAsia="Calibri" w:hAnsi="Palatino Linotype" w:cs="Tahoma"/>
          <w:i/>
          <w:iCs/>
          <w:sz w:val="20"/>
          <w:lang w:val="es-ES" w:eastAsia="es-ES_tradnl"/>
        </w:rPr>
        <w:t>6. Cédula de contratación con el Instituto;</w:t>
      </w:r>
    </w:p>
    <w:p w14:paraId="414D5F22" w14:textId="77777777" w:rsidR="008326E9" w:rsidRPr="001653DF" w:rsidRDefault="008326E9" w:rsidP="008326E9">
      <w:pPr>
        <w:tabs>
          <w:tab w:val="left" w:pos="4962"/>
        </w:tabs>
        <w:spacing w:line="360" w:lineRule="auto"/>
        <w:ind w:left="567" w:right="539"/>
        <w:jc w:val="both"/>
        <w:rPr>
          <w:rFonts w:ascii="Palatino Linotype" w:eastAsia="Calibri" w:hAnsi="Palatino Linotype" w:cs="Tahoma"/>
          <w:i/>
          <w:iCs/>
          <w:sz w:val="20"/>
          <w:lang w:val="es-ES" w:eastAsia="es-ES_tradnl"/>
        </w:rPr>
      </w:pPr>
      <w:r w:rsidRPr="001653DF">
        <w:rPr>
          <w:rFonts w:ascii="Palatino Linotype" w:eastAsia="Calibri" w:hAnsi="Palatino Linotype" w:cs="Tahoma"/>
          <w:i/>
          <w:iCs/>
          <w:sz w:val="20"/>
          <w:lang w:val="es-ES" w:eastAsia="es-ES_tradnl"/>
        </w:rPr>
        <w:t>7. En el caso de terrenos ejidales o comunales, certificado parcelario, certificado de derechos agrarios o resolución agraria, cédula de contratación con el Instituto de Suelo Sustentable, y</w:t>
      </w:r>
    </w:p>
    <w:p w14:paraId="50476F32" w14:textId="77777777" w:rsidR="008326E9" w:rsidRPr="001653DF" w:rsidRDefault="008326E9" w:rsidP="008326E9">
      <w:pPr>
        <w:tabs>
          <w:tab w:val="left" w:pos="4962"/>
        </w:tabs>
        <w:spacing w:line="360" w:lineRule="auto"/>
        <w:ind w:left="567" w:right="539"/>
        <w:jc w:val="both"/>
        <w:rPr>
          <w:rFonts w:ascii="Palatino Linotype" w:eastAsia="Calibri" w:hAnsi="Palatino Linotype" w:cs="Tahoma"/>
          <w:i/>
          <w:iCs/>
          <w:sz w:val="20"/>
          <w:lang w:val="es-ES" w:eastAsia="es-ES_tradnl"/>
        </w:rPr>
      </w:pPr>
      <w:r w:rsidRPr="001653DF">
        <w:rPr>
          <w:rFonts w:ascii="Palatino Linotype" w:eastAsia="Calibri" w:hAnsi="Palatino Linotype" w:cs="Tahoma"/>
          <w:i/>
          <w:iCs/>
          <w:sz w:val="20"/>
          <w:lang w:val="es-ES" w:eastAsia="es-ES_tradnl"/>
        </w:rPr>
        <w:t>C) Dictamen Único, en el caso de usos del suelo de impacto urbano a que se refiere el artículo 5.35 del Código.</w:t>
      </w:r>
    </w:p>
    <w:p w14:paraId="5F81B4D1" w14:textId="77777777" w:rsidR="008326E9" w:rsidRPr="001653DF" w:rsidRDefault="008326E9" w:rsidP="008326E9">
      <w:pPr>
        <w:tabs>
          <w:tab w:val="left" w:pos="4962"/>
        </w:tabs>
        <w:spacing w:line="360" w:lineRule="auto"/>
        <w:ind w:left="567" w:right="539"/>
        <w:jc w:val="both"/>
        <w:rPr>
          <w:rFonts w:ascii="Palatino Linotype" w:eastAsia="Calibri" w:hAnsi="Palatino Linotype" w:cs="Tahoma"/>
          <w:i/>
          <w:iCs/>
          <w:sz w:val="20"/>
          <w:lang w:val="es-ES" w:eastAsia="es-ES_tradnl"/>
        </w:rPr>
      </w:pPr>
      <w:r w:rsidRPr="001653DF">
        <w:rPr>
          <w:rFonts w:ascii="Palatino Linotype" w:eastAsia="Calibri" w:hAnsi="Palatino Linotype" w:cs="Tahoma"/>
          <w:i/>
          <w:iCs/>
          <w:sz w:val="20"/>
          <w:lang w:val="es-ES" w:eastAsia="es-ES_tradnl"/>
        </w:rPr>
        <w:t>La autoridad competente expedirá la licencia de uso del suelo dentro de los cinco días siguientes a la presentación de la solicitud y de los documentos que deben acompañarla, previo el pago de los derechos correspondientes, salvo que se solicite la opinión de la Secretaría, cuando no se cuente con plan de desarrollo urbano, en cuyo caso el plazo se extenderá hasta en cinco días mas.</w:t>
      </w:r>
    </w:p>
    <w:p w14:paraId="0E02A619" w14:textId="77777777" w:rsidR="008326E9" w:rsidRPr="001653DF" w:rsidRDefault="008326E9" w:rsidP="008326E9">
      <w:pPr>
        <w:tabs>
          <w:tab w:val="left" w:pos="4962"/>
        </w:tabs>
        <w:spacing w:line="360" w:lineRule="auto"/>
        <w:ind w:left="567" w:right="539"/>
        <w:jc w:val="both"/>
        <w:rPr>
          <w:rFonts w:ascii="Palatino Linotype" w:eastAsia="Calibri" w:hAnsi="Palatino Linotype" w:cs="Tahoma"/>
          <w:b/>
          <w:i/>
          <w:iCs/>
          <w:sz w:val="20"/>
          <w:lang w:val="es-ES" w:eastAsia="es-ES_tradnl"/>
        </w:rPr>
      </w:pPr>
    </w:p>
    <w:p w14:paraId="16AABD57" w14:textId="77777777" w:rsidR="008326E9" w:rsidRPr="001653DF" w:rsidRDefault="008326E9" w:rsidP="008326E9">
      <w:pPr>
        <w:tabs>
          <w:tab w:val="left" w:pos="4962"/>
        </w:tabs>
        <w:spacing w:line="360" w:lineRule="auto"/>
        <w:ind w:left="567" w:right="539"/>
        <w:jc w:val="both"/>
        <w:rPr>
          <w:rFonts w:ascii="Palatino Linotype" w:eastAsia="Calibri" w:hAnsi="Palatino Linotype" w:cs="Tahoma"/>
          <w:b/>
          <w:i/>
          <w:iCs/>
          <w:sz w:val="20"/>
          <w:lang w:val="es-ES" w:eastAsia="es-ES_tradnl"/>
        </w:rPr>
      </w:pPr>
      <w:r w:rsidRPr="001653DF">
        <w:rPr>
          <w:rFonts w:ascii="Palatino Linotype" w:eastAsia="Calibri" w:hAnsi="Palatino Linotype" w:cs="Tahoma"/>
          <w:b/>
          <w:i/>
          <w:iCs/>
          <w:sz w:val="20"/>
          <w:lang w:val="es-ES" w:eastAsia="es-ES_tradnl"/>
        </w:rPr>
        <w:t>DEL CONTENIDO DE LA LICENCIA DE USO DEL SUELO</w:t>
      </w:r>
    </w:p>
    <w:p w14:paraId="2F2E652F" w14:textId="77777777" w:rsidR="008326E9" w:rsidRPr="001653DF" w:rsidRDefault="008326E9" w:rsidP="008326E9">
      <w:pPr>
        <w:tabs>
          <w:tab w:val="left" w:pos="4962"/>
        </w:tabs>
        <w:spacing w:line="360" w:lineRule="auto"/>
        <w:ind w:left="567" w:right="539"/>
        <w:jc w:val="both"/>
        <w:rPr>
          <w:rFonts w:ascii="Palatino Linotype" w:eastAsia="Calibri" w:hAnsi="Palatino Linotype" w:cs="Tahoma"/>
          <w:i/>
          <w:iCs/>
          <w:sz w:val="20"/>
          <w:lang w:val="es-ES" w:eastAsia="es-ES_tradnl"/>
        </w:rPr>
      </w:pPr>
      <w:r w:rsidRPr="001653DF">
        <w:rPr>
          <w:rFonts w:ascii="Palatino Linotype" w:eastAsia="Calibri" w:hAnsi="Palatino Linotype" w:cs="Tahoma"/>
          <w:b/>
          <w:i/>
          <w:iCs/>
          <w:sz w:val="20"/>
          <w:lang w:val="es-ES" w:eastAsia="es-ES_tradnl"/>
        </w:rPr>
        <w:t>Artículo 137</w:t>
      </w:r>
      <w:r w:rsidRPr="001653DF">
        <w:rPr>
          <w:rFonts w:ascii="Palatino Linotype" w:eastAsia="Calibri" w:hAnsi="Palatino Linotype" w:cs="Tahoma"/>
          <w:i/>
          <w:iCs/>
          <w:sz w:val="20"/>
          <w:lang w:val="es-ES" w:eastAsia="es-ES_tradnl"/>
        </w:rPr>
        <w:t>. La licencia de uso del suelo deberá contener, cuando menos, lo siguiente:</w:t>
      </w:r>
    </w:p>
    <w:p w14:paraId="21EC86DB" w14:textId="77777777" w:rsidR="008326E9" w:rsidRPr="001653DF" w:rsidRDefault="008326E9" w:rsidP="008326E9">
      <w:pPr>
        <w:tabs>
          <w:tab w:val="left" w:pos="4962"/>
        </w:tabs>
        <w:spacing w:line="360" w:lineRule="auto"/>
        <w:ind w:left="567" w:right="539"/>
        <w:jc w:val="both"/>
        <w:rPr>
          <w:rFonts w:ascii="Palatino Linotype" w:eastAsia="Calibri" w:hAnsi="Palatino Linotype" w:cs="Tahoma"/>
          <w:i/>
          <w:iCs/>
          <w:sz w:val="20"/>
          <w:lang w:val="es-ES" w:eastAsia="es-ES_tradnl"/>
        </w:rPr>
      </w:pPr>
      <w:r w:rsidRPr="001653DF">
        <w:rPr>
          <w:rFonts w:ascii="Palatino Linotype" w:eastAsia="Calibri" w:hAnsi="Palatino Linotype" w:cs="Tahoma"/>
          <w:i/>
          <w:iCs/>
          <w:sz w:val="20"/>
          <w:lang w:val="es-ES" w:eastAsia="es-ES_tradnl"/>
        </w:rPr>
        <w:t>I. Número de la licencia;</w:t>
      </w:r>
    </w:p>
    <w:p w14:paraId="09FE3DAE" w14:textId="77777777" w:rsidR="008326E9" w:rsidRPr="001653DF" w:rsidRDefault="008326E9" w:rsidP="008326E9">
      <w:pPr>
        <w:tabs>
          <w:tab w:val="left" w:pos="4962"/>
        </w:tabs>
        <w:spacing w:line="360" w:lineRule="auto"/>
        <w:ind w:left="567" w:right="539"/>
        <w:jc w:val="both"/>
        <w:rPr>
          <w:rFonts w:ascii="Palatino Linotype" w:eastAsia="Calibri" w:hAnsi="Palatino Linotype" w:cs="Tahoma"/>
          <w:i/>
          <w:iCs/>
          <w:sz w:val="20"/>
          <w:lang w:val="es-ES" w:eastAsia="es-ES_tradnl"/>
        </w:rPr>
      </w:pPr>
      <w:r w:rsidRPr="001653DF">
        <w:rPr>
          <w:rFonts w:ascii="Palatino Linotype" w:eastAsia="Calibri" w:hAnsi="Palatino Linotype" w:cs="Tahoma"/>
          <w:i/>
          <w:iCs/>
          <w:sz w:val="20"/>
          <w:lang w:val="es-ES" w:eastAsia="es-ES_tradnl"/>
        </w:rPr>
        <w:t>II. Ubicación del predio o inmueble y en su caso, clave catastral;</w:t>
      </w:r>
    </w:p>
    <w:p w14:paraId="7990DF93" w14:textId="77777777" w:rsidR="008326E9" w:rsidRPr="001653DF" w:rsidRDefault="008326E9" w:rsidP="008326E9">
      <w:pPr>
        <w:tabs>
          <w:tab w:val="left" w:pos="4962"/>
        </w:tabs>
        <w:spacing w:line="360" w:lineRule="auto"/>
        <w:ind w:left="567" w:right="539"/>
        <w:jc w:val="both"/>
        <w:rPr>
          <w:rFonts w:ascii="Palatino Linotype" w:eastAsia="Calibri" w:hAnsi="Palatino Linotype" w:cs="Tahoma"/>
          <w:i/>
          <w:iCs/>
          <w:sz w:val="20"/>
          <w:lang w:val="es-ES" w:eastAsia="es-ES_tradnl"/>
        </w:rPr>
      </w:pPr>
      <w:r w:rsidRPr="001653DF">
        <w:rPr>
          <w:rFonts w:ascii="Palatino Linotype" w:eastAsia="Calibri" w:hAnsi="Palatino Linotype" w:cs="Tahoma"/>
          <w:i/>
          <w:iCs/>
          <w:sz w:val="20"/>
          <w:lang w:val="es-ES" w:eastAsia="es-ES_tradnl"/>
        </w:rPr>
        <w:t>III. Nombre y domicilio del solicitante;</w:t>
      </w:r>
    </w:p>
    <w:p w14:paraId="45DE006A" w14:textId="77777777" w:rsidR="008326E9" w:rsidRPr="001653DF" w:rsidRDefault="008326E9" w:rsidP="008326E9">
      <w:pPr>
        <w:tabs>
          <w:tab w:val="left" w:pos="4962"/>
        </w:tabs>
        <w:spacing w:line="360" w:lineRule="auto"/>
        <w:ind w:left="567" w:right="539"/>
        <w:jc w:val="both"/>
        <w:rPr>
          <w:rFonts w:ascii="Palatino Linotype" w:eastAsia="Calibri" w:hAnsi="Palatino Linotype" w:cs="Tahoma"/>
          <w:i/>
          <w:iCs/>
          <w:sz w:val="20"/>
          <w:lang w:val="es-ES" w:eastAsia="es-ES_tradnl"/>
        </w:rPr>
      </w:pPr>
      <w:r w:rsidRPr="001653DF">
        <w:rPr>
          <w:rFonts w:ascii="Palatino Linotype" w:eastAsia="Calibri" w:hAnsi="Palatino Linotype" w:cs="Tahoma"/>
          <w:i/>
          <w:iCs/>
          <w:sz w:val="20"/>
          <w:lang w:val="es-ES" w:eastAsia="es-ES_tradnl"/>
        </w:rPr>
        <w:lastRenderedPageBreak/>
        <w:t>IV. Uso o usos del suelo que se autorizan;</w:t>
      </w:r>
    </w:p>
    <w:p w14:paraId="70C2BFA4" w14:textId="77777777" w:rsidR="008326E9" w:rsidRPr="001653DF" w:rsidRDefault="008326E9" w:rsidP="008326E9">
      <w:pPr>
        <w:tabs>
          <w:tab w:val="left" w:pos="4962"/>
        </w:tabs>
        <w:spacing w:line="360" w:lineRule="auto"/>
        <w:ind w:left="567" w:right="539"/>
        <w:jc w:val="both"/>
        <w:rPr>
          <w:rFonts w:ascii="Palatino Linotype" w:eastAsia="Calibri" w:hAnsi="Palatino Linotype" w:cs="Tahoma"/>
          <w:i/>
          <w:iCs/>
          <w:sz w:val="20"/>
          <w:lang w:val="es-ES" w:eastAsia="es-ES_tradnl"/>
        </w:rPr>
      </w:pPr>
      <w:r w:rsidRPr="001653DF">
        <w:rPr>
          <w:rFonts w:ascii="Palatino Linotype" w:eastAsia="Calibri" w:hAnsi="Palatino Linotype" w:cs="Tahoma"/>
          <w:i/>
          <w:iCs/>
          <w:sz w:val="20"/>
          <w:lang w:val="es-ES" w:eastAsia="es-ES_tradnl"/>
        </w:rPr>
        <w:t>V. Densidad de vivienda, en su caso;</w:t>
      </w:r>
    </w:p>
    <w:p w14:paraId="7A3EEE4F" w14:textId="77777777" w:rsidR="008326E9" w:rsidRPr="001653DF" w:rsidRDefault="008326E9" w:rsidP="008326E9">
      <w:pPr>
        <w:tabs>
          <w:tab w:val="left" w:pos="4962"/>
        </w:tabs>
        <w:spacing w:line="360" w:lineRule="auto"/>
        <w:ind w:left="567" w:right="539"/>
        <w:jc w:val="both"/>
        <w:rPr>
          <w:rFonts w:ascii="Palatino Linotype" w:eastAsia="Calibri" w:hAnsi="Palatino Linotype" w:cs="Tahoma"/>
          <w:i/>
          <w:iCs/>
          <w:sz w:val="20"/>
          <w:lang w:val="es-ES" w:eastAsia="es-ES_tradnl"/>
        </w:rPr>
      </w:pPr>
      <w:r w:rsidRPr="001653DF">
        <w:rPr>
          <w:rFonts w:ascii="Palatino Linotype" w:eastAsia="Calibri" w:hAnsi="Palatino Linotype" w:cs="Tahoma"/>
          <w:i/>
          <w:iCs/>
          <w:sz w:val="20"/>
          <w:lang w:val="es-ES" w:eastAsia="es-ES_tradnl"/>
        </w:rPr>
        <w:t>VI. Coeficiente de ocupación del suelo y coeficiente de utilización del suelo;</w:t>
      </w:r>
    </w:p>
    <w:p w14:paraId="5B495717" w14:textId="77777777" w:rsidR="008326E9" w:rsidRPr="001653DF" w:rsidRDefault="008326E9" w:rsidP="008326E9">
      <w:pPr>
        <w:tabs>
          <w:tab w:val="left" w:pos="4962"/>
        </w:tabs>
        <w:spacing w:line="360" w:lineRule="auto"/>
        <w:ind w:left="567" w:right="539"/>
        <w:jc w:val="both"/>
        <w:rPr>
          <w:rFonts w:ascii="Palatino Linotype" w:eastAsia="Calibri" w:hAnsi="Palatino Linotype" w:cs="Tahoma"/>
          <w:i/>
          <w:iCs/>
          <w:sz w:val="20"/>
          <w:lang w:val="es-ES" w:eastAsia="es-ES_tradnl"/>
        </w:rPr>
      </w:pPr>
      <w:r w:rsidRPr="001653DF">
        <w:rPr>
          <w:rFonts w:ascii="Palatino Linotype" w:eastAsia="Calibri" w:hAnsi="Palatino Linotype" w:cs="Tahoma"/>
          <w:i/>
          <w:iCs/>
          <w:sz w:val="20"/>
          <w:lang w:val="es-ES" w:eastAsia="es-ES_tradnl"/>
        </w:rPr>
        <w:t>VII. Altura máxima de edificación;</w:t>
      </w:r>
    </w:p>
    <w:p w14:paraId="279EFA14" w14:textId="77777777" w:rsidR="008326E9" w:rsidRPr="001653DF" w:rsidRDefault="008326E9" w:rsidP="008326E9">
      <w:pPr>
        <w:tabs>
          <w:tab w:val="left" w:pos="4962"/>
        </w:tabs>
        <w:spacing w:line="360" w:lineRule="auto"/>
        <w:ind w:left="567" w:right="539"/>
        <w:jc w:val="both"/>
        <w:rPr>
          <w:rFonts w:ascii="Palatino Linotype" w:eastAsia="Calibri" w:hAnsi="Palatino Linotype" w:cs="Tahoma"/>
          <w:i/>
          <w:iCs/>
          <w:sz w:val="20"/>
          <w:lang w:val="es-ES" w:eastAsia="es-ES_tradnl"/>
        </w:rPr>
      </w:pPr>
      <w:r w:rsidRPr="001653DF">
        <w:rPr>
          <w:rFonts w:ascii="Palatino Linotype" w:eastAsia="Calibri" w:hAnsi="Palatino Linotype" w:cs="Tahoma"/>
          <w:i/>
          <w:iCs/>
          <w:sz w:val="20"/>
          <w:lang w:val="es-ES" w:eastAsia="es-ES_tradnl"/>
        </w:rPr>
        <w:t>VIII. Número obligatorio de cajones de estacionamiento;</w:t>
      </w:r>
    </w:p>
    <w:p w14:paraId="18EC9A40" w14:textId="77777777" w:rsidR="008326E9" w:rsidRPr="001653DF" w:rsidRDefault="008326E9" w:rsidP="008326E9">
      <w:pPr>
        <w:tabs>
          <w:tab w:val="left" w:pos="4962"/>
        </w:tabs>
        <w:spacing w:line="360" w:lineRule="auto"/>
        <w:ind w:left="567" w:right="539"/>
        <w:jc w:val="both"/>
        <w:rPr>
          <w:rFonts w:ascii="Palatino Linotype" w:eastAsia="Calibri" w:hAnsi="Palatino Linotype" w:cs="Tahoma"/>
          <w:i/>
          <w:iCs/>
          <w:sz w:val="20"/>
          <w:lang w:val="es-ES" w:eastAsia="es-ES_tradnl"/>
        </w:rPr>
      </w:pPr>
      <w:r w:rsidRPr="001653DF">
        <w:rPr>
          <w:rFonts w:ascii="Palatino Linotype" w:eastAsia="Calibri" w:hAnsi="Palatino Linotype" w:cs="Tahoma"/>
          <w:i/>
          <w:iCs/>
          <w:sz w:val="20"/>
          <w:lang w:val="es-ES" w:eastAsia="es-ES_tradnl"/>
        </w:rPr>
        <w:t>IX. Alineamiento y número oficial;</w:t>
      </w:r>
    </w:p>
    <w:p w14:paraId="47E63994" w14:textId="77777777" w:rsidR="008326E9" w:rsidRPr="001653DF" w:rsidRDefault="008326E9" w:rsidP="008326E9">
      <w:pPr>
        <w:tabs>
          <w:tab w:val="left" w:pos="4962"/>
        </w:tabs>
        <w:spacing w:line="360" w:lineRule="auto"/>
        <w:ind w:left="567" w:right="539"/>
        <w:jc w:val="both"/>
        <w:rPr>
          <w:rFonts w:ascii="Palatino Linotype" w:eastAsia="Calibri" w:hAnsi="Palatino Linotype" w:cs="Tahoma"/>
          <w:i/>
          <w:iCs/>
          <w:sz w:val="20"/>
          <w:lang w:val="es-ES" w:eastAsia="es-ES_tradnl"/>
        </w:rPr>
      </w:pPr>
      <w:r w:rsidRPr="001653DF">
        <w:rPr>
          <w:rFonts w:ascii="Palatino Linotype" w:eastAsia="Calibri" w:hAnsi="Palatino Linotype" w:cs="Tahoma"/>
          <w:i/>
          <w:iCs/>
          <w:sz w:val="20"/>
          <w:lang w:val="es-ES" w:eastAsia="es-ES_tradnl"/>
        </w:rPr>
        <w:t>X. La normatividad, y obligaciones que deriven del Dictamen Único y las Evaluaciones Técnicas</w:t>
      </w:r>
      <w:r w:rsidR="00507EFD" w:rsidRPr="001653DF">
        <w:rPr>
          <w:rFonts w:ascii="Palatino Linotype" w:eastAsia="Calibri" w:hAnsi="Palatino Linotype" w:cs="Tahoma"/>
          <w:i/>
          <w:iCs/>
          <w:sz w:val="20"/>
          <w:lang w:val="es-ES" w:eastAsia="es-ES_tradnl"/>
        </w:rPr>
        <w:t xml:space="preserve"> </w:t>
      </w:r>
      <w:r w:rsidRPr="001653DF">
        <w:rPr>
          <w:rFonts w:ascii="Palatino Linotype" w:eastAsia="Calibri" w:hAnsi="Palatino Linotype" w:cs="Tahoma"/>
          <w:i/>
          <w:iCs/>
          <w:sz w:val="20"/>
          <w:lang w:val="es-ES" w:eastAsia="es-ES_tradnl"/>
        </w:rPr>
        <w:t>de Factibilidad, en su caso;</w:t>
      </w:r>
    </w:p>
    <w:p w14:paraId="663BC2AC" w14:textId="77777777" w:rsidR="008326E9" w:rsidRPr="001653DF" w:rsidRDefault="008326E9" w:rsidP="008326E9">
      <w:pPr>
        <w:tabs>
          <w:tab w:val="left" w:pos="4962"/>
        </w:tabs>
        <w:spacing w:line="360" w:lineRule="auto"/>
        <w:ind w:left="567" w:right="539"/>
        <w:jc w:val="both"/>
        <w:rPr>
          <w:rFonts w:ascii="Palatino Linotype" w:eastAsia="Calibri" w:hAnsi="Palatino Linotype" w:cs="Tahoma"/>
          <w:i/>
          <w:iCs/>
          <w:sz w:val="20"/>
          <w:lang w:val="es-ES" w:eastAsia="es-ES_tradnl"/>
        </w:rPr>
      </w:pPr>
      <w:r w:rsidRPr="001653DF">
        <w:rPr>
          <w:rFonts w:ascii="Palatino Linotype" w:eastAsia="Calibri" w:hAnsi="Palatino Linotype" w:cs="Tahoma"/>
          <w:i/>
          <w:iCs/>
          <w:sz w:val="20"/>
          <w:lang w:val="es-ES" w:eastAsia="es-ES_tradnl"/>
        </w:rPr>
        <w:t>XI. Restricciones federales, estatales y municipales;</w:t>
      </w:r>
    </w:p>
    <w:p w14:paraId="1DA82D82" w14:textId="77777777" w:rsidR="008326E9" w:rsidRPr="001653DF" w:rsidRDefault="008326E9" w:rsidP="008326E9">
      <w:pPr>
        <w:tabs>
          <w:tab w:val="left" w:pos="4962"/>
        </w:tabs>
        <w:spacing w:line="360" w:lineRule="auto"/>
        <w:ind w:left="567" w:right="539"/>
        <w:jc w:val="both"/>
        <w:rPr>
          <w:rFonts w:ascii="Palatino Linotype" w:eastAsia="Calibri" w:hAnsi="Palatino Linotype" w:cs="Tahoma"/>
          <w:i/>
          <w:iCs/>
          <w:sz w:val="20"/>
          <w:lang w:val="es-ES" w:eastAsia="es-ES_tradnl"/>
        </w:rPr>
      </w:pPr>
      <w:r w:rsidRPr="001653DF">
        <w:rPr>
          <w:rFonts w:ascii="Palatino Linotype" w:eastAsia="Calibri" w:hAnsi="Palatino Linotype" w:cs="Tahoma"/>
          <w:i/>
          <w:iCs/>
          <w:sz w:val="20"/>
          <w:lang w:val="es-ES" w:eastAsia="es-ES_tradnl"/>
        </w:rPr>
        <w:t>XII. La normatividad y obligaciones que deriven de los dictámenes en materia de conservación</w:t>
      </w:r>
      <w:r w:rsidR="00507EFD" w:rsidRPr="001653DF">
        <w:rPr>
          <w:rFonts w:ascii="Palatino Linotype" w:eastAsia="Calibri" w:hAnsi="Palatino Linotype" w:cs="Tahoma"/>
          <w:i/>
          <w:iCs/>
          <w:sz w:val="20"/>
          <w:lang w:val="es-ES" w:eastAsia="es-ES_tradnl"/>
        </w:rPr>
        <w:t xml:space="preserve"> </w:t>
      </w:r>
      <w:r w:rsidRPr="001653DF">
        <w:rPr>
          <w:rFonts w:ascii="Palatino Linotype" w:eastAsia="Calibri" w:hAnsi="Palatino Linotype" w:cs="Tahoma"/>
          <w:i/>
          <w:iCs/>
          <w:sz w:val="20"/>
          <w:lang w:val="es-ES" w:eastAsia="es-ES_tradnl"/>
        </w:rPr>
        <w:t>del patrimonio histórico, artístico y cultural, en su caso;</w:t>
      </w:r>
    </w:p>
    <w:p w14:paraId="57E692B7" w14:textId="77777777" w:rsidR="008326E9" w:rsidRPr="001653DF" w:rsidRDefault="008326E9" w:rsidP="008326E9">
      <w:pPr>
        <w:tabs>
          <w:tab w:val="left" w:pos="4962"/>
        </w:tabs>
        <w:spacing w:line="360" w:lineRule="auto"/>
        <w:ind w:left="567" w:right="539"/>
        <w:jc w:val="both"/>
        <w:rPr>
          <w:rFonts w:ascii="Palatino Linotype" w:eastAsia="Calibri" w:hAnsi="Palatino Linotype" w:cs="Tahoma"/>
          <w:i/>
          <w:iCs/>
          <w:sz w:val="20"/>
          <w:lang w:val="es-ES" w:eastAsia="es-ES_tradnl"/>
        </w:rPr>
      </w:pPr>
      <w:r w:rsidRPr="001653DF">
        <w:rPr>
          <w:rFonts w:ascii="Palatino Linotype" w:eastAsia="Calibri" w:hAnsi="Palatino Linotype" w:cs="Tahoma"/>
          <w:i/>
          <w:iCs/>
          <w:sz w:val="20"/>
          <w:lang w:val="es-ES" w:eastAsia="es-ES_tradnl"/>
        </w:rPr>
        <w:t>XIII. Vigencia de la licencia;</w:t>
      </w:r>
    </w:p>
    <w:p w14:paraId="4397630D" w14:textId="77777777" w:rsidR="008326E9" w:rsidRPr="001653DF" w:rsidRDefault="008326E9" w:rsidP="008326E9">
      <w:pPr>
        <w:tabs>
          <w:tab w:val="left" w:pos="4962"/>
        </w:tabs>
        <w:spacing w:line="360" w:lineRule="auto"/>
        <w:ind w:left="567" w:right="539"/>
        <w:jc w:val="both"/>
        <w:rPr>
          <w:rFonts w:ascii="Palatino Linotype" w:eastAsia="Calibri" w:hAnsi="Palatino Linotype" w:cs="Tahoma"/>
          <w:i/>
          <w:iCs/>
          <w:sz w:val="20"/>
          <w:lang w:val="es-ES" w:eastAsia="es-ES_tradnl"/>
        </w:rPr>
      </w:pPr>
      <w:r w:rsidRPr="001653DF">
        <w:rPr>
          <w:rFonts w:ascii="Palatino Linotype" w:eastAsia="Calibri" w:hAnsi="Palatino Linotype" w:cs="Tahoma"/>
          <w:i/>
          <w:iCs/>
          <w:sz w:val="20"/>
          <w:lang w:val="es-ES" w:eastAsia="es-ES_tradnl"/>
        </w:rPr>
        <w:t>XIV. Lugar y fecha en que se expide, y</w:t>
      </w:r>
    </w:p>
    <w:p w14:paraId="21BFCB22" w14:textId="77777777" w:rsidR="008326E9" w:rsidRPr="001653DF" w:rsidRDefault="008326E9" w:rsidP="008326E9">
      <w:pPr>
        <w:tabs>
          <w:tab w:val="left" w:pos="4962"/>
        </w:tabs>
        <w:spacing w:line="360" w:lineRule="auto"/>
        <w:ind w:left="567" w:right="539"/>
        <w:jc w:val="both"/>
        <w:rPr>
          <w:rFonts w:ascii="Palatino Linotype" w:eastAsia="Calibri" w:hAnsi="Palatino Linotype" w:cs="Tahoma"/>
          <w:i/>
          <w:iCs/>
          <w:sz w:val="20"/>
          <w:lang w:val="es-ES" w:eastAsia="es-ES_tradnl"/>
        </w:rPr>
      </w:pPr>
      <w:r w:rsidRPr="001653DF">
        <w:rPr>
          <w:rFonts w:ascii="Palatino Linotype" w:eastAsia="Calibri" w:hAnsi="Palatino Linotype" w:cs="Tahoma"/>
          <w:i/>
          <w:iCs/>
          <w:sz w:val="20"/>
          <w:lang w:val="es-ES" w:eastAsia="es-ES_tradnl"/>
        </w:rPr>
        <w:t>XV. Nombre, cargo y firma de quien la autoriza.</w:t>
      </w:r>
    </w:p>
    <w:p w14:paraId="55E08FEC" w14:textId="77777777" w:rsidR="008326E9" w:rsidRPr="001653DF" w:rsidRDefault="008326E9" w:rsidP="008326E9">
      <w:pPr>
        <w:tabs>
          <w:tab w:val="left" w:pos="4962"/>
        </w:tabs>
        <w:spacing w:line="360" w:lineRule="auto"/>
        <w:ind w:left="567" w:right="539"/>
        <w:jc w:val="both"/>
        <w:rPr>
          <w:rFonts w:ascii="Palatino Linotype" w:eastAsia="Calibri" w:hAnsi="Palatino Linotype" w:cs="Tahoma"/>
          <w:iCs/>
          <w:lang w:eastAsia="es-ES_tradnl"/>
        </w:rPr>
      </w:pPr>
      <w:r w:rsidRPr="001653DF">
        <w:rPr>
          <w:rFonts w:ascii="Palatino Linotype" w:eastAsia="Calibri" w:hAnsi="Palatino Linotype" w:cs="Tahoma"/>
          <w:i/>
          <w:iCs/>
          <w:sz w:val="20"/>
          <w:lang w:val="es-ES" w:eastAsia="es-ES_tradnl"/>
        </w:rPr>
        <w:t>Cuando el interesado únicamente solicite alineamiento y número oficial, la licencia de uso de</w:t>
      </w:r>
      <w:r w:rsidR="00507EFD" w:rsidRPr="001653DF">
        <w:rPr>
          <w:rFonts w:ascii="Palatino Linotype" w:eastAsia="Calibri" w:hAnsi="Palatino Linotype" w:cs="Tahoma"/>
          <w:i/>
          <w:iCs/>
          <w:sz w:val="20"/>
          <w:lang w:val="es-ES" w:eastAsia="es-ES_tradnl"/>
        </w:rPr>
        <w:t xml:space="preserve"> </w:t>
      </w:r>
      <w:r w:rsidRPr="001653DF">
        <w:rPr>
          <w:rFonts w:ascii="Palatino Linotype" w:eastAsia="Calibri" w:hAnsi="Palatino Linotype" w:cs="Tahoma"/>
          <w:i/>
          <w:iCs/>
          <w:sz w:val="20"/>
          <w:lang w:val="es-ES" w:eastAsia="es-ES_tradnl"/>
        </w:rPr>
        <w:t>suelo solo contendrá los datos a que refieren las fracciones I, II, III y XI de este artículo.</w:t>
      </w:r>
      <w:r w:rsidRPr="001653DF">
        <w:rPr>
          <w:rFonts w:ascii="Palatino Linotype" w:eastAsia="Calibri" w:hAnsi="Palatino Linotype" w:cs="Tahoma"/>
          <w:i/>
          <w:iCs/>
          <w:sz w:val="20"/>
          <w:lang w:val="es-ES" w:eastAsia="es-ES_tradnl"/>
        </w:rPr>
        <w:cr/>
      </w:r>
    </w:p>
    <w:p w14:paraId="22FE2FE5" w14:textId="77777777" w:rsidR="008326E9" w:rsidRPr="001653DF" w:rsidRDefault="008326E9" w:rsidP="00836BDF">
      <w:pPr>
        <w:pStyle w:val="Prrafodelista"/>
        <w:numPr>
          <w:ilvl w:val="0"/>
          <w:numId w:val="3"/>
        </w:numPr>
        <w:spacing w:line="360" w:lineRule="auto"/>
        <w:ind w:left="0" w:right="-93" w:firstLine="0"/>
        <w:jc w:val="both"/>
        <w:rPr>
          <w:rFonts w:ascii="Palatino Linotype" w:eastAsia="Calibri" w:hAnsi="Palatino Linotype" w:cs="Tahoma"/>
          <w:iCs/>
          <w:lang w:eastAsia="es-ES_tradnl"/>
        </w:rPr>
      </w:pPr>
      <w:r w:rsidRPr="001653DF">
        <w:rPr>
          <w:rFonts w:ascii="Palatino Linotype" w:eastAsia="Calibri" w:hAnsi="Palatino Linotype" w:cs="Tahoma"/>
          <w:iCs/>
          <w:lang w:eastAsia="es-ES_tradnl"/>
        </w:rPr>
        <w:t>De la normatividad anteriormente mencionada se advierte que el Sujeto Obligado cuenta con atribuciones para emitir los documentos solicitados por el Particular, además de que la información requerida no solo es información pública, sino que también una obligación de transparencia como se muestra a continuación:</w:t>
      </w:r>
    </w:p>
    <w:p w14:paraId="0C8031E5" w14:textId="77777777" w:rsidR="008326E9" w:rsidRPr="001653DF" w:rsidRDefault="008326E9" w:rsidP="008326E9">
      <w:pPr>
        <w:spacing w:line="360" w:lineRule="auto"/>
        <w:ind w:right="-93"/>
        <w:jc w:val="both"/>
        <w:rPr>
          <w:rFonts w:ascii="Palatino Linotype" w:eastAsia="Calibri" w:hAnsi="Palatino Linotype" w:cs="Tahoma"/>
          <w:iCs/>
          <w:lang w:eastAsia="es-ES_tradnl"/>
        </w:rPr>
      </w:pPr>
    </w:p>
    <w:p w14:paraId="2D06DF88" w14:textId="77777777" w:rsidR="008326E9" w:rsidRPr="001653DF" w:rsidRDefault="008326E9" w:rsidP="008326E9">
      <w:pPr>
        <w:tabs>
          <w:tab w:val="left" w:pos="4962"/>
        </w:tabs>
        <w:spacing w:line="360" w:lineRule="auto"/>
        <w:ind w:left="567" w:right="539"/>
        <w:jc w:val="both"/>
        <w:rPr>
          <w:rFonts w:ascii="Palatino Linotype" w:eastAsia="Calibri" w:hAnsi="Palatino Linotype" w:cs="Tahoma"/>
          <w:i/>
          <w:iCs/>
          <w:sz w:val="20"/>
          <w:lang w:val="es-ES" w:eastAsia="es-ES_tradnl"/>
        </w:rPr>
      </w:pPr>
      <w:r w:rsidRPr="001653DF">
        <w:rPr>
          <w:rFonts w:ascii="Palatino Linotype" w:eastAsia="Calibri" w:hAnsi="Palatino Linotype" w:cs="Tahoma"/>
          <w:b/>
          <w:i/>
          <w:iCs/>
          <w:sz w:val="20"/>
          <w:lang w:val="es-ES" w:eastAsia="es-ES_tradnl"/>
        </w:rPr>
        <w:lastRenderedPageBreak/>
        <w:t>Artículo 94</w:t>
      </w:r>
      <w:r w:rsidRPr="001653DF">
        <w:rPr>
          <w:rFonts w:ascii="Palatino Linotype" w:eastAsia="Calibri" w:hAnsi="Palatino Linotype" w:cs="Tahoma"/>
          <w:i/>
          <w:iCs/>
          <w:sz w:val="20"/>
          <w:lang w:val="es-ES" w:eastAsia="es-ES_tradnl"/>
        </w:rPr>
        <w:t>. Además de las obligaciones de transparencia común a que se refiere el Capítulo II de este Título, los sujetos obligados del Poder Ejecutivo Local y municipales, deberán poner a disposición del público y actualizar la siguiente información:</w:t>
      </w:r>
    </w:p>
    <w:p w14:paraId="7BBA26DD" w14:textId="77777777" w:rsidR="008326E9" w:rsidRPr="001653DF" w:rsidRDefault="008326E9" w:rsidP="008326E9">
      <w:pPr>
        <w:tabs>
          <w:tab w:val="left" w:pos="4962"/>
        </w:tabs>
        <w:spacing w:line="360" w:lineRule="auto"/>
        <w:ind w:left="567" w:right="539"/>
        <w:jc w:val="both"/>
        <w:rPr>
          <w:rFonts w:ascii="Palatino Linotype" w:eastAsia="Calibri" w:hAnsi="Palatino Linotype" w:cs="Tahoma"/>
          <w:i/>
          <w:iCs/>
          <w:sz w:val="20"/>
          <w:lang w:eastAsia="es-ES_tradnl"/>
        </w:rPr>
      </w:pPr>
      <w:r w:rsidRPr="001653DF">
        <w:rPr>
          <w:rFonts w:ascii="Palatino Linotype" w:eastAsia="Calibri" w:hAnsi="Palatino Linotype" w:cs="Tahoma"/>
          <w:i/>
          <w:iCs/>
          <w:sz w:val="20"/>
          <w:lang w:eastAsia="es-ES_tradnl"/>
        </w:rPr>
        <w:t>I. En el caso del Poder Ejecutivo y los Municipios, en el ámbito de su competencia:</w:t>
      </w:r>
    </w:p>
    <w:p w14:paraId="2F71F0E9" w14:textId="77777777" w:rsidR="008326E9" w:rsidRPr="001653DF" w:rsidRDefault="008326E9" w:rsidP="008326E9">
      <w:pPr>
        <w:tabs>
          <w:tab w:val="left" w:pos="4962"/>
        </w:tabs>
        <w:spacing w:line="360" w:lineRule="auto"/>
        <w:ind w:left="567" w:right="539"/>
        <w:jc w:val="both"/>
        <w:rPr>
          <w:rFonts w:ascii="Palatino Linotype" w:eastAsia="Calibri" w:hAnsi="Palatino Linotype" w:cs="Tahoma"/>
          <w:i/>
          <w:iCs/>
          <w:sz w:val="20"/>
          <w:lang w:val="es-ES" w:eastAsia="es-ES_tradnl"/>
        </w:rPr>
      </w:pPr>
      <w:r w:rsidRPr="001653DF">
        <w:rPr>
          <w:rFonts w:ascii="Palatino Linotype" w:eastAsia="Calibri" w:hAnsi="Palatino Linotype" w:cs="Tahoma"/>
          <w:i/>
          <w:iCs/>
          <w:sz w:val="20"/>
          <w:lang w:val="es-ES" w:eastAsia="es-ES_tradnl"/>
        </w:rPr>
        <w:t>a) a e) …</w:t>
      </w:r>
    </w:p>
    <w:p w14:paraId="4133E19A" w14:textId="77777777" w:rsidR="008326E9" w:rsidRPr="001653DF" w:rsidRDefault="008326E9" w:rsidP="008326E9">
      <w:pPr>
        <w:tabs>
          <w:tab w:val="left" w:pos="4962"/>
        </w:tabs>
        <w:spacing w:line="360" w:lineRule="auto"/>
        <w:ind w:left="567" w:right="539"/>
        <w:jc w:val="both"/>
        <w:rPr>
          <w:rFonts w:ascii="Palatino Linotype" w:eastAsia="Calibri" w:hAnsi="Palatino Linotype" w:cs="Tahoma"/>
          <w:i/>
          <w:iCs/>
          <w:sz w:val="20"/>
          <w:lang w:eastAsia="es-ES_tradnl"/>
        </w:rPr>
      </w:pPr>
      <w:r w:rsidRPr="001653DF">
        <w:rPr>
          <w:rFonts w:ascii="Palatino Linotype" w:eastAsia="Calibri" w:hAnsi="Palatino Linotype" w:cs="Tahoma"/>
          <w:i/>
          <w:iCs/>
          <w:sz w:val="20"/>
          <w:lang w:eastAsia="es-ES_tradnl"/>
        </w:rPr>
        <w:t xml:space="preserve">f) La información detallada que contengan los planes de desarrollo urbano, ordenamiento territorial y ecológico, los tipos y usos de suelo, </w:t>
      </w:r>
      <w:r w:rsidRPr="001653DF">
        <w:rPr>
          <w:rFonts w:ascii="Palatino Linotype" w:eastAsia="Calibri" w:hAnsi="Palatino Linotype" w:cs="Tahoma"/>
          <w:b/>
          <w:i/>
          <w:iCs/>
          <w:sz w:val="20"/>
          <w:u w:val="single"/>
          <w:lang w:eastAsia="es-ES_tradnl"/>
        </w:rPr>
        <w:t>licencias de uso y construcción</w:t>
      </w:r>
      <w:r w:rsidRPr="001653DF">
        <w:rPr>
          <w:rFonts w:ascii="Palatino Linotype" w:eastAsia="Calibri" w:hAnsi="Palatino Linotype" w:cs="Tahoma"/>
          <w:i/>
          <w:iCs/>
          <w:sz w:val="20"/>
          <w:lang w:eastAsia="es-ES_tradnl"/>
        </w:rPr>
        <w:t xml:space="preserve"> otorgadas por los gobiernos municipales;</w:t>
      </w:r>
    </w:p>
    <w:p w14:paraId="7E62AB4E" w14:textId="77777777" w:rsidR="008326E9" w:rsidRPr="001653DF" w:rsidRDefault="008326E9" w:rsidP="008326E9">
      <w:pPr>
        <w:tabs>
          <w:tab w:val="left" w:pos="4962"/>
        </w:tabs>
        <w:spacing w:line="360" w:lineRule="auto"/>
        <w:ind w:left="567" w:right="539"/>
        <w:jc w:val="both"/>
        <w:rPr>
          <w:rFonts w:ascii="Palatino Linotype" w:eastAsia="Calibri" w:hAnsi="Palatino Linotype" w:cs="Tahoma"/>
          <w:i/>
          <w:iCs/>
          <w:sz w:val="20"/>
          <w:lang w:eastAsia="es-ES_tradnl"/>
        </w:rPr>
      </w:pPr>
      <w:r w:rsidRPr="001653DF">
        <w:rPr>
          <w:rFonts w:ascii="Palatino Linotype" w:eastAsia="Calibri" w:hAnsi="Palatino Linotype" w:cs="Tahoma"/>
          <w:i/>
          <w:iCs/>
          <w:sz w:val="20"/>
          <w:lang w:eastAsia="es-ES_tradnl"/>
        </w:rPr>
        <w:t>g) a k) …</w:t>
      </w:r>
    </w:p>
    <w:p w14:paraId="2A52D1CA" w14:textId="77777777" w:rsidR="008326E9" w:rsidRPr="001653DF" w:rsidRDefault="008326E9" w:rsidP="008326E9">
      <w:pPr>
        <w:tabs>
          <w:tab w:val="left" w:pos="4962"/>
        </w:tabs>
        <w:spacing w:line="360" w:lineRule="auto"/>
        <w:ind w:left="567" w:right="539"/>
        <w:jc w:val="both"/>
        <w:rPr>
          <w:rFonts w:ascii="Palatino Linotype" w:eastAsia="Calibri" w:hAnsi="Palatino Linotype" w:cs="Tahoma"/>
          <w:i/>
          <w:iCs/>
          <w:sz w:val="20"/>
          <w:lang w:val="es-ES" w:eastAsia="es-ES_tradnl"/>
        </w:rPr>
      </w:pPr>
      <w:r w:rsidRPr="001653DF">
        <w:rPr>
          <w:rFonts w:ascii="Palatino Linotype" w:eastAsia="Calibri" w:hAnsi="Palatino Linotype" w:cs="Tahoma"/>
          <w:i/>
          <w:iCs/>
          <w:sz w:val="20"/>
          <w:lang w:val="es-ES" w:eastAsia="es-ES_tradnl"/>
        </w:rPr>
        <w:t>II…</w:t>
      </w:r>
    </w:p>
    <w:p w14:paraId="4646EF00" w14:textId="77777777" w:rsidR="008326E9" w:rsidRPr="001653DF" w:rsidRDefault="008326E9" w:rsidP="008326E9">
      <w:pPr>
        <w:spacing w:line="360" w:lineRule="auto"/>
        <w:ind w:right="-93"/>
        <w:jc w:val="both"/>
        <w:rPr>
          <w:rFonts w:ascii="Palatino Linotype" w:eastAsia="Calibri" w:hAnsi="Palatino Linotype" w:cs="Tahoma"/>
          <w:iCs/>
          <w:lang w:eastAsia="es-ES_tradnl"/>
        </w:rPr>
      </w:pPr>
    </w:p>
    <w:p w14:paraId="2A4BAAD1" w14:textId="77777777" w:rsidR="002B2F6D" w:rsidRPr="001653DF" w:rsidRDefault="00B17ABB">
      <w:pPr>
        <w:numPr>
          <w:ilvl w:val="0"/>
          <w:numId w:val="3"/>
        </w:numPr>
        <w:pBdr>
          <w:top w:val="nil"/>
          <w:left w:val="nil"/>
          <w:bottom w:val="nil"/>
          <w:right w:val="nil"/>
          <w:between w:val="nil"/>
        </w:pBdr>
        <w:spacing w:line="360" w:lineRule="auto"/>
        <w:ind w:left="0" w:right="-599" w:firstLine="0"/>
        <w:jc w:val="both"/>
        <w:rPr>
          <w:rFonts w:ascii="Palatino Linotype" w:hAnsi="Palatino Linotype"/>
          <w:color w:val="000000"/>
        </w:rPr>
      </w:pPr>
      <w:r w:rsidRPr="001653DF">
        <w:rPr>
          <w:rFonts w:ascii="Palatino Linotype" w:eastAsia="Palatino Linotype" w:hAnsi="Palatino Linotype" w:cs="Palatino Linotype"/>
          <w:color w:val="000000"/>
        </w:rPr>
        <w:t xml:space="preserve">Con la normatividad transcrita, se concluye que el Sujeto Obligado tiene la facultad para emitir licencias de construcción, mismas que son </w:t>
      </w:r>
      <w:r w:rsidRPr="001653DF">
        <w:rPr>
          <w:rFonts w:ascii="Palatino Linotype" w:eastAsia="Palatino Linotype" w:hAnsi="Palatino Linotype" w:cs="Palatino Linotype"/>
        </w:rPr>
        <w:t>interés</w:t>
      </w:r>
      <w:r w:rsidRPr="001653DF">
        <w:rPr>
          <w:rFonts w:ascii="Palatino Linotype" w:eastAsia="Palatino Linotype" w:hAnsi="Palatino Linotype" w:cs="Palatino Linotype"/>
          <w:color w:val="000000"/>
        </w:rPr>
        <w:t xml:space="preserve"> del Particular, por lo que debe tener en sus archivos los documentos de los que se desprenda lo que el Recurrente solicita; respecto las licencias de construcción. Ahora bien, por lo que hace a las </w:t>
      </w:r>
      <w:r w:rsidRPr="001653DF">
        <w:rPr>
          <w:rFonts w:ascii="Palatino Linotype" w:eastAsia="Palatino Linotype" w:hAnsi="Palatino Linotype" w:cs="Palatino Linotype"/>
          <w:b/>
          <w:color w:val="000000"/>
          <w:u w:val="single"/>
        </w:rPr>
        <w:t>licencias de uso de suelo</w:t>
      </w:r>
      <w:r w:rsidRPr="001653DF">
        <w:rPr>
          <w:rFonts w:ascii="Palatino Linotype" w:eastAsia="Palatino Linotype" w:hAnsi="Palatino Linotype" w:cs="Palatino Linotype"/>
          <w:color w:val="000000"/>
        </w:rPr>
        <w:t xml:space="preserve"> es necesario señalar que la Ley Orgánica Municipal del Estado de México en su artículo 114 señala que cada Ayuntamiento elaborará su plan de desarrollo municipal y los programas de trabajo necesarios para su ejecución en forma democrática y participativa. Aunado a lo anterior, respecto el Plan de Desarrollo Municipal, la Ley Orgánica Municipal del Estado de México, establece lo siguiente:</w:t>
      </w:r>
    </w:p>
    <w:p w14:paraId="33E4E945" w14:textId="77777777" w:rsidR="002B2F6D" w:rsidRPr="001653DF" w:rsidRDefault="002B2F6D">
      <w:pPr>
        <w:spacing w:line="360" w:lineRule="auto"/>
        <w:ind w:right="-599"/>
        <w:jc w:val="both"/>
        <w:rPr>
          <w:rFonts w:ascii="Palatino Linotype" w:eastAsia="Palatino Linotype" w:hAnsi="Palatino Linotype" w:cs="Palatino Linotype"/>
        </w:rPr>
      </w:pPr>
    </w:p>
    <w:p w14:paraId="6FD5D1A2" w14:textId="77777777" w:rsidR="002B2F6D" w:rsidRPr="001653DF" w:rsidRDefault="00B17ABB">
      <w:pPr>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b/>
          <w:i/>
          <w:sz w:val="22"/>
          <w:szCs w:val="22"/>
        </w:rPr>
        <w:t>Artículo 116.-</w:t>
      </w:r>
      <w:r w:rsidRPr="001653DF">
        <w:rPr>
          <w:rFonts w:ascii="Palatino Linotype" w:eastAsia="Palatino Linotype" w:hAnsi="Palatino Linotype" w:cs="Palatino Linotype"/>
          <w:i/>
          <w:sz w:val="22"/>
          <w:szCs w:val="22"/>
        </w:rPr>
        <w:t xml:space="preserve"> El Plan de Desarrollo Municipal deberá ser elaborado, aprobado y publicado, dentro de los primeros tres meses de la gestión municipal. Su evaluación deberá realizarse anualmente; y en caso de no hacerse se hará acreedor a las sanciones de las dependencias normativas en el ámbito de su competencia.</w:t>
      </w:r>
    </w:p>
    <w:p w14:paraId="78D81E52" w14:textId="77777777" w:rsidR="002B2F6D" w:rsidRPr="001653DF" w:rsidRDefault="002B2F6D">
      <w:pPr>
        <w:spacing w:line="276" w:lineRule="auto"/>
        <w:ind w:left="567" w:right="-599"/>
        <w:jc w:val="both"/>
        <w:rPr>
          <w:rFonts w:ascii="Palatino Linotype" w:eastAsia="Palatino Linotype" w:hAnsi="Palatino Linotype" w:cs="Palatino Linotype"/>
          <w:i/>
          <w:sz w:val="22"/>
          <w:szCs w:val="22"/>
        </w:rPr>
      </w:pPr>
    </w:p>
    <w:p w14:paraId="16103457" w14:textId="77777777" w:rsidR="002B2F6D" w:rsidRPr="001653DF" w:rsidRDefault="00B17ABB">
      <w:pPr>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b/>
          <w:i/>
          <w:sz w:val="22"/>
          <w:szCs w:val="22"/>
        </w:rPr>
        <w:t>Artículo 117</w:t>
      </w:r>
      <w:r w:rsidRPr="001653DF">
        <w:rPr>
          <w:rFonts w:ascii="Palatino Linotype" w:eastAsia="Palatino Linotype" w:hAnsi="Palatino Linotype" w:cs="Palatino Linotype"/>
          <w:i/>
          <w:sz w:val="22"/>
          <w:szCs w:val="22"/>
        </w:rPr>
        <w:t>.- El Plan de Desarrollo Municipal tendrá los objetivos siguientes:</w:t>
      </w:r>
    </w:p>
    <w:p w14:paraId="06B4AD86" w14:textId="77777777" w:rsidR="002B2F6D" w:rsidRPr="001653DF" w:rsidRDefault="00B17ABB">
      <w:pPr>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t>I. Atender las demandas prioritarias de la población;</w:t>
      </w:r>
    </w:p>
    <w:p w14:paraId="5C719ED5" w14:textId="77777777" w:rsidR="002B2F6D" w:rsidRPr="001653DF" w:rsidRDefault="00B17ABB">
      <w:pPr>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t>II. Propiciar el desarrollo armónico del municipio;</w:t>
      </w:r>
    </w:p>
    <w:p w14:paraId="0DE73137" w14:textId="77777777" w:rsidR="002B2F6D" w:rsidRPr="001653DF" w:rsidRDefault="00B17ABB">
      <w:pPr>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t>III. Asegurar la participación de la sociedad en las acciones del gobierno municipal;</w:t>
      </w:r>
    </w:p>
    <w:p w14:paraId="7957CAAB" w14:textId="77777777" w:rsidR="002B2F6D" w:rsidRPr="001653DF" w:rsidRDefault="00B17ABB">
      <w:pPr>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t>IV. Vincular el Plan de Desarrollo Municipal con los planes de desarrollo federal y estatal;</w:t>
      </w:r>
    </w:p>
    <w:p w14:paraId="3806EB19" w14:textId="77777777" w:rsidR="002B2F6D" w:rsidRPr="001653DF" w:rsidRDefault="00B17ABB">
      <w:pPr>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t>V. Aplicar de manera racional los recursos financieros para el cumplimiento del plan y los programas de desarrollo.</w:t>
      </w:r>
    </w:p>
    <w:p w14:paraId="7C75E3FD" w14:textId="77777777" w:rsidR="002B2F6D" w:rsidRPr="001653DF" w:rsidRDefault="002B2F6D">
      <w:pPr>
        <w:spacing w:line="276" w:lineRule="auto"/>
        <w:ind w:left="567" w:right="-599"/>
        <w:jc w:val="both"/>
        <w:rPr>
          <w:rFonts w:ascii="Palatino Linotype" w:eastAsia="Palatino Linotype" w:hAnsi="Palatino Linotype" w:cs="Palatino Linotype"/>
          <w:i/>
          <w:sz w:val="22"/>
          <w:szCs w:val="22"/>
        </w:rPr>
      </w:pPr>
    </w:p>
    <w:p w14:paraId="51B84CCE" w14:textId="77777777" w:rsidR="002B2F6D" w:rsidRPr="001653DF" w:rsidRDefault="00B17ABB">
      <w:pPr>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b/>
          <w:i/>
          <w:sz w:val="22"/>
          <w:szCs w:val="22"/>
        </w:rPr>
        <w:t>Artículo 118.-</w:t>
      </w:r>
      <w:r w:rsidRPr="001653DF">
        <w:rPr>
          <w:rFonts w:ascii="Palatino Linotype" w:eastAsia="Palatino Linotype" w:hAnsi="Palatino Linotype" w:cs="Palatino Linotype"/>
          <w:i/>
          <w:sz w:val="22"/>
          <w:szCs w:val="22"/>
        </w:rPr>
        <w:t xml:space="preserve"> El Plan de Desarrollo Municipal contendrá al menos, un diagnóstico sobre las condiciones económicas y sociales del municipio, las metas a alcanzar, las estrategias a seguir, los plazos de ejecución, las dependencias y organismos responsables de su cumplimiento y las bases de coordinación y concertación que se requieren para su cumplimiento.</w:t>
      </w:r>
    </w:p>
    <w:p w14:paraId="26676A42" w14:textId="77777777" w:rsidR="002B2F6D" w:rsidRPr="001653DF" w:rsidRDefault="002B2F6D">
      <w:pPr>
        <w:spacing w:line="276" w:lineRule="auto"/>
        <w:ind w:left="567" w:right="-599"/>
        <w:jc w:val="both"/>
        <w:rPr>
          <w:rFonts w:ascii="Palatino Linotype" w:eastAsia="Palatino Linotype" w:hAnsi="Palatino Linotype" w:cs="Palatino Linotype"/>
          <w:i/>
          <w:sz w:val="22"/>
          <w:szCs w:val="22"/>
        </w:rPr>
      </w:pPr>
    </w:p>
    <w:p w14:paraId="68641D46" w14:textId="77777777" w:rsidR="002B2F6D" w:rsidRPr="001653DF" w:rsidRDefault="00B17ABB">
      <w:pPr>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b/>
          <w:i/>
          <w:sz w:val="22"/>
          <w:szCs w:val="22"/>
        </w:rPr>
        <w:t>Artículo 121</w:t>
      </w:r>
      <w:r w:rsidRPr="001653DF">
        <w:rPr>
          <w:rFonts w:ascii="Palatino Linotype" w:eastAsia="Palatino Linotype" w:hAnsi="Palatino Linotype" w:cs="Palatino Linotype"/>
          <w:i/>
          <w:sz w:val="22"/>
          <w:szCs w:val="22"/>
        </w:rPr>
        <w:t>.- Los ayuntamientos publicarán su Plan de Desarrollo Municipal a través de la Gaceta Municipal y de los estrados de los Ayuntamientos durante el primer año de gestión y lo difundirán en forma extensa.</w:t>
      </w:r>
    </w:p>
    <w:p w14:paraId="63C3E237" w14:textId="77777777" w:rsidR="002B2F6D" w:rsidRPr="001653DF" w:rsidRDefault="002B2F6D">
      <w:pPr>
        <w:spacing w:line="360" w:lineRule="auto"/>
        <w:ind w:left="567" w:right="-599"/>
        <w:jc w:val="both"/>
        <w:rPr>
          <w:rFonts w:ascii="Palatino Linotype" w:eastAsia="Palatino Linotype" w:hAnsi="Palatino Linotype" w:cs="Palatino Linotype"/>
          <w:i/>
        </w:rPr>
      </w:pPr>
    </w:p>
    <w:p w14:paraId="6CCA4560" w14:textId="77777777" w:rsidR="002B2F6D" w:rsidRPr="001653DF" w:rsidRDefault="00B17ABB">
      <w:pPr>
        <w:numPr>
          <w:ilvl w:val="0"/>
          <w:numId w:val="3"/>
        </w:numPr>
        <w:pBdr>
          <w:top w:val="nil"/>
          <w:left w:val="nil"/>
          <w:bottom w:val="nil"/>
          <w:right w:val="nil"/>
          <w:between w:val="nil"/>
        </w:pBdr>
        <w:spacing w:line="360" w:lineRule="auto"/>
        <w:ind w:left="0" w:right="-599" w:firstLine="0"/>
        <w:jc w:val="both"/>
        <w:rPr>
          <w:rFonts w:ascii="Palatino Linotype" w:hAnsi="Palatino Linotype"/>
          <w:color w:val="000000"/>
        </w:rPr>
      </w:pPr>
      <w:r w:rsidRPr="001653DF">
        <w:rPr>
          <w:rFonts w:ascii="Palatino Linotype" w:eastAsia="Palatino Linotype" w:hAnsi="Palatino Linotype" w:cs="Palatino Linotype"/>
          <w:color w:val="000000"/>
        </w:rPr>
        <w:t>Así de lo anterior, se advierte que el Plan de Desarrollo Municipal es el instrumento de planeación que tiene la capacidad de asignar recursos para la ejecución y el desarrollo de los proyectos relacionados con el objetivo</w:t>
      </w:r>
      <w:r w:rsidRPr="001653DF">
        <w:rPr>
          <w:rFonts w:ascii="Palatino Linotype" w:eastAsia="Palatino Linotype" w:hAnsi="Palatino Linotype" w:cs="Palatino Linotype"/>
          <w:b/>
          <w:color w:val="000000"/>
        </w:rPr>
        <w:t xml:space="preserve"> </w:t>
      </w:r>
      <w:r w:rsidRPr="001653DF">
        <w:rPr>
          <w:rFonts w:ascii="Palatino Linotype" w:eastAsia="Palatino Linotype" w:hAnsi="Palatino Linotype" w:cs="Palatino Linotype"/>
          <w:color w:val="000000"/>
        </w:rPr>
        <w:t xml:space="preserve">de desarrollo territorial durante la vigencia de un periodo de gobierno, dentro del cual se encuentra el uso de suelo, además el Código Administrativo del Estado de México en su artículo 5.10, fracción VI señala que los municipios tendrán la atribución de expedir cédulas informativas de zonificación, </w:t>
      </w:r>
      <w:r w:rsidRPr="001653DF">
        <w:rPr>
          <w:rFonts w:ascii="Palatino Linotype" w:eastAsia="Palatino Linotype" w:hAnsi="Palatino Linotype" w:cs="Palatino Linotype"/>
          <w:color w:val="000000"/>
          <w:u w:val="single"/>
        </w:rPr>
        <w:t>licencias de uso de suelo y licencias de construcción</w:t>
      </w:r>
      <w:r w:rsidRPr="001653DF">
        <w:rPr>
          <w:rFonts w:ascii="Palatino Linotype" w:eastAsia="Palatino Linotype" w:hAnsi="Palatino Linotype" w:cs="Palatino Linotype"/>
          <w:color w:val="000000"/>
        </w:rPr>
        <w:t>.</w:t>
      </w:r>
    </w:p>
    <w:p w14:paraId="26D45535" w14:textId="77777777" w:rsidR="002B2F6D" w:rsidRPr="001653DF" w:rsidRDefault="002B2F6D">
      <w:pPr>
        <w:tabs>
          <w:tab w:val="left" w:pos="4962"/>
        </w:tabs>
        <w:spacing w:line="360" w:lineRule="auto"/>
        <w:ind w:right="-599"/>
        <w:jc w:val="both"/>
        <w:rPr>
          <w:rFonts w:ascii="Palatino Linotype" w:eastAsia="Palatino Linotype" w:hAnsi="Palatino Linotype" w:cs="Palatino Linotype"/>
        </w:rPr>
      </w:pPr>
    </w:p>
    <w:p w14:paraId="3AD5AA4C" w14:textId="77777777" w:rsidR="002B2F6D" w:rsidRPr="001653DF" w:rsidRDefault="00B17ABB">
      <w:pPr>
        <w:numPr>
          <w:ilvl w:val="0"/>
          <w:numId w:val="3"/>
        </w:numPr>
        <w:pBdr>
          <w:top w:val="nil"/>
          <w:left w:val="nil"/>
          <w:bottom w:val="nil"/>
          <w:right w:val="nil"/>
          <w:between w:val="nil"/>
        </w:pBdr>
        <w:spacing w:line="360" w:lineRule="auto"/>
        <w:ind w:left="0" w:right="-599" w:firstLine="0"/>
        <w:jc w:val="both"/>
        <w:rPr>
          <w:rFonts w:ascii="Palatino Linotype" w:hAnsi="Palatino Linotype"/>
          <w:color w:val="000000"/>
        </w:rPr>
      </w:pPr>
      <w:r w:rsidRPr="001653DF">
        <w:rPr>
          <w:rFonts w:ascii="Palatino Linotype" w:eastAsia="Palatino Linotype" w:hAnsi="Palatino Linotype" w:cs="Palatino Linotype"/>
          <w:color w:val="000000"/>
        </w:rPr>
        <w:lastRenderedPageBreak/>
        <w:t>Por su parte el Reglamento del Libro Quinto del Código Administrativo del Estado de México, sobre las licencias de uso de suelo señala lo siguiente:</w:t>
      </w:r>
    </w:p>
    <w:p w14:paraId="31F2E97F" w14:textId="77777777" w:rsidR="002B2F6D" w:rsidRPr="001653DF" w:rsidRDefault="002B2F6D">
      <w:pPr>
        <w:tabs>
          <w:tab w:val="left" w:pos="4962"/>
        </w:tabs>
        <w:spacing w:line="360" w:lineRule="auto"/>
        <w:ind w:right="-599"/>
        <w:jc w:val="both"/>
        <w:rPr>
          <w:rFonts w:ascii="Palatino Linotype" w:eastAsia="Palatino Linotype" w:hAnsi="Palatino Linotype" w:cs="Palatino Linotype"/>
        </w:rPr>
      </w:pPr>
    </w:p>
    <w:p w14:paraId="4EF47657" w14:textId="77777777" w:rsidR="002B2F6D" w:rsidRPr="001653DF" w:rsidRDefault="00B17ABB">
      <w:pPr>
        <w:tabs>
          <w:tab w:val="left" w:pos="4962"/>
        </w:tabs>
        <w:spacing w:line="276" w:lineRule="auto"/>
        <w:ind w:left="567" w:right="-599"/>
        <w:jc w:val="both"/>
        <w:rPr>
          <w:rFonts w:ascii="Palatino Linotype" w:eastAsia="Palatino Linotype" w:hAnsi="Palatino Linotype" w:cs="Palatino Linotype"/>
          <w:b/>
          <w:i/>
          <w:sz w:val="22"/>
          <w:szCs w:val="22"/>
        </w:rPr>
      </w:pPr>
      <w:r w:rsidRPr="001653DF">
        <w:rPr>
          <w:rFonts w:ascii="Palatino Linotype" w:eastAsia="Palatino Linotype" w:hAnsi="Palatino Linotype" w:cs="Palatino Linotype"/>
          <w:b/>
          <w:i/>
          <w:sz w:val="22"/>
          <w:szCs w:val="22"/>
        </w:rPr>
        <w:t>DEL OBJETO DE LA LICENCIA DE USO DEL SUELO</w:t>
      </w:r>
    </w:p>
    <w:p w14:paraId="136CD335" w14:textId="77777777" w:rsidR="002B2F6D" w:rsidRPr="001653DF" w:rsidRDefault="00B17ABB">
      <w:pPr>
        <w:tabs>
          <w:tab w:val="left" w:pos="4962"/>
        </w:tabs>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b/>
          <w:i/>
          <w:sz w:val="22"/>
          <w:szCs w:val="22"/>
        </w:rPr>
        <w:t>Artículo 135.</w:t>
      </w:r>
      <w:r w:rsidRPr="001653DF">
        <w:rPr>
          <w:rFonts w:ascii="Palatino Linotype" w:eastAsia="Palatino Linotype" w:hAnsi="Palatino Linotype" w:cs="Palatino Linotype"/>
          <w:i/>
          <w:sz w:val="22"/>
          <w:szCs w:val="22"/>
        </w:rPr>
        <w:t xml:space="preserve"> La licencia de uso del suelo tendrá por objeto autorizar las normas para el uso y aprovechamiento de un determinado predio tales como: el coeficiente de ocupación del suelo, el coeficiente de utilización del suelo, la altura máxima de edificación, el número de cajones de estacionamiento, y en su caso el alineamiento y número oficial, además de señalar las restricciones correspondientes del Plan Municipal de Desarrollo Urbano correspondiente. A solicitud del interesado la licencia de uso del suelo podrá contener también el alineamiento y número oficial.</w:t>
      </w:r>
    </w:p>
    <w:p w14:paraId="50EF456F" w14:textId="77777777" w:rsidR="002B2F6D" w:rsidRPr="001653DF" w:rsidRDefault="002B2F6D">
      <w:pPr>
        <w:tabs>
          <w:tab w:val="left" w:pos="4962"/>
        </w:tabs>
        <w:spacing w:line="276" w:lineRule="auto"/>
        <w:ind w:left="567" w:right="-599"/>
        <w:jc w:val="both"/>
        <w:rPr>
          <w:rFonts w:ascii="Palatino Linotype" w:eastAsia="Palatino Linotype" w:hAnsi="Palatino Linotype" w:cs="Palatino Linotype"/>
          <w:b/>
          <w:i/>
          <w:sz w:val="22"/>
          <w:szCs w:val="22"/>
        </w:rPr>
      </w:pPr>
    </w:p>
    <w:p w14:paraId="0647A179" w14:textId="77777777" w:rsidR="002B2F6D" w:rsidRPr="001653DF" w:rsidRDefault="00B17ABB">
      <w:pPr>
        <w:tabs>
          <w:tab w:val="left" w:pos="4962"/>
        </w:tabs>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b/>
          <w:i/>
          <w:sz w:val="22"/>
          <w:szCs w:val="22"/>
        </w:rPr>
        <w:t>DEL PROCEDIMIENTO PARA OBTENER LICENCIA DE USO DEL SUELO</w:t>
      </w:r>
      <w:r w:rsidRPr="001653DF">
        <w:rPr>
          <w:rFonts w:ascii="Palatino Linotype" w:eastAsia="Palatino Linotype" w:hAnsi="Palatino Linotype" w:cs="Palatino Linotype"/>
          <w:i/>
          <w:sz w:val="22"/>
          <w:szCs w:val="22"/>
        </w:rPr>
        <w:t xml:space="preserve"> </w:t>
      </w:r>
    </w:p>
    <w:p w14:paraId="050A52E3" w14:textId="77777777" w:rsidR="002B2F6D" w:rsidRPr="001653DF" w:rsidRDefault="00B17ABB">
      <w:pPr>
        <w:tabs>
          <w:tab w:val="left" w:pos="4962"/>
        </w:tabs>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b/>
          <w:i/>
          <w:sz w:val="22"/>
          <w:szCs w:val="22"/>
        </w:rPr>
        <w:t>Artículo 136.</w:t>
      </w:r>
      <w:r w:rsidRPr="001653DF">
        <w:rPr>
          <w:rFonts w:ascii="Palatino Linotype" w:eastAsia="Palatino Linotype" w:hAnsi="Palatino Linotype" w:cs="Palatino Linotype"/>
          <w:i/>
          <w:sz w:val="22"/>
          <w:szCs w:val="22"/>
        </w:rPr>
        <w:t xml:space="preserve"> El procedimiento para obtener licencia de uso del suelo se sujetará a lo siguiente:</w:t>
      </w:r>
    </w:p>
    <w:p w14:paraId="781A7D38" w14:textId="77777777" w:rsidR="002B2F6D" w:rsidRPr="001653DF" w:rsidRDefault="00B17ABB">
      <w:pPr>
        <w:tabs>
          <w:tab w:val="left" w:pos="4962"/>
        </w:tabs>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t>I. El interesado presentará solicitud ante la autoridad competente, en la que señalará lo siguiente:</w:t>
      </w:r>
    </w:p>
    <w:p w14:paraId="2B42B45F" w14:textId="77777777" w:rsidR="002B2F6D" w:rsidRPr="001653DF" w:rsidRDefault="00B17ABB">
      <w:pPr>
        <w:tabs>
          <w:tab w:val="left" w:pos="4962"/>
        </w:tabs>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t>A) Uso actual y pretendido del suelo;</w:t>
      </w:r>
    </w:p>
    <w:p w14:paraId="390E710F" w14:textId="77777777" w:rsidR="002B2F6D" w:rsidRPr="001653DF" w:rsidRDefault="00B17ABB">
      <w:pPr>
        <w:tabs>
          <w:tab w:val="left" w:pos="4962"/>
        </w:tabs>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t>B) Superficie total del predio;</w:t>
      </w:r>
    </w:p>
    <w:p w14:paraId="7A143066" w14:textId="77777777" w:rsidR="002B2F6D" w:rsidRPr="001653DF" w:rsidRDefault="00B17ABB">
      <w:pPr>
        <w:tabs>
          <w:tab w:val="left" w:pos="4962"/>
        </w:tabs>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t>C) Superficie construida o por construir;</w:t>
      </w:r>
    </w:p>
    <w:p w14:paraId="7391C518" w14:textId="77777777" w:rsidR="002B2F6D" w:rsidRPr="001653DF" w:rsidRDefault="00B17ABB">
      <w:pPr>
        <w:tabs>
          <w:tab w:val="left" w:pos="4962"/>
        </w:tabs>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t>D) Clave catastral, si la hubiere;</w:t>
      </w:r>
    </w:p>
    <w:p w14:paraId="3A43164A" w14:textId="77777777" w:rsidR="002B2F6D" w:rsidRPr="001653DF" w:rsidRDefault="00B17ABB">
      <w:pPr>
        <w:tabs>
          <w:tab w:val="left" w:pos="4962"/>
        </w:tabs>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t>E) Localización del inmueble, a través de representación gráfica (croquis);</w:t>
      </w:r>
    </w:p>
    <w:p w14:paraId="3ABAF65D" w14:textId="77777777" w:rsidR="002B2F6D" w:rsidRPr="001653DF" w:rsidRDefault="00B17ABB">
      <w:pPr>
        <w:tabs>
          <w:tab w:val="left" w:pos="4962"/>
        </w:tabs>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t>II. A la solicitud se acompañarán los documentos siguientes:</w:t>
      </w:r>
    </w:p>
    <w:p w14:paraId="318A33B0" w14:textId="77777777" w:rsidR="002B2F6D" w:rsidRPr="001653DF" w:rsidRDefault="00B17ABB">
      <w:pPr>
        <w:tabs>
          <w:tab w:val="left" w:pos="4962"/>
        </w:tabs>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t>A) Título de propiedad y certificado de inscripción en el Instituto de la Función Registral del Estado de México;</w:t>
      </w:r>
    </w:p>
    <w:p w14:paraId="1DEDC1FA" w14:textId="77777777" w:rsidR="002B2F6D" w:rsidRPr="001653DF" w:rsidRDefault="00B17ABB">
      <w:pPr>
        <w:tabs>
          <w:tab w:val="left" w:pos="4962"/>
        </w:tabs>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t>B) En caso de posesión del inmueble o predio, podrá acreditarse con alguno de los documentos siguientes:</w:t>
      </w:r>
      <w:r w:rsidRPr="001653DF">
        <w:rPr>
          <w:rFonts w:ascii="Palatino Linotype" w:eastAsia="Palatino Linotype" w:hAnsi="Palatino Linotype" w:cs="Palatino Linotype"/>
          <w:i/>
          <w:sz w:val="22"/>
          <w:szCs w:val="22"/>
        </w:rPr>
        <w:br/>
      </w:r>
      <w:r w:rsidRPr="001653DF">
        <w:rPr>
          <w:rFonts w:ascii="Palatino Linotype" w:eastAsia="Palatino Linotype" w:hAnsi="Palatino Linotype" w:cs="Palatino Linotype"/>
          <w:sz w:val="22"/>
          <w:szCs w:val="22"/>
        </w:rPr>
        <w:t xml:space="preserve"> </w:t>
      </w:r>
      <w:r w:rsidRPr="001653DF">
        <w:rPr>
          <w:rFonts w:ascii="Palatino Linotype" w:eastAsia="Palatino Linotype" w:hAnsi="Palatino Linotype" w:cs="Palatino Linotype"/>
          <w:i/>
          <w:sz w:val="22"/>
          <w:szCs w:val="22"/>
        </w:rPr>
        <w:t>1. Contrato de compra-venta, usufructo, comodato o arrendamiento vigente sobre el inmueble;</w:t>
      </w:r>
    </w:p>
    <w:p w14:paraId="453761E5" w14:textId="77777777" w:rsidR="002B2F6D" w:rsidRPr="001653DF" w:rsidRDefault="00B17ABB">
      <w:pPr>
        <w:tabs>
          <w:tab w:val="left" w:pos="4962"/>
        </w:tabs>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t>2. Resolución judicial firme que constituya o declare la propiedad o posesión o cualquier otro derecho real o personal vigente a favor del solicitante sobre el inmueble;</w:t>
      </w:r>
    </w:p>
    <w:p w14:paraId="78B3725E" w14:textId="77777777" w:rsidR="002B2F6D" w:rsidRPr="001653DF" w:rsidRDefault="00B17ABB">
      <w:pPr>
        <w:tabs>
          <w:tab w:val="left" w:pos="4962"/>
        </w:tabs>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t>3. Inmatriculación administrativa;</w:t>
      </w:r>
    </w:p>
    <w:p w14:paraId="17377ABC" w14:textId="77777777" w:rsidR="002B2F6D" w:rsidRPr="001653DF" w:rsidRDefault="00B17ABB">
      <w:pPr>
        <w:tabs>
          <w:tab w:val="left" w:pos="4962"/>
        </w:tabs>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t>4. Recibo de pago del impuesto sobre traslación de dominio;</w:t>
      </w:r>
    </w:p>
    <w:p w14:paraId="466C3811" w14:textId="77777777" w:rsidR="002B2F6D" w:rsidRPr="001653DF" w:rsidRDefault="00B17ABB">
      <w:pPr>
        <w:tabs>
          <w:tab w:val="left" w:pos="4962"/>
        </w:tabs>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t>5. Acta de entrega de la posesión, en caso de viviendas;</w:t>
      </w:r>
    </w:p>
    <w:p w14:paraId="40AFBFBD" w14:textId="77777777" w:rsidR="002B2F6D" w:rsidRPr="001653DF" w:rsidRDefault="00B17ABB">
      <w:pPr>
        <w:tabs>
          <w:tab w:val="left" w:pos="4962"/>
        </w:tabs>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lastRenderedPageBreak/>
        <w:t>6. Cédula de contratación con el Instituto;</w:t>
      </w:r>
    </w:p>
    <w:p w14:paraId="315B8E27" w14:textId="77777777" w:rsidR="002B2F6D" w:rsidRPr="001653DF" w:rsidRDefault="00B17ABB">
      <w:pPr>
        <w:tabs>
          <w:tab w:val="left" w:pos="4962"/>
        </w:tabs>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t>7. En el caso de terrenos ejidales o comunales, certificado parcelario, certificado de derechos agrarios o resolución agraria, cédula de contratación con el Instituto de Suelo Sustentable, y</w:t>
      </w:r>
    </w:p>
    <w:p w14:paraId="20693581" w14:textId="77777777" w:rsidR="002B2F6D" w:rsidRPr="001653DF" w:rsidRDefault="00B17ABB">
      <w:pPr>
        <w:tabs>
          <w:tab w:val="left" w:pos="4962"/>
        </w:tabs>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t>C) Dictamen Único, en el caso de usos del suelo de impacto urbano a que se refiere el artículo 5.35 del Código.</w:t>
      </w:r>
    </w:p>
    <w:p w14:paraId="7F364657" w14:textId="77777777" w:rsidR="002B2F6D" w:rsidRPr="001653DF" w:rsidRDefault="00B17ABB">
      <w:pPr>
        <w:tabs>
          <w:tab w:val="left" w:pos="4962"/>
        </w:tabs>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t>La autoridad competente expedirá la licencia de uso del suelo dentro de los cinco días siguientes a la presentación de la solicitud y de los documentos que deben acompañarla, previo el pago de los derechos correspondientes, salvo que se solicite la opinión de la Secretaría, cuando no se cuente con plan de desarrollo urbano, en cuyo caso el plazo se extenderá hasta en cinco días más.</w:t>
      </w:r>
    </w:p>
    <w:p w14:paraId="60356573" w14:textId="77777777" w:rsidR="002B2F6D" w:rsidRPr="001653DF" w:rsidRDefault="00B17ABB">
      <w:pPr>
        <w:tabs>
          <w:tab w:val="left" w:pos="4962"/>
        </w:tabs>
        <w:spacing w:line="276" w:lineRule="auto"/>
        <w:ind w:left="567" w:right="-599"/>
        <w:jc w:val="both"/>
        <w:rPr>
          <w:rFonts w:ascii="Palatino Linotype" w:eastAsia="Palatino Linotype" w:hAnsi="Palatino Linotype" w:cs="Palatino Linotype"/>
          <w:b/>
          <w:i/>
          <w:sz w:val="22"/>
          <w:szCs w:val="22"/>
        </w:rPr>
      </w:pPr>
      <w:r w:rsidRPr="001653DF">
        <w:rPr>
          <w:rFonts w:ascii="Palatino Linotype" w:eastAsia="Palatino Linotype" w:hAnsi="Palatino Linotype" w:cs="Palatino Linotype"/>
          <w:b/>
          <w:i/>
          <w:sz w:val="22"/>
          <w:szCs w:val="22"/>
        </w:rPr>
        <w:t>DEL CONTENIDO DE LA LICENCIA DE USO DEL SUELO</w:t>
      </w:r>
    </w:p>
    <w:p w14:paraId="7B81D1B4" w14:textId="77777777" w:rsidR="002B2F6D" w:rsidRPr="001653DF" w:rsidRDefault="00B17ABB">
      <w:pPr>
        <w:tabs>
          <w:tab w:val="left" w:pos="4962"/>
        </w:tabs>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b/>
          <w:i/>
          <w:sz w:val="22"/>
          <w:szCs w:val="22"/>
        </w:rPr>
        <w:t>Artículo 137</w:t>
      </w:r>
      <w:r w:rsidRPr="001653DF">
        <w:rPr>
          <w:rFonts w:ascii="Palatino Linotype" w:eastAsia="Palatino Linotype" w:hAnsi="Palatino Linotype" w:cs="Palatino Linotype"/>
          <w:i/>
          <w:sz w:val="22"/>
          <w:szCs w:val="22"/>
        </w:rPr>
        <w:t>. La licencia de uso del suelo deberá contener, cuando menos, lo siguiente:</w:t>
      </w:r>
    </w:p>
    <w:p w14:paraId="3E56D9EE" w14:textId="77777777" w:rsidR="002B2F6D" w:rsidRPr="001653DF" w:rsidRDefault="00B17ABB">
      <w:pPr>
        <w:tabs>
          <w:tab w:val="left" w:pos="4962"/>
        </w:tabs>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t>I. Número de la licencia;</w:t>
      </w:r>
    </w:p>
    <w:p w14:paraId="24F35CE6" w14:textId="77777777" w:rsidR="002B2F6D" w:rsidRPr="001653DF" w:rsidRDefault="00B17ABB">
      <w:pPr>
        <w:tabs>
          <w:tab w:val="left" w:pos="4962"/>
        </w:tabs>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t>II. Ubicación del predio o inmueble y en su caso, clave catastral;</w:t>
      </w:r>
    </w:p>
    <w:p w14:paraId="273FAA70" w14:textId="77777777" w:rsidR="002B2F6D" w:rsidRPr="001653DF" w:rsidRDefault="00B17ABB">
      <w:pPr>
        <w:tabs>
          <w:tab w:val="left" w:pos="4962"/>
        </w:tabs>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t>III. Nombre y domicilio del solicitante;</w:t>
      </w:r>
    </w:p>
    <w:p w14:paraId="507A5E15" w14:textId="77777777" w:rsidR="002B2F6D" w:rsidRPr="001653DF" w:rsidRDefault="00B17ABB">
      <w:pPr>
        <w:tabs>
          <w:tab w:val="left" w:pos="4962"/>
        </w:tabs>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t>IV. Uso o usos del suelo que se autorizan;</w:t>
      </w:r>
    </w:p>
    <w:p w14:paraId="01782BD7" w14:textId="77777777" w:rsidR="002B2F6D" w:rsidRPr="001653DF" w:rsidRDefault="00B17ABB">
      <w:pPr>
        <w:tabs>
          <w:tab w:val="left" w:pos="4962"/>
        </w:tabs>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t>V. Densidad de vivienda, en su caso;</w:t>
      </w:r>
    </w:p>
    <w:p w14:paraId="7A369345" w14:textId="77777777" w:rsidR="002B2F6D" w:rsidRPr="001653DF" w:rsidRDefault="00B17ABB">
      <w:pPr>
        <w:tabs>
          <w:tab w:val="left" w:pos="4962"/>
        </w:tabs>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t>VI. Coeficiente de ocupación del suelo y coeficiente de utilización del suelo;</w:t>
      </w:r>
    </w:p>
    <w:p w14:paraId="1ABCB8CD" w14:textId="77777777" w:rsidR="002B2F6D" w:rsidRPr="001653DF" w:rsidRDefault="00B17ABB">
      <w:pPr>
        <w:tabs>
          <w:tab w:val="left" w:pos="4962"/>
        </w:tabs>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t>VII. Altura máxima de edificación;</w:t>
      </w:r>
    </w:p>
    <w:p w14:paraId="550A63B8" w14:textId="77777777" w:rsidR="002B2F6D" w:rsidRPr="001653DF" w:rsidRDefault="00B17ABB">
      <w:pPr>
        <w:tabs>
          <w:tab w:val="left" w:pos="4962"/>
        </w:tabs>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t>VIII. Número obligatorio de cajones de estacionamiento;</w:t>
      </w:r>
    </w:p>
    <w:p w14:paraId="0AA05C1E" w14:textId="77777777" w:rsidR="002B2F6D" w:rsidRPr="001653DF" w:rsidRDefault="00B17ABB">
      <w:pPr>
        <w:tabs>
          <w:tab w:val="left" w:pos="4962"/>
        </w:tabs>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t>IX. Alineamiento y número oficial;</w:t>
      </w:r>
    </w:p>
    <w:p w14:paraId="44FAAF4F" w14:textId="77777777" w:rsidR="002B2F6D" w:rsidRPr="001653DF" w:rsidRDefault="00B17ABB">
      <w:pPr>
        <w:tabs>
          <w:tab w:val="left" w:pos="4962"/>
        </w:tabs>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t>X. La normatividad, y obligaciones que deriven del Dictamen Único y las Evaluaciones Técnicas de Factibilidad, en su caso;</w:t>
      </w:r>
    </w:p>
    <w:p w14:paraId="60243D51" w14:textId="77777777" w:rsidR="002B2F6D" w:rsidRPr="001653DF" w:rsidRDefault="00B17ABB">
      <w:pPr>
        <w:tabs>
          <w:tab w:val="left" w:pos="4962"/>
        </w:tabs>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t>XI. Restricciones federales, estatales y municipales;</w:t>
      </w:r>
    </w:p>
    <w:p w14:paraId="69514189" w14:textId="77777777" w:rsidR="002B2F6D" w:rsidRPr="001653DF" w:rsidRDefault="00B17ABB">
      <w:pPr>
        <w:tabs>
          <w:tab w:val="left" w:pos="4962"/>
        </w:tabs>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t>XII. La normatividad y obligaciones que deriven de los dictámenes en materia de conservación del patrimonio histórico, artístico y cultural, en su caso;</w:t>
      </w:r>
    </w:p>
    <w:p w14:paraId="6D4C214C" w14:textId="77777777" w:rsidR="002B2F6D" w:rsidRPr="001653DF" w:rsidRDefault="00B17ABB">
      <w:pPr>
        <w:tabs>
          <w:tab w:val="left" w:pos="4962"/>
        </w:tabs>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t>XIII. Vigencia de la licencia;</w:t>
      </w:r>
    </w:p>
    <w:p w14:paraId="1CA65C78" w14:textId="77777777" w:rsidR="002B2F6D" w:rsidRPr="001653DF" w:rsidRDefault="00B17ABB">
      <w:pPr>
        <w:tabs>
          <w:tab w:val="left" w:pos="4962"/>
        </w:tabs>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t>XIV. Lugar y fecha en que se expide, y</w:t>
      </w:r>
    </w:p>
    <w:p w14:paraId="353624D0" w14:textId="77777777" w:rsidR="002B2F6D" w:rsidRPr="001653DF" w:rsidRDefault="00B17ABB">
      <w:pPr>
        <w:tabs>
          <w:tab w:val="left" w:pos="4962"/>
        </w:tabs>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t>XV. Nombre, cargo y firma de quien la autoriza.</w:t>
      </w:r>
    </w:p>
    <w:p w14:paraId="792F0265" w14:textId="77777777" w:rsidR="002B2F6D" w:rsidRPr="001653DF" w:rsidRDefault="00B17ABB">
      <w:pPr>
        <w:tabs>
          <w:tab w:val="left" w:pos="4962"/>
        </w:tabs>
        <w:spacing w:line="360"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t>Cuando el interesado únicamente solicite alineamiento y número oficial, la licencia de uso de suelo solo contendrá los datos a que refieren las fracciones I, II, III y XI de este artículo.</w:t>
      </w:r>
    </w:p>
    <w:p w14:paraId="1B7BDDCC" w14:textId="77777777" w:rsidR="002B2F6D" w:rsidRPr="001653DF" w:rsidRDefault="002B2F6D">
      <w:pPr>
        <w:tabs>
          <w:tab w:val="left" w:pos="4962"/>
        </w:tabs>
        <w:spacing w:line="360" w:lineRule="auto"/>
        <w:ind w:left="567" w:right="-599"/>
        <w:jc w:val="both"/>
        <w:rPr>
          <w:rFonts w:ascii="Palatino Linotype" w:eastAsia="Palatino Linotype" w:hAnsi="Palatino Linotype" w:cs="Palatino Linotype"/>
          <w:i/>
          <w:sz w:val="22"/>
          <w:szCs w:val="22"/>
        </w:rPr>
      </w:pPr>
    </w:p>
    <w:p w14:paraId="79F88D62" w14:textId="77777777" w:rsidR="002B2F6D" w:rsidRPr="001653DF" w:rsidRDefault="00B17ABB">
      <w:pPr>
        <w:numPr>
          <w:ilvl w:val="0"/>
          <w:numId w:val="3"/>
        </w:numPr>
        <w:pBdr>
          <w:top w:val="nil"/>
          <w:left w:val="nil"/>
          <w:bottom w:val="nil"/>
          <w:right w:val="nil"/>
          <w:between w:val="nil"/>
        </w:pBdr>
        <w:spacing w:line="360" w:lineRule="auto"/>
        <w:ind w:left="0" w:right="-599" w:firstLine="0"/>
        <w:jc w:val="both"/>
        <w:rPr>
          <w:rFonts w:ascii="Palatino Linotype" w:hAnsi="Palatino Linotype"/>
          <w:color w:val="000000"/>
        </w:rPr>
      </w:pPr>
      <w:r w:rsidRPr="001653DF">
        <w:rPr>
          <w:rFonts w:ascii="Palatino Linotype" w:eastAsia="Palatino Linotype" w:hAnsi="Palatino Linotype" w:cs="Palatino Linotype"/>
          <w:color w:val="000000"/>
        </w:rPr>
        <w:t>De la normatividad anteriormente mencionada se advierte que el Sujeto Obligado cuenta con atribuciones para emitir los documentos solicitados por el Particular, además de que la información requerida no solo es información pública, sino que también una obligación de transparencia como se muestra a continuación:</w:t>
      </w:r>
    </w:p>
    <w:p w14:paraId="4F54E43C" w14:textId="77777777" w:rsidR="002B2F6D" w:rsidRPr="001653DF" w:rsidRDefault="002B2F6D">
      <w:pPr>
        <w:spacing w:line="360" w:lineRule="auto"/>
        <w:ind w:right="-599"/>
        <w:jc w:val="both"/>
        <w:rPr>
          <w:rFonts w:ascii="Palatino Linotype" w:eastAsia="Palatino Linotype" w:hAnsi="Palatino Linotype" w:cs="Palatino Linotype"/>
        </w:rPr>
      </w:pPr>
    </w:p>
    <w:p w14:paraId="06C4A08D" w14:textId="77777777" w:rsidR="002B2F6D" w:rsidRPr="001653DF" w:rsidRDefault="00B17ABB">
      <w:pPr>
        <w:tabs>
          <w:tab w:val="left" w:pos="4962"/>
        </w:tabs>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b/>
          <w:i/>
          <w:sz w:val="22"/>
          <w:szCs w:val="22"/>
        </w:rPr>
        <w:t>Artículo 94</w:t>
      </w:r>
      <w:r w:rsidRPr="001653DF">
        <w:rPr>
          <w:rFonts w:ascii="Palatino Linotype" w:eastAsia="Palatino Linotype" w:hAnsi="Palatino Linotype" w:cs="Palatino Linotype"/>
          <w:i/>
          <w:sz w:val="22"/>
          <w:szCs w:val="22"/>
        </w:rPr>
        <w:t>. Además de las obligaciones de transparencia común a que se refiere el Capítulo II de este Título, los sujetos obligados del Poder Ejecutivo Local y municipales, deberán poner a disposición del público y actualizar la siguiente información:</w:t>
      </w:r>
    </w:p>
    <w:p w14:paraId="404FF107" w14:textId="77777777" w:rsidR="002B2F6D" w:rsidRPr="001653DF" w:rsidRDefault="00B17ABB">
      <w:pPr>
        <w:tabs>
          <w:tab w:val="left" w:pos="4962"/>
        </w:tabs>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t>I. En el caso del Poder Ejecutivo y los Municipios, en el ámbito de su competencia:</w:t>
      </w:r>
    </w:p>
    <w:p w14:paraId="55DE6F09" w14:textId="77777777" w:rsidR="002B2F6D" w:rsidRPr="001653DF" w:rsidRDefault="00B17ABB">
      <w:pPr>
        <w:tabs>
          <w:tab w:val="left" w:pos="4962"/>
        </w:tabs>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t>a) a e) …</w:t>
      </w:r>
    </w:p>
    <w:p w14:paraId="51568FC6" w14:textId="77777777" w:rsidR="002B2F6D" w:rsidRPr="001653DF" w:rsidRDefault="00B17ABB">
      <w:pPr>
        <w:tabs>
          <w:tab w:val="left" w:pos="4962"/>
        </w:tabs>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t xml:space="preserve">f) La información detallada que contengan los planes de desarrollo urbano, ordenamiento territorial y ecológico, los tipos y usos de suelo, </w:t>
      </w:r>
      <w:r w:rsidRPr="001653DF">
        <w:rPr>
          <w:rFonts w:ascii="Palatino Linotype" w:eastAsia="Palatino Linotype" w:hAnsi="Palatino Linotype" w:cs="Palatino Linotype"/>
          <w:b/>
          <w:i/>
          <w:sz w:val="22"/>
          <w:szCs w:val="22"/>
          <w:u w:val="single"/>
        </w:rPr>
        <w:t>licencias de uso y construcción</w:t>
      </w:r>
      <w:r w:rsidRPr="001653DF">
        <w:rPr>
          <w:rFonts w:ascii="Palatino Linotype" w:eastAsia="Palatino Linotype" w:hAnsi="Palatino Linotype" w:cs="Palatino Linotype"/>
          <w:i/>
          <w:sz w:val="22"/>
          <w:szCs w:val="22"/>
        </w:rPr>
        <w:t xml:space="preserve"> otorgadas por los gobiernos municipales;</w:t>
      </w:r>
    </w:p>
    <w:p w14:paraId="00D6812A" w14:textId="77777777" w:rsidR="002B2F6D" w:rsidRPr="001653DF" w:rsidRDefault="00B17ABB">
      <w:pPr>
        <w:tabs>
          <w:tab w:val="left" w:pos="4962"/>
        </w:tabs>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t>g) a k) …</w:t>
      </w:r>
    </w:p>
    <w:p w14:paraId="4025E0C1" w14:textId="77777777" w:rsidR="002B2F6D" w:rsidRPr="001653DF" w:rsidRDefault="00B17ABB">
      <w:pPr>
        <w:tabs>
          <w:tab w:val="left" w:pos="4962"/>
        </w:tabs>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t>II…</w:t>
      </w:r>
    </w:p>
    <w:p w14:paraId="082C244F" w14:textId="77777777" w:rsidR="002B2F6D" w:rsidRPr="001653DF" w:rsidRDefault="002B2F6D">
      <w:pPr>
        <w:spacing w:line="360" w:lineRule="auto"/>
        <w:ind w:right="-599"/>
        <w:jc w:val="both"/>
        <w:rPr>
          <w:rFonts w:ascii="Palatino Linotype" w:eastAsia="Palatino Linotype" w:hAnsi="Palatino Linotype" w:cs="Palatino Linotype"/>
        </w:rPr>
      </w:pPr>
    </w:p>
    <w:p w14:paraId="2079A1A0" w14:textId="77777777" w:rsidR="002B2F6D" w:rsidRPr="001653DF" w:rsidRDefault="00B17ABB" w:rsidP="00836BDF">
      <w:pPr>
        <w:numPr>
          <w:ilvl w:val="0"/>
          <w:numId w:val="3"/>
        </w:numPr>
        <w:pBdr>
          <w:top w:val="nil"/>
          <w:left w:val="nil"/>
          <w:bottom w:val="nil"/>
          <w:right w:val="nil"/>
          <w:between w:val="nil"/>
        </w:pBdr>
        <w:spacing w:line="360" w:lineRule="auto"/>
        <w:ind w:left="0" w:right="-29" w:firstLine="0"/>
        <w:jc w:val="both"/>
        <w:rPr>
          <w:rFonts w:ascii="Palatino Linotype" w:hAnsi="Palatino Linotype"/>
          <w:color w:val="000000"/>
        </w:rPr>
      </w:pPr>
      <w:r w:rsidRPr="001653DF">
        <w:rPr>
          <w:rFonts w:ascii="Palatino Linotype" w:eastAsia="Palatino Linotype" w:hAnsi="Palatino Linotype" w:cs="Palatino Linotype"/>
          <w:color w:val="000000"/>
        </w:rPr>
        <w:t xml:space="preserve">Con base en lo anterior, se procede a analizar la respuesta del Sujeto Obligado con la finalidad de verificar si esta da cuenta de lo solicitado por el Particular, en ese sentido, se advierte que en respuesta el Ente Recurrido turno del requerimiento de información a la </w:t>
      </w:r>
      <w:r w:rsidRPr="001653DF">
        <w:rPr>
          <w:rFonts w:ascii="Palatino Linotype" w:eastAsia="Palatino Linotype" w:hAnsi="Palatino Linotype" w:cs="Palatino Linotype"/>
          <w:b/>
          <w:color w:val="000000"/>
        </w:rPr>
        <w:t>Dirección de General de Desarrollo Urbano</w:t>
      </w:r>
      <w:r w:rsidRPr="001653DF">
        <w:rPr>
          <w:rFonts w:ascii="Palatino Linotype" w:eastAsia="Palatino Linotype" w:hAnsi="Palatino Linotype" w:cs="Palatino Linotype"/>
          <w:color w:val="000000"/>
        </w:rPr>
        <w:t xml:space="preserve">, razón por la cual, es necesario hacer referencia al </w:t>
      </w:r>
      <w:r w:rsidRPr="001653DF">
        <w:rPr>
          <w:rFonts w:ascii="Palatino Linotype" w:eastAsia="Palatino Linotype" w:hAnsi="Palatino Linotype" w:cs="Palatino Linotype"/>
          <w:b/>
          <w:color w:val="000000"/>
        </w:rPr>
        <w:t>procedimiento de búsqueda que deben de seguir los Sujetos Obligados para localizar la información</w:t>
      </w:r>
      <w:r w:rsidRPr="001653DF">
        <w:rPr>
          <w:rFonts w:ascii="Palatino Linotype" w:eastAsia="Palatino Linotype" w:hAnsi="Palatino Linotype" w:cs="Palatino Linotype"/>
          <w:color w:val="000000"/>
        </w:rPr>
        <w:t xml:space="preserve">, el cual se encuentra previsto en los </w:t>
      </w:r>
      <w:r w:rsidRPr="001653DF">
        <w:rPr>
          <w:rFonts w:ascii="Palatino Linotype" w:eastAsia="Palatino Linotype" w:hAnsi="Palatino Linotype" w:cs="Palatino Linotype"/>
          <w:color w:val="000000"/>
        </w:rPr>
        <w:lastRenderedPageBreak/>
        <w:t>artículos 160 y 162 de la Ley de Transparencia y Acceso a la Información Pública del Estado de México y Municipios, mismo que es el siguiente:</w:t>
      </w:r>
    </w:p>
    <w:p w14:paraId="753A3011" w14:textId="77777777" w:rsidR="002B2F6D" w:rsidRPr="001653DF" w:rsidRDefault="002B2F6D">
      <w:pPr>
        <w:spacing w:line="360" w:lineRule="auto"/>
        <w:ind w:right="-599"/>
        <w:jc w:val="both"/>
        <w:rPr>
          <w:rFonts w:ascii="Palatino Linotype" w:eastAsia="Palatino Linotype" w:hAnsi="Palatino Linotype" w:cs="Palatino Linotype"/>
        </w:rPr>
      </w:pPr>
    </w:p>
    <w:p w14:paraId="5452FE2D" w14:textId="77777777" w:rsidR="002B2F6D" w:rsidRPr="001653DF" w:rsidRDefault="00B17ABB" w:rsidP="00836BDF">
      <w:pPr>
        <w:numPr>
          <w:ilvl w:val="0"/>
          <w:numId w:val="6"/>
        </w:numPr>
        <w:spacing w:line="360" w:lineRule="auto"/>
        <w:ind w:right="-29"/>
        <w:jc w:val="both"/>
        <w:rPr>
          <w:rFonts w:ascii="Palatino Linotype" w:eastAsia="Palatino Linotype" w:hAnsi="Palatino Linotype" w:cs="Palatino Linotype"/>
        </w:rPr>
      </w:pPr>
      <w:r w:rsidRPr="001653DF">
        <w:rPr>
          <w:rFonts w:ascii="Palatino Linotype" w:eastAsia="Palatino Linotype" w:hAnsi="Palatino Linotype" w:cs="Palatino Linotype"/>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0EEDE3E2" w14:textId="77777777" w:rsidR="002B2F6D" w:rsidRPr="001653DF" w:rsidRDefault="002B2F6D">
      <w:pPr>
        <w:spacing w:line="360" w:lineRule="auto"/>
        <w:ind w:right="-599"/>
        <w:jc w:val="both"/>
        <w:rPr>
          <w:rFonts w:ascii="Palatino Linotype" w:eastAsia="Palatino Linotype" w:hAnsi="Palatino Linotype" w:cs="Palatino Linotype"/>
        </w:rPr>
      </w:pPr>
    </w:p>
    <w:p w14:paraId="574C1F48" w14:textId="77777777" w:rsidR="002B2F6D" w:rsidRPr="001653DF" w:rsidRDefault="00B17ABB" w:rsidP="00836BDF">
      <w:pPr>
        <w:numPr>
          <w:ilvl w:val="0"/>
          <w:numId w:val="6"/>
        </w:numPr>
        <w:spacing w:line="360" w:lineRule="auto"/>
        <w:ind w:right="113"/>
        <w:jc w:val="both"/>
        <w:rPr>
          <w:rFonts w:ascii="Palatino Linotype" w:eastAsia="Palatino Linotype" w:hAnsi="Palatino Linotype" w:cs="Palatino Linotype"/>
        </w:rPr>
      </w:pPr>
      <w:r w:rsidRPr="001653DF">
        <w:rPr>
          <w:rFonts w:ascii="Palatino Linotype" w:eastAsia="Palatino Linotype" w:hAnsi="Palatino Linotype" w:cs="Palatino Linotype"/>
        </w:rPr>
        <w:t>Los sujetos obligados otorgarán acceso a los documentos que se encuentren en sus archivos o que estén obligados a documentar de acuerdo con sus facultades, competencias o funciones, en el formato en que el solicitante manifieste, de entre aquellos formatos existentes.</w:t>
      </w:r>
    </w:p>
    <w:p w14:paraId="1E58E041" w14:textId="77777777" w:rsidR="002B2F6D" w:rsidRPr="001653DF" w:rsidRDefault="002B2F6D">
      <w:pPr>
        <w:spacing w:line="360" w:lineRule="auto"/>
        <w:ind w:right="-599"/>
        <w:jc w:val="both"/>
        <w:rPr>
          <w:rFonts w:ascii="Palatino Linotype" w:eastAsia="Palatino Linotype" w:hAnsi="Palatino Linotype" w:cs="Palatino Linotype"/>
        </w:rPr>
      </w:pPr>
    </w:p>
    <w:p w14:paraId="529FE1F2" w14:textId="77777777" w:rsidR="002B2F6D" w:rsidRPr="001653DF" w:rsidRDefault="00B17ABB" w:rsidP="00836BDF">
      <w:pPr>
        <w:numPr>
          <w:ilvl w:val="0"/>
          <w:numId w:val="3"/>
        </w:numPr>
        <w:pBdr>
          <w:top w:val="nil"/>
          <w:left w:val="nil"/>
          <w:bottom w:val="nil"/>
          <w:right w:val="nil"/>
          <w:between w:val="nil"/>
        </w:pBdr>
        <w:spacing w:line="360" w:lineRule="auto"/>
        <w:ind w:left="0" w:right="-29" w:firstLine="0"/>
        <w:jc w:val="both"/>
        <w:rPr>
          <w:rFonts w:ascii="Palatino Linotype" w:hAnsi="Palatino Linotype"/>
          <w:color w:val="000000"/>
        </w:rPr>
      </w:pPr>
      <w:r w:rsidRPr="001653DF">
        <w:rPr>
          <w:rFonts w:ascii="Palatino Linotype" w:eastAsia="Palatino Linotype" w:hAnsi="Palatino Linotype" w:cs="Palatino Linotype"/>
          <w:color w:val="000000"/>
        </w:rPr>
        <w:t xml:space="preserve">Atendiendo al procedimiento de búsqueda previamente referido, es necesario traer al presente estudio lo previsto en los artículos 43, inciso a), fracción IX, 81, del Bando Municipal del Ayuntamiento de Naucalpan de Juárez, el cual establece que la Dirección General de Desarrollo Urbano, es la dependencia de la Administración Pública Municipal, encargada de planear, ordenar y regular, los asentamientos humanos en el territorio municipal. Aunado a lo anterior, los artículos 1.18, fracción, IX, </w:t>
      </w:r>
      <w:r w:rsidRPr="001653DF">
        <w:rPr>
          <w:rFonts w:ascii="Palatino Linotype" w:eastAsia="Palatino Linotype" w:hAnsi="Palatino Linotype" w:cs="Palatino Linotype"/>
          <w:color w:val="000000"/>
        </w:rPr>
        <w:lastRenderedPageBreak/>
        <w:t>10.1, 10.9, 10.10, confieren atribuciones a la Dirección General en comento para la expedición de licencias de construcción y de uso de suelo.</w:t>
      </w:r>
    </w:p>
    <w:p w14:paraId="5AABF3ED" w14:textId="77777777" w:rsidR="002B2F6D" w:rsidRPr="001653DF" w:rsidRDefault="002B2F6D">
      <w:pPr>
        <w:spacing w:line="360" w:lineRule="auto"/>
        <w:ind w:right="-599"/>
        <w:jc w:val="both"/>
        <w:rPr>
          <w:rFonts w:ascii="Palatino Linotype" w:eastAsia="Palatino Linotype" w:hAnsi="Palatino Linotype" w:cs="Palatino Linotype"/>
        </w:rPr>
      </w:pPr>
    </w:p>
    <w:p w14:paraId="11B9C456" w14:textId="77777777" w:rsidR="002B2F6D" w:rsidRPr="001653DF" w:rsidRDefault="00B17ABB" w:rsidP="00836BDF">
      <w:pPr>
        <w:numPr>
          <w:ilvl w:val="0"/>
          <w:numId w:val="3"/>
        </w:numPr>
        <w:pBdr>
          <w:top w:val="nil"/>
          <w:left w:val="nil"/>
          <w:bottom w:val="nil"/>
          <w:right w:val="nil"/>
          <w:between w:val="nil"/>
        </w:pBdr>
        <w:spacing w:line="360" w:lineRule="auto"/>
        <w:ind w:left="0" w:right="-29" w:firstLine="0"/>
        <w:jc w:val="both"/>
        <w:rPr>
          <w:rFonts w:ascii="Palatino Linotype" w:hAnsi="Palatino Linotype"/>
          <w:color w:val="000000"/>
        </w:rPr>
      </w:pPr>
      <w:r w:rsidRPr="001653DF">
        <w:rPr>
          <w:rFonts w:ascii="Palatino Linotype" w:eastAsia="Palatino Linotype" w:hAnsi="Palatino Linotype" w:cs="Palatino Linotype"/>
          <w:color w:val="000000"/>
        </w:rPr>
        <w:t>Tomando en consideración lo anterior, se logra advertir que el Sujeto Obligado dio cumplimiento al procedimiento de búsqueda previsto en el artículo 162 de la Ley de Transparencia y Acceso a la Información Pública del Estado de México y Municipios, al turnar el requerimiento de información en Informe Justificado a la Dirección General de Desarrollo Urbano, área que tiene atribuciones para expedir licencias de construcción y uso de suelo en las demarcaciones territoriales del Ayuntamiento de Naucalpan de Juárez.</w:t>
      </w:r>
    </w:p>
    <w:p w14:paraId="1EADC6AD" w14:textId="77777777" w:rsidR="002B2F6D" w:rsidRPr="001653DF" w:rsidRDefault="002B2F6D">
      <w:pPr>
        <w:spacing w:line="360" w:lineRule="auto"/>
        <w:ind w:right="-599"/>
        <w:jc w:val="both"/>
        <w:rPr>
          <w:rFonts w:ascii="Palatino Linotype" w:eastAsia="Palatino Linotype" w:hAnsi="Palatino Linotype" w:cs="Palatino Linotype"/>
        </w:rPr>
      </w:pPr>
    </w:p>
    <w:p w14:paraId="0BAB8D81" w14:textId="77777777" w:rsidR="002B2F6D" w:rsidRPr="001653DF" w:rsidRDefault="00B17ABB" w:rsidP="00836BDF">
      <w:pPr>
        <w:numPr>
          <w:ilvl w:val="0"/>
          <w:numId w:val="3"/>
        </w:numPr>
        <w:pBdr>
          <w:top w:val="nil"/>
          <w:left w:val="nil"/>
          <w:bottom w:val="nil"/>
          <w:right w:val="nil"/>
          <w:between w:val="nil"/>
        </w:pBdr>
        <w:spacing w:line="360" w:lineRule="auto"/>
        <w:ind w:left="0" w:right="-29" w:firstLine="0"/>
        <w:jc w:val="both"/>
        <w:rPr>
          <w:rFonts w:ascii="Palatino Linotype" w:hAnsi="Palatino Linotype"/>
          <w:color w:val="000000"/>
        </w:rPr>
      </w:pPr>
      <w:r w:rsidRPr="001653DF">
        <w:rPr>
          <w:rFonts w:ascii="Palatino Linotype" w:eastAsia="Palatino Linotype" w:hAnsi="Palatino Linotype" w:cs="Palatino Linotype"/>
          <w:color w:val="000000"/>
        </w:rPr>
        <w:t xml:space="preserve">En los términos anteriores, de la lectura de la solicitud de información de colige que la pretensión del Particular consiente </w:t>
      </w:r>
      <w:r w:rsidRPr="001653DF">
        <w:rPr>
          <w:rFonts w:ascii="Palatino Linotype" w:eastAsia="Palatino Linotype" w:hAnsi="Palatino Linotype" w:cs="Palatino Linotype"/>
          <w:b/>
          <w:color w:val="000000"/>
        </w:rPr>
        <w:t xml:space="preserve">obtención de copias simples digitales de todos los permisos, concesiones y licencias emitidas para la construcción </w:t>
      </w:r>
      <w:r w:rsidRPr="001653DF">
        <w:rPr>
          <w:rFonts w:ascii="Palatino Linotype" w:eastAsia="Palatino Linotype" w:hAnsi="Palatino Linotype" w:cs="Palatino Linotype"/>
          <w:color w:val="000000"/>
        </w:rPr>
        <w:t>del proyecto Conjunto Urbano de Tipo Mixto llamado “Terralago”, ubicado en vía Doctor Jorge Jiménez Cantú 931, Lote 20, vía Doctor Jorge Jiménez Cantú 75, Lote XVIII Fraccionamiento Lomas Verdes (Centro Cívico), Municipio de Naucalpan de Juárez.</w:t>
      </w:r>
    </w:p>
    <w:p w14:paraId="4F60393F" w14:textId="77777777" w:rsidR="002B2F6D" w:rsidRPr="001653DF" w:rsidRDefault="002B2F6D">
      <w:pPr>
        <w:spacing w:line="360" w:lineRule="auto"/>
        <w:ind w:right="-599"/>
        <w:jc w:val="both"/>
        <w:rPr>
          <w:rFonts w:ascii="Palatino Linotype" w:eastAsia="Palatino Linotype" w:hAnsi="Palatino Linotype" w:cs="Palatino Linotype"/>
        </w:rPr>
      </w:pPr>
    </w:p>
    <w:p w14:paraId="3981063F" w14:textId="77777777" w:rsidR="002B2F6D" w:rsidRPr="001653DF" w:rsidRDefault="00B17ABB" w:rsidP="00836BDF">
      <w:pPr>
        <w:numPr>
          <w:ilvl w:val="0"/>
          <w:numId w:val="3"/>
        </w:numPr>
        <w:pBdr>
          <w:top w:val="nil"/>
          <w:left w:val="nil"/>
          <w:bottom w:val="nil"/>
          <w:right w:val="nil"/>
          <w:between w:val="nil"/>
        </w:pBdr>
        <w:spacing w:line="360" w:lineRule="auto"/>
        <w:ind w:left="0" w:right="-29" w:firstLine="0"/>
        <w:jc w:val="both"/>
        <w:rPr>
          <w:rFonts w:ascii="Palatino Linotype" w:hAnsi="Palatino Linotype"/>
          <w:color w:val="000000"/>
        </w:rPr>
      </w:pPr>
      <w:r w:rsidRPr="001653DF">
        <w:rPr>
          <w:rFonts w:ascii="Palatino Linotype" w:eastAsia="Palatino Linotype" w:hAnsi="Palatino Linotype" w:cs="Palatino Linotype"/>
          <w:color w:val="000000"/>
        </w:rPr>
        <w:t xml:space="preserve">En ese sentido, el Sujeto Obligado en respuesta señaló que no encontró expresión documental que diera respuesta a lo solicitado, por lo cual, es necesario señalar que en el caso de que si una solicitud se presenta a modo de consulta, sin embargo, la respuesta </w:t>
      </w:r>
      <w:r w:rsidRPr="001653DF">
        <w:rPr>
          <w:rFonts w:ascii="Palatino Linotype" w:eastAsia="Palatino Linotype" w:hAnsi="Palatino Linotype" w:cs="Palatino Linotype"/>
          <w:color w:val="000000"/>
        </w:rPr>
        <w:lastRenderedPageBreak/>
        <w:t>a esta consulta pudiera obrar en algún documento en poder de los sujetos obligados, éstos deben dar a dichas solicitudes una interpretación que les otorgue una expresión documental, esta circunstancia se robustece en lo previsto en el Criterio de Interpretación: SO/016/2017, del Instituto de Transparencia, Acceso a la Información Pública y Protección de Datos Personales, cuyo texto y rubro es el siguiente:</w:t>
      </w:r>
    </w:p>
    <w:p w14:paraId="25D968FE" w14:textId="77777777" w:rsidR="002B2F6D" w:rsidRPr="001653DF" w:rsidRDefault="002B2F6D">
      <w:pPr>
        <w:spacing w:line="360" w:lineRule="auto"/>
        <w:ind w:right="-599"/>
        <w:jc w:val="both"/>
        <w:rPr>
          <w:rFonts w:ascii="Palatino Linotype" w:eastAsia="Palatino Linotype" w:hAnsi="Palatino Linotype" w:cs="Palatino Linotype"/>
        </w:rPr>
      </w:pPr>
    </w:p>
    <w:p w14:paraId="209DA467" w14:textId="77777777" w:rsidR="002B2F6D" w:rsidRPr="001653DF" w:rsidRDefault="00B17ABB" w:rsidP="00836BDF">
      <w:pPr>
        <w:spacing w:line="276" w:lineRule="auto"/>
        <w:ind w:left="567" w:right="-2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b/>
          <w:i/>
          <w:sz w:val="22"/>
          <w:szCs w:val="22"/>
        </w:rPr>
        <w:t xml:space="preserve">Expresión documental. </w:t>
      </w:r>
      <w:r w:rsidRPr="001653DF">
        <w:rPr>
          <w:rFonts w:ascii="Palatino Linotype" w:eastAsia="Palatino Linotype" w:hAnsi="Palatino Linotype" w:cs="Palatino Linotype"/>
          <w:i/>
          <w:sz w:val="22"/>
          <w:szCs w:val="22"/>
        </w:rPr>
        <w:t xml:space="preserve">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 </w:t>
      </w:r>
    </w:p>
    <w:p w14:paraId="5AB8CBDF" w14:textId="77777777" w:rsidR="002B2F6D" w:rsidRPr="001653DF" w:rsidRDefault="002B2F6D">
      <w:pPr>
        <w:spacing w:line="360" w:lineRule="auto"/>
        <w:ind w:right="-599"/>
        <w:jc w:val="both"/>
        <w:rPr>
          <w:rFonts w:ascii="Palatino Linotype" w:eastAsia="Palatino Linotype" w:hAnsi="Palatino Linotype" w:cs="Palatino Linotype"/>
        </w:rPr>
      </w:pPr>
    </w:p>
    <w:p w14:paraId="7E721CA6" w14:textId="77777777" w:rsidR="002B2F6D" w:rsidRPr="001653DF" w:rsidRDefault="00B17ABB" w:rsidP="00836BDF">
      <w:pPr>
        <w:numPr>
          <w:ilvl w:val="0"/>
          <w:numId w:val="3"/>
        </w:numPr>
        <w:pBdr>
          <w:top w:val="nil"/>
          <w:left w:val="nil"/>
          <w:bottom w:val="nil"/>
          <w:right w:val="nil"/>
          <w:between w:val="nil"/>
        </w:pBdr>
        <w:spacing w:line="360" w:lineRule="auto"/>
        <w:ind w:left="0" w:right="-29" w:firstLine="0"/>
        <w:jc w:val="both"/>
        <w:rPr>
          <w:rFonts w:ascii="Palatino Linotype" w:hAnsi="Palatino Linotype"/>
          <w:color w:val="000000"/>
        </w:rPr>
      </w:pPr>
      <w:r w:rsidRPr="001653DF">
        <w:rPr>
          <w:rFonts w:ascii="Palatino Linotype" w:eastAsia="Palatino Linotype" w:hAnsi="Palatino Linotype" w:cs="Palatino Linotype"/>
          <w:color w:val="000000"/>
        </w:rPr>
        <w:t>En consecuencia a lo anterior, la respuesta del Ente Recurrido no puede darse por validada ya que de la lectura del requerimiento de información del Particular se advierten elementos suficientes del soporte documental al cual pretende acceder el Recurrente. No obstante a ello, en la etapa de Manifestaciones, el Recurrente presentó Periódico Oficial Gaceta del Gobierno del Estado de México, de fecha veintiocho de abril de dos mil veintitrés, en la que obra el Acuerdo:</w:t>
      </w:r>
    </w:p>
    <w:p w14:paraId="7AC2090F" w14:textId="77777777" w:rsidR="002B2F6D" w:rsidRPr="001653DF" w:rsidRDefault="00B17ABB">
      <w:pPr>
        <w:pBdr>
          <w:top w:val="nil"/>
          <w:left w:val="nil"/>
          <w:bottom w:val="nil"/>
          <w:right w:val="nil"/>
          <w:between w:val="nil"/>
        </w:pBdr>
        <w:spacing w:line="360" w:lineRule="auto"/>
        <w:ind w:right="-599"/>
        <w:jc w:val="center"/>
        <w:rPr>
          <w:rFonts w:ascii="Palatino Linotype" w:eastAsia="Palatino Linotype" w:hAnsi="Palatino Linotype" w:cs="Palatino Linotype"/>
          <w:color w:val="000000"/>
        </w:rPr>
      </w:pPr>
      <w:r w:rsidRPr="001653DF">
        <w:rPr>
          <w:rFonts w:ascii="Palatino Linotype" w:eastAsia="Palatino Linotype" w:hAnsi="Palatino Linotype" w:cs="Palatino Linotype"/>
          <w:noProof/>
          <w:color w:val="000000"/>
        </w:rPr>
        <w:lastRenderedPageBreak/>
        <w:drawing>
          <wp:inline distT="0" distB="0" distL="0" distR="0" wp14:anchorId="0189C29F" wp14:editId="1CFBF926">
            <wp:extent cx="3378406" cy="1844974"/>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378406" cy="1844974"/>
                    </a:xfrm>
                    <a:prstGeom prst="rect">
                      <a:avLst/>
                    </a:prstGeom>
                    <a:ln/>
                  </pic:spPr>
                </pic:pic>
              </a:graphicData>
            </a:graphic>
          </wp:inline>
        </w:drawing>
      </w:r>
    </w:p>
    <w:p w14:paraId="00E26EED" w14:textId="77777777" w:rsidR="002B2F6D" w:rsidRPr="001653DF" w:rsidRDefault="00B17ABB">
      <w:pPr>
        <w:pBdr>
          <w:top w:val="nil"/>
          <w:left w:val="nil"/>
          <w:bottom w:val="nil"/>
          <w:right w:val="nil"/>
          <w:between w:val="nil"/>
        </w:pBdr>
        <w:spacing w:line="360" w:lineRule="auto"/>
        <w:ind w:right="-599"/>
        <w:jc w:val="center"/>
        <w:rPr>
          <w:rFonts w:ascii="Palatino Linotype" w:eastAsia="Palatino Linotype" w:hAnsi="Palatino Linotype" w:cs="Palatino Linotype"/>
          <w:color w:val="000000"/>
        </w:rPr>
      </w:pPr>
      <w:r w:rsidRPr="001653DF">
        <w:rPr>
          <w:rFonts w:ascii="Palatino Linotype" w:eastAsia="Palatino Linotype" w:hAnsi="Palatino Linotype" w:cs="Palatino Linotype"/>
          <w:noProof/>
          <w:color w:val="000000"/>
        </w:rPr>
        <w:drawing>
          <wp:inline distT="0" distB="0" distL="0" distR="0" wp14:anchorId="0991E0CE" wp14:editId="3C69EE14">
            <wp:extent cx="3079969" cy="2828475"/>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3079969" cy="2828475"/>
                    </a:xfrm>
                    <a:prstGeom prst="rect">
                      <a:avLst/>
                    </a:prstGeom>
                    <a:ln/>
                  </pic:spPr>
                </pic:pic>
              </a:graphicData>
            </a:graphic>
          </wp:inline>
        </w:drawing>
      </w:r>
    </w:p>
    <w:p w14:paraId="09C631EC" w14:textId="77777777" w:rsidR="002B2F6D" w:rsidRPr="001653DF" w:rsidRDefault="002B2F6D">
      <w:pPr>
        <w:pBdr>
          <w:top w:val="nil"/>
          <w:left w:val="nil"/>
          <w:bottom w:val="nil"/>
          <w:right w:val="nil"/>
          <w:between w:val="nil"/>
        </w:pBdr>
        <w:spacing w:line="360" w:lineRule="auto"/>
        <w:ind w:right="-599"/>
        <w:jc w:val="both"/>
        <w:rPr>
          <w:rFonts w:ascii="Palatino Linotype" w:eastAsia="Palatino Linotype" w:hAnsi="Palatino Linotype" w:cs="Palatino Linotype"/>
          <w:color w:val="000000"/>
        </w:rPr>
      </w:pPr>
    </w:p>
    <w:p w14:paraId="1375EA94" w14:textId="77777777" w:rsidR="00164857" w:rsidRPr="001653DF" w:rsidRDefault="00164857" w:rsidP="00164857">
      <w:pPr>
        <w:numPr>
          <w:ilvl w:val="0"/>
          <w:numId w:val="3"/>
        </w:numPr>
        <w:pBdr>
          <w:top w:val="nil"/>
          <w:left w:val="nil"/>
          <w:bottom w:val="nil"/>
          <w:right w:val="nil"/>
          <w:between w:val="nil"/>
        </w:pBdr>
        <w:spacing w:line="360" w:lineRule="auto"/>
        <w:ind w:left="0" w:right="-29" w:firstLine="0"/>
        <w:jc w:val="both"/>
        <w:rPr>
          <w:rFonts w:ascii="Palatino Linotype" w:hAnsi="Palatino Linotype"/>
          <w:color w:val="000000"/>
        </w:rPr>
      </w:pPr>
      <w:r w:rsidRPr="001653DF">
        <w:rPr>
          <w:rFonts w:ascii="Palatino Linotype" w:hAnsi="Palatino Linotype"/>
          <w:color w:val="000000"/>
        </w:rPr>
        <w:t xml:space="preserve">De lo anterior se desprende que el Particular exhibe el </w:t>
      </w:r>
      <w:r w:rsidRPr="001653DF">
        <w:rPr>
          <w:rFonts w:ascii="Palatino Linotype" w:eastAsia="Palatino Linotype" w:hAnsi="Palatino Linotype" w:cs="Palatino Linotype"/>
          <w:color w:val="000000"/>
        </w:rPr>
        <w:t xml:space="preserve">Periódico Oficial Gaceta del Gobierno del Estado de México, de fecha veintiocho de abril de dos mil veintitrés, en la que obra el Acuerdo que hace referencia </w:t>
      </w:r>
      <w:r w:rsidR="00237E82" w:rsidRPr="001653DF">
        <w:rPr>
          <w:rFonts w:ascii="Palatino Linotype" w:eastAsia="Palatino Linotype" w:hAnsi="Palatino Linotype" w:cs="Palatino Linotype"/>
          <w:color w:val="000000"/>
        </w:rPr>
        <w:t>al Conjunto Urbano tipo mixto habitacional, residencial, comercial y de servicios, a que hace referencia el Particular</w:t>
      </w:r>
      <w:r w:rsidR="00E13117" w:rsidRPr="001653DF">
        <w:rPr>
          <w:rFonts w:ascii="Palatino Linotype" w:eastAsia="Palatino Linotype" w:hAnsi="Palatino Linotype" w:cs="Palatino Linotype"/>
          <w:color w:val="000000"/>
        </w:rPr>
        <w:t xml:space="preserve">, es </w:t>
      </w:r>
      <w:r w:rsidR="00E13117" w:rsidRPr="001653DF">
        <w:rPr>
          <w:rFonts w:ascii="Palatino Linotype" w:eastAsia="Palatino Linotype" w:hAnsi="Palatino Linotype" w:cs="Palatino Linotype"/>
          <w:color w:val="000000"/>
        </w:rPr>
        <w:lastRenderedPageBreak/>
        <w:t>decir, con esto queda acreditado que efectivamente se realizó la construcción a que hace referencia el Recurrente en su solicitud de información.</w:t>
      </w:r>
    </w:p>
    <w:p w14:paraId="2DB4E574" w14:textId="77777777" w:rsidR="00164857" w:rsidRPr="001653DF" w:rsidRDefault="00164857" w:rsidP="00164857">
      <w:pPr>
        <w:pBdr>
          <w:top w:val="nil"/>
          <w:left w:val="nil"/>
          <w:bottom w:val="nil"/>
          <w:right w:val="nil"/>
          <w:between w:val="nil"/>
        </w:pBdr>
        <w:spacing w:line="360" w:lineRule="auto"/>
        <w:ind w:right="-29"/>
        <w:jc w:val="both"/>
        <w:rPr>
          <w:rFonts w:ascii="Palatino Linotype" w:hAnsi="Palatino Linotype"/>
          <w:color w:val="000000"/>
        </w:rPr>
      </w:pPr>
    </w:p>
    <w:p w14:paraId="0FD35F62" w14:textId="77777777" w:rsidR="002B2F6D" w:rsidRPr="001653DF" w:rsidRDefault="00B17ABB" w:rsidP="00836BDF">
      <w:pPr>
        <w:numPr>
          <w:ilvl w:val="0"/>
          <w:numId w:val="3"/>
        </w:numPr>
        <w:pBdr>
          <w:top w:val="nil"/>
          <w:left w:val="nil"/>
          <w:bottom w:val="nil"/>
          <w:right w:val="nil"/>
          <w:between w:val="nil"/>
        </w:pBdr>
        <w:spacing w:line="360" w:lineRule="auto"/>
        <w:ind w:left="0" w:right="-29" w:firstLine="0"/>
        <w:jc w:val="both"/>
        <w:rPr>
          <w:rFonts w:ascii="Palatino Linotype" w:hAnsi="Palatino Linotype"/>
          <w:color w:val="000000"/>
        </w:rPr>
      </w:pPr>
      <w:r w:rsidRPr="001653DF">
        <w:rPr>
          <w:rFonts w:ascii="Palatino Linotype" w:eastAsia="Palatino Linotype" w:hAnsi="Palatino Linotype" w:cs="Palatino Linotype"/>
          <w:color w:val="000000"/>
        </w:rPr>
        <w:t>En esos términos, del artículo 1.8, fracción IX, del Código Administrativo del Estado de México, establece que para que un acto administrativo tenga validez, deberá guardar congruencia con lo solicitado; asimismo, resulta necesario traer a colación, el Criterio con clave de control SO/002/2017, de la Segunda Época, emitido por el Instituto Nacional de Transparencia, Acceso a la Información y Protección de Datos Personales, que señala lo siguiente:</w:t>
      </w:r>
    </w:p>
    <w:p w14:paraId="3AFEF254" w14:textId="77777777" w:rsidR="002B2F6D" w:rsidRPr="001653DF" w:rsidRDefault="002B2F6D">
      <w:pPr>
        <w:spacing w:line="360" w:lineRule="auto"/>
        <w:ind w:right="-599"/>
        <w:jc w:val="both"/>
        <w:rPr>
          <w:rFonts w:ascii="Palatino Linotype" w:eastAsia="Palatino Linotype" w:hAnsi="Palatino Linotype" w:cs="Palatino Linotype"/>
        </w:rPr>
      </w:pPr>
    </w:p>
    <w:p w14:paraId="61A359CA" w14:textId="77777777" w:rsidR="002B2F6D" w:rsidRPr="001653DF" w:rsidRDefault="00B17ABB" w:rsidP="00836BDF">
      <w:pPr>
        <w:spacing w:line="360" w:lineRule="auto"/>
        <w:ind w:left="567" w:right="-2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b/>
          <w:i/>
          <w:sz w:val="22"/>
          <w:szCs w:val="22"/>
        </w:rPr>
        <w:t xml:space="preserve">“Congruencia y exhaustividad. Sus alcances para garantizar el derecho de acceso a la información. </w:t>
      </w:r>
      <w:r w:rsidRPr="001653DF">
        <w:rPr>
          <w:rFonts w:ascii="Palatino Linotype" w:eastAsia="Palatino Linotype" w:hAnsi="Palatino Linotype" w:cs="Palatino Linotype"/>
          <w:i/>
          <w:sz w:val="22"/>
          <w:szCs w:val="22"/>
        </w:rPr>
        <w:t>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w:t>
      </w:r>
      <w:r w:rsidRPr="001653DF">
        <w:rPr>
          <w:rFonts w:ascii="Palatino Linotype" w:eastAsia="Palatino Linotype" w:hAnsi="Palatino Linotype" w:cs="Palatino Linotype"/>
          <w:i/>
          <w:sz w:val="22"/>
          <w:szCs w:val="22"/>
          <w:u w:val="single"/>
        </w:rPr>
        <w:t>a congruencia implica que exista concordancia entre el requerimiento formulado por el particular y la respuesta proporcionada por el sujeto obligado</w:t>
      </w:r>
      <w:r w:rsidRPr="001653DF">
        <w:rPr>
          <w:rFonts w:ascii="Palatino Linotype" w:eastAsia="Palatino Linotype" w:hAnsi="Palatino Linotype" w:cs="Palatino Linotype"/>
          <w:i/>
          <w:sz w:val="22"/>
          <w:szCs w:val="22"/>
        </w:rPr>
        <w:t>;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52B897A9" w14:textId="77777777" w:rsidR="002B2F6D" w:rsidRPr="001653DF" w:rsidRDefault="002B2F6D">
      <w:pPr>
        <w:spacing w:line="360" w:lineRule="auto"/>
        <w:ind w:right="-599"/>
        <w:jc w:val="both"/>
        <w:rPr>
          <w:rFonts w:ascii="Palatino Linotype" w:eastAsia="Palatino Linotype" w:hAnsi="Palatino Linotype" w:cs="Palatino Linotype"/>
        </w:rPr>
      </w:pPr>
    </w:p>
    <w:p w14:paraId="0E9F2336" w14:textId="77777777" w:rsidR="002B2F6D" w:rsidRPr="001653DF" w:rsidRDefault="00B17ABB" w:rsidP="00164857">
      <w:pPr>
        <w:numPr>
          <w:ilvl w:val="0"/>
          <w:numId w:val="3"/>
        </w:numPr>
        <w:pBdr>
          <w:top w:val="nil"/>
          <w:left w:val="nil"/>
          <w:bottom w:val="nil"/>
          <w:right w:val="nil"/>
          <w:between w:val="nil"/>
        </w:pBdr>
        <w:spacing w:line="360" w:lineRule="auto"/>
        <w:ind w:left="0" w:right="-29" w:firstLine="0"/>
        <w:jc w:val="both"/>
        <w:rPr>
          <w:rFonts w:ascii="Palatino Linotype" w:eastAsia="Palatino Linotype" w:hAnsi="Palatino Linotype" w:cs="Palatino Linotype"/>
          <w:b/>
          <w:color w:val="000000"/>
        </w:rPr>
      </w:pPr>
      <w:r w:rsidRPr="001653DF">
        <w:rPr>
          <w:rFonts w:ascii="Palatino Linotype" w:eastAsia="Palatino Linotype" w:hAnsi="Palatino Linotype" w:cs="Palatino Linotype"/>
          <w:color w:val="000000"/>
        </w:rPr>
        <w:lastRenderedPageBreak/>
        <w:t xml:space="preserve">Del citado criterio, se desprende que todo acto administrativo debe apegarse al </w:t>
      </w:r>
      <w:r w:rsidRPr="001653DF">
        <w:rPr>
          <w:rFonts w:ascii="Palatino Linotype" w:eastAsia="Palatino Linotype" w:hAnsi="Palatino Linotype" w:cs="Palatino Linotype"/>
          <w:b/>
          <w:color w:val="000000"/>
        </w:rPr>
        <w:t xml:space="preserve">Principio de Congruencia, </w:t>
      </w:r>
      <w:r w:rsidRPr="001653DF">
        <w:rPr>
          <w:rFonts w:ascii="Palatino Linotype" w:eastAsia="Palatino Linotype" w:hAnsi="Palatino Linotype" w:cs="Palatino Linotype"/>
          <w:color w:val="000000"/>
        </w:rPr>
        <w:t>el cual</w:t>
      </w:r>
      <w:r w:rsidRPr="001653DF">
        <w:rPr>
          <w:rFonts w:ascii="Palatino Linotype" w:eastAsia="Palatino Linotype" w:hAnsi="Palatino Linotype" w:cs="Palatino Linotype"/>
          <w:b/>
          <w:color w:val="000000"/>
        </w:rPr>
        <w:t xml:space="preserve"> </w:t>
      </w:r>
      <w:r w:rsidRPr="001653DF">
        <w:rPr>
          <w:rFonts w:ascii="Palatino Linotype" w:eastAsia="Palatino Linotype" w:hAnsi="Palatino Linotype" w:cs="Palatino Linotype"/>
          <w:color w:val="000000"/>
        </w:rPr>
        <w:t xml:space="preserve">implica que exista concordancia entre el requerimiento formulado y la respuesta entregada; el cual incumplió el Sujeto Obligado, en esos términos, el agravio hecho valer por el hoy Recurrente deviene de </w:t>
      </w:r>
      <w:r w:rsidRPr="001653DF">
        <w:rPr>
          <w:rFonts w:ascii="Palatino Linotype" w:eastAsia="Palatino Linotype" w:hAnsi="Palatino Linotype" w:cs="Palatino Linotype"/>
          <w:b/>
          <w:color w:val="000000"/>
        </w:rPr>
        <w:t>FUNDADO.</w:t>
      </w:r>
    </w:p>
    <w:p w14:paraId="0A1688EA" w14:textId="77777777" w:rsidR="002B2F6D" w:rsidRPr="001653DF" w:rsidRDefault="002B2F6D">
      <w:pPr>
        <w:spacing w:line="360" w:lineRule="auto"/>
        <w:ind w:right="-599"/>
        <w:jc w:val="both"/>
        <w:rPr>
          <w:rFonts w:ascii="Palatino Linotype" w:eastAsia="Palatino Linotype" w:hAnsi="Palatino Linotype" w:cs="Palatino Linotype"/>
        </w:rPr>
      </w:pPr>
    </w:p>
    <w:p w14:paraId="1D8F38A0" w14:textId="77777777" w:rsidR="002B2F6D" w:rsidRPr="001653DF" w:rsidRDefault="00B17ABB" w:rsidP="00164857">
      <w:pPr>
        <w:numPr>
          <w:ilvl w:val="0"/>
          <w:numId w:val="3"/>
        </w:numPr>
        <w:pBdr>
          <w:top w:val="nil"/>
          <w:left w:val="nil"/>
          <w:bottom w:val="nil"/>
          <w:right w:val="nil"/>
          <w:between w:val="nil"/>
        </w:pBdr>
        <w:spacing w:line="360" w:lineRule="auto"/>
        <w:ind w:left="0" w:right="-29" w:firstLine="0"/>
        <w:jc w:val="both"/>
        <w:rPr>
          <w:rFonts w:ascii="Palatino Linotype" w:hAnsi="Palatino Linotype"/>
          <w:color w:val="000000"/>
        </w:rPr>
      </w:pPr>
      <w:r w:rsidRPr="001653DF">
        <w:rPr>
          <w:rFonts w:ascii="Palatino Linotype" w:eastAsia="Palatino Linotype" w:hAnsi="Palatino Linotype" w:cs="Palatino Linotype"/>
          <w:color w:val="000000"/>
        </w:rPr>
        <w:t>En lo términos anteriores, este Instituto determina procedente ordenar al Sujeto Obligado a que previa búsqueda exhaustiva y razonable en todas las áreas que estime pertinentes, de entre las cuales no podrá omitir a la Dirección General de Desarrollo Urbano, a efectos de que haga entrega de los permisos, concesiones, licencias emitidas  para la construcción del proyecto de Conjunto Urbano de Tipo Mixto llamado "Terralago" ubicado en vía Doctor Jorge Jiménez Cantú 931, Lote 20, vía Doctor Jorge Jiménez Cantú 75, Lote XVIII Fraccionamiento Lomas Verdes (Centro Cívico), Municipio de Naucalpan de Juárez, Estado de México</w:t>
      </w:r>
    </w:p>
    <w:p w14:paraId="1A7C0DC5" w14:textId="77777777" w:rsidR="002B2F6D" w:rsidRPr="001653DF" w:rsidRDefault="002B2F6D">
      <w:pPr>
        <w:pBdr>
          <w:top w:val="nil"/>
          <w:left w:val="nil"/>
          <w:bottom w:val="nil"/>
          <w:right w:val="nil"/>
          <w:between w:val="nil"/>
        </w:pBdr>
        <w:ind w:left="720" w:right="-599"/>
        <w:rPr>
          <w:rFonts w:ascii="Palatino Linotype" w:eastAsia="Palatino Linotype" w:hAnsi="Palatino Linotype" w:cs="Palatino Linotype"/>
          <w:color w:val="000000"/>
        </w:rPr>
      </w:pPr>
    </w:p>
    <w:p w14:paraId="24290886" w14:textId="77777777" w:rsidR="002B2F6D" w:rsidRPr="001653DF" w:rsidRDefault="00B17ABB" w:rsidP="00164857">
      <w:pPr>
        <w:numPr>
          <w:ilvl w:val="0"/>
          <w:numId w:val="3"/>
        </w:numPr>
        <w:pBdr>
          <w:top w:val="nil"/>
          <w:left w:val="nil"/>
          <w:bottom w:val="nil"/>
          <w:right w:val="nil"/>
          <w:between w:val="nil"/>
        </w:pBdr>
        <w:spacing w:line="360" w:lineRule="auto"/>
        <w:ind w:left="0" w:right="-29" w:firstLine="0"/>
        <w:jc w:val="both"/>
        <w:rPr>
          <w:rFonts w:ascii="Palatino Linotype" w:hAnsi="Palatino Linotype"/>
          <w:color w:val="000000"/>
        </w:rPr>
      </w:pPr>
      <w:r w:rsidRPr="001653DF">
        <w:rPr>
          <w:rFonts w:ascii="Palatino Linotype" w:eastAsia="Palatino Linotype" w:hAnsi="Palatino Linotype" w:cs="Palatino Linotype"/>
          <w:color w:val="000000"/>
        </w:rPr>
        <w:t>Dicha situación, toma sustento en el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w:t>
      </w:r>
    </w:p>
    <w:p w14:paraId="5538BADF" w14:textId="77777777" w:rsidR="002B2F6D" w:rsidRPr="001653DF" w:rsidRDefault="002B2F6D">
      <w:pPr>
        <w:spacing w:line="360" w:lineRule="auto"/>
        <w:ind w:right="-599"/>
        <w:jc w:val="both"/>
        <w:rPr>
          <w:rFonts w:ascii="Palatino Linotype" w:eastAsia="Palatino Linotype" w:hAnsi="Palatino Linotype" w:cs="Palatino Linotype"/>
        </w:rPr>
      </w:pPr>
    </w:p>
    <w:p w14:paraId="7C65CDB5" w14:textId="77777777" w:rsidR="002B2F6D" w:rsidRPr="001653DF" w:rsidRDefault="00B17ABB" w:rsidP="00164857">
      <w:pPr>
        <w:numPr>
          <w:ilvl w:val="0"/>
          <w:numId w:val="3"/>
        </w:numPr>
        <w:pBdr>
          <w:top w:val="nil"/>
          <w:left w:val="nil"/>
          <w:bottom w:val="nil"/>
          <w:right w:val="nil"/>
          <w:between w:val="nil"/>
        </w:pBdr>
        <w:spacing w:line="360" w:lineRule="auto"/>
        <w:ind w:left="0" w:right="-29" w:firstLine="0"/>
        <w:jc w:val="both"/>
        <w:rPr>
          <w:rFonts w:ascii="Palatino Linotype" w:hAnsi="Palatino Linotype"/>
          <w:color w:val="000000"/>
        </w:rPr>
      </w:pPr>
      <w:r w:rsidRPr="001653DF">
        <w:rPr>
          <w:rFonts w:ascii="Palatino Linotype" w:eastAsia="Palatino Linotype" w:hAnsi="Palatino Linotype" w:cs="Palatino Linotype"/>
          <w:color w:val="000000"/>
        </w:rPr>
        <w:lastRenderedPageBreak/>
        <w:t xml:space="preserve">De esta manera, el derecho de acceso a la información pública se satisface en aquellos casos en que se entregue el soporte documental en el que conste la información solicitada, sin necesidad de elaborar documentos </w:t>
      </w:r>
      <w:r w:rsidRPr="001653DF">
        <w:rPr>
          <w:rFonts w:ascii="Palatino Linotype" w:eastAsia="Palatino Linotype" w:hAnsi="Palatino Linotype" w:cs="Palatino Linotype"/>
          <w:i/>
          <w:color w:val="000000"/>
        </w:rPr>
        <w:t>ad hoc</w:t>
      </w:r>
      <w:r w:rsidRPr="001653DF">
        <w:rPr>
          <w:rFonts w:ascii="Palatino Linotype" w:eastAsia="Palatino Linotype" w:hAnsi="Palatino Linotype" w:cs="Palatino Linotype"/>
          <w:color w:val="000000"/>
        </w:rPr>
        <w:t xml:space="preserve">; lo cual, de conformidad con en el artículo 160 de la Ley de Transparencia y Acceso a la Información Pública del Estado de México y Municipios, el cual refiere que los sujetos obligados deberán entregar la información que obre en sus archivos. </w:t>
      </w:r>
    </w:p>
    <w:p w14:paraId="68918AA5" w14:textId="77777777" w:rsidR="00164857" w:rsidRPr="001653DF" w:rsidRDefault="00164857" w:rsidP="00164857">
      <w:pPr>
        <w:pBdr>
          <w:top w:val="nil"/>
          <w:left w:val="nil"/>
          <w:bottom w:val="nil"/>
          <w:right w:val="nil"/>
          <w:between w:val="nil"/>
        </w:pBdr>
        <w:spacing w:line="360" w:lineRule="auto"/>
        <w:ind w:right="-29"/>
        <w:jc w:val="both"/>
        <w:rPr>
          <w:rFonts w:ascii="Palatino Linotype" w:hAnsi="Palatino Linotype"/>
          <w:color w:val="000000"/>
        </w:rPr>
      </w:pPr>
    </w:p>
    <w:p w14:paraId="3280B961" w14:textId="77777777" w:rsidR="002B2F6D" w:rsidRPr="001653DF" w:rsidRDefault="00B17ABB" w:rsidP="00164857">
      <w:pPr>
        <w:numPr>
          <w:ilvl w:val="0"/>
          <w:numId w:val="3"/>
        </w:numPr>
        <w:pBdr>
          <w:top w:val="nil"/>
          <w:left w:val="nil"/>
          <w:bottom w:val="nil"/>
          <w:right w:val="nil"/>
          <w:between w:val="nil"/>
        </w:pBdr>
        <w:spacing w:line="360" w:lineRule="auto"/>
        <w:ind w:left="0" w:right="-29" w:firstLine="0"/>
        <w:jc w:val="both"/>
        <w:rPr>
          <w:rFonts w:ascii="Palatino Linotype" w:hAnsi="Palatino Linotype"/>
          <w:color w:val="000000"/>
        </w:rPr>
      </w:pPr>
      <w:r w:rsidRPr="001653DF">
        <w:rPr>
          <w:rFonts w:ascii="Palatino Linotype" w:eastAsia="Palatino Linotype" w:hAnsi="Palatino Linotype" w:cs="Palatino Linotype"/>
          <w:color w:val="000000"/>
        </w:rPr>
        <w:t>De tales circunstancias, se concluye que los sujetos obligados únicamente se encuentran constreñidos a proporcionar los documentos que den cuenta de la información solicitada, como obren en sus archivos, sin tener que elaborarlos a las necesidades del Recurrente; lo cual aconteció, pues proporcionó los contratos que daban cuenta de lo solicitado. No obstante, no pasa desapercibido para este Instituto que la información que se ordena pudiera contener información tal como el Registro Federal de Contribuyentes (RFC), la Clave Única de Registro de Población (CURP) y el domicilio particular, de persona física y de Persona Jurídico Colectiva.</w:t>
      </w:r>
    </w:p>
    <w:p w14:paraId="0F548520" w14:textId="77777777" w:rsidR="002B2F6D" w:rsidRPr="001653DF" w:rsidRDefault="002B2F6D">
      <w:pPr>
        <w:spacing w:line="360" w:lineRule="auto"/>
        <w:ind w:right="-599"/>
        <w:jc w:val="both"/>
        <w:rPr>
          <w:rFonts w:ascii="Palatino Linotype" w:eastAsia="Palatino Linotype" w:hAnsi="Palatino Linotype" w:cs="Palatino Linotype"/>
        </w:rPr>
      </w:pPr>
    </w:p>
    <w:p w14:paraId="3883C9A8" w14:textId="77777777" w:rsidR="002B2F6D" w:rsidRPr="001653DF" w:rsidRDefault="00B17ABB">
      <w:pPr>
        <w:spacing w:line="360" w:lineRule="auto"/>
        <w:ind w:right="-599"/>
        <w:jc w:val="both"/>
        <w:rPr>
          <w:rFonts w:ascii="Palatino Linotype" w:eastAsia="Palatino Linotype" w:hAnsi="Palatino Linotype" w:cs="Palatino Linotype"/>
          <w:b/>
        </w:rPr>
      </w:pPr>
      <w:r w:rsidRPr="001653DF">
        <w:rPr>
          <w:rFonts w:ascii="Palatino Linotype" w:eastAsia="Palatino Linotype" w:hAnsi="Palatino Linotype" w:cs="Palatino Linotype"/>
          <w:b/>
        </w:rPr>
        <w:t>QUINTO. De la Versión Pública</w:t>
      </w:r>
    </w:p>
    <w:p w14:paraId="32DC123E" w14:textId="77777777" w:rsidR="002B2F6D" w:rsidRPr="001653DF" w:rsidRDefault="00B17ABB">
      <w:pPr>
        <w:keepNext/>
        <w:keepLines/>
        <w:numPr>
          <w:ilvl w:val="0"/>
          <w:numId w:val="9"/>
        </w:numPr>
        <w:tabs>
          <w:tab w:val="left" w:pos="284"/>
        </w:tabs>
        <w:spacing w:after="160" w:line="360" w:lineRule="auto"/>
        <w:ind w:right="-599"/>
        <w:rPr>
          <w:rFonts w:ascii="Palatino Linotype" w:eastAsia="Palatino Linotype" w:hAnsi="Palatino Linotype" w:cs="Palatino Linotype"/>
          <w:b/>
          <w:color w:val="000000"/>
        </w:rPr>
      </w:pPr>
      <w:r w:rsidRPr="001653DF">
        <w:rPr>
          <w:rFonts w:ascii="Palatino Linotype" w:eastAsia="Palatino Linotype" w:hAnsi="Palatino Linotype" w:cs="Palatino Linotype"/>
          <w:b/>
          <w:color w:val="000000"/>
        </w:rPr>
        <w:t xml:space="preserve">Nociones generales. </w:t>
      </w:r>
    </w:p>
    <w:p w14:paraId="3FB490B1" w14:textId="77777777" w:rsidR="002B2F6D" w:rsidRPr="001653DF" w:rsidRDefault="007A6BF5">
      <w:pPr>
        <w:tabs>
          <w:tab w:val="left" w:pos="0"/>
          <w:tab w:val="left" w:pos="284"/>
        </w:tabs>
        <w:spacing w:line="360" w:lineRule="auto"/>
        <w:ind w:right="-599"/>
        <w:jc w:val="both"/>
        <w:rPr>
          <w:rFonts w:ascii="Palatino Linotype" w:eastAsia="Palatino Linotype" w:hAnsi="Palatino Linotype" w:cs="Palatino Linotype"/>
        </w:rPr>
      </w:pPr>
      <w:r w:rsidRPr="001653DF">
        <w:rPr>
          <w:rFonts w:ascii="Palatino Linotype" w:eastAsia="Palatino Linotype" w:hAnsi="Palatino Linotype" w:cs="Palatino Linotype"/>
        </w:rPr>
        <w:t>Se eliminó párrafo por no guardar relación</w:t>
      </w:r>
    </w:p>
    <w:p w14:paraId="0D1FAAAC" w14:textId="77777777" w:rsidR="002B2F6D" w:rsidRPr="001653DF" w:rsidRDefault="00B17ABB" w:rsidP="00164857">
      <w:pPr>
        <w:numPr>
          <w:ilvl w:val="0"/>
          <w:numId w:val="3"/>
        </w:numPr>
        <w:spacing w:line="360" w:lineRule="auto"/>
        <w:ind w:left="0" w:right="-29" w:firstLine="0"/>
        <w:jc w:val="both"/>
        <w:rPr>
          <w:rFonts w:ascii="Palatino Linotype" w:hAnsi="Palatino Linotype"/>
          <w:color w:val="000000"/>
        </w:rPr>
      </w:pPr>
      <w:r w:rsidRPr="001653DF">
        <w:rPr>
          <w:rFonts w:ascii="Palatino Linotype" w:eastAsia="Palatino Linotype" w:hAnsi="Palatino Linotype" w:cs="Palatino Linotype"/>
          <w:color w:val="000000"/>
        </w:rPr>
        <w:t>No pasa desapercibido para este Órgano Garante que los sujetos obligados</w:t>
      </w:r>
      <w:r w:rsidRPr="001653DF">
        <w:rPr>
          <w:rFonts w:ascii="Palatino Linotype" w:eastAsia="Palatino Linotype" w:hAnsi="Palatino Linotype" w:cs="Palatino Linotype"/>
          <w:b/>
          <w:color w:val="000000"/>
        </w:rPr>
        <w:t xml:space="preserve"> </w:t>
      </w:r>
      <w:r w:rsidRPr="001653DF">
        <w:rPr>
          <w:rFonts w:ascii="Palatino Linotype" w:eastAsia="Palatino Linotype" w:hAnsi="Palatino Linotype" w:cs="Palatino Linotype"/>
          <w:color w:val="000000"/>
        </w:rPr>
        <w:t xml:space="preserve">serán responsables de los datos personales en su posesión y que, en caso de localizarse datos </w:t>
      </w:r>
      <w:r w:rsidRPr="001653DF">
        <w:rPr>
          <w:rFonts w:ascii="Palatino Linotype" w:eastAsia="Palatino Linotype" w:hAnsi="Palatino Linotype" w:cs="Palatino Linotype"/>
          <w:color w:val="000000"/>
        </w:rPr>
        <w:lastRenderedPageBreak/>
        <w:t>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12E35032" w14:textId="77777777" w:rsidR="002B2F6D" w:rsidRPr="001653DF" w:rsidRDefault="002B2F6D">
      <w:pPr>
        <w:spacing w:line="360" w:lineRule="auto"/>
        <w:ind w:right="-599"/>
        <w:jc w:val="both"/>
        <w:rPr>
          <w:rFonts w:ascii="Palatino Linotype" w:eastAsia="Palatino Linotype" w:hAnsi="Palatino Linotype" w:cs="Palatino Linotype"/>
          <w:color w:val="000000"/>
        </w:rPr>
      </w:pPr>
    </w:p>
    <w:tbl>
      <w:tblPr>
        <w:tblStyle w:val="afc"/>
        <w:tblW w:w="9493"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85"/>
        <w:gridCol w:w="6808"/>
      </w:tblGrid>
      <w:tr w:rsidR="002B2F6D" w:rsidRPr="001653DF" w14:paraId="236C6CFA" w14:textId="77777777">
        <w:tc>
          <w:tcPr>
            <w:tcW w:w="2685" w:type="dxa"/>
          </w:tcPr>
          <w:p w14:paraId="35883B1F" w14:textId="77777777" w:rsidR="002B2F6D" w:rsidRPr="001653DF" w:rsidRDefault="00B17ABB">
            <w:pPr>
              <w:tabs>
                <w:tab w:val="left" w:pos="284"/>
              </w:tabs>
              <w:spacing w:line="360" w:lineRule="auto"/>
              <w:ind w:right="-599"/>
              <w:rPr>
                <w:rFonts w:ascii="Palatino Linotype" w:eastAsia="Palatino Linotype" w:hAnsi="Palatino Linotype" w:cs="Palatino Linotype"/>
                <w:b/>
              </w:rPr>
            </w:pPr>
            <w:bookmarkStart w:id="4" w:name="_heading=h.4d34og8" w:colFirst="0" w:colLast="0"/>
            <w:bookmarkEnd w:id="4"/>
            <w:r w:rsidRPr="001653DF">
              <w:rPr>
                <w:rFonts w:ascii="Palatino Linotype" w:eastAsia="Palatino Linotype" w:hAnsi="Palatino Linotype" w:cs="Palatino Linotype"/>
                <w:b/>
              </w:rPr>
              <w:t>a) Requisitos previos.</w:t>
            </w:r>
          </w:p>
        </w:tc>
        <w:tc>
          <w:tcPr>
            <w:tcW w:w="6808" w:type="dxa"/>
          </w:tcPr>
          <w:p w14:paraId="4650ED80" w14:textId="77777777" w:rsidR="002B2F6D" w:rsidRPr="001653DF" w:rsidRDefault="00B17ABB" w:rsidP="00164857">
            <w:pPr>
              <w:tabs>
                <w:tab w:val="left" w:pos="284"/>
              </w:tabs>
              <w:spacing w:line="360" w:lineRule="auto"/>
              <w:ind w:right="-115"/>
              <w:jc w:val="both"/>
              <w:rPr>
                <w:rFonts w:ascii="Palatino Linotype" w:eastAsia="Palatino Linotype" w:hAnsi="Palatino Linotype" w:cs="Palatino Linotype"/>
                <w:b/>
                <w:color w:val="000000"/>
              </w:rPr>
            </w:pPr>
            <w:r w:rsidRPr="001653DF">
              <w:rPr>
                <w:rFonts w:ascii="Palatino Linotype" w:eastAsia="Palatino Linotype" w:hAnsi="Palatino Linotype" w:cs="Palatino Linotype"/>
                <w:b/>
                <w:color w:val="00000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29B42E27" w14:textId="77777777" w:rsidR="002B2F6D" w:rsidRPr="001653DF" w:rsidRDefault="00B17ABB" w:rsidP="00164857">
            <w:pPr>
              <w:tabs>
                <w:tab w:val="left" w:pos="284"/>
              </w:tabs>
              <w:spacing w:line="360" w:lineRule="auto"/>
              <w:ind w:right="-115"/>
              <w:jc w:val="both"/>
              <w:rPr>
                <w:rFonts w:ascii="Palatino Linotype" w:eastAsia="Palatino Linotype" w:hAnsi="Palatino Linotype" w:cs="Palatino Linotype"/>
                <w:b/>
                <w:color w:val="000000"/>
              </w:rPr>
            </w:pPr>
            <w:r w:rsidRPr="001653DF">
              <w:rPr>
                <w:rFonts w:ascii="Palatino Linotype" w:eastAsia="Palatino Linotype" w:hAnsi="Palatino Linotype" w:cs="Palatino Linotype"/>
                <w:b/>
                <w:color w:val="000000"/>
              </w:rPr>
              <w:t>Al hacerlo tienen que precisar de qué información se trata, señalando el supuesto de clasificación (confidencialidad o reserva).</w:t>
            </w:r>
          </w:p>
          <w:p w14:paraId="005B622B" w14:textId="77777777" w:rsidR="002B2F6D" w:rsidRPr="001653DF" w:rsidRDefault="00B17ABB" w:rsidP="00164857">
            <w:pPr>
              <w:tabs>
                <w:tab w:val="left" w:pos="284"/>
              </w:tabs>
              <w:spacing w:line="360" w:lineRule="auto"/>
              <w:ind w:right="-115"/>
              <w:jc w:val="both"/>
              <w:rPr>
                <w:rFonts w:ascii="Palatino Linotype" w:eastAsia="Palatino Linotype" w:hAnsi="Palatino Linotype" w:cs="Palatino Linotype"/>
                <w:b/>
                <w:color w:val="000000"/>
              </w:rPr>
            </w:pPr>
            <w:r w:rsidRPr="001653DF">
              <w:rPr>
                <w:rFonts w:ascii="Palatino Linotype" w:eastAsia="Palatino Linotype" w:hAnsi="Palatino Linotype" w:cs="Palatino Linotype"/>
                <w:b/>
                <w:color w:val="000000"/>
              </w:rPr>
              <w:t>Además, se debe señalar el procedimiento, de los tres que establecen los artículos 132 y 106 de la Ley Estatal y General, respectivamente.</w:t>
            </w:r>
          </w:p>
          <w:p w14:paraId="4CD1B07C" w14:textId="77777777" w:rsidR="002B2F6D" w:rsidRPr="001653DF" w:rsidRDefault="00B17ABB" w:rsidP="00164857">
            <w:pPr>
              <w:tabs>
                <w:tab w:val="left" w:pos="284"/>
              </w:tabs>
              <w:spacing w:line="360" w:lineRule="auto"/>
              <w:ind w:right="-115"/>
              <w:jc w:val="both"/>
              <w:rPr>
                <w:rFonts w:ascii="Palatino Linotype" w:eastAsia="Palatino Linotype" w:hAnsi="Palatino Linotype" w:cs="Palatino Linotype"/>
                <w:b/>
              </w:rPr>
            </w:pPr>
            <w:r w:rsidRPr="001653DF">
              <w:rPr>
                <w:rFonts w:ascii="Palatino Linotype" w:eastAsia="Palatino Linotype" w:hAnsi="Palatino Linotype" w:cs="Palatino Linotype"/>
                <w:b/>
                <w:color w:val="000000"/>
              </w:rPr>
              <w:t xml:space="preserve">El último de estos requisitos previos consiste en que no se pueden emitir acuerdos de carácter general ni particular, esto es, </w:t>
            </w:r>
            <w:r w:rsidRPr="001653DF">
              <w:rPr>
                <w:rFonts w:ascii="Palatino Linotype" w:eastAsia="Palatino Linotype" w:hAnsi="Palatino Linotype" w:cs="Palatino Linotype"/>
                <w:b/>
                <w:color w:val="000000"/>
                <w:u w:val="single"/>
              </w:rPr>
              <w:t>no se puede hacer un acuerdo para clasificar de manera general todos los documentos de un expediente o área, sin</w:t>
            </w:r>
            <w:r w:rsidRPr="001653DF">
              <w:rPr>
                <w:rFonts w:ascii="Palatino Linotype" w:eastAsia="Palatino Linotype" w:hAnsi="Palatino Linotype" w:cs="Palatino Linotype"/>
                <w:b/>
                <w:color w:val="000000"/>
              </w:rPr>
              <w:t xml:space="preserve"> </w:t>
            </w:r>
            <w:r w:rsidRPr="001653DF">
              <w:rPr>
                <w:rFonts w:ascii="Palatino Linotype" w:eastAsia="Palatino Linotype" w:hAnsi="Palatino Linotype" w:cs="Palatino Linotype"/>
                <w:b/>
                <w:color w:val="000000"/>
              </w:rPr>
              <w:lastRenderedPageBreak/>
              <w:t>individualizar su análisis y tampoco se puede hacer un acuerdo por cada dato que se vaya a clasificar dentro de un documento con diez datos, por ejemplo, susceptibles de ser clasificados.</w:t>
            </w:r>
          </w:p>
        </w:tc>
      </w:tr>
      <w:tr w:rsidR="002B2F6D" w:rsidRPr="001653DF" w14:paraId="03632A6B" w14:textId="77777777">
        <w:tc>
          <w:tcPr>
            <w:tcW w:w="2685" w:type="dxa"/>
          </w:tcPr>
          <w:p w14:paraId="119D7236" w14:textId="77777777" w:rsidR="002B2F6D" w:rsidRPr="001653DF" w:rsidRDefault="00B17ABB">
            <w:pPr>
              <w:tabs>
                <w:tab w:val="left" w:pos="284"/>
              </w:tabs>
              <w:spacing w:line="360" w:lineRule="auto"/>
              <w:ind w:right="-599"/>
              <w:rPr>
                <w:rFonts w:ascii="Palatino Linotype" w:eastAsia="Palatino Linotype" w:hAnsi="Palatino Linotype" w:cs="Palatino Linotype"/>
                <w:b/>
              </w:rPr>
            </w:pPr>
            <w:r w:rsidRPr="001653DF">
              <w:rPr>
                <w:rFonts w:ascii="Palatino Linotype" w:eastAsia="Palatino Linotype" w:hAnsi="Palatino Linotype" w:cs="Palatino Linotype"/>
                <w:b/>
              </w:rPr>
              <w:lastRenderedPageBreak/>
              <w:t>b) Supuestos de clasificación.</w:t>
            </w:r>
          </w:p>
        </w:tc>
        <w:tc>
          <w:tcPr>
            <w:tcW w:w="6808" w:type="dxa"/>
          </w:tcPr>
          <w:p w14:paraId="60334EB7" w14:textId="77777777" w:rsidR="002B2F6D" w:rsidRPr="001653DF" w:rsidRDefault="00B17ABB" w:rsidP="00164857">
            <w:pPr>
              <w:tabs>
                <w:tab w:val="left" w:pos="284"/>
              </w:tabs>
              <w:spacing w:line="360" w:lineRule="auto"/>
              <w:ind w:right="-115"/>
              <w:jc w:val="both"/>
              <w:rPr>
                <w:rFonts w:ascii="Palatino Linotype" w:eastAsia="Palatino Linotype" w:hAnsi="Palatino Linotype" w:cs="Palatino Linotype"/>
                <w:color w:val="000000"/>
              </w:rPr>
            </w:pPr>
            <w:r w:rsidRPr="001653DF">
              <w:rPr>
                <w:rFonts w:ascii="Palatino Linotype" w:eastAsia="Palatino Linotype" w:hAnsi="Palatino Linotype" w:cs="Palatino Linotype"/>
                <w:color w:val="000000"/>
              </w:rPr>
              <w:t>Las disposiciones constitucionales y legales en la materia establecen los dos supuestos generales para clasificar la información: por reserva y por confidencialidad.</w:t>
            </w:r>
          </w:p>
          <w:p w14:paraId="2B5FBF2A" w14:textId="77777777" w:rsidR="002B2F6D" w:rsidRPr="001653DF" w:rsidRDefault="00B17ABB" w:rsidP="00164857">
            <w:pPr>
              <w:tabs>
                <w:tab w:val="left" w:pos="284"/>
              </w:tabs>
              <w:spacing w:line="360" w:lineRule="auto"/>
              <w:jc w:val="both"/>
              <w:rPr>
                <w:rFonts w:ascii="Palatino Linotype" w:eastAsia="Palatino Linotype" w:hAnsi="Palatino Linotype" w:cs="Palatino Linotype"/>
                <w:color w:val="000000"/>
              </w:rPr>
            </w:pPr>
            <w:r w:rsidRPr="001653DF">
              <w:rPr>
                <w:rFonts w:ascii="Palatino Linotype" w:eastAsia="Palatino Linotype" w:hAnsi="Palatino Linotype" w:cs="Palatino Linotype"/>
                <w:color w:val="00000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13356B54" w14:textId="77777777" w:rsidR="002B2F6D" w:rsidRPr="001653DF" w:rsidRDefault="00B17ABB" w:rsidP="00164857">
            <w:pPr>
              <w:tabs>
                <w:tab w:val="left" w:pos="284"/>
              </w:tabs>
              <w:spacing w:line="360" w:lineRule="auto"/>
              <w:jc w:val="both"/>
              <w:rPr>
                <w:rFonts w:ascii="Palatino Linotype" w:eastAsia="Palatino Linotype" w:hAnsi="Palatino Linotype" w:cs="Palatino Linotype"/>
              </w:rPr>
            </w:pPr>
            <w:r w:rsidRPr="001653DF">
              <w:rPr>
                <w:rFonts w:ascii="Palatino Linotype" w:eastAsia="Palatino Linotype" w:hAnsi="Palatino Linotype" w:cs="Palatino Linotype"/>
                <w:color w:val="000000"/>
              </w:rPr>
              <w:t xml:space="preserve">El </w:t>
            </w:r>
            <w:r w:rsidRPr="001653DF">
              <w:rPr>
                <w:rFonts w:ascii="Palatino Linotype" w:eastAsia="Palatino Linotype" w:hAnsi="Palatino Linotype" w:cs="Palatino Linotype"/>
                <w:b/>
                <w:color w:val="000000"/>
              </w:rPr>
              <w:t>Sujeto Obligado</w:t>
            </w:r>
            <w:r w:rsidRPr="001653DF">
              <w:rPr>
                <w:rFonts w:ascii="Palatino Linotype" w:eastAsia="Palatino Linotype" w:hAnsi="Palatino Linotype" w:cs="Palatino Linotype"/>
                <w:color w:val="000000"/>
              </w:rPr>
              <w:t xml:space="preserve"> debe identificar claramente el tipo de información y hacer un juicio de subsunción o encaje para acreditar que el supuesto de hecho corresponde estrictamente con la hipótesis jurídica. Esto también lo debe de realizar el </w:t>
            </w:r>
            <w:r w:rsidRPr="001653DF">
              <w:rPr>
                <w:rFonts w:ascii="Palatino Linotype" w:eastAsia="Palatino Linotype" w:hAnsi="Palatino Linotype" w:cs="Palatino Linotype"/>
                <w:color w:val="000000"/>
              </w:rPr>
              <w:lastRenderedPageBreak/>
              <w:t>servidor público habilitado y el titular del área que administra la información.</w:t>
            </w:r>
          </w:p>
        </w:tc>
      </w:tr>
      <w:tr w:rsidR="002B2F6D" w:rsidRPr="001653DF" w14:paraId="0C814740" w14:textId="77777777">
        <w:tc>
          <w:tcPr>
            <w:tcW w:w="2685" w:type="dxa"/>
          </w:tcPr>
          <w:p w14:paraId="0E5F077E" w14:textId="77777777" w:rsidR="002B2F6D" w:rsidRPr="001653DF" w:rsidRDefault="00B17ABB" w:rsidP="008C4133">
            <w:pPr>
              <w:tabs>
                <w:tab w:val="left" w:pos="284"/>
              </w:tabs>
              <w:spacing w:line="360" w:lineRule="auto"/>
              <w:ind w:right="-119"/>
              <w:rPr>
                <w:rFonts w:ascii="Palatino Linotype" w:eastAsia="Palatino Linotype" w:hAnsi="Palatino Linotype" w:cs="Palatino Linotype"/>
                <w:b/>
              </w:rPr>
            </w:pPr>
            <w:r w:rsidRPr="001653DF">
              <w:rPr>
                <w:rFonts w:ascii="Palatino Linotype" w:eastAsia="Palatino Linotype" w:hAnsi="Palatino Linotype" w:cs="Palatino Linotype"/>
                <w:b/>
              </w:rPr>
              <w:lastRenderedPageBreak/>
              <w:t>c) Formalidades para emitir el acuerdo de clasificación.</w:t>
            </w:r>
          </w:p>
        </w:tc>
        <w:tc>
          <w:tcPr>
            <w:tcW w:w="6808" w:type="dxa"/>
          </w:tcPr>
          <w:p w14:paraId="6EAF1E39" w14:textId="77777777" w:rsidR="002B2F6D" w:rsidRPr="001653DF" w:rsidRDefault="00B17ABB" w:rsidP="00164857">
            <w:pPr>
              <w:tabs>
                <w:tab w:val="left" w:pos="284"/>
              </w:tabs>
              <w:spacing w:line="360" w:lineRule="auto"/>
              <w:ind w:right="-115"/>
              <w:jc w:val="both"/>
              <w:rPr>
                <w:rFonts w:ascii="Palatino Linotype" w:eastAsia="Palatino Linotype" w:hAnsi="Palatino Linotype" w:cs="Palatino Linotype"/>
                <w:color w:val="000000"/>
              </w:rPr>
            </w:pPr>
            <w:r w:rsidRPr="001653DF">
              <w:rPr>
                <w:rFonts w:ascii="Palatino Linotype" w:eastAsia="Palatino Linotype" w:hAnsi="Palatino Linotype" w:cs="Palatino Linotype"/>
                <w:color w:val="000000"/>
              </w:rPr>
              <w:t xml:space="preserve">El Comité de Transparencia, según lo dispuesto en los artículos cuenta con las facultades para aprobar, modificar o revocar la clasificación de la información que haya propuesto. </w:t>
            </w:r>
          </w:p>
          <w:p w14:paraId="4F276C6A" w14:textId="77777777" w:rsidR="002B2F6D" w:rsidRPr="001653DF" w:rsidRDefault="00B17ABB" w:rsidP="00164857">
            <w:pPr>
              <w:tabs>
                <w:tab w:val="left" w:pos="284"/>
              </w:tabs>
              <w:spacing w:line="360" w:lineRule="auto"/>
              <w:ind w:right="-115"/>
              <w:jc w:val="both"/>
              <w:rPr>
                <w:rFonts w:ascii="Palatino Linotype" w:eastAsia="Palatino Linotype" w:hAnsi="Palatino Linotype" w:cs="Palatino Linotype"/>
                <w:color w:val="000000"/>
              </w:rPr>
            </w:pPr>
            <w:r w:rsidRPr="001653DF">
              <w:rPr>
                <w:rFonts w:ascii="Palatino Linotype" w:eastAsia="Palatino Linotype" w:hAnsi="Palatino Linotype" w:cs="Palatino Linotype"/>
                <w:color w:val="000000"/>
              </w:rPr>
              <w:t xml:space="preserve">Es necesario que </w:t>
            </w:r>
            <w:r w:rsidRPr="001653DF">
              <w:rPr>
                <w:rFonts w:ascii="Palatino Linotype" w:eastAsia="Palatino Linotype" w:hAnsi="Palatino Linotype" w:cs="Palatino Linotype"/>
                <w:b/>
                <w:color w:val="000000"/>
                <w:u w:val="single"/>
              </w:rPr>
              <w:t>el acto reúna con los requisitos elementales</w:t>
            </w:r>
            <w:r w:rsidRPr="001653DF">
              <w:rPr>
                <w:rFonts w:ascii="Palatino Linotype" w:eastAsia="Palatino Linotype" w:hAnsi="Palatino Linotype" w:cs="Palatino Linotype"/>
                <w:color w:val="000000"/>
              </w:rPr>
              <w:t>, entre ellos, que la autoridad que va a emitir el acto de autoridad sea la legalmente facultada para ello.</w:t>
            </w:r>
          </w:p>
          <w:p w14:paraId="3676F427" w14:textId="77777777" w:rsidR="002B2F6D" w:rsidRPr="001653DF" w:rsidRDefault="00B17ABB" w:rsidP="00164857">
            <w:pPr>
              <w:tabs>
                <w:tab w:val="left" w:pos="284"/>
              </w:tabs>
              <w:spacing w:line="360" w:lineRule="auto"/>
              <w:ind w:right="-115"/>
              <w:jc w:val="both"/>
              <w:rPr>
                <w:rFonts w:ascii="Palatino Linotype" w:eastAsia="Palatino Linotype" w:hAnsi="Palatino Linotype" w:cs="Palatino Linotype"/>
              </w:rPr>
            </w:pPr>
            <w:r w:rsidRPr="001653DF">
              <w:rPr>
                <w:rFonts w:ascii="Palatino Linotype" w:eastAsia="Palatino Linotype" w:hAnsi="Palatino Linotype" w:cs="Palatino Linotype"/>
                <w:color w:val="000000"/>
              </w:rPr>
              <w:t>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2B2F6D" w:rsidRPr="001653DF" w14:paraId="6A2E6CE7" w14:textId="77777777">
        <w:tc>
          <w:tcPr>
            <w:tcW w:w="2685" w:type="dxa"/>
          </w:tcPr>
          <w:p w14:paraId="569715E0" w14:textId="77777777" w:rsidR="002B2F6D" w:rsidRPr="001653DF" w:rsidRDefault="002B2F6D">
            <w:pPr>
              <w:tabs>
                <w:tab w:val="left" w:pos="284"/>
              </w:tabs>
              <w:spacing w:line="360" w:lineRule="auto"/>
              <w:ind w:right="-599"/>
              <w:rPr>
                <w:rFonts w:ascii="Palatino Linotype" w:eastAsia="Palatino Linotype" w:hAnsi="Palatino Linotype" w:cs="Palatino Linotype"/>
                <w:b/>
              </w:rPr>
            </w:pPr>
          </w:p>
          <w:p w14:paraId="7D2F11FB" w14:textId="77777777" w:rsidR="002B2F6D" w:rsidRPr="001653DF" w:rsidRDefault="00B17ABB" w:rsidP="008C4133">
            <w:pPr>
              <w:tabs>
                <w:tab w:val="left" w:pos="284"/>
              </w:tabs>
              <w:spacing w:line="360" w:lineRule="auto"/>
              <w:ind w:right="-119"/>
              <w:jc w:val="both"/>
              <w:rPr>
                <w:rFonts w:ascii="Palatino Linotype" w:eastAsia="Palatino Linotype" w:hAnsi="Palatino Linotype" w:cs="Palatino Linotype"/>
                <w:b/>
              </w:rPr>
            </w:pPr>
            <w:r w:rsidRPr="001653DF">
              <w:rPr>
                <w:rFonts w:ascii="Palatino Linotype" w:eastAsia="Palatino Linotype" w:hAnsi="Palatino Linotype" w:cs="Palatino Linotype"/>
                <w:b/>
                <w:color w:val="000000"/>
              </w:rPr>
              <w:t xml:space="preserve">d) Requisitos de fondo del acuerdo de clasificación. </w:t>
            </w:r>
          </w:p>
        </w:tc>
        <w:tc>
          <w:tcPr>
            <w:tcW w:w="6808" w:type="dxa"/>
          </w:tcPr>
          <w:p w14:paraId="11D1C1B3" w14:textId="77777777" w:rsidR="002B2F6D" w:rsidRPr="001653DF" w:rsidRDefault="00B17ABB" w:rsidP="00164857">
            <w:pPr>
              <w:tabs>
                <w:tab w:val="left" w:pos="284"/>
              </w:tabs>
              <w:spacing w:line="360" w:lineRule="auto"/>
              <w:ind w:right="-115"/>
              <w:jc w:val="both"/>
              <w:rPr>
                <w:rFonts w:ascii="Palatino Linotype" w:eastAsia="Palatino Linotype" w:hAnsi="Palatino Linotype" w:cs="Palatino Linotype"/>
                <w:color w:val="000000"/>
              </w:rPr>
            </w:pPr>
            <w:r w:rsidRPr="001653DF">
              <w:rPr>
                <w:rFonts w:ascii="Palatino Linotype" w:eastAsia="Palatino Linotype" w:hAnsi="Palatino Linotype" w:cs="Palatino Linotype"/>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w:t>
            </w:r>
            <w:r w:rsidRPr="001653DF">
              <w:rPr>
                <w:rFonts w:ascii="Palatino Linotype" w:eastAsia="Palatino Linotype" w:hAnsi="Palatino Linotype" w:cs="Palatino Linotype"/>
                <w:color w:val="000000"/>
              </w:rPr>
              <w:lastRenderedPageBreak/>
              <w:t xml:space="preserve">sede del Comité de Transparencia, la ley señala que la carga de la prueba, para justificar las restricciones, corresponde a los </w:t>
            </w:r>
            <w:r w:rsidRPr="001653DF">
              <w:rPr>
                <w:rFonts w:ascii="Palatino Linotype" w:eastAsia="Palatino Linotype" w:hAnsi="Palatino Linotype" w:cs="Palatino Linotype"/>
                <w:b/>
                <w:color w:val="000000"/>
              </w:rPr>
              <w:t>Sujetos Obligados</w:t>
            </w:r>
            <w:r w:rsidRPr="001653DF">
              <w:rPr>
                <w:rFonts w:ascii="Palatino Linotype" w:eastAsia="Palatino Linotype" w:hAnsi="Palatino Linotype" w:cs="Palatino Linotype"/>
                <w:color w:val="000000"/>
              </w:rPr>
              <w:t xml:space="preserve">, por lo que deberán fundar y motivar debidamente la clasificación. </w:t>
            </w:r>
          </w:p>
          <w:p w14:paraId="370098B7" w14:textId="77777777" w:rsidR="002B2F6D" w:rsidRPr="001653DF" w:rsidRDefault="00B17ABB" w:rsidP="00164857">
            <w:pPr>
              <w:tabs>
                <w:tab w:val="left" w:pos="284"/>
              </w:tabs>
              <w:spacing w:line="360" w:lineRule="auto"/>
              <w:ind w:right="-115"/>
              <w:jc w:val="both"/>
              <w:rPr>
                <w:rFonts w:ascii="Palatino Linotype" w:eastAsia="Palatino Linotype" w:hAnsi="Palatino Linotype" w:cs="Palatino Linotype"/>
                <w:color w:val="000000"/>
              </w:rPr>
            </w:pPr>
            <w:r w:rsidRPr="001653DF">
              <w:rPr>
                <w:rFonts w:ascii="Palatino Linotype" w:eastAsia="Palatino Linotype" w:hAnsi="Palatino Linotype" w:cs="Palatino Linotype"/>
                <w:color w:val="000000"/>
              </w:rPr>
              <w:t xml:space="preserve">De lo anterior, se desprende que para una correcta </w:t>
            </w:r>
            <w:r w:rsidRPr="001653DF">
              <w:rPr>
                <w:rFonts w:ascii="Palatino Linotype" w:eastAsia="Palatino Linotype" w:hAnsi="Palatino Linotype" w:cs="Palatino Linotype"/>
                <w:b/>
                <w:color w:val="000000"/>
              </w:rPr>
              <w:t>clasificación total o parcial</w:t>
            </w:r>
            <w:r w:rsidRPr="001653DF">
              <w:rPr>
                <w:rFonts w:ascii="Palatino Linotype" w:eastAsia="Palatino Linotype" w:hAnsi="Palatino Linotype" w:cs="Palatino Linotype"/>
                <w:color w:val="00000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2CEF7029" w14:textId="77777777" w:rsidR="002B2F6D" w:rsidRPr="001653DF" w:rsidRDefault="00B17ABB" w:rsidP="00164857">
            <w:pPr>
              <w:tabs>
                <w:tab w:val="left" w:pos="284"/>
              </w:tabs>
              <w:spacing w:line="360" w:lineRule="auto"/>
              <w:ind w:right="-115"/>
              <w:jc w:val="both"/>
              <w:rPr>
                <w:rFonts w:ascii="Palatino Linotype" w:eastAsia="Palatino Linotype" w:hAnsi="Palatino Linotype" w:cs="Palatino Linotype"/>
                <w:color w:val="000000"/>
              </w:rPr>
            </w:pPr>
            <w:r w:rsidRPr="001653DF">
              <w:rPr>
                <w:rFonts w:ascii="Palatino Linotype" w:eastAsia="Palatino Linotype" w:hAnsi="Palatino Linotype" w:cs="Palatino Linotype"/>
                <w:color w:val="00000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78AE99E6" w14:textId="77777777" w:rsidR="002B2F6D" w:rsidRPr="001653DF" w:rsidRDefault="00B17ABB" w:rsidP="00164857">
            <w:pPr>
              <w:tabs>
                <w:tab w:val="left" w:pos="284"/>
              </w:tabs>
              <w:spacing w:line="360" w:lineRule="auto"/>
              <w:ind w:right="-115"/>
              <w:jc w:val="both"/>
              <w:rPr>
                <w:rFonts w:ascii="Palatino Linotype" w:eastAsia="Palatino Linotype" w:hAnsi="Palatino Linotype" w:cs="Palatino Linotype"/>
                <w:color w:val="000000"/>
              </w:rPr>
            </w:pPr>
            <w:r w:rsidRPr="001653DF">
              <w:rPr>
                <w:rFonts w:ascii="Palatino Linotype" w:eastAsia="Palatino Linotype" w:hAnsi="Palatino Linotype" w:cs="Palatino Linotype"/>
                <w:color w:val="000000"/>
              </w:rPr>
              <w:t xml:space="preserve">En ese mismo sentido, el numeral trigésimo tercero, fracción V de los Lineamientos Generales, precisa que para motivar la </w:t>
            </w:r>
            <w:r w:rsidRPr="001653DF">
              <w:rPr>
                <w:rFonts w:ascii="Palatino Linotype" w:eastAsia="Palatino Linotype" w:hAnsi="Palatino Linotype" w:cs="Palatino Linotype"/>
                <w:color w:val="000000"/>
              </w:rPr>
              <w:lastRenderedPageBreak/>
              <w:t>clasificación se deben acreditar las circunstancias de tiempo, modo y lugar.</w:t>
            </w:r>
          </w:p>
          <w:p w14:paraId="5D5317EB" w14:textId="77777777" w:rsidR="002B2F6D" w:rsidRPr="001653DF" w:rsidRDefault="00B17ABB" w:rsidP="00164857">
            <w:pPr>
              <w:tabs>
                <w:tab w:val="left" w:pos="284"/>
              </w:tabs>
              <w:spacing w:line="360" w:lineRule="auto"/>
              <w:ind w:right="-115"/>
              <w:jc w:val="both"/>
              <w:rPr>
                <w:rFonts w:ascii="Palatino Linotype" w:eastAsia="Palatino Linotype" w:hAnsi="Palatino Linotype" w:cs="Palatino Linotype"/>
                <w:color w:val="000000"/>
              </w:rPr>
            </w:pPr>
            <w:r w:rsidRPr="001653DF">
              <w:rPr>
                <w:rFonts w:ascii="Palatino Linotype" w:eastAsia="Palatino Linotype" w:hAnsi="Palatino Linotype" w:cs="Palatino Linotype"/>
                <w:color w:val="000000"/>
              </w:rPr>
              <w:t xml:space="preserve">Ahora bien, </w:t>
            </w:r>
            <w:r w:rsidRPr="001653DF">
              <w:rPr>
                <w:rFonts w:ascii="Palatino Linotype" w:eastAsia="Palatino Linotype" w:hAnsi="Palatino Linotype" w:cs="Palatino Linotype"/>
                <w:b/>
                <w:color w:val="000000"/>
                <w:u w:val="single"/>
              </w:rPr>
              <w:t>para cada caso además de fundar y motivar</w:t>
            </w:r>
            <w:r w:rsidRPr="001653DF">
              <w:rPr>
                <w:rFonts w:ascii="Palatino Linotype" w:eastAsia="Palatino Linotype" w:hAnsi="Palatino Linotype" w:cs="Palatino Linotype"/>
                <w:color w:val="000000"/>
              </w:rPr>
              <w:t>, se debe identificar con claridad que datos contenidos en las documentales son susceptibles de suprimirse, por ejemplo; Datos identificativos: El nombre, alias, pseudónimo, domicilio, código postal, teléfono particular, sexo, estado civil, teléfono celular, firma, clave de Registro Federal de Contribuyentes (RFC), Clave Única de Registro de Población (CURP), Clave de Elector, Matrícula del Servicio Militar Nacional, número de pasaporte, lugar y fecha de nacimiento, nacionalidad, edad, fotografía, localidad y sección electoral, y análogos.</w:t>
            </w:r>
          </w:p>
          <w:p w14:paraId="57C98CE1" w14:textId="77777777" w:rsidR="002B2F6D" w:rsidRPr="001653DF" w:rsidRDefault="00B17ABB" w:rsidP="00164857">
            <w:pPr>
              <w:tabs>
                <w:tab w:val="left" w:pos="284"/>
              </w:tabs>
              <w:spacing w:line="360" w:lineRule="auto"/>
              <w:ind w:right="-115"/>
              <w:jc w:val="both"/>
              <w:rPr>
                <w:rFonts w:ascii="Palatino Linotype" w:eastAsia="Palatino Linotype" w:hAnsi="Palatino Linotype" w:cs="Palatino Linotype"/>
                <w:color w:val="000000"/>
              </w:rPr>
            </w:pPr>
            <w:r w:rsidRPr="001653DF">
              <w:rPr>
                <w:rFonts w:ascii="Palatino Linotype" w:eastAsia="Palatino Linotype" w:hAnsi="Palatino Linotype" w:cs="Palatino Linotype"/>
                <w:color w:val="000000"/>
              </w:rPr>
              <w:t>Datos patrimoniales: Bienes muebles e inmuebles de su propiedad, información fiscal, historial crediticio, ingresos y egresos, número de cuenta bancaria y/o CLABE interbancaria de personas físicas y morales privadas, inversiones, seguros, fianzas, servicios contratados, referencias personales, beneficiarios, dependientes económicos, decisiones patrimoniales y análogos. Por mencionar algunos.</w:t>
            </w:r>
          </w:p>
        </w:tc>
      </w:tr>
      <w:tr w:rsidR="002B2F6D" w:rsidRPr="001653DF" w14:paraId="45CFBCDD" w14:textId="77777777">
        <w:tc>
          <w:tcPr>
            <w:tcW w:w="2685" w:type="dxa"/>
          </w:tcPr>
          <w:p w14:paraId="1214B99B" w14:textId="77777777" w:rsidR="002B2F6D" w:rsidRPr="001653DF" w:rsidRDefault="00B17ABB" w:rsidP="008C4133">
            <w:pPr>
              <w:tabs>
                <w:tab w:val="left" w:pos="284"/>
              </w:tabs>
              <w:spacing w:line="360" w:lineRule="auto"/>
              <w:ind w:right="-119"/>
              <w:jc w:val="both"/>
              <w:rPr>
                <w:rFonts w:ascii="Palatino Linotype" w:eastAsia="Palatino Linotype" w:hAnsi="Palatino Linotype" w:cs="Palatino Linotype"/>
                <w:b/>
              </w:rPr>
            </w:pPr>
            <w:r w:rsidRPr="001653DF">
              <w:rPr>
                <w:rFonts w:ascii="Palatino Linotype" w:eastAsia="Palatino Linotype" w:hAnsi="Palatino Linotype" w:cs="Palatino Linotype"/>
                <w:b/>
              </w:rPr>
              <w:lastRenderedPageBreak/>
              <w:t xml:space="preserve">e) Condiciones especiales de la </w:t>
            </w:r>
            <w:r w:rsidRPr="001653DF">
              <w:rPr>
                <w:rFonts w:ascii="Palatino Linotype" w:eastAsia="Palatino Linotype" w:hAnsi="Palatino Linotype" w:cs="Palatino Linotype"/>
                <w:b/>
              </w:rPr>
              <w:lastRenderedPageBreak/>
              <w:t xml:space="preserve">clasificación de la información como confidencial. </w:t>
            </w:r>
          </w:p>
        </w:tc>
        <w:tc>
          <w:tcPr>
            <w:tcW w:w="6808" w:type="dxa"/>
          </w:tcPr>
          <w:p w14:paraId="40212110" w14:textId="77777777" w:rsidR="002B2F6D" w:rsidRPr="001653DF" w:rsidRDefault="00B17ABB" w:rsidP="00164857">
            <w:pPr>
              <w:tabs>
                <w:tab w:val="left" w:pos="284"/>
              </w:tabs>
              <w:spacing w:line="360" w:lineRule="auto"/>
              <w:ind w:right="-115"/>
              <w:jc w:val="both"/>
              <w:rPr>
                <w:rFonts w:ascii="Palatino Linotype" w:eastAsia="Palatino Linotype" w:hAnsi="Palatino Linotype" w:cs="Palatino Linotype"/>
                <w:color w:val="000000"/>
              </w:rPr>
            </w:pPr>
            <w:r w:rsidRPr="001653DF">
              <w:rPr>
                <w:rFonts w:ascii="Palatino Linotype" w:eastAsia="Palatino Linotype" w:hAnsi="Palatino Linotype" w:cs="Palatino Linotype"/>
                <w:color w:val="000000"/>
              </w:rPr>
              <w:lastRenderedPageBreak/>
              <w:t xml:space="preserve">Los artículos 148 y 120 de la Ley Estatal y de la Ley General, respectivamente, establecen que aun tratándose de datos </w:t>
            </w:r>
            <w:r w:rsidRPr="001653DF">
              <w:rPr>
                <w:rFonts w:ascii="Palatino Linotype" w:eastAsia="Palatino Linotype" w:hAnsi="Palatino Linotype" w:cs="Palatino Linotype"/>
                <w:color w:val="000000"/>
              </w:rPr>
              <w:lastRenderedPageBreak/>
              <w:t xml:space="preserve">personales, se podrán proporcionar, incluso sin solicitar el consentimiento de su titular. </w:t>
            </w:r>
          </w:p>
          <w:p w14:paraId="51FE2DAA" w14:textId="77777777" w:rsidR="002B2F6D" w:rsidRPr="001653DF" w:rsidRDefault="00B17ABB" w:rsidP="00164857">
            <w:pPr>
              <w:tabs>
                <w:tab w:val="left" w:pos="284"/>
              </w:tabs>
              <w:spacing w:line="360" w:lineRule="auto"/>
              <w:ind w:right="-115"/>
              <w:jc w:val="both"/>
              <w:rPr>
                <w:rFonts w:ascii="Palatino Linotype" w:eastAsia="Palatino Linotype" w:hAnsi="Palatino Linotype" w:cs="Palatino Linotype"/>
                <w:color w:val="000000"/>
              </w:rPr>
            </w:pPr>
            <w:r w:rsidRPr="001653DF">
              <w:rPr>
                <w:rFonts w:ascii="Palatino Linotype" w:eastAsia="Palatino Linotype" w:hAnsi="Palatino Linotype" w:cs="Palatino Linotype"/>
                <w:color w:val="00000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1F2ABE35" w14:textId="77777777" w:rsidR="002B2F6D" w:rsidRPr="001653DF" w:rsidRDefault="00B17ABB" w:rsidP="00164857">
            <w:pPr>
              <w:tabs>
                <w:tab w:val="left" w:pos="284"/>
              </w:tabs>
              <w:spacing w:line="360" w:lineRule="auto"/>
              <w:ind w:right="-115"/>
              <w:jc w:val="both"/>
              <w:rPr>
                <w:rFonts w:ascii="Palatino Linotype" w:eastAsia="Palatino Linotype" w:hAnsi="Palatino Linotype" w:cs="Palatino Linotype"/>
              </w:rPr>
            </w:pPr>
            <w:r w:rsidRPr="001653DF">
              <w:rPr>
                <w:rFonts w:ascii="Palatino Linotype" w:eastAsia="Palatino Linotype" w:hAnsi="Palatino Linotype" w:cs="Palatino Linotype"/>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4D8D3A4F" w14:textId="77777777" w:rsidR="002B2F6D" w:rsidRPr="001653DF" w:rsidRDefault="002B2F6D">
      <w:pPr>
        <w:spacing w:line="360" w:lineRule="auto"/>
        <w:ind w:right="-599"/>
        <w:jc w:val="both"/>
        <w:rPr>
          <w:rFonts w:ascii="Palatino Linotype" w:eastAsia="Palatino Linotype" w:hAnsi="Palatino Linotype" w:cs="Palatino Linotype"/>
        </w:rPr>
      </w:pPr>
    </w:p>
    <w:p w14:paraId="3E02C23D" w14:textId="77777777" w:rsidR="002B2F6D" w:rsidRPr="001653DF" w:rsidRDefault="00B17ABB">
      <w:pPr>
        <w:numPr>
          <w:ilvl w:val="0"/>
          <w:numId w:val="7"/>
        </w:numPr>
        <w:spacing w:line="360" w:lineRule="auto"/>
        <w:ind w:right="-599"/>
        <w:jc w:val="both"/>
        <w:rPr>
          <w:rFonts w:ascii="Palatino Linotype" w:eastAsia="Palatino Linotype" w:hAnsi="Palatino Linotype" w:cs="Palatino Linotype"/>
          <w:b/>
        </w:rPr>
      </w:pPr>
      <w:r w:rsidRPr="001653DF">
        <w:rPr>
          <w:rFonts w:ascii="Palatino Linotype" w:eastAsia="Palatino Linotype" w:hAnsi="Palatino Linotype" w:cs="Palatino Linotype"/>
          <w:b/>
        </w:rPr>
        <w:t xml:space="preserve">Clave catastral </w:t>
      </w:r>
    </w:p>
    <w:p w14:paraId="0AE27A53" w14:textId="77777777" w:rsidR="002B2F6D" w:rsidRPr="001653DF" w:rsidRDefault="00B17ABB" w:rsidP="00164857">
      <w:pPr>
        <w:numPr>
          <w:ilvl w:val="0"/>
          <w:numId w:val="3"/>
        </w:numPr>
        <w:pBdr>
          <w:top w:val="nil"/>
          <w:left w:val="nil"/>
          <w:bottom w:val="nil"/>
          <w:right w:val="nil"/>
          <w:between w:val="nil"/>
        </w:pBdr>
        <w:spacing w:line="360" w:lineRule="auto"/>
        <w:ind w:left="0" w:right="-29" w:firstLine="0"/>
        <w:jc w:val="both"/>
        <w:rPr>
          <w:rFonts w:ascii="Palatino Linotype" w:hAnsi="Palatino Linotype"/>
          <w:color w:val="000000"/>
        </w:rPr>
      </w:pPr>
      <w:r w:rsidRPr="001653DF">
        <w:rPr>
          <w:rFonts w:ascii="Palatino Linotype" w:eastAsia="Palatino Linotype" w:hAnsi="Palatino Linotype" w:cs="Palatino Linotype"/>
          <w:color w:val="000000"/>
        </w:rPr>
        <w:t>Por cuanto hace a la clave catastral; el artículo 179, fracción I, del Código Financiero del Estado de México y Municipios, refiere que la clave catastral es un código alfanumérico único e irrepetible, que se asigna para efectos de localización geográfica, identificación inscripción, control y registro de los inmuebles; por lo que, integrado de dieciséis caracteres., los primeros tres identifican el código del municipio, los dos siguientes a la zona catastral, los subsecuentes tres a la manzana y los últimos dos, identifican el número de lote o predio.</w:t>
      </w:r>
    </w:p>
    <w:p w14:paraId="2D7B85AA" w14:textId="77777777" w:rsidR="002B2F6D" w:rsidRPr="001653DF" w:rsidRDefault="00B17ABB" w:rsidP="00164857">
      <w:pPr>
        <w:numPr>
          <w:ilvl w:val="0"/>
          <w:numId w:val="3"/>
        </w:numPr>
        <w:pBdr>
          <w:top w:val="nil"/>
          <w:left w:val="nil"/>
          <w:bottom w:val="nil"/>
          <w:right w:val="nil"/>
          <w:between w:val="nil"/>
        </w:pBdr>
        <w:spacing w:line="360" w:lineRule="auto"/>
        <w:ind w:left="0" w:right="-29" w:firstLine="0"/>
        <w:jc w:val="both"/>
        <w:rPr>
          <w:rFonts w:ascii="Palatino Linotype" w:hAnsi="Palatino Linotype"/>
          <w:color w:val="000000"/>
        </w:rPr>
      </w:pPr>
      <w:r w:rsidRPr="001653DF">
        <w:rPr>
          <w:rFonts w:ascii="Palatino Linotype" w:eastAsia="Palatino Linotype" w:hAnsi="Palatino Linotype" w:cs="Palatino Linotype"/>
          <w:color w:val="000000"/>
        </w:rPr>
        <w:lastRenderedPageBreak/>
        <w:t>El diccionario de Datos catastrales Escala 1:1000 del Instituto Nacional de Estadística y Geografía (INEGI), contempla en su glosario la definición de clave catastral, la cual, es la siguiente:</w:t>
      </w:r>
    </w:p>
    <w:p w14:paraId="76C3977B" w14:textId="77777777" w:rsidR="002B2F6D" w:rsidRPr="001653DF" w:rsidRDefault="002B2F6D">
      <w:pPr>
        <w:spacing w:line="360" w:lineRule="auto"/>
        <w:ind w:right="-599"/>
        <w:jc w:val="both"/>
        <w:rPr>
          <w:rFonts w:ascii="Palatino Linotype" w:eastAsia="Palatino Linotype" w:hAnsi="Palatino Linotype" w:cs="Palatino Linotype"/>
          <w:sz w:val="22"/>
          <w:szCs w:val="22"/>
        </w:rPr>
      </w:pPr>
    </w:p>
    <w:p w14:paraId="489749E3" w14:textId="77777777" w:rsidR="002B2F6D" w:rsidRPr="001653DF" w:rsidRDefault="00B17ABB" w:rsidP="00164857">
      <w:pPr>
        <w:spacing w:line="360" w:lineRule="auto"/>
        <w:ind w:left="567" w:right="-2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t>“</w:t>
      </w:r>
      <w:r w:rsidRPr="001653DF">
        <w:rPr>
          <w:rFonts w:ascii="Palatino Linotype" w:eastAsia="Palatino Linotype" w:hAnsi="Palatino Linotype" w:cs="Palatino Linotype"/>
          <w:b/>
          <w:i/>
          <w:sz w:val="22"/>
          <w:szCs w:val="22"/>
        </w:rPr>
        <w:t xml:space="preserve">Clave catastral: </w:t>
      </w:r>
      <w:r w:rsidRPr="001653DF">
        <w:rPr>
          <w:rFonts w:ascii="Palatino Linotype" w:eastAsia="Palatino Linotype" w:hAnsi="Palatino Linotype" w:cs="Palatino Linotype"/>
          <w:i/>
          <w:sz w:val="22"/>
          <w:szCs w:val="22"/>
        </w:rPr>
        <w:t>El código que identifica al predio de forma única para su localización geográfica, mismo que es asignado a cada uno de ellos en el momento de su inscripción en el padrón catastral por las Unidades del estado con atribuciones catastrales”</w:t>
      </w:r>
    </w:p>
    <w:p w14:paraId="6EFA5B36" w14:textId="77777777" w:rsidR="002B2F6D" w:rsidRPr="001653DF" w:rsidRDefault="002B2F6D">
      <w:pPr>
        <w:spacing w:line="360" w:lineRule="auto"/>
        <w:ind w:right="-599"/>
        <w:jc w:val="both"/>
        <w:rPr>
          <w:rFonts w:ascii="Palatino Linotype" w:eastAsia="Palatino Linotype" w:hAnsi="Palatino Linotype" w:cs="Palatino Linotype"/>
          <w:sz w:val="22"/>
          <w:szCs w:val="22"/>
        </w:rPr>
      </w:pPr>
    </w:p>
    <w:p w14:paraId="158A06FA" w14:textId="77777777" w:rsidR="002B2F6D" w:rsidRPr="001653DF" w:rsidRDefault="00B17ABB" w:rsidP="00164857">
      <w:pPr>
        <w:numPr>
          <w:ilvl w:val="0"/>
          <w:numId w:val="3"/>
        </w:numPr>
        <w:pBdr>
          <w:top w:val="nil"/>
          <w:left w:val="nil"/>
          <w:bottom w:val="nil"/>
          <w:right w:val="nil"/>
          <w:between w:val="nil"/>
        </w:pBdr>
        <w:spacing w:line="360" w:lineRule="auto"/>
        <w:ind w:left="0" w:right="-29" w:firstLine="0"/>
        <w:jc w:val="both"/>
        <w:rPr>
          <w:rFonts w:ascii="Palatino Linotype" w:hAnsi="Palatino Linotype"/>
          <w:color w:val="000000"/>
        </w:rPr>
      </w:pPr>
      <w:r w:rsidRPr="001653DF">
        <w:rPr>
          <w:rFonts w:ascii="Palatino Linotype" w:eastAsia="Palatino Linotype" w:hAnsi="Palatino Linotype" w:cs="Palatino Linotype"/>
          <w:color w:val="000000"/>
        </w:rPr>
        <w:t>Así mismo, dicho diccionario estipula dos tipos de Claves catastrales, siendo estas la Estándar y la Original, cuyo diccionario de datos catastrales Escala 1:1000 del INEGI, las define como</w:t>
      </w:r>
    </w:p>
    <w:p w14:paraId="6B3A6F12" w14:textId="77777777" w:rsidR="002B2F6D" w:rsidRPr="001653DF" w:rsidRDefault="002B2F6D">
      <w:pPr>
        <w:spacing w:line="360" w:lineRule="auto"/>
        <w:ind w:right="-599"/>
        <w:jc w:val="both"/>
        <w:rPr>
          <w:rFonts w:ascii="Palatino Linotype" w:eastAsia="Palatino Linotype" w:hAnsi="Palatino Linotype" w:cs="Palatino Linotype"/>
        </w:rPr>
      </w:pPr>
    </w:p>
    <w:p w14:paraId="3BC405F7" w14:textId="77777777" w:rsidR="002B2F6D" w:rsidRPr="001653DF" w:rsidRDefault="00B17ABB" w:rsidP="00164857">
      <w:pPr>
        <w:spacing w:line="276" w:lineRule="auto"/>
        <w:ind w:left="567" w:right="-2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t>“</w:t>
      </w:r>
      <w:r w:rsidRPr="001653DF">
        <w:rPr>
          <w:rFonts w:ascii="Palatino Linotype" w:eastAsia="Palatino Linotype" w:hAnsi="Palatino Linotype" w:cs="Palatino Linotype"/>
          <w:b/>
          <w:i/>
          <w:sz w:val="22"/>
          <w:szCs w:val="22"/>
        </w:rPr>
        <w:t xml:space="preserve">CLAVE CATASTRAL ESTÁNDAR: </w:t>
      </w:r>
      <w:r w:rsidRPr="001653DF">
        <w:rPr>
          <w:rFonts w:ascii="Palatino Linotype" w:eastAsia="Palatino Linotype" w:hAnsi="Palatino Linotype" w:cs="Palatino Linotype"/>
          <w:i/>
          <w:sz w:val="22"/>
          <w:szCs w:val="22"/>
        </w:rPr>
        <w:t>Código de 31 caracteres conformado por elementos administrativos y que identifica al objeto espacial en forma única para su localización, compuesto por: Estado (2) + Región Catastral (3) + Municipio (3) + Zona Catastral (2) + Localidad (4) + Sector Catastral (3) + Manzana(3) + Predio (5) +  Condominio: edificio (2) y unidad (4).</w:t>
      </w:r>
    </w:p>
    <w:p w14:paraId="6A25BB74" w14:textId="77777777" w:rsidR="002B2F6D" w:rsidRPr="001653DF" w:rsidRDefault="002B2F6D">
      <w:pPr>
        <w:spacing w:line="276" w:lineRule="auto"/>
        <w:ind w:left="567" w:right="-599"/>
        <w:jc w:val="both"/>
        <w:rPr>
          <w:rFonts w:ascii="Palatino Linotype" w:eastAsia="Palatino Linotype" w:hAnsi="Palatino Linotype" w:cs="Palatino Linotype"/>
          <w:i/>
          <w:sz w:val="22"/>
          <w:szCs w:val="22"/>
        </w:rPr>
      </w:pPr>
    </w:p>
    <w:p w14:paraId="44955278" w14:textId="77777777" w:rsidR="002B2F6D" w:rsidRPr="001653DF" w:rsidRDefault="00B17ABB" w:rsidP="00164857">
      <w:pPr>
        <w:spacing w:line="276" w:lineRule="auto"/>
        <w:ind w:left="567" w:right="-29"/>
        <w:jc w:val="both"/>
        <w:rPr>
          <w:rFonts w:ascii="Palatino Linotype" w:eastAsia="Palatino Linotype" w:hAnsi="Palatino Linotype" w:cs="Palatino Linotype"/>
          <w:b/>
          <w:i/>
          <w:sz w:val="22"/>
          <w:szCs w:val="22"/>
        </w:rPr>
      </w:pPr>
      <w:r w:rsidRPr="001653DF">
        <w:rPr>
          <w:rFonts w:ascii="Palatino Linotype" w:eastAsia="Palatino Linotype" w:hAnsi="Palatino Linotype" w:cs="Palatino Linotype"/>
          <w:b/>
          <w:i/>
          <w:sz w:val="22"/>
          <w:szCs w:val="22"/>
        </w:rPr>
        <w:t xml:space="preserve">CLAVE CATASTRAL ORIGINAL: </w:t>
      </w:r>
      <w:r w:rsidRPr="001653DF">
        <w:rPr>
          <w:rFonts w:ascii="Palatino Linotype" w:eastAsia="Palatino Linotype" w:hAnsi="Palatino Linotype" w:cs="Palatino Linotype"/>
          <w:i/>
          <w:sz w:val="22"/>
          <w:szCs w:val="22"/>
        </w:rPr>
        <w:t>Código que identifica al objeto espacial el cual es asignado, por el Catastro Estatal, Municipal o por el registro Agrario Nacional”</w:t>
      </w:r>
      <w:r w:rsidRPr="001653DF">
        <w:rPr>
          <w:rFonts w:ascii="Palatino Linotype" w:eastAsia="Palatino Linotype" w:hAnsi="Palatino Linotype" w:cs="Palatino Linotype"/>
          <w:b/>
          <w:i/>
          <w:sz w:val="22"/>
          <w:szCs w:val="22"/>
        </w:rPr>
        <w:t xml:space="preserve"> </w:t>
      </w:r>
    </w:p>
    <w:p w14:paraId="2F898CB4" w14:textId="77777777" w:rsidR="002B2F6D" w:rsidRPr="001653DF" w:rsidRDefault="002B2F6D">
      <w:pPr>
        <w:spacing w:line="360" w:lineRule="auto"/>
        <w:ind w:right="-599"/>
        <w:jc w:val="both"/>
        <w:rPr>
          <w:rFonts w:ascii="Palatino Linotype" w:eastAsia="Palatino Linotype" w:hAnsi="Palatino Linotype" w:cs="Palatino Linotype"/>
        </w:rPr>
      </w:pPr>
    </w:p>
    <w:p w14:paraId="4AE79754" w14:textId="77777777" w:rsidR="002B2F6D" w:rsidRPr="001653DF" w:rsidRDefault="00B17ABB" w:rsidP="00164857">
      <w:pPr>
        <w:numPr>
          <w:ilvl w:val="0"/>
          <w:numId w:val="3"/>
        </w:numPr>
        <w:pBdr>
          <w:top w:val="nil"/>
          <w:left w:val="nil"/>
          <w:bottom w:val="nil"/>
          <w:right w:val="nil"/>
          <w:between w:val="nil"/>
        </w:pBdr>
        <w:spacing w:line="360" w:lineRule="auto"/>
        <w:ind w:left="0" w:right="-29" w:firstLine="0"/>
        <w:jc w:val="both"/>
        <w:rPr>
          <w:rFonts w:ascii="Palatino Linotype" w:hAnsi="Palatino Linotype"/>
          <w:color w:val="000000"/>
        </w:rPr>
      </w:pPr>
      <w:r w:rsidRPr="001653DF">
        <w:rPr>
          <w:rFonts w:ascii="Palatino Linotype" w:eastAsia="Palatino Linotype" w:hAnsi="Palatino Linotype" w:cs="Palatino Linotype"/>
          <w:color w:val="000000"/>
        </w:rPr>
        <w:t xml:space="preserve">Conforme a lo anterior, se advierte que el dato en comento, hace referencia a un predio determinado, que lo hace identificable mediante su localización geográfica e inscripción al padrón catastral de cada entidad federativa, por lo que pudiera revelar información inherente al patrimonio del propietario de dicho predio o inmueble, por lo </w:t>
      </w:r>
      <w:r w:rsidRPr="001653DF">
        <w:rPr>
          <w:rFonts w:ascii="Palatino Linotype" w:eastAsia="Palatino Linotype" w:hAnsi="Palatino Linotype" w:cs="Palatino Linotype"/>
          <w:color w:val="000000"/>
        </w:rPr>
        <w:lastRenderedPageBreak/>
        <w:t xml:space="preserve">que de igual manera </w:t>
      </w:r>
      <w:r w:rsidRPr="001653DF">
        <w:rPr>
          <w:rFonts w:ascii="Palatino Linotype" w:eastAsia="Palatino Linotype" w:hAnsi="Palatino Linotype" w:cs="Palatino Linotype"/>
          <w:b/>
          <w:color w:val="000000"/>
        </w:rPr>
        <w:t>procede a clasificar dicho dato como confidencial, en términos del artículo 143, fracción I de la Ley de Transparencia y Acceso a la Información Pública del Estado de México y Municipios.</w:t>
      </w:r>
    </w:p>
    <w:p w14:paraId="31A5455D" w14:textId="77777777" w:rsidR="002B2F6D" w:rsidRPr="001653DF" w:rsidRDefault="002B2F6D">
      <w:pPr>
        <w:spacing w:line="360" w:lineRule="auto"/>
        <w:ind w:right="-599"/>
        <w:jc w:val="both"/>
        <w:rPr>
          <w:rFonts w:ascii="Palatino Linotype" w:eastAsia="Palatino Linotype" w:hAnsi="Palatino Linotype" w:cs="Palatino Linotype"/>
        </w:rPr>
      </w:pPr>
    </w:p>
    <w:p w14:paraId="2C62BE14" w14:textId="77777777" w:rsidR="002B2F6D" w:rsidRPr="001653DF" w:rsidRDefault="00B17ABB" w:rsidP="00164857">
      <w:pPr>
        <w:numPr>
          <w:ilvl w:val="0"/>
          <w:numId w:val="3"/>
        </w:numPr>
        <w:spacing w:line="360" w:lineRule="auto"/>
        <w:ind w:left="0" w:right="113" w:firstLine="0"/>
        <w:jc w:val="both"/>
        <w:rPr>
          <w:rFonts w:ascii="Palatino Linotype" w:hAnsi="Palatino Linotype"/>
        </w:rPr>
      </w:pPr>
      <w:r w:rsidRPr="001653DF">
        <w:rPr>
          <w:rFonts w:ascii="Palatino Linotype" w:eastAsia="Palatino Linotype" w:hAnsi="Palatino Linotype" w:cs="Palatino Linotype"/>
        </w:rPr>
        <w:t xml:space="preserve">En ese sentido, el </w:t>
      </w:r>
      <w:r w:rsidRPr="001653DF">
        <w:rPr>
          <w:rFonts w:ascii="Palatino Linotype" w:eastAsia="Palatino Linotype" w:hAnsi="Palatino Linotype" w:cs="Palatino Linotype"/>
          <w:b/>
        </w:rPr>
        <w:t>SUJETO OBLIGADO</w:t>
      </w:r>
      <w:r w:rsidRPr="001653DF">
        <w:rPr>
          <w:rFonts w:ascii="Palatino Linotype" w:eastAsia="Palatino Linotype" w:hAnsi="Palatino Linotype" w:cs="Palatino Linotype"/>
        </w:rPr>
        <w:t xml:space="preserve"> deberá de emitir el Acuerdo del Comité de Transparencia, mediante el cual de manera fundada y motivada establezca las razones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6322CF11" w14:textId="77777777" w:rsidR="002B2F6D" w:rsidRPr="001653DF" w:rsidRDefault="002B2F6D">
      <w:pPr>
        <w:spacing w:line="360" w:lineRule="auto"/>
        <w:ind w:right="-599"/>
        <w:jc w:val="both"/>
        <w:rPr>
          <w:rFonts w:ascii="Palatino Linotype" w:eastAsia="Palatino Linotype" w:hAnsi="Palatino Linotype" w:cs="Palatino Linotype"/>
        </w:rPr>
      </w:pPr>
    </w:p>
    <w:p w14:paraId="496EBC28" w14:textId="205200D5" w:rsidR="007A6BF5" w:rsidRPr="001653DF" w:rsidRDefault="007A6BF5" w:rsidP="007A6BF5">
      <w:pPr>
        <w:pStyle w:val="Ttulo3"/>
        <w:spacing w:before="40" w:after="0" w:line="259" w:lineRule="auto"/>
        <w:rPr>
          <w:rFonts w:ascii="Palatino Linotype" w:hAnsi="Palatino Linotype"/>
          <w:b w:val="0"/>
        </w:rPr>
      </w:pPr>
      <w:bookmarkStart w:id="5" w:name="_Toc535495381"/>
      <w:bookmarkStart w:id="6" w:name="_Toc19782250"/>
      <w:bookmarkStart w:id="7" w:name="_Toc51330101"/>
      <w:r w:rsidRPr="001653DF">
        <w:rPr>
          <w:rFonts w:ascii="Palatino Linotype" w:hAnsi="Palatino Linotype"/>
        </w:rPr>
        <w:t xml:space="preserve">Nombre del titular de la licencia </w:t>
      </w:r>
      <w:bookmarkEnd w:id="5"/>
      <w:bookmarkEnd w:id="6"/>
      <w:bookmarkEnd w:id="7"/>
    </w:p>
    <w:p w14:paraId="38352379" w14:textId="77777777" w:rsidR="007A6BF5" w:rsidRPr="001653DF" w:rsidRDefault="007A6BF5" w:rsidP="007A6BF5">
      <w:pPr>
        <w:rPr>
          <w:rFonts w:ascii="Palatino Linotype" w:hAnsi="Palatino Linotype"/>
          <w:lang w:eastAsia="en-US"/>
        </w:rPr>
      </w:pPr>
    </w:p>
    <w:p w14:paraId="699EA3BC" w14:textId="77777777" w:rsidR="007A6BF5" w:rsidRPr="001653DF" w:rsidRDefault="007A6BF5" w:rsidP="007A6BF5">
      <w:pPr>
        <w:pStyle w:val="Prrafodelista"/>
        <w:numPr>
          <w:ilvl w:val="0"/>
          <w:numId w:val="3"/>
        </w:numPr>
        <w:spacing w:line="360" w:lineRule="auto"/>
        <w:ind w:left="0" w:right="-93" w:firstLine="0"/>
        <w:jc w:val="both"/>
        <w:rPr>
          <w:rFonts w:ascii="Palatino Linotype" w:eastAsia="Calibri" w:hAnsi="Palatino Linotype" w:cs="Tahoma"/>
          <w:b/>
          <w:bCs/>
          <w:lang w:eastAsia="en-US"/>
        </w:rPr>
      </w:pPr>
      <w:r w:rsidRPr="001653DF">
        <w:rPr>
          <w:rFonts w:ascii="Palatino Linotype" w:eastAsia="Calibri" w:hAnsi="Palatino Linotype" w:cs="Tahoma"/>
          <w:bCs/>
          <w:lang w:eastAsia="en-US"/>
        </w:rPr>
        <w:t xml:space="preserve">El nombre de una persona física se integra con el sustantivo propio y el primer apellido de los padres; asimismo es la manifestación principal del derecho subjetivo a la personalidad y atributo de esta en términos del artículo 2.3 del Código Civil del Estado de México, de tal suerte, el nombre </w:t>
      </w:r>
      <w:r w:rsidRPr="001653DF">
        <w:rPr>
          <w:rFonts w:ascii="Palatino Linotype" w:eastAsia="Calibri" w:hAnsi="Palatino Linotype" w:cs="Tahoma"/>
          <w:bCs/>
          <w:i/>
          <w:lang w:eastAsia="en-US"/>
        </w:rPr>
        <w:t>per se</w:t>
      </w:r>
      <w:r w:rsidRPr="001653DF">
        <w:rPr>
          <w:rFonts w:ascii="Palatino Linotype" w:eastAsia="Calibri" w:hAnsi="Palatino Linotype" w:cs="Tahoma"/>
          <w:bCs/>
          <w:lang w:eastAsia="en-US"/>
        </w:rPr>
        <w:t xml:space="preserve"> es un elemento que hace a una persona física identificada o identificable, por lo que, tiene la naturaleza de </w:t>
      </w:r>
      <w:r w:rsidRPr="001653DF">
        <w:rPr>
          <w:rFonts w:ascii="Palatino Linotype" w:eastAsia="Calibri" w:hAnsi="Palatino Linotype" w:cs="Tahoma"/>
          <w:b/>
          <w:bCs/>
          <w:lang w:eastAsia="en-US"/>
        </w:rPr>
        <w:t>dato personal.</w:t>
      </w:r>
    </w:p>
    <w:p w14:paraId="05FC47C8" w14:textId="77777777" w:rsidR="007A6BF5" w:rsidRPr="001653DF" w:rsidRDefault="007A6BF5" w:rsidP="007A6BF5">
      <w:pPr>
        <w:pStyle w:val="Prrafodelista"/>
        <w:spacing w:line="360" w:lineRule="auto"/>
        <w:ind w:left="0" w:right="-93"/>
        <w:jc w:val="both"/>
        <w:rPr>
          <w:rFonts w:ascii="Palatino Linotype" w:eastAsia="Calibri" w:hAnsi="Palatino Linotype" w:cs="Tahoma"/>
          <w:b/>
          <w:bCs/>
          <w:lang w:eastAsia="en-US"/>
        </w:rPr>
      </w:pPr>
    </w:p>
    <w:p w14:paraId="3A5A6706" w14:textId="77777777" w:rsidR="007A6BF5" w:rsidRPr="001653DF" w:rsidRDefault="007A6BF5" w:rsidP="007A6BF5">
      <w:pPr>
        <w:pStyle w:val="Prrafodelista"/>
        <w:numPr>
          <w:ilvl w:val="0"/>
          <w:numId w:val="3"/>
        </w:numPr>
        <w:spacing w:line="360" w:lineRule="auto"/>
        <w:ind w:left="0" w:right="-93" w:firstLine="0"/>
        <w:jc w:val="both"/>
        <w:rPr>
          <w:rFonts w:ascii="Palatino Linotype" w:eastAsia="Calibri" w:hAnsi="Palatino Linotype" w:cs="Tahoma"/>
          <w:b/>
          <w:bCs/>
          <w:lang w:eastAsia="en-US"/>
        </w:rPr>
      </w:pPr>
      <w:r w:rsidRPr="001653DF">
        <w:rPr>
          <w:rFonts w:ascii="Palatino Linotype" w:eastAsia="Calibri" w:hAnsi="Palatino Linotype" w:cs="Tahoma"/>
          <w:bCs/>
          <w:lang w:eastAsia="en-US"/>
        </w:rPr>
        <w:lastRenderedPageBreak/>
        <w:t>Sobre el tema, se tiene presente que, este Instituto emitió el Criterio Relevante 01/18, de la Segunda Época de este Instituto, que establece que el nombre del titular de una licencia, como en el caso que nos ocupa, es información confidencial, cuando no involucra aprovechamiento de recursos públicos.</w:t>
      </w:r>
    </w:p>
    <w:p w14:paraId="392F20D4" w14:textId="77777777" w:rsidR="007A6BF5" w:rsidRPr="001653DF" w:rsidRDefault="007A6BF5" w:rsidP="007A6BF5">
      <w:pPr>
        <w:spacing w:line="360" w:lineRule="auto"/>
        <w:ind w:left="567" w:right="567"/>
        <w:jc w:val="both"/>
        <w:rPr>
          <w:rFonts w:ascii="Palatino Linotype" w:eastAsiaTheme="minorHAnsi" w:hAnsi="Palatino Linotype" w:cs="Tahoma"/>
          <w:bCs/>
          <w:i/>
          <w:sz w:val="22"/>
        </w:rPr>
      </w:pPr>
      <w:r w:rsidRPr="001653DF">
        <w:rPr>
          <w:rFonts w:ascii="Palatino Linotype" w:eastAsiaTheme="minorHAnsi" w:hAnsi="Palatino Linotype" w:cs="Tahoma"/>
          <w:b/>
          <w:bCs/>
          <w:i/>
          <w:sz w:val="22"/>
        </w:rPr>
        <w:t>“Nombre del titular de una licencia que no involucre el aprovechamiento de bienes, servicios y/o recursos públicos, constituye un dato personal susceptible de clasificar como confidencial.</w:t>
      </w:r>
      <w:r w:rsidRPr="001653DF">
        <w:rPr>
          <w:rFonts w:ascii="Palatino Linotype" w:eastAsiaTheme="minorHAnsi" w:hAnsi="Palatino Linotype" w:cs="Tahoma"/>
          <w:bCs/>
          <w:i/>
          <w:sz w:val="22"/>
        </w:rPr>
        <w:t xml:space="preserve"> El artículo 1, párrafo segundo de la Constitución Política de los Estados Unidos Mexicanos determina que las normas relativas a los derechos humanos se interpretarán de conformidad con la Constitución y con los tratados internacionales de la materia favoreciendo en todo tiempo a las personas la protección más amplia, por su parte el artículo 6, apartado A, fracciones I y II, de dicho ordenamiento establece que toda información en posesión de los sujetos obligados es pública y sólo podrá limitarse de manera justificada por razones de interés público, seguridad nacional, y para proteger la vida privada y datos personales en los términos precisados por las Leyes reglamentarias. Ahora bien, el artículo 92, fracción XXXII de la Ley de Transparencia y Acceso a la Información Pública del Estado de México y Municipios, señala que el nombre de los titulares de las licencias es un dato de carácter público, no obstante, para su aplicación, dicho numeral debe ser interpretado de manera armónica y sistemática con el ordenamiento reglamentario de la materia de transparencia y protección de datos personales, pues la intromisión a los datos personales de particulares únicamente se verá justificada cuando se involucre el aprovechamiento de bienes, servicios y/o recursos públicos en términos de lo dispuesto por los artículos 6, 92, fracción XXXII, 122 y 143, fracción I, de la Ley de Transparencia referida en concordancia con lo establecido por los numerales 6 y 15 de la Ley de Protección de Datos </w:t>
      </w:r>
      <w:r w:rsidRPr="001653DF">
        <w:rPr>
          <w:rFonts w:ascii="Palatino Linotype" w:eastAsiaTheme="minorHAnsi" w:hAnsi="Palatino Linotype" w:cs="Tahoma"/>
          <w:bCs/>
          <w:i/>
          <w:sz w:val="22"/>
        </w:rPr>
        <w:lastRenderedPageBreak/>
        <w:t>Personales en Posesión de Sujetos Obligados de la entidad. En ese sentido, el nombre de los titulares de licencias constituye un dato personal que debe ser tratado bajo los principios y términos de la ley reglamentaria de la materia, y para su publicidad se requerirá que la expedición de la licencia correspondiente involucre el aprovechamiento de bienes, servicios y/o recursos públicos, caso contrario se deberá clasificar como confidencial.”</w:t>
      </w:r>
    </w:p>
    <w:p w14:paraId="600B4213" w14:textId="77777777" w:rsidR="007A6BF5" w:rsidRPr="001653DF" w:rsidRDefault="007A6BF5" w:rsidP="007A6BF5">
      <w:pPr>
        <w:spacing w:line="360" w:lineRule="auto"/>
        <w:ind w:right="-93"/>
        <w:jc w:val="both"/>
        <w:rPr>
          <w:rFonts w:ascii="Palatino Linotype" w:eastAsia="Calibri" w:hAnsi="Palatino Linotype" w:cs="Tahoma"/>
          <w:bCs/>
          <w:lang w:eastAsia="en-US"/>
        </w:rPr>
      </w:pPr>
    </w:p>
    <w:p w14:paraId="2B84E2B8" w14:textId="77777777" w:rsidR="000B4F3E" w:rsidRPr="001653DF" w:rsidRDefault="007A6BF5" w:rsidP="00F56C79">
      <w:pPr>
        <w:pStyle w:val="Prrafodelista"/>
        <w:numPr>
          <w:ilvl w:val="0"/>
          <w:numId w:val="3"/>
        </w:numPr>
        <w:spacing w:line="360" w:lineRule="auto"/>
        <w:ind w:left="0" w:right="-93" w:firstLine="0"/>
        <w:jc w:val="both"/>
        <w:rPr>
          <w:rFonts w:ascii="Palatino Linotype" w:eastAsia="Calibri" w:hAnsi="Palatino Linotype" w:cs="Tahoma"/>
          <w:bCs/>
          <w:lang w:eastAsia="en-US"/>
        </w:rPr>
      </w:pPr>
      <w:r w:rsidRPr="001653DF">
        <w:rPr>
          <w:rFonts w:ascii="Palatino Linotype" w:eastAsia="Calibri" w:hAnsi="Palatino Linotype" w:cs="Tahoma"/>
          <w:bCs/>
          <w:lang w:eastAsia="en-US"/>
        </w:rPr>
        <w:t>En el Criterio en citado, contempla que si bien el nombre de los titulares de las licencias es un dato de carácter público, en términos del artículo 92, fracción XXXII de la Ley de Transparencia y Acceso a la Información Pública del Estado de México y Municipios, dicho precepto legal debe ser interpretado de manera armónica y sistemática, pues la intromisión a los datos personales de particulares únicamente se verá justificada cuando involucre el aprovechamiento de bienes, servicios o recursos públicos; por lo que constituye un dato personal, a menos que se actualice alguno de los supuestos previamente señalados.</w:t>
      </w:r>
    </w:p>
    <w:p w14:paraId="5B0290C8" w14:textId="77777777" w:rsidR="000B4F3E" w:rsidRPr="001653DF" w:rsidRDefault="000B4F3E" w:rsidP="000B4F3E">
      <w:pPr>
        <w:pStyle w:val="Prrafodelista"/>
        <w:spacing w:line="360" w:lineRule="auto"/>
        <w:ind w:left="0" w:right="-93"/>
        <w:jc w:val="both"/>
        <w:rPr>
          <w:rFonts w:ascii="Palatino Linotype" w:eastAsia="Calibri" w:hAnsi="Palatino Linotype" w:cs="Tahoma"/>
          <w:bCs/>
          <w:lang w:eastAsia="en-US"/>
        </w:rPr>
      </w:pPr>
    </w:p>
    <w:p w14:paraId="62B26601" w14:textId="04C49CB5" w:rsidR="000B4F3E" w:rsidRPr="001653DF" w:rsidRDefault="000B4F3E" w:rsidP="00F56C79">
      <w:pPr>
        <w:pStyle w:val="Prrafodelista"/>
        <w:numPr>
          <w:ilvl w:val="0"/>
          <w:numId w:val="3"/>
        </w:numPr>
        <w:spacing w:line="360" w:lineRule="auto"/>
        <w:ind w:left="0" w:right="-93" w:firstLine="0"/>
        <w:jc w:val="both"/>
        <w:rPr>
          <w:rFonts w:ascii="Palatino Linotype" w:eastAsia="Calibri" w:hAnsi="Palatino Linotype" w:cs="Tahoma"/>
          <w:bCs/>
          <w:lang w:eastAsia="en-US"/>
        </w:rPr>
      </w:pPr>
      <w:r w:rsidRPr="001653DF">
        <w:rPr>
          <w:rFonts w:ascii="Palatino Linotype" w:hAnsi="Palatino Linotype"/>
        </w:rPr>
        <w:t>En lo que concierne, el nombre tanto del Titular de la licencia de uso de suelo y de construcción   tiene el carácter de confidencial, teniendo como base que sólo deben hacerse públicos los datos personales mínimos que permitan verificar el cumplimiento de la normatividad.</w:t>
      </w:r>
    </w:p>
    <w:p w14:paraId="3E495F1F" w14:textId="77777777" w:rsidR="007A6BF5" w:rsidRPr="001653DF" w:rsidRDefault="007A6BF5" w:rsidP="007A6BF5">
      <w:pPr>
        <w:pStyle w:val="Prrafodelista"/>
        <w:spacing w:line="360" w:lineRule="auto"/>
        <w:ind w:left="0" w:right="-93"/>
        <w:jc w:val="both"/>
        <w:rPr>
          <w:rFonts w:ascii="Palatino Linotype" w:eastAsia="Calibri" w:hAnsi="Palatino Linotype" w:cs="Tahoma"/>
          <w:bCs/>
          <w:lang w:eastAsia="en-US"/>
        </w:rPr>
      </w:pPr>
    </w:p>
    <w:p w14:paraId="1748041D" w14:textId="77777777" w:rsidR="000B4F3E" w:rsidRPr="001653DF" w:rsidRDefault="000B4F3E" w:rsidP="000B4F3E">
      <w:pPr>
        <w:pStyle w:val="Prrafodelista"/>
        <w:numPr>
          <w:ilvl w:val="0"/>
          <w:numId w:val="3"/>
        </w:numPr>
        <w:spacing w:before="240" w:after="240" w:line="360" w:lineRule="auto"/>
        <w:ind w:left="0" w:firstLine="0"/>
        <w:jc w:val="both"/>
        <w:rPr>
          <w:rFonts w:ascii="Palatino Linotype" w:hAnsi="Palatino Linotype"/>
          <w:color w:val="000000"/>
        </w:rPr>
      </w:pPr>
      <w:r w:rsidRPr="001653DF">
        <w:rPr>
          <w:rFonts w:ascii="Palatino Linotype" w:hAnsi="Palatino Linotype"/>
          <w:color w:val="000000"/>
        </w:rPr>
        <w:lastRenderedPageBreak/>
        <w:t>De modo, que el nombre es un dato personal confidencial, lo cual se sustenta en el criterio 01/2018 de la Segunda Época, de los emitidos por el Pleno de este Instituto, que para mayor referencia se inserta enseguida:</w:t>
      </w:r>
    </w:p>
    <w:p w14:paraId="40D2810F" w14:textId="77777777" w:rsidR="000B4F3E" w:rsidRPr="001653DF" w:rsidRDefault="000B4F3E" w:rsidP="000B4F3E">
      <w:pPr>
        <w:autoSpaceDE w:val="0"/>
        <w:autoSpaceDN w:val="0"/>
        <w:adjustRightInd w:val="0"/>
        <w:spacing w:line="276" w:lineRule="auto"/>
        <w:ind w:left="851" w:right="902"/>
        <w:jc w:val="both"/>
        <w:rPr>
          <w:rFonts w:ascii="Palatino Linotype" w:eastAsiaTheme="minorEastAsia" w:hAnsi="Palatino Linotype" w:cs="Arial"/>
          <w:i/>
          <w:sz w:val="22"/>
          <w:szCs w:val="22"/>
        </w:rPr>
      </w:pPr>
      <w:r w:rsidRPr="001653DF">
        <w:rPr>
          <w:rFonts w:ascii="Palatino Linotype" w:eastAsiaTheme="minorEastAsia" w:hAnsi="Palatino Linotype" w:cs="Arial,Bold"/>
          <w:b/>
          <w:bCs/>
          <w:i/>
          <w:sz w:val="22"/>
          <w:szCs w:val="22"/>
        </w:rPr>
        <w:t xml:space="preserve">“Nombre del titular de una licencia que no involucre el aprovechamiento de bienes, servicios y/o recursos públicos, constituye un dato personal susceptible de clasificar como confidencial. </w:t>
      </w:r>
      <w:r w:rsidRPr="001653DF">
        <w:rPr>
          <w:rFonts w:ascii="Palatino Linotype" w:eastAsiaTheme="minorEastAsia" w:hAnsi="Palatino Linotype" w:cs="Arial"/>
          <w:i/>
          <w:sz w:val="22"/>
          <w:szCs w:val="22"/>
        </w:rPr>
        <w:t xml:space="preserve">El artículo 1, párrafo segundo de la Constitución Política de los Estados Unidos Mexicanos determina que las normas relativas a los derechos humanos se interpretarán de conformidad con la Constitución y con los tratados internacionales de la materia favoreciendo en todo tiempo a las personas la protección más amplia, por su parte el artículo 6, apartado A, fracciones I y II, de dicho ordenamiento establece que toda información en posesión de los sujetos obligados es pública y sólo podrá limitarse de manera justificada por razones de interés público, seguridad nacional, y para proteger la vida privada y datos personales en los términos precisados por las Leyes reglamentarias. Ahora bien, el artículo 92, fracción XXXII de la Ley de Transparencia y Acceso a la Información Pública del Estado de México y Municipios, señala que el nombre de los titulares de las licencias es un dato de carácter público, no obstante, para su aplicación, dicho numeral debe ser interpretado de manera armónica y sistemática con el ordenamiento reglamentario de la materia de transparencia y protección de datos personales, pues la intromisión a los datos personales de particulares únicamente se verá justificada cuando se involucre el aprovechamiento de bienes, servicios y/o recursos públicos en términos de lo dispuesto por los artículos 6, 92, fracción XXXII, 122 y 143, fracción I, de la Ley de Transparencia referida en concordancia con lo establecido por los numerales 6 y 15 de la Ley de Protección de Datos Personales en Posesión de Sujetos Obligados de la entidad. En ese sentido, el nombre de los titulares de licencias constituye un dato personal que debe ser tratado bajo los principios y términos de la ley reglamentaria de la materia, y para su publicidad se requerirá que la expedición de la </w:t>
      </w:r>
      <w:r w:rsidRPr="001653DF">
        <w:rPr>
          <w:rFonts w:ascii="Palatino Linotype" w:eastAsiaTheme="minorEastAsia" w:hAnsi="Palatino Linotype" w:cs="Arial"/>
          <w:i/>
          <w:sz w:val="22"/>
          <w:szCs w:val="22"/>
        </w:rPr>
        <w:lastRenderedPageBreak/>
        <w:t>licencia correspondiente involucre el aprovechamiento de bienes, servicios y/o recursos públicos, caso contrario se deberá clasificar como confidencial.”</w:t>
      </w:r>
    </w:p>
    <w:p w14:paraId="66AE02F3" w14:textId="77777777" w:rsidR="000B4F3E" w:rsidRPr="001653DF" w:rsidRDefault="000B4F3E" w:rsidP="000B4F3E">
      <w:pPr>
        <w:autoSpaceDE w:val="0"/>
        <w:autoSpaceDN w:val="0"/>
        <w:adjustRightInd w:val="0"/>
        <w:spacing w:line="360" w:lineRule="auto"/>
        <w:ind w:left="851" w:right="902"/>
        <w:jc w:val="both"/>
        <w:rPr>
          <w:rFonts w:ascii="Palatino Linotype" w:hAnsi="Palatino Linotype"/>
          <w:i/>
          <w:color w:val="000000"/>
        </w:rPr>
      </w:pPr>
    </w:p>
    <w:p w14:paraId="7E4D03F3" w14:textId="77777777" w:rsidR="000B4F3E" w:rsidRPr="001653DF" w:rsidRDefault="000B4F3E" w:rsidP="000B4F3E">
      <w:pPr>
        <w:pStyle w:val="Prrafodelista"/>
        <w:numPr>
          <w:ilvl w:val="0"/>
          <w:numId w:val="3"/>
        </w:numPr>
        <w:spacing w:line="360" w:lineRule="auto"/>
        <w:ind w:left="0" w:firstLine="0"/>
        <w:jc w:val="both"/>
        <w:rPr>
          <w:rFonts w:ascii="Palatino Linotype" w:eastAsia="Calibri" w:hAnsi="Palatino Linotype" w:cs="Arial"/>
        </w:rPr>
      </w:pPr>
      <w:r w:rsidRPr="001653DF">
        <w:rPr>
          <w:rFonts w:ascii="Palatino Linotype" w:hAnsi="Palatino Linotype"/>
          <w:color w:val="000000"/>
        </w:rPr>
        <w:t xml:space="preserve">Por último, no se soslaya, que en términos del </w:t>
      </w:r>
      <w:r w:rsidRPr="001653DF">
        <w:rPr>
          <w:rFonts w:ascii="Palatino Linotype" w:eastAsia="Calibri" w:hAnsi="Palatino Linotype" w:cs="Arial"/>
        </w:rPr>
        <w:t>artículo 92, fracción XXXII, de la</w:t>
      </w:r>
      <w:r w:rsidRPr="001653DF">
        <w:rPr>
          <w:rFonts w:ascii="Palatino Linotype" w:hAnsi="Palatino Linotype"/>
          <w:color w:val="000000"/>
        </w:rPr>
        <w:t xml:space="preserve"> </w:t>
      </w:r>
      <w:r w:rsidRPr="001653DF">
        <w:rPr>
          <w:rFonts w:ascii="Palatino Linotype" w:eastAsia="Calibri" w:hAnsi="Palatino Linotype" w:cs="Arial"/>
        </w:rPr>
        <w:t>Ley de Transparencia y Acceso a la Información Pública del Estado de México y Municipios</w:t>
      </w:r>
      <w:r w:rsidRPr="001653DF">
        <w:rPr>
          <w:rFonts w:ascii="Palatino Linotype" w:hAnsi="Palatino Linotype"/>
          <w:color w:val="000000"/>
        </w:rPr>
        <w:t xml:space="preserve">, </w:t>
      </w:r>
      <w:r w:rsidRPr="001653DF">
        <w:rPr>
          <w:rFonts w:ascii="Palatino Linotype" w:eastAsia="Calibri" w:hAnsi="Palatino Linotype" w:cs="Arial"/>
        </w:rPr>
        <w:t xml:space="preserve">la información relativa a la licencias, corresponde a las obligaciones de transparencia comunes, </w:t>
      </w:r>
      <w:r w:rsidRPr="001653DF">
        <w:rPr>
          <w:rFonts w:ascii="Palatino Linotype" w:hAnsi="Palatino Linotype"/>
          <w:color w:val="000000"/>
        </w:rPr>
        <w:t xml:space="preserve">que el </w:t>
      </w:r>
      <w:r w:rsidRPr="001653DF">
        <w:rPr>
          <w:rFonts w:ascii="Palatino Linotype" w:hAnsi="Palatino Linotype"/>
          <w:b/>
          <w:color w:val="000000"/>
        </w:rPr>
        <w:t xml:space="preserve">Sujeto Obligado </w:t>
      </w:r>
      <w:r w:rsidRPr="001653DF">
        <w:rPr>
          <w:rFonts w:ascii="Palatino Linotype" w:hAnsi="Palatino Linotype" w:cs="Arial"/>
        </w:rPr>
        <w:t xml:space="preserve">debe </w:t>
      </w:r>
      <w:r w:rsidRPr="001653DF">
        <w:rPr>
          <w:rFonts w:ascii="Palatino Linotype" w:eastAsia="Calibri" w:hAnsi="Palatino Linotype" w:cs="Arial"/>
        </w:rPr>
        <w:t>poner a disposición del público de manera permanente y actualizada de forma sencilla, precisa y entendible, en los respectivos medios electrónicos, de acuerdo con sus facultades, atribuciones, funciones u objeto social, como se lee a continuación:</w:t>
      </w:r>
    </w:p>
    <w:p w14:paraId="6B9D8F0A" w14:textId="77777777" w:rsidR="000B4F3E" w:rsidRPr="001653DF" w:rsidRDefault="000B4F3E" w:rsidP="000B4F3E">
      <w:pPr>
        <w:pStyle w:val="Prrafodelista"/>
        <w:spacing w:line="276" w:lineRule="auto"/>
        <w:ind w:left="0"/>
        <w:jc w:val="both"/>
        <w:rPr>
          <w:rFonts w:ascii="Palatino Linotype" w:eastAsia="Calibri" w:hAnsi="Palatino Linotype" w:cs="Arial"/>
          <w:sz w:val="22"/>
          <w:szCs w:val="22"/>
        </w:rPr>
      </w:pPr>
    </w:p>
    <w:p w14:paraId="168565F3" w14:textId="77777777" w:rsidR="000B4F3E" w:rsidRPr="001653DF" w:rsidRDefault="000B4F3E" w:rsidP="000B4F3E">
      <w:pPr>
        <w:spacing w:after="120" w:line="276" w:lineRule="auto"/>
        <w:ind w:left="851" w:right="902"/>
        <w:jc w:val="both"/>
        <w:rPr>
          <w:rFonts w:ascii="Palatino Linotype" w:hAnsi="Palatino Linotype"/>
          <w:i/>
          <w:sz w:val="22"/>
          <w:szCs w:val="22"/>
        </w:rPr>
      </w:pPr>
      <w:r w:rsidRPr="001653DF">
        <w:rPr>
          <w:rFonts w:ascii="Palatino Linotype" w:hAnsi="Palatino Linotype"/>
          <w:b/>
          <w:i/>
          <w:sz w:val="22"/>
          <w:szCs w:val="22"/>
        </w:rPr>
        <w:t>“Artículo 92.</w:t>
      </w:r>
      <w:r w:rsidRPr="001653DF">
        <w:rPr>
          <w:rFonts w:ascii="Palatino Linotype" w:hAnsi="Palatino Linotype"/>
          <w:i/>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6A4E3BC" w14:textId="77777777" w:rsidR="000B4F3E" w:rsidRPr="001653DF" w:rsidRDefault="000B4F3E" w:rsidP="000B4F3E">
      <w:pPr>
        <w:spacing w:after="120" w:line="276" w:lineRule="auto"/>
        <w:ind w:left="1134" w:right="902"/>
        <w:jc w:val="both"/>
        <w:rPr>
          <w:rFonts w:ascii="Palatino Linotype" w:hAnsi="Palatino Linotype"/>
          <w:i/>
          <w:sz w:val="22"/>
          <w:szCs w:val="22"/>
        </w:rPr>
      </w:pPr>
      <w:r w:rsidRPr="001653DF">
        <w:rPr>
          <w:rFonts w:ascii="Palatino Linotype" w:hAnsi="Palatino Linotype"/>
          <w:i/>
          <w:sz w:val="22"/>
          <w:szCs w:val="22"/>
        </w:rPr>
        <w:t>(…)</w:t>
      </w:r>
    </w:p>
    <w:p w14:paraId="4EC16F93" w14:textId="77777777" w:rsidR="000B4F3E" w:rsidRPr="001653DF" w:rsidRDefault="000B4F3E" w:rsidP="000B4F3E">
      <w:pPr>
        <w:spacing w:line="276" w:lineRule="auto"/>
        <w:ind w:left="1134" w:right="902"/>
        <w:jc w:val="both"/>
        <w:rPr>
          <w:rFonts w:ascii="Palatino Linotype" w:hAnsi="Palatino Linotype"/>
          <w:i/>
          <w:sz w:val="22"/>
          <w:szCs w:val="22"/>
        </w:rPr>
      </w:pPr>
      <w:r w:rsidRPr="001653DF">
        <w:rPr>
          <w:rFonts w:ascii="Palatino Linotype" w:hAnsi="Palatino Linotype"/>
          <w:i/>
          <w:sz w:val="22"/>
          <w:szCs w:val="22"/>
        </w:rPr>
        <w:t>XXXII. 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 …”</w:t>
      </w:r>
    </w:p>
    <w:p w14:paraId="4DDA6483" w14:textId="77777777" w:rsidR="000B4F3E" w:rsidRPr="001653DF" w:rsidRDefault="000B4F3E" w:rsidP="000B4F3E">
      <w:pPr>
        <w:spacing w:line="360" w:lineRule="auto"/>
        <w:ind w:left="1134" w:right="902"/>
        <w:jc w:val="both"/>
        <w:rPr>
          <w:rFonts w:ascii="Palatino Linotype" w:eastAsia="Calibri" w:hAnsi="Palatino Linotype" w:cs="Arial"/>
          <w:i/>
        </w:rPr>
      </w:pPr>
    </w:p>
    <w:p w14:paraId="4335E114" w14:textId="77777777" w:rsidR="000B4F3E" w:rsidRPr="001653DF" w:rsidRDefault="000B4F3E" w:rsidP="000B4F3E">
      <w:pPr>
        <w:spacing w:line="360" w:lineRule="auto"/>
        <w:ind w:right="902"/>
        <w:jc w:val="both"/>
        <w:rPr>
          <w:rFonts w:ascii="Palatino Linotype" w:eastAsia="Calibri" w:hAnsi="Palatino Linotype" w:cs="Arial"/>
          <w:i/>
        </w:rPr>
      </w:pPr>
    </w:p>
    <w:p w14:paraId="692578D8" w14:textId="77777777" w:rsidR="000B4F3E" w:rsidRPr="001653DF" w:rsidRDefault="000B4F3E" w:rsidP="000B4F3E">
      <w:pPr>
        <w:numPr>
          <w:ilvl w:val="0"/>
          <w:numId w:val="3"/>
        </w:numPr>
        <w:spacing w:line="360" w:lineRule="auto"/>
        <w:ind w:left="0" w:right="-599" w:firstLine="0"/>
        <w:jc w:val="both"/>
        <w:rPr>
          <w:rFonts w:ascii="Palatino Linotype" w:hAnsi="Palatino Linotype"/>
          <w:color w:val="000000"/>
        </w:rPr>
      </w:pPr>
      <w:r w:rsidRPr="001653DF">
        <w:rPr>
          <w:rFonts w:ascii="Palatino Linotype" w:eastAsia="Palatino Linotype" w:hAnsi="Palatino Linotype" w:cs="Palatino Linotype"/>
          <w:color w:val="000000"/>
        </w:rPr>
        <w:lastRenderedPageBreak/>
        <w:t>De la normatividad anteriormente mencionada se advierte que el Sujeto Obligado cuenta con atribuciones para emitir los documentos solicitados por el Particular, además de que la información requerida no solo es información pública, sino que también una obligación de transparencia como se muestra a continuación:</w:t>
      </w:r>
    </w:p>
    <w:p w14:paraId="5D99E1EA" w14:textId="77777777" w:rsidR="000B4F3E" w:rsidRPr="001653DF" w:rsidRDefault="000B4F3E" w:rsidP="000B4F3E">
      <w:pPr>
        <w:spacing w:line="360" w:lineRule="auto"/>
        <w:ind w:right="-599"/>
        <w:jc w:val="both"/>
        <w:rPr>
          <w:rFonts w:ascii="Palatino Linotype" w:eastAsia="Palatino Linotype" w:hAnsi="Palatino Linotype" w:cs="Palatino Linotype"/>
        </w:rPr>
      </w:pPr>
    </w:p>
    <w:p w14:paraId="737CB9FA" w14:textId="77777777" w:rsidR="000B4F3E" w:rsidRPr="001653DF" w:rsidRDefault="000B4F3E" w:rsidP="000B4F3E">
      <w:pPr>
        <w:tabs>
          <w:tab w:val="left" w:pos="4962"/>
        </w:tabs>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b/>
          <w:i/>
          <w:sz w:val="22"/>
          <w:szCs w:val="22"/>
        </w:rPr>
        <w:t>Artículo 94</w:t>
      </w:r>
      <w:r w:rsidRPr="001653DF">
        <w:rPr>
          <w:rFonts w:ascii="Palatino Linotype" w:eastAsia="Palatino Linotype" w:hAnsi="Palatino Linotype" w:cs="Palatino Linotype"/>
          <w:i/>
          <w:sz w:val="22"/>
          <w:szCs w:val="22"/>
        </w:rPr>
        <w:t>. Además de las obligaciones de transparencia común a que se refiere el Capítulo II de este Título, los sujetos obligados del Poder Ejecutivo Local y municipales, deberán poner a disposición del público y actualizar la siguiente información:</w:t>
      </w:r>
    </w:p>
    <w:p w14:paraId="12F7A236" w14:textId="77777777" w:rsidR="000B4F3E" w:rsidRPr="001653DF" w:rsidRDefault="000B4F3E" w:rsidP="000B4F3E">
      <w:pPr>
        <w:tabs>
          <w:tab w:val="left" w:pos="4962"/>
        </w:tabs>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t>I. En el caso del Poder Ejecutivo y los Municipios, en el ámbito de su competencia:</w:t>
      </w:r>
    </w:p>
    <w:p w14:paraId="4116A4CB" w14:textId="77777777" w:rsidR="000B4F3E" w:rsidRPr="001653DF" w:rsidRDefault="000B4F3E" w:rsidP="000B4F3E">
      <w:pPr>
        <w:tabs>
          <w:tab w:val="left" w:pos="4962"/>
        </w:tabs>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t>a) a e) …</w:t>
      </w:r>
    </w:p>
    <w:p w14:paraId="1CBCDBE9" w14:textId="77777777" w:rsidR="000B4F3E" w:rsidRPr="001653DF" w:rsidRDefault="000B4F3E" w:rsidP="000B4F3E">
      <w:pPr>
        <w:tabs>
          <w:tab w:val="left" w:pos="4962"/>
        </w:tabs>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t xml:space="preserve">f) La información detallada que contengan los planes de desarrollo urbano, ordenamiento territorial y ecológico, los tipos y usos de suelo, </w:t>
      </w:r>
      <w:r w:rsidRPr="001653DF">
        <w:rPr>
          <w:rFonts w:ascii="Palatino Linotype" w:eastAsia="Palatino Linotype" w:hAnsi="Palatino Linotype" w:cs="Palatino Linotype"/>
          <w:b/>
          <w:i/>
          <w:sz w:val="22"/>
          <w:szCs w:val="22"/>
          <w:u w:val="single"/>
        </w:rPr>
        <w:t>licencias de uso y construcción</w:t>
      </w:r>
      <w:r w:rsidRPr="001653DF">
        <w:rPr>
          <w:rFonts w:ascii="Palatino Linotype" w:eastAsia="Palatino Linotype" w:hAnsi="Palatino Linotype" w:cs="Palatino Linotype"/>
          <w:i/>
          <w:sz w:val="22"/>
          <w:szCs w:val="22"/>
        </w:rPr>
        <w:t xml:space="preserve"> otorgadas por los gobiernos municipales;</w:t>
      </w:r>
    </w:p>
    <w:p w14:paraId="144D3D28" w14:textId="77777777" w:rsidR="000B4F3E" w:rsidRPr="001653DF" w:rsidRDefault="000B4F3E" w:rsidP="000B4F3E">
      <w:pPr>
        <w:tabs>
          <w:tab w:val="left" w:pos="4962"/>
        </w:tabs>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t>g) a k) …</w:t>
      </w:r>
    </w:p>
    <w:p w14:paraId="722FF441" w14:textId="77777777" w:rsidR="000B4F3E" w:rsidRPr="001653DF" w:rsidRDefault="000B4F3E" w:rsidP="000B4F3E">
      <w:pPr>
        <w:tabs>
          <w:tab w:val="left" w:pos="4962"/>
        </w:tabs>
        <w:spacing w:line="276" w:lineRule="auto"/>
        <w:ind w:left="567" w:right="-599"/>
        <w:jc w:val="both"/>
        <w:rPr>
          <w:rFonts w:ascii="Palatino Linotype" w:eastAsia="Palatino Linotype" w:hAnsi="Palatino Linotype" w:cs="Palatino Linotype"/>
          <w:i/>
          <w:sz w:val="22"/>
          <w:szCs w:val="22"/>
        </w:rPr>
      </w:pPr>
      <w:r w:rsidRPr="001653DF">
        <w:rPr>
          <w:rFonts w:ascii="Palatino Linotype" w:eastAsia="Palatino Linotype" w:hAnsi="Palatino Linotype" w:cs="Palatino Linotype"/>
          <w:i/>
          <w:sz w:val="22"/>
          <w:szCs w:val="22"/>
        </w:rPr>
        <w:t>II…</w:t>
      </w:r>
    </w:p>
    <w:p w14:paraId="5210CA15" w14:textId="77777777" w:rsidR="000B4F3E" w:rsidRPr="001653DF" w:rsidRDefault="000B4F3E" w:rsidP="000B4F3E">
      <w:pPr>
        <w:spacing w:line="360" w:lineRule="auto"/>
        <w:ind w:left="1134" w:right="902"/>
        <w:jc w:val="both"/>
        <w:rPr>
          <w:rFonts w:ascii="Palatino Linotype" w:eastAsia="Calibri" w:hAnsi="Palatino Linotype" w:cs="Arial"/>
          <w:i/>
        </w:rPr>
      </w:pPr>
    </w:p>
    <w:p w14:paraId="4F66D5EF" w14:textId="77777777" w:rsidR="002B2F6D" w:rsidRPr="001653DF" w:rsidRDefault="00B17ABB" w:rsidP="00C3303F">
      <w:pPr>
        <w:numPr>
          <w:ilvl w:val="0"/>
          <w:numId w:val="3"/>
        </w:numPr>
        <w:spacing w:line="360" w:lineRule="auto"/>
        <w:ind w:left="0" w:right="-29" w:firstLine="0"/>
        <w:jc w:val="both"/>
        <w:rPr>
          <w:rFonts w:ascii="Palatino Linotype" w:hAnsi="Palatino Linotype"/>
        </w:rPr>
      </w:pPr>
      <w:r w:rsidRPr="001653DF">
        <w:rPr>
          <w:rFonts w:ascii="Palatino Linotype" w:eastAsia="Palatino Linotype" w:hAnsi="Palatino Linotype" w:cs="Palatino Linotype"/>
        </w:rPr>
        <w:t xml:space="preserve">Derivado de lo establecido en párrafos anteriores, si el </w:t>
      </w:r>
      <w:r w:rsidRPr="001653DF">
        <w:rPr>
          <w:rFonts w:ascii="Palatino Linotype" w:eastAsia="Palatino Linotype" w:hAnsi="Palatino Linotype" w:cs="Palatino Linotype"/>
          <w:b/>
        </w:rPr>
        <w:t>SUJETO OBLIGADO</w:t>
      </w:r>
      <w:r w:rsidRPr="001653DF">
        <w:rPr>
          <w:rFonts w:ascii="Palatino Linotype" w:eastAsia="Palatino Linotype" w:hAnsi="Palatino Linotype" w:cs="Palatino Linotype"/>
        </w:rPr>
        <w:t xml:space="preserve"> incumple con estas formalidades y entrega la información sin proteger los datos personales o testando datos considerados como públicos incumple con lo que estipulan las disposiciones legales establecidas, asimismo que si entrega un documento testado sin el debido acuerdo de clasificación.</w:t>
      </w:r>
    </w:p>
    <w:p w14:paraId="372A175A" w14:textId="77777777" w:rsidR="002B2F6D" w:rsidRPr="001653DF" w:rsidRDefault="002B2F6D">
      <w:pPr>
        <w:spacing w:line="360" w:lineRule="auto"/>
        <w:ind w:right="-599"/>
        <w:jc w:val="both"/>
        <w:rPr>
          <w:rFonts w:ascii="Palatino Linotype" w:eastAsia="Palatino Linotype" w:hAnsi="Palatino Linotype" w:cs="Palatino Linotype"/>
        </w:rPr>
      </w:pPr>
    </w:p>
    <w:p w14:paraId="64CEB641" w14:textId="77777777" w:rsidR="002B2F6D" w:rsidRPr="001653DF" w:rsidRDefault="00B17ABB" w:rsidP="00C3303F">
      <w:pPr>
        <w:numPr>
          <w:ilvl w:val="0"/>
          <w:numId w:val="3"/>
        </w:numPr>
        <w:spacing w:line="360" w:lineRule="auto"/>
        <w:ind w:left="0" w:right="113" w:firstLine="0"/>
        <w:jc w:val="both"/>
        <w:rPr>
          <w:rFonts w:ascii="Palatino Linotype" w:hAnsi="Palatino Linotype"/>
        </w:rPr>
      </w:pPr>
      <w:r w:rsidRPr="001653DF">
        <w:rPr>
          <w:rFonts w:ascii="Palatino Linotype" w:eastAsia="Palatino Linotype" w:hAnsi="Palatino Linotype" w:cs="Palatino Linotype"/>
        </w:rPr>
        <w:t>Por todo lo anteriormente expuesto, se consideran fundadas las razones o motivos de inconformidad que plantea el</w:t>
      </w:r>
      <w:r w:rsidRPr="001653DF">
        <w:rPr>
          <w:rFonts w:ascii="Palatino Linotype" w:eastAsia="Palatino Linotype" w:hAnsi="Palatino Linotype" w:cs="Palatino Linotype"/>
          <w:b/>
        </w:rPr>
        <w:t xml:space="preserve"> RECURRENTE</w:t>
      </w:r>
      <w:r w:rsidRPr="001653DF">
        <w:rPr>
          <w:rFonts w:ascii="Palatino Linotype" w:eastAsia="Palatino Linotype" w:hAnsi="Palatino Linotype" w:cs="Palatino Linotype"/>
        </w:rPr>
        <w:t xml:space="preserve">, con fundamento </w:t>
      </w:r>
      <w:r w:rsidRPr="001653DF">
        <w:rPr>
          <w:rFonts w:ascii="Palatino Linotype" w:eastAsia="Palatino Linotype" w:hAnsi="Palatino Linotype" w:cs="Palatino Linotype"/>
          <w:color w:val="000000"/>
        </w:rPr>
        <w:t xml:space="preserve">en el </w:t>
      </w:r>
      <w:r w:rsidRPr="001653DF">
        <w:rPr>
          <w:rFonts w:ascii="Palatino Linotype" w:eastAsia="Palatino Linotype" w:hAnsi="Palatino Linotype" w:cs="Palatino Linotype"/>
          <w:color w:val="000000"/>
        </w:rPr>
        <w:lastRenderedPageBreak/>
        <w:t xml:space="preserve">artículo 186, fracciones III, de la Ley de Transparencia y Acceso a la Información Pública del Estado de </w:t>
      </w:r>
      <w:r w:rsidRPr="001653DF">
        <w:rPr>
          <w:rFonts w:ascii="Palatino Linotype" w:eastAsia="Palatino Linotype" w:hAnsi="Palatino Linotype" w:cs="Palatino Linotype"/>
        </w:rPr>
        <w:t>México</w:t>
      </w:r>
      <w:r w:rsidRPr="001653DF">
        <w:rPr>
          <w:rFonts w:ascii="Palatino Linotype" w:eastAsia="Palatino Linotype" w:hAnsi="Palatino Linotype" w:cs="Palatino Linotype"/>
          <w:color w:val="000000"/>
        </w:rPr>
        <w:t xml:space="preserve"> y Municipios, este Instituto considera procedente </w:t>
      </w:r>
      <w:r w:rsidRPr="001653DF">
        <w:rPr>
          <w:rFonts w:ascii="Palatino Linotype" w:eastAsia="Palatino Linotype" w:hAnsi="Palatino Linotype" w:cs="Palatino Linotype"/>
          <w:b/>
          <w:color w:val="000000"/>
        </w:rPr>
        <w:t>REVOCAR</w:t>
      </w:r>
      <w:r w:rsidRPr="001653DF">
        <w:rPr>
          <w:rFonts w:ascii="Palatino Linotype" w:eastAsia="Palatino Linotype" w:hAnsi="Palatino Linotype" w:cs="Palatino Linotype"/>
          <w:color w:val="000000"/>
        </w:rPr>
        <w:t xml:space="preserve"> la respuesta otorgada por el </w:t>
      </w:r>
      <w:r w:rsidRPr="001653DF">
        <w:rPr>
          <w:rFonts w:ascii="Palatino Linotype" w:eastAsia="Palatino Linotype" w:hAnsi="Palatino Linotype" w:cs="Palatino Linotype"/>
          <w:b/>
          <w:color w:val="000000"/>
        </w:rPr>
        <w:t>SUJETO OBLIGADO</w:t>
      </w:r>
      <w:r w:rsidRPr="001653DF">
        <w:rPr>
          <w:rFonts w:ascii="Palatino Linotype" w:eastAsia="Palatino Linotype" w:hAnsi="Palatino Linotype" w:cs="Palatino Linotype"/>
          <w:color w:val="000000"/>
        </w:rPr>
        <w:t>, a</w:t>
      </w:r>
      <w:r w:rsidRPr="001653DF">
        <w:rPr>
          <w:rFonts w:ascii="Palatino Linotype" w:eastAsia="Palatino Linotype" w:hAnsi="Palatino Linotype" w:cs="Palatino Linotype"/>
        </w:rPr>
        <w:t xml:space="preserve"> la solicitud de acceso a la información</w:t>
      </w:r>
      <w:r w:rsidRPr="001653DF">
        <w:rPr>
          <w:rFonts w:ascii="Palatino Linotype" w:eastAsia="Palatino Linotype" w:hAnsi="Palatino Linotype" w:cs="Palatino Linotype"/>
          <w:b/>
        </w:rPr>
        <w:t xml:space="preserve"> 00467/NAUCALPA/IP/2024 </w:t>
      </w:r>
      <w:r w:rsidRPr="001653DF">
        <w:rPr>
          <w:rFonts w:ascii="Palatino Linotype" w:eastAsia="Palatino Linotype" w:hAnsi="Palatino Linotype" w:cs="Palatino Linotype"/>
          <w:color w:val="000000"/>
        </w:rPr>
        <w:t>objeto del presente análisis; por lo que este Órgano Garante:</w:t>
      </w:r>
    </w:p>
    <w:p w14:paraId="6932BE4B" w14:textId="77777777" w:rsidR="002B2F6D" w:rsidRPr="001653DF" w:rsidRDefault="002B2F6D">
      <w:pPr>
        <w:spacing w:line="360" w:lineRule="auto"/>
        <w:ind w:right="-599"/>
        <w:jc w:val="both"/>
        <w:rPr>
          <w:rFonts w:ascii="Palatino Linotype" w:eastAsia="Palatino Linotype" w:hAnsi="Palatino Linotype" w:cs="Palatino Linotype"/>
        </w:rPr>
      </w:pPr>
    </w:p>
    <w:p w14:paraId="5ABB258D" w14:textId="77777777" w:rsidR="002B2F6D" w:rsidRPr="001653DF" w:rsidRDefault="00B17ABB">
      <w:pPr>
        <w:spacing w:line="360" w:lineRule="auto"/>
        <w:ind w:right="-599"/>
        <w:jc w:val="center"/>
        <w:rPr>
          <w:rFonts w:ascii="Palatino Linotype" w:eastAsia="Palatino Linotype" w:hAnsi="Palatino Linotype" w:cs="Palatino Linotype"/>
          <w:b/>
        </w:rPr>
      </w:pPr>
      <w:r w:rsidRPr="001653DF">
        <w:rPr>
          <w:rFonts w:ascii="Palatino Linotype" w:eastAsia="Palatino Linotype" w:hAnsi="Palatino Linotype" w:cs="Palatino Linotype"/>
          <w:b/>
        </w:rPr>
        <w:t>R E S U E L V E</w:t>
      </w:r>
    </w:p>
    <w:p w14:paraId="589C780D" w14:textId="77777777" w:rsidR="002B2F6D" w:rsidRPr="001653DF" w:rsidRDefault="002B2F6D">
      <w:pPr>
        <w:spacing w:line="360" w:lineRule="auto"/>
        <w:ind w:right="-599"/>
        <w:jc w:val="center"/>
        <w:rPr>
          <w:rFonts w:ascii="Palatino Linotype" w:eastAsia="Palatino Linotype" w:hAnsi="Palatino Linotype" w:cs="Palatino Linotype"/>
          <w:b/>
        </w:rPr>
      </w:pPr>
    </w:p>
    <w:p w14:paraId="05B65ECC" w14:textId="77777777" w:rsidR="002B2F6D" w:rsidRPr="001653DF" w:rsidRDefault="00B17ABB" w:rsidP="00C3303F">
      <w:pPr>
        <w:spacing w:line="360" w:lineRule="auto"/>
        <w:ind w:right="113"/>
        <w:jc w:val="both"/>
        <w:rPr>
          <w:rFonts w:ascii="Palatino Linotype" w:eastAsia="Palatino Linotype" w:hAnsi="Palatino Linotype" w:cs="Palatino Linotype"/>
        </w:rPr>
      </w:pPr>
      <w:r w:rsidRPr="001653DF">
        <w:rPr>
          <w:rFonts w:ascii="Palatino Linotype" w:eastAsia="Palatino Linotype" w:hAnsi="Palatino Linotype" w:cs="Palatino Linotype"/>
          <w:b/>
        </w:rPr>
        <w:t xml:space="preserve">PRIMERO. </w:t>
      </w:r>
      <w:r w:rsidRPr="001653DF">
        <w:rPr>
          <w:rFonts w:ascii="Palatino Linotype" w:eastAsia="Palatino Linotype" w:hAnsi="Palatino Linotype" w:cs="Palatino Linotype"/>
        </w:rPr>
        <w:t xml:space="preserve">Se </w:t>
      </w:r>
      <w:r w:rsidRPr="001653DF">
        <w:rPr>
          <w:rFonts w:ascii="Palatino Linotype" w:eastAsia="Palatino Linotype" w:hAnsi="Palatino Linotype" w:cs="Palatino Linotype"/>
          <w:b/>
        </w:rPr>
        <w:t>REVOCA</w:t>
      </w:r>
      <w:r w:rsidRPr="001653DF">
        <w:rPr>
          <w:rFonts w:ascii="Palatino Linotype" w:eastAsia="Palatino Linotype" w:hAnsi="Palatino Linotype" w:cs="Palatino Linotype"/>
        </w:rPr>
        <w:t xml:space="preserve"> la respuesta entregada por el </w:t>
      </w:r>
      <w:r w:rsidRPr="001653DF">
        <w:rPr>
          <w:rFonts w:ascii="Palatino Linotype" w:eastAsia="Palatino Linotype" w:hAnsi="Palatino Linotype" w:cs="Palatino Linotype"/>
          <w:b/>
        </w:rPr>
        <w:t xml:space="preserve">Ayuntamiento de Naucalpan de Juárez </w:t>
      </w:r>
      <w:r w:rsidRPr="001653DF">
        <w:rPr>
          <w:rFonts w:ascii="Palatino Linotype" w:eastAsia="Palatino Linotype" w:hAnsi="Palatino Linotype" w:cs="Palatino Linotype"/>
        </w:rPr>
        <w:t xml:space="preserve">a la solicitud de información </w:t>
      </w:r>
      <w:r w:rsidRPr="001653DF">
        <w:rPr>
          <w:rFonts w:ascii="Palatino Linotype" w:eastAsia="Palatino Linotype" w:hAnsi="Palatino Linotype" w:cs="Palatino Linotype"/>
          <w:b/>
        </w:rPr>
        <w:t xml:space="preserve">00467/NAUCALPA/IP/2024 </w:t>
      </w:r>
      <w:r w:rsidRPr="001653DF">
        <w:rPr>
          <w:rFonts w:ascii="Palatino Linotype" w:eastAsia="Palatino Linotype" w:hAnsi="Palatino Linotype" w:cs="Palatino Linotype"/>
        </w:rPr>
        <w:t xml:space="preserve">por resultar </w:t>
      </w:r>
      <w:r w:rsidRPr="001653DF">
        <w:rPr>
          <w:rFonts w:ascii="Palatino Linotype" w:eastAsia="Palatino Linotype" w:hAnsi="Palatino Linotype" w:cs="Palatino Linotype"/>
          <w:b/>
        </w:rPr>
        <w:t>FUNDADAS</w:t>
      </w:r>
      <w:r w:rsidRPr="001653DF">
        <w:rPr>
          <w:rFonts w:ascii="Palatino Linotype" w:eastAsia="Palatino Linotype" w:hAnsi="Palatino Linotype" w:cs="Palatino Linotype"/>
        </w:rPr>
        <w:t xml:space="preserve"> las razones o motivos de inconformidad hechos valer por el Recurrente en el Recurso de Revisión </w:t>
      </w:r>
      <w:r w:rsidRPr="001653DF">
        <w:rPr>
          <w:rFonts w:ascii="Palatino Linotype" w:eastAsia="Palatino Linotype" w:hAnsi="Palatino Linotype" w:cs="Palatino Linotype"/>
          <w:b/>
          <w:color w:val="0D0D0D"/>
        </w:rPr>
        <w:t>04488/INFOEM/IP/RR/2024</w:t>
      </w:r>
      <w:r w:rsidRPr="001653DF">
        <w:rPr>
          <w:rFonts w:ascii="Palatino Linotype" w:eastAsia="Palatino Linotype" w:hAnsi="Palatino Linotype" w:cs="Palatino Linotype"/>
        </w:rPr>
        <w:t xml:space="preserve">, en términos del considerando </w:t>
      </w:r>
      <w:r w:rsidRPr="001653DF">
        <w:rPr>
          <w:rFonts w:ascii="Palatino Linotype" w:eastAsia="Palatino Linotype" w:hAnsi="Palatino Linotype" w:cs="Palatino Linotype"/>
          <w:b/>
        </w:rPr>
        <w:t xml:space="preserve">CUARTO </w:t>
      </w:r>
      <w:r w:rsidRPr="001653DF">
        <w:rPr>
          <w:rFonts w:ascii="Palatino Linotype" w:eastAsia="Palatino Linotype" w:hAnsi="Palatino Linotype" w:cs="Palatino Linotype"/>
        </w:rPr>
        <w:t>de la presente Resolución.</w:t>
      </w:r>
    </w:p>
    <w:p w14:paraId="405F63F1" w14:textId="77777777" w:rsidR="002B2F6D" w:rsidRPr="001653DF" w:rsidRDefault="002B2F6D">
      <w:pPr>
        <w:spacing w:line="360" w:lineRule="auto"/>
        <w:ind w:right="-599"/>
        <w:jc w:val="both"/>
        <w:rPr>
          <w:rFonts w:ascii="Palatino Linotype" w:eastAsia="Palatino Linotype" w:hAnsi="Palatino Linotype" w:cs="Palatino Linotype"/>
        </w:rPr>
      </w:pPr>
    </w:p>
    <w:p w14:paraId="2689F85B" w14:textId="77777777" w:rsidR="002B2F6D" w:rsidRPr="001653DF" w:rsidRDefault="00B17ABB" w:rsidP="00C3303F">
      <w:pPr>
        <w:tabs>
          <w:tab w:val="left" w:pos="4962"/>
        </w:tabs>
        <w:spacing w:line="360" w:lineRule="auto"/>
        <w:ind w:right="-29"/>
        <w:jc w:val="both"/>
        <w:rPr>
          <w:rFonts w:ascii="Palatino Linotype" w:eastAsia="Palatino Linotype" w:hAnsi="Palatino Linotype" w:cs="Palatino Linotype"/>
        </w:rPr>
      </w:pPr>
      <w:r w:rsidRPr="001653DF">
        <w:rPr>
          <w:rFonts w:ascii="Palatino Linotype" w:eastAsia="Palatino Linotype" w:hAnsi="Palatino Linotype" w:cs="Palatino Linotype"/>
          <w:b/>
        </w:rPr>
        <w:t xml:space="preserve">SEGUNDO. </w:t>
      </w:r>
      <w:r w:rsidRPr="001653DF">
        <w:rPr>
          <w:rFonts w:ascii="Palatino Linotype" w:eastAsia="Palatino Linotype" w:hAnsi="Palatino Linotype" w:cs="Palatino Linotype"/>
        </w:rPr>
        <w:t xml:space="preserve">Se </w:t>
      </w:r>
      <w:r w:rsidRPr="001653DF">
        <w:rPr>
          <w:rFonts w:ascii="Palatino Linotype" w:eastAsia="Palatino Linotype" w:hAnsi="Palatino Linotype" w:cs="Palatino Linotype"/>
          <w:b/>
        </w:rPr>
        <w:t xml:space="preserve">ORDENA </w:t>
      </w:r>
      <w:r w:rsidRPr="001653DF">
        <w:rPr>
          <w:rFonts w:ascii="Palatino Linotype" w:eastAsia="Palatino Linotype" w:hAnsi="Palatino Linotype" w:cs="Palatino Linotype"/>
        </w:rPr>
        <w:t xml:space="preserve">al </w:t>
      </w:r>
      <w:r w:rsidRPr="001653DF">
        <w:rPr>
          <w:rFonts w:ascii="Palatino Linotype" w:eastAsia="Palatino Linotype" w:hAnsi="Palatino Linotype" w:cs="Palatino Linotype"/>
          <w:b/>
        </w:rPr>
        <w:t>Ayuntamiento de Naucalpan de Juárez</w:t>
      </w:r>
      <w:r w:rsidRPr="001653DF">
        <w:rPr>
          <w:rFonts w:ascii="Palatino Linotype" w:eastAsia="Palatino Linotype" w:hAnsi="Palatino Linotype" w:cs="Palatino Linotype"/>
        </w:rPr>
        <w:t>, a efecto de que, previa búsqueda exhaustiva y razonable en los archivos de sus áreas competentes, remita a través del Sistema de Acceso a la Información Mexiquense (SAIMEX) en versión pública, los documentos donde conste, lo siguiente:</w:t>
      </w:r>
    </w:p>
    <w:p w14:paraId="160992CD" w14:textId="77777777" w:rsidR="002B2F6D" w:rsidRPr="001653DF" w:rsidRDefault="002B2F6D">
      <w:pPr>
        <w:tabs>
          <w:tab w:val="left" w:pos="4962"/>
        </w:tabs>
        <w:spacing w:line="360" w:lineRule="auto"/>
        <w:ind w:right="-599"/>
        <w:jc w:val="both"/>
        <w:rPr>
          <w:rFonts w:ascii="Palatino Linotype" w:eastAsia="Palatino Linotype" w:hAnsi="Palatino Linotype" w:cs="Palatino Linotype"/>
        </w:rPr>
      </w:pPr>
    </w:p>
    <w:p w14:paraId="085190DA" w14:textId="77777777" w:rsidR="002B2F6D" w:rsidRPr="001653DF" w:rsidRDefault="00B17ABB" w:rsidP="00C3303F">
      <w:pPr>
        <w:numPr>
          <w:ilvl w:val="0"/>
          <w:numId w:val="8"/>
        </w:numPr>
        <w:pBdr>
          <w:top w:val="nil"/>
          <w:left w:val="nil"/>
          <w:bottom w:val="nil"/>
          <w:right w:val="nil"/>
          <w:between w:val="nil"/>
        </w:pBdr>
        <w:spacing w:line="360" w:lineRule="auto"/>
        <w:ind w:right="113"/>
        <w:jc w:val="both"/>
        <w:rPr>
          <w:rFonts w:ascii="Palatino Linotype" w:eastAsia="Palatino Linotype" w:hAnsi="Palatino Linotype" w:cs="Palatino Linotype"/>
          <w:color w:val="000000"/>
        </w:rPr>
      </w:pPr>
      <w:r w:rsidRPr="001653DF">
        <w:rPr>
          <w:rFonts w:ascii="Palatino Linotype" w:eastAsia="Palatino Linotype" w:hAnsi="Palatino Linotype" w:cs="Palatino Linotype"/>
          <w:b/>
          <w:color w:val="000000"/>
        </w:rPr>
        <w:t xml:space="preserve">Los permisos, concesiones y licencias </w:t>
      </w:r>
      <w:r w:rsidRPr="001653DF">
        <w:rPr>
          <w:rFonts w:ascii="Palatino Linotype" w:eastAsia="Palatino Linotype" w:hAnsi="Palatino Linotype" w:cs="Palatino Linotype"/>
          <w:b/>
        </w:rPr>
        <w:t xml:space="preserve">emitidas para la construcción </w:t>
      </w:r>
      <w:r w:rsidRPr="001653DF">
        <w:rPr>
          <w:rFonts w:ascii="Palatino Linotype" w:eastAsia="Palatino Linotype" w:hAnsi="Palatino Linotype" w:cs="Palatino Linotype"/>
          <w:b/>
          <w:color w:val="000000"/>
        </w:rPr>
        <w:t xml:space="preserve">del proyecto de Conjunto Urbano de Tipo Mixto llamado "Terralago" ubicado en </w:t>
      </w:r>
      <w:r w:rsidRPr="001653DF">
        <w:rPr>
          <w:rFonts w:ascii="Palatino Linotype" w:eastAsia="Palatino Linotype" w:hAnsi="Palatino Linotype" w:cs="Palatino Linotype"/>
          <w:b/>
          <w:color w:val="000000"/>
        </w:rPr>
        <w:lastRenderedPageBreak/>
        <w:t>vía Doctor Jorge Jiménez Cantú 931, Lote 20, vía Doctor Jorge Jiménez Cantú 75, Lote XVIII Fraccionamiento Lomas Verdes (Centro Cívico), Municipio de Naucalpan de Juárez, Estado de México</w:t>
      </w:r>
      <w:r w:rsidRPr="001653DF">
        <w:rPr>
          <w:rFonts w:ascii="Palatino Linotype" w:eastAsia="Palatino Linotype" w:hAnsi="Palatino Linotype" w:cs="Palatino Linotype"/>
          <w:color w:val="000000"/>
        </w:rPr>
        <w:t>.</w:t>
      </w:r>
    </w:p>
    <w:p w14:paraId="3C2EAE86" w14:textId="77777777" w:rsidR="002B2F6D" w:rsidRPr="001653DF" w:rsidRDefault="002B2F6D">
      <w:pPr>
        <w:pBdr>
          <w:top w:val="nil"/>
          <w:left w:val="nil"/>
          <w:bottom w:val="nil"/>
          <w:right w:val="nil"/>
          <w:between w:val="nil"/>
        </w:pBdr>
        <w:spacing w:line="360" w:lineRule="auto"/>
        <w:ind w:left="720" w:right="-599"/>
        <w:jc w:val="both"/>
        <w:rPr>
          <w:rFonts w:ascii="Palatino Linotype" w:eastAsia="Palatino Linotype" w:hAnsi="Palatino Linotype" w:cs="Palatino Linotype"/>
          <w:color w:val="000000"/>
        </w:rPr>
      </w:pPr>
    </w:p>
    <w:p w14:paraId="65EA0E6A" w14:textId="77777777" w:rsidR="002B2F6D" w:rsidRPr="001653DF" w:rsidRDefault="00B17ABB" w:rsidP="00C3303F">
      <w:pPr>
        <w:tabs>
          <w:tab w:val="left" w:pos="8080"/>
        </w:tabs>
        <w:spacing w:line="360" w:lineRule="auto"/>
        <w:ind w:right="-29"/>
        <w:jc w:val="both"/>
        <w:rPr>
          <w:rFonts w:ascii="Palatino Linotype" w:eastAsia="Palatino Linotype" w:hAnsi="Palatino Linotype" w:cs="Palatino Linotype"/>
          <w:sz w:val="26"/>
          <w:szCs w:val="26"/>
        </w:rPr>
      </w:pPr>
      <w:r w:rsidRPr="001653DF">
        <w:rPr>
          <w:rFonts w:ascii="Palatino Linotype" w:eastAsia="Palatino Linotype" w:hAnsi="Palatino Linotype" w:cs="Palatino Linotype"/>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Pr="001653DF">
        <w:rPr>
          <w:rFonts w:ascii="Palatino Linotype" w:eastAsia="Palatino Linotype" w:hAnsi="Palatino Linotype" w:cs="Palatino Linotype"/>
          <w:b/>
        </w:rPr>
        <w:t>RECURRENTE.</w:t>
      </w:r>
    </w:p>
    <w:p w14:paraId="5F37DA23" w14:textId="77777777" w:rsidR="002B2F6D" w:rsidRPr="001653DF" w:rsidRDefault="002B2F6D">
      <w:pPr>
        <w:spacing w:line="360" w:lineRule="auto"/>
        <w:ind w:right="-599"/>
        <w:jc w:val="both"/>
        <w:rPr>
          <w:rFonts w:ascii="Palatino Linotype" w:eastAsia="Palatino Linotype" w:hAnsi="Palatino Linotype" w:cs="Palatino Linotype"/>
        </w:rPr>
      </w:pPr>
    </w:p>
    <w:p w14:paraId="7CB8648D" w14:textId="77777777" w:rsidR="002B2F6D" w:rsidRPr="001653DF" w:rsidRDefault="00B17ABB" w:rsidP="00C3303F">
      <w:pPr>
        <w:spacing w:line="360" w:lineRule="auto"/>
        <w:ind w:right="-29"/>
        <w:jc w:val="both"/>
        <w:rPr>
          <w:rFonts w:ascii="Palatino Linotype" w:eastAsia="Palatino Linotype" w:hAnsi="Palatino Linotype" w:cs="Palatino Linotype"/>
        </w:rPr>
      </w:pPr>
      <w:r w:rsidRPr="001653DF">
        <w:rPr>
          <w:rFonts w:ascii="Palatino Linotype" w:eastAsia="Palatino Linotype" w:hAnsi="Palatino Linotype" w:cs="Palatino Linotype"/>
          <w:b/>
        </w:rPr>
        <w:t xml:space="preserve">TERCERO. Notifíquese </w:t>
      </w:r>
      <w:r w:rsidRPr="001653DF">
        <w:rPr>
          <w:rFonts w:ascii="Palatino Linotype" w:eastAsia="Palatino Linotype" w:hAnsi="Palatino Linotype" w:cs="Palatino Linotype"/>
        </w:rPr>
        <w:t>la presente resolución al Titular de la Unidad de Transparencia del Sujeto Obligado, vía SAIMEX,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0F57481" w14:textId="659BE52E" w:rsidR="002B2F6D" w:rsidRPr="001653DF" w:rsidRDefault="00B17ABB" w:rsidP="00C3303F">
      <w:pPr>
        <w:spacing w:line="360" w:lineRule="auto"/>
        <w:ind w:right="-29"/>
        <w:jc w:val="both"/>
        <w:rPr>
          <w:rFonts w:ascii="Palatino Linotype" w:eastAsia="Palatino Linotype" w:hAnsi="Palatino Linotype" w:cs="Palatino Linotype"/>
        </w:rPr>
      </w:pPr>
      <w:r w:rsidRPr="001653DF">
        <w:rPr>
          <w:rFonts w:ascii="Palatino Linotype" w:eastAsia="Palatino Linotype" w:hAnsi="Palatino Linotype" w:cs="Palatino Linotype"/>
          <w:b/>
        </w:rPr>
        <w:lastRenderedPageBreak/>
        <w:t xml:space="preserve">CUARTO. </w:t>
      </w:r>
      <w:r w:rsidRPr="001653DF">
        <w:rPr>
          <w:rFonts w:ascii="Palatino Linotype" w:eastAsia="Palatino Linotype" w:hAnsi="Palatino Linotype" w:cs="Palatino Linotype"/>
        </w:rPr>
        <w:t>De conformidad con el artículo 198</w:t>
      </w:r>
      <w:r w:rsidR="006A53FD" w:rsidRPr="001653DF">
        <w:rPr>
          <w:rFonts w:ascii="Palatino Linotype" w:eastAsia="Palatino Linotype" w:hAnsi="Palatino Linotype" w:cs="Palatino Linotype"/>
        </w:rPr>
        <w:t>,</w:t>
      </w:r>
      <w:r w:rsidRPr="001653DF">
        <w:rPr>
          <w:rFonts w:ascii="Palatino Linotype" w:eastAsia="Palatino Linotype" w:hAnsi="Palatino Linotype" w:cs="Palatino Linotype"/>
        </w:rPr>
        <w:t xml:space="preserve"> de la Ley de Transparencia y Acceso a la Información Pública del Estado de México y Municipios, de considerarlo procedente, el </w:t>
      </w:r>
      <w:r w:rsidRPr="001653DF">
        <w:rPr>
          <w:rFonts w:ascii="Palatino Linotype" w:eastAsia="Palatino Linotype" w:hAnsi="Palatino Linotype" w:cs="Palatino Linotype"/>
          <w:b/>
        </w:rPr>
        <w:t>Sujeto Obligado</w:t>
      </w:r>
      <w:r w:rsidRPr="001653DF">
        <w:rPr>
          <w:rFonts w:ascii="Palatino Linotype" w:eastAsia="Palatino Linotype" w:hAnsi="Palatino Linotype" w:cs="Palatino Linotype"/>
        </w:rPr>
        <w:t xml:space="preserve"> de manera fundada y motivada, podrá solicitar una ampliación de plazo para el cumplimiento de la presente Resolución.</w:t>
      </w:r>
    </w:p>
    <w:p w14:paraId="5383369A" w14:textId="77777777" w:rsidR="002B2F6D" w:rsidRPr="001653DF" w:rsidRDefault="002B2F6D">
      <w:pPr>
        <w:spacing w:line="360" w:lineRule="auto"/>
        <w:ind w:right="-599"/>
        <w:jc w:val="both"/>
        <w:rPr>
          <w:rFonts w:ascii="Palatino Linotype" w:eastAsia="Palatino Linotype" w:hAnsi="Palatino Linotype" w:cs="Palatino Linotype"/>
          <w:sz w:val="16"/>
        </w:rPr>
      </w:pPr>
    </w:p>
    <w:p w14:paraId="6BD2A58F" w14:textId="77777777" w:rsidR="002B2F6D" w:rsidRPr="001653DF" w:rsidRDefault="00B17ABB">
      <w:pPr>
        <w:tabs>
          <w:tab w:val="left" w:pos="8080"/>
        </w:tabs>
        <w:spacing w:line="360" w:lineRule="auto"/>
        <w:ind w:right="-599"/>
        <w:jc w:val="both"/>
        <w:rPr>
          <w:rFonts w:ascii="Palatino Linotype" w:eastAsia="Palatino Linotype" w:hAnsi="Palatino Linotype" w:cs="Palatino Linotype"/>
        </w:rPr>
      </w:pPr>
      <w:bookmarkStart w:id="8" w:name="_heading=h.44sinio" w:colFirst="0" w:colLast="0"/>
      <w:bookmarkEnd w:id="8"/>
      <w:r w:rsidRPr="001653DF">
        <w:rPr>
          <w:rFonts w:ascii="Palatino Linotype" w:eastAsia="Palatino Linotype" w:hAnsi="Palatino Linotype" w:cs="Palatino Linotype"/>
          <w:b/>
        </w:rPr>
        <w:t xml:space="preserve">QUINTO. </w:t>
      </w:r>
      <w:r w:rsidRPr="001653DF">
        <w:rPr>
          <w:rFonts w:ascii="Palatino Linotype" w:eastAsia="Palatino Linotype" w:hAnsi="Palatino Linotype" w:cs="Palatino Linotype"/>
        </w:rPr>
        <w:t xml:space="preserve">Notifíquese al </w:t>
      </w:r>
      <w:r w:rsidRPr="001653DF">
        <w:rPr>
          <w:rFonts w:ascii="Palatino Linotype" w:eastAsia="Palatino Linotype" w:hAnsi="Palatino Linotype" w:cs="Palatino Linotype"/>
          <w:b/>
        </w:rPr>
        <w:t>Recurrente</w:t>
      </w:r>
      <w:r w:rsidRPr="001653DF">
        <w:rPr>
          <w:rFonts w:ascii="Palatino Linotype" w:eastAsia="Palatino Linotype" w:hAnsi="Palatino Linotype" w:cs="Palatino Linotype"/>
        </w:rPr>
        <w:t xml:space="preserve"> la presente Resolución, vía </w:t>
      </w:r>
      <w:r w:rsidRPr="001653DF">
        <w:rPr>
          <w:rFonts w:ascii="Palatino Linotype" w:eastAsia="Palatino Linotype" w:hAnsi="Palatino Linotype" w:cs="Palatino Linotype"/>
          <w:b/>
        </w:rPr>
        <w:t>SAIMEX</w:t>
      </w:r>
      <w:r w:rsidRPr="001653DF">
        <w:rPr>
          <w:rFonts w:ascii="Palatino Linotype" w:eastAsia="Palatino Linotype" w:hAnsi="Palatino Linotype" w:cs="Palatino Linotype"/>
        </w:rPr>
        <w:t>.</w:t>
      </w:r>
    </w:p>
    <w:p w14:paraId="0B264335" w14:textId="77777777" w:rsidR="002B2F6D" w:rsidRPr="001653DF" w:rsidRDefault="002B2F6D">
      <w:pPr>
        <w:tabs>
          <w:tab w:val="left" w:pos="8080"/>
        </w:tabs>
        <w:spacing w:line="360" w:lineRule="auto"/>
        <w:ind w:right="-599"/>
        <w:jc w:val="both"/>
        <w:rPr>
          <w:rFonts w:ascii="Palatino Linotype" w:eastAsia="Palatino Linotype" w:hAnsi="Palatino Linotype" w:cs="Palatino Linotype"/>
          <w:sz w:val="18"/>
        </w:rPr>
      </w:pPr>
    </w:p>
    <w:p w14:paraId="55ECFD3A" w14:textId="77777777" w:rsidR="002B2F6D" w:rsidRPr="001653DF" w:rsidRDefault="00B17ABB" w:rsidP="00C3303F">
      <w:pPr>
        <w:widowControl w:val="0"/>
        <w:tabs>
          <w:tab w:val="left" w:pos="1701"/>
        </w:tabs>
        <w:spacing w:line="360" w:lineRule="auto"/>
        <w:ind w:right="-29"/>
        <w:jc w:val="both"/>
        <w:rPr>
          <w:rFonts w:ascii="Palatino Linotype" w:eastAsia="Palatino Linotype" w:hAnsi="Palatino Linotype" w:cs="Palatino Linotype"/>
          <w:color w:val="000000"/>
        </w:rPr>
      </w:pPr>
      <w:r w:rsidRPr="001653DF">
        <w:rPr>
          <w:rFonts w:ascii="Palatino Linotype" w:eastAsia="Palatino Linotype" w:hAnsi="Palatino Linotype" w:cs="Palatino Linotype"/>
          <w:b/>
          <w:color w:val="000000"/>
        </w:rPr>
        <w:t xml:space="preserve">SEXTO. </w:t>
      </w:r>
      <w:r w:rsidRPr="001653DF">
        <w:rPr>
          <w:rFonts w:ascii="Palatino Linotype" w:eastAsia="Palatino Linotype" w:hAnsi="Palatino Linotype" w:cs="Palatino Linotype"/>
          <w:color w:val="000000"/>
        </w:rPr>
        <w:t>Se hace del conocimiento del</w:t>
      </w:r>
      <w:r w:rsidRPr="001653DF">
        <w:rPr>
          <w:rFonts w:ascii="Palatino Linotype" w:eastAsia="Palatino Linotype" w:hAnsi="Palatino Linotype" w:cs="Palatino Linotype"/>
          <w:b/>
          <w:color w:val="000000"/>
        </w:rPr>
        <w:t xml:space="preserve"> Recurrente </w:t>
      </w:r>
      <w:r w:rsidRPr="001653DF">
        <w:rPr>
          <w:rFonts w:ascii="Palatino Linotype" w:eastAsia="Palatino Linotype" w:hAnsi="Palatino Linotype" w:cs="Palatino Linotype"/>
          <w:color w:val="000000"/>
        </w:rPr>
        <w:t xml:space="preserve">que, de conformidad con lo establecido en el artículo 196 de la Ley de Transparencia y Acceso a la Información Pública del Estado de México y Municipios, en caso de que considere que la resolución le cause algún perjuicio podrá </w:t>
      </w:r>
      <w:r w:rsidRPr="001653DF">
        <w:rPr>
          <w:rFonts w:ascii="Palatino Linotype" w:eastAsia="Palatino Linotype" w:hAnsi="Palatino Linotype" w:cs="Palatino Linotype"/>
        </w:rPr>
        <w:t>impugnar a</w:t>
      </w:r>
      <w:r w:rsidRPr="001653DF">
        <w:rPr>
          <w:rFonts w:ascii="Palatino Linotype" w:eastAsia="Palatino Linotype" w:hAnsi="Palatino Linotype" w:cs="Palatino Linotype"/>
          <w:color w:val="000000"/>
        </w:rPr>
        <w:t xml:space="preserve"> través del juicio de amparo en los términos de las leyes aplicables.</w:t>
      </w:r>
    </w:p>
    <w:p w14:paraId="7FBB8404" w14:textId="77777777" w:rsidR="002B2F6D" w:rsidRPr="001653DF" w:rsidRDefault="002B2F6D">
      <w:pPr>
        <w:widowControl w:val="0"/>
        <w:tabs>
          <w:tab w:val="left" w:pos="1701"/>
        </w:tabs>
        <w:spacing w:line="360" w:lineRule="auto"/>
        <w:ind w:right="-599"/>
        <w:jc w:val="both"/>
        <w:rPr>
          <w:rFonts w:ascii="Palatino Linotype" w:eastAsia="Palatino Linotype" w:hAnsi="Palatino Linotype" w:cs="Palatino Linotype"/>
          <w:b/>
          <w:color w:val="000000"/>
        </w:rPr>
      </w:pPr>
    </w:p>
    <w:p w14:paraId="3DC9C0AB" w14:textId="5D0127DC" w:rsidR="006A53FD" w:rsidRPr="003C7186" w:rsidRDefault="006A53FD" w:rsidP="006A53FD">
      <w:pPr>
        <w:spacing w:line="360" w:lineRule="auto"/>
        <w:ind w:left="-142" w:right="-234" w:firstLine="1"/>
        <w:jc w:val="both"/>
        <w:rPr>
          <w:rFonts w:ascii="Palatino Linotype" w:hAnsi="Palatino Linotype"/>
        </w:rPr>
      </w:pPr>
      <w:bookmarkStart w:id="9" w:name="_heading=h.3dy6vkm" w:colFirst="0" w:colLast="0"/>
      <w:bookmarkEnd w:id="9"/>
      <w:r w:rsidRPr="001653DF">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936BCE" w:rsidRPr="001653DF">
        <w:rPr>
          <w:rFonts w:ascii="Palatino Linotype" w:hAnsi="Palatino Linotype"/>
        </w:rPr>
        <w:t xml:space="preserve"> EMITIENDO VOTO PARTICULAR</w:t>
      </w:r>
      <w:r w:rsidRPr="001653DF">
        <w:rPr>
          <w:rFonts w:ascii="Palatino Linotype" w:hAnsi="Palatino Linotype"/>
        </w:rPr>
        <w:t xml:space="preserve"> Y GUADALUPE RAMÍREZ PEÑA; EN LA QUINTA SESIÓN ORDINARIA CELEBRADA EL DOCE (12) DE FEBRERO DE DOS MIL VEINTICINCO, ANTE EL SECRETARIO TÉCNICO DEL PLENO ALEXIS TAPIA RAMÍREZ.</w:t>
      </w:r>
      <w:r w:rsidRPr="003C7186">
        <w:rPr>
          <w:rFonts w:ascii="Palatino Linotype" w:hAnsi="Palatino Linotype"/>
        </w:rPr>
        <w:t xml:space="preserve"> </w:t>
      </w:r>
    </w:p>
    <w:p w14:paraId="298F8262" w14:textId="77777777" w:rsidR="002B2F6D" w:rsidRPr="00836BDF" w:rsidRDefault="002B2F6D">
      <w:pPr>
        <w:widowControl w:val="0"/>
        <w:tabs>
          <w:tab w:val="left" w:pos="1701"/>
        </w:tabs>
        <w:spacing w:line="360" w:lineRule="auto"/>
        <w:ind w:right="-599"/>
        <w:jc w:val="both"/>
        <w:rPr>
          <w:rFonts w:ascii="Palatino Linotype" w:eastAsia="Palatino Linotype" w:hAnsi="Palatino Linotype" w:cs="Palatino Linotype"/>
        </w:rPr>
      </w:pPr>
    </w:p>
    <w:sectPr w:rsidR="002B2F6D" w:rsidRPr="00836BDF">
      <w:headerReference w:type="even" r:id="rId10"/>
      <w:headerReference w:type="default" r:id="rId11"/>
      <w:footerReference w:type="default" r:id="rId12"/>
      <w:headerReference w:type="first" r:id="rId13"/>
      <w:footerReference w:type="first" r:id="rId14"/>
      <w:pgSz w:w="12240" w:h="15840"/>
      <w:pgMar w:top="80" w:right="1467"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171E6" w14:textId="77777777" w:rsidR="00B419AC" w:rsidRDefault="00B419AC">
      <w:r>
        <w:separator/>
      </w:r>
    </w:p>
  </w:endnote>
  <w:endnote w:type="continuationSeparator" w:id="0">
    <w:p w14:paraId="02EB6B2E" w14:textId="77777777" w:rsidR="00B419AC" w:rsidRDefault="00B41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241B2" w14:textId="77777777" w:rsidR="002B2F6D" w:rsidRDefault="00B17ABB">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5476BC">
      <w:rPr>
        <w:b/>
        <w:noProof/>
        <w:color w:val="000000"/>
      </w:rPr>
      <w:t>44</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5476BC">
      <w:rPr>
        <w:b/>
        <w:noProof/>
        <w:color w:val="000000"/>
      </w:rPr>
      <w:t>46</w:t>
    </w:r>
    <w:r>
      <w:rPr>
        <w:b/>
        <w:color w:val="000000"/>
      </w:rPr>
      <w:fldChar w:fldCharType="end"/>
    </w:r>
  </w:p>
  <w:p w14:paraId="787F2FF0" w14:textId="77777777" w:rsidR="002B2F6D" w:rsidRDefault="002B2F6D">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C5103" w14:textId="77777777" w:rsidR="002B2F6D" w:rsidRDefault="00B17ABB">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5476BC">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5476BC">
      <w:rPr>
        <w:b/>
        <w:noProof/>
        <w:color w:val="000000"/>
      </w:rPr>
      <w:t>46</w:t>
    </w:r>
    <w:r>
      <w:rPr>
        <w:b/>
        <w:color w:val="000000"/>
      </w:rPr>
      <w:fldChar w:fldCharType="end"/>
    </w:r>
  </w:p>
  <w:p w14:paraId="5ECCD9EC" w14:textId="77777777" w:rsidR="002B2F6D" w:rsidRDefault="002B2F6D">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BBAFC" w14:textId="77777777" w:rsidR="00B419AC" w:rsidRDefault="00B419AC">
      <w:r>
        <w:separator/>
      </w:r>
    </w:p>
  </w:footnote>
  <w:footnote w:type="continuationSeparator" w:id="0">
    <w:p w14:paraId="3B2E9862" w14:textId="77777777" w:rsidR="00B419AC" w:rsidRDefault="00B419AC">
      <w:r>
        <w:continuationSeparator/>
      </w:r>
    </w:p>
  </w:footnote>
  <w:footnote w:id="1">
    <w:p w14:paraId="51251284" w14:textId="77777777" w:rsidR="002B2F6D" w:rsidRDefault="00B17ABB">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libri" w:eastAsia="Calibri" w:hAnsi="Calibri" w:cs="Calibri"/>
          <w:color w:val="000000"/>
          <w:sz w:val="20"/>
          <w:szCs w:val="20"/>
        </w:rPr>
        <w:t xml:space="preserve"> (…)</w:t>
      </w:r>
    </w:p>
  </w:footnote>
  <w:footnote w:id="2">
    <w:p w14:paraId="16442DF8" w14:textId="77777777" w:rsidR="002B2F6D" w:rsidRDefault="00B17ABB">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996F4" w14:textId="77777777" w:rsidR="002B2F6D" w:rsidRDefault="00B419AC">
    <w:pPr>
      <w:pBdr>
        <w:top w:val="nil"/>
        <w:left w:val="nil"/>
        <w:bottom w:val="nil"/>
        <w:right w:val="nil"/>
        <w:between w:val="nil"/>
      </w:pBdr>
      <w:tabs>
        <w:tab w:val="center" w:pos="4419"/>
        <w:tab w:val="right" w:pos="8838"/>
      </w:tabs>
      <w:rPr>
        <w:color w:val="000000"/>
      </w:rPr>
    </w:pPr>
    <w:r>
      <w:rPr>
        <w:color w:val="000000"/>
      </w:rPr>
      <w:pict w14:anchorId="08E293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7D91D" w14:textId="77777777" w:rsidR="002B2F6D" w:rsidRDefault="002B2F6D">
    <w:pPr>
      <w:widowControl w:val="0"/>
      <w:pBdr>
        <w:top w:val="nil"/>
        <w:left w:val="nil"/>
        <w:bottom w:val="nil"/>
        <w:right w:val="nil"/>
        <w:between w:val="nil"/>
      </w:pBdr>
      <w:spacing w:line="276" w:lineRule="auto"/>
      <w:rPr>
        <w:color w:val="000000"/>
      </w:rPr>
    </w:pPr>
  </w:p>
  <w:tbl>
    <w:tblPr>
      <w:tblStyle w:val="afd"/>
      <w:tblW w:w="9214" w:type="dxa"/>
      <w:tblInd w:w="0" w:type="dxa"/>
      <w:tblLayout w:type="fixed"/>
      <w:tblLook w:val="0400" w:firstRow="0" w:lastRow="0" w:firstColumn="0" w:lastColumn="0" w:noHBand="0" w:noVBand="1"/>
    </w:tblPr>
    <w:tblGrid>
      <w:gridCol w:w="2268"/>
      <w:gridCol w:w="6946"/>
    </w:tblGrid>
    <w:tr w:rsidR="002B2F6D" w14:paraId="7557C95A" w14:textId="77777777">
      <w:trPr>
        <w:trHeight w:val="2803"/>
      </w:trPr>
      <w:tc>
        <w:tcPr>
          <w:tcW w:w="2268" w:type="dxa"/>
        </w:tcPr>
        <w:p w14:paraId="70F0F3AA" w14:textId="77777777" w:rsidR="002B2F6D" w:rsidRDefault="002B2F6D">
          <w:pPr>
            <w:tabs>
              <w:tab w:val="right" w:pos="4273"/>
            </w:tabs>
            <w:rPr>
              <w:rFonts w:ascii="Garamond" w:eastAsia="Garamond" w:hAnsi="Garamond" w:cs="Garamond"/>
              <w:sz w:val="16"/>
              <w:szCs w:val="16"/>
            </w:rPr>
          </w:pPr>
        </w:p>
      </w:tc>
      <w:tc>
        <w:tcPr>
          <w:tcW w:w="6946" w:type="dxa"/>
        </w:tcPr>
        <w:p w14:paraId="66C0C18F" w14:textId="77777777" w:rsidR="002B2F6D" w:rsidRDefault="002B2F6D"/>
        <w:tbl>
          <w:tblPr>
            <w:tblStyle w:val="afe"/>
            <w:tblW w:w="6684" w:type="dxa"/>
            <w:tblInd w:w="559" w:type="dxa"/>
            <w:tblLayout w:type="fixed"/>
            <w:tblLook w:val="0400" w:firstRow="0" w:lastRow="0" w:firstColumn="0" w:lastColumn="0" w:noHBand="0" w:noVBand="1"/>
          </w:tblPr>
          <w:tblGrid>
            <w:gridCol w:w="2550"/>
            <w:gridCol w:w="4134"/>
          </w:tblGrid>
          <w:tr w:rsidR="002B2F6D" w14:paraId="0A1C1BEC" w14:textId="77777777">
            <w:trPr>
              <w:trHeight w:val="144"/>
            </w:trPr>
            <w:tc>
              <w:tcPr>
                <w:tcW w:w="2550" w:type="dxa"/>
              </w:tcPr>
              <w:p w14:paraId="0BCE6E15" w14:textId="77777777" w:rsidR="002B2F6D" w:rsidRDefault="00B17ABB">
                <w:pPr>
                  <w:tabs>
                    <w:tab w:val="right" w:pos="8838"/>
                  </w:tabs>
                  <w:ind w:left="-264" w:right="-105" w:firstLine="19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134" w:type="dxa"/>
              </w:tcPr>
              <w:p w14:paraId="0961DB06" w14:textId="77777777" w:rsidR="002B2F6D" w:rsidRDefault="00B17ABB">
                <w:pPr>
                  <w:tabs>
                    <w:tab w:val="right" w:pos="8838"/>
                  </w:tabs>
                  <w:ind w:left="-74" w:right="-1415"/>
                  <w:rPr>
                    <w:rFonts w:ascii="Palatino Linotype" w:eastAsia="Palatino Linotype" w:hAnsi="Palatino Linotype" w:cs="Palatino Linotype"/>
                  </w:rPr>
                </w:pPr>
                <w:r>
                  <w:rPr>
                    <w:rFonts w:ascii="Palatino Linotype" w:eastAsia="Palatino Linotype" w:hAnsi="Palatino Linotype" w:cs="Palatino Linotype"/>
                  </w:rPr>
                  <w:t>04488/INFOEM/IP/RR/2024</w:t>
                </w:r>
              </w:p>
            </w:tc>
          </w:tr>
          <w:tr w:rsidR="002B2F6D" w14:paraId="3A48047D" w14:textId="77777777">
            <w:trPr>
              <w:trHeight w:val="283"/>
            </w:trPr>
            <w:tc>
              <w:tcPr>
                <w:tcW w:w="2550" w:type="dxa"/>
              </w:tcPr>
              <w:p w14:paraId="7367DCB0" w14:textId="77777777" w:rsidR="002B2F6D" w:rsidRDefault="00B17ABB">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134" w:type="dxa"/>
              </w:tcPr>
              <w:p w14:paraId="728A2F5D" w14:textId="77777777" w:rsidR="002B2F6D" w:rsidRDefault="00B17ABB">
                <w:pPr>
                  <w:tabs>
                    <w:tab w:val="left" w:pos="2834"/>
                  </w:tabs>
                  <w:ind w:left="-74" w:right="310"/>
                  <w:jc w:val="both"/>
                  <w:rPr>
                    <w:rFonts w:ascii="Palatino Linotype" w:eastAsia="Palatino Linotype" w:hAnsi="Palatino Linotype" w:cs="Palatino Linotype"/>
                  </w:rPr>
                </w:pPr>
                <w:r>
                  <w:rPr>
                    <w:rFonts w:ascii="Palatino Linotype" w:eastAsia="Palatino Linotype" w:hAnsi="Palatino Linotype" w:cs="Palatino Linotype"/>
                  </w:rPr>
                  <w:t>Ayuntamiento de Naucalpan de Juárez</w:t>
                </w:r>
              </w:p>
            </w:tc>
          </w:tr>
          <w:tr w:rsidR="002B2F6D" w14:paraId="4C556D92" w14:textId="77777777">
            <w:trPr>
              <w:trHeight w:val="283"/>
            </w:trPr>
            <w:tc>
              <w:tcPr>
                <w:tcW w:w="2550" w:type="dxa"/>
              </w:tcPr>
              <w:p w14:paraId="77E0F311" w14:textId="77777777" w:rsidR="002B2F6D" w:rsidRDefault="00B17ABB">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134" w:type="dxa"/>
              </w:tcPr>
              <w:p w14:paraId="0BD9D435" w14:textId="77777777" w:rsidR="002B2F6D" w:rsidRDefault="00B17ABB">
                <w:pPr>
                  <w:tabs>
                    <w:tab w:val="right" w:pos="8838"/>
                  </w:tabs>
                  <w:ind w:left="-74" w:right="-1415"/>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p w14:paraId="3EAEA0A3" w14:textId="77777777" w:rsidR="002B2F6D" w:rsidRDefault="002B2F6D">
                <w:pPr>
                  <w:tabs>
                    <w:tab w:val="right" w:pos="8838"/>
                  </w:tabs>
                  <w:ind w:left="-74" w:right="-1415"/>
                  <w:rPr>
                    <w:rFonts w:ascii="Palatino Linotype" w:eastAsia="Palatino Linotype" w:hAnsi="Palatino Linotype" w:cs="Palatino Linotype"/>
                    <w:b/>
                  </w:rPr>
                </w:pPr>
              </w:p>
            </w:tc>
          </w:tr>
        </w:tbl>
        <w:p w14:paraId="04596A83" w14:textId="77777777" w:rsidR="002B2F6D" w:rsidRDefault="002B2F6D">
          <w:pPr>
            <w:tabs>
              <w:tab w:val="right" w:pos="8838"/>
            </w:tabs>
            <w:ind w:left="-28"/>
            <w:jc w:val="both"/>
            <w:rPr>
              <w:rFonts w:ascii="Arial" w:eastAsia="Arial" w:hAnsi="Arial" w:cs="Arial"/>
              <w:b/>
            </w:rPr>
          </w:pPr>
        </w:p>
      </w:tc>
    </w:tr>
  </w:tbl>
  <w:p w14:paraId="43D47084" w14:textId="77777777" w:rsidR="002B2F6D" w:rsidRDefault="00B419AC">
    <w:pPr>
      <w:pBdr>
        <w:top w:val="nil"/>
        <w:left w:val="nil"/>
        <w:bottom w:val="nil"/>
        <w:right w:val="nil"/>
        <w:between w:val="nil"/>
      </w:pBdr>
      <w:tabs>
        <w:tab w:val="center" w:pos="4419"/>
        <w:tab w:val="right" w:pos="8838"/>
      </w:tabs>
      <w:rPr>
        <w:color w:val="000000"/>
        <w:sz w:val="14"/>
        <w:szCs w:val="14"/>
      </w:rPr>
    </w:pPr>
    <w:r>
      <w:rPr>
        <w:color w:val="000000"/>
      </w:rPr>
      <w:pict w14:anchorId="774E1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833F4" w14:textId="77777777" w:rsidR="002B2F6D" w:rsidRDefault="00B419AC">
    <w:pPr>
      <w:widowControl w:val="0"/>
      <w:pBdr>
        <w:top w:val="nil"/>
        <w:left w:val="nil"/>
        <w:bottom w:val="nil"/>
        <w:right w:val="nil"/>
        <w:between w:val="nil"/>
      </w:pBdr>
      <w:spacing w:line="276" w:lineRule="auto"/>
      <w:rPr>
        <w:color w:val="000000"/>
        <w:sz w:val="14"/>
        <w:szCs w:val="14"/>
      </w:rPr>
    </w:pPr>
    <w:r>
      <w:rPr>
        <w:sz w:val="14"/>
        <w:szCs w:val="14"/>
      </w:rPr>
      <w:pict w14:anchorId="09C47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76.3pt;margin-top:-151.15pt;width:589.8pt;height:768pt;z-index:-251658752;mso-position-horizontal:absolute;mso-position-horizontal-relative:margin;mso-position-vertical:absolute;mso-position-vertical-relative:margin">
          <v:imagedata r:id="rId1" o:title="image2"/>
          <w10:wrap anchorx="margin" anchory="margin"/>
        </v:shape>
      </w:pict>
    </w:r>
  </w:p>
  <w:tbl>
    <w:tblPr>
      <w:tblStyle w:val="aff"/>
      <w:tblW w:w="9915" w:type="dxa"/>
      <w:tblInd w:w="0" w:type="dxa"/>
      <w:tblLayout w:type="fixed"/>
      <w:tblLook w:val="0400" w:firstRow="0" w:lastRow="0" w:firstColumn="0" w:lastColumn="0" w:noHBand="0" w:noVBand="1"/>
    </w:tblPr>
    <w:tblGrid>
      <w:gridCol w:w="2265"/>
      <w:gridCol w:w="7650"/>
    </w:tblGrid>
    <w:tr w:rsidR="002B2F6D" w14:paraId="4E0288F9" w14:textId="77777777">
      <w:trPr>
        <w:trHeight w:val="2514"/>
      </w:trPr>
      <w:tc>
        <w:tcPr>
          <w:tcW w:w="2265" w:type="dxa"/>
        </w:tcPr>
        <w:p w14:paraId="657E008A" w14:textId="77777777" w:rsidR="002B2F6D" w:rsidRDefault="002B2F6D">
          <w:pPr>
            <w:tabs>
              <w:tab w:val="right" w:pos="4273"/>
            </w:tabs>
            <w:rPr>
              <w:rFonts w:ascii="Garamond" w:eastAsia="Garamond" w:hAnsi="Garamond" w:cs="Garamond"/>
            </w:rPr>
          </w:pPr>
        </w:p>
      </w:tc>
      <w:tc>
        <w:tcPr>
          <w:tcW w:w="7650" w:type="dxa"/>
        </w:tcPr>
        <w:p w14:paraId="2DE7935D" w14:textId="77777777" w:rsidR="002B2F6D" w:rsidRDefault="002B2F6D">
          <w:pPr>
            <w:widowControl w:val="0"/>
            <w:pBdr>
              <w:top w:val="nil"/>
              <w:left w:val="nil"/>
              <w:bottom w:val="nil"/>
              <w:right w:val="nil"/>
              <w:between w:val="nil"/>
            </w:pBdr>
            <w:spacing w:line="276" w:lineRule="auto"/>
            <w:rPr>
              <w:rFonts w:ascii="Garamond" w:eastAsia="Garamond" w:hAnsi="Garamond" w:cs="Garamond"/>
            </w:rPr>
          </w:pPr>
        </w:p>
        <w:tbl>
          <w:tblPr>
            <w:tblStyle w:val="aff0"/>
            <w:tblW w:w="6690" w:type="dxa"/>
            <w:tblInd w:w="700" w:type="dxa"/>
            <w:tblLayout w:type="fixed"/>
            <w:tblLook w:val="0400" w:firstRow="0" w:lastRow="0" w:firstColumn="0" w:lastColumn="0" w:noHBand="0" w:noVBand="1"/>
          </w:tblPr>
          <w:tblGrid>
            <w:gridCol w:w="2582"/>
            <w:gridCol w:w="4108"/>
          </w:tblGrid>
          <w:tr w:rsidR="002B2F6D" w14:paraId="51780A48" w14:textId="77777777">
            <w:trPr>
              <w:trHeight w:val="144"/>
            </w:trPr>
            <w:tc>
              <w:tcPr>
                <w:tcW w:w="2582" w:type="dxa"/>
                <w:tcBorders>
                  <w:top w:val="nil"/>
                  <w:left w:val="nil"/>
                  <w:bottom w:val="nil"/>
                  <w:right w:val="nil"/>
                </w:tcBorders>
              </w:tcPr>
              <w:p w14:paraId="280D1979" w14:textId="77777777" w:rsidR="002B2F6D" w:rsidRDefault="00B17ABB">
                <w:pPr>
                  <w:tabs>
                    <w:tab w:val="right" w:pos="8838"/>
                  </w:tabs>
                  <w:ind w:right="1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08" w:type="dxa"/>
                <w:tcBorders>
                  <w:top w:val="nil"/>
                  <w:left w:val="nil"/>
                  <w:bottom w:val="nil"/>
                  <w:right w:val="nil"/>
                </w:tcBorders>
              </w:tcPr>
              <w:p w14:paraId="199703C3" w14:textId="77777777" w:rsidR="002B2F6D" w:rsidRDefault="00B17ABB">
                <w:pPr>
                  <w:ind w:left="-283" w:right="-990" w:firstLine="28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04488/INFOEM/IP/RR/2024</w:t>
                </w:r>
              </w:p>
            </w:tc>
          </w:tr>
          <w:tr w:rsidR="002B2F6D" w14:paraId="6A98B70A" w14:textId="77777777">
            <w:trPr>
              <w:trHeight w:val="144"/>
            </w:trPr>
            <w:tc>
              <w:tcPr>
                <w:tcW w:w="2582" w:type="dxa"/>
                <w:tcBorders>
                  <w:top w:val="nil"/>
                  <w:left w:val="nil"/>
                  <w:bottom w:val="nil"/>
                  <w:right w:val="nil"/>
                </w:tcBorders>
              </w:tcPr>
              <w:p w14:paraId="052F6013" w14:textId="77777777" w:rsidR="002B2F6D" w:rsidRDefault="00B17ABB">
                <w:pPr>
                  <w:tabs>
                    <w:tab w:val="right" w:pos="8838"/>
                  </w:tabs>
                  <w:ind w:right="1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108" w:type="dxa"/>
                <w:tcBorders>
                  <w:top w:val="nil"/>
                  <w:left w:val="nil"/>
                  <w:bottom w:val="nil"/>
                  <w:right w:val="nil"/>
                </w:tcBorders>
              </w:tcPr>
              <w:p w14:paraId="05856C4F" w14:textId="45BF7F9D" w:rsidR="002B2F6D" w:rsidRDefault="005476BC">
                <w:pPr>
                  <w:tabs>
                    <w:tab w:val="left" w:pos="3827"/>
                  </w:tabs>
                  <w:ind w:left="-283" w:right="-990" w:firstLine="28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XXXXXXXXX</w:t>
                </w:r>
              </w:p>
            </w:tc>
          </w:tr>
          <w:tr w:rsidR="002B2F6D" w14:paraId="1EDBF999" w14:textId="77777777">
            <w:trPr>
              <w:trHeight w:val="283"/>
            </w:trPr>
            <w:tc>
              <w:tcPr>
                <w:tcW w:w="2582" w:type="dxa"/>
                <w:tcBorders>
                  <w:top w:val="nil"/>
                  <w:left w:val="nil"/>
                  <w:bottom w:val="nil"/>
                  <w:right w:val="nil"/>
                </w:tcBorders>
              </w:tcPr>
              <w:p w14:paraId="7FB2D824" w14:textId="77777777" w:rsidR="002B2F6D" w:rsidRDefault="00B17ABB">
                <w:pPr>
                  <w:tabs>
                    <w:tab w:val="right" w:pos="8838"/>
                  </w:tabs>
                  <w:ind w:right="1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08" w:type="dxa"/>
                <w:tcBorders>
                  <w:top w:val="nil"/>
                  <w:left w:val="nil"/>
                  <w:bottom w:val="nil"/>
                  <w:right w:val="nil"/>
                </w:tcBorders>
              </w:tcPr>
              <w:p w14:paraId="0B1AD14C" w14:textId="77777777" w:rsidR="002B2F6D" w:rsidRDefault="00B17ABB">
                <w:pPr>
                  <w:tabs>
                    <w:tab w:val="left" w:pos="2834"/>
                  </w:tabs>
                  <w:ind w:left="-283" w:right="-990" w:firstLine="28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Naucalpan de Juárez</w:t>
                </w:r>
              </w:p>
            </w:tc>
          </w:tr>
          <w:tr w:rsidR="002B2F6D" w14:paraId="556596DE" w14:textId="77777777">
            <w:trPr>
              <w:trHeight w:val="283"/>
            </w:trPr>
            <w:tc>
              <w:tcPr>
                <w:tcW w:w="2582" w:type="dxa"/>
                <w:tcBorders>
                  <w:top w:val="nil"/>
                  <w:left w:val="nil"/>
                  <w:bottom w:val="nil"/>
                  <w:right w:val="nil"/>
                </w:tcBorders>
              </w:tcPr>
              <w:p w14:paraId="780323C4" w14:textId="77777777" w:rsidR="002B2F6D" w:rsidRDefault="00B17ABB">
                <w:pPr>
                  <w:tabs>
                    <w:tab w:val="right" w:pos="8838"/>
                  </w:tabs>
                  <w:ind w:right="1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08" w:type="dxa"/>
                <w:tcBorders>
                  <w:top w:val="nil"/>
                  <w:left w:val="nil"/>
                  <w:bottom w:val="nil"/>
                  <w:right w:val="nil"/>
                </w:tcBorders>
              </w:tcPr>
              <w:p w14:paraId="2B801775" w14:textId="77777777" w:rsidR="002B2F6D" w:rsidRDefault="00B17ABB">
                <w:pPr>
                  <w:ind w:right="-99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6C10A3B7" w14:textId="77777777" w:rsidR="002B2F6D" w:rsidRDefault="002B2F6D">
                <w:pPr>
                  <w:ind w:left="-283" w:right="-990" w:firstLine="141"/>
                  <w:rPr>
                    <w:rFonts w:ascii="Palatino Linotype" w:eastAsia="Palatino Linotype" w:hAnsi="Palatino Linotype" w:cs="Palatino Linotype"/>
                    <w:b/>
                    <w:sz w:val="22"/>
                    <w:szCs w:val="22"/>
                  </w:rPr>
                </w:pPr>
              </w:p>
            </w:tc>
          </w:tr>
        </w:tbl>
        <w:p w14:paraId="3559B85D" w14:textId="77777777" w:rsidR="002B2F6D" w:rsidRDefault="002B2F6D">
          <w:pPr>
            <w:tabs>
              <w:tab w:val="right" w:pos="8838"/>
            </w:tabs>
            <w:ind w:left="-28"/>
            <w:jc w:val="both"/>
            <w:rPr>
              <w:rFonts w:ascii="Arial" w:eastAsia="Arial" w:hAnsi="Arial" w:cs="Arial"/>
              <w:b/>
            </w:rPr>
          </w:pPr>
        </w:p>
      </w:tc>
    </w:tr>
  </w:tbl>
  <w:p w14:paraId="524D9358" w14:textId="77777777" w:rsidR="002B2F6D" w:rsidRDefault="002B2F6D">
    <w:pPr>
      <w:pBdr>
        <w:top w:val="nil"/>
        <w:left w:val="nil"/>
        <w:bottom w:val="nil"/>
        <w:right w:val="nil"/>
        <w:between w:val="nil"/>
      </w:pBdr>
      <w:tabs>
        <w:tab w:val="center" w:pos="4419"/>
        <w:tab w:val="right" w:pos="8838"/>
      </w:tabs>
      <w:rPr>
        <w:color w:val="000000"/>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D5BAB"/>
    <w:multiLevelType w:val="multilevel"/>
    <w:tmpl w:val="F4D2B8BE"/>
    <w:lvl w:ilvl="0">
      <w:start w:val="1"/>
      <w:numFmt w:val="decimal"/>
      <w:lvlText w:val="%1)"/>
      <w:lvlJc w:val="left"/>
      <w:pPr>
        <w:ind w:left="928"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65F467F"/>
    <w:multiLevelType w:val="multilevel"/>
    <w:tmpl w:val="5B58BF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4317490"/>
    <w:multiLevelType w:val="hybridMultilevel"/>
    <w:tmpl w:val="FD30DC42"/>
    <w:lvl w:ilvl="0" w:tplc="92BE0B36">
      <w:start w:val="1"/>
      <w:numFmt w:val="decimal"/>
      <w:lvlText w:val="%1."/>
      <w:lvlJc w:val="left"/>
      <w:pPr>
        <w:ind w:left="4330" w:hanging="360"/>
      </w:pPr>
      <w:rPr>
        <w:rFonts w:ascii="Palatino Linotype" w:hAnsi="Palatino Linotype" w:hint="default"/>
        <w:b/>
        <w:i w:val="0"/>
        <w:color w:val="auto"/>
        <w:sz w:val="24"/>
      </w:rPr>
    </w:lvl>
    <w:lvl w:ilvl="1" w:tplc="689ED1C2">
      <w:start w:val="1"/>
      <w:numFmt w:val="upperRoman"/>
      <w:lvlText w:val="%2."/>
      <w:lvlJc w:val="left"/>
      <w:pPr>
        <w:ind w:left="1800" w:hanging="720"/>
      </w:pPr>
      <w:rPr>
        <w:rFonts w:ascii="Palatino Linotype" w:hAnsi="Palatino Linotype" w:hint="default"/>
        <w:b/>
        <w:color w:val="auto"/>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DFC2470"/>
    <w:multiLevelType w:val="multilevel"/>
    <w:tmpl w:val="0AE67D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7D002B9"/>
    <w:multiLevelType w:val="multilevel"/>
    <w:tmpl w:val="48C076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DED2862"/>
    <w:multiLevelType w:val="multilevel"/>
    <w:tmpl w:val="F580D24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4E72D83"/>
    <w:multiLevelType w:val="multilevel"/>
    <w:tmpl w:val="8D5EE63C"/>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6A2C7612"/>
    <w:multiLevelType w:val="multilevel"/>
    <w:tmpl w:val="D5F84A7C"/>
    <w:lvl w:ilvl="0">
      <w:start w:val="1"/>
      <w:numFmt w:val="decimal"/>
      <w:lvlText w:val="%1."/>
      <w:lvlJc w:val="left"/>
      <w:pPr>
        <w:ind w:left="135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644" w:hanging="359"/>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D76194C"/>
    <w:multiLevelType w:val="multilevel"/>
    <w:tmpl w:val="6570D6E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0" w15:restartNumberingAfterBreak="0">
    <w:nsid w:val="717C63D8"/>
    <w:multiLevelType w:val="hybridMultilevel"/>
    <w:tmpl w:val="54A469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6F4467C"/>
    <w:multiLevelType w:val="multilevel"/>
    <w:tmpl w:val="7BDE51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3"/>
  </w:num>
  <w:num w:numId="3">
    <w:abstractNumId w:val="7"/>
  </w:num>
  <w:num w:numId="4">
    <w:abstractNumId w:val="8"/>
  </w:num>
  <w:num w:numId="5">
    <w:abstractNumId w:val="0"/>
  </w:num>
  <w:num w:numId="6">
    <w:abstractNumId w:val="6"/>
  </w:num>
  <w:num w:numId="7">
    <w:abstractNumId w:val="1"/>
  </w:num>
  <w:num w:numId="8">
    <w:abstractNumId w:val="11"/>
  </w:num>
  <w:num w:numId="9">
    <w:abstractNumId w:val="5"/>
  </w:num>
  <w:num w:numId="10">
    <w:abstractNumId w:val="2"/>
  </w:num>
  <w:num w:numId="11">
    <w:abstractNumId w:val="1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F6D"/>
    <w:rsid w:val="000B4F3E"/>
    <w:rsid w:val="000B5F2B"/>
    <w:rsid w:val="00145B0F"/>
    <w:rsid w:val="00164857"/>
    <w:rsid w:val="001653DF"/>
    <w:rsid w:val="00237E82"/>
    <w:rsid w:val="002B2F6D"/>
    <w:rsid w:val="003440C4"/>
    <w:rsid w:val="00382242"/>
    <w:rsid w:val="00507EFD"/>
    <w:rsid w:val="005476BC"/>
    <w:rsid w:val="006A53FD"/>
    <w:rsid w:val="007A6BF5"/>
    <w:rsid w:val="008326E9"/>
    <w:rsid w:val="00836BDF"/>
    <w:rsid w:val="008C4133"/>
    <w:rsid w:val="00933502"/>
    <w:rsid w:val="00936BCE"/>
    <w:rsid w:val="00B17ABB"/>
    <w:rsid w:val="00B22932"/>
    <w:rsid w:val="00B248C6"/>
    <w:rsid w:val="00B419AC"/>
    <w:rsid w:val="00BE7A0B"/>
    <w:rsid w:val="00C3303F"/>
    <w:rsid w:val="00DB46CF"/>
    <w:rsid w:val="00E13117"/>
    <w:rsid w:val="00E65C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AEC473"/>
  <w15:docId w15:val="{6CC84CD5-9721-4C32-9BD9-C080A418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9CC"/>
  </w:style>
  <w:style w:type="paragraph" w:styleId="Ttulo1">
    <w:name w:val="heading 1"/>
    <w:basedOn w:val="Normal"/>
    <w:next w:val="Normal"/>
    <w:link w:val="Ttulo1Car"/>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1709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basedOn w:val="Normal"/>
    <w:next w:val="Normal"/>
    <w:link w:val="Puest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170967"/>
    <w:rPr>
      <w:rFonts w:asciiTheme="majorHAnsi" w:eastAsiaTheme="majorEastAsia" w:hAnsiTheme="majorHAnsi" w:cstheme="majorBidi"/>
      <w:color w:val="2E74B5" w:themeColor="accent1" w:themeShade="BF"/>
      <w:sz w:val="26"/>
      <w:szCs w:val="26"/>
      <w:lang w:eastAsia="es-MX"/>
    </w:rPr>
  </w:style>
  <w:style w:type="paragraph" w:styleId="Encabezado">
    <w:name w:val="header"/>
    <w:basedOn w:val="Normal"/>
    <w:link w:val="EncabezadoCar"/>
    <w:uiPriority w:val="99"/>
    <w:unhideWhenUsed/>
    <w:qFormat/>
    <w:rsid w:val="00170967"/>
    <w:pPr>
      <w:tabs>
        <w:tab w:val="center" w:pos="4419"/>
        <w:tab w:val="right" w:pos="8838"/>
      </w:tabs>
    </w:pPr>
  </w:style>
  <w:style w:type="character" w:customStyle="1" w:styleId="EncabezadoCar">
    <w:name w:val="Encabezado Car"/>
    <w:basedOn w:val="Fuentedeprrafopredeter"/>
    <w:link w:val="Encabezado"/>
    <w:uiPriority w:val="99"/>
    <w:qFormat/>
    <w:rsid w:val="00170967"/>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170967"/>
    <w:pPr>
      <w:tabs>
        <w:tab w:val="center" w:pos="4419"/>
        <w:tab w:val="right" w:pos="8838"/>
      </w:tabs>
    </w:pPr>
  </w:style>
  <w:style w:type="character" w:customStyle="1" w:styleId="PiedepginaCar">
    <w:name w:val="Pie de página Car"/>
    <w:basedOn w:val="Fuentedeprrafopredeter"/>
    <w:link w:val="Piedepgina"/>
    <w:uiPriority w:val="99"/>
    <w:rsid w:val="00170967"/>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70967"/>
    <w:pPr>
      <w:ind w:left="720"/>
      <w:contextualSpacing/>
    </w:pPr>
    <w:rPr>
      <w:rFonts w:ascii="Century Gothic" w:hAnsi="Century Gothic"/>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70967"/>
    <w:rPr>
      <w:rFonts w:ascii="Century Gothic" w:eastAsia="Times New Roman" w:hAnsi="Century Gothic" w:cs="Times New Roman"/>
      <w:sz w:val="24"/>
      <w:szCs w:val="24"/>
      <w:lang w:eastAsia="es-MX"/>
    </w:rPr>
  </w:style>
  <w:style w:type="character" w:styleId="Hipervnculo">
    <w:name w:val="Hyperlink"/>
    <w:aliases w:val="Hipervínculo1,Hipervínculo11,Hipervínculo12,Hipervínculo13,Hipervínculo14,Hipervínculo15"/>
    <w:basedOn w:val="Fuentedeprrafopredeter"/>
    <w:uiPriority w:val="99"/>
    <w:unhideWhenUsed/>
    <w:rsid w:val="00170967"/>
    <w:rPr>
      <w:color w:val="0563C1"/>
      <w:u w:val="single"/>
    </w:rPr>
  </w:style>
  <w:style w:type="paragraph" w:styleId="Sinespaciado">
    <w:name w:val="No Spacing"/>
    <w:aliases w:val="Francesa,INAI"/>
    <w:link w:val="SinespaciadoCar"/>
    <w:uiPriority w:val="1"/>
    <w:qFormat/>
    <w:rsid w:val="00170967"/>
    <w:rPr>
      <w:lang w:eastAsia="es-ES"/>
    </w:rPr>
  </w:style>
  <w:style w:type="character" w:customStyle="1" w:styleId="SinespaciadoCar">
    <w:name w:val="Sin espaciado Car"/>
    <w:aliases w:val="Francesa Car,INAI Car"/>
    <w:link w:val="Sinespaciado"/>
    <w:uiPriority w:val="1"/>
    <w:qFormat/>
    <w:locked/>
    <w:rsid w:val="00170967"/>
    <w:rPr>
      <w:rFonts w:ascii="Times New Roman" w:eastAsia="Times New Roman" w:hAnsi="Times New Roman" w:cs="Times New Roman"/>
      <w:sz w:val="24"/>
      <w:szCs w:val="24"/>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styleId="Tablaconcuadrcula">
    <w:name w:val="Table Grid"/>
    <w:basedOn w:val="Tablanormal"/>
    <w:uiPriority w:val="39"/>
    <w:qFormat/>
    <w:rsid w:val="00E82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C262E9"/>
    <w:rPr>
      <w:b/>
      <w:sz w:val="28"/>
      <w:szCs w:val="28"/>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05D6F"/>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05D6F"/>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005D6F"/>
    <w:rPr>
      <w:vertAlign w:val="superscript"/>
    </w:rPr>
  </w:style>
  <w:style w:type="paragraph" w:customStyle="1" w:styleId="Texto">
    <w:name w:val="Texto"/>
    <w:basedOn w:val="Normal"/>
    <w:link w:val="TextoCar"/>
    <w:rsid w:val="00005D6F"/>
    <w:pPr>
      <w:spacing w:after="101" w:line="216" w:lineRule="exact"/>
      <w:ind w:firstLine="288"/>
      <w:jc w:val="both"/>
    </w:pPr>
    <w:rPr>
      <w:rFonts w:ascii="Arial" w:hAnsi="Arial" w:cs="Arial"/>
      <w:sz w:val="18"/>
      <w:szCs w:val="20"/>
      <w:lang w:val="es-ES" w:eastAsia="es-ES"/>
    </w:rPr>
  </w:style>
  <w:style w:type="paragraph" w:styleId="Textosinformato">
    <w:name w:val="Plain Text"/>
    <w:basedOn w:val="Normal"/>
    <w:link w:val="TextosinformatoCar"/>
    <w:rsid w:val="00005D6F"/>
    <w:rPr>
      <w:rFonts w:ascii="Courier New" w:hAnsi="Courier New" w:cs="Courier New"/>
      <w:sz w:val="20"/>
      <w:szCs w:val="20"/>
      <w:lang w:val="es-ES" w:eastAsia="es-ES"/>
    </w:rPr>
  </w:style>
  <w:style w:type="character" w:customStyle="1" w:styleId="TextosinformatoCar">
    <w:name w:val="Texto sin formato Car"/>
    <w:basedOn w:val="Fuentedeprrafopredeter"/>
    <w:link w:val="Textosinformato"/>
    <w:rsid w:val="00005D6F"/>
    <w:rPr>
      <w:rFonts w:ascii="Courier New" w:hAnsi="Courier New" w:cs="Courier New"/>
      <w:sz w:val="20"/>
      <w:szCs w:val="20"/>
      <w:lang w:val="es-ES" w:eastAsia="es-ES"/>
    </w:rPr>
  </w:style>
  <w:style w:type="character" w:customStyle="1" w:styleId="TextoCar">
    <w:name w:val="Texto Car"/>
    <w:link w:val="Texto"/>
    <w:locked/>
    <w:rsid w:val="00005D6F"/>
    <w:rPr>
      <w:rFonts w:ascii="Arial" w:hAnsi="Arial" w:cs="Arial"/>
      <w:sz w:val="18"/>
      <w:szCs w:val="20"/>
      <w:lang w:val="es-ES" w:eastAsia="es-ES"/>
    </w:rPr>
  </w:style>
  <w:style w:type="character" w:customStyle="1" w:styleId="PuestoCar">
    <w:name w:val="Puesto Car"/>
    <w:aliases w:val="Cita textual Car"/>
    <w:basedOn w:val="Fuentedeprrafopredeter"/>
    <w:link w:val="Puesto"/>
    <w:uiPriority w:val="10"/>
    <w:rsid w:val="004E049C"/>
    <w:rPr>
      <w:b/>
      <w:sz w:val="72"/>
      <w:szCs w:val="72"/>
    </w:rPr>
  </w:style>
  <w:style w:type="character" w:customStyle="1" w:styleId="Ttulo1Car">
    <w:name w:val="Título 1 Car"/>
    <w:basedOn w:val="Fuentedeprrafopredeter"/>
    <w:link w:val="Ttulo1"/>
    <w:rsid w:val="00AC0C67"/>
    <w:rPr>
      <w:b/>
      <w:sz w:val="48"/>
      <w:szCs w:val="48"/>
    </w:r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paragraph" w:styleId="TDC1">
    <w:name w:val="toc 1"/>
    <w:basedOn w:val="Normal"/>
    <w:next w:val="Normal"/>
    <w:autoRedefine/>
    <w:uiPriority w:val="39"/>
    <w:unhideWhenUsed/>
    <w:rsid w:val="0014208A"/>
    <w:pPr>
      <w:spacing w:after="100" w:line="259" w:lineRule="auto"/>
    </w:pPr>
    <w:rPr>
      <w:rFonts w:asciiTheme="minorHAnsi" w:eastAsiaTheme="minorHAnsi" w:hAnsiTheme="minorHAnsi" w:cstheme="minorBidi"/>
      <w:sz w:val="22"/>
      <w:szCs w:val="22"/>
      <w:lang w:eastAsia="en-US"/>
    </w:rPr>
  </w:style>
  <w:style w:type="character" w:styleId="Hipervnculovisitado">
    <w:name w:val="FollowedHyperlink"/>
    <w:basedOn w:val="Fuentedeprrafopredeter"/>
    <w:uiPriority w:val="99"/>
    <w:semiHidden/>
    <w:unhideWhenUsed/>
    <w:rsid w:val="003F54D1"/>
    <w:rPr>
      <w:color w:val="954F72" w:themeColor="followedHyperlink"/>
      <w:u w:val="single"/>
    </w:r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paragraph" w:customStyle="1" w:styleId="Default">
    <w:name w:val="Default"/>
    <w:rsid w:val="00B13887"/>
    <w:pPr>
      <w:autoSpaceDE w:val="0"/>
      <w:autoSpaceDN w:val="0"/>
      <w:adjustRightInd w:val="0"/>
    </w:pPr>
    <w:rPr>
      <w:rFonts w:ascii="Arial" w:eastAsiaTheme="minorHAnsi" w:hAnsi="Arial" w:cs="Arial"/>
      <w:color w:val="000000"/>
      <w:lang w:eastAsia="en-US"/>
    </w:rPr>
  </w:style>
  <w:style w:type="paragraph" w:styleId="Sangradetextonormal">
    <w:name w:val="Body Text Indent"/>
    <w:basedOn w:val="Normal"/>
    <w:link w:val="SangradetextonormalCar"/>
    <w:uiPriority w:val="99"/>
    <w:semiHidden/>
    <w:unhideWhenUsed/>
    <w:rsid w:val="00C72C29"/>
    <w:pPr>
      <w:spacing w:after="120"/>
      <w:ind w:left="283"/>
    </w:pPr>
  </w:style>
  <w:style w:type="character" w:customStyle="1" w:styleId="SangradetextonormalCar">
    <w:name w:val="Sangría de texto normal Car"/>
    <w:basedOn w:val="Fuentedeprrafopredeter"/>
    <w:link w:val="Sangradetextonormal"/>
    <w:uiPriority w:val="99"/>
    <w:semiHidden/>
    <w:rsid w:val="00C72C29"/>
  </w:style>
  <w:style w:type="paragraph" w:styleId="Textoindependienteprimerasangra2">
    <w:name w:val="Body Text First Indent 2"/>
    <w:basedOn w:val="Sangradetextonormal"/>
    <w:link w:val="Textoindependienteprimerasangra2Car"/>
    <w:uiPriority w:val="99"/>
    <w:unhideWhenUsed/>
    <w:rsid w:val="00C72C2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72C29"/>
  </w:style>
  <w:style w:type="paragraph" w:styleId="Textoindependiente">
    <w:name w:val="Body Text"/>
    <w:basedOn w:val="Normal"/>
    <w:link w:val="TextoindependienteCar"/>
    <w:uiPriority w:val="99"/>
    <w:semiHidden/>
    <w:unhideWhenUsed/>
    <w:rsid w:val="00371C34"/>
    <w:pPr>
      <w:spacing w:after="120"/>
    </w:pPr>
  </w:style>
  <w:style w:type="character" w:customStyle="1" w:styleId="TextoindependienteCar">
    <w:name w:val="Texto independiente Car"/>
    <w:basedOn w:val="Fuentedeprrafopredeter"/>
    <w:link w:val="Textoindependiente"/>
    <w:uiPriority w:val="99"/>
    <w:semiHidden/>
    <w:rsid w:val="00371C34"/>
  </w:style>
  <w:style w:type="table" w:customStyle="1" w:styleId="ad">
    <w:basedOn w:val="TableNormal1"/>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08" w:type="dxa"/>
        <w:right w:w="108" w:type="dxa"/>
      </w:tblCellMar>
    </w:tblPr>
  </w:style>
  <w:style w:type="table" w:customStyle="1" w:styleId="af5">
    <w:basedOn w:val="TableNormal1"/>
    <w:tblPr>
      <w:tblStyleRowBandSize w:val="1"/>
      <w:tblStyleColBandSize w:val="1"/>
      <w:tblCellMar>
        <w:left w:w="108" w:type="dxa"/>
        <w:right w:w="108" w:type="dxa"/>
      </w:tblCellMar>
    </w:tblPr>
  </w:style>
  <w:style w:type="table" w:customStyle="1" w:styleId="af6">
    <w:basedOn w:val="TableNormal1"/>
    <w:tblPr>
      <w:tblStyleRowBandSize w:val="1"/>
      <w:tblStyleColBandSize w:val="1"/>
      <w:tblCellMar>
        <w:left w:w="108" w:type="dxa"/>
        <w:right w:w="108" w:type="dxa"/>
      </w:tblCellMar>
    </w:tblPr>
  </w:style>
  <w:style w:type="table" w:customStyle="1" w:styleId="af7">
    <w:basedOn w:val="TableNormal1"/>
    <w:rPr>
      <w:color w:val="000000"/>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584382">
      <w:bodyDiv w:val="1"/>
      <w:marLeft w:val="0"/>
      <w:marRight w:val="0"/>
      <w:marTop w:val="0"/>
      <w:marBottom w:val="0"/>
      <w:divBdr>
        <w:top w:val="none" w:sz="0" w:space="0" w:color="auto"/>
        <w:left w:val="none" w:sz="0" w:space="0" w:color="auto"/>
        <w:bottom w:val="none" w:sz="0" w:space="0" w:color="auto"/>
        <w:right w:val="none" w:sz="0" w:space="0" w:color="auto"/>
      </w:divBdr>
    </w:div>
    <w:div w:id="2080130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i48dp60fknA62xMYmuG8Te+hCA==">CgMxLjAyCWguMzBqMHpsbDIJaC4zem55c2g3MgloLjJldDkycDAyCWguNGQzNG9nODIJaC40NHNpbmlvMgloLjNkeTZ2a20yCWguM2R5NnZrbTgAciExQnhORFRsOHZydmRvalpMV1ozaEtCVDZ2TFFldlhOX0w=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46</Pages>
  <Words>9662</Words>
  <Characters>53147</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INFOEM403</cp:lastModifiedBy>
  <cp:revision>8</cp:revision>
  <cp:lastPrinted>2025-02-13T16:19:00Z</cp:lastPrinted>
  <dcterms:created xsi:type="dcterms:W3CDTF">2025-02-10T19:35:00Z</dcterms:created>
  <dcterms:modified xsi:type="dcterms:W3CDTF">2025-03-25T20:54:00Z</dcterms:modified>
</cp:coreProperties>
</file>