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685B" w14:textId="77777777" w:rsidR="000B60F4" w:rsidRPr="00CF6287" w:rsidRDefault="004171A0">
      <w:pPr>
        <w:spacing w:line="360" w:lineRule="auto"/>
        <w:jc w:val="both"/>
        <w:rPr>
          <w:rFonts w:ascii="Palatino Linotype" w:eastAsia="Palatino Linotype" w:hAnsi="Palatino Linotype" w:cs="Palatino Linotype"/>
          <w:sz w:val="22"/>
          <w:szCs w:val="22"/>
        </w:rPr>
      </w:pPr>
      <w:bookmarkStart w:id="0" w:name="_heading=h.30j0zll" w:colFirst="0" w:colLast="0"/>
      <w:bookmarkEnd w:id="0"/>
      <w:r w:rsidRPr="00CF628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C04F36" w:rsidRPr="00CF6287">
        <w:rPr>
          <w:rFonts w:ascii="Palatino Linotype" w:eastAsia="Palatino Linotype" w:hAnsi="Palatino Linotype" w:cs="Palatino Linotype"/>
          <w:b/>
          <w:sz w:val="22"/>
          <w:szCs w:val="22"/>
        </w:rPr>
        <w:t>seis</w:t>
      </w:r>
      <w:r w:rsidRPr="00CF6287">
        <w:rPr>
          <w:rFonts w:ascii="Palatino Linotype" w:eastAsia="Palatino Linotype" w:hAnsi="Palatino Linotype" w:cs="Palatino Linotype"/>
          <w:b/>
          <w:sz w:val="22"/>
          <w:szCs w:val="22"/>
        </w:rPr>
        <w:t xml:space="preserve"> de </w:t>
      </w:r>
      <w:r w:rsidR="00022CD4" w:rsidRPr="00CF6287">
        <w:rPr>
          <w:rFonts w:ascii="Palatino Linotype" w:eastAsia="Palatino Linotype" w:hAnsi="Palatino Linotype" w:cs="Palatino Linotype"/>
          <w:b/>
          <w:sz w:val="22"/>
          <w:szCs w:val="22"/>
        </w:rPr>
        <w:t>marzo</w:t>
      </w:r>
      <w:r w:rsidRPr="00CF6287">
        <w:rPr>
          <w:rFonts w:ascii="Palatino Linotype" w:eastAsia="Palatino Linotype" w:hAnsi="Palatino Linotype" w:cs="Palatino Linotype"/>
          <w:b/>
          <w:sz w:val="22"/>
          <w:szCs w:val="22"/>
        </w:rPr>
        <w:t xml:space="preserve"> de dos mil veinticinco</w:t>
      </w:r>
      <w:r w:rsidR="00210B52" w:rsidRPr="00CF6287">
        <w:rPr>
          <w:rFonts w:ascii="Palatino Linotype" w:eastAsia="Palatino Linotype" w:hAnsi="Palatino Linotype" w:cs="Palatino Linotype"/>
          <w:b/>
          <w:sz w:val="22"/>
          <w:szCs w:val="22"/>
        </w:rPr>
        <w:t>.</w:t>
      </w:r>
    </w:p>
    <w:p w14:paraId="7F4A5946" w14:textId="77777777" w:rsidR="000B60F4" w:rsidRPr="00CF6287" w:rsidRDefault="000B60F4">
      <w:pPr>
        <w:spacing w:line="360" w:lineRule="auto"/>
        <w:jc w:val="both"/>
        <w:rPr>
          <w:rFonts w:ascii="Palatino Linotype" w:eastAsia="Palatino Linotype" w:hAnsi="Palatino Linotype" w:cs="Palatino Linotype"/>
          <w:sz w:val="22"/>
          <w:szCs w:val="22"/>
        </w:rPr>
      </w:pPr>
    </w:p>
    <w:p w14:paraId="624FDA0C" w14:textId="3A214BFF" w:rsidR="000B60F4" w:rsidRPr="00CF6287" w:rsidRDefault="004171A0">
      <w:pPr>
        <w:spacing w:line="360" w:lineRule="auto"/>
        <w:jc w:val="both"/>
        <w:rPr>
          <w:rFonts w:ascii="Palatino Linotype" w:eastAsia="Palatino Linotype" w:hAnsi="Palatino Linotype" w:cs="Palatino Linotype"/>
          <w:b/>
          <w:sz w:val="22"/>
          <w:szCs w:val="22"/>
        </w:rPr>
      </w:pPr>
      <w:r w:rsidRPr="00CF6287">
        <w:rPr>
          <w:rFonts w:ascii="Palatino Linotype" w:eastAsia="Palatino Linotype" w:hAnsi="Palatino Linotype" w:cs="Palatino Linotype"/>
          <w:b/>
          <w:sz w:val="22"/>
          <w:szCs w:val="22"/>
        </w:rPr>
        <w:t>Visto</w:t>
      </w:r>
      <w:r w:rsidRPr="00CF6287">
        <w:rPr>
          <w:rFonts w:ascii="Palatino Linotype" w:eastAsia="Palatino Linotype" w:hAnsi="Palatino Linotype" w:cs="Palatino Linotype"/>
          <w:sz w:val="22"/>
          <w:szCs w:val="22"/>
        </w:rPr>
        <w:t xml:space="preserve"> </w:t>
      </w:r>
      <w:r w:rsidR="00C04F36" w:rsidRPr="00CF6287">
        <w:rPr>
          <w:rFonts w:ascii="Palatino Linotype" w:eastAsia="Palatino Linotype" w:hAnsi="Palatino Linotype" w:cs="Palatino Linotype"/>
          <w:sz w:val="22"/>
          <w:szCs w:val="22"/>
        </w:rPr>
        <w:t>el</w:t>
      </w:r>
      <w:r w:rsidRPr="00CF6287">
        <w:rPr>
          <w:rFonts w:ascii="Palatino Linotype" w:eastAsia="Palatino Linotype" w:hAnsi="Palatino Linotype" w:cs="Palatino Linotype"/>
          <w:sz w:val="22"/>
          <w:szCs w:val="22"/>
        </w:rPr>
        <w:t xml:space="preserve"> expediente formado</w:t>
      </w:r>
      <w:r w:rsidR="00C04F36" w:rsidRPr="00CF6287">
        <w:rPr>
          <w:rFonts w:ascii="Palatino Linotype" w:eastAsia="Palatino Linotype" w:hAnsi="Palatino Linotype" w:cs="Palatino Linotype"/>
          <w:sz w:val="22"/>
          <w:szCs w:val="22"/>
        </w:rPr>
        <w:t xml:space="preserve"> con motivo de</w:t>
      </w:r>
      <w:r w:rsidRPr="00CF6287">
        <w:rPr>
          <w:rFonts w:ascii="Palatino Linotype" w:eastAsia="Palatino Linotype" w:hAnsi="Palatino Linotype" w:cs="Palatino Linotype"/>
          <w:sz w:val="22"/>
          <w:szCs w:val="22"/>
        </w:rPr>
        <w:t xml:space="preserve">l recurso de revisión </w:t>
      </w:r>
      <w:r w:rsidR="00022CD4" w:rsidRPr="00CF6287">
        <w:rPr>
          <w:rFonts w:ascii="Palatino Linotype" w:eastAsia="Palatino Linotype" w:hAnsi="Palatino Linotype" w:cs="Palatino Linotype"/>
          <w:b/>
          <w:sz w:val="22"/>
          <w:szCs w:val="22"/>
        </w:rPr>
        <w:t>00399/INFOEM/IP/RR/2025</w:t>
      </w:r>
      <w:r w:rsidR="00C04F36" w:rsidRPr="00CF6287">
        <w:rPr>
          <w:rFonts w:ascii="Palatino Linotype" w:eastAsia="Palatino Linotype" w:hAnsi="Palatino Linotype" w:cs="Palatino Linotype"/>
          <w:sz w:val="22"/>
          <w:szCs w:val="22"/>
        </w:rPr>
        <w:t>, promovido</w:t>
      </w:r>
      <w:r w:rsidRPr="00CF6287">
        <w:rPr>
          <w:rFonts w:ascii="Palatino Linotype" w:eastAsia="Palatino Linotype" w:hAnsi="Palatino Linotype" w:cs="Palatino Linotype"/>
          <w:sz w:val="22"/>
          <w:szCs w:val="22"/>
        </w:rPr>
        <w:t xml:space="preserve"> por </w:t>
      </w:r>
      <w:r w:rsidR="0012450B" w:rsidRPr="0012450B">
        <w:rPr>
          <w:rFonts w:ascii="Palatino Linotype" w:eastAsia="Palatino Linotype" w:hAnsi="Palatino Linotype" w:cs="Palatino Linotype"/>
          <w:b/>
          <w:sz w:val="22"/>
          <w:szCs w:val="22"/>
        </w:rPr>
        <w:t>XXXXXX XXXXXXXX XXXXXX</w:t>
      </w:r>
      <w:r w:rsidRPr="00CF6287">
        <w:rPr>
          <w:rFonts w:ascii="Palatino Linotype" w:eastAsia="Palatino Linotype" w:hAnsi="Palatino Linotype" w:cs="Palatino Linotype"/>
          <w:b/>
          <w:sz w:val="22"/>
          <w:szCs w:val="22"/>
        </w:rPr>
        <w:t xml:space="preserve">, </w:t>
      </w:r>
      <w:r w:rsidRPr="00CF6287">
        <w:rPr>
          <w:rFonts w:ascii="Palatino Linotype" w:eastAsia="Palatino Linotype" w:hAnsi="Palatino Linotype" w:cs="Palatino Linotype"/>
          <w:sz w:val="22"/>
          <w:szCs w:val="22"/>
        </w:rPr>
        <w:t xml:space="preserve">en lo sucesivo </w:t>
      </w:r>
      <w:r w:rsidRPr="00CF6287">
        <w:rPr>
          <w:rFonts w:ascii="Palatino Linotype" w:eastAsia="Palatino Linotype" w:hAnsi="Palatino Linotype" w:cs="Palatino Linotype"/>
          <w:b/>
          <w:sz w:val="22"/>
          <w:szCs w:val="22"/>
        </w:rPr>
        <w:t>la parte Recurrente,</w:t>
      </w:r>
      <w:r w:rsidRPr="00CF6287">
        <w:rPr>
          <w:rFonts w:ascii="Palatino Linotype" w:eastAsia="Palatino Linotype" w:hAnsi="Palatino Linotype" w:cs="Palatino Linotype"/>
          <w:sz w:val="22"/>
          <w:szCs w:val="22"/>
        </w:rPr>
        <w:t xml:space="preserve"> en contra de la respuesta por parte del</w:t>
      </w:r>
      <w:r w:rsidRPr="00CF6287">
        <w:rPr>
          <w:rFonts w:ascii="Palatino Linotype" w:eastAsia="Palatino Linotype" w:hAnsi="Palatino Linotype" w:cs="Palatino Linotype"/>
          <w:b/>
          <w:sz w:val="22"/>
          <w:szCs w:val="22"/>
        </w:rPr>
        <w:t xml:space="preserve"> </w:t>
      </w:r>
      <w:r w:rsidR="00022CD4" w:rsidRPr="00CF6287">
        <w:rPr>
          <w:rFonts w:ascii="Palatino Linotype" w:eastAsia="Palatino Linotype" w:hAnsi="Palatino Linotype" w:cs="Palatino Linotype"/>
          <w:b/>
          <w:sz w:val="22"/>
          <w:szCs w:val="22"/>
        </w:rPr>
        <w:t>Colegio de Bachilleres del Estado de México</w:t>
      </w:r>
      <w:r w:rsidRPr="00CF6287">
        <w:rPr>
          <w:rFonts w:ascii="Palatino Linotype" w:eastAsia="Palatino Linotype" w:hAnsi="Palatino Linotype" w:cs="Palatino Linotype"/>
          <w:sz w:val="22"/>
          <w:szCs w:val="22"/>
        </w:rPr>
        <w:t xml:space="preserve"> en lo sucesivo </w:t>
      </w:r>
      <w:r w:rsidRPr="00CF6287">
        <w:rPr>
          <w:rFonts w:ascii="Palatino Linotype" w:eastAsia="Palatino Linotype" w:hAnsi="Palatino Linotype" w:cs="Palatino Linotype"/>
          <w:b/>
          <w:sz w:val="22"/>
          <w:szCs w:val="22"/>
        </w:rPr>
        <w:t>el Sujeto Obligado o Responsable</w:t>
      </w:r>
      <w:r w:rsidRPr="00CF6287">
        <w:rPr>
          <w:rFonts w:ascii="Palatino Linotype" w:eastAsia="Palatino Linotype" w:hAnsi="Palatino Linotype" w:cs="Palatino Linotype"/>
          <w:sz w:val="22"/>
          <w:szCs w:val="22"/>
        </w:rPr>
        <w:t xml:space="preserve">, se procede a dictar la presente resolución con base en los siguientes: </w:t>
      </w:r>
    </w:p>
    <w:p w14:paraId="2C6CF5DF" w14:textId="77777777" w:rsidR="000B60F4" w:rsidRPr="00CF6287" w:rsidRDefault="000B60F4">
      <w:pPr>
        <w:spacing w:line="360" w:lineRule="auto"/>
        <w:jc w:val="both"/>
        <w:rPr>
          <w:rFonts w:ascii="Palatino Linotype" w:eastAsia="Palatino Linotype" w:hAnsi="Palatino Linotype" w:cs="Palatino Linotype"/>
          <w:sz w:val="22"/>
          <w:szCs w:val="22"/>
        </w:rPr>
      </w:pPr>
    </w:p>
    <w:p w14:paraId="6B213AFC" w14:textId="77777777" w:rsidR="000B60F4" w:rsidRPr="00CF6287" w:rsidRDefault="004171A0" w:rsidP="00210B52">
      <w:pPr>
        <w:numPr>
          <w:ilvl w:val="0"/>
          <w:numId w:val="5"/>
        </w:numPr>
        <w:pBdr>
          <w:top w:val="nil"/>
          <w:left w:val="nil"/>
          <w:bottom w:val="nil"/>
          <w:right w:val="nil"/>
          <w:between w:val="nil"/>
        </w:pBdr>
        <w:spacing w:line="360" w:lineRule="auto"/>
        <w:ind w:left="567" w:right="332" w:hanging="283"/>
        <w:jc w:val="center"/>
        <w:rPr>
          <w:rFonts w:ascii="Palatino Linotype" w:eastAsia="Palatino Linotype" w:hAnsi="Palatino Linotype" w:cs="Palatino Linotype"/>
          <w:b/>
          <w:sz w:val="22"/>
          <w:szCs w:val="22"/>
        </w:rPr>
      </w:pPr>
      <w:r w:rsidRPr="00CF6287">
        <w:rPr>
          <w:rFonts w:ascii="Palatino Linotype" w:eastAsia="Palatino Linotype" w:hAnsi="Palatino Linotype" w:cs="Palatino Linotype"/>
          <w:b/>
          <w:sz w:val="22"/>
          <w:szCs w:val="22"/>
        </w:rPr>
        <w:t>A N T E C E D E N T E S:</w:t>
      </w:r>
    </w:p>
    <w:p w14:paraId="74E0C09E" w14:textId="77777777" w:rsidR="000B60F4" w:rsidRPr="00CF6287" w:rsidRDefault="000B60F4">
      <w:pPr>
        <w:pBdr>
          <w:top w:val="nil"/>
          <w:left w:val="nil"/>
          <w:bottom w:val="nil"/>
          <w:right w:val="nil"/>
          <w:between w:val="nil"/>
        </w:pBdr>
        <w:spacing w:line="360" w:lineRule="auto"/>
        <w:ind w:left="567" w:right="332"/>
        <w:rPr>
          <w:rFonts w:ascii="Palatino Linotype" w:eastAsia="Palatino Linotype" w:hAnsi="Palatino Linotype" w:cs="Palatino Linotype"/>
          <w:b/>
          <w:sz w:val="22"/>
          <w:szCs w:val="22"/>
        </w:rPr>
      </w:pPr>
    </w:p>
    <w:p w14:paraId="1BBF33B7" w14:textId="77777777" w:rsidR="00DE28AA" w:rsidRPr="00CF6287" w:rsidRDefault="004171A0" w:rsidP="00DE28A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b/>
          <w:sz w:val="22"/>
          <w:szCs w:val="22"/>
        </w:rPr>
        <w:t xml:space="preserve">1. Solicitud. </w:t>
      </w:r>
      <w:r w:rsidRPr="00CF6287">
        <w:rPr>
          <w:rFonts w:ascii="Palatino Linotype" w:eastAsia="Palatino Linotype" w:hAnsi="Palatino Linotype" w:cs="Palatino Linotype"/>
          <w:sz w:val="22"/>
          <w:szCs w:val="22"/>
        </w:rPr>
        <w:t xml:space="preserve">El </w:t>
      </w:r>
      <w:r w:rsidR="00022CD4" w:rsidRPr="00CF6287">
        <w:rPr>
          <w:rFonts w:ascii="Palatino Linotype" w:eastAsia="Palatino Linotype" w:hAnsi="Palatino Linotype" w:cs="Palatino Linotype"/>
          <w:b/>
          <w:sz w:val="22"/>
          <w:szCs w:val="22"/>
        </w:rPr>
        <w:t>diecisiete</w:t>
      </w:r>
      <w:r w:rsidRPr="00CF6287">
        <w:rPr>
          <w:rFonts w:ascii="Palatino Linotype" w:eastAsia="Palatino Linotype" w:hAnsi="Palatino Linotype" w:cs="Palatino Linotype"/>
          <w:b/>
          <w:sz w:val="22"/>
          <w:szCs w:val="22"/>
        </w:rPr>
        <w:t xml:space="preserve"> de </w:t>
      </w:r>
      <w:r w:rsidR="00022CD4" w:rsidRPr="00CF6287">
        <w:rPr>
          <w:rFonts w:ascii="Palatino Linotype" w:eastAsia="Palatino Linotype" w:hAnsi="Palatino Linotype" w:cs="Palatino Linotype"/>
          <w:b/>
          <w:sz w:val="22"/>
          <w:szCs w:val="22"/>
        </w:rPr>
        <w:t>diciembre</w:t>
      </w:r>
      <w:r w:rsidRPr="00CF6287">
        <w:rPr>
          <w:rFonts w:ascii="Palatino Linotype" w:eastAsia="Palatino Linotype" w:hAnsi="Palatino Linotype" w:cs="Palatino Linotype"/>
          <w:b/>
          <w:sz w:val="22"/>
          <w:szCs w:val="22"/>
        </w:rPr>
        <w:t xml:space="preserve"> de dos mil veinticuatro</w:t>
      </w:r>
      <w:r w:rsidRPr="00CF6287">
        <w:rPr>
          <w:rFonts w:ascii="Palatino Linotype" w:eastAsia="Palatino Linotype" w:hAnsi="Palatino Linotype" w:cs="Palatino Linotype"/>
          <w:sz w:val="22"/>
          <w:szCs w:val="22"/>
        </w:rPr>
        <w:t xml:space="preserve">, </w:t>
      </w:r>
      <w:r w:rsidRPr="00CF6287">
        <w:rPr>
          <w:rFonts w:ascii="Palatino Linotype" w:eastAsia="Palatino Linotype" w:hAnsi="Palatino Linotype" w:cs="Palatino Linotype"/>
          <w:b/>
          <w:sz w:val="22"/>
          <w:szCs w:val="22"/>
        </w:rPr>
        <w:t>la parte Recurrente</w:t>
      </w:r>
      <w:r w:rsidRPr="00CF6287">
        <w:rPr>
          <w:rFonts w:ascii="Palatino Linotype" w:eastAsia="Palatino Linotype" w:hAnsi="Palatino Linotype" w:cs="Palatino Linotype"/>
          <w:sz w:val="22"/>
          <w:szCs w:val="22"/>
        </w:rPr>
        <w:t xml:space="preserve"> presentó</w:t>
      </w:r>
      <w:r w:rsidR="00C04F36" w:rsidRPr="00CF6287">
        <w:rPr>
          <w:rFonts w:ascii="Palatino Linotype" w:eastAsia="Palatino Linotype" w:hAnsi="Palatino Linotype" w:cs="Palatino Linotype"/>
          <w:sz w:val="22"/>
          <w:szCs w:val="22"/>
        </w:rPr>
        <w:t xml:space="preserve"> a través del Sistema de Acceso a la Información Mexiquense (SAIMEX)</w:t>
      </w:r>
      <w:r w:rsidRPr="00CF6287">
        <w:rPr>
          <w:rFonts w:ascii="Palatino Linotype" w:eastAsia="Palatino Linotype" w:hAnsi="Palatino Linotype" w:cs="Palatino Linotype"/>
          <w:sz w:val="22"/>
          <w:szCs w:val="22"/>
        </w:rPr>
        <w:t xml:space="preserve">, ante </w:t>
      </w:r>
      <w:r w:rsidRPr="00CF6287">
        <w:rPr>
          <w:rFonts w:ascii="Palatino Linotype" w:eastAsia="Palatino Linotype" w:hAnsi="Palatino Linotype" w:cs="Palatino Linotype"/>
          <w:b/>
          <w:sz w:val="22"/>
          <w:szCs w:val="22"/>
        </w:rPr>
        <w:t>el Sujeto Obligado</w:t>
      </w:r>
      <w:r w:rsidRPr="00CF6287">
        <w:rPr>
          <w:rFonts w:ascii="Palatino Linotype" w:eastAsia="Palatino Linotype" w:hAnsi="Palatino Linotype" w:cs="Palatino Linotype"/>
          <w:sz w:val="22"/>
          <w:szCs w:val="22"/>
        </w:rPr>
        <w:t xml:space="preserve">, la solicitud de </w:t>
      </w:r>
      <w:r w:rsidR="00C04F36" w:rsidRPr="00CF6287">
        <w:rPr>
          <w:rFonts w:ascii="Palatino Linotype" w:eastAsia="Palatino Linotype" w:hAnsi="Palatino Linotype" w:cs="Palatino Linotype"/>
          <w:sz w:val="22"/>
          <w:szCs w:val="22"/>
        </w:rPr>
        <w:t>acceso a la información pública, a la</w:t>
      </w:r>
      <w:r w:rsidRPr="00CF6287">
        <w:rPr>
          <w:rFonts w:ascii="Palatino Linotype" w:eastAsia="Palatino Linotype" w:hAnsi="Palatino Linotype" w:cs="Palatino Linotype"/>
          <w:sz w:val="22"/>
          <w:szCs w:val="22"/>
        </w:rPr>
        <w:t xml:space="preserve"> que se le</w:t>
      </w:r>
      <w:r w:rsidR="00C04F36" w:rsidRPr="00CF6287">
        <w:rPr>
          <w:rFonts w:ascii="Palatino Linotype" w:eastAsia="Palatino Linotype" w:hAnsi="Palatino Linotype" w:cs="Palatino Linotype"/>
          <w:sz w:val="22"/>
          <w:szCs w:val="22"/>
        </w:rPr>
        <w:t xml:space="preserve"> asignó el número</w:t>
      </w:r>
      <w:r w:rsidRPr="00CF6287">
        <w:rPr>
          <w:rFonts w:ascii="Palatino Linotype" w:eastAsia="Palatino Linotype" w:hAnsi="Palatino Linotype" w:cs="Palatino Linotype"/>
          <w:sz w:val="22"/>
          <w:szCs w:val="22"/>
        </w:rPr>
        <w:t xml:space="preserve"> de folio </w:t>
      </w:r>
      <w:r w:rsidRPr="00CF6287">
        <w:rPr>
          <w:rFonts w:ascii="Palatino Linotype" w:eastAsia="Palatino Linotype" w:hAnsi="Palatino Linotype" w:cs="Palatino Linotype"/>
          <w:b/>
          <w:sz w:val="22"/>
          <w:szCs w:val="22"/>
        </w:rPr>
        <w:t>00</w:t>
      </w:r>
      <w:r w:rsidR="00022CD4" w:rsidRPr="00CF6287">
        <w:rPr>
          <w:rFonts w:ascii="Palatino Linotype" w:eastAsia="Palatino Linotype" w:hAnsi="Palatino Linotype" w:cs="Palatino Linotype"/>
          <w:b/>
          <w:sz w:val="22"/>
          <w:szCs w:val="22"/>
        </w:rPr>
        <w:t>177</w:t>
      </w:r>
      <w:r w:rsidRPr="00CF6287">
        <w:rPr>
          <w:rFonts w:ascii="Palatino Linotype" w:eastAsia="Palatino Linotype" w:hAnsi="Palatino Linotype" w:cs="Palatino Linotype"/>
          <w:b/>
          <w:sz w:val="22"/>
          <w:szCs w:val="22"/>
        </w:rPr>
        <w:t>/</w:t>
      </w:r>
      <w:r w:rsidR="00022CD4" w:rsidRPr="00CF6287">
        <w:rPr>
          <w:rFonts w:ascii="Palatino Linotype" w:eastAsia="Palatino Linotype" w:hAnsi="Palatino Linotype" w:cs="Palatino Linotype"/>
          <w:b/>
          <w:sz w:val="22"/>
          <w:szCs w:val="22"/>
        </w:rPr>
        <w:t>COBAEM</w:t>
      </w:r>
      <w:r w:rsidRPr="00CF6287">
        <w:rPr>
          <w:rFonts w:ascii="Palatino Linotype" w:eastAsia="Palatino Linotype" w:hAnsi="Palatino Linotype" w:cs="Palatino Linotype"/>
          <w:b/>
          <w:sz w:val="22"/>
          <w:szCs w:val="22"/>
        </w:rPr>
        <w:t>/</w:t>
      </w:r>
      <w:r w:rsidR="00C04F36" w:rsidRPr="00CF6287">
        <w:rPr>
          <w:rFonts w:ascii="Palatino Linotype" w:eastAsia="Palatino Linotype" w:hAnsi="Palatino Linotype" w:cs="Palatino Linotype"/>
          <w:b/>
          <w:sz w:val="22"/>
          <w:szCs w:val="22"/>
        </w:rPr>
        <w:t>IP</w:t>
      </w:r>
      <w:r w:rsidRPr="00CF6287">
        <w:rPr>
          <w:rFonts w:ascii="Palatino Linotype" w:eastAsia="Palatino Linotype" w:hAnsi="Palatino Linotype" w:cs="Palatino Linotype"/>
          <w:b/>
          <w:sz w:val="22"/>
          <w:szCs w:val="22"/>
        </w:rPr>
        <w:t>/</w:t>
      </w:r>
      <w:r w:rsidR="00C04F36" w:rsidRPr="00CF6287">
        <w:rPr>
          <w:rFonts w:ascii="Palatino Linotype" w:eastAsia="Palatino Linotype" w:hAnsi="Palatino Linotype" w:cs="Palatino Linotype"/>
          <w:b/>
          <w:sz w:val="22"/>
          <w:szCs w:val="22"/>
        </w:rPr>
        <w:t>2024</w:t>
      </w:r>
      <w:r w:rsidRPr="00CF6287">
        <w:rPr>
          <w:rFonts w:ascii="Palatino Linotype" w:eastAsia="Palatino Linotype" w:hAnsi="Palatino Linotype" w:cs="Palatino Linotype"/>
          <w:sz w:val="22"/>
          <w:szCs w:val="22"/>
        </w:rPr>
        <w:t xml:space="preserve">, </w:t>
      </w:r>
      <w:r w:rsidR="00C04F36" w:rsidRPr="00CF6287">
        <w:rPr>
          <w:rFonts w:ascii="Palatino Linotype" w:eastAsia="Palatino Linotype" w:hAnsi="Palatino Linotype" w:cs="Palatino Linotype"/>
          <w:sz w:val="22"/>
          <w:szCs w:val="22"/>
        </w:rPr>
        <w:t xml:space="preserve">en la que </w:t>
      </w:r>
      <w:r w:rsidRPr="00CF6287">
        <w:rPr>
          <w:rFonts w:ascii="Palatino Linotype" w:eastAsia="Palatino Linotype" w:hAnsi="Palatino Linotype" w:cs="Palatino Linotype"/>
          <w:sz w:val="22"/>
          <w:szCs w:val="22"/>
        </w:rPr>
        <w:t xml:space="preserve">requirió lo siguiente: </w:t>
      </w:r>
    </w:p>
    <w:p w14:paraId="31352ABE" w14:textId="77777777" w:rsidR="00CB685B" w:rsidRPr="00CF6287" w:rsidRDefault="00CB685B" w:rsidP="00CB685B">
      <w:pPr>
        <w:spacing w:before="240" w:after="240" w:line="360" w:lineRule="auto"/>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sz w:val="22"/>
          <w:szCs w:val="22"/>
        </w:rPr>
        <w:t xml:space="preserve">De un servidor público, adscrito a un plantel del Colegio de Bachilleres del Estado de México, en relación con el Anexo de Ejecución 0236/2024 celebrado entre el Ejecutivo Federal, Gobierno del Estado de México y el Colegio de Bachilleres, el diez de enero del dos mil veinticuatro, que incluye el Apartado Analítico de servicios personales 2024, plazas, horas y sueldos autorizados, se requiere la siguiente información: </w:t>
      </w:r>
    </w:p>
    <w:p w14:paraId="5FB576E4" w14:textId="77777777" w:rsidR="00CB685B" w:rsidRPr="00CF6287" w:rsidRDefault="00CB685B" w:rsidP="00CB685B">
      <w:pPr>
        <w:pStyle w:val="Prrafodelista"/>
        <w:numPr>
          <w:ilvl w:val="0"/>
          <w:numId w:val="25"/>
        </w:numPr>
        <w:tabs>
          <w:tab w:val="left" w:pos="411"/>
        </w:tabs>
        <w:spacing w:before="120" w:after="120" w:line="360" w:lineRule="auto"/>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i/>
          <w:sz w:val="22"/>
          <w:szCs w:val="22"/>
        </w:rPr>
        <w:t>Monto total individualizado asignado a la plaza del servidor público, como ingreso bruto, que debió y debe percibir en el ejercicio 2024;</w:t>
      </w:r>
    </w:p>
    <w:p w14:paraId="4F9EE7B0" w14:textId="77777777" w:rsidR="00CB685B" w:rsidRPr="00CF6287" w:rsidRDefault="00CB685B" w:rsidP="00CB685B">
      <w:pPr>
        <w:pStyle w:val="Prrafodelista"/>
        <w:numPr>
          <w:ilvl w:val="0"/>
          <w:numId w:val="25"/>
        </w:numPr>
        <w:tabs>
          <w:tab w:val="left" w:pos="411"/>
        </w:tabs>
        <w:spacing w:before="120" w:after="120" w:line="360" w:lineRule="auto"/>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i/>
          <w:sz w:val="22"/>
          <w:szCs w:val="22"/>
        </w:rPr>
        <w:t>Monto detallado anual que debió aplicarse por concepto tanto de percepciones como de deducciones -cuyos conceptos se precisaron en cada caso, respecto del ejercicio 2024-.</w:t>
      </w:r>
    </w:p>
    <w:p w14:paraId="1E2B2321" w14:textId="77777777" w:rsidR="00CB685B" w:rsidRPr="00CF6287" w:rsidRDefault="00CB685B" w:rsidP="00CB685B">
      <w:pPr>
        <w:pStyle w:val="Prrafodelista"/>
        <w:numPr>
          <w:ilvl w:val="0"/>
          <w:numId w:val="25"/>
        </w:numPr>
        <w:tabs>
          <w:tab w:val="left" w:pos="411"/>
        </w:tabs>
        <w:spacing w:before="120" w:after="120" w:line="360" w:lineRule="auto"/>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i/>
          <w:sz w:val="22"/>
          <w:szCs w:val="22"/>
        </w:rPr>
        <w:lastRenderedPageBreak/>
        <w:t>En caso de que exista diferencia salarial entre lo autorizado en el Anexo de Ejecución y lo que realmente se ha pagado en 2024, se informe el monto que dejó de percibir el servidor público y los conceptos, en los cuales se aplicó la deducción.</w:t>
      </w:r>
    </w:p>
    <w:p w14:paraId="5C580016" w14:textId="77777777" w:rsidR="006B5CDF" w:rsidRPr="00CF6287" w:rsidRDefault="006B5CDF" w:rsidP="006B5CDF">
      <w:pPr>
        <w:pStyle w:val="Prrafodelista"/>
        <w:tabs>
          <w:tab w:val="left" w:pos="411"/>
        </w:tabs>
        <w:spacing w:before="120" w:after="120" w:line="360" w:lineRule="auto"/>
        <w:ind w:left="771"/>
        <w:jc w:val="both"/>
        <w:rPr>
          <w:rFonts w:ascii="Palatino Linotype" w:eastAsia="Palatino Linotype" w:hAnsi="Palatino Linotype" w:cs="Palatino Linotype"/>
          <w:i/>
          <w:sz w:val="22"/>
          <w:szCs w:val="22"/>
        </w:rPr>
      </w:pPr>
    </w:p>
    <w:p w14:paraId="6BC67EE9" w14:textId="77777777" w:rsidR="0064421C" w:rsidRPr="00CF6287" w:rsidRDefault="0064421C" w:rsidP="00816E55">
      <w:pPr>
        <w:pBdr>
          <w:top w:val="nil"/>
          <w:left w:val="nil"/>
          <w:bottom w:val="nil"/>
          <w:right w:val="nil"/>
          <w:between w:val="nil"/>
        </w:pBdr>
        <w:spacing w:line="360" w:lineRule="auto"/>
        <w:ind w:right="332"/>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El Recurrente adjuntó el documento denominado </w:t>
      </w:r>
      <w:r w:rsidRPr="00CF6287">
        <w:rPr>
          <w:rFonts w:ascii="Palatino Linotype" w:eastAsia="Palatino Linotype" w:hAnsi="Palatino Linotype" w:cs="Palatino Linotype"/>
          <w:b/>
          <w:sz w:val="22"/>
          <w:szCs w:val="22"/>
        </w:rPr>
        <w:t>ANEXO DE EJECUCIÓN.pdf</w:t>
      </w:r>
      <w:r w:rsidRPr="00CF6287">
        <w:rPr>
          <w:rFonts w:ascii="Palatino Linotype" w:eastAsia="Palatino Linotype" w:hAnsi="Palatino Linotype" w:cs="Palatino Linotype"/>
          <w:sz w:val="22"/>
          <w:szCs w:val="22"/>
        </w:rPr>
        <w:t xml:space="preserve">, cuyo contenido es un fragmento del </w:t>
      </w:r>
      <w:r w:rsidRPr="00CF6287">
        <w:rPr>
          <w:rFonts w:ascii="Palatino Linotype" w:hAnsi="Palatino Linotype" w:cs="Palatino Linotype"/>
          <w:iCs/>
          <w:sz w:val="22"/>
          <w:szCs w:val="22"/>
        </w:rPr>
        <w:t>Anexo de Ejecución/Apoyo Financiero 2024 SEMS-ELCOBAEM/MÉXICO de fecha diez de enero de dos mil veinticuatro que celebró el Ejecutivo Federal con el Gobierno del Estado de México, asistido de la Secretaría de Finanzas y el Colegio de Bachilleres del Estado de México</w:t>
      </w:r>
      <w:r w:rsidR="001C244A" w:rsidRPr="00CF6287">
        <w:rPr>
          <w:rFonts w:ascii="Palatino Linotype" w:hAnsi="Palatino Linotype" w:cs="Palatino Linotype"/>
          <w:iCs/>
          <w:sz w:val="22"/>
          <w:szCs w:val="22"/>
        </w:rPr>
        <w:t>.</w:t>
      </w:r>
    </w:p>
    <w:p w14:paraId="38FF9C04" w14:textId="77777777" w:rsidR="000B60F4" w:rsidRPr="00CF6287" w:rsidRDefault="000B60F4">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p>
    <w:p w14:paraId="41112A88" w14:textId="77777777" w:rsidR="000B60F4" w:rsidRPr="00CF6287" w:rsidRDefault="0064421C" w:rsidP="00AE3B3E">
      <w:pPr>
        <w:pBdr>
          <w:top w:val="nil"/>
          <w:left w:val="nil"/>
          <w:bottom w:val="nil"/>
          <w:right w:val="nil"/>
          <w:between w:val="nil"/>
        </w:pBdr>
        <w:spacing w:line="276" w:lineRule="auto"/>
        <w:ind w:right="1183"/>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b/>
          <w:sz w:val="22"/>
          <w:szCs w:val="22"/>
        </w:rPr>
        <w:t>Modalidad de acceso</w:t>
      </w:r>
      <w:r w:rsidR="004171A0" w:rsidRPr="00CF6287">
        <w:rPr>
          <w:rFonts w:ascii="Palatino Linotype" w:eastAsia="Palatino Linotype" w:hAnsi="Palatino Linotype" w:cs="Palatino Linotype"/>
          <w:b/>
          <w:sz w:val="22"/>
          <w:szCs w:val="22"/>
        </w:rPr>
        <w:t>:</w:t>
      </w:r>
      <w:r w:rsidR="004171A0" w:rsidRPr="00CF6287">
        <w:rPr>
          <w:rFonts w:ascii="Palatino Linotype" w:eastAsia="Palatino Linotype" w:hAnsi="Palatino Linotype" w:cs="Palatino Linotype"/>
          <w:sz w:val="22"/>
          <w:szCs w:val="22"/>
        </w:rPr>
        <w:t xml:space="preserve"> A través de </w:t>
      </w:r>
      <w:r w:rsidR="00C04F36" w:rsidRPr="00CF6287">
        <w:rPr>
          <w:rFonts w:ascii="Palatino Linotype" w:eastAsia="Palatino Linotype" w:hAnsi="Palatino Linotype" w:cs="Palatino Linotype"/>
          <w:sz w:val="22"/>
          <w:szCs w:val="22"/>
        </w:rPr>
        <w:t>SAIMEX</w:t>
      </w:r>
      <w:r w:rsidR="00E227D1" w:rsidRPr="00CF6287">
        <w:rPr>
          <w:rFonts w:ascii="Palatino Linotype" w:eastAsia="Palatino Linotype" w:hAnsi="Palatino Linotype" w:cs="Palatino Linotype"/>
          <w:sz w:val="22"/>
          <w:szCs w:val="22"/>
        </w:rPr>
        <w:t xml:space="preserve"> y correo electrónico</w:t>
      </w:r>
      <w:r w:rsidR="00CC3966" w:rsidRPr="00CF6287">
        <w:rPr>
          <w:rFonts w:ascii="Palatino Linotype" w:eastAsia="Palatino Linotype" w:hAnsi="Palatino Linotype" w:cs="Palatino Linotype"/>
          <w:sz w:val="22"/>
          <w:szCs w:val="22"/>
        </w:rPr>
        <w:t>.</w:t>
      </w:r>
    </w:p>
    <w:p w14:paraId="4A997E85" w14:textId="77777777" w:rsidR="000B60F4" w:rsidRPr="00CF6287" w:rsidRDefault="000B60F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D97895B" w14:textId="77777777" w:rsidR="000211D3" w:rsidRPr="00CF6287" w:rsidRDefault="004171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b/>
          <w:sz w:val="22"/>
          <w:szCs w:val="22"/>
        </w:rPr>
        <w:t>2.</w:t>
      </w:r>
      <w:r w:rsidRPr="00CF6287">
        <w:rPr>
          <w:rFonts w:ascii="Palatino Linotype" w:eastAsia="Palatino Linotype" w:hAnsi="Palatino Linotype" w:cs="Palatino Linotype"/>
          <w:sz w:val="22"/>
          <w:szCs w:val="22"/>
        </w:rPr>
        <w:t xml:space="preserve"> </w:t>
      </w:r>
      <w:r w:rsidRPr="00CF6287">
        <w:rPr>
          <w:rFonts w:ascii="Palatino Linotype" w:eastAsia="Palatino Linotype" w:hAnsi="Palatino Linotype" w:cs="Palatino Linotype"/>
          <w:b/>
          <w:sz w:val="22"/>
          <w:szCs w:val="22"/>
        </w:rPr>
        <w:t>Respuesta.</w:t>
      </w:r>
      <w:r w:rsidRPr="00CF6287">
        <w:rPr>
          <w:rFonts w:ascii="Palatino Linotype" w:eastAsia="Palatino Linotype" w:hAnsi="Palatino Linotype" w:cs="Palatino Linotype"/>
          <w:sz w:val="22"/>
          <w:szCs w:val="22"/>
        </w:rPr>
        <w:t xml:space="preserve"> </w:t>
      </w:r>
      <w:r w:rsidR="000211D3" w:rsidRPr="00CF6287">
        <w:rPr>
          <w:rFonts w:ascii="Palatino Linotype" w:eastAsia="Palatino Linotype" w:hAnsi="Palatino Linotype" w:cs="Palatino Linotype"/>
          <w:sz w:val="22"/>
          <w:szCs w:val="22"/>
        </w:rPr>
        <w:t xml:space="preserve">El </w:t>
      </w:r>
      <w:r w:rsidR="00816E55" w:rsidRPr="00CF6287">
        <w:rPr>
          <w:rFonts w:ascii="Palatino Linotype" w:eastAsia="Palatino Linotype" w:hAnsi="Palatino Linotype" w:cs="Palatino Linotype"/>
          <w:b/>
          <w:sz w:val="22"/>
          <w:szCs w:val="22"/>
        </w:rPr>
        <w:t>diecisiete</w:t>
      </w:r>
      <w:r w:rsidR="000211D3" w:rsidRPr="00CF6287">
        <w:rPr>
          <w:rFonts w:ascii="Palatino Linotype" w:eastAsia="Palatino Linotype" w:hAnsi="Palatino Linotype" w:cs="Palatino Linotype"/>
          <w:b/>
          <w:sz w:val="22"/>
          <w:szCs w:val="22"/>
        </w:rPr>
        <w:t xml:space="preserve"> de </w:t>
      </w:r>
      <w:r w:rsidR="00816E55" w:rsidRPr="00CF6287">
        <w:rPr>
          <w:rFonts w:ascii="Palatino Linotype" w:eastAsia="Palatino Linotype" w:hAnsi="Palatino Linotype" w:cs="Palatino Linotype"/>
          <w:b/>
          <w:sz w:val="22"/>
          <w:szCs w:val="22"/>
        </w:rPr>
        <w:t>enero</w:t>
      </w:r>
      <w:r w:rsidR="000211D3" w:rsidRPr="00CF6287">
        <w:rPr>
          <w:rFonts w:ascii="Palatino Linotype" w:eastAsia="Palatino Linotype" w:hAnsi="Palatino Linotype" w:cs="Palatino Linotype"/>
          <w:b/>
          <w:sz w:val="22"/>
          <w:szCs w:val="22"/>
        </w:rPr>
        <w:t xml:space="preserve"> de dos mil veintic</w:t>
      </w:r>
      <w:r w:rsidR="00816E55" w:rsidRPr="00CF6287">
        <w:rPr>
          <w:rFonts w:ascii="Palatino Linotype" w:eastAsia="Palatino Linotype" w:hAnsi="Palatino Linotype" w:cs="Palatino Linotype"/>
          <w:b/>
          <w:sz w:val="22"/>
          <w:szCs w:val="22"/>
        </w:rPr>
        <w:t>inco</w:t>
      </w:r>
      <w:r w:rsidR="000211D3" w:rsidRPr="00CF6287">
        <w:rPr>
          <w:rFonts w:ascii="Palatino Linotype" w:eastAsia="Palatino Linotype" w:hAnsi="Palatino Linotype" w:cs="Palatino Linotype"/>
          <w:sz w:val="22"/>
          <w:szCs w:val="22"/>
        </w:rPr>
        <w:t xml:space="preserve"> dio respuesta a la solicitud en los siguientes términos:</w:t>
      </w:r>
    </w:p>
    <w:p w14:paraId="397D6E7B" w14:textId="77777777" w:rsidR="000211D3" w:rsidRPr="00CF6287" w:rsidRDefault="000211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C04396E" w14:textId="77777777" w:rsidR="00816E55" w:rsidRPr="00CF6287" w:rsidRDefault="00816E55" w:rsidP="00816E55">
      <w:pPr>
        <w:pBdr>
          <w:top w:val="nil"/>
          <w:left w:val="nil"/>
          <w:bottom w:val="nil"/>
          <w:right w:val="nil"/>
          <w:between w:val="nil"/>
        </w:pBdr>
        <w:spacing w:line="360" w:lineRule="auto"/>
        <w:ind w:left="567" w:right="899"/>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91BF525" w14:textId="77777777" w:rsidR="00816E55" w:rsidRPr="00CF6287" w:rsidRDefault="00816E55" w:rsidP="00816E55">
      <w:pPr>
        <w:pBdr>
          <w:top w:val="nil"/>
          <w:left w:val="nil"/>
          <w:bottom w:val="nil"/>
          <w:right w:val="nil"/>
          <w:between w:val="nil"/>
        </w:pBdr>
        <w:spacing w:line="360" w:lineRule="auto"/>
        <w:ind w:left="567" w:right="899"/>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i/>
          <w:sz w:val="22"/>
          <w:szCs w:val="22"/>
        </w:rPr>
        <w:t xml:space="preserve">Se adjunta oficio 228C0701040001L/0033/2025, signado por la Lic. Julia Leticia Domínguez bustos, </w:t>
      </w:r>
      <w:proofErr w:type="gramStart"/>
      <w:r w:rsidRPr="00CF6287">
        <w:rPr>
          <w:rFonts w:ascii="Palatino Linotype" w:eastAsia="Palatino Linotype" w:hAnsi="Palatino Linotype" w:cs="Palatino Linotype"/>
          <w:i/>
          <w:sz w:val="22"/>
          <w:szCs w:val="22"/>
        </w:rPr>
        <w:t>Jefa</w:t>
      </w:r>
      <w:proofErr w:type="gramEnd"/>
      <w:r w:rsidRPr="00CF6287">
        <w:rPr>
          <w:rFonts w:ascii="Palatino Linotype" w:eastAsia="Palatino Linotype" w:hAnsi="Palatino Linotype" w:cs="Palatino Linotype"/>
          <w:i/>
          <w:sz w:val="22"/>
          <w:szCs w:val="22"/>
        </w:rPr>
        <w:t xml:space="preserve"> del Departamento de Recursos Humanos, a través del cual se da respuesta a la información solicitada.</w:t>
      </w:r>
    </w:p>
    <w:p w14:paraId="70987184" w14:textId="77777777" w:rsidR="00816E55" w:rsidRPr="00CF6287" w:rsidRDefault="00816E55" w:rsidP="00816E55">
      <w:pPr>
        <w:pBdr>
          <w:top w:val="nil"/>
          <w:left w:val="nil"/>
          <w:bottom w:val="nil"/>
          <w:right w:val="nil"/>
          <w:between w:val="nil"/>
        </w:pBdr>
        <w:spacing w:line="360" w:lineRule="auto"/>
        <w:ind w:left="567" w:right="899"/>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i/>
          <w:sz w:val="22"/>
          <w:szCs w:val="22"/>
        </w:rPr>
        <w:t>ATENTAMENTE</w:t>
      </w:r>
    </w:p>
    <w:p w14:paraId="2347D66E" w14:textId="77777777" w:rsidR="000211D3" w:rsidRPr="00CF6287" w:rsidRDefault="00816E55" w:rsidP="00816E55">
      <w:pPr>
        <w:pBdr>
          <w:top w:val="nil"/>
          <w:left w:val="nil"/>
          <w:bottom w:val="nil"/>
          <w:right w:val="nil"/>
          <w:between w:val="nil"/>
        </w:pBdr>
        <w:spacing w:line="360" w:lineRule="auto"/>
        <w:ind w:left="567" w:right="899"/>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i/>
          <w:sz w:val="22"/>
          <w:szCs w:val="22"/>
        </w:rPr>
        <w:t>Ing. Carlos Andrés Hernández Monroy</w:t>
      </w:r>
    </w:p>
    <w:p w14:paraId="15FA0F02" w14:textId="77777777" w:rsidR="000211D3" w:rsidRPr="00CF6287" w:rsidRDefault="000211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51E796C" w14:textId="77777777" w:rsidR="007966B0" w:rsidRPr="00CF6287" w:rsidRDefault="000211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El Sujeto Obligado adjuntó el documento electrónico denominado </w:t>
      </w:r>
      <w:r w:rsidR="00816E55" w:rsidRPr="00CF6287">
        <w:rPr>
          <w:rFonts w:ascii="Palatino Linotype" w:eastAsia="Palatino Linotype" w:hAnsi="Palatino Linotype" w:cs="Palatino Linotype"/>
          <w:b/>
          <w:sz w:val="22"/>
          <w:szCs w:val="22"/>
        </w:rPr>
        <w:t>177.</w:t>
      </w:r>
      <w:r w:rsidRPr="00CF6287">
        <w:rPr>
          <w:rFonts w:ascii="Palatino Linotype" w:eastAsia="Palatino Linotype" w:hAnsi="Palatino Linotype" w:cs="Palatino Linotype"/>
          <w:b/>
          <w:sz w:val="22"/>
          <w:szCs w:val="22"/>
        </w:rPr>
        <w:t>pdf</w:t>
      </w:r>
      <w:r w:rsidRPr="00CF6287">
        <w:rPr>
          <w:rFonts w:ascii="Palatino Linotype" w:eastAsia="Palatino Linotype" w:hAnsi="Palatino Linotype" w:cs="Palatino Linotype"/>
          <w:sz w:val="22"/>
          <w:szCs w:val="22"/>
        </w:rPr>
        <w:t xml:space="preserve"> </w:t>
      </w:r>
      <w:r w:rsidR="007966B0" w:rsidRPr="00CF6287">
        <w:rPr>
          <w:rFonts w:ascii="Palatino Linotype" w:eastAsia="Palatino Linotype" w:hAnsi="Palatino Linotype" w:cs="Palatino Linotype"/>
          <w:sz w:val="22"/>
          <w:szCs w:val="22"/>
        </w:rPr>
        <w:t xml:space="preserve">que contiene el oficio 228C0701040001L/0033/2025 suscrito por la </w:t>
      </w:r>
      <w:proofErr w:type="gramStart"/>
      <w:r w:rsidR="007966B0" w:rsidRPr="00CF6287">
        <w:rPr>
          <w:rFonts w:ascii="Palatino Linotype" w:eastAsia="Palatino Linotype" w:hAnsi="Palatino Linotype" w:cs="Palatino Linotype"/>
          <w:sz w:val="22"/>
          <w:szCs w:val="22"/>
        </w:rPr>
        <w:t>Jefa</w:t>
      </w:r>
      <w:proofErr w:type="gramEnd"/>
      <w:r w:rsidR="007966B0" w:rsidRPr="00CF6287">
        <w:rPr>
          <w:rFonts w:ascii="Palatino Linotype" w:eastAsia="Palatino Linotype" w:hAnsi="Palatino Linotype" w:cs="Palatino Linotype"/>
          <w:sz w:val="22"/>
          <w:szCs w:val="22"/>
        </w:rPr>
        <w:t xml:space="preserve"> del Departamento de Recursos Humanos mediante el cual se le proporciona el total de percepciones y el total de deducciones del ejercicio </w:t>
      </w:r>
      <w:r w:rsidR="007966B0" w:rsidRPr="00CF6287">
        <w:rPr>
          <w:rFonts w:ascii="Palatino Linotype" w:eastAsia="Palatino Linotype" w:hAnsi="Palatino Linotype" w:cs="Palatino Linotype"/>
          <w:sz w:val="22"/>
          <w:szCs w:val="22"/>
        </w:rPr>
        <w:lastRenderedPageBreak/>
        <w:t>2024, del Servidor P</w:t>
      </w:r>
      <w:r w:rsidR="00AE3B3E" w:rsidRPr="00CF6287">
        <w:rPr>
          <w:rFonts w:ascii="Palatino Linotype" w:eastAsia="Palatino Linotype" w:hAnsi="Palatino Linotype" w:cs="Palatino Linotype"/>
          <w:sz w:val="22"/>
          <w:szCs w:val="22"/>
        </w:rPr>
        <w:t>úblico señalado en la solicitud, señalando que no cuenta con otro instrumento de análisis y comparativo de las percepciones y deducciones del Servidor Público.</w:t>
      </w:r>
    </w:p>
    <w:p w14:paraId="6D24F8D3" w14:textId="77777777" w:rsidR="00AE3B3E" w:rsidRPr="00CF6287" w:rsidRDefault="00AE3B3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E6AB9A1" w14:textId="77777777" w:rsidR="000B60F4" w:rsidRPr="00CF6287" w:rsidRDefault="004171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b/>
          <w:sz w:val="22"/>
          <w:szCs w:val="22"/>
        </w:rPr>
        <w:t xml:space="preserve">3. Interposición del recurso de revisión. </w:t>
      </w:r>
      <w:r w:rsidRPr="00CF6287">
        <w:rPr>
          <w:rFonts w:ascii="Palatino Linotype" w:eastAsia="Palatino Linotype" w:hAnsi="Palatino Linotype" w:cs="Palatino Linotype"/>
          <w:sz w:val="22"/>
          <w:szCs w:val="22"/>
        </w:rPr>
        <w:t xml:space="preserve">Inconforme con la respuesta, el </w:t>
      </w:r>
      <w:r w:rsidR="007966B0" w:rsidRPr="00CF6287">
        <w:rPr>
          <w:rFonts w:ascii="Palatino Linotype" w:eastAsia="Palatino Linotype" w:hAnsi="Palatino Linotype" w:cs="Palatino Linotype"/>
          <w:b/>
          <w:sz w:val="22"/>
          <w:szCs w:val="22"/>
        </w:rPr>
        <w:t>treinta y uno</w:t>
      </w:r>
      <w:r w:rsidR="000211D3" w:rsidRPr="00CF6287">
        <w:rPr>
          <w:rFonts w:ascii="Palatino Linotype" w:eastAsia="Palatino Linotype" w:hAnsi="Palatino Linotype" w:cs="Palatino Linotype"/>
          <w:b/>
          <w:sz w:val="22"/>
          <w:szCs w:val="22"/>
        </w:rPr>
        <w:t xml:space="preserve"> de </w:t>
      </w:r>
      <w:r w:rsidR="007966B0" w:rsidRPr="00CF6287">
        <w:rPr>
          <w:rFonts w:ascii="Palatino Linotype" w:eastAsia="Palatino Linotype" w:hAnsi="Palatino Linotype" w:cs="Palatino Linotype"/>
          <w:b/>
          <w:sz w:val="22"/>
          <w:szCs w:val="22"/>
        </w:rPr>
        <w:t>enero</w:t>
      </w:r>
      <w:r w:rsidR="000211D3" w:rsidRPr="00CF6287">
        <w:rPr>
          <w:rFonts w:ascii="Palatino Linotype" w:eastAsia="Palatino Linotype" w:hAnsi="Palatino Linotype" w:cs="Palatino Linotype"/>
          <w:sz w:val="22"/>
          <w:szCs w:val="22"/>
        </w:rPr>
        <w:t xml:space="preserve"> </w:t>
      </w:r>
      <w:r w:rsidRPr="00CF6287">
        <w:rPr>
          <w:rFonts w:ascii="Palatino Linotype" w:eastAsia="Palatino Linotype" w:hAnsi="Palatino Linotype" w:cs="Palatino Linotype"/>
          <w:b/>
          <w:sz w:val="22"/>
          <w:szCs w:val="22"/>
        </w:rPr>
        <w:t>de dos mil veintic</w:t>
      </w:r>
      <w:r w:rsidR="007966B0" w:rsidRPr="00CF6287">
        <w:rPr>
          <w:rFonts w:ascii="Palatino Linotype" w:eastAsia="Palatino Linotype" w:hAnsi="Palatino Linotype" w:cs="Palatino Linotype"/>
          <w:b/>
          <w:sz w:val="22"/>
          <w:szCs w:val="22"/>
        </w:rPr>
        <w:t>inco</w:t>
      </w:r>
      <w:r w:rsidRPr="00CF6287">
        <w:rPr>
          <w:rFonts w:ascii="Palatino Linotype" w:eastAsia="Palatino Linotype" w:hAnsi="Palatino Linotype" w:cs="Palatino Linotype"/>
          <w:sz w:val="22"/>
          <w:szCs w:val="22"/>
        </w:rPr>
        <w:t xml:space="preserve">, </w:t>
      </w:r>
      <w:r w:rsidRPr="00CF6287">
        <w:rPr>
          <w:rFonts w:ascii="Palatino Linotype" w:eastAsia="Palatino Linotype" w:hAnsi="Palatino Linotype" w:cs="Palatino Linotype"/>
          <w:b/>
          <w:sz w:val="22"/>
          <w:szCs w:val="22"/>
        </w:rPr>
        <w:t>la parte Recurrente</w:t>
      </w:r>
      <w:r w:rsidRPr="00CF6287">
        <w:rPr>
          <w:rFonts w:ascii="Palatino Linotype" w:eastAsia="Palatino Linotype" w:hAnsi="Palatino Linotype" w:cs="Palatino Linotype"/>
          <w:sz w:val="22"/>
          <w:szCs w:val="22"/>
        </w:rPr>
        <w:t xml:space="preserve"> interpuso </w:t>
      </w:r>
      <w:r w:rsidR="000211D3" w:rsidRPr="00CF6287">
        <w:rPr>
          <w:rFonts w:ascii="Palatino Linotype" w:eastAsia="Palatino Linotype" w:hAnsi="Palatino Linotype" w:cs="Palatino Linotype"/>
          <w:sz w:val="22"/>
          <w:szCs w:val="22"/>
        </w:rPr>
        <w:t>el</w:t>
      </w:r>
      <w:r w:rsidRPr="00CF6287">
        <w:rPr>
          <w:rFonts w:ascii="Palatino Linotype" w:eastAsia="Palatino Linotype" w:hAnsi="Palatino Linotype" w:cs="Palatino Linotype"/>
          <w:sz w:val="22"/>
          <w:szCs w:val="22"/>
        </w:rPr>
        <w:t xml:space="preserve"> recurso de revisión objeto del presente estudio, en </w:t>
      </w:r>
      <w:r w:rsidR="000211D3" w:rsidRPr="00CF6287">
        <w:rPr>
          <w:rFonts w:ascii="Palatino Linotype" w:eastAsia="Palatino Linotype" w:hAnsi="Palatino Linotype" w:cs="Palatino Linotype"/>
          <w:sz w:val="22"/>
          <w:szCs w:val="22"/>
        </w:rPr>
        <w:t>el</w:t>
      </w:r>
      <w:r w:rsidRPr="00CF6287">
        <w:rPr>
          <w:rFonts w:ascii="Palatino Linotype" w:eastAsia="Palatino Linotype" w:hAnsi="Palatino Linotype" w:cs="Palatino Linotype"/>
          <w:sz w:val="22"/>
          <w:szCs w:val="22"/>
        </w:rPr>
        <w:t xml:space="preserve"> cual expresó las siguientes manifestaciones:</w:t>
      </w:r>
    </w:p>
    <w:p w14:paraId="1F601C73" w14:textId="77777777" w:rsidR="000B60F4" w:rsidRPr="00CF6287" w:rsidRDefault="000B60F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5301BC7" w14:textId="77777777" w:rsidR="000B60F4" w:rsidRPr="00CF6287" w:rsidRDefault="004171A0" w:rsidP="007966B0">
      <w:pPr>
        <w:numPr>
          <w:ilvl w:val="0"/>
          <w:numId w:val="4"/>
        </w:numPr>
        <w:pBdr>
          <w:top w:val="nil"/>
          <w:left w:val="nil"/>
          <w:bottom w:val="nil"/>
          <w:right w:val="nil"/>
          <w:between w:val="nil"/>
        </w:pBdr>
        <w:spacing w:line="276" w:lineRule="auto"/>
        <w:jc w:val="both"/>
        <w:rPr>
          <w:rFonts w:ascii="Palatino Linotype" w:eastAsia="Palatino Linotype" w:hAnsi="Palatino Linotype" w:cs="Palatino Linotype"/>
          <w:b/>
          <w:sz w:val="22"/>
          <w:szCs w:val="22"/>
        </w:rPr>
      </w:pPr>
      <w:r w:rsidRPr="00CF6287">
        <w:rPr>
          <w:rFonts w:ascii="Palatino Linotype" w:eastAsia="Palatino Linotype" w:hAnsi="Palatino Linotype" w:cs="Palatino Linotype"/>
          <w:b/>
          <w:sz w:val="22"/>
          <w:szCs w:val="22"/>
        </w:rPr>
        <w:t xml:space="preserve">Acto impugnado: </w:t>
      </w:r>
      <w:r w:rsidRPr="00CF6287">
        <w:rPr>
          <w:rFonts w:ascii="Palatino Linotype" w:eastAsia="Palatino Linotype" w:hAnsi="Palatino Linotype" w:cs="Palatino Linotype"/>
          <w:i/>
          <w:sz w:val="22"/>
          <w:szCs w:val="22"/>
        </w:rPr>
        <w:t>“</w:t>
      </w:r>
      <w:r w:rsidR="007966B0" w:rsidRPr="00CF6287">
        <w:rPr>
          <w:rFonts w:ascii="Palatino Linotype" w:eastAsia="Palatino Linotype" w:hAnsi="Palatino Linotype" w:cs="Palatino Linotype"/>
          <w:i/>
          <w:sz w:val="22"/>
          <w:szCs w:val="22"/>
        </w:rPr>
        <w:t xml:space="preserve">Oficio de respuesta suscrito por Julia Leticia Domínguez Bustos, </w:t>
      </w:r>
      <w:proofErr w:type="gramStart"/>
      <w:r w:rsidR="007966B0" w:rsidRPr="00CF6287">
        <w:rPr>
          <w:rFonts w:ascii="Palatino Linotype" w:eastAsia="Palatino Linotype" w:hAnsi="Palatino Linotype" w:cs="Palatino Linotype"/>
          <w:i/>
          <w:sz w:val="22"/>
          <w:szCs w:val="22"/>
        </w:rPr>
        <w:t>Jefa</w:t>
      </w:r>
      <w:proofErr w:type="gramEnd"/>
      <w:r w:rsidR="007966B0" w:rsidRPr="00CF6287">
        <w:rPr>
          <w:rFonts w:ascii="Palatino Linotype" w:eastAsia="Palatino Linotype" w:hAnsi="Palatino Linotype" w:cs="Palatino Linotype"/>
          <w:i/>
          <w:sz w:val="22"/>
          <w:szCs w:val="22"/>
        </w:rPr>
        <w:t xml:space="preserve"> del Departamento de Recursos Humanos que recayó a esta solicitud y por el cual se está presentando el presente Recurso de Revisión EN TIEMPO Y FORMA.</w:t>
      </w:r>
      <w:r w:rsidRPr="00CF6287">
        <w:rPr>
          <w:rFonts w:ascii="Palatino Linotype" w:eastAsia="Palatino Linotype" w:hAnsi="Palatino Linotype" w:cs="Palatino Linotype"/>
          <w:b/>
          <w:i/>
          <w:sz w:val="22"/>
          <w:szCs w:val="22"/>
          <w:u w:val="single"/>
        </w:rPr>
        <w:t>”</w:t>
      </w:r>
      <w:r w:rsidRPr="00CF6287">
        <w:rPr>
          <w:rFonts w:ascii="Palatino Linotype" w:eastAsia="Palatino Linotype" w:hAnsi="Palatino Linotype" w:cs="Palatino Linotype"/>
          <w:i/>
          <w:sz w:val="22"/>
          <w:szCs w:val="22"/>
        </w:rPr>
        <w:t xml:space="preserve"> (Sic) </w:t>
      </w:r>
    </w:p>
    <w:p w14:paraId="61A67D61" w14:textId="77777777" w:rsidR="000B60F4" w:rsidRPr="00CF6287" w:rsidRDefault="000B60F4">
      <w:pPr>
        <w:ind w:left="567" w:right="49"/>
        <w:jc w:val="both"/>
        <w:rPr>
          <w:rFonts w:ascii="Palatino Linotype" w:eastAsia="Palatino Linotype" w:hAnsi="Palatino Linotype" w:cs="Palatino Linotype"/>
          <w:i/>
          <w:sz w:val="22"/>
          <w:szCs w:val="22"/>
        </w:rPr>
      </w:pPr>
    </w:p>
    <w:p w14:paraId="4B24D525" w14:textId="77777777" w:rsidR="000B60F4" w:rsidRPr="00CF6287" w:rsidRDefault="004171A0" w:rsidP="007966B0">
      <w:pPr>
        <w:numPr>
          <w:ilvl w:val="0"/>
          <w:numId w:val="4"/>
        </w:numPr>
        <w:pBdr>
          <w:top w:val="nil"/>
          <w:left w:val="nil"/>
          <w:bottom w:val="nil"/>
          <w:right w:val="nil"/>
          <w:between w:val="nil"/>
        </w:pBdr>
        <w:ind w:right="49"/>
        <w:jc w:val="both"/>
        <w:rPr>
          <w:rFonts w:ascii="Palatino Linotype" w:eastAsia="Palatino Linotype" w:hAnsi="Palatino Linotype" w:cs="Palatino Linotype"/>
          <w:b/>
          <w:i/>
          <w:sz w:val="22"/>
          <w:szCs w:val="22"/>
        </w:rPr>
      </w:pPr>
      <w:bookmarkStart w:id="1" w:name="_heading=h.3znysh7" w:colFirst="0" w:colLast="0"/>
      <w:bookmarkEnd w:id="1"/>
      <w:r w:rsidRPr="00CF6287">
        <w:rPr>
          <w:rFonts w:ascii="Palatino Linotype" w:eastAsia="Palatino Linotype" w:hAnsi="Palatino Linotype" w:cs="Palatino Linotype"/>
          <w:b/>
          <w:sz w:val="22"/>
          <w:szCs w:val="22"/>
        </w:rPr>
        <w:t xml:space="preserve">Razones o motivos de inconformidad: </w:t>
      </w:r>
      <w:r w:rsidRPr="00CF6287">
        <w:rPr>
          <w:rFonts w:ascii="Palatino Linotype" w:eastAsia="Palatino Linotype" w:hAnsi="Palatino Linotype" w:cs="Palatino Linotype"/>
          <w:i/>
          <w:sz w:val="22"/>
          <w:szCs w:val="22"/>
        </w:rPr>
        <w:t>“</w:t>
      </w:r>
      <w:r w:rsidR="007966B0" w:rsidRPr="00CF6287">
        <w:rPr>
          <w:rFonts w:ascii="Palatino Linotype" w:eastAsia="Palatino Linotype" w:hAnsi="Palatino Linotype" w:cs="Palatino Linotype"/>
          <w:i/>
          <w:sz w:val="22"/>
          <w:szCs w:val="22"/>
        </w:rPr>
        <w:t xml:space="preserve">Es improcedente y totalmente contrario a derecho y a las constancias procesales, lo argumentado por la autoridad, en el oficio al que da respuesta, donde manifiesta: "...No es posible determinar algún otro instrumento de análisis y comparativo de percepciones y deducciones, sin embargo, remito a Usted los montos de percepción y deducción acumulados durante el ejercicio fiscal 2024..." Con dicha respuesta, no da contestación, a mi solicitud en el sentido de que, se me informara el ingreso bruto anualizado que me correspondía percibir, por el año 2024 en términos del "Anexo de Ejecución que celebró el Ejecutivo Federal, con Gobierno del Estado de México, donde le asistió la </w:t>
      </w:r>
      <w:proofErr w:type="gramStart"/>
      <w:r w:rsidR="007966B0" w:rsidRPr="00CF6287">
        <w:rPr>
          <w:rFonts w:ascii="Palatino Linotype" w:eastAsia="Palatino Linotype" w:hAnsi="Palatino Linotype" w:cs="Palatino Linotype"/>
          <w:i/>
          <w:sz w:val="22"/>
          <w:szCs w:val="22"/>
        </w:rPr>
        <w:t>Secretaria</w:t>
      </w:r>
      <w:proofErr w:type="gramEnd"/>
      <w:r w:rsidR="007966B0" w:rsidRPr="00CF6287">
        <w:rPr>
          <w:rFonts w:ascii="Palatino Linotype" w:eastAsia="Palatino Linotype" w:hAnsi="Palatino Linotype" w:cs="Palatino Linotype"/>
          <w:i/>
          <w:sz w:val="22"/>
          <w:szCs w:val="22"/>
        </w:rPr>
        <w:t xml:space="preserve"> de Finanzas y el Colegio de Bachilleres del Estado de México de fecha 10 de enero 2024." Por lo tanto SÍ tiene un instrumento base de análisis donde puede obtener el comparativo solicitado ,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 y en virtud de que ya dio respuesta al monto que 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 LOS MONTOS, QUE DEBEN DE PAGAR</w:t>
      </w:r>
      <w:r w:rsidRPr="00CF6287">
        <w:rPr>
          <w:rFonts w:ascii="Palatino Linotype" w:eastAsia="Palatino Linotype" w:hAnsi="Palatino Linotype" w:cs="Palatino Linotype"/>
          <w:i/>
          <w:sz w:val="22"/>
          <w:szCs w:val="22"/>
        </w:rPr>
        <w:t xml:space="preserve">” (Sic) </w:t>
      </w:r>
    </w:p>
    <w:p w14:paraId="5F11BD4A" w14:textId="77777777" w:rsidR="000B60F4" w:rsidRPr="00CF6287" w:rsidRDefault="000B60F4">
      <w:pPr>
        <w:pBdr>
          <w:top w:val="nil"/>
          <w:left w:val="nil"/>
          <w:bottom w:val="nil"/>
          <w:right w:val="nil"/>
          <w:between w:val="nil"/>
        </w:pBdr>
        <w:ind w:left="720"/>
        <w:rPr>
          <w:rFonts w:ascii="Palatino Linotype" w:eastAsia="Palatino Linotype" w:hAnsi="Palatino Linotype" w:cs="Palatino Linotype"/>
          <w:b/>
          <w:i/>
          <w:sz w:val="22"/>
          <w:szCs w:val="22"/>
        </w:rPr>
      </w:pPr>
    </w:p>
    <w:p w14:paraId="46979959" w14:textId="77777777" w:rsidR="007966B0" w:rsidRPr="00CF6287" w:rsidRDefault="007966B0" w:rsidP="007966B0">
      <w:pPr>
        <w:pStyle w:val="Prrafodelista"/>
        <w:numPr>
          <w:ilvl w:val="0"/>
          <w:numId w:val="13"/>
        </w:numPr>
        <w:spacing w:line="360" w:lineRule="auto"/>
        <w:ind w:left="567" w:right="560"/>
        <w:jc w:val="both"/>
        <w:rPr>
          <w:rFonts w:ascii="Palatino Linotype" w:hAnsi="Palatino Linotype" w:cs="Palatino Linotype"/>
          <w:i/>
          <w:iCs/>
          <w:sz w:val="22"/>
          <w:szCs w:val="22"/>
        </w:rPr>
      </w:pPr>
      <w:r w:rsidRPr="00CF6287">
        <w:rPr>
          <w:rFonts w:ascii="Palatino Linotype" w:hAnsi="Palatino Linotype" w:cs="Palatino Linotype"/>
          <w:iCs/>
          <w:sz w:val="22"/>
          <w:szCs w:val="22"/>
        </w:rPr>
        <w:lastRenderedPageBreak/>
        <w:t>El Recurrente adjuntó un documento que se integra de 15 páginas que contiene el Anexo de Ejecución/Apoyo Financiero 2024 SEMS-ELCOBAEM/MÉXICO de fecha diez de enero de dos mil veinticuatro.</w:t>
      </w:r>
    </w:p>
    <w:p w14:paraId="40E2C087" w14:textId="77777777" w:rsidR="00AE3B3E" w:rsidRPr="00CF6287" w:rsidRDefault="00AE3B3E" w:rsidP="00AE3B3E">
      <w:pPr>
        <w:pStyle w:val="Prrafodelista"/>
        <w:spacing w:line="360" w:lineRule="auto"/>
        <w:ind w:left="567" w:right="560"/>
        <w:jc w:val="both"/>
        <w:rPr>
          <w:rFonts w:ascii="Palatino Linotype" w:hAnsi="Palatino Linotype" w:cs="Palatino Linotype"/>
          <w:i/>
          <w:iCs/>
          <w:sz w:val="22"/>
          <w:szCs w:val="22"/>
        </w:rPr>
      </w:pPr>
    </w:p>
    <w:p w14:paraId="5600C2AC" w14:textId="77777777" w:rsidR="000B60F4" w:rsidRPr="00CF6287" w:rsidRDefault="004171A0">
      <w:pPr>
        <w:spacing w:line="360" w:lineRule="auto"/>
        <w:ind w:right="51"/>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b/>
          <w:sz w:val="22"/>
          <w:szCs w:val="22"/>
        </w:rPr>
        <w:t xml:space="preserve">4. Turno. </w:t>
      </w:r>
      <w:r w:rsidRPr="00CF6287">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recurso de revisión </w:t>
      </w:r>
      <w:r w:rsidR="00022CD4" w:rsidRPr="00CF6287">
        <w:rPr>
          <w:rFonts w:ascii="Palatino Linotype" w:eastAsia="Palatino Linotype" w:hAnsi="Palatino Linotype" w:cs="Palatino Linotype"/>
          <w:b/>
          <w:sz w:val="22"/>
          <w:szCs w:val="22"/>
        </w:rPr>
        <w:t>00399/INFOEM/IP/RR/2025</w:t>
      </w:r>
      <w:r w:rsidRPr="00CF6287">
        <w:rPr>
          <w:rFonts w:ascii="Palatino Linotype" w:eastAsia="Palatino Linotype" w:hAnsi="Palatino Linotype" w:cs="Palatino Linotype"/>
          <w:b/>
          <w:sz w:val="22"/>
          <w:szCs w:val="22"/>
        </w:rPr>
        <w:t xml:space="preserve"> </w:t>
      </w:r>
      <w:r w:rsidRPr="00CF6287">
        <w:rPr>
          <w:rFonts w:ascii="Palatino Linotype" w:eastAsia="Palatino Linotype" w:hAnsi="Palatino Linotype" w:cs="Palatino Linotype"/>
          <w:sz w:val="22"/>
          <w:szCs w:val="22"/>
        </w:rPr>
        <w:t xml:space="preserve">se turnó por el sistema electrónico del Instituto de Transparencia, Acceso a la Información Pública y Protección de Datos Personales del Estado de México y Municipios, a la </w:t>
      </w:r>
      <w:r w:rsidRPr="00CF6287">
        <w:rPr>
          <w:rFonts w:ascii="Palatino Linotype" w:eastAsia="Palatino Linotype" w:hAnsi="Palatino Linotype" w:cs="Palatino Linotype"/>
          <w:b/>
          <w:sz w:val="22"/>
          <w:szCs w:val="22"/>
        </w:rPr>
        <w:t>Comisionada</w:t>
      </w:r>
      <w:r w:rsidRPr="00CF6287">
        <w:rPr>
          <w:rFonts w:ascii="Palatino Linotype" w:eastAsia="Palatino Linotype" w:hAnsi="Palatino Linotype" w:cs="Palatino Linotype"/>
          <w:sz w:val="22"/>
          <w:szCs w:val="22"/>
        </w:rPr>
        <w:t xml:space="preserve"> </w:t>
      </w:r>
      <w:r w:rsidRPr="00CF6287">
        <w:rPr>
          <w:rFonts w:ascii="Palatino Linotype" w:eastAsia="Palatino Linotype" w:hAnsi="Palatino Linotype" w:cs="Palatino Linotype"/>
          <w:b/>
          <w:sz w:val="22"/>
          <w:szCs w:val="22"/>
        </w:rPr>
        <w:t xml:space="preserve">Guadalupe Ramírez Peña, </w:t>
      </w:r>
      <w:r w:rsidRPr="00CF6287">
        <w:rPr>
          <w:rFonts w:ascii="Palatino Linotype" w:eastAsia="Palatino Linotype" w:hAnsi="Palatino Linotype" w:cs="Palatino Linotype"/>
          <w:sz w:val="22"/>
          <w:szCs w:val="22"/>
        </w:rPr>
        <w:t xml:space="preserve">a efecto de que analizara sobre su admisión o su </w:t>
      </w:r>
      <w:proofErr w:type="spellStart"/>
      <w:r w:rsidRPr="00CF6287">
        <w:rPr>
          <w:rFonts w:ascii="Palatino Linotype" w:eastAsia="Palatino Linotype" w:hAnsi="Palatino Linotype" w:cs="Palatino Linotype"/>
          <w:sz w:val="22"/>
          <w:szCs w:val="22"/>
        </w:rPr>
        <w:t>desechamiento</w:t>
      </w:r>
      <w:proofErr w:type="spellEnd"/>
      <w:r w:rsidRPr="00CF6287">
        <w:rPr>
          <w:rFonts w:ascii="Palatino Linotype" w:eastAsia="Palatino Linotype" w:hAnsi="Palatino Linotype" w:cs="Palatino Linotype"/>
          <w:sz w:val="22"/>
          <w:szCs w:val="22"/>
        </w:rPr>
        <w:t>.</w:t>
      </w:r>
    </w:p>
    <w:p w14:paraId="76393332" w14:textId="77777777" w:rsidR="000B60F4" w:rsidRPr="00CF6287" w:rsidRDefault="000B60F4">
      <w:pPr>
        <w:spacing w:line="360" w:lineRule="auto"/>
        <w:ind w:right="51"/>
        <w:jc w:val="both"/>
        <w:rPr>
          <w:rFonts w:ascii="Palatino Linotype" w:eastAsia="Palatino Linotype" w:hAnsi="Palatino Linotype" w:cs="Palatino Linotype"/>
          <w:sz w:val="22"/>
          <w:szCs w:val="22"/>
        </w:rPr>
      </w:pPr>
    </w:p>
    <w:p w14:paraId="0B6E08E4" w14:textId="77777777" w:rsidR="00210B52" w:rsidRPr="00CF6287" w:rsidRDefault="00210B52" w:rsidP="00210B52">
      <w:pPr>
        <w:spacing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b/>
          <w:sz w:val="22"/>
          <w:szCs w:val="22"/>
        </w:rPr>
        <w:t>5. Admisión del Recurso de revisión.</w:t>
      </w:r>
      <w:r w:rsidRPr="00CF6287">
        <w:rPr>
          <w:rFonts w:ascii="Palatino Linotype" w:eastAsia="Palatino Linotype" w:hAnsi="Palatino Linotype" w:cs="Palatino Linotype"/>
          <w:sz w:val="22"/>
          <w:szCs w:val="22"/>
        </w:rPr>
        <w:t xml:space="preserve"> El </w:t>
      </w:r>
      <w:r w:rsidRPr="00CF6287">
        <w:rPr>
          <w:rFonts w:ascii="Palatino Linotype" w:eastAsia="Palatino Linotype" w:hAnsi="Palatino Linotype" w:cs="Palatino Linotype"/>
          <w:b/>
          <w:sz w:val="22"/>
          <w:szCs w:val="22"/>
        </w:rPr>
        <w:t xml:space="preserve">seis de febrero de dos mil veinticinco, </w:t>
      </w:r>
      <w:r w:rsidRPr="00CF6287">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F6287">
        <w:rPr>
          <w:rFonts w:ascii="Palatino Linotype" w:eastAsia="Palatino Linotype" w:hAnsi="Palatino Linotype" w:cs="Palatino Linotype"/>
          <w:b/>
          <w:sz w:val="22"/>
          <w:szCs w:val="22"/>
        </w:rPr>
        <w:t xml:space="preserve">Sujeto Obligado </w:t>
      </w:r>
      <w:r w:rsidRPr="00CF6287">
        <w:rPr>
          <w:rFonts w:ascii="Palatino Linotype" w:eastAsia="Palatino Linotype" w:hAnsi="Palatino Linotype" w:cs="Palatino Linotype"/>
          <w:sz w:val="22"/>
          <w:szCs w:val="22"/>
        </w:rPr>
        <w:t>presentara su informe justificado.</w:t>
      </w:r>
    </w:p>
    <w:p w14:paraId="1757D2E5" w14:textId="77777777" w:rsidR="007966B0" w:rsidRPr="00CF6287" w:rsidRDefault="007966B0" w:rsidP="00210B52">
      <w:pPr>
        <w:pBdr>
          <w:top w:val="nil"/>
          <w:left w:val="nil"/>
          <w:bottom w:val="nil"/>
          <w:right w:val="nil"/>
          <w:between w:val="nil"/>
        </w:pBdr>
        <w:spacing w:line="360" w:lineRule="auto"/>
        <w:ind w:right="900"/>
        <w:jc w:val="both"/>
        <w:rPr>
          <w:rFonts w:ascii="Palatino Linotype" w:eastAsia="Palatino Linotype" w:hAnsi="Palatino Linotype" w:cs="Palatino Linotype"/>
          <w:sz w:val="22"/>
          <w:szCs w:val="22"/>
        </w:rPr>
      </w:pPr>
    </w:p>
    <w:p w14:paraId="1F425A49" w14:textId="77777777" w:rsidR="00210B52" w:rsidRPr="00CF6287" w:rsidRDefault="00210B52" w:rsidP="00210B52">
      <w:pPr>
        <w:spacing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b/>
          <w:sz w:val="22"/>
          <w:szCs w:val="22"/>
        </w:rPr>
        <w:t>6.</w:t>
      </w:r>
      <w:r w:rsidRPr="00CF6287">
        <w:rPr>
          <w:rFonts w:ascii="Palatino Linotype" w:eastAsia="Palatino Linotype" w:hAnsi="Palatino Linotype" w:cs="Palatino Linotype"/>
          <w:sz w:val="22"/>
          <w:szCs w:val="22"/>
        </w:rPr>
        <w:t xml:space="preserve"> El Sujeto Obligado el catorce de febrero de dos mil veinticinco, rindió su informe justificado a través del documento electrónico denominado </w:t>
      </w:r>
      <w:r w:rsidRPr="00CF6287">
        <w:rPr>
          <w:rFonts w:ascii="Palatino Linotype" w:eastAsia="Palatino Linotype" w:hAnsi="Palatino Linotype" w:cs="Palatino Linotype"/>
          <w:b/>
          <w:sz w:val="22"/>
          <w:szCs w:val="22"/>
        </w:rPr>
        <w:t>OFICIO 060 RECURSO 399 DE SOLICITUD 177.pdf</w:t>
      </w:r>
      <w:r w:rsidRPr="00CF6287">
        <w:rPr>
          <w:rFonts w:ascii="Palatino Linotype" w:eastAsia="Palatino Linotype" w:hAnsi="Palatino Linotype" w:cs="Palatino Linotype"/>
          <w:sz w:val="22"/>
          <w:szCs w:val="22"/>
        </w:rPr>
        <w:t>, sin embargo, no se puso a la vista del Recurrente por contener datos personales susceptibles de clasificarse como confidenciales; se describe su contenido medular:</w:t>
      </w:r>
    </w:p>
    <w:p w14:paraId="4F8E53BF" w14:textId="77777777" w:rsidR="00210B52" w:rsidRPr="00CF6287" w:rsidRDefault="00210B52" w:rsidP="00210B52">
      <w:pPr>
        <w:spacing w:line="360" w:lineRule="auto"/>
        <w:jc w:val="both"/>
        <w:rPr>
          <w:rFonts w:ascii="Palatino Linotype" w:eastAsia="Palatino Linotype" w:hAnsi="Palatino Linotype" w:cs="Palatino Linotype"/>
          <w:sz w:val="22"/>
          <w:szCs w:val="22"/>
        </w:rPr>
      </w:pPr>
    </w:p>
    <w:p w14:paraId="222FAD31" w14:textId="77777777" w:rsidR="00210B52" w:rsidRPr="00CF6287" w:rsidRDefault="00210B52" w:rsidP="003A07DA">
      <w:pPr>
        <w:pStyle w:val="Prrafodelista"/>
        <w:numPr>
          <w:ilvl w:val="0"/>
          <w:numId w:val="13"/>
        </w:numPr>
        <w:spacing w:line="360" w:lineRule="auto"/>
        <w:ind w:left="567" w:hanging="141"/>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Oficio 228C0701020001L/060/2025 suscrito por el </w:t>
      </w:r>
      <w:proofErr w:type="gramStart"/>
      <w:r w:rsidRPr="00CF6287">
        <w:rPr>
          <w:rFonts w:ascii="Palatino Linotype" w:eastAsia="Palatino Linotype" w:hAnsi="Palatino Linotype" w:cs="Palatino Linotype"/>
          <w:sz w:val="22"/>
          <w:szCs w:val="22"/>
        </w:rPr>
        <w:t>Jefe</w:t>
      </w:r>
      <w:proofErr w:type="gramEnd"/>
      <w:r w:rsidRPr="00CF6287">
        <w:rPr>
          <w:rFonts w:ascii="Palatino Linotype" w:eastAsia="Palatino Linotype" w:hAnsi="Palatino Linotype" w:cs="Palatino Linotype"/>
          <w:sz w:val="22"/>
          <w:szCs w:val="22"/>
        </w:rPr>
        <w:t xml:space="preserve"> del Departamento de Planeación y Programación y Titular de la Unidad de Transparencia mediante el cual refiere que la Encargada del Despacho del Departamento de Recursos humanos rinde su informe justificado.</w:t>
      </w:r>
    </w:p>
    <w:p w14:paraId="1A13EC5F" w14:textId="77777777" w:rsidR="00210B52" w:rsidRPr="00CF6287" w:rsidRDefault="00210B52" w:rsidP="003A07DA">
      <w:pPr>
        <w:pStyle w:val="Prrafodelista"/>
        <w:numPr>
          <w:ilvl w:val="0"/>
          <w:numId w:val="13"/>
        </w:numPr>
        <w:spacing w:line="360" w:lineRule="auto"/>
        <w:ind w:left="567" w:hanging="141"/>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lastRenderedPageBreak/>
        <w:t xml:space="preserve">Oficio 228C0701040001L/338/2025 suscrito por el Encargado del Despacho del Departamento de Recursos Humanos </w:t>
      </w:r>
      <w:r w:rsidR="003A07DA" w:rsidRPr="00CF6287">
        <w:rPr>
          <w:rFonts w:ascii="Palatino Linotype" w:eastAsia="Palatino Linotype" w:hAnsi="Palatino Linotype" w:cs="Palatino Linotype"/>
          <w:sz w:val="22"/>
          <w:szCs w:val="22"/>
        </w:rPr>
        <w:t>mediante el cual refiere que se ha dado puntual respuesta a la solicitud, informando las percepciones y deducciones totales del servidor público durante el ejercicio fiscal 2024.</w:t>
      </w:r>
    </w:p>
    <w:p w14:paraId="095FBB80" w14:textId="77777777" w:rsidR="003A07DA" w:rsidRPr="00CF6287" w:rsidRDefault="003A07DA" w:rsidP="003A07DA">
      <w:pPr>
        <w:pStyle w:val="Prrafodelista"/>
        <w:numPr>
          <w:ilvl w:val="0"/>
          <w:numId w:val="13"/>
        </w:numPr>
        <w:spacing w:line="360" w:lineRule="auto"/>
        <w:ind w:left="567" w:hanging="141"/>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Oficio 228C0701040001L/0033/2025 suscrito por la </w:t>
      </w:r>
      <w:proofErr w:type="gramStart"/>
      <w:r w:rsidRPr="00CF6287">
        <w:rPr>
          <w:rFonts w:ascii="Palatino Linotype" w:eastAsia="Palatino Linotype" w:hAnsi="Palatino Linotype" w:cs="Palatino Linotype"/>
          <w:sz w:val="22"/>
          <w:szCs w:val="22"/>
        </w:rPr>
        <w:t>Jefa</w:t>
      </w:r>
      <w:proofErr w:type="gramEnd"/>
      <w:r w:rsidRPr="00CF6287">
        <w:rPr>
          <w:rFonts w:ascii="Palatino Linotype" w:eastAsia="Palatino Linotype" w:hAnsi="Palatino Linotype" w:cs="Palatino Linotype"/>
          <w:sz w:val="22"/>
          <w:szCs w:val="22"/>
        </w:rPr>
        <w:t xml:space="preserve"> del Departamento de Recursos Humanos mediante el cual se le proporciona el total de percepciones y el total de deducciones del ejercicio 2024, del Servidor Público señalado en la solicitud.</w:t>
      </w:r>
    </w:p>
    <w:p w14:paraId="38A8DFD0" w14:textId="77777777" w:rsidR="003A07DA" w:rsidRPr="00CF6287" w:rsidRDefault="003A07DA" w:rsidP="00210B52">
      <w:pPr>
        <w:spacing w:line="360" w:lineRule="auto"/>
        <w:jc w:val="both"/>
        <w:rPr>
          <w:rFonts w:ascii="Palatino Linotype" w:eastAsia="Palatino Linotype" w:hAnsi="Palatino Linotype" w:cs="Palatino Linotype"/>
          <w:b/>
          <w:sz w:val="22"/>
          <w:szCs w:val="22"/>
        </w:rPr>
      </w:pPr>
    </w:p>
    <w:p w14:paraId="419EFEE3" w14:textId="77777777" w:rsidR="003A07DA" w:rsidRPr="00CF6287" w:rsidRDefault="00210B52" w:rsidP="003A07DA">
      <w:pPr>
        <w:spacing w:line="360" w:lineRule="auto"/>
        <w:jc w:val="both"/>
        <w:rPr>
          <w:rFonts w:ascii="Palatino Linotype" w:eastAsia="Palatino Linotype" w:hAnsi="Palatino Linotype" w:cs="Palatino Linotype"/>
          <w:b/>
          <w:sz w:val="22"/>
          <w:szCs w:val="22"/>
        </w:rPr>
      </w:pPr>
      <w:r w:rsidRPr="00CF6287">
        <w:rPr>
          <w:rFonts w:ascii="Palatino Linotype" w:eastAsia="Palatino Linotype" w:hAnsi="Palatino Linotype" w:cs="Palatino Linotype"/>
          <w:b/>
          <w:sz w:val="22"/>
          <w:szCs w:val="22"/>
        </w:rPr>
        <w:t>7</w:t>
      </w:r>
      <w:r w:rsidR="004171A0" w:rsidRPr="00CF6287">
        <w:rPr>
          <w:rFonts w:ascii="Palatino Linotype" w:eastAsia="Palatino Linotype" w:hAnsi="Palatino Linotype" w:cs="Palatino Linotype"/>
          <w:b/>
          <w:sz w:val="22"/>
          <w:szCs w:val="22"/>
        </w:rPr>
        <w:t>.</w:t>
      </w:r>
      <w:r w:rsidR="002708E5" w:rsidRPr="00CF6287">
        <w:rPr>
          <w:rFonts w:ascii="Palatino Linotype" w:eastAsia="Palatino Linotype" w:hAnsi="Palatino Linotype" w:cs="Palatino Linotype"/>
          <w:b/>
          <w:sz w:val="22"/>
          <w:szCs w:val="22"/>
        </w:rPr>
        <w:t xml:space="preserve"> </w:t>
      </w:r>
      <w:r w:rsidR="006255AF" w:rsidRPr="00CF6287">
        <w:rPr>
          <w:rFonts w:ascii="Palatino Linotype" w:eastAsia="Palatino Linotype" w:hAnsi="Palatino Linotype" w:cs="Palatino Linotype"/>
          <w:b/>
          <w:sz w:val="22"/>
          <w:szCs w:val="22"/>
        </w:rPr>
        <w:t xml:space="preserve">Reconducción de vía y conciliación a las partes. El </w:t>
      </w:r>
      <w:r w:rsidR="007966B0" w:rsidRPr="00CF6287">
        <w:rPr>
          <w:rFonts w:ascii="Palatino Linotype" w:eastAsia="Palatino Linotype" w:hAnsi="Palatino Linotype" w:cs="Palatino Linotype"/>
          <w:b/>
          <w:sz w:val="22"/>
          <w:szCs w:val="22"/>
        </w:rPr>
        <w:t>doce</w:t>
      </w:r>
      <w:r w:rsidR="006255AF" w:rsidRPr="00CF6287">
        <w:rPr>
          <w:rFonts w:ascii="Palatino Linotype" w:eastAsia="Palatino Linotype" w:hAnsi="Palatino Linotype" w:cs="Palatino Linotype"/>
          <w:b/>
          <w:sz w:val="22"/>
          <w:szCs w:val="22"/>
        </w:rPr>
        <w:t xml:space="preserve"> </w:t>
      </w:r>
      <w:r w:rsidR="00796E6E" w:rsidRPr="00CF6287">
        <w:rPr>
          <w:rFonts w:ascii="Palatino Linotype" w:eastAsia="Palatino Linotype" w:hAnsi="Palatino Linotype" w:cs="Palatino Linotype"/>
          <w:b/>
          <w:sz w:val="22"/>
          <w:szCs w:val="22"/>
        </w:rPr>
        <w:t xml:space="preserve">y diecinueve </w:t>
      </w:r>
      <w:r w:rsidR="006255AF" w:rsidRPr="00CF6287">
        <w:rPr>
          <w:rFonts w:ascii="Palatino Linotype" w:eastAsia="Palatino Linotype" w:hAnsi="Palatino Linotype" w:cs="Palatino Linotype"/>
          <w:b/>
          <w:sz w:val="22"/>
          <w:szCs w:val="22"/>
        </w:rPr>
        <w:t xml:space="preserve">de </w:t>
      </w:r>
      <w:r w:rsidR="007966B0" w:rsidRPr="00CF6287">
        <w:rPr>
          <w:rFonts w:ascii="Palatino Linotype" w:eastAsia="Palatino Linotype" w:hAnsi="Palatino Linotype" w:cs="Palatino Linotype"/>
          <w:b/>
          <w:sz w:val="22"/>
          <w:szCs w:val="22"/>
        </w:rPr>
        <w:t>febrero</w:t>
      </w:r>
      <w:r w:rsidR="006255AF" w:rsidRPr="00CF6287">
        <w:rPr>
          <w:rFonts w:ascii="Palatino Linotype" w:eastAsia="Palatino Linotype" w:hAnsi="Palatino Linotype" w:cs="Palatino Linotype"/>
          <w:b/>
          <w:sz w:val="22"/>
          <w:szCs w:val="22"/>
        </w:rPr>
        <w:t xml:space="preserve"> de dos mil veinticinco </w:t>
      </w:r>
      <w:r w:rsidR="003A07DA" w:rsidRPr="00CF6287">
        <w:rPr>
          <w:rFonts w:ascii="Palatino Linotype" w:eastAsia="Palatino Linotype" w:hAnsi="Palatino Linotype" w:cs="Palatino Linotype"/>
          <w:sz w:val="22"/>
          <w:szCs w:val="22"/>
        </w:rPr>
        <w:t xml:space="preserve">este Organismo Garante, vía SAIMEX y correo electrónico, respectivamente, notificó a la parte </w:t>
      </w:r>
      <w:r w:rsidR="003A07DA" w:rsidRPr="00CF6287">
        <w:rPr>
          <w:rFonts w:ascii="Palatino Linotype" w:eastAsia="Palatino Linotype" w:hAnsi="Palatino Linotype" w:cs="Palatino Linotype"/>
          <w:b/>
          <w:sz w:val="22"/>
          <w:szCs w:val="22"/>
        </w:rPr>
        <w:t xml:space="preserve">Recurrente </w:t>
      </w:r>
      <w:r w:rsidR="003A07DA" w:rsidRPr="00CF6287">
        <w:rPr>
          <w:rFonts w:ascii="Palatino Linotype" w:eastAsia="Palatino Linotype" w:hAnsi="Palatino Linotype" w:cs="Palatino Linotype"/>
          <w:sz w:val="22"/>
          <w:szCs w:val="22"/>
        </w:rPr>
        <w:t>la reconducción de la</w:t>
      </w:r>
      <w:r w:rsidR="003A07DA" w:rsidRPr="00CF6287">
        <w:rPr>
          <w:rFonts w:ascii="Palatino Linotype" w:eastAsia="Palatino Linotype" w:hAnsi="Palatino Linotype" w:cs="Palatino Linotype"/>
          <w:b/>
          <w:sz w:val="22"/>
          <w:szCs w:val="22"/>
        </w:rPr>
        <w:t xml:space="preserve"> </w:t>
      </w:r>
      <w:r w:rsidR="003A07DA" w:rsidRPr="00CF6287">
        <w:rPr>
          <w:rFonts w:ascii="Palatino Linotype" w:hAnsi="Palatino Linotype"/>
          <w:sz w:val="22"/>
          <w:szCs w:val="22"/>
        </w:rPr>
        <w:t>vía, al ejercicio de Derechos ARCO (Acceso, Rectificación, Cancelación y Oposición de datos personales), en términos del artículo 112, párrafo segundo de la Ley de Protección de Datos Personales en Posesión de Sujetos Obligados del Estado de México y Municipios, al advertir que prende ejercer el derecho de acceso a datos personales en términos de lo contemplado en el artículo 98 de la Ley de Protección de Datos Personales en Posesión de Sujetos Obligados del Estado de México y Municipios, en representación de la persona titular de los datos personales.</w:t>
      </w:r>
    </w:p>
    <w:p w14:paraId="0BA51985" w14:textId="77777777" w:rsidR="003A07DA" w:rsidRPr="00CF6287" w:rsidRDefault="003A07DA" w:rsidP="003A07DA">
      <w:pPr>
        <w:pBdr>
          <w:top w:val="nil"/>
          <w:left w:val="nil"/>
          <w:bottom w:val="nil"/>
          <w:right w:val="nil"/>
          <w:between w:val="nil"/>
        </w:pBdr>
        <w:tabs>
          <w:tab w:val="left" w:pos="360"/>
        </w:tabs>
        <w:spacing w:line="360" w:lineRule="auto"/>
        <w:ind w:right="49"/>
        <w:jc w:val="both"/>
        <w:rPr>
          <w:rFonts w:ascii="Palatino Linotype" w:hAnsi="Palatino Linotype"/>
          <w:sz w:val="22"/>
          <w:szCs w:val="22"/>
        </w:rPr>
      </w:pPr>
    </w:p>
    <w:p w14:paraId="57D0A8A1" w14:textId="77777777" w:rsidR="003A07DA" w:rsidRPr="00CF6287" w:rsidRDefault="003A07DA" w:rsidP="003A07DA">
      <w:pPr>
        <w:spacing w:line="360" w:lineRule="auto"/>
        <w:jc w:val="both"/>
        <w:rPr>
          <w:rFonts w:ascii="Palatino Linotype" w:hAnsi="Palatino Linotype"/>
          <w:b/>
          <w:sz w:val="22"/>
          <w:szCs w:val="22"/>
          <w:u w:val="single"/>
        </w:rPr>
      </w:pPr>
      <w:r w:rsidRPr="00CF6287">
        <w:rPr>
          <w:rFonts w:ascii="Palatino Linotype" w:hAnsi="Palatino Linotype"/>
          <w:sz w:val="22"/>
          <w:szCs w:val="22"/>
        </w:rPr>
        <w:t xml:space="preserve">Asimismo, se previno a la parte </w:t>
      </w:r>
      <w:r w:rsidRPr="00CF6287">
        <w:rPr>
          <w:rFonts w:ascii="Palatino Linotype" w:hAnsi="Palatino Linotype"/>
          <w:b/>
          <w:sz w:val="22"/>
          <w:szCs w:val="22"/>
        </w:rPr>
        <w:t xml:space="preserve">Recurrente </w:t>
      </w:r>
      <w:r w:rsidRPr="00CF6287">
        <w:rPr>
          <w:rFonts w:ascii="Palatino Linotype" w:hAnsi="Palatino Linotype"/>
          <w:sz w:val="22"/>
          <w:szCs w:val="22"/>
        </w:rPr>
        <w:t xml:space="preserve">para que, en un término no mayor a cinco días hábiles, contados a partir del día hábil siguiente a la fecha de notificación, </w:t>
      </w:r>
      <w:r w:rsidRPr="00CF6287">
        <w:rPr>
          <w:rFonts w:ascii="Palatino Linotype" w:hAnsi="Palatino Linotype"/>
          <w:b/>
          <w:sz w:val="22"/>
          <w:szCs w:val="22"/>
          <w:u w:val="single"/>
        </w:rPr>
        <w:t>subsanara la omisión de acreditar su identidad y representación, así como la identidad de la persona titular de los datos personales sobre los cuales se pretende ejercer el Derecho de Acceso.</w:t>
      </w:r>
    </w:p>
    <w:p w14:paraId="7AE213DB" w14:textId="77777777" w:rsidR="003A07DA" w:rsidRPr="00CF6287" w:rsidRDefault="003A07DA" w:rsidP="006255AF">
      <w:pPr>
        <w:spacing w:line="360" w:lineRule="auto"/>
        <w:jc w:val="both"/>
        <w:rPr>
          <w:rFonts w:ascii="Palatino Linotype" w:eastAsia="Palatino Linotype" w:hAnsi="Palatino Linotype" w:cs="Palatino Linotype"/>
          <w:b/>
          <w:sz w:val="22"/>
          <w:szCs w:val="22"/>
        </w:rPr>
      </w:pPr>
    </w:p>
    <w:p w14:paraId="4E20C3ED" w14:textId="77777777" w:rsidR="003A07DA" w:rsidRPr="00CF6287" w:rsidRDefault="003A07DA" w:rsidP="003A07DA">
      <w:pPr>
        <w:spacing w:line="360" w:lineRule="auto"/>
        <w:jc w:val="both"/>
        <w:rPr>
          <w:rFonts w:ascii="Palatino Linotype" w:hAnsi="Palatino Linotype"/>
          <w:sz w:val="22"/>
          <w:szCs w:val="22"/>
        </w:rPr>
      </w:pPr>
      <w:r w:rsidRPr="00CF6287">
        <w:rPr>
          <w:rFonts w:ascii="Palatino Linotype" w:hAnsi="Palatino Linotype"/>
          <w:b/>
          <w:sz w:val="22"/>
          <w:szCs w:val="22"/>
        </w:rPr>
        <w:t>8</w:t>
      </w:r>
      <w:r w:rsidRPr="00CF6287">
        <w:rPr>
          <w:rFonts w:ascii="Palatino Linotype" w:eastAsia="Palatino Linotype" w:hAnsi="Palatino Linotype" w:cs="Palatino Linotype"/>
          <w:b/>
          <w:sz w:val="22"/>
          <w:szCs w:val="22"/>
        </w:rPr>
        <w:t xml:space="preserve">. Preclusión del plazo para desahogar la prevención. </w:t>
      </w:r>
      <w:r w:rsidRPr="00CF6287">
        <w:rPr>
          <w:rFonts w:ascii="Palatino Linotype" w:eastAsia="Palatino Linotype" w:hAnsi="Palatino Linotype" w:cs="Palatino Linotype"/>
          <w:sz w:val="22"/>
          <w:szCs w:val="22"/>
        </w:rPr>
        <w:t xml:space="preserve">En fecha </w:t>
      </w:r>
      <w:r w:rsidRPr="00CF6287">
        <w:rPr>
          <w:rFonts w:ascii="Palatino Linotype" w:eastAsia="Palatino Linotype" w:hAnsi="Palatino Linotype" w:cs="Palatino Linotype"/>
          <w:b/>
          <w:sz w:val="22"/>
          <w:szCs w:val="22"/>
        </w:rPr>
        <w:t xml:space="preserve">veintisiete de febrero de dos mil veinticinco, </w:t>
      </w:r>
      <w:r w:rsidRPr="00CF6287">
        <w:rPr>
          <w:rFonts w:ascii="Palatino Linotype" w:eastAsia="Palatino Linotype" w:hAnsi="Palatino Linotype" w:cs="Palatino Linotype"/>
          <w:sz w:val="22"/>
          <w:szCs w:val="22"/>
        </w:rPr>
        <w:t xml:space="preserve">al no haber desahogado la prevención </w:t>
      </w:r>
      <w:r w:rsidRPr="00CF6287">
        <w:rPr>
          <w:rFonts w:ascii="Palatino Linotype" w:hAnsi="Palatino Linotype"/>
          <w:sz w:val="22"/>
          <w:szCs w:val="22"/>
        </w:rPr>
        <w:t xml:space="preserve">relativa a la acreditación de la identidad y representación, así como la identidad de la persona titular de los datos personales sobre los cuales se pretende ejercer el Derecho de acceso, en el plazo establecido para tal efecto, se </w:t>
      </w:r>
      <w:r w:rsidRPr="00CF6287">
        <w:rPr>
          <w:rFonts w:ascii="Palatino Linotype" w:hAnsi="Palatino Linotype"/>
          <w:sz w:val="22"/>
          <w:szCs w:val="22"/>
        </w:rPr>
        <w:lastRenderedPageBreak/>
        <w:t>decretó la preclusión del mismo, de conformidad con los artículos 124 y 136 de la Ley de Protección de Datos Personales en Posesión de Sujetos Obligados del Estado de México y Municipios.</w:t>
      </w:r>
    </w:p>
    <w:p w14:paraId="5A092F3E" w14:textId="77777777" w:rsidR="003A07DA" w:rsidRPr="00CF6287" w:rsidRDefault="003A07DA" w:rsidP="003A07DA">
      <w:pPr>
        <w:spacing w:before="240" w:after="240" w:line="360" w:lineRule="auto"/>
        <w:jc w:val="both"/>
        <w:rPr>
          <w:sz w:val="22"/>
          <w:szCs w:val="22"/>
        </w:rPr>
      </w:pPr>
      <w:r w:rsidRPr="00CF6287">
        <w:rPr>
          <w:rFonts w:ascii="Palatino Linotype" w:eastAsia="Palatino Linotype" w:hAnsi="Palatino Linotype" w:cs="Palatino Linotype"/>
          <w:b/>
          <w:sz w:val="22"/>
          <w:szCs w:val="22"/>
        </w:rPr>
        <w:t xml:space="preserve">9. Cierre de instrucción. </w:t>
      </w:r>
      <w:r w:rsidRPr="00CF6287">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CF6287">
        <w:rPr>
          <w:rFonts w:ascii="Palatino Linotype" w:eastAsia="Palatino Linotype" w:hAnsi="Palatino Linotype" w:cs="Palatino Linotype"/>
          <w:b/>
          <w:sz w:val="22"/>
          <w:szCs w:val="22"/>
        </w:rPr>
        <w:t>veintisiete de febrero de dos mil veinticinco,</w:t>
      </w:r>
      <w:r w:rsidRPr="00CF6287">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 en relación con los artículos 11 y 127 de la Ley de Protección de Datos Personales en Posesión de Sujetos Obligados del Estado de México y Municipios.</w:t>
      </w:r>
    </w:p>
    <w:p w14:paraId="2D6636B1" w14:textId="77777777" w:rsidR="000B60F4" w:rsidRPr="00CF6287" w:rsidRDefault="004171A0">
      <w:pPr>
        <w:spacing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En razón de que fue debidamente sustanciado el expediente electrónico y no existe diligencia pendiente de desahogo, se emite la Resolución que conforme a Derecho proceda, de acuerdo con los siguientes:</w:t>
      </w:r>
    </w:p>
    <w:p w14:paraId="454CDD9F" w14:textId="77777777" w:rsidR="000B60F4" w:rsidRPr="00CF6287" w:rsidRDefault="000B60F4">
      <w:pPr>
        <w:spacing w:line="360" w:lineRule="auto"/>
        <w:jc w:val="both"/>
        <w:rPr>
          <w:rFonts w:ascii="Palatino Linotype" w:eastAsia="Palatino Linotype" w:hAnsi="Palatino Linotype" w:cs="Palatino Linotype"/>
          <w:sz w:val="22"/>
          <w:szCs w:val="22"/>
        </w:rPr>
      </w:pPr>
    </w:p>
    <w:p w14:paraId="30DEF4E1" w14:textId="77777777" w:rsidR="000B60F4" w:rsidRPr="00CF6287" w:rsidRDefault="004171A0">
      <w:pPr>
        <w:jc w:val="center"/>
        <w:rPr>
          <w:rFonts w:ascii="Palatino Linotype" w:eastAsia="Palatino Linotype" w:hAnsi="Palatino Linotype" w:cs="Palatino Linotype"/>
          <w:b/>
          <w:sz w:val="22"/>
          <w:szCs w:val="22"/>
        </w:rPr>
      </w:pPr>
      <w:r w:rsidRPr="00CF6287">
        <w:rPr>
          <w:rFonts w:ascii="Palatino Linotype" w:eastAsia="Palatino Linotype" w:hAnsi="Palatino Linotype" w:cs="Palatino Linotype"/>
          <w:b/>
          <w:sz w:val="22"/>
          <w:szCs w:val="22"/>
        </w:rPr>
        <w:t>CONSIDERANDO</w:t>
      </w:r>
    </w:p>
    <w:p w14:paraId="74652697" w14:textId="77777777" w:rsidR="000B60F4" w:rsidRPr="00CF6287" w:rsidRDefault="000B60F4">
      <w:pPr>
        <w:rPr>
          <w:rFonts w:ascii="Palatino Linotype" w:eastAsia="Palatino Linotype" w:hAnsi="Palatino Linotype" w:cs="Palatino Linotype"/>
          <w:b/>
          <w:sz w:val="22"/>
          <w:szCs w:val="22"/>
        </w:rPr>
      </w:pPr>
    </w:p>
    <w:p w14:paraId="67865A4D" w14:textId="77777777" w:rsidR="000B60F4" w:rsidRPr="00CF6287" w:rsidRDefault="000B60F4">
      <w:pPr>
        <w:jc w:val="center"/>
        <w:rPr>
          <w:rFonts w:ascii="Palatino Linotype" w:eastAsia="Palatino Linotype" w:hAnsi="Palatino Linotype" w:cs="Palatino Linotype"/>
          <w:b/>
          <w:sz w:val="22"/>
          <w:szCs w:val="22"/>
        </w:rPr>
      </w:pPr>
    </w:p>
    <w:p w14:paraId="28432819" w14:textId="77777777" w:rsidR="000B60F4" w:rsidRPr="00CF6287" w:rsidRDefault="004171A0">
      <w:pPr>
        <w:spacing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b/>
          <w:sz w:val="22"/>
          <w:szCs w:val="22"/>
        </w:rPr>
        <w:t>Primero. Competencia</w:t>
      </w:r>
      <w:r w:rsidRPr="00CF6287">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w:t>
      </w:r>
      <w:r w:rsidRPr="00CF6287">
        <w:rPr>
          <w:rFonts w:ascii="Palatino Linotype" w:eastAsia="Palatino Linotype" w:hAnsi="Palatino Linotype" w:cs="Palatino Linotype"/>
          <w:sz w:val="22"/>
          <w:szCs w:val="22"/>
        </w:rPr>
        <w:lastRenderedPageBreak/>
        <w:t xml:space="preserve">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y 11 del Reglamento Interior del Instituto de Transparencia, Acceso a la Información Pública y Protección de Datos Personales del Estado de México y Municipios. </w:t>
      </w:r>
    </w:p>
    <w:p w14:paraId="3365FEAE" w14:textId="77777777" w:rsidR="000B60F4" w:rsidRPr="00CF6287" w:rsidRDefault="000B60F4">
      <w:pPr>
        <w:spacing w:line="360" w:lineRule="auto"/>
        <w:jc w:val="both"/>
        <w:rPr>
          <w:rFonts w:ascii="Palatino Linotype" w:eastAsia="Palatino Linotype" w:hAnsi="Palatino Linotype" w:cs="Palatino Linotype"/>
          <w:sz w:val="22"/>
          <w:szCs w:val="22"/>
        </w:rPr>
      </w:pPr>
    </w:p>
    <w:p w14:paraId="6AE82A81" w14:textId="77777777" w:rsidR="004D223C" w:rsidRPr="00CF6287" w:rsidRDefault="004171A0" w:rsidP="004D223C">
      <w:pPr>
        <w:widowControl w:val="0"/>
        <w:pBdr>
          <w:top w:val="nil"/>
          <w:left w:val="nil"/>
          <w:bottom w:val="nil"/>
          <w:right w:val="nil"/>
          <w:between w:val="nil"/>
        </w:pBdr>
        <w:spacing w:line="360" w:lineRule="auto"/>
        <w:jc w:val="both"/>
        <w:rPr>
          <w:rFonts w:ascii="Palatino Linotype" w:hAnsi="Palatino Linotype"/>
          <w:sz w:val="22"/>
          <w:szCs w:val="22"/>
        </w:rPr>
      </w:pPr>
      <w:r w:rsidRPr="00CF6287">
        <w:rPr>
          <w:rFonts w:ascii="Palatino Linotype" w:eastAsia="Palatino Linotype" w:hAnsi="Palatino Linotype" w:cs="Palatino Linotype"/>
          <w:b/>
          <w:sz w:val="22"/>
          <w:szCs w:val="22"/>
        </w:rPr>
        <w:t xml:space="preserve">Segundo. </w:t>
      </w:r>
      <w:r w:rsidR="004D223C" w:rsidRPr="00CF6287">
        <w:rPr>
          <w:rFonts w:ascii="Palatino Linotype" w:eastAsia="Palatino Linotype" w:hAnsi="Palatino Linotype" w:cs="Palatino Linotype"/>
          <w:b/>
          <w:sz w:val="22"/>
          <w:szCs w:val="22"/>
        </w:rPr>
        <w:t>Oportunidad.</w:t>
      </w:r>
      <w:r w:rsidR="004D223C" w:rsidRPr="00CF6287">
        <w:rPr>
          <w:rFonts w:ascii="Palatino Linotype" w:hAnsi="Palatino Linotype"/>
          <w:b/>
          <w:bCs/>
          <w:sz w:val="22"/>
          <w:szCs w:val="22"/>
        </w:rPr>
        <w:t xml:space="preserve"> </w:t>
      </w:r>
      <w:r w:rsidR="004D223C" w:rsidRPr="00CF6287">
        <w:rPr>
          <w:rFonts w:ascii="Palatino Linotype" w:hAnsi="Palatino Linotype"/>
          <w:sz w:val="22"/>
          <w:szCs w:val="22"/>
        </w:rPr>
        <w:t>El recurso de revisión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67B39A23" w14:textId="77777777" w:rsidR="004D223C" w:rsidRPr="00CF6287" w:rsidRDefault="004D223C" w:rsidP="004D223C">
      <w:pPr>
        <w:rPr>
          <w:rFonts w:ascii="Palatino Linotype" w:hAnsi="Palatino Linotype"/>
          <w:sz w:val="22"/>
          <w:szCs w:val="22"/>
        </w:rPr>
      </w:pPr>
    </w:p>
    <w:p w14:paraId="702D138B" w14:textId="77777777" w:rsidR="004D223C" w:rsidRPr="00CF6287" w:rsidRDefault="004D223C" w:rsidP="004D223C">
      <w:pPr>
        <w:pStyle w:val="NormalWeb"/>
        <w:spacing w:before="0" w:beforeAutospacing="0" w:after="0" w:afterAutospacing="0"/>
        <w:ind w:left="851" w:right="902"/>
        <w:jc w:val="both"/>
        <w:rPr>
          <w:rFonts w:ascii="Palatino Linotype" w:hAnsi="Palatino Linotype"/>
          <w:sz w:val="22"/>
          <w:szCs w:val="22"/>
        </w:rPr>
      </w:pPr>
      <w:r w:rsidRPr="00CF6287">
        <w:rPr>
          <w:rFonts w:ascii="Palatino Linotype" w:hAnsi="Palatino Linotype"/>
          <w:i/>
          <w:iCs/>
          <w:sz w:val="22"/>
          <w:szCs w:val="22"/>
        </w:rPr>
        <w:t>“</w:t>
      </w:r>
      <w:r w:rsidRPr="00CF6287">
        <w:rPr>
          <w:rFonts w:ascii="Palatino Linotype" w:hAnsi="Palatino Linotype"/>
          <w:b/>
          <w:bCs/>
          <w:i/>
          <w:iCs/>
          <w:sz w:val="22"/>
          <w:szCs w:val="22"/>
        </w:rPr>
        <w:t xml:space="preserve">Artículo 128. </w:t>
      </w:r>
      <w:r w:rsidRPr="00CF6287">
        <w:rPr>
          <w:rFonts w:ascii="Palatino Linotype" w:hAnsi="Palatino Linotype"/>
          <w:i/>
          <w:iCs/>
          <w:sz w:val="22"/>
          <w:szCs w:val="22"/>
        </w:rPr>
        <w:t>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0C53ABBE" w14:textId="77777777" w:rsidR="004D223C" w:rsidRPr="00CF6287" w:rsidRDefault="004D223C" w:rsidP="004D223C">
      <w:pPr>
        <w:pStyle w:val="NormalWeb"/>
        <w:spacing w:before="0" w:beforeAutospacing="0" w:after="0" w:afterAutospacing="0"/>
        <w:ind w:left="851" w:right="902"/>
        <w:jc w:val="both"/>
        <w:rPr>
          <w:rFonts w:ascii="Palatino Linotype" w:hAnsi="Palatino Linotype"/>
          <w:sz w:val="22"/>
          <w:szCs w:val="22"/>
        </w:rPr>
      </w:pPr>
      <w:r w:rsidRPr="00CF6287">
        <w:rPr>
          <w:rFonts w:ascii="Palatino Linotype" w:hAnsi="Palatino Linotype"/>
          <w:i/>
          <w:iCs/>
          <w:sz w:val="22"/>
          <w:szCs w:val="22"/>
        </w:rPr>
        <w:t xml:space="preserve">Transcurrido el plazo previsto para dar respuesta a una solicitud para el ejercicio de los derechos ARCO sin que se haya emitido ésta, el titular o en su caso, </w:t>
      </w:r>
      <w:proofErr w:type="gramStart"/>
      <w:r w:rsidRPr="00CF6287">
        <w:rPr>
          <w:rFonts w:ascii="Palatino Linotype" w:hAnsi="Palatino Linotype"/>
          <w:i/>
          <w:iCs/>
          <w:sz w:val="22"/>
          <w:szCs w:val="22"/>
        </w:rPr>
        <w:t>su representante podrán</w:t>
      </w:r>
      <w:proofErr w:type="gramEnd"/>
      <w:r w:rsidRPr="00CF6287">
        <w:rPr>
          <w:rFonts w:ascii="Palatino Linotype" w:hAnsi="Palatino Linotype"/>
          <w:i/>
          <w:iCs/>
          <w:sz w:val="22"/>
          <w:szCs w:val="22"/>
        </w:rPr>
        <w:t xml:space="preserve"> interponer el recurso de revisión dentro de los quince días siguientes al que haya vencido el plazo para dar respuesta.” </w:t>
      </w:r>
    </w:p>
    <w:p w14:paraId="00F04F66" w14:textId="77777777" w:rsidR="004D223C" w:rsidRPr="00CF6287" w:rsidRDefault="004D223C" w:rsidP="004D223C">
      <w:pPr>
        <w:rPr>
          <w:rFonts w:ascii="Palatino Linotype" w:hAnsi="Palatino Linotype"/>
          <w:sz w:val="22"/>
          <w:szCs w:val="22"/>
        </w:rPr>
      </w:pPr>
    </w:p>
    <w:p w14:paraId="1E22B873" w14:textId="77777777" w:rsidR="004D223C" w:rsidRPr="00CF6287" w:rsidRDefault="004D223C" w:rsidP="004D223C">
      <w:pPr>
        <w:pStyle w:val="NormalWeb"/>
        <w:spacing w:before="0" w:beforeAutospacing="0" w:after="0" w:afterAutospacing="0" w:line="360" w:lineRule="auto"/>
        <w:jc w:val="both"/>
        <w:rPr>
          <w:rFonts w:ascii="Palatino Linotype" w:hAnsi="Palatino Linotype"/>
          <w:sz w:val="22"/>
          <w:szCs w:val="22"/>
        </w:rPr>
      </w:pPr>
      <w:r w:rsidRPr="00CF6287">
        <w:rPr>
          <w:rFonts w:ascii="Palatino Linotype" w:hAnsi="Palatino Linotype"/>
          <w:sz w:val="22"/>
          <w:szCs w:val="22"/>
        </w:rPr>
        <w:t xml:space="preserve">Toda vez que </w:t>
      </w:r>
      <w:r w:rsidRPr="00CF6287">
        <w:rPr>
          <w:rFonts w:ascii="Palatino Linotype" w:hAnsi="Palatino Linotype"/>
          <w:b/>
          <w:bCs/>
          <w:sz w:val="22"/>
          <w:szCs w:val="22"/>
        </w:rPr>
        <w:t>EL</w:t>
      </w:r>
      <w:r w:rsidRPr="00CF6287">
        <w:rPr>
          <w:rFonts w:ascii="Palatino Linotype" w:hAnsi="Palatino Linotype"/>
          <w:sz w:val="22"/>
          <w:szCs w:val="22"/>
        </w:rPr>
        <w:t xml:space="preserve"> </w:t>
      </w:r>
      <w:r w:rsidRPr="00CF6287">
        <w:rPr>
          <w:rFonts w:ascii="Palatino Linotype" w:hAnsi="Palatino Linotype"/>
          <w:b/>
          <w:bCs/>
          <w:sz w:val="22"/>
          <w:szCs w:val="22"/>
        </w:rPr>
        <w:t xml:space="preserve">SUJETO OBLIGADO </w:t>
      </w:r>
      <w:r w:rsidRPr="00CF6287">
        <w:rPr>
          <w:rFonts w:ascii="Palatino Linotype" w:hAnsi="Palatino Linotype"/>
          <w:sz w:val="22"/>
          <w:szCs w:val="22"/>
        </w:rPr>
        <w:t>remitió respuesta a la solicitud</w:t>
      </w:r>
      <w:r w:rsidR="006B687B" w:rsidRPr="00CF6287">
        <w:rPr>
          <w:rFonts w:ascii="Palatino Linotype" w:hAnsi="Palatino Linotype"/>
          <w:sz w:val="22"/>
          <w:szCs w:val="22"/>
        </w:rPr>
        <w:t xml:space="preserve"> </w:t>
      </w:r>
      <w:r w:rsidRPr="00CF6287">
        <w:rPr>
          <w:rFonts w:ascii="Palatino Linotype" w:hAnsi="Palatino Linotype"/>
          <w:sz w:val="22"/>
          <w:szCs w:val="22"/>
        </w:rPr>
        <w:t xml:space="preserve">el día </w:t>
      </w:r>
      <w:r w:rsidR="00AA287F" w:rsidRPr="00CF6287">
        <w:rPr>
          <w:rFonts w:ascii="Palatino Linotype" w:hAnsi="Palatino Linotype"/>
          <w:b/>
          <w:sz w:val="22"/>
          <w:szCs w:val="22"/>
        </w:rPr>
        <w:t>d</w:t>
      </w:r>
      <w:r w:rsidR="00796E6E" w:rsidRPr="00CF6287">
        <w:rPr>
          <w:rFonts w:ascii="Palatino Linotype" w:hAnsi="Palatino Linotype"/>
          <w:b/>
          <w:sz w:val="22"/>
          <w:szCs w:val="22"/>
        </w:rPr>
        <w:t>iecisiete</w:t>
      </w:r>
      <w:r w:rsidRPr="00CF6287">
        <w:rPr>
          <w:rFonts w:ascii="Palatino Linotype" w:hAnsi="Palatino Linotype"/>
          <w:b/>
          <w:bCs/>
          <w:sz w:val="22"/>
          <w:szCs w:val="22"/>
        </w:rPr>
        <w:t xml:space="preserve"> de </w:t>
      </w:r>
      <w:r w:rsidR="00796E6E" w:rsidRPr="00CF6287">
        <w:rPr>
          <w:rFonts w:ascii="Palatino Linotype" w:hAnsi="Palatino Linotype"/>
          <w:b/>
          <w:bCs/>
          <w:sz w:val="22"/>
          <w:szCs w:val="22"/>
        </w:rPr>
        <w:t>enero</w:t>
      </w:r>
      <w:r w:rsidRPr="00CF6287">
        <w:rPr>
          <w:rFonts w:ascii="Palatino Linotype" w:hAnsi="Palatino Linotype"/>
          <w:b/>
          <w:bCs/>
          <w:sz w:val="22"/>
          <w:szCs w:val="22"/>
        </w:rPr>
        <w:t xml:space="preserve"> de dos mil veintic</w:t>
      </w:r>
      <w:r w:rsidR="00796E6E" w:rsidRPr="00CF6287">
        <w:rPr>
          <w:rFonts w:ascii="Palatino Linotype" w:hAnsi="Palatino Linotype"/>
          <w:b/>
          <w:bCs/>
          <w:sz w:val="22"/>
          <w:szCs w:val="22"/>
        </w:rPr>
        <w:t>inco</w:t>
      </w:r>
      <w:r w:rsidRPr="00CF6287">
        <w:rPr>
          <w:rFonts w:ascii="Palatino Linotype" w:hAnsi="Palatino Linotype"/>
          <w:b/>
          <w:bCs/>
          <w:sz w:val="22"/>
          <w:szCs w:val="22"/>
        </w:rPr>
        <w:t xml:space="preserve">, </w:t>
      </w:r>
      <w:r w:rsidRPr="00CF6287">
        <w:rPr>
          <w:rFonts w:ascii="Palatino Linotype" w:hAnsi="Palatino Linotype"/>
          <w:sz w:val="22"/>
          <w:szCs w:val="22"/>
        </w:rPr>
        <w:t xml:space="preserve">mientras que </w:t>
      </w:r>
      <w:r w:rsidRPr="00CF6287">
        <w:rPr>
          <w:rFonts w:ascii="Palatino Linotype" w:hAnsi="Palatino Linotype"/>
          <w:b/>
          <w:bCs/>
          <w:sz w:val="22"/>
          <w:szCs w:val="22"/>
        </w:rPr>
        <w:t>LA PARTE</w:t>
      </w:r>
      <w:r w:rsidRPr="00CF6287">
        <w:rPr>
          <w:rFonts w:ascii="Palatino Linotype" w:hAnsi="Palatino Linotype"/>
          <w:sz w:val="22"/>
          <w:szCs w:val="22"/>
        </w:rPr>
        <w:t xml:space="preserve"> </w:t>
      </w:r>
      <w:r w:rsidRPr="00CF6287">
        <w:rPr>
          <w:rFonts w:ascii="Palatino Linotype" w:hAnsi="Palatino Linotype"/>
          <w:b/>
          <w:bCs/>
          <w:sz w:val="22"/>
          <w:szCs w:val="22"/>
        </w:rPr>
        <w:t>RECURRENTE</w:t>
      </w:r>
      <w:r w:rsidRPr="00CF6287">
        <w:rPr>
          <w:rFonts w:ascii="Palatino Linotype" w:hAnsi="Palatino Linotype"/>
          <w:sz w:val="22"/>
          <w:szCs w:val="22"/>
        </w:rPr>
        <w:t xml:space="preserve"> interpuso e</w:t>
      </w:r>
      <w:r w:rsidR="00AA287F" w:rsidRPr="00CF6287">
        <w:rPr>
          <w:rFonts w:ascii="Palatino Linotype" w:hAnsi="Palatino Linotype"/>
          <w:sz w:val="22"/>
          <w:szCs w:val="22"/>
        </w:rPr>
        <w:t xml:space="preserve">l recurso de revisión en fecha </w:t>
      </w:r>
      <w:r w:rsidR="00796E6E" w:rsidRPr="00CF6287">
        <w:rPr>
          <w:rFonts w:ascii="Palatino Linotype" w:hAnsi="Palatino Linotype"/>
          <w:b/>
          <w:sz w:val="22"/>
          <w:szCs w:val="22"/>
        </w:rPr>
        <w:t>treinta y uno</w:t>
      </w:r>
      <w:r w:rsidRPr="00CF6287">
        <w:rPr>
          <w:rFonts w:ascii="Palatino Linotype" w:hAnsi="Palatino Linotype"/>
          <w:sz w:val="22"/>
          <w:szCs w:val="22"/>
        </w:rPr>
        <w:t xml:space="preserve"> </w:t>
      </w:r>
      <w:r w:rsidRPr="00CF6287">
        <w:rPr>
          <w:rFonts w:ascii="Palatino Linotype" w:hAnsi="Palatino Linotype"/>
          <w:b/>
          <w:sz w:val="22"/>
          <w:szCs w:val="22"/>
        </w:rPr>
        <w:t>de diciembre de dos mil veinticuatro</w:t>
      </w:r>
      <w:r w:rsidRPr="00CF6287">
        <w:rPr>
          <w:rFonts w:ascii="Palatino Linotype" w:hAnsi="Palatino Linotype"/>
          <w:sz w:val="22"/>
          <w:szCs w:val="22"/>
        </w:rPr>
        <w:t xml:space="preserve">, es decir, al </w:t>
      </w:r>
      <w:r w:rsidR="00796E6E" w:rsidRPr="00CF6287">
        <w:rPr>
          <w:rFonts w:ascii="Palatino Linotype" w:hAnsi="Palatino Linotype"/>
          <w:sz w:val="22"/>
          <w:szCs w:val="22"/>
        </w:rPr>
        <w:t>décimo</w:t>
      </w:r>
      <w:r w:rsidRPr="00CF6287">
        <w:rPr>
          <w:rFonts w:ascii="Palatino Linotype" w:hAnsi="Palatino Linotype"/>
          <w:sz w:val="22"/>
          <w:szCs w:val="22"/>
        </w:rPr>
        <w:t xml:space="preserve"> día hábil de haber recibido la respuesta. </w:t>
      </w:r>
    </w:p>
    <w:p w14:paraId="350AD6B1" w14:textId="77777777" w:rsidR="004D223C" w:rsidRPr="00CF6287" w:rsidRDefault="004D223C">
      <w:pPr>
        <w:widowControl w:val="0"/>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BDB0B24" w14:textId="77777777" w:rsidR="003A07DA" w:rsidRPr="00CF6287" w:rsidRDefault="003A07DA" w:rsidP="003A07DA">
      <w:pPr>
        <w:spacing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b/>
          <w:sz w:val="22"/>
          <w:szCs w:val="22"/>
        </w:rPr>
        <w:t xml:space="preserve">Tercero. Análisis de las causales de improcedencia y sobreseimiento del recurso de revisión. </w:t>
      </w:r>
      <w:r w:rsidRPr="00CF6287">
        <w:rPr>
          <w:rFonts w:ascii="Palatino Linotype" w:eastAsia="Palatino Linotype" w:hAnsi="Palatino Linotype" w:cs="Palatino Linotype"/>
          <w:sz w:val="22"/>
          <w:szCs w:val="22"/>
        </w:rPr>
        <w:t xml:space="preserve">En primer término, es importante establecer la materia de la solicitud, para determinar si se trata de una solicitud de acceso a la información como fue ingresada, o bien, si es de acceso a </w:t>
      </w:r>
      <w:r w:rsidRPr="00CF6287">
        <w:rPr>
          <w:rFonts w:ascii="Palatino Linotype" w:eastAsia="Palatino Linotype" w:hAnsi="Palatino Linotype" w:cs="Palatino Linotype"/>
          <w:sz w:val="22"/>
          <w:szCs w:val="22"/>
        </w:rPr>
        <w:lastRenderedPageBreak/>
        <w:t xml:space="preserve">datos personales, en virtud de que la parte </w:t>
      </w:r>
      <w:r w:rsidRPr="00CF6287">
        <w:rPr>
          <w:rFonts w:ascii="Palatino Linotype" w:eastAsia="Palatino Linotype" w:hAnsi="Palatino Linotype" w:cs="Palatino Linotype"/>
          <w:b/>
          <w:sz w:val="22"/>
          <w:szCs w:val="22"/>
        </w:rPr>
        <w:t>Recurrente</w:t>
      </w:r>
      <w:r w:rsidRPr="00CF6287">
        <w:rPr>
          <w:rFonts w:ascii="Palatino Linotype" w:eastAsia="Palatino Linotype" w:hAnsi="Palatino Linotype" w:cs="Palatino Linotype"/>
          <w:sz w:val="22"/>
          <w:szCs w:val="22"/>
        </w:rPr>
        <w:t xml:space="preserve"> al momento de formular su solicitud lo realizó vía el Sistema de Acceso a la Información Mexiquense.</w:t>
      </w:r>
    </w:p>
    <w:p w14:paraId="1D476D89" w14:textId="77777777" w:rsidR="003A07DA" w:rsidRPr="00CF6287" w:rsidRDefault="003A07DA" w:rsidP="003A07DA">
      <w:pP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Es importante precisar que el derecho de acceso a la información pública tiene su sustento en los artículos 6, apartado A, fracción IV de la Constitución Política de los Estados Unidos Mexicanos; 5, </w:t>
      </w:r>
      <w:proofErr w:type="gramStart"/>
      <w:r w:rsidRPr="00CF6287">
        <w:rPr>
          <w:rFonts w:ascii="Palatino Linotype" w:eastAsia="Palatino Linotype" w:hAnsi="Palatino Linotype" w:cs="Palatino Linotype"/>
          <w:sz w:val="22"/>
          <w:szCs w:val="22"/>
        </w:rPr>
        <w:t>párrafos trigésimo tercero</w:t>
      </w:r>
      <w:proofErr w:type="gramEnd"/>
      <w:r w:rsidRPr="00CF6287">
        <w:rPr>
          <w:rFonts w:ascii="Palatino Linotype" w:eastAsia="Palatino Linotype" w:hAnsi="Palatino Linotype" w:cs="Palatino Linotype"/>
          <w:sz w:val="22"/>
          <w:szCs w:val="22"/>
        </w:rPr>
        <w:t>, trigésimo cuarto y trigésimo quinto fracciones IV y V de la Constitución Política del Estado Libre y Soberano de México, con relación en los artículos 1, 2 y 4 de la Ley de Transparencia y Acceso a la Información Pública del Estado de México y Municipios.</w:t>
      </w:r>
    </w:p>
    <w:p w14:paraId="5841EFF8" w14:textId="77777777" w:rsidR="003A07DA" w:rsidRPr="00CF6287" w:rsidRDefault="003A07DA" w:rsidP="003A07DA">
      <w:pP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El cual, implica transparentar el ejercicio de la función pública, facilitar el acceso de los particulares a la información pública que los Sujetos Obligados generen, posean o administren en ejercicio de sus atribuciones, mediante procedimientos sencillos y expeditos, de manera oportuna y gratuita, privilegiando el principio de máxima publicidad de la información. </w:t>
      </w:r>
    </w:p>
    <w:p w14:paraId="749FD6B5" w14:textId="77777777" w:rsidR="003A07DA" w:rsidRPr="00CF6287" w:rsidRDefault="003A07DA" w:rsidP="003A07DA">
      <w:pP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Por ello, los Sujetos Obligados deben poner en práctica, políticas y programas de acceso a la información que se apeguen a principios de simplicidad, rapidez, y gratuidad del procedimiento, de auxilio y orientación a los particulares, así como la atención adecuada a las personas con discapacidad y a los hablantes de la lengua indígena, a través del procedimiento previsto en los artículos 150, 152, 153 y 155 de la Ley de Transparencia y Acceso a la Información Pública del Estado de México y Municipios.</w:t>
      </w:r>
    </w:p>
    <w:p w14:paraId="32FCC0E3" w14:textId="77777777" w:rsidR="003A07DA" w:rsidRPr="00CF6287" w:rsidRDefault="003A07DA" w:rsidP="003A07DA">
      <w:pP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En ese sentido debe quedar claro que una solicitud de información es un requerimiento formulado ante los Sujetos Obligados, a través de la cual se abre la posibilidad de consultar, sin necesidad de acreditar ningún tipo de interés, los documentos generados, administrados y resguardados por ellos, tal cual se encuentran en sus archivos. Por lo tanto, los Sujetos Obligados no tienen la responsabilidad de elaborar resúmenes, cálculos ni investigaciones que impliquen el procesamiento de los datos. En contraste, deben buscar y entregar la información requerida, de acuerdo con la Ley de Transparencia local.</w:t>
      </w:r>
    </w:p>
    <w:p w14:paraId="258083EE" w14:textId="77777777" w:rsidR="003A07DA" w:rsidRPr="00CF6287" w:rsidRDefault="003A07DA" w:rsidP="003A07DA">
      <w:pP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lastRenderedPageBreak/>
        <w:t xml:space="preserve">Ahora bien, </w:t>
      </w:r>
      <w:r w:rsidRPr="00CF6287">
        <w:rPr>
          <w:rFonts w:ascii="Palatino Linotype" w:eastAsia="Palatino Linotype" w:hAnsi="Palatino Linotype" w:cs="Palatino Linotype"/>
          <w:b/>
          <w:sz w:val="22"/>
          <w:szCs w:val="22"/>
        </w:rPr>
        <w:t>por lo que respecta al procedimiento de acceso a los datos personales</w:t>
      </w:r>
      <w:r w:rsidRPr="00CF6287">
        <w:rPr>
          <w:rFonts w:ascii="Palatino Linotype" w:eastAsia="Palatino Linotype" w:hAnsi="Palatino Linotype" w:cs="Palatino Linotype"/>
          <w:sz w:val="22"/>
          <w:szCs w:val="22"/>
        </w:rPr>
        <w:t xml:space="preserve"> debe destacarse que, de igual forma que el derecho de acceso a la información pública tiene su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4E521588" w14:textId="77777777" w:rsidR="003A07DA" w:rsidRPr="00CF6287" w:rsidRDefault="003A07DA" w:rsidP="003A07DA">
      <w:pP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Procedimiento que, además, está regulado en la Ley de Protección de Datos Personales en Posesión de Sujetos Obligados del Estado de México, en específico en los artículos 97 y 98 que </w:t>
      </w:r>
      <w:r w:rsidRPr="00CF6287">
        <w:rPr>
          <w:rFonts w:ascii="Palatino Linotype" w:eastAsia="Palatino Linotype" w:hAnsi="Palatino Linotype" w:cs="Palatino Linotype"/>
          <w:b/>
          <w:sz w:val="22"/>
          <w:szCs w:val="22"/>
        </w:rPr>
        <w:t>establecen que el titular por sí o través de su representante legal que acrediten su identidad o representación, respectivamente</w:t>
      </w:r>
      <w:r w:rsidRPr="00CF6287">
        <w:rPr>
          <w:rFonts w:ascii="Palatino Linotype" w:eastAsia="Palatino Linotype" w:hAnsi="Palatino Linotype" w:cs="Palatino Linotype"/>
          <w:sz w:val="22"/>
          <w:szCs w:val="22"/>
        </w:rPr>
        <w:t>;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3E10D49A" w14:textId="77777777" w:rsidR="003A07DA" w:rsidRPr="00CF6287" w:rsidRDefault="003A07DA" w:rsidP="003A07DA">
      <w:pP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CF6287">
        <w:rPr>
          <w:rFonts w:ascii="Palatino Linotype" w:eastAsia="Palatino Linotype" w:hAnsi="Palatino Linotype" w:cs="Palatino Linotype"/>
          <w:b/>
          <w:sz w:val="22"/>
          <w:szCs w:val="22"/>
        </w:rPr>
        <w:t>Sujeto Obligado</w:t>
      </w:r>
      <w:r w:rsidRPr="00CF6287">
        <w:rPr>
          <w:rFonts w:ascii="Palatino Linotype" w:eastAsia="Palatino Linotype" w:hAnsi="Palatino Linotype" w:cs="Palatino Linotype"/>
          <w:sz w:val="22"/>
          <w:szCs w:val="22"/>
        </w:rPr>
        <w:t xml:space="preserve"> que esté en posesión de los mismos.</w:t>
      </w:r>
    </w:p>
    <w:p w14:paraId="26B8FBC0" w14:textId="77777777" w:rsidR="003A07DA" w:rsidRPr="00CF6287" w:rsidRDefault="003A07DA" w:rsidP="003A07DA">
      <w:pPr>
        <w:autoSpaceDE w:val="0"/>
        <w:autoSpaceDN w:val="0"/>
        <w:adjustRightInd w:val="0"/>
        <w:spacing w:before="240" w:after="240" w:line="360" w:lineRule="auto"/>
        <w:jc w:val="both"/>
        <w:rPr>
          <w:rFonts w:ascii="Palatino Linotype" w:hAnsi="Palatino Linotype"/>
          <w:sz w:val="22"/>
          <w:szCs w:val="22"/>
        </w:rPr>
      </w:pPr>
      <w:r w:rsidRPr="00CF6287">
        <w:rPr>
          <w:rFonts w:ascii="Palatino Linotype" w:eastAsia="Palatino Linotype" w:hAnsi="Palatino Linotype" w:cs="Palatino Linotype"/>
          <w:sz w:val="22"/>
          <w:szCs w:val="22"/>
        </w:rPr>
        <w:lastRenderedPageBreak/>
        <w:t xml:space="preserve">Es importante señalar, que </w:t>
      </w:r>
      <w:r w:rsidRPr="00CF6287">
        <w:rPr>
          <w:rFonts w:ascii="Palatino Linotype" w:hAnsi="Palatino Linotype"/>
          <w:sz w:val="22"/>
          <w:szCs w:val="22"/>
        </w:rPr>
        <w:t>la procedencia de los derechos de acceso, rectificación, cancelación y oposición de datos personales, ARCO, es efectiva una vez que el titular o su representante legal acrediten su identidad o representación, respectivamente.</w:t>
      </w:r>
    </w:p>
    <w:p w14:paraId="219ECC7E" w14:textId="77777777" w:rsidR="003A07DA" w:rsidRPr="00CF6287" w:rsidRDefault="003A07DA" w:rsidP="003A07DA">
      <w:pPr>
        <w:spacing w:before="240" w:after="240" w:line="360" w:lineRule="auto"/>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sz w:val="22"/>
          <w:szCs w:val="22"/>
        </w:rPr>
        <w:t xml:space="preserve">Ahora bien, del análisis a la solicitud se advierte que la parte </w:t>
      </w:r>
      <w:r w:rsidRPr="00CF6287">
        <w:rPr>
          <w:rFonts w:ascii="Palatino Linotype" w:eastAsia="Palatino Linotype" w:hAnsi="Palatino Linotype" w:cs="Palatino Linotype"/>
          <w:b/>
          <w:sz w:val="22"/>
          <w:szCs w:val="22"/>
        </w:rPr>
        <w:t xml:space="preserve">Recurrente, </w:t>
      </w:r>
      <w:r w:rsidRPr="00CF6287">
        <w:rPr>
          <w:rFonts w:ascii="Palatino Linotype" w:eastAsia="Palatino Linotype" w:hAnsi="Palatino Linotype" w:cs="Palatino Linotype"/>
          <w:bCs/>
          <w:sz w:val="22"/>
          <w:szCs w:val="22"/>
        </w:rPr>
        <w:t xml:space="preserve">requirió </w:t>
      </w:r>
      <w:r w:rsidRPr="00CF6287">
        <w:rPr>
          <w:rFonts w:ascii="Palatino Linotype" w:eastAsia="Palatino Linotype" w:hAnsi="Palatino Linotype" w:cs="Palatino Linotype"/>
          <w:sz w:val="22"/>
          <w:szCs w:val="22"/>
        </w:rPr>
        <w:t xml:space="preserve">de un servidor público adscrito a un plantel del Colegio de Bachilleres del Estado de México, en relación con el Anexo de Ejecución 0236/2024 celebrado entre el Ejecutivo Federal, Gobierno del Estado de México y el Colegio de Bachilleres, el diez de enero del dos mil veinticuatro, que incluye el Apartado Analítico de servicios personales 2024, plazas, horas y sueldos autorizados, requiere la siguiente información: </w:t>
      </w:r>
    </w:p>
    <w:p w14:paraId="6417CC26" w14:textId="77777777" w:rsidR="003A07DA" w:rsidRPr="00CF6287" w:rsidRDefault="003A07DA" w:rsidP="003A07DA">
      <w:pPr>
        <w:pStyle w:val="Prrafodelista"/>
        <w:numPr>
          <w:ilvl w:val="0"/>
          <w:numId w:val="24"/>
        </w:numPr>
        <w:tabs>
          <w:tab w:val="left" w:pos="411"/>
        </w:tabs>
        <w:spacing w:before="120" w:after="12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Monto total individualizado asignado a la plaza del servidor público, como ingreso bruto, que debió y debo percibir en el ejercicio 2024;</w:t>
      </w:r>
    </w:p>
    <w:p w14:paraId="7FFFA77E" w14:textId="77777777" w:rsidR="003A07DA" w:rsidRPr="00CF6287" w:rsidRDefault="003A07DA" w:rsidP="003A07DA">
      <w:pPr>
        <w:pStyle w:val="Prrafodelista"/>
        <w:numPr>
          <w:ilvl w:val="0"/>
          <w:numId w:val="24"/>
        </w:numPr>
        <w:tabs>
          <w:tab w:val="left" w:pos="411"/>
        </w:tabs>
        <w:spacing w:before="120" w:after="12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Monto detallado anual que debió aplicarse por concepto tanto de percepciones como de deducciones -cuyos conceptos se precisaron en cada caso, respecto del ejercicio 2024-.</w:t>
      </w:r>
    </w:p>
    <w:p w14:paraId="0DC976E0" w14:textId="77777777" w:rsidR="003A07DA" w:rsidRPr="00CF6287" w:rsidRDefault="003A07DA" w:rsidP="003A07DA">
      <w:pPr>
        <w:pStyle w:val="Prrafodelista"/>
        <w:numPr>
          <w:ilvl w:val="0"/>
          <w:numId w:val="24"/>
        </w:numPr>
        <w:tabs>
          <w:tab w:val="left" w:pos="411"/>
        </w:tabs>
        <w:spacing w:before="120" w:after="12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En caso de que exista diferencia salarial entre lo autorizado en el Anexo de Ejecución y lo que realmente se ha pagado en 2024, se informe el monto que dejó de percibir el servidor público y los conceptos, en los cuales se aplicó la deducción.</w:t>
      </w:r>
    </w:p>
    <w:p w14:paraId="04E22AA6" w14:textId="77777777" w:rsidR="003A07DA" w:rsidRPr="00CF6287" w:rsidRDefault="003A07DA" w:rsidP="003A07DA">
      <w:pP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Adjunto a la solicitud, la persona solicitante adjuntó el Anexo “B” del Anexo de Ejecución / Apoyo Financiero 2024 SEMS-EL COBAEM-MÉXICO 0236/24, relativo al Analítico de servicios personales 2024, plazas, horas y sueldos autorizados, a que se hace referencia en la solicitud.</w:t>
      </w:r>
    </w:p>
    <w:p w14:paraId="738AC96A" w14:textId="77777777" w:rsidR="003A07DA" w:rsidRPr="00CF6287" w:rsidRDefault="00746AC5" w:rsidP="00746AC5">
      <w:pP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En este sentido, toda vez que se pretende obtener, además del monto de las percepciones y deducciones de Ley de la persona servidora pública referida en la solicitud, que es información de carácter público; el acceso al monto de las deducciones personales que le son aplicadas, información que por su naturaleza incide en su vida privada, al revelar parte de las decisiones que adopta una persona respecto del uso y destino de su remuneración salarial, lo cual se </w:t>
      </w:r>
      <w:r w:rsidRPr="00CF6287">
        <w:rPr>
          <w:rFonts w:ascii="Palatino Linotype" w:eastAsia="Palatino Linotype" w:hAnsi="Palatino Linotype" w:cs="Palatino Linotype"/>
          <w:sz w:val="22"/>
          <w:szCs w:val="22"/>
        </w:rPr>
        <w:lastRenderedPageBreak/>
        <w:t xml:space="preserve">relaciona intrínsecamente con la manera en que se integra su patrimonio, por lo tanto, al ser información que no es de carácter público, sino que concierne únicamente a su titular, se puntualiza que el procedimiento de acceso a la información pública NO es la vía para la tramitación del presente asunto, sino que debe ser atendido en términos del ejercicio del derecho de acceso a datos personales, </w:t>
      </w:r>
      <w:r w:rsidR="003A07DA" w:rsidRPr="00CF6287">
        <w:rPr>
          <w:rFonts w:ascii="Palatino Linotype" w:eastAsia="Palatino Linotype" w:hAnsi="Palatino Linotype" w:cs="Palatino Linotype"/>
          <w:sz w:val="22"/>
          <w:szCs w:val="22"/>
        </w:rPr>
        <w:t>toda vez que este Instituto, al igual que otros Órganos Garantes como es el Instituto Nacional de Acceso a la Información y Protección de Datos (INAI) se han pronunciado por la procedencia de los recursos de revisión según la materia de la solicitud.</w:t>
      </w:r>
    </w:p>
    <w:p w14:paraId="2E5DE0AB" w14:textId="77777777" w:rsidR="003A07DA" w:rsidRPr="00CF6287" w:rsidRDefault="003A07DA" w:rsidP="003A07DA">
      <w:pPr>
        <w:spacing w:before="280" w:after="28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Discernimiento que encuentra apoyo en el criterio </w:t>
      </w:r>
      <w:r w:rsidRPr="00CF6287">
        <w:rPr>
          <w:rFonts w:ascii="Palatino Linotype" w:eastAsia="Palatino Linotype" w:hAnsi="Palatino Linotype" w:cs="Palatino Linotype"/>
          <w:b/>
          <w:sz w:val="22"/>
          <w:szCs w:val="22"/>
        </w:rPr>
        <w:t>008/2009</w:t>
      </w:r>
      <w:r w:rsidRPr="00CF6287">
        <w:rPr>
          <w:rFonts w:ascii="Palatino Linotype" w:eastAsia="Palatino Linotype" w:hAnsi="Palatino Linotype" w:cs="Palatino Linotype"/>
          <w:sz w:val="22"/>
          <w:szCs w:val="22"/>
        </w:rPr>
        <w:t xml:space="preserve"> del INAI, que a la letra dispone:</w:t>
      </w:r>
    </w:p>
    <w:p w14:paraId="6280CF05" w14:textId="77777777" w:rsidR="003A07DA" w:rsidRPr="00CF6287" w:rsidRDefault="003A07DA" w:rsidP="003A07DA">
      <w:pPr>
        <w:tabs>
          <w:tab w:val="left" w:pos="7655"/>
        </w:tabs>
        <w:spacing w:after="120"/>
        <w:ind w:left="851" w:right="902"/>
        <w:jc w:val="both"/>
        <w:rPr>
          <w:rFonts w:ascii="Palatino Linotype" w:eastAsia="Palatino Linotype" w:hAnsi="Palatino Linotype" w:cs="Palatino Linotype"/>
          <w:b/>
          <w:i/>
          <w:sz w:val="22"/>
          <w:szCs w:val="22"/>
        </w:rPr>
      </w:pPr>
      <w:r w:rsidRPr="00CF6287">
        <w:rPr>
          <w:rFonts w:ascii="Palatino Linotype" w:eastAsia="Palatino Linotype" w:hAnsi="Palatino Linotype" w:cs="Palatino Linotype"/>
          <w:i/>
          <w:sz w:val="22"/>
          <w:szCs w:val="22"/>
        </w:rPr>
        <w:t>“</w:t>
      </w:r>
      <w:r w:rsidRPr="00CF6287">
        <w:rPr>
          <w:rFonts w:ascii="Palatino Linotype" w:eastAsia="Palatino Linotype" w:hAnsi="Palatino Linotype" w:cs="Palatino Linotype"/>
          <w:b/>
          <w:i/>
          <w:sz w:val="22"/>
          <w:szCs w:val="22"/>
        </w:rPr>
        <w:t>Las dependencias y entidades deberán dar trámite a las solicitudes aun cuando la vía en la que fueron presentadas -acceso a datos personales o información pública- no corresponda con la naturaleza de la materia de la misma.</w:t>
      </w:r>
      <w:r w:rsidRPr="00CF6287">
        <w:rPr>
          <w:rFonts w:ascii="Palatino Linotype" w:eastAsia="Palatino Linotype" w:hAnsi="Palatino Linotype" w:cs="Palatino Linotype"/>
          <w:i/>
          <w:sz w:val="22"/>
          <w:szCs w:val="22"/>
        </w:rPr>
        <w:t xml:space="preserve"> </w:t>
      </w:r>
      <w:r w:rsidRPr="00CF6287">
        <w:rPr>
          <w:rFonts w:ascii="Palatino Linotype" w:eastAsia="Palatino Linotype" w:hAnsi="Palatino Linotype" w:cs="Palatino Linotype"/>
          <w:b/>
          <w:i/>
          <w:sz w:val="22"/>
          <w:szCs w:val="22"/>
        </w:rPr>
        <w:t xml:space="preserve">Todas aquellas solicitudes cuyo objetivo sea allegarse de información pública y que sean ingresadas por la vía de acceso a datos personales, así como el caso contrario, </w:t>
      </w:r>
      <w:r w:rsidRPr="00CF6287">
        <w:rPr>
          <w:rFonts w:ascii="Palatino Linotype" w:eastAsia="Palatino Linotype" w:hAnsi="Palatino Linotype" w:cs="Palatino Linotype"/>
          <w:b/>
          <w:i/>
          <w:sz w:val="22"/>
          <w:szCs w:val="22"/>
          <w:u w:val="single"/>
        </w:rPr>
        <w:t>deberán ser tramitadas por las dependencias y entidades de conformidad con la naturaleza de la información de que se trate</w:t>
      </w:r>
      <w:r w:rsidRPr="00CF6287">
        <w:rPr>
          <w:rFonts w:ascii="Palatino Linotype" w:eastAsia="Palatino Linotype" w:hAnsi="Palatino Linotype" w:cs="Palatino Linotype"/>
          <w:b/>
          <w:i/>
          <w:sz w:val="22"/>
          <w:szCs w:val="22"/>
        </w:rPr>
        <w:t>, sin necesidad de que el particular requiera presentar una nueva solicitud.</w:t>
      </w:r>
    </w:p>
    <w:p w14:paraId="0292D6ED" w14:textId="77777777" w:rsidR="003A07DA" w:rsidRPr="00CF6287" w:rsidRDefault="003A07DA" w:rsidP="003A07DA">
      <w:pPr>
        <w:tabs>
          <w:tab w:val="left" w:pos="7655"/>
        </w:tabs>
        <w:spacing w:after="120"/>
        <w:ind w:left="851" w:right="902"/>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i/>
          <w:sz w:val="22"/>
          <w:szCs w:val="22"/>
        </w:rPr>
        <w:t xml:space="preserve">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w:t>
      </w:r>
      <w:r w:rsidRPr="00CF6287">
        <w:rPr>
          <w:rFonts w:ascii="Palatino Linotype" w:eastAsia="Palatino Linotype" w:hAnsi="Palatino Linotype" w:cs="Palatino Linotype"/>
          <w:i/>
          <w:sz w:val="22"/>
          <w:szCs w:val="22"/>
        </w:rPr>
        <w:lastRenderedPageBreak/>
        <w:t xml:space="preserve">deben subsanar los errores en que incurran los particulares al elegir la vía por la que los particulares presentan sus solicitudes. </w:t>
      </w:r>
      <w:r w:rsidRPr="00CF6287">
        <w:rPr>
          <w:rFonts w:ascii="Palatino Linotype" w:eastAsia="Palatino Linotype" w:hAnsi="Palatino Linotype" w:cs="Palatino Linotype"/>
          <w:b/>
          <w:i/>
          <w:sz w:val="22"/>
          <w:szCs w:val="22"/>
        </w:rPr>
        <w:t>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r w:rsidRPr="00CF6287">
        <w:rPr>
          <w:rFonts w:ascii="Palatino Linotype" w:eastAsia="Palatino Linotype" w:hAnsi="Palatino Linotype" w:cs="Palatino Linotype"/>
          <w:i/>
          <w:sz w:val="22"/>
          <w:szCs w:val="22"/>
        </w:rPr>
        <w:t>.”</w:t>
      </w:r>
    </w:p>
    <w:p w14:paraId="564BE8FC" w14:textId="77777777" w:rsidR="003A07DA" w:rsidRPr="00CF6287" w:rsidRDefault="003A07DA" w:rsidP="003A07DA">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sz w:val="22"/>
          <w:szCs w:val="22"/>
        </w:rPr>
        <w:t xml:space="preserve">Lo anterior, bajo el </w:t>
      </w:r>
      <w:proofErr w:type="gramStart"/>
      <w:r w:rsidRPr="00CF6287">
        <w:rPr>
          <w:rFonts w:ascii="Palatino Linotype" w:eastAsia="Palatino Linotype" w:hAnsi="Palatino Linotype" w:cs="Palatino Linotype"/>
          <w:sz w:val="22"/>
          <w:szCs w:val="22"/>
        </w:rPr>
        <w:t>principio  de</w:t>
      </w:r>
      <w:proofErr w:type="gramEnd"/>
      <w:r w:rsidRPr="00CF6287">
        <w:rPr>
          <w:rFonts w:ascii="Palatino Linotype" w:eastAsia="Palatino Linotype" w:hAnsi="Palatino Linotype" w:cs="Palatino Linotype"/>
          <w:sz w:val="22"/>
          <w:szCs w:val="22"/>
        </w:rPr>
        <w:t xml:space="preserve"> </w:t>
      </w:r>
      <w:proofErr w:type="spellStart"/>
      <w:r w:rsidRPr="00CF6287">
        <w:rPr>
          <w:rFonts w:ascii="Palatino Linotype" w:eastAsia="Palatino Linotype" w:hAnsi="Palatino Linotype" w:cs="Palatino Linotype"/>
          <w:sz w:val="22"/>
          <w:szCs w:val="22"/>
        </w:rPr>
        <w:t>expeditez</w:t>
      </w:r>
      <w:proofErr w:type="spellEnd"/>
      <w:r w:rsidRPr="00CF6287">
        <w:rPr>
          <w:rFonts w:ascii="Palatino Linotype" w:eastAsia="Palatino Linotype" w:hAnsi="Palatino Linotype" w:cs="Palatino Linotype"/>
          <w:sz w:val="22"/>
          <w:szCs w:val="22"/>
          <w:vertAlign w:val="superscript"/>
        </w:rPr>
        <w:footnoteReference w:id="1"/>
      </w:r>
      <w:r w:rsidRPr="00CF6287">
        <w:rPr>
          <w:rFonts w:ascii="Palatino Linotype" w:eastAsia="Palatino Linotype" w:hAnsi="Palatino Linotype" w:cs="Palatino Linotype"/>
          <w:sz w:val="22"/>
          <w:szCs w:val="22"/>
        </w:rPr>
        <w:t xml:space="preserve"> “</w:t>
      </w:r>
      <w:r w:rsidRPr="00CF6287">
        <w:rPr>
          <w:rFonts w:ascii="Palatino Linotype" w:eastAsia="Palatino Linotype" w:hAnsi="Palatino Linotype" w:cs="Palatino Linotype"/>
          <w:i/>
          <w:sz w:val="22"/>
          <w:szCs w:val="22"/>
        </w:rPr>
        <w:t xml:space="preserve">que consiste en que la impartición de justicia debe estar libre de estorbos, lo que significa que el poder público —en cualquiera de sus manifestaciones: Ejecutivo, Legislativo o Judicial— no puede supeditar el acceso a los tribunales a la satisfacción de condiciones innecesarias, excesivas y carentes de razonabilidad o proporcionalidad”, </w:t>
      </w:r>
    </w:p>
    <w:p w14:paraId="3935EFCE" w14:textId="77777777" w:rsidR="003A07DA" w:rsidRPr="00CF6287" w:rsidRDefault="003A07DA" w:rsidP="003A07DA">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Corolario a lo anterior, se </w:t>
      </w:r>
      <w:proofErr w:type="gramStart"/>
      <w:r w:rsidRPr="00CF6287">
        <w:rPr>
          <w:rFonts w:ascii="Palatino Linotype" w:eastAsia="Palatino Linotype" w:hAnsi="Palatino Linotype" w:cs="Palatino Linotype"/>
          <w:sz w:val="22"/>
          <w:szCs w:val="22"/>
        </w:rPr>
        <w:t>determina  procedente</w:t>
      </w:r>
      <w:proofErr w:type="gramEnd"/>
      <w:r w:rsidRPr="00CF6287">
        <w:rPr>
          <w:rFonts w:ascii="Palatino Linotype" w:eastAsia="Palatino Linotype" w:hAnsi="Palatino Linotype" w:cs="Palatino Linotype"/>
          <w:sz w:val="22"/>
          <w:szCs w:val="22"/>
        </w:rPr>
        <w:t xml:space="preserve"> dar trámite a la solicitud formulada por la parte </w:t>
      </w:r>
      <w:r w:rsidRPr="00CF6287">
        <w:rPr>
          <w:rFonts w:ascii="Palatino Linotype" w:eastAsia="Palatino Linotype" w:hAnsi="Palatino Linotype" w:cs="Palatino Linotype"/>
          <w:b/>
          <w:sz w:val="22"/>
          <w:szCs w:val="22"/>
        </w:rPr>
        <w:t>Recurrente</w:t>
      </w:r>
      <w:r w:rsidRPr="00CF6287">
        <w:rPr>
          <w:rFonts w:ascii="Palatino Linotype" w:eastAsia="Palatino Linotype" w:hAnsi="Palatino Linotype" w:cs="Palatino Linotype"/>
          <w:sz w:val="22"/>
          <w:szCs w:val="22"/>
        </w:rPr>
        <w:t xml:space="preserve"> bajo el procedimiento de acceso a los datos personales previsto en la Ley de Protección de Datos Personales en Posesión de Sujetos Obligados del Estado de México y Municipios, la cual, de conformidad con su artículo 1 tiene por objeto garantizar la protección de los datos personales que se encuentren en posesión de los </w:t>
      </w:r>
      <w:r w:rsidRPr="00CF6287">
        <w:rPr>
          <w:rFonts w:ascii="Palatino Linotype" w:eastAsia="Palatino Linotype" w:hAnsi="Palatino Linotype" w:cs="Palatino Linotype"/>
          <w:sz w:val="22"/>
          <w:szCs w:val="22"/>
        </w:rPr>
        <w:br/>
        <w:t xml:space="preserve">Sujetos Obligados. </w:t>
      </w:r>
    </w:p>
    <w:p w14:paraId="653D7DA9" w14:textId="77777777" w:rsidR="003A07DA" w:rsidRPr="00CF6287" w:rsidRDefault="003A07DA" w:rsidP="003A07DA">
      <w:pPr>
        <w:spacing w:before="240" w:after="240" w:line="360" w:lineRule="auto"/>
        <w:ind w:right="49"/>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Acotado lo anterior, cabe reiterar que en respuesta a la solicitud de acceso a datos personales, el </w:t>
      </w:r>
      <w:r w:rsidRPr="00CF6287">
        <w:rPr>
          <w:rFonts w:ascii="Palatino Linotype" w:eastAsia="Palatino Linotype" w:hAnsi="Palatino Linotype" w:cs="Palatino Linotype"/>
          <w:b/>
          <w:sz w:val="22"/>
          <w:szCs w:val="22"/>
        </w:rPr>
        <w:t xml:space="preserve">Sujeto Obligado </w:t>
      </w:r>
      <w:r w:rsidRPr="00CF6287">
        <w:rPr>
          <w:rFonts w:ascii="Palatino Linotype" w:eastAsia="Palatino Linotype" w:hAnsi="Palatino Linotype" w:cs="Palatino Linotype"/>
          <w:sz w:val="22"/>
          <w:szCs w:val="22"/>
        </w:rPr>
        <w:t xml:space="preserve">Jefa del Departamento de Recursos Humanos informó, que con relación a la solicitud de información, informaba que de acuerdo con los conceptos establecidos en la misma, no es posible determinar algún otro instrumento de análisis y comparativo de las percepciones y deducciones del solicitante; sin embargo, indicó que remitía los montos de percepciones y deducciones acumulados durante el ejercicio 2024 a nombre del servidor público señalado en la solicitud; proporcionando en dos tablas de contenido, conceptos y </w:t>
      </w:r>
      <w:r w:rsidRPr="00CF6287">
        <w:rPr>
          <w:rFonts w:ascii="Palatino Linotype" w:eastAsia="Palatino Linotype" w:hAnsi="Palatino Linotype" w:cs="Palatino Linotype"/>
          <w:sz w:val="22"/>
          <w:szCs w:val="22"/>
        </w:rPr>
        <w:lastRenderedPageBreak/>
        <w:t>montos de las percepciones y deducciones acumulados respecto del servidor público en el ejercicio 2024.</w:t>
      </w:r>
    </w:p>
    <w:p w14:paraId="030AB5B5" w14:textId="77777777" w:rsidR="003A07DA" w:rsidRPr="00CF6287" w:rsidRDefault="003A07DA" w:rsidP="003A07DA">
      <w:pPr>
        <w:spacing w:before="240" w:after="240" w:line="360" w:lineRule="auto"/>
        <w:ind w:right="49"/>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Una vez conocida la respuesta por la persona solicitante, ésta presentó el recurso de revisión que se resuelve, donde se agravió en lo medular porque la respuesta no da contestación a lo requerido, ya que a su consideración el </w:t>
      </w:r>
      <w:r w:rsidRPr="00CF6287">
        <w:rPr>
          <w:rFonts w:ascii="Palatino Linotype" w:eastAsia="Palatino Linotype" w:hAnsi="Palatino Linotype" w:cs="Palatino Linotype"/>
          <w:b/>
          <w:sz w:val="22"/>
          <w:szCs w:val="22"/>
        </w:rPr>
        <w:t>Sujeto Obligado</w:t>
      </w:r>
      <w:r w:rsidRPr="00CF6287">
        <w:rPr>
          <w:rFonts w:ascii="Palatino Linotype" w:eastAsia="Palatino Linotype" w:hAnsi="Palatino Linotype" w:cs="Palatino Linotype"/>
          <w:sz w:val="22"/>
          <w:szCs w:val="22"/>
        </w:rPr>
        <w:t xml:space="preserve"> si cuenta con un instrumento base de análisis de donde se puede obtener el comparativo solicitado, el cual corresponde al Anexo de Ejecución que celebró el Ejecutivo Federal, con Gobierno del Estado de México, donde le asistió la Secretaria de Finanzas y el Colegio de Bachilleres del Estado de México de fecha 10 de enero 2024, y por tanto insiste en que le asiste el derecho al Sujeto Obligado para contestar la solicitud.</w:t>
      </w:r>
    </w:p>
    <w:p w14:paraId="4CE99727" w14:textId="77777777" w:rsidR="003A07DA" w:rsidRPr="00CF6287" w:rsidRDefault="003A07DA" w:rsidP="003A07DA">
      <w:pP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En atención a ello, mediante informe justificado el </w:t>
      </w:r>
      <w:r w:rsidRPr="00CF6287">
        <w:rPr>
          <w:rFonts w:ascii="Palatino Linotype" w:eastAsia="Palatino Linotype" w:hAnsi="Palatino Linotype" w:cs="Palatino Linotype"/>
          <w:b/>
          <w:sz w:val="22"/>
          <w:szCs w:val="22"/>
        </w:rPr>
        <w:t xml:space="preserve">Sujeto Obligado, </w:t>
      </w:r>
      <w:r w:rsidRPr="00CF6287">
        <w:rPr>
          <w:rFonts w:ascii="Palatino Linotype" w:eastAsia="Palatino Linotype" w:hAnsi="Palatino Linotype" w:cs="Palatino Linotype"/>
          <w:sz w:val="22"/>
          <w:szCs w:val="22"/>
        </w:rPr>
        <w:t>ratificó en lo sustancial la respuesta emitida en primera instancia y de nueva cuenta se adjuntó</w:t>
      </w:r>
      <w:r w:rsidRPr="00CF6287">
        <w:rPr>
          <w:rFonts w:ascii="Palatino Linotype" w:hAnsi="Palatino Linotype"/>
          <w:sz w:val="22"/>
          <w:szCs w:val="22"/>
        </w:rPr>
        <w:t xml:space="preserve"> el oficio de respuesta de la </w:t>
      </w:r>
      <w:proofErr w:type="gramStart"/>
      <w:r w:rsidRPr="00CF6287">
        <w:rPr>
          <w:rFonts w:ascii="Palatino Linotype" w:eastAsia="Palatino Linotype" w:hAnsi="Palatino Linotype" w:cs="Palatino Linotype"/>
          <w:sz w:val="22"/>
          <w:szCs w:val="22"/>
        </w:rPr>
        <w:t>Jefa</w:t>
      </w:r>
      <w:proofErr w:type="gramEnd"/>
      <w:r w:rsidRPr="00CF6287">
        <w:rPr>
          <w:rFonts w:ascii="Palatino Linotype" w:eastAsia="Palatino Linotype" w:hAnsi="Palatino Linotype" w:cs="Palatino Linotype"/>
          <w:sz w:val="22"/>
          <w:szCs w:val="22"/>
        </w:rPr>
        <w:t xml:space="preserve"> del Departamento de Recursos Humanos, en la que, entre otras circunstancias proporcionó en dos tablas de contenido, conceptos y montos de las percepciones y deducciones acumulados recibidas por el servidor público señalado en la solicitud de información, respecto del ejercicio 2024.</w:t>
      </w:r>
    </w:p>
    <w:p w14:paraId="38588811" w14:textId="77777777" w:rsidR="003A07DA" w:rsidRPr="00CF6287" w:rsidRDefault="003A07DA" w:rsidP="003A07DA">
      <w:pP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No obstante, dicho documento no se hizo del conocimiento de la persona solicitante al no haber acreditado </w:t>
      </w:r>
      <w:r w:rsidRPr="00CF6287">
        <w:rPr>
          <w:rFonts w:ascii="Palatino Linotype" w:hAnsi="Palatino Linotype"/>
          <w:b/>
          <w:sz w:val="22"/>
        </w:rPr>
        <w:t>la identidad del titular de los datos personales sobre los cuales se pretende ejercer el Derecho de Acceso, así como su personalidad e identidad en calidad de representante</w:t>
      </w:r>
      <w:r w:rsidRPr="00CF6287">
        <w:rPr>
          <w:rFonts w:ascii="Palatino Linotype" w:eastAsia="Palatino Linotype" w:hAnsi="Palatino Linotype" w:cs="Palatino Linotype"/>
          <w:sz w:val="22"/>
          <w:szCs w:val="22"/>
        </w:rPr>
        <w:t>.</w:t>
      </w:r>
    </w:p>
    <w:p w14:paraId="3768B6F0" w14:textId="77777777" w:rsidR="003A07DA" w:rsidRPr="00CF6287" w:rsidRDefault="003A07DA" w:rsidP="003A07DA">
      <w:pP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Ahora bien, es importante insistir en que, para el ejercicio del derecho de acceso a datos personales es necesario que el titular de los mismos acredite su identidad, y en caso de que se pretenda acceder a través de un representante; este, deberá acreditar, además, la identidad y personalidad con la que actué; requisito dispuesto en el artículo 106, párrafo tercero de la Ley de Protección de Datos Personales en Posesión de Sujeto Obligados del Estado de México y Municipios</w:t>
      </w:r>
      <w:r w:rsidRPr="00CF6287">
        <w:rPr>
          <w:rFonts w:ascii="Palatino Linotype" w:eastAsia="Palatino Linotype" w:hAnsi="Palatino Linotype" w:cs="Palatino Linotype"/>
          <w:b/>
          <w:sz w:val="22"/>
          <w:szCs w:val="22"/>
        </w:rPr>
        <w:t xml:space="preserve">, </w:t>
      </w:r>
      <w:r w:rsidRPr="00CF6287">
        <w:rPr>
          <w:rFonts w:ascii="Palatino Linotype" w:eastAsia="Palatino Linotype" w:hAnsi="Palatino Linotype" w:cs="Palatino Linotype"/>
          <w:sz w:val="22"/>
          <w:szCs w:val="22"/>
        </w:rPr>
        <w:t>que es del tenor literal siguiente:</w:t>
      </w:r>
    </w:p>
    <w:p w14:paraId="473EE8F5" w14:textId="77777777" w:rsidR="003A07DA" w:rsidRPr="00CF6287" w:rsidRDefault="003A07DA" w:rsidP="003A07DA">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i/>
          <w:sz w:val="22"/>
          <w:szCs w:val="22"/>
        </w:rPr>
        <w:lastRenderedPageBreak/>
        <w:t>“</w:t>
      </w:r>
      <w:r w:rsidRPr="00CF6287">
        <w:rPr>
          <w:rFonts w:ascii="Palatino Linotype" w:eastAsia="Palatino Linotype" w:hAnsi="Palatino Linotype" w:cs="Palatino Linotype"/>
          <w:b/>
          <w:i/>
          <w:sz w:val="22"/>
          <w:szCs w:val="22"/>
        </w:rPr>
        <w:t>Artículo 106</w:t>
      </w:r>
      <w:r w:rsidRPr="00CF6287">
        <w:rPr>
          <w:rFonts w:ascii="Palatino Linotype" w:eastAsia="Palatino Linotype" w:hAnsi="Palatino Linotype" w:cs="Palatino Linotype"/>
          <w:i/>
          <w:sz w:val="22"/>
          <w:szCs w:val="22"/>
        </w:rPr>
        <w:t>…</w:t>
      </w:r>
    </w:p>
    <w:p w14:paraId="537BDBB0" w14:textId="77777777" w:rsidR="003A07DA" w:rsidRPr="00CF6287" w:rsidRDefault="003A07DA" w:rsidP="003A07DA">
      <w:pPr>
        <w:pBdr>
          <w:top w:val="nil"/>
          <w:left w:val="nil"/>
          <w:bottom w:val="nil"/>
          <w:right w:val="nil"/>
          <w:between w:val="nil"/>
        </w:pBdr>
        <w:spacing w:before="120" w:after="120"/>
        <w:ind w:left="851" w:right="618"/>
        <w:jc w:val="both"/>
        <w:rPr>
          <w:rFonts w:ascii="Palatino Linotype" w:eastAsia="Palatino Linotype" w:hAnsi="Palatino Linotype" w:cs="Arial"/>
          <w:i/>
          <w:sz w:val="22"/>
          <w:szCs w:val="22"/>
        </w:rPr>
      </w:pPr>
      <w:r w:rsidRPr="00CF6287">
        <w:rPr>
          <w:rFonts w:ascii="Palatino Linotype" w:eastAsia="Palatino Linotype" w:hAnsi="Palatino Linotype" w:cs="Palatino Linotype"/>
          <w:b/>
          <w:i/>
          <w:sz w:val="22"/>
          <w:szCs w:val="22"/>
          <w:u w:val="single"/>
        </w:rPr>
        <w:t xml:space="preserve">Para el ejercicio de los derechos ARCO solicitados será necesario acreditar la identidad de titular y en su caso la identidad y personalidad con la que </w:t>
      </w:r>
      <w:r w:rsidRPr="00CF6287">
        <w:rPr>
          <w:rFonts w:ascii="Palatino Linotype" w:eastAsia="Palatino Linotype" w:hAnsi="Palatino Linotype" w:cs="Arial"/>
          <w:b/>
          <w:i/>
          <w:sz w:val="22"/>
          <w:szCs w:val="22"/>
          <w:u w:val="single"/>
        </w:rPr>
        <w:t>actúe el representante</w:t>
      </w:r>
      <w:r w:rsidRPr="00CF6287">
        <w:rPr>
          <w:rFonts w:ascii="Palatino Linotype" w:eastAsia="Palatino Linotype" w:hAnsi="Palatino Linotype" w:cs="Arial"/>
          <w:i/>
          <w:sz w:val="22"/>
          <w:szCs w:val="22"/>
        </w:rPr>
        <w:t>…”</w:t>
      </w:r>
    </w:p>
    <w:p w14:paraId="51A7E33A" w14:textId="77777777" w:rsidR="003A07DA" w:rsidRPr="00CF6287" w:rsidRDefault="003A07DA" w:rsidP="003A07DA">
      <w:pPr>
        <w:spacing w:line="360" w:lineRule="auto"/>
        <w:jc w:val="both"/>
        <w:rPr>
          <w:rFonts w:ascii="Palatino Linotype" w:hAnsi="Palatino Linotype"/>
          <w:sz w:val="22"/>
        </w:rPr>
      </w:pPr>
      <w:r w:rsidRPr="00CF6287">
        <w:rPr>
          <w:rFonts w:ascii="Palatino Linotype" w:hAnsi="Palatino Linotype"/>
          <w:sz w:val="22"/>
        </w:rPr>
        <w:t>Al respecto, es de indicar que, de conformidad con los artículos 120 de la Ley de Protección de Datos Personales en Posesión de Sujetos Obligados del Estado de México y Municipios; 76 de los Lineamientos Generales de Protección de Datos Personales para el Sector Público; y 2.5 Bis del Código Civil del Estado de México</w:t>
      </w:r>
      <w:r w:rsidRPr="00CF6287">
        <w:rPr>
          <w:rFonts w:ascii="Palatino Linotype" w:hAnsi="Palatino Linotype"/>
          <w:b/>
          <w:sz w:val="22"/>
        </w:rPr>
        <w:t>, los medios para acreditar la identidad de personas físicas son los siguientes</w:t>
      </w:r>
      <w:r w:rsidRPr="00CF6287">
        <w:rPr>
          <w:rFonts w:ascii="Palatino Linotype" w:hAnsi="Palatino Linotype"/>
          <w:sz w:val="22"/>
        </w:rPr>
        <w:t>:</w:t>
      </w:r>
    </w:p>
    <w:p w14:paraId="30C4FE50" w14:textId="77777777" w:rsidR="003A07DA" w:rsidRPr="00CF6287" w:rsidRDefault="003A07DA" w:rsidP="003A07DA">
      <w:pPr>
        <w:spacing w:line="360" w:lineRule="auto"/>
        <w:jc w:val="both"/>
        <w:rPr>
          <w:rFonts w:ascii="Palatino Linotype" w:hAnsi="Palatino Linotype"/>
          <w:sz w:val="22"/>
        </w:rPr>
      </w:pPr>
    </w:p>
    <w:p w14:paraId="105D1F87" w14:textId="77777777" w:rsidR="003A07DA" w:rsidRPr="00CF6287" w:rsidRDefault="003A07DA" w:rsidP="003A07DA">
      <w:pPr>
        <w:pStyle w:val="Prrafodelista"/>
        <w:numPr>
          <w:ilvl w:val="0"/>
          <w:numId w:val="20"/>
        </w:numPr>
        <w:autoSpaceDE w:val="0"/>
        <w:autoSpaceDN w:val="0"/>
        <w:adjustRightInd w:val="0"/>
        <w:spacing w:line="276" w:lineRule="auto"/>
        <w:jc w:val="both"/>
        <w:rPr>
          <w:rFonts w:ascii="Palatino Linotype" w:hAnsi="Palatino Linotype"/>
          <w:sz w:val="22"/>
        </w:rPr>
      </w:pPr>
      <w:r w:rsidRPr="00CF6287">
        <w:rPr>
          <w:rFonts w:ascii="Palatino Linotype" w:hAnsi="Palatino Linotype"/>
          <w:sz w:val="22"/>
        </w:rPr>
        <w:t>Identificación oficial, como Credencial para votar, pasaporte, matrícula consular mexicana, carta de naturalización, cédula profesional o de pasante, etc.</w:t>
      </w:r>
    </w:p>
    <w:p w14:paraId="5F8F3710" w14:textId="77777777" w:rsidR="003A07DA" w:rsidRPr="00CF6287" w:rsidRDefault="003A07DA" w:rsidP="003A07DA">
      <w:pPr>
        <w:pStyle w:val="Prrafodelista"/>
        <w:autoSpaceDE w:val="0"/>
        <w:autoSpaceDN w:val="0"/>
        <w:adjustRightInd w:val="0"/>
        <w:spacing w:line="276" w:lineRule="auto"/>
        <w:ind w:left="360"/>
        <w:jc w:val="both"/>
        <w:rPr>
          <w:rFonts w:ascii="Palatino Linotype" w:hAnsi="Palatino Linotype"/>
          <w:sz w:val="22"/>
        </w:rPr>
      </w:pPr>
    </w:p>
    <w:p w14:paraId="1440436C" w14:textId="77777777" w:rsidR="003A07DA" w:rsidRPr="00CF6287" w:rsidRDefault="003A07DA" w:rsidP="003A07DA">
      <w:pPr>
        <w:pStyle w:val="Prrafodelista"/>
        <w:numPr>
          <w:ilvl w:val="0"/>
          <w:numId w:val="20"/>
        </w:numPr>
        <w:autoSpaceDE w:val="0"/>
        <w:autoSpaceDN w:val="0"/>
        <w:adjustRightInd w:val="0"/>
        <w:spacing w:line="276" w:lineRule="auto"/>
        <w:jc w:val="both"/>
        <w:rPr>
          <w:rFonts w:ascii="Palatino Linotype" w:hAnsi="Palatino Linotype"/>
          <w:sz w:val="22"/>
        </w:rPr>
      </w:pPr>
      <w:r w:rsidRPr="00CF6287">
        <w:rPr>
          <w:rFonts w:ascii="Palatino Linotype" w:hAnsi="Palatino Linotype"/>
          <w:sz w:val="22"/>
        </w:rPr>
        <w:t>Credenciales expedidas por autoridades educativas que cuenten con autorización o con reconocimiento de validez oficial o instituciones de seguridad social, licencia para conducir, cartilla del servicio militar nacional, etc.</w:t>
      </w:r>
    </w:p>
    <w:p w14:paraId="00673B36" w14:textId="77777777" w:rsidR="003A07DA" w:rsidRPr="00CF6287" w:rsidRDefault="003A07DA" w:rsidP="003A07DA">
      <w:pPr>
        <w:pStyle w:val="Prrafodelista"/>
        <w:rPr>
          <w:rFonts w:ascii="Palatino Linotype" w:hAnsi="Palatino Linotype"/>
          <w:sz w:val="22"/>
        </w:rPr>
      </w:pPr>
    </w:p>
    <w:p w14:paraId="13574A35" w14:textId="77777777" w:rsidR="003A07DA" w:rsidRPr="00CF6287" w:rsidRDefault="003A07DA" w:rsidP="003A07DA">
      <w:pPr>
        <w:pStyle w:val="Prrafodelista"/>
        <w:numPr>
          <w:ilvl w:val="0"/>
          <w:numId w:val="20"/>
        </w:numPr>
        <w:autoSpaceDE w:val="0"/>
        <w:autoSpaceDN w:val="0"/>
        <w:adjustRightInd w:val="0"/>
        <w:spacing w:line="276" w:lineRule="auto"/>
        <w:jc w:val="both"/>
        <w:rPr>
          <w:rFonts w:ascii="Palatino Linotype" w:hAnsi="Palatino Linotype"/>
          <w:sz w:val="22"/>
        </w:rPr>
      </w:pPr>
      <w:r w:rsidRPr="00CF6287">
        <w:rPr>
          <w:rFonts w:ascii="Palatino Linotype" w:hAnsi="Palatino Linotype"/>
          <w:sz w:val="22"/>
        </w:rPr>
        <w:t>Firma electrónica avanzada o del instrumento electrónico que lo sustituya.</w:t>
      </w:r>
    </w:p>
    <w:p w14:paraId="16C68097" w14:textId="77777777" w:rsidR="003A07DA" w:rsidRPr="00CF6287" w:rsidRDefault="003A07DA" w:rsidP="003A07DA">
      <w:pPr>
        <w:pStyle w:val="Prrafodelista"/>
        <w:rPr>
          <w:rFonts w:ascii="Palatino Linotype" w:hAnsi="Palatino Linotype"/>
          <w:sz w:val="22"/>
        </w:rPr>
      </w:pPr>
    </w:p>
    <w:p w14:paraId="583FDE94" w14:textId="77777777" w:rsidR="003A07DA" w:rsidRPr="00CF6287" w:rsidRDefault="003A07DA" w:rsidP="003A07DA">
      <w:pPr>
        <w:pStyle w:val="Prrafodelista"/>
        <w:numPr>
          <w:ilvl w:val="0"/>
          <w:numId w:val="20"/>
        </w:numPr>
        <w:autoSpaceDE w:val="0"/>
        <w:autoSpaceDN w:val="0"/>
        <w:adjustRightInd w:val="0"/>
        <w:spacing w:line="276" w:lineRule="auto"/>
        <w:jc w:val="both"/>
        <w:rPr>
          <w:rFonts w:ascii="Palatino Linotype" w:hAnsi="Palatino Linotype"/>
          <w:sz w:val="22"/>
        </w:rPr>
      </w:pPr>
      <w:r w:rsidRPr="00CF6287">
        <w:rPr>
          <w:rFonts w:ascii="Palatino Linotype" w:hAnsi="Palatino Linotype"/>
          <w:sz w:val="22"/>
        </w:rPr>
        <w:t>Mecanismos de autenticación autorizados por el Instituto o el Instituto Nacional publicados por acuerdo general en el periódico oficial “Gaceta del Gobierno” o en el Diario Oficial de la Federación, siempre y cuando permitan de forma inequívoca la acreditación de la identidad del titular.</w:t>
      </w:r>
    </w:p>
    <w:p w14:paraId="254AA8DE" w14:textId="77777777" w:rsidR="003A07DA" w:rsidRPr="00CF6287" w:rsidRDefault="003A07DA" w:rsidP="003A07DA">
      <w:pPr>
        <w:pStyle w:val="Prrafodelista"/>
        <w:rPr>
          <w:rFonts w:ascii="Palatino Linotype" w:hAnsi="Palatino Linotype"/>
          <w:sz w:val="22"/>
        </w:rPr>
      </w:pPr>
    </w:p>
    <w:p w14:paraId="3C3D152E" w14:textId="77777777" w:rsidR="003A07DA" w:rsidRPr="00CF6287" w:rsidRDefault="003A07DA" w:rsidP="003A07DA">
      <w:pPr>
        <w:autoSpaceDE w:val="0"/>
        <w:autoSpaceDN w:val="0"/>
        <w:adjustRightInd w:val="0"/>
        <w:spacing w:line="360" w:lineRule="auto"/>
        <w:jc w:val="both"/>
        <w:rPr>
          <w:rFonts w:ascii="Palatino Linotype" w:hAnsi="Palatino Linotype"/>
          <w:sz w:val="22"/>
          <w:szCs w:val="22"/>
        </w:rPr>
      </w:pPr>
      <w:r w:rsidRPr="00CF6287">
        <w:rPr>
          <w:rFonts w:ascii="Palatino Linotype" w:hAnsi="Palatino Linotype"/>
          <w:sz w:val="22"/>
          <w:szCs w:val="22"/>
        </w:rPr>
        <w:t xml:space="preserve">Asimismo, de conformidad con el artículo 121 de la Ley de Protección de Datos Personales en Posesión de Sujetos Obligados del Estado de México y Municipios, </w:t>
      </w:r>
      <w:r w:rsidRPr="00CF6287">
        <w:rPr>
          <w:rFonts w:ascii="Palatino Linotype" w:hAnsi="Palatino Linotype"/>
          <w:b/>
          <w:sz w:val="22"/>
          <w:szCs w:val="22"/>
        </w:rPr>
        <w:t>las formas para acreditar la personalidad en representación, cuando el titular de los datos actúe a través de un representante,</w:t>
      </w:r>
      <w:r w:rsidRPr="00CF6287">
        <w:rPr>
          <w:rFonts w:ascii="Palatino Linotype" w:hAnsi="Palatino Linotype"/>
          <w:sz w:val="22"/>
          <w:szCs w:val="22"/>
        </w:rPr>
        <w:t xml:space="preserve"> son las siguientes:</w:t>
      </w:r>
    </w:p>
    <w:p w14:paraId="0E6258F6" w14:textId="77777777" w:rsidR="003A07DA" w:rsidRPr="00CF6287" w:rsidRDefault="003A07DA" w:rsidP="003A07DA">
      <w:pPr>
        <w:autoSpaceDE w:val="0"/>
        <w:autoSpaceDN w:val="0"/>
        <w:adjustRightInd w:val="0"/>
        <w:spacing w:line="360" w:lineRule="auto"/>
        <w:jc w:val="both"/>
        <w:rPr>
          <w:rFonts w:ascii="Palatino Linotype" w:hAnsi="Palatino Linotype"/>
          <w:sz w:val="22"/>
          <w:szCs w:val="22"/>
        </w:rPr>
      </w:pPr>
    </w:p>
    <w:p w14:paraId="6DFB8146" w14:textId="77777777" w:rsidR="003A07DA" w:rsidRPr="00CF6287" w:rsidRDefault="003A07DA" w:rsidP="003A07DA">
      <w:pPr>
        <w:pStyle w:val="Prrafodelista"/>
        <w:numPr>
          <w:ilvl w:val="0"/>
          <w:numId w:val="19"/>
        </w:numPr>
        <w:autoSpaceDE w:val="0"/>
        <w:autoSpaceDN w:val="0"/>
        <w:adjustRightInd w:val="0"/>
        <w:spacing w:line="276" w:lineRule="auto"/>
        <w:ind w:left="360"/>
        <w:jc w:val="both"/>
        <w:rPr>
          <w:rFonts w:ascii="Palatino Linotype" w:hAnsi="Palatino Linotype"/>
          <w:sz w:val="22"/>
          <w:szCs w:val="22"/>
        </w:rPr>
      </w:pPr>
      <w:r w:rsidRPr="00CF6287">
        <w:rPr>
          <w:rFonts w:ascii="Palatino Linotype" w:hAnsi="Palatino Linotype"/>
          <w:b/>
          <w:sz w:val="22"/>
          <w:szCs w:val="22"/>
          <w:u w:val="single"/>
        </w:rPr>
        <w:t>Cuando el titular se trate de una persona física</w:t>
      </w:r>
      <w:r w:rsidRPr="00CF6287">
        <w:rPr>
          <w:rFonts w:ascii="Palatino Linotype" w:hAnsi="Palatino Linotype"/>
          <w:sz w:val="22"/>
          <w:szCs w:val="22"/>
        </w:rPr>
        <w:t xml:space="preserve">: a través de carta poder simple suscrita ante dos testigos anexando copia de las identificaciones de los suscriptores o instrumento </w:t>
      </w:r>
      <w:r w:rsidRPr="00CF6287">
        <w:rPr>
          <w:rFonts w:ascii="Palatino Linotype" w:hAnsi="Palatino Linotype"/>
          <w:sz w:val="22"/>
          <w:szCs w:val="22"/>
        </w:rPr>
        <w:lastRenderedPageBreak/>
        <w:t>público o declaración en comparecencia personal del titular y del representante ante el Instituto.</w:t>
      </w:r>
    </w:p>
    <w:p w14:paraId="649B4533" w14:textId="77777777" w:rsidR="003A07DA" w:rsidRPr="00CF6287" w:rsidRDefault="003A07DA" w:rsidP="003A07DA">
      <w:pPr>
        <w:pStyle w:val="Prrafodelista"/>
        <w:autoSpaceDE w:val="0"/>
        <w:autoSpaceDN w:val="0"/>
        <w:adjustRightInd w:val="0"/>
        <w:spacing w:line="276" w:lineRule="auto"/>
        <w:ind w:left="360"/>
        <w:jc w:val="both"/>
        <w:rPr>
          <w:rFonts w:ascii="Palatino Linotype" w:hAnsi="Palatino Linotype"/>
          <w:sz w:val="22"/>
          <w:szCs w:val="22"/>
        </w:rPr>
      </w:pPr>
    </w:p>
    <w:p w14:paraId="33BAAF96" w14:textId="77777777" w:rsidR="003A07DA" w:rsidRPr="00CF6287" w:rsidRDefault="003A07DA" w:rsidP="003A07DA">
      <w:pPr>
        <w:pStyle w:val="Prrafodelista"/>
        <w:numPr>
          <w:ilvl w:val="0"/>
          <w:numId w:val="19"/>
        </w:numPr>
        <w:autoSpaceDE w:val="0"/>
        <w:autoSpaceDN w:val="0"/>
        <w:adjustRightInd w:val="0"/>
        <w:spacing w:line="276" w:lineRule="auto"/>
        <w:ind w:left="360"/>
        <w:jc w:val="both"/>
        <w:rPr>
          <w:rFonts w:ascii="Palatino Linotype" w:hAnsi="Palatino Linotype"/>
          <w:sz w:val="22"/>
          <w:szCs w:val="22"/>
        </w:rPr>
      </w:pPr>
      <w:r w:rsidRPr="00CF6287">
        <w:rPr>
          <w:rFonts w:ascii="Palatino Linotype" w:hAnsi="Palatino Linotype"/>
          <w:b/>
          <w:sz w:val="22"/>
          <w:szCs w:val="22"/>
          <w:u w:val="single"/>
        </w:rPr>
        <w:t>Cuando el titular se trate de una persona jurídica colectiva</w:t>
      </w:r>
      <w:r w:rsidRPr="00CF6287">
        <w:rPr>
          <w:rFonts w:ascii="Palatino Linotype" w:hAnsi="Palatino Linotype"/>
          <w:sz w:val="22"/>
          <w:szCs w:val="22"/>
        </w:rPr>
        <w:t>: a través de instrumento público.</w:t>
      </w:r>
    </w:p>
    <w:p w14:paraId="1BEEE336" w14:textId="77777777" w:rsidR="003A07DA" w:rsidRPr="00CF6287" w:rsidRDefault="003A07DA" w:rsidP="003A07DA">
      <w:pPr>
        <w:autoSpaceDE w:val="0"/>
        <w:autoSpaceDN w:val="0"/>
        <w:adjustRightInd w:val="0"/>
        <w:spacing w:before="240" w:after="240" w:line="360" w:lineRule="auto"/>
        <w:jc w:val="both"/>
        <w:rPr>
          <w:rFonts w:ascii="Palatino Linotype" w:hAnsi="Palatino Linotype"/>
          <w:sz w:val="22"/>
          <w:szCs w:val="22"/>
        </w:rPr>
      </w:pPr>
      <w:r w:rsidRPr="00CF6287">
        <w:rPr>
          <w:rFonts w:ascii="Palatino Linotype" w:hAnsi="Palatino Linotype"/>
          <w:sz w:val="22"/>
          <w:szCs w:val="22"/>
        </w:rPr>
        <w:t>Corrobora lo anterior, los Lineamientos Generales de Protección de Datos Personales para el Sector Público, en los artículos 73 y 77, que establecen que</w:t>
      </w:r>
      <w:r w:rsidRPr="00CF6287">
        <w:t xml:space="preserve"> </w:t>
      </w:r>
      <w:r w:rsidRPr="00CF6287">
        <w:rPr>
          <w:rFonts w:ascii="Palatino Linotype" w:hAnsi="Palatino Linotype"/>
          <w:sz w:val="22"/>
          <w:szCs w:val="22"/>
        </w:rPr>
        <w:t>los derechos ARCO se podrán ejercer por el titular o, en su caso, su representante, acreditando su identidad y, en su caso, la identidad y personalidad de este último; y, que los medios para la acreditación de la identidad del titular y su representante, así como la personalidad de este último es mediante: copia simple de la identificación oficial del titular y del representante, y la entrega del instrumento público; carta poder simple firmada ante dos testigos anexando copia simple de las identificaciones oficiales de quienes intervengan en la suscripción del mismo, o declaración en comparecencia personal del titular, como se muestra:</w:t>
      </w:r>
    </w:p>
    <w:p w14:paraId="368F60AA" w14:textId="77777777" w:rsidR="003A07DA" w:rsidRPr="00CF6287" w:rsidRDefault="003A07DA" w:rsidP="003A07DA">
      <w:pPr>
        <w:autoSpaceDE w:val="0"/>
        <w:autoSpaceDN w:val="0"/>
        <w:adjustRightInd w:val="0"/>
        <w:spacing w:before="240" w:after="240" w:line="276" w:lineRule="auto"/>
        <w:ind w:left="567" w:right="474"/>
        <w:jc w:val="both"/>
        <w:rPr>
          <w:rFonts w:ascii="Palatino Linotype" w:hAnsi="Palatino Linotype"/>
          <w:i/>
          <w:sz w:val="22"/>
          <w:szCs w:val="22"/>
        </w:rPr>
      </w:pPr>
      <w:r w:rsidRPr="00CF6287">
        <w:rPr>
          <w:rFonts w:ascii="Palatino Linotype" w:hAnsi="Palatino Linotype"/>
          <w:i/>
          <w:sz w:val="22"/>
          <w:szCs w:val="22"/>
        </w:rPr>
        <w:t xml:space="preserve">“Artículo 73. Los derechos ARCO se podrán ejercer por el titular o, en su caso, su representante, acreditando su identidad y, en su caso, la identidad y personalidad de este último al presentar su solicitud o, de manera previa, al momento de hacer efectivo su derecho ante el responsable, conforme a lo dispuesto en el </w:t>
      </w:r>
      <w:proofErr w:type="spellStart"/>
      <w:r w:rsidRPr="00CF6287">
        <w:rPr>
          <w:rFonts w:ascii="Palatino Linotype" w:hAnsi="Palatino Linotype"/>
          <w:i/>
          <w:sz w:val="22"/>
          <w:szCs w:val="22"/>
        </w:rPr>
        <w:t>articulo</w:t>
      </w:r>
      <w:proofErr w:type="spellEnd"/>
      <w:r w:rsidRPr="00CF6287">
        <w:rPr>
          <w:rFonts w:ascii="Palatino Linotype" w:hAnsi="Palatino Linotype"/>
          <w:i/>
          <w:sz w:val="22"/>
          <w:szCs w:val="22"/>
        </w:rPr>
        <w:t xml:space="preserve"> 91 de los presentes Lineamientos generales.”</w:t>
      </w:r>
    </w:p>
    <w:p w14:paraId="357C2FA0" w14:textId="77777777" w:rsidR="003A07DA" w:rsidRPr="00CF6287" w:rsidRDefault="003A07DA" w:rsidP="003A07DA">
      <w:pPr>
        <w:autoSpaceDE w:val="0"/>
        <w:autoSpaceDN w:val="0"/>
        <w:adjustRightInd w:val="0"/>
        <w:spacing w:before="240" w:after="240" w:line="276" w:lineRule="auto"/>
        <w:ind w:left="567" w:right="474"/>
        <w:jc w:val="both"/>
        <w:rPr>
          <w:rFonts w:ascii="Palatino Linotype" w:hAnsi="Palatino Linotype"/>
          <w:i/>
          <w:sz w:val="22"/>
          <w:szCs w:val="22"/>
        </w:rPr>
      </w:pPr>
      <w:r w:rsidRPr="00CF6287">
        <w:rPr>
          <w:rFonts w:ascii="Palatino Linotype" w:hAnsi="Palatino Linotype"/>
          <w:i/>
          <w:sz w:val="22"/>
          <w:szCs w:val="22"/>
        </w:rPr>
        <w:t>“Artículo 77. Cuando el titular ejerza sus derechos ARCO a través de su representante, éste deberá acreditar la identidad del titular y su identidad y personalidad presentando ante el responsable lo siguiente:</w:t>
      </w:r>
    </w:p>
    <w:p w14:paraId="783BED1B" w14:textId="77777777" w:rsidR="003A07DA" w:rsidRPr="00CF6287" w:rsidRDefault="003A07DA" w:rsidP="003A07DA">
      <w:pPr>
        <w:autoSpaceDE w:val="0"/>
        <w:autoSpaceDN w:val="0"/>
        <w:adjustRightInd w:val="0"/>
        <w:spacing w:before="240" w:after="240" w:line="276" w:lineRule="auto"/>
        <w:ind w:left="567" w:right="474"/>
        <w:jc w:val="both"/>
        <w:rPr>
          <w:rFonts w:ascii="Palatino Linotype" w:hAnsi="Palatino Linotype"/>
          <w:b/>
          <w:i/>
          <w:sz w:val="22"/>
          <w:szCs w:val="22"/>
        </w:rPr>
      </w:pPr>
      <w:r w:rsidRPr="00CF6287">
        <w:rPr>
          <w:rFonts w:ascii="Palatino Linotype" w:hAnsi="Palatino Linotype"/>
          <w:b/>
          <w:i/>
          <w:sz w:val="22"/>
          <w:szCs w:val="22"/>
        </w:rPr>
        <w:t xml:space="preserve">I. Copia simple de la identificación oficial del titular; </w:t>
      </w:r>
    </w:p>
    <w:p w14:paraId="2E0418CD" w14:textId="77777777" w:rsidR="003A07DA" w:rsidRPr="00CF6287" w:rsidRDefault="003A07DA" w:rsidP="003A07DA">
      <w:pPr>
        <w:autoSpaceDE w:val="0"/>
        <w:autoSpaceDN w:val="0"/>
        <w:adjustRightInd w:val="0"/>
        <w:spacing w:before="240" w:after="240" w:line="276" w:lineRule="auto"/>
        <w:ind w:left="567" w:right="474"/>
        <w:jc w:val="both"/>
        <w:rPr>
          <w:rFonts w:ascii="Palatino Linotype" w:hAnsi="Palatino Linotype"/>
          <w:b/>
          <w:i/>
          <w:sz w:val="22"/>
          <w:szCs w:val="22"/>
        </w:rPr>
      </w:pPr>
      <w:r w:rsidRPr="00CF6287">
        <w:rPr>
          <w:rFonts w:ascii="Palatino Linotype" w:hAnsi="Palatino Linotype"/>
          <w:b/>
          <w:i/>
          <w:sz w:val="22"/>
          <w:szCs w:val="22"/>
        </w:rPr>
        <w:t xml:space="preserve">II. Identificación oficial del representante, e </w:t>
      </w:r>
    </w:p>
    <w:p w14:paraId="6E382AD7" w14:textId="77777777" w:rsidR="003A07DA" w:rsidRPr="00CF6287" w:rsidRDefault="003A07DA" w:rsidP="003A07DA">
      <w:pPr>
        <w:autoSpaceDE w:val="0"/>
        <w:autoSpaceDN w:val="0"/>
        <w:adjustRightInd w:val="0"/>
        <w:spacing w:before="240" w:after="240" w:line="276" w:lineRule="auto"/>
        <w:ind w:left="567" w:right="474"/>
        <w:jc w:val="both"/>
        <w:rPr>
          <w:rFonts w:ascii="Palatino Linotype" w:hAnsi="Palatino Linotype"/>
          <w:i/>
          <w:sz w:val="22"/>
          <w:szCs w:val="22"/>
        </w:rPr>
      </w:pPr>
      <w:r w:rsidRPr="00CF6287">
        <w:rPr>
          <w:rFonts w:ascii="Palatino Linotype" w:hAnsi="Palatino Linotype"/>
          <w:b/>
          <w:i/>
          <w:sz w:val="22"/>
          <w:szCs w:val="22"/>
        </w:rPr>
        <w:t>III. Instrumento público; carta poder simple firmada ante dos testigos anexando copia simple de las identificaciones oficiales de quienes intervengan en la suscripción del mismo, o declaración en comparecencia personal del titular</w:t>
      </w:r>
      <w:r w:rsidRPr="00CF6287">
        <w:rPr>
          <w:rFonts w:ascii="Palatino Linotype" w:hAnsi="Palatino Linotype"/>
          <w:i/>
          <w:sz w:val="22"/>
          <w:szCs w:val="22"/>
        </w:rPr>
        <w:t>.”</w:t>
      </w:r>
    </w:p>
    <w:p w14:paraId="7BD0670C" w14:textId="77777777" w:rsidR="003A07DA" w:rsidRPr="00CF6287" w:rsidRDefault="003A07DA" w:rsidP="003A07DA">
      <w:pPr>
        <w:autoSpaceDE w:val="0"/>
        <w:autoSpaceDN w:val="0"/>
        <w:adjustRightInd w:val="0"/>
        <w:spacing w:before="240" w:after="240" w:line="276" w:lineRule="auto"/>
        <w:ind w:left="567" w:right="474"/>
        <w:jc w:val="right"/>
        <w:rPr>
          <w:rFonts w:ascii="Palatino Linotype" w:hAnsi="Palatino Linotype"/>
          <w:i/>
          <w:sz w:val="22"/>
          <w:szCs w:val="22"/>
        </w:rPr>
      </w:pPr>
      <w:r w:rsidRPr="00CF6287">
        <w:rPr>
          <w:rFonts w:ascii="Palatino Linotype" w:hAnsi="Palatino Linotype"/>
          <w:i/>
          <w:sz w:val="22"/>
          <w:szCs w:val="22"/>
        </w:rPr>
        <w:lastRenderedPageBreak/>
        <w:t>(Énfasis añadido)</w:t>
      </w:r>
    </w:p>
    <w:p w14:paraId="050E3BC3" w14:textId="77777777" w:rsidR="003A07DA" w:rsidRPr="00CF6287" w:rsidRDefault="003A07DA" w:rsidP="003A07DA">
      <w:pPr>
        <w:autoSpaceDE w:val="0"/>
        <w:autoSpaceDN w:val="0"/>
        <w:adjustRightInd w:val="0"/>
        <w:spacing w:before="240" w:after="240" w:line="360" w:lineRule="auto"/>
        <w:jc w:val="both"/>
        <w:rPr>
          <w:rFonts w:ascii="Palatino Linotype" w:hAnsi="Palatino Linotype"/>
          <w:sz w:val="22"/>
          <w:szCs w:val="22"/>
        </w:rPr>
      </w:pPr>
      <w:r w:rsidRPr="00CF6287">
        <w:rPr>
          <w:rFonts w:ascii="Palatino Linotype" w:eastAsia="Palatino Linotype" w:hAnsi="Palatino Linotype" w:cs="Palatino Linotype"/>
          <w:sz w:val="22"/>
          <w:szCs w:val="22"/>
        </w:rPr>
        <w:t xml:space="preserve">En este orden de ideas, de las constancias que integran el expediente del recurso de revisión de mérito, no se advierten documentos que acrediten la identidad y representación de la persona solicitante, así como la identidad de la persona titular de los datos personales </w:t>
      </w:r>
      <w:r w:rsidRPr="00CF6287">
        <w:rPr>
          <w:rFonts w:ascii="Palatino Linotype" w:hAnsi="Palatino Linotype"/>
          <w:sz w:val="22"/>
          <w:szCs w:val="22"/>
        </w:rPr>
        <w:t>sobre los cuales se pretende ejercer el derecho de acceso</w:t>
      </w:r>
      <w:r w:rsidRPr="00CF6287">
        <w:rPr>
          <w:rFonts w:ascii="Palatino Linotype" w:eastAsia="Palatino Linotype" w:hAnsi="Palatino Linotype" w:cs="Palatino Linotype"/>
          <w:sz w:val="22"/>
          <w:szCs w:val="22"/>
        </w:rPr>
        <w:t xml:space="preserve">, ya que no se adjuntó algún documento que cumpliera con dicha finalidad, </w:t>
      </w:r>
      <w:r w:rsidRPr="00CF6287">
        <w:rPr>
          <w:rFonts w:ascii="Palatino Linotype" w:hAnsi="Palatino Linotype"/>
          <w:sz w:val="22"/>
          <w:szCs w:val="22"/>
        </w:rPr>
        <w:t xml:space="preserve">siendo requisitos que deben contener tanto la solicitud, como el escrito de interposición del recurso de revisión, en términos de </w:t>
      </w:r>
      <w:r w:rsidRPr="00CF6287">
        <w:rPr>
          <w:rFonts w:ascii="Palatino Linotype" w:eastAsia="Palatino Linotype" w:hAnsi="Palatino Linotype" w:cs="Palatino Linotype"/>
          <w:sz w:val="22"/>
          <w:szCs w:val="22"/>
        </w:rPr>
        <w:t xml:space="preserve">los </w:t>
      </w:r>
      <w:r w:rsidRPr="00CF6287">
        <w:rPr>
          <w:rFonts w:ascii="Palatino Linotype" w:hAnsi="Palatino Linotype"/>
          <w:sz w:val="22"/>
          <w:szCs w:val="22"/>
        </w:rPr>
        <w:t>artículos 110, fracción II y 130, fracción VI, de la Ley de Protección de Datos Personales en Posesión de Sujetos Obligados del Estado de México y Municipios, a saber:</w:t>
      </w:r>
    </w:p>
    <w:p w14:paraId="0E1759D2" w14:textId="77777777" w:rsidR="003A07DA" w:rsidRPr="00CF6287" w:rsidRDefault="003A07DA" w:rsidP="003A07DA">
      <w:pPr>
        <w:autoSpaceDE w:val="0"/>
        <w:autoSpaceDN w:val="0"/>
        <w:adjustRightInd w:val="0"/>
        <w:spacing w:before="120" w:after="120"/>
        <w:ind w:left="567" w:right="902"/>
        <w:jc w:val="both"/>
        <w:rPr>
          <w:rFonts w:ascii="Palatino Linotype" w:hAnsi="Palatino Linotype"/>
          <w:i/>
          <w:sz w:val="22"/>
          <w:szCs w:val="22"/>
        </w:rPr>
      </w:pPr>
      <w:r w:rsidRPr="00CF6287">
        <w:rPr>
          <w:rFonts w:ascii="Palatino Linotype" w:hAnsi="Palatino Linotype"/>
          <w:i/>
          <w:sz w:val="22"/>
          <w:szCs w:val="22"/>
        </w:rPr>
        <w:t>“</w:t>
      </w:r>
      <w:r w:rsidRPr="00CF6287">
        <w:rPr>
          <w:rFonts w:ascii="Palatino Linotype" w:hAnsi="Palatino Linotype"/>
          <w:b/>
          <w:i/>
          <w:sz w:val="22"/>
          <w:szCs w:val="22"/>
        </w:rPr>
        <w:t>Artículo 110.</w:t>
      </w:r>
      <w:r w:rsidRPr="00CF6287">
        <w:rPr>
          <w:rFonts w:ascii="Palatino Linotype" w:hAnsi="Palatino Linotype"/>
          <w:i/>
          <w:sz w:val="22"/>
          <w:szCs w:val="22"/>
        </w:rPr>
        <w:t xml:space="preserve"> La solicitud para el ejercicio de derechos ARCO, deberá contener:</w:t>
      </w:r>
    </w:p>
    <w:p w14:paraId="30DD86AF" w14:textId="77777777" w:rsidR="003A07DA" w:rsidRPr="00CF6287" w:rsidRDefault="003A07DA" w:rsidP="003A07DA">
      <w:pPr>
        <w:autoSpaceDE w:val="0"/>
        <w:autoSpaceDN w:val="0"/>
        <w:adjustRightInd w:val="0"/>
        <w:spacing w:before="120" w:after="120"/>
        <w:ind w:left="567" w:right="902"/>
        <w:jc w:val="both"/>
        <w:rPr>
          <w:rFonts w:ascii="Palatino Linotype" w:hAnsi="Palatino Linotype"/>
          <w:i/>
          <w:sz w:val="22"/>
          <w:szCs w:val="22"/>
        </w:rPr>
      </w:pPr>
      <w:r w:rsidRPr="00CF6287">
        <w:rPr>
          <w:rFonts w:ascii="Palatino Linotype" w:hAnsi="Palatino Linotype"/>
          <w:i/>
          <w:sz w:val="22"/>
          <w:szCs w:val="22"/>
        </w:rPr>
        <w:t>…</w:t>
      </w:r>
    </w:p>
    <w:p w14:paraId="3D84C6A9" w14:textId="77777777" w:rsidR="003A07DA" w:rsidRPr="00CF6287" w:rsidRDefault="003A07DA" w:rsidP="003A07DA">
      <w:pPr>
        <w:autoSpaceDE w:val="0"/>
        <w:autoSpaceDN w:val="0"/>
        <w:adjustRightInd w:val="0"/>
        <w:spacing w:before="120" w:after="120"/>
        <w:ind w:left="567" w:right="902"/>
        <w:jc w:val="both"/>
        <w:rPr>
          <w:rFonts w:ascii="Palatino Linotype" w:hAnsi="Palatino Linotype"/>
          <w:i/>
          <w:sz w:val="22"/>
          <w:szCs w:val="22"/>
        </w:rPr>
      </w:pPr>
      <w:r w:rsidRPr="00CF6287">
        <w:rPr>
          <w:rFonts w:ascii="Palatino Linotype" w:hAnsi="Palatino Linotype"/>
          <w:b/>
          <w:i/>
          <w:sz w:val="22"/>
          <w:szCs w:val="22"/>
        </w:rPr>
        <w:t>II.</w:t>
      </w:r>
      <w:r w:rsidRPr="00CF6287">
        <w:rPr>
          <w:rFonts w:ascii="Palatino Linotype" w:hAnsi="Palatino Linotype"/>
          <w:i/>
          <w:sz w:val="22"/>
          <w:szCs w:val="22"/>
        </w:rPr>
        <w:t xml:space="preserve"> Los documentos que acrediten la identidad del titular y en su caso, la personalidad e identidad de su representante.</w:t>
      </w:r>
    </w:p>
    <w:p w14:paraId="29C60821" w14:textId="77777777" w:rsidR="003A07DA" w:rsidRPr="00CF6287" w:rsidRDefault="003A07DA" w:rsidP="003A07DA">
      <w:pPr>
        <w:autoSpaceDE w:val="0"/>
        <w:autoSpaceDN w:val="0"/>
        <w:adjustRightInd w:val="0"/>
        <w:spacing w:before="120" w:after="120"/>
        <w:ind w:left="567" w:right="902"/>
        <w:jc w:val="both"/>
        <w:rPr>
          <w:rFonts w:ascii="Palatino Linotype" w:hAnsi="Palatino Linotype"/>
          <w:i/>
          <w:sz w:val="22"/>
          <w:szCs w:val="22"/>
        </w:rPr>
      </w:pPr>
      <w:r w:rsidRPr="00CF6287">
        <w:rPr>
          <w:rFonts w:ascii="Palatino Linotype" w:hAnsi="Palatino Linotype"/>
          <w:i/>
          <w:sz w:val="22"/>
          <w:szCs w:val="22"/>
        </w:rPr>
        <w:t>…</w:t>
      </w:r>
    </w:p>
    <w:p w14:paraId="2D329F73" w14:textId="77777777" w:rsidR="003A07DA" w:rsidRPr="00CF6287" w:rsidRDefault="003A07DA" w:rsidP="003A07DA">
      <w:pPr>
        <w:autoSpaceDE w:val="0"/>
        <w:autoSpaceDN w:val="0"/>
        <w:adjustRightInd w:val="0"/>
        <w:spacing w:before="120" w:after="120"/>
        <w:ind w:left="567" w:right="902"/>
        <w:jc w:val="both"/>
        <w:rPr>
          <w:rFonts w:ascii="Palatino Linotype" w:hAnsi="Palatino Linotype"/>
          <w:i/>
          <w:sz w:val="22"/>
          <w:szCs w:val="22"/>
        </w:rPr>
      </w:pPr>
      <w:r w:rsidRPr="00CF6287">
        <w:rPr>
          <w:rFonts w:ascii="Palatino Linotype" w:hAnsi="Palatino Linotype"/>
          <w:b/>
          <w:i/>
          <w:sz w:val="22"/>
          <w:szCs w:val="22"/>
        </w:rPr>
        <w:t>Artículo 130.</w:t>
      </w:r>
      <w:r w:rsidRPr="00CF6287">
        <w:rPr>
          <w:rFonts w:ascii="Palatino Linotype" w:hAnsi="Palatino Linotype"/>
          <w:i/>
          <w:sz w:val="22"/>
          <w:szCs w:val="22"/>
        </w:rPr>
        <w:t xml:space="preserve"> Los únicos requisitos exigibles en el escrito de interposición del recurso de revisión serán los siguientes:</w:t>
      </w:r>
    </w:p>
    <w:p w14:paraId="0A1BC0DE" w14:textId="77777777" w:rsidR="003A07DA" w:rsidRPr="00CF6287" w:rsidRDefault="003A07DA" w:rsidP="003A07DA">
      <w:pPr>
        <w:autoSpaceDE w:val="0"/>
        <w:autoSpaceDN w:val="0"/>
        <w:adjustRightInd w:val="0"/>
        <w:spacing w:before="120" w:after="120"/>
        <w:ind w:left="567" w:right="902"/>
        <w:jc w:val="both"/>
        <w:rPr>
          <w:rFonts w:ascii="Palatino Linotype" w:hAnsi="Palatino Linotype"/>
          <w:i/>
          <w:sz w:val="22"/>
          <w:szCs w:val="22"/>
        </w:rPr>
      </w:pPr>
      <w:r w:rsidRPr="00CF6287">
        <w:rPr>
          <w:rFonts w:ascii="Palatino Linotype" w:hAnsi="Palatino Linotype"/>
          <w:i/>
          <w:sz w:val="22"/>
          <w:szCs w:val="22"/>
        </w:rPr>
        <w:t>…</w:t>
      </w:r>
    </w:p>
    <w:p w14:paraId="65C2C011" w14:textId="77777777" w:rsidR="003A07DA" w:rsidRPr="00CF6287" w:rsidRDefault="003A07DA" w:rsidP="003A07DA">
      <w:pPr>
        <w:autoSpaceDE w:val="0"/>
        <w:autoSpaceDN w:val="0"/>
        <w:adjustRightInd w:val="0"/>
        <w:spacing w:before="120" w:after="120"/>
        <w:ind w:left="567" w:right="902"/>
        <w:jc w:val="both"/>
        <w:rPr>
          <w:rFonts w:ascii="Palatino Linotype" w:hAnsi="Palatino Linotype"/>
          <w:i/>
          <w:sz w:val="22"/>
          <w:szCs w:val="22"/>
        </w:rPr>
      </w:pPr>
      <w:r w:rsidRPr="00CF6287">
        <w:rPr>
          <w:rFonts w:ascii="Palatino Linotype" w:hAnsi="Palatino Linotype"/>
          <w:b/>
          <w:i/>
          <w:sz w:val="22"/>
          <w:szCs w:val="22"/>
        </w:rPr>
        <w:t>VI</w:t>
      </w:r>
      <w:r w:rsidRPr="00CF6287">
        <w:rPr>
          <w:rFonts w:ascii="Palatino Linotype" w:hAnsi="Palatino Linotype"/>
          <w:i/>
          <w:sz w:val="22"/>
          <w:szCs w:val="22"/>
        </w:rPr>
        <w:t>. Los documentos que acrediten la identidad del titular y en su caso, la personalidad e identidad de su representante.”</w:t>
      </w:r>
    </w:p>
    <w:p w14:paraId="7B4F2796" w14:textId="77777777" w:rsidR="003A07DA" w:rsidRPr="00CF6287" w:rsidRDefault="003A07DA" w:rsidP="003A07D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F6287">
        <w:rPr>
          <w:rFonts w:ascii="Palatino Linotype" w:hAnsi="Palatino Linotype"/>
          <w:sz w:val="22"/>
          <w:szCs w:val="22"/>
        </w:rPr>
        <w:t xml:space="preserve">Derivado de lo anterior, </w:t>
      </w:r>
      <w:r w:rsidRPr="00CF6287">
        <w:rPr>
          <w:rFonts w:ascii="Palatino Linotype" w:eastAsia="Palatino Linotype" w:hAnsi="Palatino Linotype" w:cs="Palatino Linotype"/>
          <w:sz w:val="22"/>
          <w:szCs w:val="22"/>
        </w:rPr>
        <w:t xml:space="preserve">una vez admitido el recurso de revisión y al advertirse que la solicitud se trata del ejercicio del derecho de acceso a datos personales, se procedió a prevenir a la parte </w:t>
      </w:r>
      <w:r w:rsidRPr="00CF6287">
        <w:rPr>
          <w:rFonts w:ascii="Palatino Linotype" w:eastAsia="Palatino Linotype" w:hAnsi="Palatino Linotype" w:cs="Palatino Linotype"/>
          <w:b/>
          <w:sz w:val="22"/>
          <w:szCs w:val="22"/>
        </w:rPr>
        <w:t>Recurrente</w:t>
      </w:r>
      <w:r w:rsidRPr="00CF6287">
        <w:rPr>
          <w:rFonts w:ascii="Palatino Linotype" w:eastAsia="Palatino Linotype" w:hAnsi="Palatino Linotype" w:cs="Palatino Linotype"/>
          <w:sz w:val="22"/>
          <w:szCs w:val="22"/>
        </w:rPr>
        <w:t>, a efecto de que subsanara la omisión de acreditar su identidad y representación, así como la identidad de la persona titular de los datos personales a los cuales pretende acceder.</w:t>
      </w:r>
    </w:p>
    <w:p w14:paraId="26AE9669" w14:textId="77777777" w:rsidR="003A07DA" w:rsidRPr="00CF6287" w:rsidRDefault="003A07DA" w:rsidP="003A07DA">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CF6287">
        <w:rPr>
          <w:rFonts w:ascii="Palatino Linotype" w:eastAsia="Palatino Linotype" w:hAnsi="Palatino Linotype" w:cs="Palatino Linotype"/>
          <w:sz w:val="22"/>
          <w:szCs w:val="22"/>
        </w:rPr>
        <w:t xml:space="preserve">En ese contexto, cabe hacer un paréntesis y referir que si bien la normativa en la materia, establece de manera puntual que para el ejercicio de los derechos ARCO solicitados </w:t>
      </w:r>
      <w:r w:rsidRPr="00CF6287">
        <w:rPr>
          <w:rFonts w:ascii="Palatino Linotype" w:eastAsia="Palatino Linotype" w:hAnsi="Palatino Linotype" w:cs="Palatino Linotype"/>
          <w:b/>
          <w:sz w:val="22"/>
          <w:szCs w:val="22"/>
          <w:u w:val="single"/>
        </w:rPr>
        <w:t xml:space="preserve">será necesario acreditar la identidad del titular y en su caso la identidad y personalidad con la </w:t>
      </w:r>
      <w:r w:rsidRPr="00CF6287">
        <w:rPr>
          <w:rFonts w:ascii="Palatino Linotype" w:eastAsia="Palatino Linotype" w:hAnsi="Palatino Linotype" w:cs="Palatino Linotype"/>
          <w:b/>
          <w:sz w:val="22"/>
          <w:szCs w:val="22"/>
          <w:u w:val="single"/>
        </w:rPr>
        <w:lastRenderedPageBreak/>
        <w:t>que actúe el representante</w:t>
      </w:r>
      <w:r w:rsidRPr="00CF6287">
        <w:rPr>
          <w:rFonts w:ascii="Palatino Linotype" w:eastAsia="Palatino Linotype" w:hAnsi="Palatino Linotype" w:cs="Palatino Linotype"/>
          <w:sz w:val="22"/>
          <w:szCs w:val="22"/>
        </w:rPr>
        <w:t>, y que en</w:t>
      </w:r>
      <w:r w:rsidRPr="00CF6287">
        <w:rPr>
          <w:rFonts w:ascii="Palatino Linotype" w:eastAsia="Palatino Linotype" w:hAnsi="Palatino Linotype" w:cs="Palatino Linotype"/>
          <w:b/>
          <w:sz w:val="22"/>
          <w:szCs w:val="22"/>
        </w:rPr>
        <w:t xml:space="preserve"> </w:t>
      </w:r>
      <w:r w:rsidRPr="00CF6287">
        <w:rPr>
          <w:rFonts w:ascii="Palatino Linotype" w:eastAsia="Palatino Linotype" w:hAnsi="Palatino Linotype" w:cs="Palatino Linotype"/>
          <w:b/>
          <w:sz w:val="22"/>
          <w:szCs w:val="22"/>
          <w:u w:val="single"/>
        </w:rPr>
        <w:t>el caso concreto no aconteció al momento de la presentar la solicitud ni en la interposición del recurso de revisión</w:t>
      </w:r>
      <w:r w:rsidRPr="00CF6287">
        <w:rPr>
          <w:rFonts w:ascii="Palatino Linotype" w:eastAsia="Palatino Linotype" w:hAnsi="Palatino Linotype" w:cs="Palatino Linotype"/>
          <w:b/>
          <w:sz w:val="22"/>
          <w:szCs w:val="22"/>
        </w:rPr>
        <w:t xml:space="preserve">, </w:t>
      </w:r>
      <w:r w:rsidRPr="00CF6287">
        <w:rPr>
          <w:rFonts w:ascii="Palatino Linotype" w:eastAsia="Palatino Linotype" w:hAnsi="Palatino Linotype" w:cs="Palatino Linotype"/>
          <w:sz w:val="22"/>
          <w:szCs w:val="22"/>
        </w:rPr>
        <w:t xml:space="preserve">no debe perderse de vista que de conformidad con el artículo 136 de Ley de Protección de Datos Personales en Posesión de Sujetos Obligados del Estado de México y Municipios, en aquellos casos donde el escrito de interposición del recurso de revisión no cumpla con alguno de los requisitos previstos en el artículo 130 de la Ley de la materia, y que este Instituto no tenga elementos para subsanarlos, cuenta con el deber de requerir a la parte </w:t>
      </w:r>
      <w:r w:rsidRPr="00CF6287">
        <w:rPr>
          <w:rFonts w:ascii="Palatino Linotype" w:eastAsia="Palatino Linotype" w:hAnsi="Palatino Linotype" w:cs="Palatino Linotype"/>
          <w:b/>
          <w:sz w:val="22"/>
          <w:szCs w:val="22"/>
        </w:rPr>
        <w:t xml:space="preserve">Recurrente </w:t>
      </w:r>
      <w:r w:rsidRPr="00CF6287">
        <w:rPr>
          <w:rFonts w:ascii="Palatino Linotype" w:eastAsia="Palatino Linotype" w:hAnsi="Palatino Linotype" w:cs="Palatino Linotype"/>
          <w:sz w:val="22"/>
          <w:szCs w:val="22"/>
        </w:rPr>
        <w:t>la información que subsane las omisiones, como se lee en seguida:</w:t>
      </w:r>
    </w:p>
    <w:p w14:paraId="12CD09CC" w14:textId="77777777" w:rsidR="003A07DA" w:rsidRPr="00CF6287" w:rsidRDefault="003A07DA" w:rsidP="003A07DA">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b/>
          <w:i/>
          <w:sz w:val="22"/>
          <w:szCs w:val="22"/>
        </w:rPr>
        <w:t xml:space="preserve"> “Prevención por la falta de requisitos en el escrito de interposición del recurso</w:t>
      </w:r>
      <w:r w:rsidRPr="00CF6287">
        <w:rPr>
          <w:rFonts w:ascii="Palatino Linotype" w:eastAsia="Palatino Linotype" w:hAnsi="Palatino Linotype" w:cs="Palatino Linotype"/>
          <w:b/>
          <w:i/>
          <w:sz w:val="22"/>
          <w:szCs w:val="22"/>
        </w:rPr>
        <w:br/>
        <w:t>Artículo 136.</w:t>
      </w:r>
      <w:r w:rsidRPr="00CF6287">
        <w:rPr>
          <w:rFonts w:ascii="Palatino Linotype" w:eastAsia="Palatino Linotype" w:hAnsi="Palatino Linotype" w:cs="Palatino Linotype"/>
          <w:i/>
          <w:sz w:val="22"/>
          <w:szCs w:val="22"/>
        </w:rPr>
        <w:t xml:space="preserve"> </w:t>
      </w:r>
      <w:r w:rsidRPr="00CF6287">
        <w:rPr>
          <w:rFonts w:ascii="Palatino Linotype" w:eastAsia="Palatino Linotype" w:hAnsi="Palatino Linotype" w:cs="Palatino Linotype"/>
          <w:b/>
          <w:i/>
          <w:sz w:val="22"/>
          <w:szCs w:val="22"/>
        </w:rPr>
        <w:t>Si en el escrito de interposición del recurso de revisión</w:t>
      </w:r>
      <w:r w:rsidRPr="00CF6287">
        <w:rPr>
          <w:rFonts w:ascii="Palatino Linotype" w:eastAsia="Palatino Linotype" w:hAnsi="Palatino Linotype" w:cs="Palatino Linotype"/>
          <w:i/>
          <w:sz w:val="22"/>
          <w:szCs w:val="22"/>
        </w:rPr>
        <w:t xml:space="preserve"> </w:t>
      </w:r>
      <w:r w:rsidRPr="00CF6287">
        <w:rPr>
          <w:rFonts w:ascii="Palatino Linotype" w:eastAsia="Palatino Linotype" w:hAnsi="Palatino Linotype" w:cs="Palatino Linotype"/>
          <w:b/>
          <w:i/>
          <w:sz w:val="22"/>
          <w:szCs w:val="22"/>
        </w:rPr>
        <w:t xml:space="preserve">el recurrente </w:t>
      </w:r>
      <w:r w:rsidRPr="00CF6287">
        <w:rPr>
          <w:rFonts w:ascii="Palatino Linotype" w:eastAsia="Palatino Linotype" w:hAnsi="Palatino Linotype" w:cs="Palatino Linotype"/>
          <w:b/>
          <w:i/>
          <w:sz w:val="22"/>
          <w:szCs w:val="22"/>
          <w:u w:val="single"/>
        </w:rPr>
        <w:t>no cumple con alguno de los requisitos previstos en el artículo 130</w:t>
      </w:r>
      <w:r w:rsidRPr="00CF6287">
        <w:rPr>
          <w:rFonts w:ascii="Palatino Linotype" w:eastAsia="Palatino Linotype" w:hAnsi="Palatino Linotype" w:cs="Palatino Linotype"/>
          <w:i/>
          <w:sz w:val="22"/>
          <w:szCs w:val="22"/>
        </w:rPr>
        <w:t xml:space="preserve"> de la presente Ley </w:t>
      </w:r>
      <w:r w:rsidRPr="00CF6287">
        <w:rPr>
          <w:rFonts w:ascii="Palatino Linotype" w:eastAsia="Palatino Linotype" w:hAnsi="Palatino Linotype" w:cs="Palatino Linotype"/>
          <w:b/>
          <w:i/>
          <w:sz w:val="22"/>
          <w:szCs w:val="22"/>
          <w:u w:val="single"/>
        </w:rPr>
        <w:t>y el Instituto no cuente con elementos para subsanarlos</w:t>
      </w:r>
      <w:r w:rsidRPr="00CF6287">
        <w:rPr>
          <w:rFonts w:ascii="Palatino Linotype" w:eastAsia="Palatino Linotype" w:hAnsi="Palatino Linotype" w:cs="Palatino Linotype"/>
          <w:i/>
          <w:sz w:val="22"/>
          <w:szCs w:val="22"/>
        </w:rPr>
        <w:t xml:space="preserve">, </w:t>
      </w:r>
      <w:r w:rsidRPr="00CF6287">
        <w:rPr>
          <w:rFonts w:ascii="Palatino Linotype" w:eastAsia="Palatino Linotype" w:hAnsi="Palatino Linotype" w:cs="Palatino Linotype"/>
          <w:b/>
          <w:i/>
          <w:sz w:val="22"/>
          <w:szCs w:val="22"/>
          <w:u w:val="single"/>
        </w:rPr>
        <w:t>deberá requerir al recurrente</w:t>
      </w:r>
      <w:r w:rsidRPr="00CF6287">
        <w:rPr>
          <w:rFonts w:ascii="Palatino Linotype" w:eastAsia="Palatino Linotype" w:hAnsi="Palatino Linotype" w:cs="Palatino Linotype"/>
          <w:b/>
          <w:i/>
          <w:sz w:val="22"/>
          <w:szCs w:val="22"/>
        </w:rPr>
        <w:t>,</w:t>
      </w:r>
      <w:r w:rsidRPr="00CF6287">
        <w:rPr>
          <w:rFonts w:ascii="Palatino Linotype" w:eastAsia="Palatino Linotype" w:hAnsi="Palatino Linotype" w:cs="Palatino Linotype"/>
          <w:i/>
          <w:sz w:val="22"/>
          <w:szCs w:val="22"/>
        </w:rPr>
        <w:t xml:space="preserve"> por una sola ocasión, </w:t>
      </w:r>
      <w:r w:rsidRPr="00CF6287">
        <w:rPr>
          <w:rFonts w:ascii="Palatino Linotype" w:eastAsia="Palatino Linotype" w:hAnsi="Palatino Linotype" w:cs="Palatino Linotype"/>
          <w:b/>
          <w:i/>
          <w:sz w:val="22"/>
          <w:szCs w:val="22"/>
          <w:u w:val="single"/>
        </w:rPr>
        <w:t>la información que subsane las omisiones</w:t>
      </w:r>
      <w:r w:rsidRPr="00CF6287">
        <w:rPr>
          <w:rFonts w:ascii="Palatino Linotype" w:eastAsia="Palatino Linotype" w:hAnsi="Palatino Linotype" w:cs="Palatino Linotype"/>
          <w:i/>
          <w:sz w:val="22"/>
          <w:szCs w:val="22"/>
        </w:rPr>
        <w:t xml:space="preserve"> en un plazo que no podrá exceder de cinco días, contados a partir del día siguiente de la presentación del escrito.</w:t>
      </w:r>
    </w:p>
    <w:p w14:paraId="5EFD8DCE" w14:textId="77777777" w:rsidR="003A07DA" w:rsidRPr="00CF6287" w:rsidRDefault="003A07DA" w:rsidP="003A07DA">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i/>
          <w:sz w:val="22"/>
          <w:szCs w:val="22"/>
        </w:rPr>
        <w:t xml:space="preserve">El </w:t>
      </w:r>
      <w:r w:rsidRPr="00CF6287">
        <w:rPr>
          <w:rFonts w:ascii="Palatino Linotype" w:eastAsia="Palatino Linotype" w:hAnsi="Palatino Linotype" w:cs="Palatino Linotype"/>
          <w:b/>
          <w:i/>
          <w:sz w:val="22"/>
          <w:szCs w:val="22"/>
        </w:rPr>
        <w:t>recurrente contará con un plazo que no podrá exceder de cinco días, contados a partir del día siguiente al de la notificación de la prevención, para subsanar las omisiones</w:t>
      </w:r>
      <w:r w:rsidRPr="00CF6287">
        <w:rPr>
          <w:rFonts w:ascii="Palatino Linotype" w:eastAsia="Palatino Linotype" w:hAnsi="Palatino Linotype" w:cs="Palatino Linotype"/>
          <w:i/>
          <w:sz w:val="22"/>
          <w:szCs w:val="22"/>
        </w:rPr>
        <w:t xml:space="preserve">, con el apercibimiento </w:t>
      </w:r>
      <w:proofErr w:type="gramStart"/>
      <w:r w:rsidRPr="00CF6287">
        <w:rPr>
          <w:rFonts w:ascii="Palatino Linotype" w:eastAsia="Palatino Linotype" w:hAnsi="Palatino Linotype" w:cs="Palatino Linotype"/>
          <w:i/>
          <w:sz w:val="22"/>
          <w:szCs w:val="22"/>
        </w:rPr>
        <w:t>que</w:t>
      </w:r>
      <w:proofErr w:type="gramEnd"/>
      <w:r w:rsidRPr="00CF6287">
        <w:rPr>
          <w:rFonts w:ascii="Palatino Linotype" w:eastAsia="Palatino Linotype" w:hAnsi="Palatino Linotype" w:cs="Palatino Linotype"/>
          <w:i/>
          <w:sz w:val="22"/>
          <w:szCs w:val="22"/>
        </w:rPr>
        <w:t xml:space="preserve"> en caso de no cumplir con el requerimiento, se desechará el recurso de revisión.</w:t>
      </w:r>
    </w:p>
    <w:p w14:paraId="4036089A" w14:textId="77777777" w:rsidR="003A07DA" w:rsidRPr="00CF6287" w:rsidRDefault="003A07DA" w:rsidP="003A07DA">
      <w:pPr>
        <w:pBdr>
          <w:top w:val="nil"/>
          <w:left w:val="nil"/>
          <w:bottom w:val="nil"/>
          <w:right w:val="nil"/>
          <w:between w:val="nil"/>
        </w:pBdr>
        <w:spacing w:before="120" w:after="120"/>
        <w:ind w:left="851" w:right="618"/>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i/>
          <w:sz w:val="22"/>
          <w:szCs w:val="22"/>
        </w:rPr>
        <w:t>La prevención tendrá el efecto de interrumpir el plazo que tiene el Instituto para resolver el recurso, por lo que comenzará a computarse a partir del día siguiente a su desahogo.”</w:t>
      </w:r>
    </w:p>
    <w:p w14:paraId="73F4E3F1" w14:textId="77777777" w:rsidR="003A07DA" w:rsidRPr="00CF6287" w:rsidRDefault="003A07DA" w:rsidP="003A07DA">
      <w:pPr>
        <w:widowControl w:val="0"/>
        <w:pBdr>
          <w:top w:val="nil"/>
          <w:left w:val="nil"/>
          <w:bottom w:val="nil"/>
          <w:right w:val="nil"/>
          <w:between w:val="nil"/>
        </w:pBdr>
        <w:tabs>
          <w:tab w:val="left" w:pos="3885"/>
        </w:tabs>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En este tenor, si bien</w:t>
      </w:r>
      <w:r w:rsidRPr="00CF6287">
        <w:rPr>
          <w:rFonts w:ascii="Palatino Linotype" w:eastAsia="Palatino Linotype" w:hAnsi="Palatino Linotype" w:cs="Palatino Linotype"/>
          <w:b/>
          <w:sz w:val="22"/>
          <w:szCs w:val="22"/>
        </w:rPr>
        <w:t xml:space="preserve"> la parte Recurrente no acreditó su identidad y representación al momento de interponer el recurso de revisión,</w:t>
      </w:r>
      <w:r w:rsidRPr="00CF6287">
        <w:rPr>
          <w:rFonts w:ascii="Palatino Linotype" w:eastAsia="Palatino Linotype" w:hAnsi="Palatino Linotype" w:cs="Palatino Linotype"/>
          <w:sz w:val="22"/>
          <w:szCs w:val="22"/>
        </w:rPr>
        <w:t xml:space="preserve"> </w:t>
      </w:r>
      <w:r w:rsidRPr="00CF6287">
        <w:rPr>
          <w:rFonts w:ascii="Palatino Linotype" w:eastAsia="Palatino Linotype" w:hAnsi="Palatino Linotype" w:cs="Palatino Linotype"/>
          <w:b/>
          <w:sz w:val="22"/>
          <w:szCs w:val="22"/>
        </w:rPr>
        <w:t>así como la identidad de la persona titular de los datos personales a los que se pretende acceder</w:t>
      </w:r>
      <w:r w:rsidRPr="00CF6287">
        <w:rPr>
          <w:rFonts w:ascii="Palatino Linotype" w:eastAsia="Palatino Linotype" w:hAnsi="Palatino Linotype" w:cs="Palatino Linotype"/>
          <w:sz w:val="22"/>
          <w:szCs w:val="22"/>
        </w:rPr>
        <w:t xml:space="preserve">, corresponde a un elemento subsanable, a través de la prevención que efectúe este Organismo Garante, para lo cual se le concedieron a la parte </w:t>
      </w:r>
      <w:r w:rsidRPr="00CF6287">
        <w:rPr>
          <w:rFonts w:ascii="Palatino Linotype" w:eastAsia="Palatino Linotype" w:hAnsi="Palatino Linotype" w:cs="Palatino Linotype"/>
          <w:b/>
          <w:sz w:val="22"/>
          <w:szCs w:val="22"/>
        </w:rPr>
        <w:t xml:space="preserve">Recurrente </w:t>
      </w:r>
      <w:r w:rsidRPr="00CF6287">
        <w:rPr>
          <w:rFonts w:ascii="Palatino Linotype" w:eastAsia="Palatino Linotype" w:hAnsi="Palatino Linotype" w:cs="Palatino Linotype"/>
          <w:sz w:val="22"/>
          <w:szCs w:val="22"/>
        </w:rPr>
        <w:t>cinco días hábiles posteriores a la notificación de la prevención para subsanar las omisiones.</w:t>
      </w:r>
    </w:p>
    <w:p w14:paraId="14D99940" w14:textId="77777777" w:rsidR="003A07DA" w:rsidRPr="00CF6287" w:rsidRDefault="003A07DA" w:rsidP="003A07DA">
      <w:pPr>
        <w:widowControl w:val="0"/>
        <w:pBdr>
          <w:top w:val="nil"/>
          <w:left w:val="nil"/>
          <w:bottom w:val="nil"/>
          <w:right w:val="nil"/>
          <w:between w:val="nil"/>
        </w:pBdr>
        <w:tabs>
          <w:tab w:val="left" w:pos="3885"/>
        </w:tabs>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Por lo tanto, siendo un elemento subsanable, se admitió el recurso de revisión con el objeto de tutelar de manera más amplia el ejercicio del derecho de acceso a datos personales que prendió </w:t>
      </w:r>
      <w:r w:rsidRPr="00CF6287">
        <w:rPr>
          <w:rFonts w:ascii="Palatino Linotype" w:eastAsia="Palatino Linotype" w:hAnsi="Palatino Linotype" w:cs="Palatino Linotype"/>
          <w:sz w:val="22"/>
          <w:szCs w:val="22"/>
        </w:rPr>
        <w:lastRenderedPageBreak/>
        <w:t xml:space="preserve">ejercer la persona solicitante en representación de la persona titular de dichos datos, otorgado la posibilidad, mediante acuerdo de prevención notificado en fechas </w:t>
      </w:r>
      <w:r w:rsidRPr="00CF6287">
        <w:rPr>
          <w:rFonts w:ascii="Palatino Linotype" w:eastAsia="Palatino Linotype" w:hAnsi="Palatino Linotype" w:cs="Palatino Linotype"/>
          <w:b/>
          <w:sz w:val="22"/>
          <w:szCs w:val="22"/>
        </w:rPr>
        <w:t>once y diecinueve de febrero de dos mil veinticinco</w:t>
      </w:r>
      <w:r w:rsidRPr="00CF6287">
        <w:rPr>
          <w:rFonts w:ascii="Palatino Linotype" w:eastAsia="Palatino Linotype" w:hAnsi="Palatino Linotype" w:cs="Palatino Linotype"/>
          <w:sz w:val="22"/>
          <w:szCs w:val="22"/>
        </w:rPr>
        <w:t>, a través del sistema SAIMEX y por correo electrónico, respectivamente, para efecto de que acreditara su identidad y representación, así como la identidad de la persona titular de los datos personales, mediante el desahogo de la prevención, y así cumplir con el requisito de procedencia previsto en el artículo 130, fracción VI de la Ley en la materia, en los términos siguientes:</w:t>
      </w:r>
    </w:p>
    <w:p w14:paraId="7AD8FA19" w14:textId="77777777" w:rsidR="003A07DA" w:rsidRPr="00CF6287" w:rsidRDefault="003A07DA" w:rsidP="003A07DA">
      <w:pPr>
        <w:spacing w:line="276" w:lineRule="auto"/>
        <w:ind w:left="567" w:right="474"/>
        <w:jc w:val="both"/>
        <w:rPr>
          <w:rFonts w:ascii="Palatino Linotype" w:hAnsi="Palatino Linotype"/>
          <w:i/>
          <w:sz w:val="22"/>
        </w:rPr>
      </w:pPr>
      <w:r w:rsidRPr="00CF6287">
        <w:rPr>
          <w:rFonts w:ascii="Palatino Linotype" w:eastAsia="Palatino Linotype" w:hAnsi="Palatino Linotype" w:cs="Palatino Linotype"/>
          <w:i/>
          <w:sz w:val="22"/>
          <w:szCs w:val="22"/>
        </w:rPr>
        <w:t>“</w:t>
      </w:r>
      <w:r w:rsidRPr="00CF6287">
        <w:rPr>
          <w:rFonts w:ascii="Palatino Linotype" w:hAnsi="Palatino Linotype"/>
          <w:b/>
          <w:i/>
          <w:sz w:val="22"/>
        </w:rPr>
        <w:t>Segundo.</w:t>
      </w:r>
      <w:r w:rsidRPr="00CF6287">
        <w:rPr>
          <w:rFonts w:ascii="Palatino Linotype" w:hAnsi="Palatino Linotype"/>
          <w:i/>
          <w:sz w:val="22"/>
        </w:rPr>
        <w:t xml:space="preserve"> Con fundamento en lo previsto en los artículos 121, 130 fracción VI y 136 de la Ley de Protección de Datos Personales en Posesión de Sujetos Obligados del Estado de México y Municipios, </w:t>
      </w:r>
      <w:r w:rsidRPr="00CF6287">
        <w:rPr>
          <w:rFonts w:ascii="Palatino Linotype" w:hAnsi="Palatino Linotype"/>
          <w:b/>
          <w:i/>
          <w:sz w:val="22"/>
        </w:rPr>
        <w:t>SE PREVIENE</w:t>
      </w:r>
      <w:r w:rsidRPr="00CF6287">
        <w:rPr>
          <w:rFonts w:ascii="Palatino Linotype" w:hAnsi="Palatino Linotype"/>
          <w:i/>
          <w:sz w:val="22"/>
        </w:rPr>
        <w:t xml:space="preserve"> a </w:t>
      </w:r>
      <w:r w:rsidRPr="00CF6287">
        <w:rPr>
          <w:rFonts w:ascii="Palatino Linotype" w:hAnsi="Palatino Linotype"/>
          <w:b/>
          <w:i/>
          <w:sz w:val="22"/>
        </w:rPr>
        <w:t>la parte Recurrente</w:t>
      </w:r>
      <w:r w:rsidRPr="00CF6287">
        <w:rPr>
          <w:rFonts w:ascii="Palatino Linotype" w:hAnsi="Palatino Linotype"/>
          <w:i/>
          <w:sz w:val="22"/>
        </w:rPr>
        <w:t xml:space="preserve"> para que, </w:t>
      </w:r>
      <w:r w:rsidRPr="00CF6287">
        <w:rPr>
          <w:rFonts w:ascii="Palatino Linotype" w:hAnsi="Palatino Linotype"/>
          <w:i/>
          <w:sz w:val="22"/>
          <w:szCs w:val="22"/>
        </w:rPr>
        <w:t>en</w:t>
      </w:r>
      <w:r w:rsidRPr="00CF6287">
        <w:rPr>
          <w:rFonts w:ascii="Palatino Linotype" w:hAnsi="Palatino Linotype"/>
          <w:i/>
          <w:spacing w:val="-10"/>
          <w:sz w:val="22"/>
          <w:szCs w:val="22"/>
        </w:rPr>
        <w:t xml:space="preserve"> </w:t>
      </w:r>
      <w:r w:rsidRPr="00CF6287">
        <w:rPr>
          <w:rFonts w:ascii="Palatino Linotype" w:hAnsi="Palatino Linotype"/>
          <w:i/>
          <w:sz w:val="22"/>
          <w:szCs w:val="22"/>
        </w:rPr>
        <w:t>un</w:t>
      </w:r>
      <w:r w:rsidRPr="00CF6287">
        <w:rPr>
          <w:rFonts w:ascii="Palatino Linotype" w:hAnsi="Palatino Linotype"/>
          <w:i/>
          <w:spacing w:val="-8"/>
          <w:sz w:val="22"/>
          <w:szCs w:val="22"/>
        </w:rPr>
        <w:t xml:space="preserve"> </w:t>
      </w:r>
      <w:r w:rsidRPr="00CF6287">
        <w:rPr>
          <w:rFonts w:ascii="Palatino Linotype" w:hAnsi="Palatino Linotype"/>
          <w:i/>
          <w:sz w:val="22"/>
          <w:szCs w:val="22"/>
        </w:rPr>
        <w:t>término</w:t>
      </w:r>
      <w:r w:rsidRPr="00CF6287">
        <w:rPr>
          <w:rFonts w:ascii="Palatino Linotype" w:hAnsi="Palatino Linotype"/>
          <w:i/>
          <w:spacing w:val="-9"/>
          <w:sz w:val="22"/>
          <w:szCs w:val="22"/>
        </w:rPr>
        <w:t xml:space="preserve"> </w:t>
      </w:r>
      <w:r w:rsidRPr="00CF6287">
        <w:rPr>
          <w:rFonts w:ascii="Palatino Linotype" w:hAnsi="Palatino Linotype"/>
          <w:i/>
          <w:sz w:val="22"/>
          <w:szCs w:val="22"/>
        </w:rPr>
        <w:t>no</w:t>
      </w:r>
      <w:r w:rsidRPr="00CF6287">
        <w:rPr>
          <w:rFonts w:ascii="Palatino Linotype" w:hAnsi="Palatino Linotype"/>
          <w:i/>
          <w:spacing w:val="-9"/>
          <w:sz w:val="22"/>
          <w:szCs w:val="22"/>
        </w:rPr>
        <w:t xml:space="preserve"> </w:t>
      </w:r>
      <w:r w:rsidRPr="00CF6287">
        <w:rPr>
          <w:rFonts w:ascii="Palatino Linotype" w:hAnsi="Palatino Linotype"/>
          <w:i/>
          <w:sz w:val="22"/>
          <w:szCs w:val="22"/>
        </w:rPr>
        <w:t>mayor de</w:t>
      </w:r>
      <w:r w:rsidRPr="00CF6287">
        <w:rPr>
          <w:rFonts w:ascii="Palatino Linotype" w:hAnsi="Palatino Linotype"/>
          <w:i/>
          <w:spacing w:val="-8"/>
          <w:sz w:val="22"/>
          <w:szCs w:val="22"/>
        </w:rPr>
        <w:t xml:space="preserve"> </w:t>
      </w:r>
      <w:r w:rsidRPr="00CF6287">
        <w:rPr>
          <w:rFonts w:ascii="Palatino Linotype" w:hAnsi="Palatino Linotype"/>
          <w:i/>
          <w:sz w:val="22"/>
          <w:szCs w:val="22"/>
        </w:rPr>
        <w:t>cinco</w:t>
      </w:r>
      <w:r w:rsidRPr="00CF6287">
        <w:rPr>
          <w:rFonts w:ascii="Palatino Linotype" w:hAnsi="Palatino Linotype"/>
          <w:i/>
          <w:spacing w:val="-7"/>
          <w:sz w:val="22"/>
          <w:szCs w:val="22"/>
        </w:rPr>
        <w:t xml:space="preserve"> </w:t>
      </w:r>
      <w:r w:rsidRPr="00CF6287">
        <w:rPr>
          <w:rFonts w:ascii="Palatino Linotype" w:hAnsi="Palatino Linotype"/>
          <w:i/>
          <w:sz w:val="22"/>
          <w:szCs w:val="22"/>
        </w:rPr>
        <w:t>días</w:t>
      </w:r>
      <w:r w:rsidRPr="00CF6287">
        <w:rPr>
          <w:rFonts w:ascii="Palatino Linotype" w:hAnsi="Palatino Linotype"/>
          <w:i/>
          <w:spacing w:val="-9"/>
          <w:sz w:val="22"/>
          <w:szCs w:val="22"/>
        </w:rPr>
        <w:t xml:space="preserve"> </w:t>
      </w:r>
      <w:r w:rsidRPr="00CF6287">
        <w:rPr>
          <w:rFonts w:ascii="Palatino Linotype" w:hAnsi="Palatino Linotype"/>
          <w:i/>
          <w:sz w:val="22"/>
          <w:szCs w:val="22"/>
        </w:rPr>
        <w:t>hábiles</w:t>
      </w:r>
      <w:r w:rsidRPr="00CF6287">
        <w:rPr>
          <w:rFonts w:ascii="Palatino Linotype" w:hAnsi="Palatino Linotype"/>
          <w:i/>
          <w:spacing w:val="-10"/>
          <w:sz w:val="22"/>
          <w:szCs w:val="22"/>
        </w:rPr>
        <w:t xml:space="preserve"> </w:t>
      </w:r>
      <w:r w:rsidRPr="00CF6287">
        <w:rPr>
          <w:rFonts w:ascii="Palatino Linotype" w:hAnsi="Palatino Linotype"/>
          <w:i/>
          <w:sz w:val="22"/>
          <w:szCs w:val="22"/>
        </w:rPr>
        <w:t>contados</w:t>
      </w:r>
      <w:r w:rsidRPr="00CF6287">
        <w:rPr>
          <w:rFonts w:ascii="Palatino Linotype" w:hAnsi="Palatino Linotype"/>
          <w:i/>
          <w:spacing w:val="-7"/>
          <w:sz w:val="22"/>
          <w:szCs w:val="22"/>
        </w:rPr>
        <w:t xml:space="preserve"> </w:t>
      </w:r>
      <w:r w:rsidRPr="00CF6287">
        <w:rPr>
          <w:rFonts w:ascii="Palatino Linotype" w:hAnsi="Palatino Linotype"/>
          <w:i/>
          <w:sz w:val="22"/>
          <w:szCs w:val="22"/>
        </w:rPr>
        <w:t>a</w:t>
      </w:r>
      <w:r w:rsidRPr="00CF6287">
        <w:rPr>
          <w:rFonts w:ascii="Palatino Linotype" w:hAnsi="Palatino Linotype"/>
          <w:i/>
          <w:spacing w:val="-7"/>
          <w:sz w:val="22"/>
          <w:szCs w:val="22"/>
        </w:rPr>
        <w:t xml:space="preserve"> </w:t>
      </w:r>
      <w:r w:rsidRPr="00CF6287">
        <w:rPr>
          <w:rFonts w:ascii="Palatino Linotype" w:hAnsi="Palatino Linotype"/>
          <w:i/>
          <w:sz w:val="22"/>
          <w:szCs w:val="22"/>
        </w:rPr>
        <w:t>partir</w:t>
      </w:r>
      <w:r w:rsidRPr="00CF6287">
        <w:rPr>
          <w:rFonts w:ascii="Palatino Linotype" w:hAnsi="Palatino Linotype"/>
          <w:i/>
          <w:spacing w:val="-7"/>
          <w:sz w:val="22"/>
          <w:szCs w:val="22"/>
        </w:rPr>
        <w:t xml:space="preserve"> </w:t>
      </w:r>
      <w:r w:rsidRPr="00CF6287">
        <w:rPr>
          <w:rFonts w:ascii="Palatino Linotype" w:hAnsi="Palatino Linotype"/>
          <w:i/>
          <w:sz w:val="22"/>
          <w:szCs w:val="22"/>
        </w:rPr>
        <w:t>del</w:t>
      </w:r>
      <w:r w:rsidRPr="00CF6287">
        <w:rPr>
          <w:rFonts w:ascii="Palatino Linotype" w:hAnsi="Palatino Linotype"/>
          <w:i/>
          <w:spacing w:val="-7"/>
          <w:sz w:val="22"/>
          <w:szCs w:val="22"/>
        </w:rPr>
        <w:t xml:space="preserve"> </w:t>
      </w:r>
      <w:r w:rsidRPr="00CF6287">
        <w:rPr>
          <w:rFonts w:ascii="Palatino Linotype" w:hAnsi="Palatino Linotype"/>
          <w:i/>
          <w:sz w:val="22"/>
          <w:szCs w:val="22"/>
        </w:rPr>
        <w:t>día</w:t>
      </w:r>
      <w:r w:rsidRPr="00CF6287">
        <w:rPr>
          <w:rFonts w:ascii="Palatino Linotype" w:hAnsi="Palatino Linotype"/>
          <w:i/>
          <w:spacing w:val="-9"/>
          <w:sz w:val="22"/>
          <w:szCs w:val="22"/>
        </w:rPr>
        <w:t xml:space="preserve"> </w:t>
      </w:r>
      <w:r w:rsidRPr="00CF6287">
        <w:rPr>
          <w:rFonts w:ascii="Palatino Linotype" w:hAnsi="Palatino Linotype"/>
          <w:i/>
          <w:sz w:val="22"/>
          <w:szCs w:val="22"/>
        </w:rPr>
        <w:t>hábil</w:t>
      </w:r>
      <w:r w:rsidRPr="00CF6287">
        <w:rPr>
          <w:rFonts w:ascii="Palatino Linotype" w:hAnsi="Palatino Linotype"/>
          <w:i/>
          <w:spacing w:val="-6"/>
          <w:sz w:val="22"/>
          <w:szCs w:val="22"/>
        </w:rPr>
        <w:t xml:space="preserve"> </w:t>
      </w:r>
      <w:r w:rsidRPr="00CF6287">
        <w:rPr>
          <w:rFonts w:ascii="Palatino Linotype" w:hAnsi="Palatino Linotype"/>
          <w:i/>
          <w:sz w:val="22"/>
          <w:szCs w:val="22"/>
        </w:rPr>
        <w:t>siguiente</w:t>
      </w:r>
      <w:r w:rsidRPr="00CF6287">
        <w:rPr>
          <w:rFonts w:ascii="Palatino Linotype" w:hAnsi="Palatino Linotype"/>
          <w:i/>
          <w:spacing w:val="-6"/>
          <w:sz w:val="22"/>
          <w:szCs w:val="22"/>
        </w:rPr>
        <w:t xml:space="preserve"> </w:t>
      </w:r>
      <w:r w:rsidRPr="00CF6287">
        <w:rPr>
          <w:rFonts w:ascii="Palatino Linotype" w:hAnsi="Palatino Linotype"/>
          <w:i/>
          <w:sz w:val="22"/>
          <w:szCs w:val="22"/>
        </w:rPr>
        <w:t>a</w:t>
      </w:r>
      <w:r w:rsidRPr="00CF6287">
        <w:rPr>
          <w:rFonts w:ascii="Palatino Linotype" w:hAnsi="Palatino Linotype"/>
          <w:i/>
          <w:spacing w:val="-7"/>
          <w:sz w:val="22"/>
          <w:szCs w:val="22"/>
        </w:rPr>
        <w:t xml:space="preserve"> </w:t>
      </w:r>
      <w:r w:rsidRPr="00CF6287">
        <w:rPr>
          <w:rFonts w:ascii="Palatino Linotype" w:hAnsi="Palatino Linotype"/>
          <w:i/>
          <w:sz w:val="22"/>
          <w:szCs w:val="22"/>
        </w:rPr>
        <w:t>la</w:t>
      </w:r>
      <w:r w:rsidRPr="00CF6287">
        <w:rPr>
          <w:rFonts w:ascii="Palatino Linotype" w:hAnsi="Palatino Linotype"/>
          <w:i/>
          <w:spacing w:val="-9"/>
          <w:sz w:val="22"/>
          <w:szCs w:val="22"/>
        </w:rPr>
        <w:t xml:space="preserve"> </w:t>
      </w:r>
      <w:r w:rsidRPr="00CF6287">
        <w:rPr>
          <w:rFonts w:ascii="Palatino Linotype" w:hAnsi="Palatino Linotype"/>
          <w:i/>
          <w:sz w:val="22"/>
          <w:szCs w:val="22"/>
        </w:rPr>
        <w:t>fecha</w:t>
      </w:r>
      <w:r w:rsidRPr="00CF6287">
        <w:rPr>
          <w:rFonts w:ascii="Palatino Linotype" w:hAnsi="Palatino Linotype"/>
          <w:i/>
          <w:spacing w:val="-10"/>
          <w:sz w:val="22"/>
          <w:szCs w:val="22"/>
        </w:rPr>
        <w:t xml:space="preserve"> </w:t>
      </w:r>
      <w:r w:rsidRPr="00CF6287">
        <w:rPr>
          <w:rFonts w:ascii="Palatino Linotype" w:hAnsi="Palatino Linotype"/>
          <w:i/>
          <w:sz w:val="22"/>
          <w:szCs w:val="22"/>
        </w:rPr>
        <w:t>de</w:t>
      </w:r>
      <w:r w:rsidRPr="00CF6287">
        <w:rPr>
          <w:rFonts w:ascii="Palatino Linotype" w:hAnsi="Palatino Linotype"/>
          <w:i/>
          <w:spacing w:val="-8"/>
          <w:sz w:val="22"/>
          <w:szCs w:val="22"/>
        </w:rPr>
        <w:t xml:space="preserve"> </w:t>
      </w:r>
      <w:r w:rsidRPr="00CF6287">
        <w:rPr>
          <w:rFonts w:ascii="Palatino Linotype" w:hAnsi="Palatino Linotype"/>
          <w:i/>
          <w:sz w:val="22"/>
          <w:szCs w:val="22"/>
        </w:rPr>
        <w:t>la</w:t>
      </w:r>
      <w:r w:rsidRPr="00CF6287">
        <w:rPr>
          <w:rFonts w:ascii="Palatino Linotype" w:hAnsi="Palatino Linotype"/>
          <w:i/>
          <w:spacing w:val="-7"/>
          <w:sz w:val="22"/>
          <w:szCs w:val="22"/>
        </w:rPr>
        <w:t xml:space="preserve"> </w:t>
      </w:r>
      <w:r w:rsidRPr="00CF6287">
        <w:rPr>
          <w:rFonts w:ascii="Palatino Linotype" w:hAnsi="Palatino Linotype"/>
          <w:i/>
          <w:sz w:val="22"/>
          <w:szCs w:val="22"/>
        </w:rPr>
        <w:t>notificación del</w:t>
      </w:r>
      <w:r w:rsidRPr="00CF6287">
        <w:rPr>
          <w:rFonts w:ascii="Palatino Linotype" w:hAnsi="Palatino Linotype"/>
          <w:i/>
          <w:spacing w:val="68"/>
          <w:sz w:val="22"/>
          <w:szCs w:val="22"/>
        </w:rPr>
        <w:t xml:space="preserve"> </w:t>
      </w:r>
      <w:r w:rsidRPr="00CF6287">
        <w:rPr>
          <w:rFonts w:ascii="Palatino Linotype" w:hAnsi="Palatino Linotype"/>
          <w:i/>
          <w:sz w:val="22"/>
          <w:szCs w:val="22"/>
        </w:rPr>
        <w:t>presente</w:t>
      </w:r>
      <w:r w:rsidRPr="00CF6287">
        <w:rPr>
          <w:rFonts w:ascii="Palatino Linotype" w:hAnsi="Palatino Linotype"/>
          <w:i/>
          <w:spacing w:val="69"/>
          <w:sz w:val="22"/>
          <w:szCs w:val="22"/>
        </w:rPr>
        <w:t xml:space="preserve"> </w:t>
      </w:r>
      <w:r w:rsidRPr="00CF6287">
        <w:rPr>
          <w:rFonts w:ascii="Palatino Linotype" w:hAnsi="Palatino Linotype"/>
          <w:i/>
          <w:sz w:val="22"/>
          <w:szCs w:val="22"/>
        </w:rPr>
        <w:t>acuerdo</w:t>
      </w:r>
      <w:r w:rsidRPr="00CF6287">
        <w:rPr>
          <w:rFonts w:ascii="Palatino Linotype" w:hAnsi="Palatino Linotype"/>
          <w:i/>
          <w:sz w:val="22"/>
        </w:rPr>
        <w:t xml:space="preserve">, </w:t>
      </w:r>
      <w:r w:rsidRPr="00CF6287">
        <w:rPr>
          <w:rFonts w:ascii="Palatino Linotype" w:hAnsi="Palatino Linotype"/>
          <w:b/>
          <w:i/>
          <w:sz w:val="22"/>
        </w:rPr>
        <w:t>subsane la omisión de acreditar la identidad del titular de los datos personales sobre los cuales se pretende ejercer el Derecho de Acceso, así como su personalidad e identidad en calidad de representante, en los términos indicados.</w:t>
      </w:r>
    </w:p>
    <w:p w14:paraId="70FF86B8" w14:textId="77777777" w:rsidR="003A07DA" w:rsidRPr="00CF6287" w:rsidRDefault="003A07DA" w:rsidP="003A07DA">
      <w:pPr>
        <w:spacing w:line="276" w:lineRule="auto"/>
        <w:ind w:left="567" w:right="474"/>
        <w:jc w:val="both"/>
        <w:rPr>
          <w:rFonts w:ascii="Palatino Linotype" w:hAnsi="Palatino Linotype"/>
          <w:i/>
          <w:sz w:val="22"/>
        </w:rPr>
      </w:pPr>
    </w:p>
    <w:p w14:paraId="15E02194" w14:textId="77777777" w:rsidR="003A07DA" w:rsidRPr="00CF6287" w:rsidRDefault="003A07DA" w:rsidP="003A07DA">
      <w:pPr>
        <w:spacing w:line="276" w:lineRule="auto"/>
        <w:ind w:left="567" w:right="474"/>
        <w:jc w:val="both"/>
        <w:rPr>
          <w:rFonts w:ascii="Palatino Linotype" w:hAnsi="Palatino Linotype"/>
          <w:i/>
          <w:sz w:val="22"/>
          <w:szCs w:val="22"/>
        </w:rPr>
      </w:pPr>
      <w:r w:rsidRPr="00CF6287">
        <w:rPr>
          <w:rFonts w:ascii="Palatino Linotype" w:hAnsi="Palatino Linotype"/>
          <w:b/>
          <w:i/>
          <w:sz w:val="22"/>
        </w:rPr>
        <w:t xml:space="preserve">Tercero. </w:t>
      </w:r>
      <w:r w:rsidRPr="00CF6287">
        <w:rPr>
          <w:rFonts w:ascii="Palatino Linotype" w:hAnsi="Palatino Linotype"/>
          <w:i/>
          <w:sz w:val="22"/>
        </w:rPr>
        <w:t xml:space="preserve">Se apercibe a la </w:t>
      </w:r>
      <w:r w:rsidRPr="00CF6287">
        <w:rPr>
          <w:rFonts w:ascii="Palatino Linotype" w:hAnsi="Palatino Linotype"/>
          <w:b/>
          <w:i/>
          <w:sz w:val="22"/>
        </w:rPr>
        <w:t>parte Recurrente</w:t>
      </w:r>
      <w:r w:rsidRPr="00CF6287">
        <w:rPr>
          <w:rFonts w:ascii="Palatino Linotype" w:hAnsi="Palatino Linotype"/>
          <w:i/>
          <w:sz w:val="22"/>
        </w:rPr>
        <w:t xml:space="preserve"> que, en caso de no desahogar la prevención en los términos que le es formulada y dentro del plazo señalado, su recurso será sobreseído por improcedente, en términos de los artículos 137, fracción I, 138, fracción II, y 139, fracción III, de la Ley de Protección de Datos Personales en Posesión de Sujetos Obligados del Estado de México y Municipios.</w:t>
      </w:r>
      <w:r w:rsidRPr="00CF6287">
        <w:rPr>
          <w:rFonts w:ascii="Palatino Linotype" w:hAnsi="Palatino Linotype"/>
          <w:i/>
          <w:sz w:val="22"/>
          <w:szCs w:val="22"/>
        </w:rPr>
        <w:t>”</w:t>
      </w:r>
    </w:p>
    <w:p w14:paraId="5274F16C" w14:textId="77777777" w:rsidR="003A07DA" w:rsidRPr="00CF6287" w:rsidRDefault="003A07DA" w:rsidP="003A07DA">
      <w:pP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Mediante dicho acuerdo, se le concedieron cinco días hábiles</w:t>
      </w:r>
      <w:r w:rsidRPr="00CF6287">
        <w:rPr>
          <w:rFonts w:ascii="Palatino Linotype" w:eastAsia="Palatino Linotype" w:hAnsi="Palatino Linotype" w:cs="Palatino Linotype"/>
          <w:b/>
          <w:sz w:val="22"/>
          <w:szCs w:val="22"/>
        </w:rPr>
        <w:t xml:space="preserve">, </w:t>
      </w:r>
      <w:r w:rsidRPr="00CF6287">
        <w:rPr>
          <w:rFonts w:ascii="Palatino Linotype" w:eastAsia="Palatino Linotype" w:hAnsi="Palatino Linotype" w:cs="Palatino Linotype"/>
          <w:sz w:val="22"/>
          <w:szCs w:val="22"/>
        </w:rPr>
        <w:t xml:space="preserve">con la finalidad de que subsanara la omisión de acreditar su identidad y representación, así como la identidad de la persona titular de los datos personales sobre los cuales se pretende ejercer el derecho de acceso, </w:t>
      </w:r>
      <w:bookmarkStart w:id="2" w:name="_heading=h.lnxbz9" w:colFirst="0" w:colLast="0"/>
      <w:bookmarkEnd w:id="2"/>
      <w:r w:rsidRPr="00CF6287">
        <w:rPr>
          <w:rFonts w:ascii="Palatino Linotype" w:eastAsia="Palatino Linotype" w:hAnsi="Palatino Linotype" w:cs="Palatino Linotype"/>
          <w:sz w:val="22"/>
          <w:szCs w:val="22"/>
        </w:rPr>
        <w:t xml:space="preserve">no obstante, </w:t>
      </w:r>
      <w:r w:rsidRPr="00CF6287">
        <w:rPr>
          <w:rFonts w:ascii="Palatino Linotype" w:eastAsia="Palatino Linotype" w:hAnsi="Palatino Linotype" w:cs="Palatino Linotype"/>
          <w:b/>
          <w:sz w:val="22"/>
          <w:szCs w:val="22"/>
        </w:rPr>
        <w:t>de las constancias que obran en expediente electrónico, así como de la revisión al correo institucional,</w:t>
      </w:r>
      <w:r w:rsidRPr="00CF6287">
        <w:rPr>
          <w:rFonts w:ascii="Palatino Linotype" w:eastAsia="Palatino Linotype" w:hAnsi="Palatino Linotype" w:cs="Palatino Linotype"/>
          <w:sz w:val="22"/>
          <w:szCs w:val="22"/>
        </w:rPr>
        <w:t xml:space="preserve"> se desprende que la parte </w:t>
      </w:r>
      <w:r w:rsidRPr="00CF6287">
        <w:rPr>
          <w:rFonts w:ascii="Palatino Linotype" w:eastAsia="Palatino Linotype" w:hAnsi="Palatino Linotype" w:cs="Palatino Linotype"/>
          <w:b/>
          <w:sz w:val="22"/>
          <w:szCs w:val="22"/>
        </w:rPr>
        <w:t>Recurrente</w:t>
      </w:r>
      <w:r w:rsidRPr="00CF6287">
        <w:rPr>
          <w:rFonts w:ascii="Palatino Linotype" w:eastAsia="Palatino Linotype" w:hAnsi="Palatino Linotype" w:cs="Palatino Linotype"/>
          <w:sz w:val="22"/>
          <w:szCs w:val="22"/>
        </w:rPr>
        <w:t xml:space="preserve"> no atendió la prevención en el plazo establecido para tal efecto, por tanto al no haber exhibido los documentos mediante los cuales subsanara la omisión referida, subsiste el incumplimiento al requisito establecido en el artículo 106, párrafo tercero de </w:t>
      </w:r>
      <w:r w:rsidRPr="00CF6287">
        <w:rPr>
          <w:rFonts w:ascii="Palatino Linotype" w:eastAsia="Palatino Linotype" w:hAnsi="Palatino Linotype" w:cs="Palatino Linotype"/>
          <w:b/>
          <w:sz w:val="22"/>
          <w:szCs w:val="22"/>
        </w:rPr>
        <w:t xml:space="preserve">Ley de Protección de Datos Personales en Posesión de Sujeto Obligados del Estado de México y Municipios, </w:t>
      </w:r>
      <w:r w:rsidRPr="00CF6287">
        <w:rPr>
          <w:rFonts w:ascii="Palatino Linotype" w:eastAsia="Palatino Linotype" w:hAnsi="Palatino Linotype"/>
          <w:sz w:val="22"/>
          <w:szCs w:val="22"/>
        </w:rPr>
        <w:t>el cual</w:t>
      </w:r>
      <w:r w:rsidRPr="00CF6287">
        <w:rPr>
          <w:rFonts w:eastAsia="Palatino Linotype"/>
          <w:sz w:val="22"/>
          <w:szCs w:val="22"/>
        </w:rPr>
        <w:t xml:space="preserve"> </w:t>
      </w:r>
      <w:r w:rsidRPr="00CF6287">
        <w:rPr>
          <w:rFonts w:ascii="Palatino Linotype" w:eastAsia="Palatino Linotype" w:hAnsi="Palatino Linotype" w:cs="Palatino Linotype"/>
          <w:sz w:val="22"/>
          <w:szCs w:val="22"/>
        </w:rPr>
        <w:t xml:space="preserve">claramente establece que para el </w:t>
      </w:r>
      <w:r w:rsidRPr="00CF6287">
        <w:rPr>
          <w:rFonts w:ascii="Palatino Linotype" w:eastAsia="Palatino Linotype" w:hAnsi="Palatino Linotype" w:cs="Palatino Linotype"/>
          <w:sz w:val="22"/>
          <w:szCs w:val="22"/>
        </w:rPr>
        <w:lastRenderedPageBreak/>
        <w:t>ejercicio de los derechos ARCO será necesario acreditar la identidad de titular y en su caso la identidad y personalidad con la que actúe el representante.</w:t>
      </w:r>
    </w:p>
    <w:p w14:paraId="6B5EA116" w14:textId="77777777" w:rsidR="003A07DA" w:rsidRPr="00CF6287" w:rsidRDefault="003A07DA" w:rsidP="003A07D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En ese sentido, cobra relevancia lo establecido en</w:t>
      </w:r>
      <w:r w:rsidRPr="00CF6287">
        <w:rPr>
          <w:rFonts w:ascii="Palatino Linotype" w:eastAsia="Palatino Linotype" w:hAnsi="Palatino Linotype" w:cs="Palatino Linotype"/>
          <w:b/>
          <w:sz w:val="22"/>
          <w:szCs w:val="22"/>
        </w:rPr>
        <w:t xml:space="preserve"> </w:t>
      </w:r>
      <w:r w:rsidRPr="00CF6287">
        <w:rPr>
          <w:rFonts w:ascii="Palatino Linotype" w:eastAsia="Palatino Linotype" w:hAnsi="Palatino Linotype" w:cs="Palatino Linotype"/>
          <w:sz w:val="22"/>
          <w:szCs w:val="22"/>
        </w:rPr>
        <w:t>los artículos 138, fracción II y</w:t>
      </w:r>
      <w:r w:rsidRPr="00CF6287">
        <w:rPr>
          <w:rFonts w:ascii="Palatino Linotype" w:eastAsia="Palatino Linotype" w:hAnsi="Palatino Linotype" w:cs="Palatino Linotype"/>
          <w:b/>
          <w:sz w:val="22"/>
          <w:szCs w:val="22"/>
        </w:rPr>
        <w:t xml:space="preserve"> </w:t>
      </w:r>
      <w:r w:rsidRPr="00CF6287">
        <w:rPr>
          <w:rFonts w:ascii="Palatino Linotype" w:eastAsia="Palatino Linotype" w:hAnsi="Palatino Linotype" w:cs="Palatino Linotype"/>
          <w:sz w:val="22"/>
          <w:szCs w:val="22"/>
        </w:rPr>
        <w:t xml:space="preserve">139, fracción III de la Ley de Protección de Datos Personales en Posesión de Sujetos Obligados del Estado de México y Municipios, a saber: </w:t>
      </w:r>
    </w:p>
    <w:p w14:paraId="2856B591" w14:textId="77777777" w:rsidR="003A07DA" w:rsidRPr="00CF6287" w:rsidRDefault="003A07DA" w:rsidP="003A07DA">
      <w:pPr>
        <w:pBdr>
          <w:top w:val="nil"/>
          <w:left w:val="nil"/>
          <w:bottom w:val="nil"/>
          <w:right w:val="nil"/>
          <w:between w:val="nil"/>
        </w:pBdr>
        <w:spacing w:before="120" w:after="120"/>
        <w:ind w:left="567" w:right="899"/>
        <w:jc w:val="both"/>
        <w:rPr>
          <w:rFonts w:ascii="Palatino Linotype" w:hAnsi="Palatino Linotype"/>
          <w:i/>
          <w:sz w:val="22"/>
          <w:szCs w:val="22"/>
        </w:rPr>
      </w:pPr>
      <w:r w:rsidRPr="00CF6287">
        <w:rPr>
          <w:i/>
          <w:sz w:val="22"/>
          <w:szCs w:val="22"/>
        </w:rPr>
        <w:t>“</w:t>
      </w:r>
      <w:r w:rsidRPr="00CF6287">
        <w:rPr>
          <w:rFonts w:ascii="Palatino Linotype" w:hAnsi="Palatino Linotype"/>
          <w:b/>
          <w:i/>
          <w:sz w:val="22"/>
          <w:szCs w:val="22"/>
        </w:rPr>
        <w:t>Causales de improcedencia</w:t>
      </w:r>
      <w:r w:rsidRPr="00CF6287">
        <w:rPr>
          <w:rFonts w:ascii="Palatino Linotype" w:hAnsi="Palatino Linotype"/>
          <w:i/>
          <w:sz w:val="22"/>
          <w:szCs w:val="22"/>
        </w:rPr>
        <w:t xml:space="preserve"> </w:t>
      </w:r>
    </w:p>
    <w:p w14:paraId="218036CC" w14:textId="77777777" w:rsidR="003A07DA" w:rsidRPr="00CF6287" w:rsidRDefault="003A07DA" w:rsidP="003A07DA">
      <w:pPr>
        <w:pBdr>
          <w:top w:val="nil"/>
          <w:left w:val="nil"/>
          <w:bottom w:val="nil"/>
          <w:right w:val="nil"/>
          <w:between w:val="nil"/>
        </w:pBdr>
        <w:spacing w:before="120" w:after="120"/>
        <w:ind w:left="567" w:right="899"/>
        <w:jc w:val="both"/>
        <w:rPr>
          <w:rFonts w:ascii="Palatino Linotype" w:hAnsi="Palatino Linotype"/>
          <w:i/>
          <w:sz w:val="22"/>
          <w:szCs w:val="22"/>
        </w:rPr>
      </w:pPr>
      <w:r w:rsidRPr="00CF6287">
        <w:rPr>
          <w:rFonts w:ascii="Palatino Linotype" w:hAnsi="Palatino Linotype"/>
          <w:b/>
          <w:i/>
          <w:sz w:val="22"/>
          <w:szCs w:val="22"/>
        </w:rPr>
        <w:t>Artículo 138</w:t>
      </w:r>
      <w:r w:rsidRPr="00CF6287">
        <w:rPr>
          <w:rFonts w:ascii="Palatino Linotype" w:hAnsi="Palatino Linotype"/>
          <w:i/>
          <w:sz w:val="22"/>
          <w:szCs w:val="22"/>
        </w:rPr>
        <w:t>. El recurso de revisión podrá ser desechado por improcedente cuando:</w:t>
      </w:r>
    </w:p>
    <w:p w14:paraId="4EC2EFA6" w14:textId="77777777" w:rsidR="003A07DA" w:rsidRPr="00CF6287" w:rsidRDefault="003A07DA" w:rsidP="003A07DA">
      <w:pPr>
        <w:pBdr>
          <w:top w:val="nil"/>
          <w:left w:val="nil"/>
          <w:bottom w:val="nil"/>
          <w:right w:val="nil"/>
          <w:between w:val="nil"/>
        </w:pBdr>
        <w:spacing w:before="120" w:after="120"/>
        <w:ind w:left="567" w:right="899"/>
        <w:jc w:val="both"/>
        <w:rPr>
          <w:rFonts w:ascii="Palatino Linotype" w:hAnsi="Palatino Linotype"/>
          <w:i/>
          <w:sz w:val="22"/>
          <w:szCs w:val="22"/>
        </w:rPr>
      </w:pPr>
      <w:r w:rsidRPr="00CF6287">
        <w:rPr>
          <w:rFonts w:ascii="Palatino Linotype" w:hAnsi="Palatino Linotype"/>
          <w:b/>
          <w:i/>
          <w:sz w:val="22"/>
          <w:szCs w:val="22"/>
        </w:rPr>
        <w:t>I.</w:t>
      </w:r>
      <w:r w:rsidRPr="00CF6287">
        <w:rPr>
          <w:rFonts w:ascii="Palatino Linotype" w:hAnsi="Palatino Linotype"/>
          <w:i/>
          <w:sz w:val="22"/>
          <w:szCs w:val="22"/>
        </w:rPr>
        <w:t xml:space="preserve"> Sea extemporáneo por haber transcurrido el plazo establecido en el artículo 128 de la presente Ley. </w:t>
      </w:r>
    </w:p>
    <w:p w14:paraId="27708E58" w14:textId="77777777" w:rsidR="003A07DA" w:rsidRPr="00CF6287" w:rsidRDefault="003A07DA" w:rsidP="003A07DA">
      <w:pPr>
        <w:pBdr>
          <w:top w:val="nil"/>
          <w:left w:val="nil"/>
          <w:bottom w:val="nil"/>
          <w:right w:val="nil"/>
          <w:between w:val="nil"/>
        </w:pBdr>
        <w:spacing w:before="120" w:after="120"/>
        <w:ind w:left="567" w:right="899"/>
        <w:jc w:val="both"/>
        <w:rPr>
          <w:rFonts w:ascii="Palatino Linotype" w:hAnsi="Palatino Linotype"/>
          <w:b/>
          <w:i/>
          <w:sz w:val="22"/>
          <w:szCs w:val="22"/>
          <w:u w:val="single"/>
        </w:rPr>
      </w:pPr>
      <w:r w:rsidRPr="00CF6287">
        <w:rPr>
          <w:rFonts w:ascii="Palatino Linotype" w:hAnsi="Palatino Linotype"/>
          <w:b/>
          <w:i/>
          <w:sz w:val="22"/>
          <w:szCs w:val="22"/>
          <w:u w:val="single"/>
        </w:rPr>
        <w:t>II. El titular o su representante no acrediten debidamente su identidad y personalidad de este último.</w:t>
      </w:r>
    </w:p>
    <w:p w14:paraId="2411940C" w14:textId="77777777" w:rsidR="003A07DA" w:rsidRPr="00CF6287" w:rsidRDefault="003A07DA" w:rsidP="003A07DA">
      <w:pPr>
        <w:pBdr>
          <w:top w:val="nil"/>
          <w:left w:val="nil"/>
          <w:bottom w:val="nil"/>
          <w:right w:val="nil"/>
          <w:between w:val="nil"/>
        </w:pBdr>
        <w:spacing w:before="120" w:after="120"/>
        <w:ind w:left="567" w:right="899"/>
        <w:jc w:val="both"/>
        <w:rPr>
          <w:rFonts w:ascii="Palatino Linotype" w:hAnsi="Palatino Linotype"/>
          <w:i/>
          <w:sz w:val="22"/>
          <w:szCs w:val="22"/>
        </w:rPr>
      </w:pPr>
      <w:r w:rsidRPr="00CF6287">
        <w:rPr>
          <w:rFonts w:ascii="Palatino Linotype" w:hAnsi="Palatino Linotype"/>
          <w:b/>
          <w:i/>
          <w:sz w:val="22"/>
          <w:szCs w:val="22"/>
        </w:rPr>
        <w:t>III</w:t>
      </w:r>
      <w:r w:rsidRPr="00CF6287">
        <w:rPr>
          <w:rFonts w:ascii="Palatino Linotype" w:hAnsi="Palatino Linotype"/>
          <w:i/>
          <w:sz w:val="22"/>
          <w:szCs w:val="22"/>
        </w:rPr>
        <w:t xml:space="preserve">. El Instituto haya resuelto anteriormente en definitiva sobre la materia del mismo. </w:t>
      </w:r>
    </w:p>
    <w:p w14:paraId="51694E2D" w14:textId="77777777" w:rsidR="003A07DA" w:rsidRPr="00CF6287" w:rsidRDefault="003A07DA" w:rsidP="003A07DA">
      <w:pPr>
        <w:pBdr>
          <w:top w:val="nil"/>
          <w:left w:val="nil"/>
          <w:bottom w:val="nil"/>
          <w:right w:val="nil"/>
          <w:between w:val="nil"/>
        </w:pBdr>
        <w:spacing w:before="120" w:after="120"/>
        <w:ind w:left="567" w:right="899"/>
        <w:jc w:val="both"/>
        <w:rPr>
          <w:rFonts w:ascii="Palatino Linotype" w:hAnsi="Palatino Linotype"/>
          <w:i/>
          <w:sz w:val="22"/>
          <w:szCs w:val="22"/>
        </w:rPr>
      </w:pPr>
      <w:r w:rsidRPr="00CF6287">
        <w:rPr>
          <w:rFonts w:ascii="Palatino Linotype" w:hAnsi="Palatino Linotype"/>
          <w:b/>
          <w:i/>
          <w:sz w:val="22"/>
          <w:szCs w:val="22"/>
        </w:rPr>
        <w:t>IV</w:t>
      </w:r>
      <w:r w:rsidRPr="00CF6287">
        <w:rPr>
          <w:rFonts w:ascii="Palatino Linotype" w:hAnsi="Palatino Linotype"/>
          <w:i/>
          <w:sz w:val="22"/>
          <w:szCs w:val="22"/>
        </w:rPr>
        <w:t xml:space="preserve">. No se actualice alguna de las causales del recurso de revisión previstas en el artículo 129 de la presente Ley. </w:t>
      </w:r>
    </w:p>
    <w:p w14:paraId="4FE8E891" w14:textId="77777777" w:rsidR="003A07DA" w:rsidRPr="00CF6287" w:rsidRDefault="003A07DA" w:rsidP="003A07DA">
      <w:pPr>
        <w:pBdr>
          <w:top w:val="nil"/>
          <w:left w:val="nil"/>
          <w:bottom w:val="nil"/>
          <w:right w:val="nil"/>
          <w:between w:val="nil"/>
        </w:pBdr>
        <w:spacing w:before="120" w:after="120"/>
        <w:ind w:left="567" w:right="899"/>
        <w:jc w:val="both"/>
        <w:rPr>
          <w:rFonts w:ascii="Palatino Linotype" w:hAnsi="Palatino Linotype"/>
          <w:i/>
          <w:sz w:val="22"/>
          <w:szCs w:val="22"/>
        </w:rPr>
      </w:pPr>
      <w:r w:rsidRPr="00CF6287">
        <w:rPr>
          <w:rFonts w:ascii="Palatino Linotype" w:hAnsi="Palatino Linotype"/>
          <w:b/>
          <w:i/>
          <w:sz w:val="22"/>
          <w:szCs w:val="22"/>
        </w:rPr>
        <w:t>V</w:t>
      </w:r>
      <w:r w:rsidRPr="00CF6287">
        <w:rPr>
          <w:rFonts w:ascii="Palatino Linotype" w:hAnsi="Palatino Linotype"/>
          <w:i/>
          <w:sz w:val="22"/>
          <w:szCs w:val="22"/>
        </w:rPr>
        <w:t xml:space="preserve">. Se esté tramitando ante los tribunales competentes algún recurso o medio de defensa interpuesto por el recurrente, o en su caso, por el tercero interesado, en contra del acto recurrido ante el Instituto. </w:t>
      </w:r>
    </w:p>
    <w:p w14:paraId="352EE2CF" w14:textId="77777777" w:rsidR="003A07DA" w:rsidRPr="00CF6287" w:rsidRDefault="003A07DA" w:rsidP="003A07DA">
      <w:pPr>
        <w:pBdr>
          <w:top w:val="nil"/>
          <w:left w:val="nil"/>
          <w:bottom w:val="nil"/>
          <w:right w:val="nil"/>
          <w:between w:val="nil"/>
        </w:pBdr>
        <w:spacing w:before="120" w:after="120"/>
        <w:ind w:left="567" w:right="899"/>
        <w:jc w:val="both"/>
        <w:rPr>
          <w:rFonts w:ascii="Palatino Linotype" w:hAnsi="Palatino Linotype"/>
          <w:i/>
          <w:sz w:val="22"/>
          <w:szCs w:val="22"/>
        </w:rPr>
      </w:pPr>
      <w:r w:rsidRPr="00CF6287">
        <w:rPr>
          <w:rFonts w:ascii="Palatino Linotype" w:hAnsi="Palatino Linotype"/>
          <w:b/>
          <w:i/>
          <w:sz w:val="22"/>
          <w:szCs w:val="22"/>
        </w:rPr>
        <w:t>VI</w:t>
      </w:r>
      <w:r w:rsidRPr="00CF6287">
        <w:rPr>
          <w:rFonts w:ascii="Palatino Linotype" w:hAnsi="Palatino Linotype"/>
          <w:i/>
          <w:sz w:val="22"/>
          <w:szCs w:val="22"/>
        </w:rPr>
        <w:t xml:space="preserve">. El recurrente modifique o amplíe su petición en el recurso de revisión, únicamente respecto de los nuevos contenidos. </w:t>
      </w:r>
    </w:p>
    <w:p w14:paraId="62BFFAC3" w14:textId="77777777" w:rsidR="003A07DA" w:rsidRPr="00CF6287" w:rsidRDefault="003A07DA" w:rsidP="003A07DA">
      <w:pPr>
        <w:pBdr>
          <w:top w:val="nil"/>
          <w:left w:val="nil"/>
          <w:bottom w:val="nil"/>
          <w:right w:val="nil"/>
          <w:between w:val="nil"/>
        </w:pBdr>
        <w:spacing w:before="120" w:after="120"/>
        <w:ind w:left="567" w:right="899"/>
        <w:jc w:val="both"/>
        <w:rPr>
          <w:rFonts w:ascii="Palatino Linotype" w:hAnsi="Palatino Linotype"/>
          <w:i/>
          <w:sz w:val="22"/>
          <w:szCs w:val="22"/>
        </w:rPr>
      </w:pPr>
      <w:r w:rsidRPr="00CF6287">
        <w:rPr>
          <w:rFonts w:ascii="Palatino Linotype" w:hAnsi="Palatino Linotype"/>
          <w:b/>
          <w:i/>
          <w:sz w:val="22"/>
          <w:szCs w:val="22"/>
        </w:rPr>
        <w:t>VII.</w:t>
      </w:r>
      <w:r w:rsidRPr="00CF6287">
        <w:rPr>
          <w:rFonts w:ascii="Palatino Linotype" w:hAnsi="Palatino Linotype"/>
          <w:i/>
          <w:sz w:val="22"/>
          <w:szCs w:val="22"/>
        </w:rPr>
        <w:t xml:space="preserve"> El recurrente no acredite interés jurídico. </w:t>
      </w:r>
    </w:p>
    <w:p w14:paraId="7A03E354" w14:textId="77777777" w:rsidR="003A07DA" w:rsidRPr="00CF6287" w:rsidRDefault="003A07DA" w:rsidP="003A07DA">
      <w:pPr>
        <w:pBdr>
          <w:top w:val="nil"/>
          <w:left w:val="nil"/>
          <w:bottom w:val="nil"/>
          <w:right w:val="nil"/>
          <w:between w:val="nil"/>
        </w:pBdr>
        <w:spacing w:before="120" w:after="120"/>
        <w:ind w:left="567" w:right="899"/>
        <w:jc w:val="both"/>
        <w:rPr>
          <w:rFonts w:ascii="Palatino Linotype" w:hAnsi="Palatino Linotype"/>
          <w:i/>
          <w:sz w:val="22"/>
          <w:szCs w:val="22"/>
        </w:rPr>
      </w:pPr>
      <w:r w:rsidRPr="00CF6287">
        <w:rPr>
          <w:rFonts w:ascii="Palatino Linotype" w:hAnsi="Palatino Linotype"/>
          <w:i/>
          <w:sz w:val="22"/>
          <w:szCs w:val="22"/>
        </w:rPr>
        <w:t xml:space="preserve">El </w:t>
      </w:r>
      <w:proofErr w:type="spellStart"/>
      <w:r w:rsidRPr="00CF6287">
        <w:rPr>
          <w:rFonts w:ascii="Palatino Linotype" w:hAnsi="Palatino Linotype"/>
          <w:i/>
          <w:sz w:val="22"/>
          <w:szCs w:val="22"/>
        </w:rPr>
        <w:t>desechamiento</w:t>
      </w:r>
      <w:proofErr w:type="spellEnd"/>
      <w:r w:rsidRPr="00CF6287">
        <w:rPr>
          <w:rFonts w:ascii="Palatino Linotype" w:hAnsi="Palatino Linotype"/>
          <w:i/>
          <w:sz w:val="22"/>
          <w:szCs w:val="22"/>
        </w:rPr>
        <w:t xml:space="preserve"> no implica la preclusión del derecho del titular para interponer ante el Instituto un nuevo recurso de revisión.</w:t>
      </w:r>
    </w:p>
    <w:p w14:paraId="0234FB37" w14:textId="77777777" w:rsidR="003A07DA" w:rsidRPr="00CF6287" w:rsidRDefault="003A07DA" w:rsidP="003A07DA">
      <w:pPr>
        <w:pBdr>
          <w:top w:val="nil"/>
          <w:left w:val="nil"/>
          <w:bottom w:val="nil"/>
          <w:right w:val="nil"/>
          <w:between w:val="nil"/>
        </w:pBdr>
        <w:spacing w:before="120" w:after="120"/>
        <w:ind w:left="567" w:right="899"/>
        <w:jc w:val="both"/>
        <w:rPr>
          <w:rFonts w:ascii="Palatino Linotype" w:eastAsia="Palatino Linotype" w:hAnsi="Palatino Linotype" w:cs="Palatino Linotype"/>
          <w:b/>
          <w:i/>
          <w:sz w:val="22"/>
          <w:szCs w:val="22"/>
        </w:rPr>
      </w:pPr>
      <w:r w:rsidRPr="00CF6287">
        <w:rPr>
          <w:rFonts w:ascii="Palatino Linotype" w:hAnsi="Palatino Linotype"/>
          <w:b/>
          <w:i/>
          <w:sz w:val="22"/>
          <w:szCs w:val="22"/>
        </w:rPr>
        <w:t>Causales de Sobreseimiento</w:t>
      </w:r>
    </w:p>
    <w:p w14:paraId="45961D76" w14:textId="77777777" w:rsidR="003A07DA" w:rsidRPr="00CF6287" w:rsidRDefault="003A07DA" w:rsidP="003A07DA">
      <w:pPr>
        <w:pBdr>
          <w:top w:val="nil"/>
          <w:left w:val="nil"/>
          <w:bottom w:val="nil"/>
          <w:right w:val="nil"/>
          <w:between w:val="nil"/>
        </w:pBdr>
        <w:spacing w:before="120" w:after="120"/>
        <w:ind w:left="567" w:right="899"/>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b/>
          <w:i/>
          <w:sz w:val="22"/>
          <w:szCs w:val="22"/>
        </w:rPr>
        <w:t>Artículo 139</w:t>
      </w:r>
      <w:r w:rsidRPr="00CF6287">
        <w:rPr>
          <w:rFonts w:ascii="Palatino Linotype" w:eastAsia="Palatino Linotype" w:hAnsi="Palatino Linotype" w:cs="Palatino Linotype"/>
          <w:i/>
          <w:sz w:val="22"/>
          <w:szCs w:val="22"/>
        </w:rPr>
        <w:t xml:space="preserve">. El recurso de revisión sólo podrá ser sobreseído cuando: </w:t>
      </w:r>
    </w:p>
    <w:p w14:paraId="2AF4FF5A" w14:textId="77777777" w:rsidR="003A07DA" w:rsidRPr="00CF6287" w:rsidRDefault="003A07DA" w:rsidP="003A07DA">
      <w:pPr>
        <w:pBdr>
          <w:top w:val="nil"/>
          <w:left w:val="nil"/>
          <w:bottom w:val="nil"/>
          <w:right w:val="nil"/>
          <w:between w:val="nil"/>
        </w:pBdr>
        <w:spacing w:before="120" w:after="120"/>
        <w:ind w:left="567" w:right="899"/>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b/>
          <w:i/>
          <w:sz w:val="22"/>
          <w:szCs w:val="22"/>
        </w:rPr>
        <w:t>I.</w:t>
      </w:r>
      <w:r w:rsidRPr="00CF6287">
        <w:rPr>
          <w:rFonts w:ascii="Palatino Linotype" w:eastAsia="Palatino Linotype" w:hAnsi="Palatino Linotype" w:cs="Palatino Linotype"/>
          <w:i/>
          <w:sz w:val="22"/>
          <w:szCs w:val="22"/>
        </w:rPr>
        <w:t xml:space="preserve"> El recurrente se desista expresamente. </w:t>
      </w:r>
    </w:p>
    <w:p w14:paraId="13F4F51E" w14:textId="77777777" w:rsidR="003A07DA" w:rsidRPr="00CF6287" w:rsidRDefault="003A07DA" w:rsidP="003A07DA">
      <w:pPr>
        <w:pBdr>
          <w:top w:val="nil"/>
          <w:left w:val="nil"/>
          <w:bottom w:val="nil"/>
          <w:right w:val="nil"/>
          <w:between w:val="nil"/>
        </w:pBdr>
        <w:spacing w:before="120" w:after="120"/>
        <w:ind w:left="567" w:right="899"/>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b/>
          <w:i/>
          <w:sz w:val="22"/>
          <w:szCs w:val="22"/>
        </w:rPr>
        <w:t xml:space="preserve">II. </w:t>
      </w:r>
      <w:r w:rsidRPr="00CF6287">
        <w:rPr>
          <w:rFonts w:ascii="Palatino Linotype" w:eastAsia="Palatino Linotype" w:hAnsi="Palatino Linotype" w:cs="Palatino Linotype"/>
          <w:i/>
          <w:sz w:val="22"/>
          <w:szCs w:val="22"/>
        </w:rPr>
        <w:t xml:space="preserve">El recurrente fallezca. </w:t>
      </w:r>
    </w:p>
    <w:p w14:paraId="376C3613" w14:textId="77777777" w:rsidR="003A07DA" w:rsidRPr="00CF6287" w:rsidRDefault="003A07DA" w:rsidP="003A07DA">
      <w:pPr>
        <w:pBdr>
          <w:top w:val="nil"/>
          <w:left w:val="nil"/>
          <w:bottom w:val="nil"/>
          <w:right w:val="nil"/>
          <w:between w:val="nil"/>
        </w:pBdr>
        <w:spacing w:before="120" w:after="120"/>
        <w:ind w:left="567" w:right="899"/>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b/>
          <w:i/>
          <w:sz w:val="22"/>
          <w:szCs w:val="22"/>
          <w:u w:val="single"/>
        </w:rPr>
        <w:t>III. Admitido el recurso de revisión, se actualice alguna causal de improcedencia en los términos de la presente Ley</w:t>
      </w:r>
      <w:r w:rsidRPr="00CF6287">
        <w:rPr>
          <w:rFonts w:ascii="Palatino Linotype" w:eastAsia="Palatino Linotype" w:hAnsi="Palatino Linotype" w:cs="Palatino Linotype"/>
          <w:i/>
          <w:sz w:val="22"/>
          <w:szCs w:val="22"/>
        </w:rPr>
        <w:t xml:space="preserve">. </w:t>
      </w:r>
    </w:p>
    <w:p w14:paraId="4D6336E4" w14:textId="77777777" w:rsidR="003A07DA" w:rsidRPr="00CF6287" w:rsidRDefault="003A07DA" w:rsidP="003A07DA">
      <w:pPr>
        <w:pBdr>
          <w:top w:val="nil"/>
          <w:left w:val="nil"/>
          <w:bottom w:val="nil"/>
          <w:right w:val="nil"/>
          <w:between w:val="nil"/>
        </w:pBdr>
        <w:spacing w:before="120" w:after="120"/>
        <w:ind w:left="567" w:right="899"/>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b/>
          <w:i/>
          <w:sz w:val="22"/>
          <w:szCs w:val="22"/>
        </w:rPr>
        <w:t xml:space="preserve">IV. </w:t>
      </w:r>
      <w:r w:rsidRPr="00CF6287">
        <w:rPr>
          <w:rFonts w:ascii="Palatino Linotype" w:eastAsia="Palatino Linotype" w:hAnsi="Palatino Linotype" w:cs="Palatino Linotype"/>
          <w:i/>
          <w:sz w:val="22"/>
          <w:szCs w:val="22"/>
        </w:rPr>
        <w:t xml:space="preserve">El responsable modifique o revoque su respuesta de tal manera que el recurso de revisión quede sin materia. </w:t>
      </w:r>
    </w:p>
    <w:p w14:paraId="723DA74F" w14:textId="77777777" w:rsidR="003A07DA" w:rsidRPr="00CF6287" w:rsidRDefault="003A07DA" w:rsidP="003A07DA">
      <w:pPr>
        <w:pBdr>
          <w:top w:val="nil"/>
          <w:left w:val="nil"/>
          <w:bottom w:val="nil"/>
          <w:right w:val="nil"/>
          <w:between w:val="nil"/>
        </w:pBdr>
        <w:spacing w:before="120" w:after="120"/>
        <w:ind w:left="567" w:right="899"/>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b/>
          <w:i/>
          <w:sz w:val="22"/>
          <w:szCs w:val="22"/>
        </w:rPr>
        <w:lastRenderedPageBreak/>
        <w:t>V</w:t>
      </w:r>
      <w:r w:rsidRPr="00CF6287">
        <w:rPr>
          <w:rFonts w:ascii="Palatino Linotype" w:eastAsia="Palatino Linotype" w:hAnsi="Palatino Linotype" w:cs="Palatino Linotype"/>
          <w:i/>
          <w:sz w:val="22"/>
          <w:szCs w:val="22"/>
        </w:rPr>
        <w:t>. Quede sin materia el recurso de revisión.”</w:t>
      </w:r>
    </w:p>
    <w:p w14:paraId="424883C6" w14:textId="77777777" w:rsidR="003A07DA" w:rsidRPr="00CF6287" w:rsidRDefault="003A07DA" w:rsidP="003A07D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 Por consiguiente, de las constancias que obran en el expediente electrónico en que se actúa, se advierte que se actualiza el supuesto de sobreseimiento previsto en la fracción III, del artículo 139, en correlación con la fracción II de artículo 138, ambos de la Ley en comento, esto es que admitido el recurso de revisión, se actualice alguna causal de improcedencia, siendo esta en el caso particular, que el titular o su representante no acrediten debidamente su identidad y personalidad de este último.</w:t>
      </w:r>
    </w:p>
    <w:p w14:paraId="72F4295B" w14:textId="77777777" w:rsidR="003A07DA" w:rsidRPr="00CF6287" w:rsidRDefault="003A07DA" w:rsidP="003A07D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Ahora bien, en virtud de que se insiste, no existen constancias tendentes a acreditar debidamente interés, identidad y personalidad de la persona solicitante de los datos personales, desde la presentación de la solicitud ni durante la sustanciación del recurso de revisión que nos ocupa, se concluye que se está ante la presencia de la causal de sobreseimiento establecida en el diverso 139, fracción III, de la Ley de la materia; sin embargo, toda vez que fue admitido el medio de impugnación, y subsistió la causal de improcedencia consistente en la omisión de la parte </w:t>
      </w:r>
      <w:r w:rsidRPr="00CF6287">
        <w:rPr>
          <w:rFonts w:ascii="Palatino Linotype" w:eastAsia="Palatino Linotype" w:hAnsi="Palatino Linotype" w:cs="Palatino Linotype"/>
          <w:b/>
          <w:sz w:val="22"/>
          <w:szCs w:val="22"/>
        </w:rPr>
        <w:t xml:space="preserve">Recurrente, </w:t>
      </w:r>
      <w:r w:rsidRPr="00CF6287">
        <w:rPr>
          <w:rFonts w:ascii="Palatino Linotype" w:eastAsia="Palatino Linotype" w:hAnsi="Palatino Linotype" w:cs="Palatino Linotype"/>
          <w:sz w:val="22"/>
          <w:szCs w:val="22"/>
        </w:rPr>
        <w:t xml:space="preserve">resulta procedente </w:t>
      </w:r>
      <w:r w:rsidRPr="00CF6287">
        <w:rPr>
          <w:rFonts w:ascii="Palatino Linotype" w:eastAsia="Palatino Linotype" w:hAnsi="Palatino Linotype" w:cs="Palatino Linotype"/>
          <w:b/>
          <w:sz w:val="22"/>
          <w:szCs w:val="22"/>
        </w:rPr>
        <w:t xml:space="preserve">Sobreseer </w:t>
      </w:r>
      <w:r w:rsidRPr="00CF6287">
        <w:rPr>
          <w:rFonts w:ascii="Palatino Linotype" w:eastAsia="Palatino Linotype" w:hAnsi="Palatino Linotype" w:cs="Palatino Linotype"/>
          <w:sz w:val="22"/>
          <w:szCs w:val="22"/>
        </w:rPr>
        <w:t>el presente recurso de revisión, de conformidad con el artículo 137, fracción I</w:t>
      </w:r>
      <w:r w:rsidRPr="00CF6287">
        <w:rPr>
          <w:rFonts w:ascii="Palatino Linotype" w:eastAsia="Palatino Linotype" w:hAnsi="Palatino Linotype" w:cs="Palatino Linotype"/>
          <w:b/>
          <w:sz w:val="22"/>
          <w:szCs w:val="22"/>
        </w:rPr>
        <w:t xml:space="preserve"> </w:t>
      </w:r>
      <w:r w:rsidRPr="00CF6287">
        <w:rPr>
          <w:rFonts w:ascii="Palatino Linotype" w:eastAsia="Palatino Linotype" w:hAnsi="Palatino Linotype" w:cs="Palatino Linotype"/>
          <w:sz w:val="22"/>
          <w:szCs w:val="22"/>
        </w:rPr>
        <w:t xml:space="preserve">de la Ley de Protección de Datos Personales en Posesión de Sujetos Obligados del Estado de México y Municipios, que es del tenor literal siguiente: </w:t>
      </w:r>
    </w:p>
    <w:p w14:paraId="1BE36D84" w14:textId="77777777" w:rsidR="003A07DA" w:rsidRPr="00CF6287" w:rsidRDefault="003A07DA" w:rsidP="003A07DA">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i/>
          <w:sz w:val="22"/>
          <w:szCs w:val="22"/>
        </w:rPr>
        <w:t>“</w:t>
      </w:r>
      <w:r w:rsidRPr="00CF6287">
        <w:rPr>
          <w:rFonts w:ascii="Palatino Linotype" w:eastAsia="Palatino Linotype" w:hAnsi="Palatino Linotype" w:cs="Palatino Linotype"/>
          <w:b/>
          <w:i/>
          <w:sz w:val="22"/>
          <w:szCs w:val="22"/>
        </w:rPr>
        <w:t>Artículo 137</w:t>
      </w:r>
      <w:r w:rsidRPr="00CF6287">
        <w:rPr>
          <w:rFonts w:ascii="Palatino Linotype" w:eastAsia="Palatino Linotype" w:hAnsi="Palatino Linotype" w:cs="Palatino Linotype"/>
          <w:i/>
          <w:sz w:val="22"/>
          <w:szCs w:val="22"/>
        </w:rPr>
        <w:t xml:space="preserve">. Las resoluciones del Instituto podrán: </w:t>
      </w:r>
    </w:p>
    <w:p w14:paraId="7EED1254" w14:textId="77777777" w:rsidR="003A07DA" w:rsidRPr="00CF6287" w:rsidRDefault="003A07DA" w:rsidP="003A07DA">
      <w:pPr>
        <w:numPr>
          <w:ilvl w:val="0"/>
          <w:numId w:val="23"/>
        </w:numPr>
        <w:pBdr>
          <w:top w:val="nil"/>
          <w:left w:val="nil"/>
          <w:bottom w:val="nil"/>
          <w:right w:val="nil"/>
          <w:between w:val="nil"/>
        </w:pBdr>
        <w:spacing w:before="120" w:after="120"/>
        <w:ind w:left="1134" w:right="618" w:firstLine="0"/>
        <w:jc w:val="both"/>
        <w:rPr>
          <w:rFonts w:ascii="Palatino Linotype" w:eastAsia="Palatino Linotype" w:hAnsi="Palatino Linotype" w:cs="Palatino Linotype"/>
          <w:b/>
          <w:i/>
          <w:sz w:val="22"/>
          <w:szCs w:val="22"/>
          <w:u w:val="single"/>
        </w:rPr>
      </w:pPr>
      <w:r w:rsidRPr="00CF6287">
        <w:rPr>
          <w:rFonts w:ascii="Palatino Linotype" w:eastAsia="Palatino Linotype" w:hAnsi="Palatino Linotype" w:cs="Palatino Linotype"/>
          <w:b/>
          <w:i/>
          <w:sz w:val="22"/>
          <w:szCs w:val="22"/>
          <w:u w:val="single"/>
        </w:rPr>
        <w:t>Sobreseer o desechar el recurso de revisión por improcedente.”</w:t>
      </w:r>
    </w:p>
    <w:p w14:paraId="67E51540" w14:textId="77777777" w:rsidR="003A07DA" w:rsidRPr="00CF6287" w:rsidRDefault="003A07DA" w:rsidP="003A07DA">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sz w:val="22"/>
          <w:szCs w:val="22"/>
        </w:rPr>
        <w:t xml:space="preserve">No obsta mencionar que, de acuerdo con el procesalista Niceto Alcalá-Zamora y Castillo en su obra </w:t>
      </w:r>
      <w:r w:rsidRPr="00CF6287">
        <w:rPr>
          <w:rFonts w:ascii="Palatino Linotype" w:eastAsia="Palatino Linotype" w:hAnsi="Palatino Linotype" w:cs="Palatino Linotype"/>
          <w:i/>
          <w:sz w:val="22"/>
          <w:szCs w:val="22"/>
        </w:rPr>
        <w:t>“Cuestiones de Terminología Procesal”</w:t>
      </w:r>
      <w:r w:rsidRPr="00CF6287">
        <w:rPr>
          <w:rFonts w:ascii="Palatino Linotype" w:eastAsia="Palatino Linotype" w:hAnsi="Palatino Linotype" w:cs="Palatino Linotype"/>
          <w:sz w:val="22"/>
          <w:szCs w:val="22"/>
        </w:rPr>
        <w:t xml:space="preserve">, el sobreseimiento es </w:t>
      </w:r>
      <w:r w:rsidRPr="00CF6287">
        <w:rPr>
          <w:rFonts w:ascii="Palatino Linotype" w:eastAsia="Palatino Linotype" w:hAnsi="Palatino Linotype" w:cs="Palatino Linotype"/>
          <w:i/>
          <w:sz w:val="22"/>
          <w:szCs w:val="22"/>
        </w:rPr>
        <w:t>“...una resolución en forma de auto, que produce la suspensión indefinida del procedimiento penal, o que pone fin al proceso, impidiendo en ambos casos, mientras subsista, la apertura del plenario o que en él se pronuncie sentencia...”</w:t>
      </w:r>
    </w:p>
    <w:p w14:paraId="5A6D3873" w14:textId="77777777" w:rsidR="003A07DA" w:rsidRPr="00CF6287" w:rsidRDefault="003A07DA" w:rsidP="003A07DA">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Y por su parte, Eduardo Pallares, en su artículo </w:t>
      </w:r>
      <w:r w:rsidRPr="00CF6287">
        <w:rPr>
          <w:rFonts w:ascii="Palatino Linotype" w:eastAsia="Palatino Linotype" w:hAnsi="Palatino Linotype" w:cs="Palatino Linotype"/>
          <w:i/>
          <w:sz w:val="22"/>
          <w:szCs w:val="22"/>
        </w:rPr>
        <w:t>“La caducidad y el sobreseimiento en el amparo”</w:t>
      </w:r>
      <w:r w:rsidRPr="00CF6287">
        <w:rPr>
          <w:rFonts w:ascii="Palatino Linotype" w:eastAsia="Palatino Linotype" w:hAnsi="Palatino Linotype" w:cs="Palatino Linotype"/>
          <w:sz w:val="22"/>
          <w:szCs w:val="22"/>
        </w:rPr>
        <w:t xml:space="preserve">, cita la definición de Aguilera Paz, aduciendo que se </w:t>
      </w:r>
      <w:r w:rsidRPr="00CF6287">
        <w:rPr>
          <w:rFonts w:ascii="Palatino Linotype" w:eastAsia="Palatino Linotype" w:hAnsi="Palatino Linotype" w:cs="Palatino Linotype"/>
          <w:i/>
          <w:sz w:val="22"/>
          <w:szCs w:val="22"/>
        </w:rPr>
        <w:t xml:space="preserve">“...entiende por sobreseimiento en el tecnicismo </w:t>
      </w:r>
      <w:r w:rsidRPr="00CF6287">
        <w:rPr>
          <w:rFonts w:ascii="Palatino Linotype" w:eastAsia="Palatino Linotype" w:hAnsi="Palatino Linotype" w:cs="Palatino Linotype"/>
          <w:i/>
          <w:sz w:val="22"/>
          <w:szCs w:val="22"/>
        </w:rPr>
        <w:lastRenderedPageBreak/>
        <w:t>forense, el hecho de cesar en el procedimiento o curso de la causa, por no existir méritos bastantes para entrar en un juicio o para entablar la contienda judicial que debe ser objeto del mismo...”</w:t>
      </w:r>
      <w:r w:rsidRPr="00CF6287">
        <w:rPr>
          <w:rFonts w:ascii="Palatino Linotype" w:eastAsia="Palatino Linotype" w:hAnsi="Palatino Linotype" w:cs="Palatino Linotype"/>
          <w:sz w:val="22"/>
          <w:szCs w:val="22"/>
        </w:rPr>
        <w:t xml:space="preserve">. </w:t>
      </w:r>
      <w:proofErr w:type="gramStart"/>
      <w:r w:rsidRPr="00CF6287">
        <w:rPr>
          <w:rFonts w:ascii="Palatino Linotype" w:eastAsia="Palatino Linotype" w:hAnsi="Palatino Linotype" w:cs="Palatino Linotype"/>
          <w:sz w:val="22"/>
          <w:szCs w:val="22"/>
        </w:rPr>
        <w:t>Asimismo</w:t>
      </w:r>
      <w:proofErr w:type="gramEnd"/>
      <w:r w:rsidRPr="00CF6287">
        <w:rPr>
          <w:rFonts w:ascii="Palatino Linotype" w:eastAsia="Palatino Linotype" w:hAnsi="Palatino Linotype" w:cs="Palatino Linotype"/>
          <w:sz w:val="22"/>
          <w:szCs w:val="22"/>
        </w:rPr>
        <w:t xml:space="preserve"> señala que existe el sobreseimiento provisional y el definitivo</w:t>
      </w:r>
      <w:r w:rsidRPr="00CF6287">
        <w:rPr>
          <w:rFonts w:ascii="Palatino Linotype" w:eastAsia="Palatino Linotype" w:hAnsi="Palatino Linotype" w:cs="Palatino Linotype"/>
          <w:i/>
          <w:sz w:val="22"/>
          <w:szCs w:val="22"/>
        </w:rPr>
        <w:t>: “...el definitivo es una verdadera sentencia que pone fin al juicio, y que una vez dictada, produce cosa juzgada, mientras que el provisorio tiene por efectos suspender la prosecución de la causa...”</w:t>
      </w:r>
    </w:p>
    <w:p w14:paraId="2B1B8BD0" w14:textId="77777777" w:rsidR="003A07DA" w:rsidRPr="00CF6287" w:rsidRDefault="003A07DA" w:rsidP="003A07DA">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Así, para la doctrina el sobreseimiento provoca que un procedimiento se suspenda o se resuelva en definitiva </w:t>
      </w:r>
      <w:r w:rsidRPr="00CF6287">
        <w:rPr>
          <w:rFonts w:ascii="Palatino Linotype" w:eastAsia="Palatino Linotype" w:hAnsi="Palatino Linotype" w:cs="Palatino Linotype"/>
          <w:b/>
          <w:sz w:val="22"/>
          <w:szCs w:val="22"/>
          <w:u w:val="single"/>
        </w:rPr>
        <w:t>sin que se entre al estudio de los agravios o motivos de inconformidad</w:t>
      </w:r>
      <w:r w:rsidRPr="00CF6287">
        <w:rPr>
          <w:rFonts w:ascii="Palatino Linotype" w:eastAsia="Palatino Linotype" w:hAnsi="Palatino Linotype" w:cs="Palatino Linotype"/>
          <w:b/>
          <w:sz w:val="22"/>
          <w:szCs w:val="22"/>
        </w:rPr>
        <w:t xml:space="preserve">. </w:t>
      </w:r>
      <w:r w:rsidRPr="00CF6287">
        <w:rPr>
          <w:rFonts w:ascii="Palatino Linotype" w:eastAsia="Palatino Linotype" w:hAnsi="Palatino Linotype" w:cs="Palatino Linotype"/>
          <w:sz w:val="22"/>
          <w:szCs w:val="22"/>
        </w:rPr>
        <w:t>Este mismo criterio es compartido por el más alto tribunal del país en múltiples jurisprudencias, por lo que a continuación se agrega una de ellas que sirve como orientador en esta resolución:</w:t>
      </w:r>
    </w:p>
    <w:p w14:paraId="5ACF83F3" w14:textId="77777777" w:rsidR="003A07DA" w:rsidRPr="00CF6287" w:rsidRDefault="003A07DA" w:rsidP="003A07DA">
      <w:pPr>
        <w:pBdr>
          <w:top w:val="nil"/>
          <w:left w:val="nil"/>
          <w:bottom w:val="nil"/>
          <w:right w:val="nil"/>
          <w:between w:val="nil"/>
        </w:pBdr>
        <w:tabs>
          <w:tab w:val="left" w:pos="7938"/>
        </w:tabs>
        <w:spacing w:line="276" w:lineRule="auto"/>
        <w:ind w:left="851" w:right="900"/>
        <w:jc w:val="both"/>
        <w:rPr>
          <w:rFonts w:ascii="Palatino Linotype" w:eastAsia="Palatino Linotype" w:hAnsi="Palatino Linotype" w:cs="Palatino Linotype"/>
          <w:i/>
          <w:sz w:val="22"/>
          <w:szCs w:val="22"/>
        </w:rPr>
      </w:pPr>
      <w:r w:rsidRPr="00CF6287">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sidRPr="00CF6287">
        <w:rPr>
          <w:rFonts w:ascii="Palatino Linotype" w:eastAsia="Palatino Linotype" w:hAnsi="Palatino Linotype" w:cs="Palatino Linotype"/>
          <w:i/>
          <w:sz w:val="22"/>
          <w:szCs w:val="22"/>
        </w:rPr>
        <w:t xml:space="preserve"> en el juicio de amparo directo </w:t>
      </w:r>
      <w:r w:rsidRPr="00CF6287">
        <w:rPr>
          <w:rFonts w:ascii="Palatino Linotype" w:eastAsia="Palatino Linotype" w:hAnsi="Palatino Linotype" w:cs="Palatino Linotype"/>
          <w:b/>
          <w:i/>
          <w:sz w:val="22"/>
          <w:szCs w:val="22"/>
        </w:rPr>
        <w:t>provoca la terminación de la controversia planteada</w:t>
      </w:r>
      <w:r w:rsidRPr="00CF6287">
        <w:rPr>
          <w:rFonts w:ascii="Palatino Linotype" w:eastAsia="Palatino Linotype" w:hAnsi="Palatino Linotype" w:cs="Palatino Linotype"/>
          <w:i/>
          <w:sz w:val="22"/>
          <w:szCs w:val="22"/>
        </w:rPr>
        <w:t xml:space="preserve"> por el quejoso en la demanda de amparo</w:t>
      </w:r>
      <w:r w:rsidRPr="00CF6287">
        <w:rPr>
          <w:rFonts w:ascii="Palatino Linotype" w:eastAsia="Palatino Linotype" w:hAnsi="Palatino Linotype" w:cs="Palatino Linotype"/>
          <w:b/>
          <w:i/>
          <w:sz w:val="22"/>
          <w:szCs w:val="22"/>
        </w:rPr>
        <w:t>, sin hacer un pronunciamiento de fondo sobre la legalidad o ilegalidad de la sentencia reclamada</w:t>
      </w:r>
      <w:r w:rsidRPr="00CF6287">
        <w:rPr>
          <w:rFonts w:ascii="Palatino Linotype" w:eastAsia="Palatino Linotype" w:hAnsi="Palatino Linotype" w:cs="Palatino Linotype"/>
          <w:i/>
          <w:sz w:val="22"/>
          <w:szCs w:val="22"/>
        </w:rPr>
        <w:t xml:space="preserve">. </w:t>
      </w:r>
      <w:r w:rsidRPr="00CF6287">
        <w:rPr>
          <w:rFonts w:ascii="Palatino Linotype" w:eastAsia="Palatino Linotype" w:hAnsi="Palatino Linotype" w:cs="Palatino Linotype"/>
          <w:b/>
          <w:i/>
          <w:sz w:val="22"/>
          <w:szCs w:val="22"/>
        </w:rPr>
        <w:t xml:space="preserve">Por consiguiente, si al sobreseerse en el juicio de amparo </w:t>
      </w:r>
      <w:r w:rsidRPr="00CF6287">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CF6287">
        <w:rPr>
          <w:rFonts w:ascii="Palatino Linotype" w:eastAsia="Palatino Linotype" w:hAnsi="Palatino Linotype" w:cs="Palatino Linotype"/>
          <w:i/>
          <w:sz w:val="22"/>
          <w:szCs w:val="22"/>
        </w:rPr>
        <w:t>.”</w:t>
      </w:r>
    </w:p>
    <w:p w14:paraId="6605F5DD" w14:textId="77777777" w:rsidR="003A07DA" w:rsidRPr="00CF6287" w:rsidRDefault="003A07DA" w:rsidP="003A07D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No obstante,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w:t>
      </w:r>
      <w:r w:rsidRPr="00CF6287">
        <w:rPr>
          <w:rFonts w:ascii="Palatino Linotype" w:eastAsia="Palatino Linotype" w:hAnsi="Palatino Linotype" w:cs="Palatino Linotype"/>
          <w:b/>
          <w:bCs/>
          <w:sz w:val="22"/>
          <w:szCs w:val="22"/>
        </w:rPr>
        <w:t>para ejercer dichos derechos ante el responsable o el Instituto, deberá demostrar que es el titular de los datos o, en caso de que lo haga en representación del titular de los datos personales, deberá acreditar ésta situación.</w:t>
      </w:r>
      <w:r w:rsidRPr="00CF6287">
        <w:rPr>
          <w:rFonts w:ascii="Palatino Linotype" w:eastAsia="Palatino Linotype" w:hAnsi="Palatino Linotype" w:cs="Palatino Linotype"/>
          <w:sz w:val="22"/>
          <w:szCs w:val="22"/>
        </w:rPr>
        <w:t xml:space="preserve"> Esto está pensado para que </w:t>
      </w:r>
      <w:r w:rsidRPr="00CF6287">
        <w:rPr>
          <w:rFonts w:ascii="Palatino Linotype" w:eastAsia="Palatino Linotype" w:hAnsi="Palatino Linotype" w:cs="Palatino Linotype"/>
          <w:sz w:val="22"/>
          <w:szCs w:val="22"/>
        </w:rPr>
        <w:lastRenderedPageBreak/>
        <w:t>NADIE más que el titular o el representante, puedan decidir el uso que se le dará a sus datos personales, como una medida de seguridad de si información personal.</w:t>
      </w:r>
    </w:p>
    <w:p w14:paraId="0DB61168" w14:textId="77777777" w:rsidR="003A07DA" w:rsidRPr="00CF6287" w:rsidRDefault="003A07DA" w:rsidP="003A07D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Para lo anterior pueden ser utilizados los medios de identificación y formas de acreditar la personalidad que se prevén en los artículos </w:t>
      </w:r>
      <w:r w:rsidRPr="00CF6287">
        <w:rPr>
          <w:rFonts w:ascii="Palatino Linotype" w:hAnsi="Palatino Linotype"/>
          <w:sz w:val="22"/>
          <w:szCs w:val="22"/>
        </w:rPr>
        <w:t xml:space="preserve">120 y 121 de la Ley de Protección de Datos Personales en Posesión de Sujetos Obligados del Estado de México y Municipios; 73, 76 y 77 de los Lineamientos Generales de Protección de Datos Personales para el Sector Público; 2.5 Bis, del Código Civil del Estado de México, </w:t>
      </w:r>
      <w:r w:rsidRPr="00CF6287">
        <w:rPr>
          <w:rFonts w:ascii="Palatino Linotype" w:eastAsia="Palatino Linotype" w:hAnsi="Palatino Linotype" w:cs="Palatino Linotype"/>
          <w:sz w:val="22"/>
          <w:szCs w:val="22"/>
        </w:rPr>
        <w:t>y de ésta manera evitar el uso malintencionado que alguien pueda hacer de la información o documentación que le concierne.</w:t>
      </w:r>
    </w:p>
    <w:p w14:paraId="1CC66866" w14:textId="77777777" w:rsidR="003A07DA" w:rsidRPr="00CF6287" w:rsidRDefault="003A07DA" w:rsidP="003A07D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Asimismo, se hace del conocimiento de la parte </w:t>
      </w:r>
      <w:r w:rsidRPr="00CF6287">
        <w:rPr>
          <w:rFonts w:ascii="Palatino Linotype" w:eastAsia="Palatino Linotype" w:hAnsi="Palatino Linotype" w:cs="Palatino Linotype"/>
          <w:b/>
          <w:sz w:val="22"/>
          <w:szCs w:val="22"/>
        </w:rPr>
        <w:t>Recurrente</w:t>
      </w:r>
      <w:r w:rsidRPr="00CF6287">
        <w:rPr>
          <w:rFonts w:ascii="Palatino Linotype" w:eastAsia="Palatino Linotype" w:hAnsi="Palatino Linotype" w:cs="Palatino Linotype"/>
          <w:sz w:val="22"/>
          <w:szCs w:val="22"/>
        </w:rPr>
        <w:t xml:space="preserve"> que existe el sistema denominado Sistema de Acceso, Rectificación, Cancelación y Oposición de Datos Personales del Estado de México, SARCOEM; a través del cual, puede ejercer los derechos ARCO, que se refieren a aquel derecho que tiene el titular de datos personales, para solicitar el acceso, rectificación, cancelación, oposición y portabilidad sobre el tratamiento de sus datos, ante el </w:t>
      </w:r>
      <w:r w:rsidRPr="00CF6287">
        <w:rPr>
          <w:rFonts w:ascii="Palatino Linotype" w:eastAsia="Palatino Linotype" w:hAnsi="Palatino Linotype" w:cs="Palatino Linotype"/>
          <w:b/>
          <w:sz w:val="22"/>
          <w:szCs w:val="22"/>
        </w:rPr>
        <w:t>Sujeto Obligado</w:t>
      </w:r>
      <w:r w:rsidRPr="00CF6287">
        <w:rPr>
          <w:rFonts w:ascii="Palatino Linotype" w:eastAsia="Palatino Linotype" w:hAnsi="Palatino Linotype" w:cs="Palatino Linotype"/>
          <w:sz w:val="22"/>
          <w:szCs w:val="22"/>
        </w:rPr>
        <w:t xml:space="preserve"> que esté en posesión de los mismos.</w:t>
      </w:r>
    </w:p>
    <w:p w14:paraId="029FCB94" w14:textId="77777777" w:rsidR="003A07DA" w:rsidRPr="00CF6287" w:rsidRDefault="003A07DA" w:rsidP="003A07D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Cabe mencionar que  el sistema SARCOEM se encuentra en la dirección electrónica: </w:t>
      </w:r>
      <w:hyperlink r:id="rId8" w:history="1">
        <w:r w:rsidRPr="00CF6287">
          <w:rPr>
            <w:rStyle w:val="Hipervnculo"/>
            <w:rFonts w:ascii="Palatino Linotype" w:eastAsia="Palatino Linotype" w:hAnsi="Palatino Linotype" w:cs="Palatino Linotype"/>
            <w:color w:val="auto"/>
            <w:sz w:val="22"/>
            <w:szCs w:val="22"/>
          </w:rPr>
          <w:t>https://www.sarcoem.org.mx/sarcoem/ciudadano/login.page</w:t>
        </w:r>
      </w:hyperlink>
      <w:r w:rsidRPr="00CF6287">
        <w:rPr>
          <w:rFonts w:ascii="Palatino Linotype" w:eastAsia="Palatino Linotype" w:hAnsi="Palatino Linotype" w:cs="Palatino Linotype"/>
          <w:sz w:val="22"/>
          <w:szCs w:val="22"/>
        </w:rPr>
        <w:t xml:space="preserve">, asimismo, las guías de uso de dicho sistema, tales como el registro ciudadano, el registro de solicitudes, el seguimiento a recursos de revisión, entre otras, se encuentran disponibles en la siguiente dirección electrónica: </w:t>
      </w:r>
      <w:hyperlink r:id="rId9" w:history="1">
        <w:r w:rsidRPr="00CF6287">
          <w:rPr>
            <w:rStyle w:val="Hipervnculo"/>
            <w:rFonts w:ascii="Palatino Linotype" w:eastAsia="Palatino Linotype" w:hAnsi="Palatino Linotype" w:cs="Palatino Linotype"/>
            <w:color w:val="auto"/>
            <w:sz w:val="22"/>
            <w:szCs w:val="22"/>
          </w:rPr>
          <w:t>https://www.sarcoem.org.mx/sarcoem/guias.html</w:t>
        </w:r>
      </w:hyperlink>
      <w:r w:rsidRPr="00CF6287">
        <w:rPr>
          <w:rFonts w:ascii="Palatino Linotype" w:eastAsia="Palatino Linotype" w:hAnsi="Palatino Linotype" w:cs="Palatino Linotype"/>
          <w:sz w:val="22"/>
          <w:szCs w:val="22"/>
        </w:rPr>
        <w:t xml:space="preserve">. </w:t>
      </w:r>
    </w:p>
    <w:p w14:paraId="47519AEC" w14:textId="77777777" w:rsidR="003A07DA" w:rsidRPr="00CF6287" w:rsidRDefault="003A07DA" w:rsidP="003A07DA">
      <w:pPr>
        <w:tabs>
          <w:tab w:val="left" w:pos="426"/>
        </w:tabs>
        <w:spacing w:line="360" w:lineRule="auto"/>
        <w:ind w:right="51"/>
        <w:jc w:val="both"/>
        <w:rPr>
          <w:rFonts w:ascii="Palatino Linotype" w:hAnsi="Palatino Linotype"/>
          <w:sz w:val="22"/>
          <w:szCs w:val="22"/>
        </w:rPr>
      </w:pPr>
      <w:r w:rsidRPr="00CF6287">
        <w:rPr>
          <w:rFonts w:ascii="Palatino Linotype" w:hAnsi="Palatino Linotype"/>
          <w:sz w:val="22"/>
          <w:szCs w:val="22"/>
        </w:rPr>
        <w:t xml:space="preserve">Finalmente, toda vez que dentro del expediente electrónico no se advirtió que el </w:t>
      </w:r>
      <w:r w:rsidRPr="00CF6287">
        <w:rPr>
          <w:rFonts w:ascii="Palatino Linotype" w:hAnsi="Palatino Linotype"/>
          <w:b/>
          <w:sz w:val="22"/>
          <w:szCs w:val="22"/>
        </w:rPr>
        <w:t xml:space="preserve">Sujeto Obligado, </w:t>
      </w:r>
      <w:r w:rsidRPr="00CF6287">
        <w:rPr>
          <w:rFonts w:ascii="Palatino Linotype" w:hAnsi="Palatino Linotype"/>
          <w:sz w:val="22"/>
          <w:szCs w:val="22"/>
        </w:rPr>
        <w:t xml:space="preserve">en cumplimiento a lo dispuesto en los artículos </w:t>
      </w:r>
      <w:r w:rsidRPr="00CF6287">
        <w:rPr>
          <w:rFonts w:ascii="Palatino Linotype" w:hAnsi="Palatino Linotype" w:cs="Tahoma"/>
          <w:bCs/>
          <w:iCs/>
          <w:sz w:val="22"/>
          <w:szCs w:val="22"/>
        </w:rPr>
        <w:t>106 y 118 de la Ley de Protección de Datos Personales en Posesión de Sujetos Obligados del Estado de México y Municipios,</w:t>
      </w:r>
      <w:r w:rsidRPr="00CF6287">
        <w:rPr>
          <w:rFonts w:ascii="Palatino Linotype" w:hAnsi="Palatino Linotype"/>
          <w:sz w:val="22"/>
          <w:szCs w:val="22"/>
        </w:rPr>
        <w:t xml:space="preserve"> verificara la identidad y representación de la persona solicitante previo a la entrega en respuesta de datos personales</w:t>
      </w:r>
      <w:r w:rsidR="00746AC5" w:rsidRPr="00CF6287">
        <w:rPr>
          <w:rFonts w:ascii="Palatino Linotype" w:hAnsi="Palatino Linotype"/>
          <w:sz w:val="22"/>
          <w:szCs w:val="22"/>
        </w:rPr>
        <w:t xml:space="preserve">, concretamente por lo que se refiere a los montos de las deducciones personales acumuladas recibidas en el ejercicio 2024 por la persona referida en la </w:t>
      </w:r>
      <w:r w:rsidR="00746AC5" w:rsidRPr="00CF6287">
        <w:rPr>
          <w:rFonts w:ascii="Palatino Linotype" w:hAnsi="Palatino Linotype"/>
          <w:sz w:val="22"/>
          <w:szCs w:val="22"/>
        </w:rPr>
        <w:lastRenderedPageBreak/>
        <w:t xml:space="preserve">solicitud, en virtud de que el nombre del usuario del sistema SAIMEX y parte Recurrente en el presente asunto, </w:t>
      </w:r>
      <w:r w:rsidR="00746AC5" w:rsidRPr="00CF6287">
        <w:rPr>
          <w:rFonts w:ascii="Palatino Linotype" w:hAnsi="Palatino Linotype" w:cs="Tahoma"/>
          <w:bCs/>
          <w:iCs/>
          <w:sz w:val="22"/>
          <w:szCs w:val="22"/>
        </w:rPr>
        <w:t>es distinta a</w:t>
      </w:r>
      <w:r w:rsidRPr="00CF6287">
        <w:rPr>
          <w:rFonts w:ascii="Palatino Linotype" w:hAnsi="Palatino Linotype" w:cs="Tahoma"/>
          <w:bCs/>
          <w:iCs/>
          <w:sz w:val="22"/>
          <w:szCs w:val="22"/>
        </w:rPr>
        <w:t>l</w:t>
      </w:r>
      <w:r w:rsidR="00746AC5" w:rsidRPr="00CF6287">
        <w:rPr>
          <w:rFonts w:ascii="Palatino Linotype" w:hAnsi="Palatino Linotype" w:cs="Tahoma"/>
          <w:bCs/>
          <w:iCs/>
          <w:sz w:val="22"/>
          <w:szCs w:val="22"/>
        </w:rPr>
        <w:t xml:space="preserve"> presunto</w:t>
      </w:r>
      <w:r w:rsidRPr="00CF6287">
        <w:rPr>
          <w:rFonts w:ascii="Palatino Linotype" w:hAnsi="Palatino Linotype" w:cs="Tahoma"/>
          <w:bCs/>
          <w:iCs/>
          <w:sz w:val="22"/>
          <w:szCs w:val="22"/>
        </w:rPr>
        <w:t xml:space="preserve"> titular de los datos personales, </w:t>
      </w:r>
      <w:r w:rsidRPr="00CF6287">
        <w:rPr>
          <w:rFonts w:ascii="Palatino Linotype" w:hAnsi="Palatino Linotype"/>
          <w:sz w:val="22"/>
          <w:szCs w:val="22"/>
        </w:rPr>
        <w:t xml:space="preserve">se estima procedente dar vista a la Dirección General de Protección de Datos Personales de este Instituto, con fundamento en el artículo </w:t>
      </w:r>
      <w:r w:rsidRPr="00CF6287">
        <w:rPr>
          <w:rFonts w:ascii="Palatino Linotype" w:eastAsia="Palatino Linotype" w:hAnsi="Palatino Linotype" w:cs="Palatino Linotype"/>
          <w:sz w:val="22"/>
          <w:szCs w:val="22"/>
        </w:rPr>
        <w:t xml:space="preserve">82, fracción XXVII de la Ley de Protección de Datos Personales del Estado de México y Municipios, </w:t>
      </w:r>
      <w:r w:rsidRPr="00CF6287">
        <w:rPr>
          <w:rFonts w:ascii="Palatino Linotype" w:hAnsi="Palatino Linotype"/>
          <w:sz w:val="22"/>
          <w:szCs w:val="22"/>
        </w:rPr>
        <w:t>a fin de llevar a cabo el procedimiento que conforme a Derecho corresponda.</w:t>
      </w:r>
    </w:p>
    <w:p w14:paraId="20B12562" w14:textId="77777777" w:rsidR="003A07DA" w:rsidRPr="00CF6287" w:rsidRDefault="003A07DA" w:rsidP="003A07DA">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rPr>
      </w:pPr>
      <w:r w:rsidRPr="00CF6287">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46F3DC52" w14:textId="77777777" w:rsidR="00994146" w:rsidRPr="00CF6287" w:rsidRDefault="00994146" w:rsidP="00994146">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CF6287">
        <w:rPr>
          <w:rFonts w:ascii="Palatino Linotype" w:eastAsia="Palatino Linotype" w:hAnsi="Palatino Linotype" w:cs="Palatino Linotype"/>
          <w:b/>
          <w:sz w:val="22"/>
          <w:szCs w:val="22"/>
        </w:rPr>
        <w:t>III. R E S U E L V E</w:t>
      </w:r>
    </w:p>
    <w:p w14:paraId="145806B7" w14:textId="77777777" w:rsidR="00994146" w:rsidRPr="00CF6287" w:rsidRDefault="00994146" w:rsidP="00994146">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1006548E" w14:textId="77777777" w:rsidR="00994146" w:rsidRPr="00CF6287" w:rsidRDefault="00994146" w:rsidP="00994146">
      <w:pPr>
        <w:spacing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b/>
          <w:sz w:val="22"/>
          <w:szCs w:val="22"/>
        </w:rPr>
        <w:t xml:space="preserve">Primero. </w:t>
      </w:r>
      <w:r w:rsidRPr="00CF6287">
        <w:rPr>
          <w:rFonts w:ascii="Palatino Linotype" w:eastAsia="Palatino Linotype" w:hAnsi="Palatino Linotype" w:cs="Palatino Linotype"/>
          <w:sz w:val="22"/>
          <w:szCs w:val="22"/>
        </w:rPr>
        <w:t>Se</w:t>
      </w:r>
      <w:r w:rsidRPr="00CF6287">
        <w:rPr>
          <w:rFonts w:ascii="Palatino Linotype" w:eastAsia="Palatino Linotype" w:hAnsi="Palatino Linotype" w:cs="Palatino Linotype"/>
          <w:b/>
          <w:sz w:val="22"/>
          <w:szCs w:val="22"/>
        </w:rPr>
        <w:t xml:space="preserve"> SOBRESEE, </w:t>
      </w:r>
      <w:r w:rsidRPr="00CF6287">
        <w:rPr>
          <w:rFonts w:ascii="Palatino Linotype" w:eastAsia="Palatino Linotype" w:hAnsi="Palatino Linotype" w:cs="Palatino Linotype"/>
          <w:sz w:val="22"/>
          <w:szCs w:val="22"/>
        </w:rPr>
        <w:t xml:space="preserve">por </w:t>
      </w:r>
      <w:r w:rsidRPr="00CF6287">
        <w:rPr>
          <w:rFonts w:ascii="Palatino Linotype" w:eastAsia="Palatino Linotype" w:hAnsi="Palatino Linotype" w:cs="Palatino Linotype"/>
          <w:b/>
          <w:sz w:val="22"/>
          <w:szCs w:val="22"/>
        </w:rPr>
        <w:t>improcedente</w:t>
      </w:r>
      <w:r w:rsidR="003A487B" w:rsidRPr="00CF6287">
        <w:rPr>
          <w:rFonts w:ascii="Palatino Linotype" w:eastAsia="Palatino Linotype" w:hAnsi="Palatino Linotype" w:cs="Palatino Linotype"/>
          <w:sz w:val="22"/>
          <w:szCs w:val="22"/>
        </w:rPr>
        <w:t xml:space="preserve"> el</w:t>
      </w:r>
      <w:r w:rsidRPr="00CF6287">
        <w:rPr>
          <w:rFonts w:ascii="Palatino Linotype" w:eastAsia="Palatino Linotype" w:hAnsi="Palatino Linotype" w:cs="Palatino Linotype"/>
          <w:sz w:val="22"/>
          <w:szCs w:val="22"/>
        </w:rPr>
        <w:t xml:space="preserve"> Recurso de Revisión número </w:t>
      </w:r>
      <w:r w:rsidR="00022CD4" w:rsidRPr="00CF6287">
        <w:rPr>
          <w:rFonts w:ascii="Palatino Linotype" w:eastAsia="Palatino Linotype" w:hAnsi="Palatino Linotype" w:cs="Palatino Linotype"/>
          <w:b/>
          <w:sz w:val="22"/>
          <w:szCs w:val="22"/>
        </w:rPr>
        <w:t>00399/INFOEM/IP/RR/2025</w:t>
      </w:r>
      <w:r w:rsidRPr="00CF6287">
        <w:rPr>
          <w:rFonts w:ascii="Palatino Linotype" w:eastAsia="Palatino Linotype" w:hAnsi="Palatino Linotype" w:cs="Palatino Linotype"/>
          <w:b/>
          <w:sz w:val="22"/>
          <w:szCs w:val="22"/>
        </w:rPr>
        <w:t xml:space="preserve">, </w:t>
      </w:r>
      <w:r w:rsidRPr="00CF6287">
        <w:rPr>
          <w:rFonts w:ascii="Palatino Linotype" w:eastAsia="Palatino Linotype" w:hAnsi="Palatino Linotype" w:cs="Palatino Linotype"/>
          <w:sz w:val="22"/>
          <w:szCs w:val="22"/>
        </w:rPr>
        <w:t>de conformidad con lo dispuesto en el artículo 139 fracción III, en relación con el artículo 138 fracci</w:t>
      </w:r>
      <w:r w:rsidR="00E21C55" w:rsidRPr="00CF6287">
        <w:rPr>
          <w:rFonts w:ascii="Palatino Linotype" w:eastAsia="Palatino Linotype" w:hAnsi="Palatino Linotype" w:cs="Palatino Linotype"/>
          <w:sz w:val="22"/>
          <w:szCs w:val="22"/>
        </w:rPr>
        <w:t>ón</w:t>
      </w:r>
      <w:r w:rsidR="003A487B" w:rsidRPr="00CF6287">
        <w:rPr>
          <w:rFonts w:ascii="Palatino Linotype" w:eastAsia="Palatino Linotype" w:hAnsi="Palatino Linotype" w:cs="Palatino Linotype"/>
          <w:sz w:val="22"/>
          <w:szCs w:val="22"/>
        </w:rPr>
        <w:t xml:space="preserve"> II</w:t>
      </w:r>
      <w:r w:rsidRPr="00CF6287">
        <w:rPr>
          <w:rFonts w:ascii="Palatino Linotype" w:eastAsia="Palatino Linotype" w:hAnsi="Palatino Linotype" w:cs="Palatino Linotype"/>
          <w:sz w:val="22"/>
          <w:szCs w:val="22"/>
        </w:rPr>
        <w:t xml:space="preserve">, ambos de la Ley de Protección de Datos Personales en Posesión de Sujetos Obligados del Estado de México y Municipios, en términos del Considerando </w:t>
      </w:r>
      <w:r w:rsidRPr="00CF6287">
        <w:rPr>
          <w:rFonts w:ascii="Palatino Linotype" w:eastAsia="Palatino Linotype" w:hAnsi="Palatino Linotype" w:cs="Palatino Linotype"/>
          <w:b/>
          <w:sz w:val="22"/>
          <w:szCs w:val="22"/>
        </w:rPr>
        <w:t>Tercero</w:t>
      </w:r>
      <w:r w:rsidRPr="00CF6287">
        <w:rPr>
          <w:rFonts w:ascii="Palatino Linotype" w:eastAsia="Palatino Linotype" w:hAnsi="Palatino Linotype" w:cs="Palatino Linotype"/>
          <w:sz w:val="22"/>
          <w:szCs w:val="22"/>
        </w:rPr>
        <w:t xml:space="preserve"> de la presente Resolución.</w:t>
      </w:r>
    </w:p>
    <w:p w14:paraId="5DE6764B" w14:textId="77777777" w:rsidR="00994146" w:rsidRPr="00CF6287" w:rsidRDefault="00994146" w:rsidP="00994146">
      <w:pPr>
        <w:spacing w:line="360" w:lineRule="auto"/>
        <w:jc w:val="both"/>
        <w:rPr>
          <w:rFonts w:ascii="Palatino Linotype" w:eastAsia="Palatino Linotype" w:hAnsi="Palatino Linotype" w:cs="Palatino Linotype"/>
          <w:sz w:val="22"/>
          <w:szCs w:val="22"/>
        </w:rPr>
      </w:pPr>
    </w:p>
    <w:p w14:paraId="6D55099D" w14:textId="77777777" w:rsidR="00994146" w:rsidRPr="00CF6287" w:rsidRDefault="00994146" w:rsidP="00994146">
      <w:pPr>
        <w:tabs>
          <w:tab w:val="left" w:pos="7936"/>
        </w:tabs>
        <w:spacing w:line="360" w:lineRule="auto"/>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b/>
          <w:sz w:val="22"/>
          <w:szCs w:val="22"/>
        </w:rPr>
        <w:t xml:space="preserve">Segundo. Notifíquese, </w:t>
      </w:r>
      <w:r w:rsidRPr="00CF6287">
        <w:rPr>
          <w:rFonts w:ascii="Palatino Linotype" w:eastAsia="Palatino Linotype" w:hAnsi="Palatino Linotype" w:cs="Palatino Linotype"/>
          <w:sz w:val="22"/>
          <w:szCs w:val="22"/>
        </w:rPr>
        <w:t>vía</w:t>
      </w:r>
      <w:r w:rsidRPr="00CF6287">
        <w:rPr>
          <w:rFonts w:ascii="Palatino Linotype" w:eastAsia="Palatino Linotype" w:hAnsi="Palatino Linotype" w:cs="Palatino Linotype"/>
          <w:b/>
          <w:sz w:val="22"/>
          <w:szCs w:val="22"/>
        </w:rPr>
        <w:t xml:space="preserve"> SAIMEX</w:t>
      </w:r>
      <w:r w:rsidRPr="00CF6287">
        <w:rPr>
          <w:rFonts w:ascii="Palatino Linotype" w:eastAsia="Palatino Linotype" w:hAnsi="Palatino Linotype" w:cs="Palatino Linotype"/>
          <w:b/>
          <w:i/>
          <w:sz w:val="22"/>
          <w:szCs w:val="22"/>
        </w:rPr>
        <w:t xml:space="preserve">, </w:t>
      </w:r>
      <w:r w:rsidRPr="00CF6287">
        <w:rPr>
          <w:rFonts w:ascii="Palatino Linotype" w:eastAsia="Palatino Linotype" w:hAnsi="Palatino Linotype" w:cs="Palatino Linotype"/>
          <w:sz w:val="22"/>
          <w:szCs w:val="22"/>
        </w:rPr>
        <w:t xml:space="preserve">al </w:t>
      </w:r>
      <w:proofErr w:type="gramStart"/>
      <w:r w:rsidRPr="00CF6287">
        <w:rPr>
          <w:rFonts w:ascii="Palatino Linotype" w:eastAsia="Palatino Linotype" w:hAnsi="Palatino Linotype" w:cs="Palatino Linotype"/>
          <w:sz w:val="22"/>
          <w:szCs w:val="22"/>
        </w:rPr>
        <w:t>Responsable</w:t>
      </w:r>
      <w:proofErr w:type="gramEnd"/>
      <w:r w:rsidRPr="00CF6287">
        <w:rPr>
          <w:rFonts w:ascii="Palatino Linotype" w:eastAsia="Palatino Linotype" w:hAnsi="Palatino Linotype" w:cs="Palatino Linotype"/>
          <w:sz w:val="22"/>
          <w:szCs w:val="22"/>
        </w:rPr>
        <w:t xml:space="preserve"> de la Unidad de Transparencia del </w:t>
      </w:r>
      <w:r w:rsidRPr="00CF6287">
        <w:rPr>
          <w:rFonts w:ascii="Palatino Linotype" w:eastAsia="Palatino Linotype" w:hAnsi="Palatino Linotype" w:cs="Palatino Linotype"/>
          <w:b/>
          <w:sz w:val="22"/>
          <w:szCs w:val="22"/>
        </w:rPr>
        <w:t>Sujeto Obligado</w:t>
      </w:r>
      <w:r w:rsidRPr="00CF6287">
        <w:rPr>
          <w:rFonts w:ascii="Palatino Linotype" w:eastAsia="Palatino Linotype" w:hAnsi="Palatino Linotype" w:cs="Palatino Linotype"/>
          <w:sz w:val="22"/>
          <w:szCs w:val="22"/>
        </w:rPr>
        <w:t xml:space="preserve"> la presente resolución, para su conocimiento.</w:t>
      </w:r>
    </w:p>
    <w:p w14:paraId="725EBB3A" w14:textId="77777777" w:rsidR="00994146" w:rsidRPr="00CF6287" w:rsidRDefault="00994146" w:rsidP="00994146">
      <w:pPr>
        <w:tabs>
          <w:tab w:val="left" w:pos="7936"/>
        </w:tabs>
        <w:spacing w:line="360" w:lineRule="auto"/>
        <w:jc w:val="both"/>
        <w:rPr>
          <w:rFonts w:ascii="Palatino Linotype" w:eastAsia="Palatino Linotype" w:hAnsi="Palatino Linotype" w:cs="Palatino Linotype"/>
          <w:sz w:val="22"/>
          <w:szCs w:val="22"/>
        </w:rPr>
      </w:pPr>
    </w:p>
    <w:p w14:paraId="37418F31" w14:textId="77777777" w:rsidR="00994146" w:rsidRPr="00CF6287" w:rsidRDefault="00994146" w:rsidP="00994146">
      <w:pPr>
        <w:tabs>
          <w:tab w:val="left" w:pos="4667"/>
        </w:tabs>
        <w:spacing w:line="360" w:lineRule="auto"/>
        <w:jc w:val="both"/>
        <w:rPr>
          <w:rFonts w:ascii="Palatino Linotype" w:eastAsia="Palatino Linotype" w:hAnsi="Palatino Linotype" w:cs="Palatino Linotype"/>
          <w:sz w:val="22"/>
          <w:szCs w:val="22"/>
        </w:rPr>
      </w:pPr>
      <w:bookmarkStart w:id="3" w:name="_heading=h.26in1rg" w:colFirst="0" w:colLast="0"/>
      <w:bookmarkEnd w:id="3"/>
      <w:r w:rsidRPr="00CF6287">
        <w:rPr>
          <w:rFonts w:ascii="Palatino Linotype" w:eastAsia="Palatino Linotype" w:hAnsi="Palatino Linotype" w:cs="Palatino Linotype"/>
          <w:b/>
          <w:sz w:val="22"/>
          <w:szCs w:val="22"/>
        </w:rPr>
        <w:t xml:space="preserve">Tercero. Notifíquese, </w:t>
      </w:r>
      <w:r w:rsidRPr="00CF6287">
        <w:rPr>
          <w:rFonts w:ascii="Palatino Linotype" w:eastAsia="Palatino Linotype" w:hAnsi="Palatino Linotype" w:cs="Palatino Linotype"/>
          <w:sz w:val="22"/>
          <w:szCs w:val="22"/>
        </w:rPr>
        <w:t>vía</w:t>
      </w:r>
      <w:r w:rsidRPr="00CF6287">
        <w:rPr>
          <w:rFonts w:ascii="Palatino Linotype" w:eastAsia="Palatino Linotype" w:hAnsi="Palatino Linotype" w:cs="Palatino Linotype"/>
          <w:b/>
          <w:sz w:val="22"/>
          <w:szCs w:val="22"/>
        </w:rPr>
        <w:t xml:space="preserve"> SAIMEX</w:t>
      </w:r>
      <w:r w:rsidR="00E21C55" w:rsidRPr="00CF6287">
        <w:rPr>
          <w:rFonts w:ascii="Palatino Linotype" w:eastAsia="Palatino Linotype" w:hAnsi="Palatino Linotype" w:cs="Palatino Linotype"/>
          <w:b/>
          <w:sz w:val="22"/>
          <w:szCs w:val="22"/>
        </w:rPr>
        <w:t xml:space="preserve"> y correo electrónico</w:t>
      </w:r>
      <w:r w:rsidRPr="00CF6287">
        <w:rPr>
          <w:rFonts w:ascii="Palatino Linotype" w:eastAsia="Palatino Linotype" w:hAnsi="Palatino Linotype" w:cs="Palatino Linotype"/>
          <w:sz w:val="22"/>
          <w:szCs w:val="22"/>
        </w:rPr>
        <w:t>, a</w:t>
      </w:r>
      <w:r w:rsidRPr="00CF6287">
        <w:rPr>
          <w:rFonts w:ascii="Palatino Linotype" w:eastAsia="Palatino Linotype" w:hAnsi="Palatino Linotype" w:cs="Palatino Linotype"/>
          <w:b/>
          <w:sz w:val="22"/>
          <w:szCs w:val="22"/>
        </w:rPr>
        <w:t xml:space="preserve"> </w:t>
      </w:r>
      <w:r w:rsidRPr="00CF6287">
        <w:rPr>
          <w:rFonts w:ascii="Palatino Linotype" w:eastAsia="Palatino Linotype" w:hAnsi="Palatino Linotype" w:cs="Palatino Linotype"/>
          <w:sz w:val="22"/>
          <w:szCs w:val="22"/>
        </w:rPr>
        <w:t xml:space="preserve">la parte </w:t>
      </w:r>
      <w:r w:rsidRPr="00CF6287">
        <w:rPr>
          <w:rFonts w:ascii="Palatino Linotype" w:eastAsia="Palatino Linotype" w:hAnsi="Palatino Linotype" w:cs="Palatino Linotype"/>
          <w:b/>
          <w:sz w:val="22"/>
          <w:szCs w:val="22"/>
        </w:rPr>
        <w:t>Recurrente</w:t>
      </w:r>
      <w:r w:rsidRPr="00CF6287">
        <w:rPr>
          <w:rFonts w:ascii="Palatino Linotype" w:eastAsia="Palatino Linotype" w:hAnsi="Palatino Linotype" w:cs="Palatino Linotype"/>
          <w:sz w:val="22"/>
          <w:szCs w:val="22"/>
        </w:rPr>
        <w:t xml:space="preserve">, la presente resolución; asimismo, se hace de su conocimiento que de conformidad con lo establecido en el </w:t>
      </w:r>
      <w:r w:rsidRPr="00CF6287">
        <w:rPr>
          <w:rFonts w:ascii="Palatino Linotype" w:eastAsia="Palatino Linotype" w:hAnsi="Palatino Linotype" w:cs="Palatino Linotype"/>
          <w:sz w:val="22"/>
          <w:szCs w:val="22"/>
        </w:rPr>
        <w:lastRenderedPageBreak/>
        <w:t>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w:t>
      </w:r>
      <w:r w:rsidR="006255AF" w:rsidRPr="00CF6287">
        <w:rPr>
          <w:rFonts w:ascii="Palatino Linotype" w:eastAsia="Palatino Linotype" w:hAnsi="Palatino Linotype" w:cs="Palatino Linotype"/>
          <w:sz w:val="22"/>
          <w:szCs w:val="22"/>
        </w:rPr>
        <w:t xml:space="preserve"> </w:t>
      </w:r>
    </w:p>
    <w:p w14:paraId="360DCF56" w14:textId="77777777" w:rsidR="00CB685B" w:rsidRPr="00CF6287" w:rsidRDefault="00CB685B" w:rsidP="00994146">
      <w:pPr>
        <w:tabs>
          <w:tab w:val="left" w:pos="4667"/>
        </w:tabs>
        <w:spacing w:line="360" w:lineRule="auto"/>
        <w:jc w:val="both"/>
        <w:rPr>
          <w:rFonts w:ascii="Palatino Linotype" w:eastAsia="Palatino Linotype" w:hAnsi="Palatino Linotype" w:cs="Palatino Linotype"/>
          <w:sz w:val="22"/>
          <w:szCs w:val="22"/>
        </w:rPr>
      </w:pPr>
    </w:p>
    <w:p w14:paraId="2FE9C3EB" w14:textId="77777777" w:rsidR="00CB685B" w:rsidRPr="00CF6287" w:rsidRDefault="00CB685B" w:rsidP="00CB685B">
      <w:pPr>
        <w:spacing w:line="360" w:lineRule="auto"/>
        <w:jc w:val="both"/>
        <w:rPr>
          <w:rFonts w:ascii="Palatino Linotype" w:eastAsia="Palatino Linotype" w:hAnsi="Palatino Linotype" w:cs="Palatino Linotype"/>
          <w:sz w:val="22"/>
          <w:szCs w:val="22"/>
        </w:rPr>
      </w:pPr>
      <w:bookmarkStart w:id="4" w:name="_heading=h.1fob9te" w:colFirst="0" w:colLast="0"/>
      <w:bookmarkEnd w:id="4"/>
      <w:r w:rsidRPr="00CF6287">
        <w:rPr>
          <w:rFonts w:ascii="Palatino Linotype" w:eastAsia="Palatino Linotype" w:hAnsi="Palatino Linotype" w:cs="Palatino Linotype"/>
          <w:b/>
          <w:sz w:val="22"/>
          <w:szCs w:val="22"/>
        </w:rPr>
        <w:t xml:space="preserve">Cuarto. Gírese </w:t>
      </w:r>
      <w:r w:rsidRPr="00CF6287">
        <w:rPr>
          <w:rFonts w:ascii="Palatino Linotype" w:eastAsia="Palatino Linotype" w:hAnsi="Palatino Linotype" w:cs="Palatino Linotype"/>
          <w:sz w:val="22"/>
          <w:szCs w:val="22"/>
        </w:rPr>
        <w:t xml:space="preserve">vista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w:t>
      </w:r>
      <w:r w:rsidRPr="00CF6287">
        <w:rPr>
          <w:rFonts w:ascii="Palatino Linotype" w:eastAsia="Palatino Linotype" w:hAnsi="Palatino Linotype" w:cs="Palatino Linotype"/>
          <w:b/>
          <w:sz w:val="22"/>
          <w:szCs w:val="22"/>
        </w:rPr>
        <w:t>Tercero</w:t>
      </w:r>
      <w:r w:rsidRPr="00CF6287">
        <w:rPr>
          <w:rFonts w:ascii="Palatino Linotype" w:eastAsia="Palatino Linotype" w:hAnsi="Palatino Linotype" w:cs="Palatino Linotype"/>
          <w:sz w:val="22"/>
          <w:szCs w:val="22"/>
        </w:rPr>
        <w:t xml:space="preserve"> de la presente resolución.</w:t>
      </w:r>
    </w:p>
    <w:p w14:paraId="4AD7DC3A" w14:textId="77777777" w:rsidR="00CB685B" w:rsidRPr="00CF6287" w:rsidRDefault="00CB685B" w:rsidP="00CB685B">
      <w:pPr>
        <w:spacing w:line="360" w:lineRule="auto"/>
        <w:jc w:val="both"/>
        <w:rPr>
          <w:rFonts w:ascii="Palatino Linotype" w:hAnsi="Palatino Linotype" w:cs="Tahoma"/>
          <w:bCs/>
          <w:sz w:val="22"/>
          <w:szCs w:val="22"/>
        </w:rPr>
      </w:pPr>
    </w:p>
    <w:p w14:paraId="343B8B5E" w14:textId="198F9B1F" w:rsidR="00CE1BE1" w:rsidRPr="00F95C47" w:rsidRDefault="00CE1BE1" w:rsidP="00CE1BE1">
      <w:pPr>
        <w:spacing w:after="240" w:line="360" w:lineRule="auto"/>
        <w:ind w:right="49"/>
        <w:jc w:val="both"/>
        <w:rPr>
          <w:rFonts w:ascii="Palatino Linotype" w:eastAsia="Palatino Linotype" w:hAnsi="Palatino Linotype" w:cs="Palatino Linotype"/>
          <w:sz w:val="22"/>
          <w:szCs w:val="22"/>
        </w:rPr>
      </w:pPr>
      <w:r w:rsidRPr="00CF6287">
        <w:rPr>
          <w:rFonts w:ascii="Palatino Linotype" w:eastAsia="Palatino Linotype" w:hAnsi="Palatino Linotype" w:cs="Palatino Linotype"/>
          <w:sz w:val="22"/>
          <w:szCs w:val="22"/>
        </w:rPr>
        <w:t xml:space="preserve">ASÍ LO </w:t>
      </w:r>
      <w:r w:rsidR="00F95C47" w:rsidRPr="00CF6287">
        <w:rPr>
          <w:rFonts w:ascii="Palatino Linotype" w:eastAsia="Palatino Linotype" w:hAnsi="Palatino Linotype" w:cs="Palatino Linotype"/>
          <w:sz w:val="22"/>
          <w:szCs w:val="22"/>
        </w:rPr>
        <w:t>RESUELVE</w:t>
      </w:r>
      <w:r w:rsidRPr="00CF6287">
        <w:rPr>
          <w:rFonts w:ascii="Palatino Linotype" w:eastAsia="Palatino Linotype" w:hAnsi="Palatino Linotype" w:cs="Palatino Linotype"/>
          <w:sz w:val="22"/>
          <w:szCs w:val="22"/>
        </w:rPr>
        <w:t xml:space="preser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EMITIENDO VOTO PARTICULAR CONCURRENTE Y GUADALUPE RAMÍREZ PEÑA; EMITIENDO VOTO PARTICULAR CONCURRENTE; EN LA OCTAVA SESIÓN ORDINARIA CELEBRADA EL SEIS DE MARZO DE DOS MIL VEINTICINCO, ANTE EL SECRETARIO TÉCNICO DEL PLENO ALEXIS TAPIA RAMÍREZ.</w:t>
      </w:r>
    </w:p>
    <w:p w14:paraId="73844442" w14:textId="77777777" w:rsidR="00CE1BE1" w:rsidRPr="00F95C47" w:rsidRDefault="00CE1BE1">
      <w:pPr>
        <w:spacing w:line="360" w:lineRule="auto"/>
        <w:jc w:val="both"/>
        <w:rPr>
          <w:rFonts w:ascii="Palatino Linotype" w:eastAsia="Palatino Linotype" w:hAnsi="Palatino Linotype" w:cs="Palatino Linotype"/>
          <w:sz w:val="22"/>
          <w:szCs w:val="22"/>
        </w:rPr>
        <w:sectPr w:rsidR="00CE1BE1" w:rsidRPr="00F95C47">
          <w:headerReference w:type="default" r:id="rId10"/>
          <w:footerReference w:type="default" r:id="rId11"/>
          <w:headerReference w:type="first" r:id="rId12"/>
          <w:footerReference w:type="first" r:id="rId13"/>
          <w:pgSz w:w="12240" w:h="15840"/>
          <w:pgMar w:top="1418" w:right="1418" w:bottom="1418" w:left="1701" w:header="709" w:footer="709" w:gutter="0"/>
          <w:pgNumType w:start="1"/>
          <w:cols w:space="720"/>
          <w:titlePg/>
        </w:sectPr>
      </w:pPr>
    </w:p>
    <w:p w14:paraId="0FAD08A1" w14:textId="77777777" w:rsidR="000B60F4" w:rsidRPr="00F95C47" w:rsidRDefault="000B60F4">
      <w:pPr>
        <w:spacing w:line="360" w:lineRule="auto"/>
        <w:jc w:val="both"/>
        <w:rPr>
          <w:rFonts w:ascii="Palatino Linotype" w:eastAsia="Palatino Linotype" w:hAnsi="Palatino Linotype" w:cs="Palatino Linotype"/>
          <w:sz w:val="22"/>
          <w:szCs w:val="22"/>
        </w:rPr>
      </w:pPr>
      <w:bookmarkStart w:id="6" w:name="_heading=h.gjdgxs" w:colFirst="0" w:colLast="0"/>
      <w:bookmarkEnd w:id="6"/>
    </w:p>
    <w:p w14:paraId="7C30D1EA" w14:textId="77777777" w:rsidR="000B60F4" w:rsidRPr="00F95C47" w:rsidRDefault="000B60F4">
      <w:pPr>
        <w:spacing w:line="360" w:lineRule="auto"/>
        <w:ind w:right="-93"/>
        <w:jc w:val="both"/>
        <w:rPr>
          <w:rFonts w:ascii="Palatino Linotype" w:eastAsia="Palatino Linotype" w:hAnsi="Palatino Linotype" w:cs="Palatino Linotype"/>
          <w:sz w:val="22"/>
          <w:szCs w:val="22"/>
        </w:rPr>
      </w:pPr>
    </w:p>
    <w:p w14:paraId="77F1FE82" w14:textId="77777777" w:rsidR="000B60F4" w:rsidRPr="00F95C47" w:rsidRDefault="000B60F4">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sz w:val="22"/>
          <w:szCs w:val="22"/>
        </w:rPr>
      </w:pPr>
    </w:p>
    <w:sectPr w:rsidR="000B60F4" w:rsidRPr="00F95C47">
      <w:headerReference w:type="first" r:id="rId14"/>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46D2" w14:textId="77777777" w:rsidR="005B0995" w:rsidRDefault="005B0995">
      <w:r>
        <w:separator/>
      </w:r>
    </w:p>
  </w:endnote>
  <w:endnote w:type="continuationSeparator" w:id="0">
    <w:p w14:paraId="7E367220" w14:textId="77777777" w:rsidR="005B0995" w:rsidRDefault="005B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7E56" w14:textId="77777777" w:rsidR="00A42703" w:rsidRDefault="00A4270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F6287">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F6287">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7D13A28C" w14:textId="77777777" w:rsidR="00A42703" w:rsidRDefault="00A4270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61DC" w14:textId="42FA31AD" w:rsidR="00A42703" w:rsidRDefault="00A4270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sidR="00F95C47">
      <w:rPr>
        <w:rFonts w:ascii="Palatino Linotype" w:eastAsia="Palatino Linotype" w:hAnsi="Palatino Linotype" w:cs="Palatino Linotype"/>
        <w:b/>
        <w:color w:val="000000"/>
        <w:sz w:val="20"/>
        <w:szCs w:val="20"/>
      </w:rPr>
      <w:t>25</w:t>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F6287">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2AAEED58" w14:textId="77777777" w:rsidR="00A42703" w:rsidRDefault="00A4270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FB01" w14:textId="77777777" w:rsidR="005B0995" w:rsidRDefault="005B0995">
      <w:r>
        <w:separator/>
      </w:r>
    </w:p>
  </w:footnote>
  <w:footnote w:type="continuationSeparator" w:id="0">
    <w:p w14:paraId="4AFE45DD" w14:textId="77777777" w:rsidR="005B0995" w:rsidRDefault="005B0995">
      <w:r>
        <w:continuationSeparator/>
      </w:r>
    </w:p>
  </w:footnote>
  <w:footnote w:id="1">
    <w:p w14:paraId="23AFED3B" w14:textId="77777777" w:rsidR="003A07DA" w:rsidRPr="00A13635" w:rsidRDefault="003A07DA" w:rsidP="003A07DA">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A13635">
        <w:rPr>
          <w:rFonts w:ascii="Palatino Linotype" w:hAnsi="Palatino Linotype"/>
          <w:sz w:val="16"/>
          <w:szCs w:val="16"/>
          <w:vertAlign w:val="superscript"/>
        </w:rPr>
        <w:footnoteRef/>
      </w:r>
      <w:r w:rsidRPr="00A13635">
        <w:rPr>
          <w:rFonts w:ascii="Palatino Linotype" w:eastAsia="Palatino Linotype" w:hAnsi="Palatino Linotype" w:cs="Palatino Linotype"/>
          <w:color w:val="000000"/>
          <w:sz w:val="16"/>
          <w:szCs w:val="16"/>
        </w:rPr>
        <w:t xml:space="preserve"> BONILLLA LÓPEZ Miguel. </w:t>
      </w:r>
      <w:r w:rsidRPr="00A13635">
        <w:rPr>
          <w:rFonts w:ascii="Palatino Linotype" w:eastAsia="Palatino Linotype" w:hAnsi="Palatino Linotype" w:cs="Palatino Linotype"/>
          <w:i/>
          <w:color w:val="000000"/>
          <w:sz w:val="16"/>
          <w:szCs w:val="16"/>
        </w:rPr>
        <w:t>Los principios Constitucionales del Juicio de Amparo II.</w:t>
      </w:r>
      <w:r w:rsidRPr="00A13635">
        <w:rPr>
          <w:rFonts w:ascii="Palatino Linotype" w:eastAsia="Palatino Linotype" w:hAnsi="Palatino Linotype" w:cs="Palatino Linotype"/>
          <w:color w:val="000000"/>
          <w:sz w:val="16"/>
          <w:szCs w:val="16"/>
        </w:rPr>
        <w:t xml:space="preserve"> México. 2009. UNAM.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49AA" w14:textId="77777777" w:rsidR="00A42703" w:rsidRDefault="0012450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pict w14:anchorId="2551B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 style="position:absolute;margin-left:-69.3pt;margin-top:-128.2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PHOTO-2020-08-13-10-14-39"/>
          <w10:wrap anchorx="margin" anchory="margin"/>
        </v:shape>
      </w:pict>
    </w:r>
    <w:r w:rsidR="00A42703">
      <w:rPr>
        <w:rFonts w:ascii="Cambria" w:eastAsia="Cambria" w:hAnsi="Cambria" w:cs="Cambria"/>
        <w:color w:val="000000"/>
      </w:rPr>
      <w:t xml:space="preserve">              </w:t>
    </w:r>
  </w:p>
  <w:tbl>
    <w:tblPr>
      <w:tblStyle w:val="af"/>
      <w:tblW w:w="6237" w:type="dxa"/>
      <w:tblInd w:w="2977" w:type="dxa"/>
      <w:tblLayout w:type="fixed"/>
      <w:tblLook w:val="0400" w:firstRow="0" w:lastRow="0" w:firstColumn="0" w:lastColumn="0" w:noHBand="0" w:noVBand="1"/>
    </w:tblPr>
    <w:tblGrid>
      <w:gridCol w:w="2552"/>
      <w:gridCol w:w="3685"/>
    </w:tblGrid>
    <w:tr w:rsidR="00A42703" w14:paraId="74398471" w14:textId="77777777">
      <w:trPr>
        <w:trHeight w:val="266"/>
      </w:trPr>
      <w:tc>
        <w:tcPr>
          <w:tcW w:w="2552" w:type="dxa"/>
          <w:shd w:val="clear" w:color="auto" w:fill="auto"/>
          <w:vAlign w:val="center"/>
        </w:tcPr>
        <w:p w14:paraId="2647E749" w14:textId="77777777" w:rsidR="00A42703" w:rsidRDefault="00A427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2F809DFB" w14:textId="77777777" w:rsidR="00A42703" w:rsidRDefault="00A42703" w:rsidP="00C04F3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00399/INFOEM/IP/RR/2025</w:t>
          </w:r>
        </w:p>
      </w:tc>
    </w:tr>
    <w:tr w:rsidR="00A42703" w14:paraId="16DCC78E" w14:textId="77777777">
      <w:trPr>
        <w:trHeight w:val="228"/>
      </w:trPr>
      <w:tc>
        <w:tcPr>
          <w:tcW w:w="2552" w:type="dxa"/>
          <w:shd w:val="clear" w:color="auto" w:fill="auto"/>
          <w:vAlign w:val="center"/>
        </w:tcPr>
        <w:p w14:paraId="5D9AD038" w14:textId="77777777" w:rsidR="00A42703" w:rsidRDefault="00A42703" w:rsidP="00C04F3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1732E736" w14:textId="77777777" w:rsidR="00A42703" w:rsidRDefault="00A42703">
          <w:pPr>
            <w:ind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Colegio de Bachilleres del Estado de México</w:t>
          </w:r>
        </w:p>
      </w:tc>
    </w:tr>
    <w:tr w:rsidR="00A42703" w14:paraId="6CFC8950" w14:textId="77777777">
      <w:tc>
        <w:tcPr>
          <w:tcW w:w="2552" w:type="dxa"/>
          <w:shd w:val="clear" w:color="auto" w:fill="auto"/>
          <w:vAlign w:val="center"/>
        </w:tcPr>
        <w:p w14:paraId="2EE04A42" w14:textId="77777777" w:rsidR="00A42703" w:rsidRDefault="00A427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vAlign w:val="center"/>
        </w:tcPr>
        <w:p w14:paraId="6D8D9E3D" w14:textId="77777777" w:rsidR="00A42703" w:rsidRDefault="00A42703">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F2CA558" w14:textId="77777777" w:rsidR="00A42703" w:rsidRDefault="00A42703">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B398" w14:textId="77777777" w:rsidR="00A42703" w:rsidRDefault="0012450B">
    <w:pPr>
      <w:widowControl w:val="0"/>
      <w:pBdr>
        <w:top w:val="nil"/>
        <w:left w:val="nil"/>
        <w:bottom w:val="nil"/>
        <w:right w:val="nil"/>
        <w:between w:val="nil"/>
      </w:pBdr>
      <w:spacing w:line="276" w:lineRule="auto"/>
      <w:rPr>
        <w:rFonts w:ascii="Cambria" w:eastAsia="Cambria" w:hAnsi="Cambria" w:cs="Cambria"/>
        <w:color w:val="000000"/>
        <w:sz w:val="20"/>
        <w:szCs w:val="20"/>
      </w:rPr>
    </w:pPr>
    <w:r>
      <w:rPr>
        <w:rFonts w:ascii="Palatino Linotype" w:eastAsia="Palatino Linotype" w:hAnsi="Palatino Linotype" w:cs="Palatino Linotype"/>
        <w:b/>
        <w:color w:val="000000"/>
        <w:sz w:val="22"/>
        <w:szCs w:val="22"/>
      </w:rPr>
      <w:pict w14:anchorId="4AD68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6" type="#_x0000_t75" alt="" style="position:absolute;margin-left:-75.3pt;margin-top:-137pt;width:663.5pt;height:12in;z-index:-251659264;mso-position-horizontal:absolute;mso-position-horizontal-relative:margin;mso-position-vertical:absolute;mso-position-vertical-relative:margin">
          <v:imagedata r:id="rId1" o:title="image3"/>
          <w10:wrap anchorx="margin" anchory="margin"/>
        </v:shape>
      </w:pict>
    </w:r>
  </w:p>
  <w:tbl>
    <w:tblPr>
      <w:tblStyle w:val="af0"/>
      <w:tblW w:w="6379" w:type="dxa"/>
      <w:tblInd w:w="2977" w:type="dxa"/>
      <w:tblLayout w:type="fixed"/>
      <w:tblLook w:val="0400" w:firstRow="0" w:lastRow="0" w:firstColumn="0" w:lastColumn="0" w:noHBand="0" w:noVBand="1"/>
    </w:tblPr>
    <w:tblGrid>
      <w:gridCol w:w="2552"/>
      <w:gridCol w:w="3827"/>
    </w:tblGrid>
    <w:tr w:rsidR="00A42703" w14:paraId="269A8A99" w14:textId="77777777">
      <w:tc>
        <w:tcPr>
          <w:tcW w:w="2552" w:type="dxa"/>
          <w:shd w:val="clear" w:color="auto" w:fill="auto"/>
          <w:vAlign w:val="center"/>
        </w:tcPr>
        <w:p w14:paraId="757F87FC" w14:textId="77777777" w:rsidR="00A42703" w:rsidRDefault="00A427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3890D079" w14:textId="77777777" w:rsidR="00A42703" w:rsidRDefault="00A42703" w:rsidP="00022C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00399/INFOEM/IP/RR/2025</w:t>
          </w:r>
        </w:p>
      </w:tc>
    </w:tr>
    <w:tr w:rsidR="00A42703" w14:paraId="68C85357" w14:textId="77777777">
      <w:tc>
        <w:tcPr>
          <w:tcW w:w="2552" w:type="dxa"/>
          <w:shd w:val="clear" w:color="auto" w:fill="auto"/>
          <w:vAlign w:val="center"/>
        </w:tcPr>
        <w:p w14:paraId="11C3E4DB" w14:textId="77777777" w:rsidR="00A42703" w:rsidRDefault="00A427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232F4DCC" w14:textId="4E41C506" w:rsidR="00A42703" w:rsidRDefault="0012450B" w:rsidP="00C04F36">
          <w:pPr>
            <w:jc w:val="both"/>
            <w:rPr>
              <w:rFonts w:ascii="Palatino Linotype" w:eastAsia="Palatino Linotype" w:hAnsi="Palatino Linotype" w:cs="Palatino Linotype"/>
              <w:b/>
              <w:sz w:val="22"/>
              <w:szCs w:val="22"/>
            </w:rPr>
          </w:pPr>
          <w:bookmarkStart w:id="5" w:name="_Hlk193979869"/>
          <w:r>
            <w:rPr>
              <w:rFonts w:ascii="Palatino Linotype" w:eastAsia="Palatino Linotype" w:hAnsi="Palatino Linotype" w:cs="Palatino Linotype"/>
              <w:b/>
              <w:sz w:val="22"/>
              <w:szCs w:val="22"/>
            </w:rPr>
            <w:t xml:space="preserve">XXXXXX XXXXXXXX XXXXXX </w:t>
          </w:r>
          <w:bookmarkEnd w:id="5"/>
        </w:p>
      </w:tc>
    </w:tr>
    <w:tr w:rsidR="00A42703" w14:paraId="02306CB3" w14:textId="77777777">
      <w:trPr>
        <w:trHeight w:val="228"/>
      </w:trPr>
      <w:tc>
        <w:tcPr>
          <w:tcW w:w="2552" w:type="dxa"/>
          <w:shd w:val="clear" w:color="auto" w:fill="auto"/>
          <w:vAlign w:val="center"/>
        </w:tcPr>
        <w:p w14:paraId="68320E57" w14:textId="77777777" w:rsidR="00A42703" w:rsidRDefault="00A42703" w:rsidP="00C04F3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635D025C" w14:textId="77777777" w:rsidR="00A42703" w:rsidRDefault="00A42703">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Colegio de Bachilleres del Estado de México</w:t>
          </w:r>
        </w:p>
      </w:tc>
    </w:tr>
    <w:tr w:rsidR="00A42703" w14:paraId="539D06AE" w14:textId="77777777">
      <w:trPr>
        <w:trHeight w:val="210"/>
      </w:trPr>
      <w:tc>
        <w:tcPr>
          <w:tcW w:w="2552" w:type="dxa"/>
          <w:shd w:val="clear" w:color="auto" w:fill="auto"/>
          <w:vAlign w:val="center"/>
        </w:tcPr>
        <w:p w14:paraId="16C6CA60" w14:textId="77777777" w:rsidR="00A42703" w:rsidRDefault="00A427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634E72F5" w14:textId="77777777" w:rsidR="00A42703" w:rsidRDefault="00A42703">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A162DB5" w14:textId="77777777" w:rsidR="00A42703" w:rsidRDefault="00A42703">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9FBE" w14:textId="77777777" w:rsidR="00A42703" w:rsidRDefault="00A42703">
    <w:pPr>
      <w:widowControl w:val="0"/>
      <w:pBdr>
        <w:top w:val="nil"/>
        <w:left w:val="nil"/>
        <w:bottom w:val="nil"/>
        <w:right w:val="nil"/>
        <w:between w:val="nil"/>
      </w:pBdr>
      <w:spacing w:line="276" w:lineRule="auto"/>
      <w:rPr>
        <w:rFonts w:ascii="Cambria" w:eastAsia="Cambria" w:hAnsi="Cambria" w:cs="Cambria"/>
        <w:color w:val="000000"/>
        <w:sz w:val="20"/>
        <w:szCs w:val="20"/>
      </w:rPr>
    </w:pPr>
  </w:p>
  <w:p w14:paraId="7EE622F9" w14:textId="77777777" w:rsidR="00A42703" w:rsidRDefault="00A42703">
    <w:pPr>
      <w:pBdr>
        <w:top w:val="nil"/>
        <w:left w:val="nil"/>
        <w:bottom w:val="nil"/>
        <w:right w:val="nil"/>
        <w:between w:val="nil"/>
      </w:pBdr>
      <w:tabs>
        <w:tab w:val="center" w:pos="4252"/>
        <w:tab w:val="right" w:pos="8504"/>
      </w:tabs>
      <w:rPr>
        <w:rFonts w:ascii="Cambria" w:eastAsia="Cambria" w:hAnsi="Cambria" w:cs="Cambria"/>
        <w:color w:val="000000"/>
      </w:rPr>
    </w:pPr>
  </w:p>
  <w:p w14:paraId="5DD89A53" w14:textId="77777777" w:rsidR="00A42703" w:rsidRDefault="00A42703">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268"/>
    <w:multiLevelType w:val="hybridMultilevel"/>
    <w:tmpl w:val="DA06C94E"/>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5CC08CF"/>
    <w:multiLevelType w:val="multilevel"/>
    <w:tmpl w:val="3E3E3826"/>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B11387B"/>
    <w:multiLevelType w:val="multilevel"/>
    <w:tmpl w:val="0CD0F8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B36986"/>
    <w:multiLevelType w:val="hybridMultilevel"/>
    <w:tmpl w:val="A1ACF6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C15C3B"/>
    <w:multiLevelType w:val="multilevel"/>
    <w:tmpl w:val="FC90D116"/>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2A4877"/>
    <w:multiLevelType w:val="hybridMultilevel"/>
    <w:tmpl w:val="9B520FC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31C22271"/>
    <w:multiLevelType w:val="multilevel"/>
    <w:tmpl w:val="0506EF28"/>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337A7E75"/>
    <w:multiLevelType w:val="multilevel"/>
    <w:tmpl w:val="3A264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317490"/>
    <w:multiLevelType w:val="hybridMultilevel"/>
    <w:tmpl w:val="FD30DC42"/>
    <w:lvl w:ilvl="0" w:tplc="92BE0B36">
      <w:start w:val="1"/>
      <w:numFmt w:val="decimal"/>
      <w:lvlText w:val="%1."/>
      <w:lvlJc w:val="left"/>
      <w:pPr>
        <w:ind w:left="4330"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0F4A61"/>
    <w:multiLevelType w:val="hybridMultilevel"/>
    <w:tmpl w:val="776AA616"/>
    <w:lvl w:ilvl="0" w:tplc="080A0001">
      <w:start w:val="1"/>
      <w:numFmt w:val="bullet"/>
      <w:lvlText w:val=""/>
      <w:lvlJc w:val="left"/>
      <w:pPr>
        <w:ind w:left="771" w:hanging="360"/>
      </w:pPr>
      <w:rPr>
        <w:rFonts w:ascii="Symbol" w:hAnsi="Symbol" w:hint="default"/>
      </w:rPr>
    </w:lvl>
    <w:lvl w:ilvl="1" w:tplc="080A0019" w:tentative="1">
      <w:start w:val="1"/>
      <w:numFmt w:val="lowerLetter"/>
      <w:lvlText w:val="%2."/>
      <w:lvlJc w:val="left"/>
      <w:pPr>
        <w:ind w:left="1491" w:hanging="360"/>
      </w:pPr>
    </w:lvl>
    <w:lvl w:ilvl="2" w:tplc="080A001B" w:tentative="1">
      <w:start w:val="1"/>
      <w:numFmt w:val="lowerRoman"/>
      <w:lvlText w:val="%3."/>
      <w:lvlJc w:val="right"/>
      <w:pPr>
        <w:ind w:left="2211" w:hanging="180"/>
      </w:pPr>
    </w:lvl>
    <w:lvl w:ilvl="3" w:tplc="080A000F" w:tentative="1">
      <w:start w:val="1"/>
      <w:numFmt w:val="decimal"/>
      <w:lvlText w:val="%4."/>
      <w:lvlJc w:val="left"/>
      <w:pPr>
        <w:ind w:left="2931" w:hanging="360"/>
      </w:pPr>
    </w:lvl>
    <w:lvl w:ilvl="4" w:tplc="080A0019" w:tentative="1">
      <w:start w:val="1"/>
      <w:numFmt w:val="lowerLetter"/>
      <w:lvlText w:val="%5."/>
      <w:lvlJc w:val="left"/>
      <w:pPr>
        <w:ind w:left="3651" w:hanging="360"/>
      </w:pPr>
    </w:lvl>
    <w:lvl w:ilvl="5" w:tplc="080A001B" w:tentative="1">
      <w:start w:val="1"/>
      <w:numFmt w:val="lowerRoman"/>
      <w:lvlText w:val="%6."/>
      <w:lvlJc w:val="right"/>
      <w:pPr>
        <w:ind w:left="4371" w:hanging="180"/>
      </w:pPr>
    </w:lvl>
    <w:lvl w:ilvl="6" w:tplc="080A000F" w:tentative="1">
      <w:start w:val="1"/>
      <w:numFmt w:val="decimal"/>
      <w:lvlText w:val="%7."/>
      <w:lvlJc w:val="left"/>
      <w:pPr>
        <w:ind w:left="5091" w:hanging="360"/>
      </w:pPr>
    </w:lvl>
    <w:lvl w:ilvl="7" w:tplc="080A0019" w:tentative="1">
      <w:start w:val="1"/>
      <w:numFmt w:val="lowerLetter"/>
      <w:lvlText w:val="%8."/>
      <w:lvlJc w:val="left"/>
      <w:pPr>
        <w:ind w:left="5811" w:hanging="360"/>
      </w:pPr>
    </w:lvl>
    <w:lvl w:ilvl="8" w:tplc="080A001B" w:tentative="1">
      <w:start w:val="1"/>
      <w:numFmt w:val="lowerRoman"/>
      <w:lvlText w:val="%9."/>
      <w:lvlJc w:val="right"/>
      <w:pPr>
        <w:ind w:left="6531" w:hanging="180"/>
      </w:pPr>
    </w:lvl>
  </w:abstractNum>
  <w:abstractNum w:abstractNumId="10" w15:restartNumberingAfterBreak="0">
    <w:nsid w:val="3BBF60AD"/>
    <w:multiLevelType w:val="multilevel"/>
    <w:tmpl w:val="239A51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1E66465"/>
    <w:multiLevelType w:val="multilevel"/>
    <w:tmpl w:val="85848CF4"/>
    <w:lvl w:ilvl="0">
      <w:start w:val="2"/>
      <w:numFmt w:val="bullet"/>
      <w:lvlText w:val="-"/>
      <w:lvlJc w:val="left"/>
      <w:pPr>
        <w:ind w:left="720" w:hanging="360"/>
      </w:pPr>
      <w:rPr>
        <w:rFonts w:ascii="Palatino Linotype" w:eastAsia="Palatino Linotype" w:hAnsi="Palatino Linotype" w:cs="Palatino Linotype"/>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D9429B"/>
    <w:multiLevelType w:val="hybridMultilevel"/>
    <w:tmpl w:val="D1AEA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157F9E"/>
    <w:multiLevelType w:val="multilevel"/>
    <w:tmpl w:val="44ACE81E"/>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234C45"/>
    <w:multiLevelType w:val="hybridMultilevel"/>
    <w:tmpl w:val="2F645CF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4C6D25FD"/>
    <w:multiLevelType w:val="hybridMultilevel"/>
    <w:tmpl w:val="1F7C2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EB82897"/>
    <w:multiLevelType w:val="hybridMultilevel"/>
    <w:tmpl w:val="B9243050"/>
    <w:lvl w:ilvl="0" w:tplc="080A000F">
      <w:start w:val="1"/>
      <w:numFmt w:val="decimal"/>
      <w:lvlText w:val="%1."/>
      <w:lvlJc w:val="left"/>
      <w:pPr>
        <w:ind w:left="771" w:hanging="360"/>
      </w:pPr>
    </w:lvl>
    <w:lvl w:ilvl="1" w:tplc="080A0019" w:tentative="1">
      <w:start w:val="1"/>
      <w:numFmt w:val="lowerLetter"/>
      <w:lvlText w:val="%2."/>
      <w:lvlJc w:val="left"/>
      <w:pPr>
        <w:ind w:left="1491" w:hanging="360"/>
      </w:pPr>
    </w:lvl>
    <w:lvl w:ilvl="2" w:tplc="080A001B" w:tentative="1">
      <w:start w:val="1"/>
      <w:numFmt w:val="lowerRoman"/>
      <w:lvlText w:val="%3."/>
      <w:lvlJc w:val="right"/>
      <w:pPr>
        <w:ind w:left="2211" w:hanging="180"/>
      </w:pPr>
    </w:lvl>
    <w:lvl w:ilvl="3" w:tplc="080A000F" w:tentative="1">
      <w:start w:val="1"/>
      <w:numFmt w:val="decimal"/>
      <w:lvlText w:val="%4."/>
      <w:lvlJc w:val="left"/>
      <w:pPr>
        <w:ind w:left="2931" w:hanging="360"/>
      </w:pPr>
    </w:lvl>
    <w:lvl w:ilvl="4" w:tplc="080A0019" w:tentative="1">
      <w:start w:val="1"/>
      <w:numFmt w:val="lowerLetter"/>
      <w:lvlText w:val="%5."/>
      <w:lvlJc w:val="left"/>
      <w:pPr>
        <w:ind w:left="3651" w:hanging="360"/>
      </w:pPr>
    </w:lvl>
    <w:lvl w:ilvl="5" w:tplc="080A001B" w:tentative="1">
      <w:start w:val="1"/>
      <w:numFmt w:val="lowerRoman"/>
      <w:lvlText w:val="%6."/>
      <w:lvlJc w:val="right"/>
      <w:pPr>
        <w:ind w:left="4371" w:hanging="180"/>
      </w:pPr>
    </w:lvl>
    <w:lvl w:ilvl="6" w:tplc="080A000F" w:tentative="1">
      <w:start w:val="1"/>
      <w:numFmt w:val="decimal"/>
      <w:lvlText w:val="%7."/>
      <w:lvlJc w:val="left"/>
      <w:pPr>
        <w:ind w:left="5091" w:hanging="360"/>
      </w:pPr>
    </w:lvl>
    <w:lvl w:ilvl="7" w:tplc="080A0019" w:tentative="1">
      <w:start w:val="1"/>
      <w:numFmt w:val="lowerLetter"/>
      <w:lvlText w:val="%8."/>
      <w:lvlJc w:val="left"/>
      <w:pPr>
        <w:ind w:left="5811" w:hanging="360"/>
      </w:pPr>
    </w:lvl>
    <w:lvl w:ilvl="8" w:tplc="080A001B" w:tentative="1">
      <w:start w:val="1"/>
      <w:numFmt w:val="lowerRoman"/>
      <w:lvlText w:val="%9."/>
      <w:lvlJc w:val="right"/>
      <w:pPr>
        <w:ind w:left="6531" w:hanging="180"/>
      </w:pPr>
    </w:lvl>
  </w:abstractNum>
  <w:abstractNum w:abstractNumId="17" w15:restartNumberingAfterBreak="0">
    <w:nsid w:val="50B90EBC"/>
    <w:multiLevelType w:val="multilevel"/>
    <w:tmpl w:val="D85CF210"/>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592945BF"/>
    <w:multiLevelType w:val="multilevel"/>
    <w:tmpl w:val="083AD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F52169B"/>
    <w:multiLevelType w:val="hybridMultilevel"/>
    <w:tmpl w:val="B8645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6342027"/>
    <w:multiLevelType w:val="multilevel"/>
    <w:tmpl w:val="75CA5D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5419AD"/>
    <w:multiLevelType w:val="hybridMultilevel"/>
    <w:tmpl w:val="8CEA979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04E3546"/>
    <w:multiLevelType w:val="multilevel"/>
    <w:tmpl w:val="1D687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29C2411"/>
    <w:multiLevelType w:val="multilevel"/>
    <w:tmpl w:val="B7D27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CD6776B"/>
    <w:multiLevelType w:val="hybridMultilevel"/>
    <w:tmpl w:val="0DEC5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
  </w:num>
  <w:num w:numId="4">
    <w:abstractNumId w:val="13"/>
  </w:num>
  <w:num w:numId="5">
    <w:abstractNumId w:val="4"/>
  </w:num>
  <w:num w:numId="6">
    <w:abstractNumId w:val="18"/>
  </w:num>
  <w:num w:numId="7">
    <w:abstractNumId w:val="2"/>
  </w:num>
  <w:num w:numId="8">
    <w:abstractNumId w:val="11"/>
  </w:num>
  <w:num w:numId="9">
    <w:abstractNumId w:val="12"/>
  </w:num>
  <w:num w:numId="10">
    <w:abstractNumId w:val="6"/>
  </w:num>
  <w:num w:numId="11">
    <w:abstractNumId w:val="19"/>
  </w:num>
  <w:num w:numId="12">
    <w:abstractNumId w:val="24"/>
  </w:num>
  <w:num w:numId="13">
    <w:abstractNumId w:val="14"/>
  </w:num>
  <w:num w:numId="14">
    <w:abstractNumId w:val="15"/>
  </w:num>
  <w:num w:numId="15">
    <w:abstractNumId w:val="7"/>
  </w:num>
  <w:num w:numId="16">
    <w:abstractNumId w:val="20"/>
  </w:num>
  <w:num w:numId="17">
    <w:abstractNumId w:val="23"/>
  </w:num>
  <w:num w:numId="18">
    <w:abstractNumId w:val="8"/>
  </w:num>
  <w:num w:numId="19">
    <w:abstractNumId w:val="3"/>
  </w:num>
  <w:num w:numId="20">
    <w:abstractNumId w:val="21"/>
  </w:num>
  <w:num w:numId="21">
    <w:abstractNumId w:val="5"/>
  </w:num>
  <w:num w:numId="22">
    <w:abstractNumId w:val="0"/>
  </w:num>
  <w:num w:numId="23">
    <w:abstractNumId w:val="17"/>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F4"/>
    <w:rsid w:val="000211D3"/>
    <w:rsid w:val="00022CD4"/>
    <w:rsid w:val="00050611"/>
    <w:rsid w:val="00096B0F"/>
    <w:rsid w:val="000B60F4"/>
    <w:rsid w:val="000C50F7"/>
    <w:rsid w:val="0012450B"/>
    <w:rsid w:val="00191557"/>
    <w:rsid w:val="00194ACA"/>
    <w:rsid w:val="001C244A"/>
    <w:rsid w:val="00207F4D"/>
    <w:rsid w:val="00210B52"/>
    <w:rsid w:val="00250DF9"/>
    <w:rsid w:val="002708E5"/>
    <w:rsid w:val="00343358"/>
    <w:rsid w:val="00346066"/>
    <w:rsid w:val="003474DB"/>
    <w:rsid w:val="003A07DA"/>
    <w:rsid w:val="003A487B"/>
    <w:rsid w:val="003F05ED"/>
    <w:rsid w:val="004171A0"/>
    <w:rsid w:val="00420D5F"/>
    <w:rsid w:val="00451215"/>
    <w:rsid w:val="004D223C"/>
    <w:rsid w:val="0051546C"/>
    <w:rsid w:val="0053538E"/>
    <w:rsid w:val="0054639E"/>
    <w:rsid w:val="00581CC7"/>
    <w:rsid w:val="005A3B9D"/>
    <w:rsid w:val="005B0995"/>
    <w:rsid w:val="005D78F0"/>
    <w:rsid w:val="006255AF"/>
    <w:rsid w:val="0064421C"/>
    <w:rsid w:val="0066107F"/>
    <w:rsid w:val="006B5CDF"/>
    <w:rsid w:val="006B687B"/>
    <w:rsid w:val="006D1D9F"/>
    <w:rsid w:val="006D318F"/>
    <w:rsid w:val="00746AC5"/>
    <w:rsid w:val="007966B0"/>
    <w:rsid w:val="00796E6E"/>
    <w:rsid w:val="00802EDD"/>
    <w:rsid w:val="00816E55"/>
    <w:rsid w:val="008D26C8"/>
    <w:rsid w:val="00931028"/>
    <w:rsid w:val="009340EF"/>
    <w:rsid w:val="00954BCB"/>
    <w:rsid w:val="00994146"/>
    <w:rsid w:val="009E78BA"/>
    <w:rsid w:val="00A0408E"/>
    <w:rsid w:val="00A42703"/>
    <w:rsid w:val="00AA185E"/>
    <w:rsid w:val="00AA287F"/>
    <w:rsid w:val="00AA3CCF"/>
    <w:rsid w:val="00AE3B3E"/>
    <w:rsid w:val="00BB15AC"/>
    <w:rsid w:val="00C04F36"/>
    <w:rsid w:val="00C1643A"/>
    <w:rsid w:val="00C704B8"/>
    <w:rsid w:val="00CB38EC"/>
    <w:rsid w:val="00CB685B"/>
    <w:rsid w:val="00CC3966"/>
    <w:rsid w:val="00CD1CB6"/>
    <w:rsid w:val="00CD5BD6"/>
    <w:rsid w:val="00CE1BE1"/>
    <w:rsid w:val="00CF6287"/>
    <w:rsid w:val="00D36AC3"/>
    <w:rsid w:val="00D46596"/>
    <w:rsid w:val="00DE20CE"/>
    <w:rsid w:val="00DE28AA"/>
    <w:rsid w:val="00E21C55"/>
    <w:rsid w:val="00E227D1"/>
    <w:rsid w:val="00EA5F66"/>
    <w:rsid w:val="00EB6559"/>
    <w:rsid w:val="00EF38CE"/>
    <w:rsid w:val="00F95C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1B01ADB5"/>
  <w15:docId w15:val="{E525A096-82AA-4F47-AC98-ADB103B4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FF"/>
  </w:style>
  <w:style w:type="paragraph" w:styleId="Ttulo1">
    <w:name w:val="heading 1"/>
    <w:basedOn w:val="Normal"/>
    <w:next w:val="Normal"/>
    <w:link w:val="Ttulo1Car"/>
    <w:uiPriority w:val="9"/>
    <w:qFormat/>
    <w:rsid w:val="008C7D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B320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4489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8">
    <w:name w:val="heading 8"/>
    <w:basedOn w:val="Normal"/>
    <w:next w:val="Normal"/>
    <w:link w:val="Ttulo8Car"/>
    <w:uiPriority w:val="9"/>
    <w:semiHidden/>
    <w:unhideWhenUsed/>
    <w:qFormat/>
    <w:rsid w:val="0067454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uiPriority w:val="99"/>
    <w:rsid w:val="002944C8"/>
    <w:rPr>
      <w:rFonts w:ascii="Courier New" w:hAnsi="Courier New"/>
      <w:sz w:val="20"/>
      <w:szCs w:val="20"/>
    </w:rPr>
  </w:style>
  <w:style w:type="character" w:customStyle="1" w:styleId="TextosinformatoCar">
    <w:name w:val="Texto sin formato Car"/>
    <w:basedOn w:val="Fuentedeprrafopredeter"/>
    <w:link w:val="Textosinformato"/>
    <w:uiPriority w:val="99"/>
    <w:rsid w:val="002944C8"/>
    <w:rPr>
      <w:rFonts w:ascii="Courier New" w:eastAsia="Times New Roman" w:hAnsi="Courier New" w:cs="Times New Roman"/>
      <w:sz w:val="20"/>
      <w:szCs w:val="20"/>
      <w:lang w:val="es-ES"/>
    </w:rPr>
  </w:style>
  <w:style w:type="paragraph" w:customStyle="1" w:styleId="Standard">
    <w:name w:val="Standard"/>
    <w:uiPriority w:val="99"/>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uiPriority w:val="99"/>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D60635"/>
    <w:rPr>
      <w:rFonts w:ascii="Times New Roman" w:eastAsia="Times New Roman" w:hAnsi="Times New Roman" w:cs="Times New Roman"/>
      <w:lang w:val="es-MX"/>
    </w:rPr>
  </w:style>
  <w:style w:type="table" w:styleId="Tablaconcuadrcula">
    <w:name w:val="Table Grid"/>
    <w:basedOn w:val="Tablanormal"/>
    <w:uiPriority w:val="59"/>
    <w:rsid w:val="00AA697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uiPriority w:val="99"/>
    <w:rsid w:val="00AA697E"/>
    <w:pPr>
      <w:widowControl w:val="0"/>
      <w:autoSpaceDE w:val="0"/>
      <w:autoSpaceDN w:val="0"/>
      <w:adjustRightInd w:val="0"/>
    </w:pPr>
  </w:style>
  <w:style w:type="character" w:customStyle="1" w:styleId="numberfracccentro">
    <w:name w:val="numberfracccentro"/>
    <w:basedOn w:val="Fuentedeprrafopredeter"/>
    <w:rsid w:val="00B8240C"/>
  </w:style>
  <w:style w:type="character" w:customStyle="1" w:styleId="Ttulo2Car">
    <w:name w:val="Título 2 Car"/>
    <w:basedOn w:val="Fuentedeprrafopredeter"/>
    <w:link w:val="Ttulo2"/>
    <w:uiPriority w:val="9"/>
    <w:rsid w:val="00B32071"/>
    <w:rPr>
      <w:rFonts w:asciiTheme="majorHAnsi" w:eastAsiaTheme="majorEastAsia" w:hAnsiTheme="majorHAnsi" w:cstheme="majorBidi"/>
      <w:color w:val="365F91" w:themeColor="accent1" w:themeShade="BF"/>
      <w:sz w:val="26"/>
      <w:szCs w:val="26"/>
      <w:lang w:val="es-ES"/>
    </w:rPr>
  </w:style>
  <w:style w:type="character" w:customStyle="1" w:styleId="TextodegloboCar1">
    <w:name w:val="Texto de globo Car1"/>
    <w:basedOn w:val="Fuentedeprrafopredeter"/>
    <w:uiPriority w:val="99"/>
    <w:semiHidden/>
    <w:rsid w:val="007860F3"/>
    <w:rPr>
      <w:rFonts w:ascii="Segoe UI" w:eastAsia="Times New Roman" w:hAnsi="Segoe UI" w:cs="Segoe UI"/>
      <w:sz w:val="18"/>
      <w:szCs w:val="18"/>
      <w:lang w:val="es-ES" w:eastAsia="es-ES"/>
    </w:rPr>
  </w:style>
  <w:style w:type="paragraph" w:customStyle="1" w:styleId="Cuerpo">
    <w:name w:val="Cuerpo"/>
    <w:rsid w:val="00A75128"/>
    <w:pPr>
      <w:spacing w:after="160" w:line="256" w:lineRule="auto"/>
    </w:pPr>
    <w:rPr>
      <w:rFonts w:ascii="Calibri" w:eastAsia="Calibri" w:hAnsi="Calibri" w:cs="Calibri"/>
      <w:color w:val="000000"/>
      <w:sz w:val="22"/>
      <w:szCs w:val="22"/>
      <w:u w:color="000000"/>
      <w:lang w:val="de-DE"/>
    </w:rPr>
  </w:style>
  <w:style w:type="character" w:customStyle="1" w:styleId="Ninguno">
    <w:name w:val="Ninguno"/>
    <w:rsid w:val="00A75128"/>
    <w:rPr>
      <w:lang w:val="es-ES_tradnl"/>
    </w:rPr>
  </w:style>
  <w:style w:type="numbering" w:customStyle="1" w:styleId="Estiloimportado1">
    <w:name w:val="Estilo importado 1"/>
    <w:rsid w:val="00A75128"/>
  </w:style>
  <w:style w:type="paragraph" w:styleId="Textoindependiente">
    <w:name w:val="Body Text"/>
    <w:basedOn w:val="Normal"/>
    <w:link w:val="TextoindependienteCar"/>
    <w:uiPriority w:val="99"/>
    <w:unhideWhenUsed/>
    <w:rsid w:val="001C67F4"/>
    <w:pPr>
      <w:spacing w:after="120"/>
    </w:pPr>
  </w:style>
  <w:style w:type="character" w:customStyle="1" w:styleId="TextoindependienteCar">
    <w:name w:val="Texto independiente Car"/>
    <w:basedOn w:val="Fuentedeprrafopredeter"/>
    <w:link w:val="Textoindependiente"/>
    <w:uiPriority w:val="99"/>
    <w:rsid w:val="001C67F4"/>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A4489C"/>
    <w:rPr>
      <w:sz w:val="16"/>
      <w:szCs w:val="16"/>
    </w:rPr>
  </w:style>
  <w:style w:type="paragraph" w:styleId="Textocomentario">
    <w:name w:val="annotation text"/>
    <w:basedOn w:val="Normal"/>
    <w:link w:val="TextocomentarioCar"/>
    <w:uiPriority w:val="99"/>
    <w:semiHidden/>
    <w:unhideWhenUsed/>
    <w:rsid w:val="00A4489C"/>
    <w:rPr>
      <w:sz w:val="20"/>
      <w:szCs w:val="20"/>
    </w:rPr>
  </w:style>
  <w:style w:type="character" w:customStyle="1" w:styleId="TextocomentarioCar">
    <w:name w:val="Texto comentario Car"/>
    <w:basedOn w:val="Fuentedeprrafopredeter"/>
    <w:link w:val="Textocomentario"/>
    <w:uiPriority w:val="99"/>
    <w:semiHidden/>
    <w:rsid w:val="00A4489C"/>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4489C"/>
    <w:rPr>
      <w:b/>
      <w:bCs/>
    </w:rPr>
  </w:style>
  <w:style w:type="character" w:customStyle="1" w:styleId="AsuntodelcomentarioCar">
    <w:name w:val="Asunto del comentario Car"/>
    <w:basedOn w:val="TextocomentarioCar"/>
    <w:link w:val="Asuntodelcomentario"/>
    <w:uiPriority w:val="99"/>
    <w:semiHidden/>
    <w:rsid w:val="00A4489C"/>
    <w:rPr>
      <w:rFonts w:ascii="Times New Roman" w:eastAsia="Times New Roman" w:hAnsi="Times New Roman" w:cs="Times New Roman"/>
      <w:b/>
      <w:bCs/>
      <w:sz w:val="20"/>
      <w:szCs w:val="20"/>
      <w:lang w:val="es-ES"/>
    </w:rPr>
  </w:style>
  <w:style w:type="character" w:customStyle="1" w:styleId="Ttulo3Car">
    <w:name w:val="Título 3 Car"/>
    <w:basedOn w:val="Fuentedeprrafopredeter"/>
    <w:link w:val="Ttulo3"/>
    <w:uiPriority w:val="9"/>
    <w:semiHidden/>
    <w:rsid w:val="00A4489C"/>
    <w:rPr>
      <w:rFonts w:asciiTheme="majorHAnsi" w:eastAsiaTheme="majorEastAsia" w:hAnsiTheme="majorHAnsi" w:cstheme="majorBidi"/>
      <w:color w:val="243F60" w:themeColor="accent1" w:themeShade="7F"/>
      <w:lang w:val="es-ES"/>
    </w:rPr>
  </w:style>
  <w:style w:type="character" w:customStyle="1" w:styleId="Ttulo1Car">
    <w:name w:val="Título 1 Car"/>
    <w:basedOn w:val="Fuentedeprrafopredeter"/>
    <w:link w:val="Ttulo1"/>
    <w:uiPriority w:val="9"/>
    <w:rsid w:val="008C7DDF"/>
    <w:rPr>
      <w:rFonts w:asciiTheme="majorHAnsi" w:eastAsiaTheme="majorEastAsia" w:hAnsiTheme="majorHAnsi" w:cstheme="majorBidi"/>
      <w:color w:val="365F91" w:themeColor="accent1" w:themeShade="BF"/>
      <w:sz w:val="32"/>
      <w:szCs w:val="32"/>
      <w:lang w:val="es-ES"/>
    </w:rPr>
  </w:style>
  <w:style w:type="character" w:customStyle="1" w:styleId="TextoCar">
    <w:name w:val="Texto Car"/>
    <w:link w:val="Texto"/>
    <w:locked/>
    <w:rsid w:val="003C4751"/>
    <w:rPr>
      <w:rFonts w:ascii="Arial" w:eastAsia="Times New Roman" w:hAnsi="Arial" w:cs="Arial"/>
      <w:sz w:val="18"/>
      <w:szCs w:val="18"/>
      <w:lang w:val="es-MX"/>
    </w:rPr>
  </w:style>
  <w:style w:type="character" w:styleId="nfasis">
    <w:name w:val="Emphasis"/>
    <w:basedOn w:val="Fuentedeprrafopredeter"/>
    <w:uiPriority w:val="20"/>
    <w:qFormat/>
    <w:rsid w:val="003B3E10"/>
    <w:rPr>
      <w:i/>
      <w:iCs/>
    </w:rPr>
  </w:style>
  <w:style w:type="character" w:customStyle="1" w:styleId="Ttulo8Car">
    <w:name w:val="Título 8 Car"/>
    <w:basedOn w:val="Fuentedeprrafopredeter"/>
    <w:link w:val="Ttulo8"/>
    <w:uiPriority w:val="9"/>
    <w:semiHidden/>
    <w:rsid w:val="00674543"/>
    <w:rPr>
      <w:rFonts w:asciiTheme="majorHAnsi" w:eastAsiaTheme="majorEastAsia" w:hAnsiTheme="majorHAnsi" w:cstheme="majorBidi"/>
      <w:color w:val="272727" w:themeColor="text1" w:themeTint="D8"/>
      <w:sz w:val="21"/>
      <w:szCs w:val="21"/>
      <w:lang w:val="es-ES"/>
    </w:rPr>
  </w:style>
  <w:style w:type="character" w:customStyle="1" w:styleId="il">
    <w:name w:val="il"/>
    <w:basedOn w:val="Fuentedeprrafopredeter"/>
    <w:rsid w:val="00E30AD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375628"/>
    <w:pPr>
      <w:numPr>
        <w:numId w:val="5"/>
      </w:numPr>
      <w:contextualSpacing/>
    </w:pPr>
    <w:rPr>
      <w:sz w:val="20"/>
      <w:szCs w:val="20"/>
      <w:lang w:val="es-ES_tradnl"/>
    </w:r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AA3106"/>
    <w:pPr>
      <w:tabs>
        <w:tab w:val="num" w:pos="720"/>
      </w:tabs>
      <w:ind w:left="720" w:hanging="720"/>
      <w:contextualSpacing/>
    </w:pPr>
    <w:rPr>
      <w:lang w:val="es-MX"/>
    </w:r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904">
      <w:bodyDiv w:val="1"/>
      <w:marLeft w:val="0"/>
      <w:marRight w:val="0"/>
      <w:marTop w:val="0"/>
      <w:marBottom w:val="0"/>
      <w:divBdr>
        <w:top w:val="none" w:sz="0" w:space="0" w:color="auto"/>
        <w:left w:val="none" w:sz="0" w:space="0" w:color="auto"/>
        <w:bottom w:val="none" w:sz="0" w:space="0" w:color="auto"/>
        <w:right w:val="none" w:sz="0" w:space="0" w:color="auto"/>
      </w:divBdr>
    </w:div>
    <w:div w:id="90510339">
      <w:bodyDiv w:val="1"/>
      <w:marLeft w:val="0"/>
      <w:marRight w:val="0"/>
      <w:marTop w:val="0"/>
      <w:marBottom w:val="0"/>
      <w:divBdr>
        <w:top w:val="none" w:sz="0" w:space="0" w:color="auto"/>
        <w:left w:val="none" w:sz="0" w:space="0" w:color="auto"/>
        <w:bottom w:val="none" w:sz="0" w:space="0" w:color="auto"/>
        <w:right w:val="none" w:sz="0" w:space="0" w:color="auto"/>
      </w:divBdr>
    </w:div>
    <w:div w:id="461075880">
      <w:bodyDiv w:val="1"/>
      <w:marLeft w:val="0"/>
      <w:marRight w:val="0"/>
      <w:marTop w:val="0"/>
      <w:marBottom w:val="0"/>
      <w:divBdr>
        <w:top w:val="none" w:sz="0" w:space="0" w:color="auto"/>
        <w:left w:val="none" w:sz="0" w:space="0" w:color="auto"/>
        <w:bottom w:val="none" w:sz="0" w:space="0" w:color="auto"/>
        <w:right w:val="none" w:sz="0" w:space="0" w:color="auto"/>
      </w:divBdr>
    </w:div>
    <w:div w:id="584388512">
      <w:bodyDiv w:val="1"/>
      <w:marLeft w:val="0"/>
      <w:marRight w:val="0"/>
      <w:marTop w:val="0"/>
      <w:marBottom w:val="0"/>
      <w:divBdr>
        <w:top w:val="none" w:sz="0" w:space="0" w:color="auto"/>
        <w:left w:val="none" w:sz="0" w:space="0" w:color="auto"/>
        <w:bottom w:val="none" w:sz="0" w:space="0" w:color="auto"/>
        <w:right w:val="none" w:sz="0" w:space="0" w:color="auto"/>
      </w:divBdr>
    </w:div>
    <w:div w:id="635261378">
      <w:bodyDiv w:val="1"/>
      <w:marLeft w:val="0"/>
      <w:marRight w:val="0"/>
      <w:marTop w:val="0"/>
      <w:marBottom w:val="0"/>
      <w:divBdr>
        <w:top w:val="none" w:sz="0" w:space="0" w:color="auto"/>
        <w:left w:val="none" w:sz="0" w:space="0" w:color="auto"/>
        <w:bottom w:val="none" w:sz="0" w:space="0" w:color="auto"/>
        <w:right w:val="none" w:sz="0" w:space="0" w:color="auto"/>
      </w:divBdr>
    </w:div>
    <w:div w:id="766460126">
      <w:bodyDiv w:val="1"/>
      <w:marLeft w:val="0"/>
      <w:marRight w:val="0"/>
      <w:marTop w:val="0"/>
      <w:marBottom w:val="0"/>
      <w:divBdr>
        <w:top w:val="none" w:sz="0" w:space="0" w:color="auto"/>
        <w:left w:val="none" w:sz="0" w:space="0" w:color="auto"/>
        <w:bottom w:val="none" w:sz="0" w:space="0" w:color="auto"/>
        <w:right w:val="none" w:sz="0" w:space="0" w:color="auto"/>
      </w:divBdr>
    </w:div>
    <w:div w:id="1114519296">
      <w:bodyDiv w:val="1"/>
      <w:marLeft w:val="0"/>
      <w:marRight w:val="0"/>
      <w:marTop w:val="0"/>
      <w:marBottom w:val="0"/>
      <w:divBdr>
        <w:top w:val="none" w:sz="0" w:space="0" w:color="auto"/>
        <w:left w:val="none" w:sz="0" w:space="0" w:color="auto"/>
        <w:bottom w:val="none" w:sz="0" w:space="0" w:color="auto"/>
        <w:right w:val="none" w:sz="0" w:space="0" w:color="auto"/>
      </w:divBdr>
    </w:div>
    <w:div w:id="1146817001">
      <w:bodyDiv w:val="1"/>
      <w:marLeft w:val="0"/>
      <w:marRight w:val="0"/>
      <w:marTop w:val="0"/>
      <w:marBottom w:val="0"/>
      <w:divBdr>
        <w:top w:val="none" w:sz="0" w:space="0" w:color="auto"/>
        <w:left w:val="none" w:sz="0" w:space="0" w:color="auto"/>
        <w:bottom w:val="none" w:sz="0" w:space="0" w:color="auto"/>
        <w:right w:val="none" w:sz="0" w:space="0" w:color="auto"/>
      </w:divBdr>
    </w:div>
    <w:div w:id="1196893163">
      <w:bodyDiv w:val="1"/>
      <w:marLeft w:val="0"/>
      <w:marRight w:val="0"/>
      <w:marTop w:val="0"/>
      <w:marBottom w:val="0"/>
      <w:divBdr>
        <w:top w:val="none" w:sz="0" w:space="0" w:color="auto"/>
        <w:left w:val="none" w:sz="0" w:space="0" w:color="auto"/>
        <w:bottom w:val="none" w:sz="0" w:space="0" w:color="auto"/>
        <w:right w:val="none" w:sz="0" w:space="0" w:color="auto"/>
      </w:divBdr>
    </w:div>
    <w:div w:id="1359160498">
      <w:bodyDiv w:val="1"/>
      <w:marLeft w:val="0"/>
      <w:marRight w:val="0"/>
      <w:marTop w:val="0"/>
      <w:marBottom w:val="0"/>
      <w:divBdr>
        <w:top w:val="none" w:sz="0" w:space="0" w:color="auto"/>
        <w:left w:val="none" w:sz="0" w:space="0" w:color="auto"/>
        <w:bottom w:val="none" w:sz="0" w:space="0" w:color="auto"/>
        <w:right w:val="none" w:sz="0" w:space="0" w:color="auto"/>
      </w:divBdr>
    </w:div>
    <w:div w:id="1433164088">
      <w:bodyDiv w:val="1"/>
      <w:marLeft w:val="0"/>
      <w:marRight w:val="0"/>
      <w:marTop w:val="0"/>
      <w:marBottom w:val="0"/>
      <w:divBdr>
        <w:top w:val="none" w:sz="0" w:space="0" w:color="auto"/>
        <w:left w:val="none" w:sz="0" w:space="0" w:color="auto"/>
        <w:bottom w:val="none" w:sz="0" w:space="0" w:color="auto"/>
        <w:right w:val="none" w:sz="0" w:space="0" w:color="auto"/>
      </w:divBdr>
    </w:div>
    <w:div w:id="1751847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coem.org.mx/sarcoem/ciudadano/login.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rcoem.org.mx/sarcoem/guias.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hT26AApYEySNawFFGYjXtfJbmw==">CgMxLjAyCWguMzBqMHpsbDIJaC4zem55c2g3MghoLnR5amN3dDIJaC4xZm9iOXRlMghoLmdqZGd4czgAciExSUpTLWtiYlUydU9LR1RIR0x2UXVMYnYtNTNFTUkzbVc=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7495</Words>
  <Characters>41223</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2025-03-07T20:58:00Z</cp:lastPrinted>
  <dcterms:created xsi:type="dcterms:W3CDTF">2025-03-27T20:58:00Z</dcterms:created>
  <dcterms:modified xsi:type="dcterms:W3CDTF">2025-03-27T20:58:00Z</dcterms:modified>
</cp:coreProperties>
</file>