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2EBEED83" w:rsidR="00A83B4F" w:rsidRPr="00B7320F" w:rsidRDefault="0029071C" w:rsidP="00FF4F61">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E1041E" w:rsidRPr="00E1041E">
        <w:rPr>
          <w:rFonts w:ascii="Palatino Linotype" w:hAnsi="Palatino Linotype" w:cs="Arial"/>
          <w:b/>
          <w:color w:val="000000"/>
          <w:lang w:val="es-MX" w:eastAsia="es-MX"/>
        </w:rPr>
        <w:t xml:space="preserve">veintidós </w:t>
      </w:r>
      <w:r w:rsidR="004B365B" w:rsidRPr="00E1041E">
        <w:rPr>
          <w:rFonts w:ascii="Palatino Linotype" w:hAnsi="Palatino Linotype" w:cs="Arial"/>
          <w:b/>
          <w:color w:val="000000"/>
          <w:lang w:val="es-MX" w:eastAsia="es-MX"/>
        </w:rPr>
        <w:t>de e</w:t>
      </w:r>
      <w:r w:rsidR="00E1041E" w:rsidRPr="00E1041E">
        <w:rPr>
          <w:rFonts w:ascii="Palatino Linotype" w:hAnsi="Palatino Linotype" w:cs="Arial"/>
          <w:b/>
          <w:color w:val="000000"/>
          <w:lang w:val="es-MX" w:eastAsia="es-MX"/>
        </w:rPr>
        <w:t>nero</w:t>
      </w:r>
      <w:r w:rsidR="00F348DC" w:rsidRPr="00E1041E">
        <w:rPr>
          <w:rFonts w:ascii="Palatino Linotype" w:hAnsi="Palatino Linotype" w:cs="Arial"/>
          <w:b/>
          <w:color w:val="000000"/>
          <w:lang w:val="es-MX" w:eastAsia="es-MX"/>
        </w:rPr>
        <w:t xml:space="preserve"> de</w:t>
      </w:r>
      <w:r w:rsidR="007237B8" w:rsidRPr="00E1041E">
        <w:rPr>
          <w:rFonts w:ascii="Palatino Linotype" w:hAnsi="Palatino Linotype" w:cs="Arial"/>
          <w:b/>
          <w:color w:val="000000"/>
          <w:lang w:val="es-MX" w:eastAsia="es-MX"/>
        </w:rPr>
        <w:t xml:space="preserve"> </w:t>
      </w:r>
      <w:bookmarkEnd w:id="0"/>
      <w:r w:rsidR="007237B8" w:rsidRPr="00E1041E">
        <w:rPr>
          <w:rFonts w:ascii="Palatino Linotype" w:hAnsi="Palatino Linotype" w:cs="Arial"/>
          <w:b/>
          <w:color w:val="000000"/>
          <w:lang w:val="es-MX" w:eastAsia="es-MX"/>
        </w:rPr>
        <w:t>dos mil veint</w:t>
      </w:r>
      <w:r w:rsidR="008E0F52" w:rsidRPr="00E1041E">
        <w:rPr>
          <w:rFonts w:ascii="Palatino Linotype" w:hAnsi="Palatino Linotype" w:cs="Arial"/>
          <w:b/>
          <w:color w:val="000000"/>
          <w:lang w:val="es-MX" w:eastAsia="es-MX"/>
        </w:rPr>
        <w:t>ic</w:t>
      </w:r>
      <w:r w:rsidR="00E1041E" w:rsidRPr="00E1041E">
        <w:rPr>
          <w:rFonts w:ascii="Palatino Linotype" w:hAnsi="Palatino Linotype" w:cs="Arial"/>
          <w:b/>
          <w:color w:val="000000"/>
          <w:lang w:val="es-MX" w:eastAsia="es-MX"/>
        </w:rPr>
        <w:t>inc</w:t>
      </w:r>
      <w:r w:rsidR="008E0F52" w:rsidRPr="00E1041E">
        <w:rPr>
          <w:rFonts w:ascii="Palatino Linotype" w:hAnsi="Palatino Linotype" w:cs="Arial"/>
          <w:b/>
          <w:color w:val="000000"/>
          <w:lang w:val="es-MX" w:eastAsia="es-MX"/>
        </w:rPr>
        <w:t>o</w:t>
      </w:r>
      <w:bookmarkEnd w:id="1"/>
      <w:r w:rsidRPr="00B7320F">
        <w:rPr>
          <w:rFonts w:ascii="Palatino Linotype" w:hAnsi="Palatino Linotype" w:cs="Arial"/>
          <w:color w:val="000000"/>
          <w:lang w:val="es-MX" w:eastAsia="es-MX"/>
        </w:rPr>
        <w:t>.</w:t>
      </w:r>
    </w:p>
    <w:p w14:paraId="1B5119D6" w14:textId="77777777" w:rsidR="004309A2" w:rsidRPr="00B7320F" w:rsidRDefault="004309A2" w:rsidP="00FF4F61">
      <w:pPr>
        <w:shd w:val="clear" w:color="auto" w:fill="FFFFFF"/>
        <w:spacing w:line="360" w:lineRule="auto"/>
        <w:jc w:val="both"/>
        <w:rPr>
          <w:rFonts w:ascii="Palatino Linotype" w:hAnsi="Palatino Linotype" w:cs="Arial"/>
          <w:color w:val="000000"/>
          <w:lang w:val="es-MX" w:eastAsia="es-MX"/>
        </w:rPr>
      </w:pPr>
    </w:p>
    <w:p w14:paraId="18792ADD" w14:textId="4FCBEEEC" w:rsidR="00C753C2" w:rsidRDefault="0029071C" w:rsidP="00FF4F61">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2" w:name="_GoBack"/>
      <w:r w:rsidR="00DF0080" w:rsidRPr="00B7320F">
        <w:rPr>
          <w:rFonts w:ascii="Palatino Linotype" w:eastAsiaTheme="minorHAnsi" w:hAnsi="Palatino Linotype" w:cs="Arial"/>
          <w:b/>
          <w:lang w:val="es-MX" w:eastAsia="en-US"/>
        </w:rPr>
        <w:t>0</w:t>
      </w:r>
      <w:r w:rsidR="00E1041E">
        <w:rPr>
          <w:rFonts w:ascii="Palatino Linotype" w:eastAsiaTheme="minorHAnsi" w:hAnsi="Palatino Linotype" w:cs="Arial"/>
          <w:b/>
          <w:lang w:val="es-MX" w:eastAsia="en-US"/>
        </w:rPr>
        <w:t>7465</w:t>
      </w:r>
      <w:r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bookmarkEnd w:id="2"/>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C942B2" w:rsidRPr="00C942B2">
        <w:rPr>
          <w:rFonts w:ascii="Palatino Linotype" w:hAnsi="Palatino Linotype" w:cs="Arial"/>
        </w:rPr>
        <w:t>un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E1041E">
        <w:rPr>
          <w:rFonts w:ascii="Palatino Linotype" w:eastAsiaTheme="minorHAnsi" w:hAnsi="Palatino Linotype" w:cs="Arial"/>
          <w:lang w:val="es-MX" w:eastAsia="en-US"/>
        </w:rPr>
        <w:t xml:space="preserve"> </w:t>
      </w:r>
      <w:r w:rsidR="00B20C2B" w:rsidRPr="00B7320F">
        <w:rPr>
          <w:rFonts w:ascii="Palatino Linotype" w:eastAsiaTheme="minorHAnsi" w:hAnsi="Palatino Linotype" w:cs="Arial"/>
          <w:lang w:val="es-MX" w:eastAsia="en-US"/>
        </w:rPr>
        <w:t>l</w:t>
      </w:r>
      <w:r w:rsidR="00E1041E">
        <w:rPr>
          <w:rFonts w:ascii="Palatino Linotype" w:eastAsiaTheme="minorHAnsi" w:hAnsi="Palatino Linotype" w:cs="Arial"/>
          <w:lang w:val="es-MX" w:eastAsia="en-US"/>
        </w:rPr>
        <w:t>a</w:t>
      </w:r>
      <w:r w:rsidRPr="00B7320F">
        <w:rPr>
          <w:rFonts w:ascii="Palatino Linotype" w:eastAsiaTheme="minorHAnsi" w:hAnsi="Palatino Linotype" w:cs="Arial"/>
          <w:lang w:val="es-MX" w:eastAsia="en-US"/>
        </w:rPr>
        <w:t xml:space="preserve"> </w:t>
      </w:r>
      <w:r w:rsidR="00E1041E" w:rsidRPr="00E1041E">
        <w:rPr>
          <w:rFonts w:ascii="Palatino Linotype" w:eastAsiaTheme="minorHAnsi" w:hAnsi="Palatino Linotype" w:cs="Arial"/>
          <w:b/>
          <w:lang w:val="es-MX" w:eastAsia="en-US"/>
        </w:rPr>
        <w:t>Secretaría de Finanzas</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FF4F61">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FF4F61">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FF4F61">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FF4F61">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1FFE518B" w:rsidR="00DF0080" w:rsidRDefault="0029071C" w:rsidP="00FF4F61">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E1041E" w:rsidRPr="00694ABC">
        <w:rPr>
          <w:rFonts w:ascii="Palatino Linotype" w:eastAsiaTheme="minorHAnsi" w:hAnsi="Palatino Linotype" w:cs="Arial"/>
          <w:b/>
          <w:szCs w:val="22"/>
          <w:lang w:val="es-MX" w:eastAsia="en-US"/>
        </w:rPr>
        <w:t>siete</w:t>
      </w:r>
      <w:r w:rsidR="00C942B2" w:rsidRPr="00694ABC">
        <w:rPr>
          <w:rFonts w:ascii="Palatino Linotype" w:eastAsiaTheme="minorHAnsi" w:hAnsi="Palatino Linotype" w:cs="Arial"/>
          <w:b/>
          <w:szCs w:val="22"/>
          <w:lang w:val="es-MX" w:eastAsia="en-US"/>
        </w:rPr>
        <w:t xml:space="preserve"> de </w:t>
      </w:r>
      <w:r w:rsidR="00E1041E" w:rsidRPr="00694ABC">
        <w:rPr>
          <w:rFonts w:ascii="Palatino Linotype" w:eastAsiaTheme="minorHAnsi" w:hAnsi="Palatino Linotype" w:cs="Arial"/>
          <w:b/>
          <w:szCs w:val="22"/>
          <w:lang w:val="es-MX" w:eastAsia="en-US"/>
        </w:rPr>
        <w:t>n</w:t>
      </w:r>
      <w:r w:rsidR="00C942B2" w:rsidRPr="00694ABC">
        <w:rPr>
          <w:rFonts w:ascii="Palatino Linotype" w:eastAsiaTheme="minorHAnsi" w:hAnsi="Palatino Linotype" w:cs="Arial"/>
          <w:b/>
          <w:szCs w:val="22"/>
          <w:lang w:val="es-MX" w:eastAsia="en-US"/>
        </w:rPr>
        <w:t>o</w:t>
      </w:r>
      <w:r w:rsidR="00E1041E" w:rsidRPr="00694ABC">
        <w:rPr>
          <w:rFonts w:ascii="Palatino Linotype" w:eastAsiaTheme="minorHAnsi" w:hAnsi="Palatino Linotype" w:cs="Arial"/>
          <w:b/>
          <w:szCs w:val="22"/>
          <w:lang w:val="es-MX" w:eastAsia="en-US"/>
        </w:rPr>
        <w:t>viembre</w:t>
      </w:r>
      <w:r w:rsidR="00DF0080" w:rsidRPr="00694ABC">
        <w:rPr>
          <w:rFonts w:ascii="Palatino Linotype" w:eastAsiaTheme="minorHAnsi" w:hAnsi="Palatino Linotype" w:cs="Arial"/>
          <w:b/>
          <w:szCs w:val="22"/>
          <w:lang w:val="es-MX" w:eastAsia="en-US"/>
        </w:rPr>
        <w:t xml:space="preserve"> de dos mil veinti</w:t>
      </w:r>
      <w:r w:rsidR="008A5263" w:rsidRPr="00694ABC">
        <w:rPr>
          <w:rFonts w:ascii="Palatino Linotype" w:eastAsiaTheme="minorHAnsi" w:hAnsi="Palatino Linotype" w:cs="Arial"/>
          <w:b/>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E1041E" w:rsidRPr="00E1041E">
        <w:rPr>
          <w:rFonts w:ascii="Palatino Linotype" w:eastAsiaTheme="minorHAnsi" w:hAnsi="Palatino Linotype" w:cs="Arial"/>
          <w:b/>
          <w:szCs w:val="22"/>
          <w:lang w:val="es-MX" w:eastAsia="en-US"/>
        </w:rPr>
        <w:t>07465/INFOEM/IP/RR/2024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FF4F61">
      <w:pPr>
        <w:pStyle w:val="Sinespaciado"/>
        <w:rPr>
          <w:rFonts w:eastAsiaTheme="minorHAnsi"/>
          <w:lang w:eastAsia="en-US"/>
        </w:rPr>
      </w:pPr>
    </w:p>
    <w:p w14:paraId="58D1202C" w14:textId="525E1902" w:rsidR="004309A2" w:rsidRPr="00ED7B11" w:rsidRDefault="0029071C" w:rsidP="00FF4F61">
      <w:pPr>
        <w:spacing w:line="276"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r w:rsidR="00E1041E" w:rsidRPr="00E1041E">
        <w:rPr>
          <w:rFonts w:ascii="Palatino Linotype" w:hAnsi="Palatino Linotype"/>
          <w:i/>
          <w:sz w:val="22"/>
          <w:szCs w:val="20"/>
          <w:lang w:val="es-MX" w:eastAsia="es-MX"/>
        </w:rPr>
        <w:t xml:space="preserve">Solicito los movimientos de aumento de plaza o rango del servidor público </w:t>
      </w:r>
      <w:proofErr w:type="spellStart"/>
      <w:r w:rsidR="00E1041E" w:rsidRPr="00E1041E">
        <w:rPr>
          <w:rFonts w:ascii="Palatino Linotype" w:hAnsi="Palatino Linotype"/>
          <w:i/>
          <w:sz w:val="22"/>
          <w:szCs w:val="20"/>
          <w:lang w:val="es-MX" w:eastAsia="es-MX"/>
        </w:rPr>
        <w:t>Marios</w:t>
      </w:r>
      <w:proofErr w:type="spellEnd"/>
      <w:r w:rsidR="00E1041E" w:rsidRPr="00E1041E">
        <w:rPr>
          <w:rFonts w:ascii="Palatino Linotype" w:hAnsi="Palatino Linotype"/>
          <w:i/>
          <w:sz w:val="22"/>
          <w:szCs w:val="20"/>
          <w:lang w:val="es-MX" w:eastAsia="es-MX"/>
        </w:rPr>
        <w:t xml:space="preserve"> Reyes Santos, titular de la UIPPE y con </w:t>
      </w:r>
      <w:proofErr w:type="spellStart"/>
      <w:r w:rsidR="00E1041E" w:rsidRPr="00E1041E">
        <w:rPr>
          <w:rFonts w:ascii="Palatino Linotype" w:hAnsi="Palatino Linotype"/>
          <w:i/>
          <w:sz w:val="22"/>
          <w:szCs w:val="20"/>
          <w:lang w:val="es-MX" w:eastAsia="es-MX"/>
        </w:rPr>
        <w:t>que</w:t>
      </w:r>
      <w:proofErr w:type="spellEnd"/>
      <w:r w:rsidR="00E1041E" w:rsidRPr="00E1041E">
        <w:rPr>
          <w:rFonts w:ascii="Palatino Linotype" w:hAnsi="Palatino Linotype"/>
          <w:i/>
          <w:sz w:val="22"/>
          <w:szCs w:val="20"/>
          <w:lang w:val="es-MX" w:eastAsia="es-MX"/>
        </w:rPr>
        <w:t xml:space="preserve"> fundamento se realizó dicho aumento.</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Default="00154DCB" w:rsidP="00FF4F61">
      <w:pPr>
        <w:tabs>
          <w:tab w:val="left" w:pos="5647"/>
        </w:tabs>
        <w:spacing w:line="360" w:lineRule="auto"/>
        <w:ind w:right="850"/>
        <w:jc w:val="both"/>
        <w:rPr>
          <w:rFonts w:ascii="Palatino Linotype" w:hAnsi="Palatino Linotype"/>
          <w:b/>
          <w:lang w:val="es-ES_tradnl"/>
        </w:rPr>
      </w:pPr>
    </w:p>
    <w:p w14:paraId="17EA4C25" w14:textId="7972ED89" w:rsidR="00CA4B8A" w:rsidRDefault="0029071C" w:rsidP="00FF4F6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7EF24B72" w14:textId="77777777" w:rsidR="00E1041E" w:rsidRDefault="00E1041E" w:rsidP="00FF4F61">
      <w:pPr>
        <w:tabs>
          <w:tab w:val="left" w:pos="5647"/>
        </w:tabs>
        <w:spacing w:line="360" w:lineRule="auto"/>
        <w:ind w:right="850"/>
        <w:jc w:val="both"/>
        <w:rPr>
          <w:rFonts w:ascii="Palatino Linotype" w:eastAsiaTheme="minorHAnsi" w:hAnsi="Palatino Linotype" w:cstheme="minorBidi"/>
          <w:color w:val="000000"/>
          <w:lang w:val="es-MX" w:eastAsia="en-US"/>
        </w:rPr>
      </w:pPr>
    </w:p>
    <w:p w14:paraId="30455FEF" w14:textId="77777777" w:rsidR="00E1041E" w:rsidRPr="00C942B2" w:rsidRDefault="00E1041E" w:rsidP="00FF4F61">
      <w:pPr>
        <w:tabs>
          <w:tab w:val="left" w:pos="5647"/>
        </w:tabs>
        <w:spacing w:line="360" w:lineRule="auto"/>
        <w:ind w:right="850"/>
        <w:jc w:val="both"/>
        <w:rPr>
          <w:rFonts w:ascii="Palatino Linotype" w:eastAsiaTheme="minorHAnsi" w:hAnsi="Palatino Linotype" w:cstheme="minorBidi"/>
          <w:color w:val="000000"/>
          <w:lang w:val="es-MX" w:eastAsia="en-US"/>
        </w:rPr>
      </w:pPr>
    </w:p>
    <w:p w14:paraId="05841E30" w14:textId="3F56A536" w:rsidR="0029071C" w:rsidRPr="00B7320F" w:rsidRDefault="00154DCB" w:rsidP="00FF4F61">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7F095D83" w:rsidR="0029071C" w:rsidRPr="00B7320F" w:rsidRDefault="0029071C" w:rsidP="00FF4F6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6C1037" w:rsidRPr="006C1037">
        <w:rPr>
          <w:rFonts w:ascii="Palatino Linotype" w:eastAsiaTheme="minorHAnsi" w:hAnsi="Palatino Linotype" w:cs="Arial"/>
          <w:b/>
          <w:lang w:val="es-MX" w:eastAsia="en-US"/>
        </w:rPr>
        <w:t>veintinueve de noviembre</w:t>
      </w:r>
      <w:r w:rsidR="00C942B2" w:rsidRPr="006C1037">
        <w:rPr>
          <w:rFonts w:ascii="Palatino Linotype" w:eastAsiaTheme="minorHAnsi" w:hAnsi="Palatino Linotype" w:cs="Arial"/>
          <w:b/>
          <w:lang w:val="es-MX" w:eastAsia="en-US"/>
        </w:rPr>
        <w:t xml:space="preserve"> </w:t>
      </w:r>
      <w:r w:rsidR="00DF0080" w:rsidRPr="006C1037">
        <w:rPr>
          <w:rFonts w:ascii="Palatino Linotype" w:eastAsiaTheme="minorHAnsi" w:hAnsi="Palatino Linotype" w:cs="Arial"/>
          <w:b/>
          <w:lang w:val="es-MX" w:eastAsia="en-US"/>
        </w:rPr>
        <w:t>de dos mil veinti</w:t>
      </w:r>
      <w:r w:rsidR="008A5263" w:rsidRPr="006C1037">
        <w:rPr>
          <w:rFonts w:ascii="Palatino Linotype" w:eastAsiaTheme="minorHAnsi" w:hAnsi="Palatino Linotype" w:cs="Arial"/>
          <w:b/>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FF4F61">
      <w:pPr>
        <w:rPr>
          <w:lang w:val="es-MX"/>
        </w:rPr>
      </w:pPr>
    </w:p>
    <w:p w14:paraId="26668F81" w14:textId="77777777" w:rsidR="006C1037" w:rsidRPr="006C1037" w:rsidRDefault="0029071C" w:rsidP="00FF4F61">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6C1037" w:rsidRPr="006C1037">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9C1903" w14:textId="77777777" w:rsidR="006C1037" w:rsidRPr="006C1037" w:rsidRDefault="006C1037" w:rsidP="00FF4F61">
      <w:pPr>
        <w:spacing w:line="276" w:lineRule="auto"/>
        <w:ind w:left="567" w:right="567"/>
        <w:jc w:val="both"/>
        <w:rPr>
          <w:rFonts w:ascii="Palatino Linotype" w:hAnsi="Palatino Linotype"/>
          <w:i/>
          <w:sz w:val="22"/>
          <w:szCs w:val="22"/>
          <w:lang w:val="es-MX" w:eastAsia="es-MX"/>
        </w:rPr>
      </w:pPr>
      <w:r w:rsidRPr="006C1037">
        <w:rPr>
          <w:rFonts w:ascii="Palatino Linotype" w:hAnsi="Palatino Linotype"/>
          <w:i/>
          <w:sz w:val="22"/>
          <w:szCs w:val="22"/>
          <w:lang w:val="es-MX" w:eastAsia="es-MX"/>
        </w:rPr>
        <w:t>Sobre el particular, sírvase encontrar en archivo adjunto copia del oficio de notificación número 20700004S/UT-2478/2024, mediante el cual se detalla lo referente a su solicitud.</w:t>
      </w:r>
    </w:p>
    <w:p w14:paraId="4A785710" w14:textId="77777777" w:rsidR="006C1037" w:rsidRPr="006C1037" w:rsidRDefault="006C1037" w:rsidP="00FF4F61">
      <w:pPr>
        <w:spacing w:line="276" w:lineRule="auto"/>
        <w:ind w:left="567" w:right="567"/>
        <w:jc w:val="both"/>
        <w:rPr>
          <w:rFonts w:ascii="Palatino Linotype" w:hAnsi="Palatino Linotype"/>
          <w:i/>
          <w:sz w:val="22"/>
          <w:szCs w:val="22"/>
          <w:lang w:val="es-MX" w:eastAsia="es-MX"/>
        </w:rPr>
      </w:pPr>
      <w:r w:rsidRPr="006C1037">
        <w:rPr>
          <w:rFonts w:ascii="Palatino Linotype" w:hAnsi="Palatino Linotype"/>
          <w:i/>
          <w:sz w:val="22"/>
          <w:szCs w:val="22"/>
          <w:lang w:val="es-MX" w:eastAsia="es-MX"/>
        </w:rPr>
        <w:t>ATENTAMENTE</w:t>
      </w:r>
    </w:p>
    <w:p w14:paraId="02CE162F" w14:textId="05B0EBE4" w:rsidR="0029071C" w:rsidRPr="00B7320F" w:rsidRDefault="006C1037" w:rsidP="00FF4F61">
      <w:pPr>
        <w:spacing w:line="276" w:lineRule="auto"/>
        <w:ind w:left="567" w:right="567"/>
        <w:jc w:val="both"/>
        <w:rPr>
          <w:rFonts w:ascii="Palatino Linotype" w:hAnsi="Palatino Linotype"/>
          <w:i/>
          <w:sz w:val="22"/>
          <w:szCs w:val="22"/>
          <w:lang w:val="es-MX" w:eastAsia="es-MX"/>
        </w:rPr>
      </w:pPr>
      <w:r w:rsidRPr="006C1037">
        <w:rPr>
          <w:rFonts w:ascii="Palatino Linotype" w:hAnsi="Palatino Linotype"/>
          <w:i/>
          <w:sz w:val="22"/>
          <w:szCs w:val="22"/>
          <w:lang w:val="es-MX" w:eastAsia="es-MX"/>
        </w:rPr>
        <w:t>M. en D. Mario Reyes Santos</w:t>
      </w:r>
      <w:r w:rsidR="00E74701" w:rsidRPr="00B7320F">
        <w:rPr>
          <w:rFonts w:ascii="Palatino Linotype" w:hAnsi="Palatino Linotype"/>
          <w:i/>
          <w:sz w:val="22"/>
          <w:szCs w:val="22"/>
          <w:lang w:val="es-MX" w:eastAsia="es-MX"/>
        </w:rPr>
        <w:t>” (Sic).</w:t>
      </w:r>
    </w:p>
    <w:p w14:paraId="3735AC4B" w14:textId="77777777" w:rsidR="00DC1583" w:rsidRPr="00B7320F" w:rsidRDefault="00DC1583" w:rsidP="00FF4F61">
      <w:pPr>
        <w:ind w:right="567"/>
        <w:jc w:val="both"/>
        <w:rPr>
          <w:rFonts w:ascii="Palatino Linotype" w:hAnsi="Palatino Linotype"/>
          <w:i/>
          <w:sz w:val="14"/>
          <w:szCs w:val="22"/>
          <w:lang w:val="es-MX" w:eastAsia="es-MX"/>
        </w:rPr>
      </w:pPr>
    </w:p>
    <w:p w14:paraId="211F7AF6" w14:textId="77777777" w:rsidR="00B250D7" w:rsidRPr="00B7320F" w:rsidRDefault="00B250D7" w:rsidP="00FF4F61">
      <w:pPr>
        <w:pStyle w:val="Sinespaciado"/>
        <w:rPr>
          <w:lang w:eastAsia="es-MX"/>
        </w:rPr>
      </w:pPr>
    </w:p>
    <w:p w14:paraId="4FBD054F" w14:textId="32B94905" w:rsidR="004B2314" w:rsidRPr="00B7320F" w:rsidRDefault="00CF1DF5" w:rsidP="00FF4F61">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442F4D">
        <w:rPr>
          <w:rFonts w:ascii="Palatino Linotype" w:eastAsiaTheme="minorHAnsi" w:hAnsi="Palatino Linotype" w:cs="Arial"/>
          <w:lang w:val="es-MX" w:eastAsia="en-US"/>
        </w:rPr>
        <w:t>l</w:t>
      </w:r>
      <w:r w:rsidR="006C1037">
        <w:rPr>
          <w:rFonts w:ascii="Palatino Linotype" w:eastAsiaTheme="minorHAnsi" w:hAnsi="Palatino Linotype" w:cs="Arial"/>
          <w:lang w:val="es-MX" w:eastAsia="en-US"/>
        </w:rPr>
        <w:t>os</w:t>
      </w:r>
      <w:r w:rsidR="00442F4D">
        <w:rPr>
          <w:rFonts w:ascii="Palatino Linotype" w:eastAsiaTheme="minorHAnsi" w:hAnsi="Palatino Linotype" w:cs="Arial"/>
          <w:lang w:val="es-MX" w:eastAsia="en-US"/>
        </w:rPr>
        <w:t xml:space="preserve"> a</w:t>
      </w:r>
      <w:r w:rsidR="001D2DE0" w:rsidRPr="00B7320F">
        <w:rPr>
          <w:rFonts w:ascii="Palatino Linotype" w:eastAsiaTheme="minorHAnsi" w:hAnsi="Palatino Linotype" w:cs="Arial"/>
          <w:lang w:val="es-MX" w:eastAsia="en-US"/>
        </w:rPr>
        <w:t>rchivo</w:t>
      </w:r>
      <w:r w:rsidR="006C1037">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electrónico</w:t>
      </w:r>
      <w:r w:rsidR="006C1037">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denominado</w:t>
      </w:r>
      <w:r w:rsidR="006C1037">
        <w:rPr>
          <w:rFonts w:ascii="Palatino Linotype" w:eastAsiaTheme="minorHAnsi" w:hAnsi="Palatino Linotype" w:cs="Arial"/>
          <w:lang w:val="es-MX" w:eastAsia="en-US"/>
        </w:rPr>
        <w:t>s</w:t>
      </w:r>
      <w:r w:rsidR="005803C9" w:rsidRPr="00B7320F">
        <w:rPr>
          <w:rFonts w:ascii="Palatino Linotype" w:eastAsiaTheme="minorHAnsi" w:hAnsi="Palatino Linotype" w:cs="Arial"/>
          <w:lang w:val="es-MX" w:eastAsia="en-US"/>
        </w:rPr>
        <w:t xml:space="preserve"> </w:t>
      </w:r>
      <w:r w:rsidR="00184176" w:rsidRPr="006C1037">
        <w:rPr>
          <w:rFonts w:ascii="Palatino Linotype" w:eastAsiaTheme="minorHAnsi" w:hAnsi="Palatino Linotype" w:cs="Arial"/>
          <w:b/>
          <w:i/>
          <w:lang w:val="es-MX" w:eastAsia="en-US"/>
        </w:rPr>
        <w:t>“</w:t>
      </w:r>
      <w:r w:rsidR="006C1037" w:rsidRPr="006C1037">
        <w:rPr>
          <w:rFonts w:ascii="Palatino Linotype" w:eastAsiaTheme="minorHAnsi" w:hAnsi="Palatino Linotype" w:cs="Arial"/>
          <w:b/>
          <w:i/>
          <w:lang w:val="es-MX" w:eastAsia="en-US"/>
        </w:rPr>
        <w:t xml:space="preserve">00842 COORD. ADMINISTRATIVA.pdf” </w:t>
      </w:r>
      <w:r w:rsidR="006C1037" w:rsidRPr="006C1037">
        <w:rPr>
          <w:rFonts w:ascii="Palatino Linotype" w:eastAsiaTheme="minorHAnsi" w:hAnsi="Palatino Linotype" w:cs="Arial"/>
          <w:b/>
          <w:lang w:val="es-MX" w:eastAsia="en-US"/>
        </w:rPr>
        <w:t>y “</w:t>
      </w:r>
      <w:r w:rsidR="006C1037" w:rsidRPr="006C1037">
        <w:rPr>
          <w:rFonts w:ascii="Palatino Linotype" w:eastAsiaTheme="minorHAnsi" w:hAnsi="Palatino Linotype" w:cs="Arial"/>
          <w:b/>
          <w:i/>
          <w:lang w:val="es-MX" w:eastAsia="en-US"/>
        </w:rPr>
        <w:t>842 solicitante.pdf</w:t>
      </w:r>
      <w:r w:rsidR="006B7440" w:rsidRPr="006C1037">
        <w:rPr>
          <w:rFonts w:ascii="Palatino Linotype" w:eastAsiaTheme="minorHAnsi" w:hAnsi="Palatino Linotype" w:cs="Arial"/>
          <w:b/>
          <w:i/>
          <w:lang w:val="es-MX" w:eastAsia="en-US"/>
        </w:rPr>
        <w:t>”</w:t>
      </w:r>
      <w:r w:rsidR="00DC1583" w:rsidRPr="006C1037">
        <w:rPr>
          <w:rFonts w:ascii="Palatino Linotype" w:eastAsiaTheme="minorHAnsi" w:hAnsi="Palatino Linotype" w:cs="Arial"/>
          <w:b/>
          <w:i/>
          <w:lang w:val="es-MX" w:eastAsia="en-US"/>
        </w:rPr>
        <w:t>;</w:t>
      </w:r>
      <w:r w:rsidR="00DC1583" w:rsidRPr="006C1037">
        <w:rPr>
          <w:rFonts w:ascii="Palatino Linotype" w:eastAsiaTheme="minorHAnsi" w:hAnsi="Palatino Linotype" w:cs="Arial"/>
          <w:b/>
          <w:lang w:val="es-MX" w:eastAsia="en-US"/>
        </w:rPr>
        <w:t xml:space="preserve"> </w:t>
      </w:r>
      <w:r w:rsidR="00DC1583" w:rsidRPr="00B7320F">
        <w:rPr>
          <w:rFonts w:ascii="Palatino Linotype" w:eastAsiaTheme="minorHAnsi" w:hAnsi="Palatino Linotype" w:cs="Arial"/>
          <w:lang w:val="es-MX" w:eastAsia="en-US"/>
        </w:rPr>
        <w:t>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FF4F61">
      <w:pPr>
        <w:spacing w:line="360" w:lineRule="auto"/>
        <w:jc w:val="both"/>
        <w:rPr>
          <w:rFonts w:ascii="Palatino Linotype" w:hAnsi="Palatino Linotype"/>
          <w:szCs w:val="22"/>
          <w:lang w:val="es-MX" w:eastAsia="es-MX"/>
        </w:rPr>
      </w:pPr>
    </w:p>
    <w:p w14:paraId="024A662D" w14:textId="0B0AE59C" w:rsidR="0029071C" w:rsidRPr="00B7320F" w:rsidRDefault="00154DCB" w:rsidP="00FF4F61">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14508964" w14:textId="228F085B" w:rsidR="00CA4B8A" w:rsidRDefault="0029071C" w:rsidP="00FF4F6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6C1037" w:rsidRPr="006C1037">
        <w:rPr>
          <w:rFonts w:ascii="Palatino Linotype" w:eastAsiaTheme="minorHAnsi" w:hAnsi="Palatino Linotype" w:cs="Arial"/>
          <w:b/>
          <w:lang w:val="es-MX" w:eastAsia="en-US"/>
        </w:rPr>
        <w:t>tres</w:t>
      </w:r>
      <w:r w:rsidR="00C942B2" w:rsidRPr="006C1037">
        <w:rPr>
          <w:rFonts w:ascii="Palatino Linotype" w:eastAsiaTheme="minorHAnsi" w:hAnsi="Palatino Linotype" w:cs="Arial"/>
          <w:b/>
          <w:lang w:val="es-MX" w:eastAsia="en-US"/>
        </w:rPr>
        <w:t xml:space="preserve"> de </w:t>
      </w:r>
      <w:r w:rsidR="006C1037" w:rsidRPr="006C1037">
        <w:rPr>
          <w:rFonts w:ascii="Palatino Linotype" w:eastAsiaTheme="minorHAnsi" w:hAnsi="Palatino Linotype" w:cs="Arial"/>
          <w:b/>
          <w:lang w:val="es-MX" w:eastAsia="en-US"/>
        </w:rPr>
        <w:t>diciem</w:t>
      </w:r>
      <w:r w:rsidR="00C942B2" w:rsidRPr="006C1037">
        <w:rPr>
          <w:rFonts w:ascii="Palatino Linotype" w:eastAsiaTheme="minorHAnsi" w:hAnsi="Palatino Linotype" w:cs="Arial"/>
          <w:b/>
          <w:lang w:val="es-MX" w:eastAsia="en-US"/>
        </w:rPr>
        <w:t>bre</w:t>
      </w:r>
      <w:r w:rsidR="00DF0080" w:rsidRPr="006C1037">
        <w:rPr>
          <w:rFonts w:ascii="Palatino Linotype" w:eastAsiaTheme="minorHAnsi" w:hAnsi="Palatino Linotype" w:cs="Arial"/>
          <w:b/>
          <w:lang w:val="es-MX" w:eastAsia="en-US"/>
        </w:rPr>
        <w:t xml:space="preserve"> de dos mil veinti</w:t>
      </w:r>
      <w:r w:rsidR="008A5263" w:rsidRPr="006C1037">
        <w:rPr>
          <w:rFonts w:ascii="Palatino Linotype" w:eastAsiaTheme="minorHAnsi" w:hAnsi="Palatino Linotype" w:cs="Arial"/>
          <w:b/>
          <w:lang w:val="es-MX" w:eastAsia="en-US"/>
        </w:rPr>
        <w:t>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6C1037">
        <w:rPr>
          <w:rFonts w:ascii="Palatino Linotype" w:eastAsiaTheme="minorHAnsi" w:hAnsi="Palatino Linotype" w:cs="Arial"/>
          <w:b/>
          <w:bCs/>
          <w:lang w:val="es-MX" w:eastAsia="es-MX"/>
        </w:rPr>
        <w:t>7465</w:t>
      </w:r>
      <w:r w:rsidR="00B250D7"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33188C08" w14:textId="77777777" w:rsidR="00CA4B8A" w:rsidRPr="00B7320F" w:rsidRDefault="00CA4B8A" w:rsidP="00FF4F61">
      <w:pPr>
        <w:spacing w:line="360" w:lineRule="auto"/>
        <w:jc w:val="both"/>
        <w:rPr>
          <w:rFonts w:ascii="Palatino Linotype" w:eastAsiaTheme="minorHAnsi" w:hAnsi="Palatino Linotype" w:cs="Arial"/>
          <w:lang w:val="es-MX" w:eastAsia="en-US"/>
        </w:rPr>
      </w:pPr>
    </w:p>
    <w:p w14:paraId="14886EB1" w14:textId="5D9066F0" w:rsidR="004309A2" w:rsidRPr="00C942B2" w:rsidRDefault="0029071C" w:rsidP="00FF4F61">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6C1037" w:rsidRPr="006C1037">
        <w:rPr>
          <w:rFonts w:ascii="Palatino Linotype" w:eastAsiaTheme="minorHAnsi" w:hAnsi="Palatino Linotype" w:cstheme="minorBidi"/>
          <w:i/>
          <w:color w:val="000000"/>
          <w:sz w:val="22"/>
          <w:szCs w:val="22"/>
          <w:lang w:val="es-MX" w:eastAsia="en-US"/>
        </w:rPr>
        <w:t xml:space="preserve">No es posible que se haya autorizado el aumento de sueldo a Mario Reyes, </w:t>
      </w:r>
      <w:r w:rsidR="006C1037" w:rsidRPr="006C1037">
        <w:rPr>
          <w:rFonts w:ascii="Palatino Linotype" w:eastAsiaTheme="minorHAnsi" w:hAnsi="Palatino Linotype" w:cstheme="minorBidi"/>
          <w:b/>
          <w:i/>
          <w:color w:val="000000"/>
          <w:sz w:val="22"/>
          <w:szCs w:val="22"/>
          <w:lang w:val="es-MX" w:eastAsia="en-US"/>
        </w:rPr>
        <w:t>cuando todo palacio de gobierno ya se dio cuenta que es un parapeto</w:t>
      </w:r>
      <w:r w:rsidR="006C1037" w:rsidRPr="006C1037">
        <w:rPr>
          <w:rFonts w:ascii="Palatino Linotype" w:eastAsiaTheme="minorHAnsi" w:hAnsi="Palatino Linotype" w:cstheme="minorBidi"/>
          <w:i/>
          <w:color w:val="000000"/>
          <w:sz w:val="22"/>
          <w:szCs w:val="22"/>
          <w:lang w:val="es-MX" w:eastAsia="en-US"/>
        </w:rPr>
        <w:t xml:space="preserve">, no se involucra en los temas de la UIPPE, </w:t>
      </w:r>
      <w:r w:rsidR="006C1037" w:rsidRPr="006C1037">
        <w:rPr>
          <w:rFonts w:ascii="Palatino Linotype" w:eastAsiaTheme="minorHAnsi" w:hAnsi="Palatino Linotype" w:cstheme="minorBidi"/>
          <w:b/>
          <w:i/>
          <w:color w:val="000000"/>
          <w:sz w:val="22"/>
          <w:szCs w:val="22"/>
          <w:lang w:val="es-MX" w:eastAsia="en-US"/>
        </w:rPr>
        <w:t>que tiene poca experiencia en el tema financiero</w:t>
      </w:r>
      <w:r w:rsidR="006C1037" w:rsidRPr="006C1037">
        <w:rPr>
          <w:rFonts w:ascii="Palatino Linotype" w:eastAsiaTheme="minorHAnsi" w:hAnsi="Palatino Linotype" w:cstheme="minorBidi"/>
          <w:i/>
          <w:color w:val="000000"/>
          <w:sz w:val="22"/>
          <w:szCs w:val="22"/>
          <w:lang w:val="es-MX" w:eastAsia="en-US"/>
        </w:rPr>
        <w:t xml:space="preserve"> y el </w:t>
      </w:r>
      <w:r w:rsidR="006C1037" w:rsidRPr="006C1037">
        <w:rPr>
          <w:rFonts w:ascii="Palatino Linotype" w:eastAsiaTheme="minorHAnsi" w:hAnsi="Palatino Linotype" w:cstheme="minorBidi"/>
          <w:i/>
          <w:color w:val="000000"/>
          <w:sz w:val="22"/>
          <w:szCs w:val="22"/>
          <w:lang w:val="es-MX" w:eastAsia="en-US"/>
        </w:rPr>
        <w:lastRenderedPageBreak/>
        <w:t xml:space="preserve">INFOEM </w:t>
      </w:r>
      <w:proofErr w:type="spellStart"/>
      <w:r w:rsidR="006C1037" w:rsidRPr="006C1037">
        <w:rPr>
          <w:rFonts w:ascii="Palatino Linotype" w:eastAsiaTheme="minorHAnsi" w:hAnsi="Palatino Linotype" w:cstheme="minorBidi"/>
          <w:i/>
          <w:color w:val="000000"/>
          <w:sz w:val="22"/>
          <w:szCs w:val="22"/>
          <w:lang w:val="es-MX" w:eastAsia="en-US"/>
        </w:rPr>
        <w:t>como</w:t>
      </w:r>
      <w:proofErr w:type="spellEnd"/>
      <w:r w:rsidR="006C1037" w:rsidRPr="006C1037">
        <w:rPr>
          <w:rFonts w:ascii="Palatino Linotype" w:eastAsiaTheme="minorHAnsi" w:hAnsi="Palatino Linotype" w:cstheme="minorBidi"/>
          <w:i/>
          <w:color w:val="000000"/>
          <w:sz w:val="22"/>
          <w:szCs w:val="22"/>
          <w:lang w:val="es-MX" w:eastAsia="en-US"/>
        </w:rPr>
        <w:t xml:space="preserve"> es posible que no lo sancione por ni siquiera tener alguna certificación de Datos Personales.</w:t>
      </w:r>
      <w:r w:rsidRPr="00B7320F">
        <w:rPr>
          <w:rFonts w:ascii="Palatino Linotype" w:eastAsiaTheme="minorHAnsi" w:hAnsi="Palatino Linotype" w:cstheme="minorBidi"/>
          <w:i/>
          <w:color w:val="000000"/>
          <w:sz w:val="22"/>
          <w:szCs w:val="22"/>
          <w:lang w:val="es-MX" w:eastAsia="en-US"/>
        </w:rPr>
        <w:t>” (Sic).</w:t>
      </w:r>
    </w:p>
    <w:p w14:paraId="510B262F" w14:textId="77777777" w:rsidR="004309A2" w:rsidRPr="00B7320F" w:rsidRDefault="004309A2" w:rsidP="00FF4F61">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2A308B52" w:rsidR="00E74701" w:rsidRPr="00B7320F" w:rsidRDefault="0029071C" w:rsidP="00FF4F61">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6C1037" w:rsidRPr="006C1037">
        <w:rPr>
          <w:rFonts w:ascii="Palatino Linotype" w:eastAsiaTheme="minorHAnsi" w:hAnsi="Palatino Linotype" w:cstheme="minorBidi"/>
          <w:b/>
          <w:i/>
          <w:color w:val="000000"/>
          <w:sz w:val="22"/>
          <w:szCs w:val="22"/>
          <w:lang w:val="es-MX" w:eastAsia="en-US"/>
        </w:rPr>
        <w:t>No tiene merecido el aumento, por ineficiente y RATERO</w:t>
      </w:r>
      <w:r w:rsidR="006C1037" w:rsidRPr="006C1037">
        <w:rPr>
          <w:rFonts w:ascii="Palatino Linotype" w:eastAsiaTheme="minorHAnsi" w:hAnsi="Palatino Linotype" w:cstheme="minorBidi"/>
          <w:i/>
          <w:color w:val="000000"/>
          <w:sz w:val="22"/>
          <w:szCs w:val="22"/>
          <w:lang w:val="es-MX" w:eastAsia="en-US"/>
        </w:rPr>
        <w:t xml:space="preserve"> ojalá que el nuevo secretario tenga conocimiento de esto.</w:t>
      </w:r>
      <w:r w:rsidRPr="00B7320F">
        <w:rPr>
          <w:rFonts w:ascii="Palatino Linotype" w:eastAsiaTheme="minorHAnsi" w:hAnsi="Palatino Linotype" w:cstheme="minorBidi"/>
          <w:i/>
          <w:color w:val="000000"/>
          <w:sz w:val="22"/>
          <w:szCs w:val="22"/>
          <w:lang w:val="es-MX" w:eastAsia="en-US"/>
        </w:rPr>
        <w:t>” (Sic)</w:t>
      </w:r>
    </w:p>
    <w:p w14:paraId="74C88F0C" w14:textId="77777777" w:rsidR="00CA4B8A" w:rsidRPr="00CA4B8A" w:rsidRDefault="00CA4B8A" w:rsidP="00FF4F61">
      <w:pPr>
        <w:pStyle w:val="Sinespaciado"/>
        <w:rPr>
          <w:lang w:eastAsia="es-MX"/>
        </w:rPr>
      </w:pPr>
    </w:p>
    <w:p w14:paraId="37958889" w14:textId="112734E9" w:rsidR="0029071C" w:rsidRPr="00B7320F" w:rsidRDefault="00154DCB" w:rsidP="00FF4F61">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269E5FAD" w:rsidR="00B250D7" w:rsidRPr="00B7320F" w:rsidRDefault="0029071C" w:rsidP="00FF4F6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C1037" w:rsidRPr="006C1037">
        <w:rPr>
          <w:rFonts w:ascii="Palatino Linotype" w:eastAsiaTheme="minorHAnsi" w:hAnsi="Palatino Linotype" w:cs="Arial"/>
          <w:b/>
          <w:lang w:val="es-MX" w:eastAsia="en-US"/>
        </w:rPr>
        <w:t>nueve</w:t>
      </w:r>
      <w:r w:rsidR="00C942B2" w:rsidRPr="006C1037">
        <w:rPr>
          <w:rFonts w:ascii="Palatino Linotype" w:eastAsiaTheme="minorHAnsi" w:hAnsi="Palatino Linotype" w:cs="Arial"/>
          <w:b/>
          <w:lang w:val="es-MX" w:eastAsia="en-US"/>
        </w:rPr>
        <w:t xml:space="preserve"> de </w:t>
      </w:r>
      <w:r w:rsidR="006C1037" w:rsidRPr="006C1037">
        <w:rPr>
          <w:rFonts w:ascii="Palatino Linotype" w:eastAsiaTheme="minorHAnsi" w:hAnsi="Palatino Linotype" w:cs="Arial"/>
          <w:b/>
          <w:lang w:val="es-MX" w:eastAsia="en-US"/>
        </w:rPr>
        <w:t>diciem</w:t>
      </w:r>
      <w:r w:rsidR="00C942B2" w:rsidRPr="006C1037">
        <w:rPr>
          <w:rFonts w:ascii="Palatino Linotype" w:eastAsiaTheme="minorHAnsi" w:hAnsi="Palatino Linotype" w:cs="Arial"/>
          <w:b/>
          <w:lang w:val="es-MX" w:eastAsia="en-US"/>
        </w:rPr>
        <w:t>bre</w:t>
      </w:r>
      <w:r w:rsidR="00BA27FC" w:rsidRPr="006C1037">
        <w:rPr>
          <w:rFonts w:ascii="Palatino Linotype" w:eastAsiaTheme="minorHAnsi" w:hAnsi="Palatino Linotype" w:cs="Arial"/>
          <w:b/>
          <w:lang w:val="es-MX" w:eastAsia="en-US"/>
        </w:rPr>
        <w:t xml:space="preserve"> de</w:t>
      </w:r>
      <w:r w:rsidRPr="006C1037">
        <w:rPr>
          <w:rFonts w:ascii="Palatino Linotype" w:eastAsiaTheme="minorHAnsi" w:hAnsi="Palatino Linotype" w:cs="Arial"/>
          <w:b/>
          <w:lang w:val="es-MX" w:eastAsia="en-US"/>
        </w:rPr>
        <w:t xml:space="preserve"> </w:t>
      </w:r>
      <w:r w:rsidR="00A31156" w:rsidRPr="006C1037">
        <w:rPr>
          <w:rFonts w:ascii="Palatino Linotype" w:eastAsiaTheme="minorHAnsi" w:hAnsi="Palatino Linotype" w:cs="Arial"/>
          <w:b/>
          <w:lang w:val="es-MX" w:eastAsia="en-US"/>
        </w:rPr>
        <w:t>dos mil veinti</w:t>
      </w:r>
      <w:r w:rsidR="008A5263" w:rsidRPr="006C1037">
        <w:rPr>
          <w:rFonts w:ascii="Palatino Linotype" w:eastAsiaTheme="minorHAnsi" w:hAnsi="Palatino Linotype" w:cs="Arial"/>
          <w:b/>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FF4F61">
      <w:pPr>
        <w:pStyle w:val="Sinespaciado"/>
        <w:rPr>
          <w:rFonts w:eastAsiaTheme="minorHAnsi"/>
          <w:lang w:eastAsia="en-US"/>
        </w:rPr>
      </w:pPr>
    </w:p>
    <w:p w14:paraId="08BF4F10" w14:textId="731970AB" w:rsidR="0029071C" w:rsidRPr="00B7320F" w:rsidRDefault="00154DCB" w:rsidP="00FF4F61">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4A0733CC" w14:textId="3F900D89" w:rsidR="003376C6" w:rsidRDefault="00CF1DF5" w:rsidP="00FF4F6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3376C6">
        <w:rPr>
          <w:rFonts w:ascii="Palatino Linotype" w:eastAsiaTheme="minorHAnsi" w:hAnsi="Palatino Linotype" w:cs="Arial"/>
          <w:lang w:val="es-MX" w:eastAsia="en-US"/>
        </w:rPr>
        <w:t xml:space="preserve"> en fecha </w:t>
      </w:r>
      <w:r w:rsidR="00914D71" w:rsidRPr="00914D71">
        <w:rPr>
          <w:rFonts w:ascii="Palatino Linotype" w:eastAsiaTheme="minorHAnsi" w:hAnsi="Palatino Linotype" w:cs="Arial"/>
          <w:b/>
          <w:lang w:val="es-MX" w:eastAsia="en-US"/>
        </w:rPr>
        <w:t>doce</w:t>
      </w:r>
      <w:r w:rsidR="00C942B2" w:rsidRPr="00914D71">
        <w:rPr>
          <w:rFonts w:ascii="Palatino Linotype" w:eastAsiaTheme="minorHAnsi" w:hAnsi="Palatino Linotype" w:cs="Arial"/>
          <w:b/>
          <w:lang w:val="es-MX" w:eastAsia="en-US"/>
        </w:rPr>
        <w:t xml:space="preserve"> de </w:t>
      </w:r>
      <w:r w:rsidR="00914D71" w:rsidRPr="00914D71">
        <w:rPr>
          <w:rFonts w:ascii="Palatino Linotype" w:eastAsiaTheme="minorHAnsi" w:hAnsi="Palatino Linotype" w:cs="Arial"/>
          <w:b/>
          <w:lang w:val="es-MX" w:eastAsia="en-US"/>
        </w:rPr>
        <w:t>diciembre</w:t>
      </w:r>
      <w:r w:rsidR="003376C6" w:rsidRPr="00914D71">
        <w:rPr>
          <w:rFonts w:ascii="Palatino Linotype" w:eastAsiaTheme="minorHAnsi" w:hAnsi="Palatino Linotype" w:cs="Arial"/>
          <w:b/>
          <w:lang w:val="es-MX" w:eastAsia="en-US"/>
        </w:rPr>
        <w:t xml:space="preserve"> de dos mil veinticuatro</w:t>
      </w:r>
      <w:r w:rsidR="003376C6">
        <w:rPr>
          <w:rFonts w:ascii="Palatino Linotype" w:eastAsiaTheme="minorHAnsi" w:hAnsi="Palatino Linotype" w:cs="Arial"/>
          <w:lang w:val="es-MX" w:eastAsia="en-US"/>
        </w:rPr>
        <w:t>,</w:t>
      </w:r>
      <w:r w:rsidR="00CA4B8A">
        <w:rPr>
          <w:rFonts w:ascii="Palatino Linotype" w:eastAsiaTheme="minorHAnsi" w:hAnsi="Palatino Linotype" w:cs="Arial"/>
          <w:lang w:val="es-MX" w:eastAsia="en-US"/>
        </w:rPr>
        <w:t xml:space="preserve"> el </w:t>
      </w:r>
      <w:r w:rsidR="0029071C" w:rsidRPr="00B7320F">
        <w:rPr>
          <w:rFonts w:ascii="Palatino Linotype" w:eastAsiaTheme="minorHAnsi" w:hAnsi="Palatino Linotype" w:cs="Arial"/>
          <w:b/>
          <w:lang w:val="es-MX" w:eastAsia="en-US"/>
        </w:rPr>
        <w:t>Sujeto Obligado</w:t>
      </w:r>
      <w:r w:rsidR="0029071C" w:rsidRPr="00B7320F">
        <w:rPr>
          <w:rFonts w:ascii="Palatino Linotype" w:eastAsiaTheme="minorHAnsi" w:hAnsi="Palatino Linotype" w:cs="Arial"/>
          <w:lang w:val="es-MX" w:eastAsia="en-US"/>
        </w:rPr>
        <w:t xml:space="preserve"> </w:t>
      </w:r>
      <w:r w:rsidR="00CA4B8A">
        <w:rPr>
          <w:rFonts w:ascii="Palatino Linotype" w:eastAsiaTheme="minorHAnsi" w:hAnsi="Palatino Linotype" w:cs="Arial"/>
          <w:lang w:val="es-MX" w:eastAsia="en-US"/>
        </w:rPr>
        <w:t>remiti</w:t>
      </w:r>
      <w:r w:rsidR="00C942B2">
        <w:rPr>
          <w:rFonts w:ascii="Palatino Linotype" w:eastAsiaTheme="minorHAnsi" w:hAnsi="Palatino Linotype" w:cs="Arial"/>
          <w:lang w:val="es-MX" w:eastAsia="en-US"/>
        </w:rPr>
        <w:t>ó</w:t>
      </w:r>
      <w:r w:rsidR="00CA4B8A">
        <w:rPr>
          <w:rFonts w:ascii="Palatino Linotype" w:eastAsiaTheme="minorHAnsi" w:hAnsi="Palatino Linotype" w:cs="Arial"/>
          <w:lang w:val="es-MX" w:eastAsia="en-US"/>
        </w:rPr>
        <w:t xml:space="preserve"> su informe justificado</w:t>
      </w:r>
      <w:r w:rsidR="003376C6">
        <w:rPr>
          <w:rFonts w:ascii="Palatino Linotype" w:eastAsiaTheme="minorHAnsi" w:hAnsi="Palatino Linotype" w:cs="Arial"/>
          <w:lang w:val="es-MX" w:eastAsia="en-US"/>
        </w:rPr>
        <w:t xml:space="preserve"> mediante </w:t>
      </w:r>
      <w:r w:rsidR="00C942B2">
        <w:rPr>
          <w:rFonts w:ascii="Palatino Linotype" w:eastAsiaTheme="minorHAnsi" w:hAnsi="Palatino Linotype" w:cs="Arial"/>
          <w:lang w:val="es-MX" w:eastAsia="en-US"/>
        </w:rPr>
        <w:t>l</w:t>
      </w:r>
      <w:r w:rsidR="00914D71">
        <w:rPr>
          <w:rFonts w:ascii="Palatino Linotype" w:eastAsiaTheme="minorHAnsi" w:hAnsi="Palatino Linotype" w:cs="Arial"/>
          <w:lang w:val="es-MX" w:eastAsia="en-US"/>
        </w:rPr>
        <w:t>os</w:t>
      </w:r>
      <w:r w:rsidR="003376C6">
        <w:rPr>
          <w:rFonts w:ascii="Palatino Linotype" w:eastAsiaTheme="minorHAnsi" w:hAnsi="Palatino Linotype" w:cs="Arial"/>
          <w:lang w:val="es-MX" w:eastAsia="en-US"/>
        </w:rPr>
        <w:t xml:space="preserve"> archivo</w:t>
      </w:r>
      <w:r w:rsidR="00914D71">
        <w:rPr>
          <w:rFonts w:ascii="Palatino Linotype" w:eastAsiaTheme="minorHAnsi" w:hAnsi="Palatino Linotype" w:cs="Arial"/>
          <w:lang w:val="es-MX" w:eastAsia="en-US"/>
        </w:rPr>
        <w:t>s</w:t>
      </w:r>
      <w:r w:rsidR="003376C6">
        <w:rPr>
          <w:rFonts w:ascii="Palatino Linotype" w:eastAsiaTheme="minorHAnsi" w:hAnsi="Palatino Linotype" w:cs="Arial"/>
          <w:lang w:val="es-MX" w:eastAsia="en-US"/>
        </w:rPr>
        <w:t xml:space="preserve"> electrónico</w:t>
      </w:r>
      <w:r w:rsidR="00914D71">
        <w:rPr>
          <w:rFonts w:ascii="Palatino Linotype" w:eastAsiaTheme="minorHAnsi" w:hAnsi="Palatino Linotype" w:cs="Arial"/>
          <w:lang w:val="es-MX" w:eastAsia="en-US"/>
        </w:rPr>
        <w:t>s</w:t>
      </w:r>
      <w:r w:rsidR="003376C6">
        <w:rPr>
          <w:rFonts w:ascii="Palatino Linotype" w:eastAsiaTheme="minorHAnsi" w:hAnsi="Palatino Linotype" w:cs="Arial"/>
          <w:lang w:val="es-MX" w:eastAsia="en-US"/>
        </w:rPr>
        <w:t xml:space="preserve"> denominado</w:t>
      </w:r>
      <w:r w:rsidR="00914D71">
        <w:rPr>
          <w:rFonts w:ascii="Palatino Linotype" w:eastAsiaTheme="minorHAnsi" w:hAnsi="Palatino Linotype" w:cs="Arial"/>
          <w:lang w:val="es-MX" w:eastAsia="en-US"/>
        </w:rPr>
        <w:t>s</w:t>
      </w:r>
      <w:r w:rsidR="003376C6">
        <w:rPr>
          <w:rFonts w:ascii="Palatino Linotype" w:eastAsiaTheme="minorHAnsi" w:hAnsi="Palatino Linotype" w:cs="Arial"/>
          <w:lang w:val="es-MX" w:eastAsia="en-US"/>
        </w:rPr>
        <w:t xml:space="preserve"> </w:t>
      </w:r>
      <w:r w:rsidR="003376C6" w:rsidRPr="00C942B2">
        <w:rPr>
          <w:rFonts w:ascii="Palatino Linotype" w:eastAsiaTheme="minorHAnsi" w:hAnsi="Palatino Linotype" w:cs="Arial"/>
          <w:i/>
          <w:iCs/>
          <w:lang w:val="es-MX" w:eastAsia="en-US"/>
        </w:rPr>
        <w:t>“</w:t>
      </w:r>
      <w:r w:rsidR="00914D71" w:rsidRPr="00914D71">
        <w:rPr>
          <w:rFonts w:ascii="Palatino Linotype" w:eastAsiaTheme="minorHAnsi" w:hAnsi="Palatino Linotype" w:cs="Arial"/>
          <w:i/>
          <w:iCs/>
          <w:lang w:val="es-MX" w:eastAsia="en-US"/>
        </w:rPr>
        <w:t>RR 07465- 2024 COORD ADM.pdf</w:t>
      </w:r>
      <w:r w:rsidR="003376C6" w:rsidRPr="00C942B2">
        <w:rPr>
          <w:rFonts w:ascii="Palatino Linotype" w:eastAsiaTheme="minorHAnsi" w:hAnsi="Palatino Linotype" w:cs="Arial"/>
          <w:i/>
          <w:iCs/>
          <w:lang w:val="es-MX" w:eastAsia="en-US"/>
        </w:rPr>
        <w:t>”</w:t>
      </w:r>
      <w:r w:rsidR="00914D71">
        <w:rPr>
          <w:rFonts w:ascii="Palatino Linotype" w:eastAsiaTheme="minorHAnsi" w:hAnsi="Palatino Linotype" w:cs="Arial"/>
          <w:i/>
          <w:iCs/>
          <w:lang w:val="es-MX" w:eastAsia="en-US"/>
        </w:rPr>
        <w:t xml:space="preserve"> </w:t>
      </w:r>
      <w:r w:rsidR="00914D71">
        <w:rPr>
          <w:rFonts w:ascii="Palatino Linotype" w:eastAsiaTheme="minorHAnsi" w:hAnsi="Palatino Linotype" w:cs="Arial"/>
          <w:iCs/>
          <w:lang w:val="es-MX" w:eastAsia="en-US"/>
        </w:rPr>
        <w:t xml:space="preserve"> y </w:t>
      </w:r>
      <w:r w:rsidR="00914D71" w:rsidRPr="00914D71">
        <w:rPr>
          <w:rFonts w:ascii="Palatino Linotype" w:eastAsiaTheme="minorHAnsi" w:hAnsi="Palatino Linotype" w:cs="Arial"/>
          <w:i/>
          <w:iCs/>
          <w:lang w:val="es-MX" w:eastAsia="en-US"/>
        </w:rPr>
        <w:t>“RR7465-2024 INFORME JUSTIFICADO.pdf”</w:t>
      </w:r>
      <w:r w:rsidR="00914D71">
        <w:rPr>
          <w:rFonts w:ascii="Palatino Linotype" w:eastAsiaTheme="minorHAnsi" w:hAnsi="Palatino Linotype" w:cs="Arial"/>
          <w:iCs/>
          <w:lang w:val="es-MX" w:eastAsia="en-US"/>
        </w:rPr>
        <w:t>, a través de los cuales ratifica su respuesta</w:t>
      </w:r>
      <w:r w:rsidR="003376C6" w:rsidRPr="00914D71">
        <w:rPr>
          <w:rFonts w:ascii="Palatino Linotype" w:eastAsiaTheme="minorHAnsi" w:hAnsi="Palatino Linotype" w:cs="Arial"/>
          <w:i/>
          <w:lang w:val="es-MX" w:eastAsia="en-US"/>
        </w:rPr>
        <w:t>;</w:t>
      </w:r>
      <w:r w:rsidR="003376C6">
        <w:rPr>
          <w:rFonts w:ascii="Palatino Linotype" w:eastAsiaTheme="minorHAnsi" w:hAnsi="Palatino Linotype" w:cs="Arial"/>
          <w:lang w:val="es-MX" w:eastAsia="en-US"/>
        </w:rPr>
        <w:t xml:space="preserve"> mismo</w:t>
      </w:r>
      <w:r w:rsidR="00914D71">
        <w:rPr>
          <w:rFonts w:ascii="Palatino Linotype" w:eastAsiaTheme="minorHAnsi" w:hAnsi="Palatino Linotype" w:cs="Arial"/>
          <w:lang w:val="es-MX" w:eastAsia="en-US"/>
        </w:rPr>
        <w:t>s</w:t>
      </w:r>
      <w:r w:rsidR="003376C6">
        <w:rPr>
          <w:rFonts w:ascii="Palatino Linotype" w:eastAsiaTheme="minorHAnsi" w:hAnsi="Palatino Linotype" w:cs="Arial"/>
          <w:lang w:val="es-MX" w:eastAsia="en-US"/>
        </w:rPr>
        <w:t xml:space="preserve"> que fue</w:t>
      </w:r>
      <w:r w:rsidR="00914D71">
        <w:rPr>
          <w:rFonts w:ascii="Palatino Linotype" w:eastAsiaTheme="minorHAnsi" w:hAnsi="Palatino Linotype" w:cs="Arial"/>
          <w:lang w:val="es-MX" w:eastAsia="en-US"/>
        </w:rPr>
        <w:t>ron</w:t>
      </w:r>
      <w:r w:rsidR="003376C6">
        <w:rPr>
          <w:rFonts w:ascii="Palatino Linotype" w:eastAsiaTheme="minorHAnsi" w:hAnsi="Palatino Linotype" w:cs="Arial"/>
          <w:lang w:val="es-MX" w:eastAsia="en-US"/>
        </w:rPr>
        <w:t xml:space="preserve"> puesto</w:t>
      </w:r>
      <w:r w:rsidR="00914D71">
        <w:rPr>
          <w:rFonts w:ascii="Palatino Linotype" w:eastAsiaTheme="minorHAnsi" w:hAnsi="Palatino Linotype" w:cs="Arial"/>
          <w:lang w:val="es-MX" w:eastAsia="en-US"/>
        </w:rPr>
        <w:t>s</w:t>
      </w:r>
      <w:r w:rsidR="003376C6">
        <w:rPr>
          <w:rFonts w:ascii="Palatino Linotype" w:eastAsiaTheme="minorHAnsi" w:hAnsi="Palatino Linotype" w:cs="Arial"/>
          <w:lang w:val="es-MX" w:eastAsia="en-US"/>
        </w:rPr>
        <w:t xml:space="preserve"> a la vista del particular mediante el Acuerdo de fecha </w:t>
      </w:r>
      <w:r w:rsidR="00914D71" w:rsidRPr="00694ABC">
        <w:rPr>
          <w:rFonts w:ascii="Palatino Linotype" w:eastAsiaTheme="minorHAnsi" w:hAnsi="Palatino Linotype" w:cs="Arial"/>
          <w:b/>
          <w:lang w:val="es-MX" w:eastAsia="en-US"/>
        </w:rPr>
        <w:t>trece</w:t>
      </w:r>
      <w:r w:rsidR="003376C6" w:rsidRPr="00694ABC">
        <w:rPr>
          <w:rFonts w:ascii="Palatino Linotype" w:eastAsiaTheme="minorHAnsi" w:hAnsi="Palatino Linotype" w:cs="Arial"/>
          <w:b/>
          <w:lang w:val="es-MX" w:eastAsia="en-US"/>
        </w:rPr>
        <w:t xml:space="preserve"> de</w:t>
      </w:r>
      <w:r w:rsidR="00914D71" w:rsidRPr="00694ABC">
        <w:rPr>
          <w:rFonts w:ascii="Palatino Linotype" w:eastAsiaTheme="minorHAnsi" w:hAnsi="Palatino Linotype" w:cs="Arial"/>
          <w:b/>
          <w:lang w:val="es-MX" w:eastAsia="en-US"/>
        </w:rPr>
        <w:t xml:space="preserve"> enero del dos mil </w:t>
      </w:r>
      <w:r w:rsidR="00694ABC" w:rsidRPr="00694ABC">
        <w:rPr>
          <w:rFonts w:ascii="Palatino Linotype" w:eastAsiaTheme="minorHAnsi" w:hAnsi="Palatino Linotype" w:cs="Arial"/>
          <w:b/>
          <w:lang w:val="es-MX" w:eastAsia="en-US"/>
        </w:rPr>
        <w:t>veinticinco</w:t>
      </w:r>
      <w:r w:rsidR="009F7D41">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3376C6">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 xml:space="preserve">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C942B2">
        <w:rPr>
          <w:rFonts w:ascii="Palatino Linotype" w:eastAsiaTheme="minorHAnsi" w:hAnsi="Palatino Linotype" w:cs="Arial"/>
          <w:lang w:val="es-MX" w:eastAsia="en-US"/>
        </w:rPr>
        <w:t xml:space="preserve">no </w:t>
      </w:r>
      <w:r w:rsidR="003376C6">
        <w:rPr>
          <w:rFonts w:ascii="Palatino Linotype" w:eastAsiaTheme="minorHAnsi" w:hAnsi="Palatino Linotype" w:cs="Arial"/>
          <w:lang w:val="es-MX" w:eastAsia="en-US"/>
        </w:rPr>
        <w:t>emitió alegatos</w:t>
      </w:r>
      <w:r w:rsidR="00C942B2">
        <w:rPr>
          <w:rFonts w:ascii="Palatino Linotype" w:eastAsiaTheme="minorHAnsi" w:hAnsi="Palatino Linotype" w:cs="Arial"/>
          <w:lang w:val="es-MX" w:eastAsia="en-US"/>
        </w:rPr>
        <w:t xml:space="preserve"> ni manifestación alguna</w:t>
      </w:r>
      <w:r w:rsidR="003376C6">
        <w:rPr>
          <w:rFonts w:ascii="Palatino Linotype" w:eastAsiaTheme="minorHAnsi" w:hAnsi="Palatino Linotype" w:cs="Arial"/>
          <w:lang w:val="es-MX" w:eastAsia="en-US"/>
        </w:rPr>
        <w:t>; lo anterior de conformidad con la siguiente captura de pantalla:</w:t>
      </w:r>
    </w:p>
    <w:p w14:paraId="7A3E55AB" w14:textId="77777777" w:rsidR="00914D71" w:rsidRDefault="00914D71" w:rsidP="00FF4F61">
      <w:pPr>
        <w:spacing w:line="360" w:lineRule="auto"/>
        <w:jc w:val="both"/>
        <w:rPr>
          <w:rFonts w:ascii="Palatino Linotype" w:eastAsiaTheme="minorHAnsi" w:hAnsi="Palatino Linotype" w:cs="Arial"/>
          <w:lang w:val="es-MX" w:eastAsia="en-US"/>
        </w:rPr>
      </w:pPr>
    </w:p>
    <w:p w14:paraId="4409C733" w14:textId="77777777" w:rsidR="00914D71" w:rsidRDefault="00914D71" w:rsidP="00FF4F61">
      <w:pPr>
        <w:spacing w:line="360" w:lineRule="auto"/>
        <w:jc w:val="both"/>
        <w:rPr>
          <w:rFonts w:ascii="Palatino Linotype" w:eastAsiaTheme="minorHAnsi" w:hAnsi="Palatino Linotype" w:cs="Arial"/>
          <w:lang w:val="es-MX" w:eastAsia="en-US"/>
        </w:rPr>
      </w:pPr>
    </w:p>
    <w:p w14:paraId="462BB7FC" w14:textId="77777777" w:rsidR="00914D71" w:rsidRDefault="00914D71" w:rsidP="00FF4F61">
      <w:pPr>
        <w:spacing w:line="360" w:lineRule="auto"/>
        <w:jc w:val="both"/>
        <w:rPr>
          <w:rFonts w:ascii="Palatino Linotype" w:eastAsiaTheme="minorHAnsi" w:hAnsi="Palatino Linotype" w:cs="Arial"/>
          <w:lang w:val="es-MX" w:eastAsia="en-US"/>
        </w:rPr>
      </w:pPr>
    </w:p>
    <w:p w14:paraId="163E0AD4" w14:textId="77777777" w:rsidR="00914D71" w:rsidRDefault="00914D71" w:rsidP="00FF4F61">
      <w:pPr>
        <w:spacing w:line="360" w:lineRule="auto"/>
        <w:jc w:val="both"/>
        <w:rPr>
          <w:rFonts w:ascii="Palatino Linotype" w:eastAsiaTheme="minorHAnsi" w:hAnsi="Palatino Linotype" w:cs="Arial"/>
          <w:lang w:val="es-MX" w:eastAsia="en-US"/>
        </w:rPr>
      </w:pPr>
    </w:p>
    <w:p w14:paraId="6532170B" w14:textId="77777777" w:rsidR="00914D71" w:rsidRDefault="00914D71" w:rsidP="00FF4F61">
      <w:pPr>
        <w:spacing w:line="360" w:lineRule="auto"/>
        <w:jc w:val="both"/>
        <w:rPr>
          <w:rFonts w:ascii="Palatino Linotype" w:eastAsiaTheme="minorHAnsi" w:hAnsi="Palatino Linotype" w:cs="Arial"/>
          <w:lang w:val="es-MX" w:eastAsia="en-US"/>
        </w:rPr>
      </w:pPr>
    </w:p>
    <w:p w14:paraId="4DAAEB65" w14:textId="77777777" w:rsidR="00914D71" w:rsidRPr="00C942B2" w:rsidRDefault="00914D71" w:rsidP="00FF4F61">
      <w:pPr>
        <w:spacing w:line="360" w:lineRule="auto"/>
        <w:jc w:val="both"/>
        <w:rPr>
          <w:rFonts w:ascii="Palatino Linotype" w:eastAsiaTheme="minorHAnsi" w:hAnsi="Palatino Linotype" w:cs="Arial"/>
          <w:lang w:val="es-MX" w:eastAsia="en-US"/>
        </w:rPr>
      </w:pPr>
    </w:p>
    <w:p w14:paraId="115AF979" w14:textId="513553F0" w:rsidR="003376C6" w:rsidRPr="003376C6" w:rsidRDefault="00914D71" w:rsidP="00FF4F61">
      <w:pPr>
        <w:spacing w:line="360" w:lineRule="auto"/>
        <w:jc w:val="center"/>
        <w:rPr>
          <w:rFonts w:ascii="Palatino Linotype" w:eastAsiaTheme="minorHAnsi" w:hAnsi="Palatino Linotype" w:cs="Arial"/>
          <w:lang w:val="es-MX" w:eastAsia="en-US"/>
        </w:rPr>
      </w:pPr>
      <w:r>
        <w:rPr>
          <w:noProof/>
          <w:lang w:val="es-MX" w:eastAsia="es-MX"/>
        </w:rPr>
        <w:drawing>
          <wp:inline distT="0" distB="0" distL="0" distR="0" wp14:anchorId="05E20E5C" wp14:editId="04D3B301">
            <wp:extent cx="5302330" cy="2181225"/>
            <wp:effectExtent l="133350" t="95250" r="127000" b="857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833" t="30111" r="25995" b="33931"/>
                    <a:stretch/>
                  </pic:blipFill>
                  <pic:spPr bwMode="auto">
                    <a:xfrm>
                      <a:off x="0" y="0"/>
                      <a:ext cx="5328024" cy="2191795"/>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98D7D5F" w14:textId="77777777" w:rsidR="003376C6" w:rsidRPr="003376C6" w:rsidRDefault="003376C6" w:rsidP="00FF4F61">
      <w:pPr>
        <w:pStyle w:val="Sinespaciado"/>
        <w:rPr>
          <w:rFonts w:eastAsiaTheme="minorHAnsi"/>
          <w:lang w:eastAsia="en-US"/>
        </w:rPr>
      </w:pPr>
    </w:p>
    <w:p w14:paraId="2F723466" w14:textId="395525D4" w:rsidR="0029071C" w:rsidRPr="00B7320F" w:rsidRDefault="00715F45" w:rsidP="00FF4F61">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w:t>
      </w:r>
      <w:r w:rsidR="00154DCB">
        <w:rPr>
          <w:rFonts w:ascii="Palatino Linotype" w:eastAsiaTheme="minorHAnsi" w:hAnsi="Palatino Linotype" w:cs="Arial"/>
          <w:b/>
          <w:sz w:val="28"/>
          <w:lang w:val="es-MX" w:eastAsia="en-US"/>
        </w:rPr>
        <w:t>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609775C6" w:rsidR="00CC0B81" w:rsidRDefault="0029071C" w:rsidP="00FF4F6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914D71" w:rsidRPr="00914D71">
        <w:rPr>
          <w:rFonts w:ascii="Palatino Linotype" w:eastAsiaTheme="minorHAnsi" w:hAnsi="Palatino Linotype" w:cs="Arial"/>
          <w:b/>
          <w:lang w:val="es-MX" w:eastAsia="en-US"/>
        </w:rPr>
        <w:t>diecisiete</w:t>
      </w:r>
      <w:r w:rsidR="00C942B2" w:rsidRPr="00914D71">
        <w:rPr>
          <w:rFonts w:ascii="Palatino Linotype" w:eastAsiaTheme="minorHAnsi" w:hAnsi="Palatino Linotype" w:cs="Arial"/>
          <w:b/>
          <w:lang w:val="es-MX" w:eastAsia="en-US"/>
        </w:rPr>
        <w:t xml:space="preserve"> de e</w:t>
      </w:r>
      <w:r w:rsidR="00914D71" w:rsidRPr="00914D71">
        <w:rPr>
          <w:rFonts w:ascii="Palatino Linotype" w:eastAsiaTheme="minorHAnsi" w:hAnsi="Palatino Linotype" w:cs="Arial"/>
          <w:b/>
          <w:lang w:val="es-MX" w:eastAsia="en-US"/>
        </w:rPr>
        <w:t>nero</w:t>
      </w:r>
      <w:r w:rsidR="00266841" w:rsidRPr="00914D71">
        <w:rPr>
          <w:rFonts w:ascii="Palatino Linotype" w:eastAsiaTheme="minorHAnsi" w:hAnsi="Palatino Linotype" w:cs="Arial"/>
          <w:b/>
          <w:lang w:val="es-MX" w:eastAsia="en-US"/>
        </w:rPr>
        <w:t xml:space="preserve"> </w:t>
      </w:r>
      <w:r w:rsidR="00A31156" w:rsidRPr="00914D71">
        <w:rPr>
          <w:rFonts w:ascii="Palatino Linotype" w:eastAsiaTheme="minorHAnsi" w:hAnsi="Palatino Linotype" w:cs="Arial"/>
          <w:b/>
          <w:lang w:val="es-MX" w:eastAsia="en-US"/>
        </w:rPr>
        <w:t>de dos mil veinti</w:t>
      </w:r>
      <w:r w:rsidR="00F43DB2" w:rsidRPr="00914D71">
        <w:rPr>
          <w:rFonts w:ascii="Palatino Linotype" w:eastAsiaTheme="minorHAnsi" w:hAnsi="Palatino Linotype" w:cs="Arial"/>
          <w:b/>
          <w:lang w:val="es-MX" w:eastAsia="en-US"/>
        </w:rPr>
        <w:t>c</w:t>
      </w:r>
      <w:r w:rsidR="00914D71" w:rsidRPr="00914D71">
        <w:rPr>
          <w:rFonts w:ascii="Palatino Linotype" w:eastAsiaTheme="minorHAnsi" w:hAnsi="Palatino Linotype" w:cs="Arial"/>
          <w:b/>
          <w:lang w:val="es-MX" w:eastAsia="en-US"/>
        </w:rPr>
        <w:t>inc</w:t>
      </w:r>
      <w:r w:rsidR="00F43DB2" w:rsidRPr="00914D71">
        <w:rPr>
          <w:rFonts w:ascii="Palatino Linotype" w:eastAsiaTheme="minorHAnsi" w:hAnsi="Palatino Linotype" w:cs="Arial"/>
          <w:b/>
          <w:lang w:val="es-MX" w:eastAsia="en-US"/>
        </w:rPr>
        <w:t>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Pr="00B7320F" w:rsidRDefault="009F7D41" w:rsidP="00FF4F61">
      <w:pPr>
        <w:spacing w:line="360" w:lineRule="auto"/>
        <w:jc w:val="both"/>
        <w:rPr>
          <w:rFonts w:ascii="Palatino Linotype" w:hAnsi="Palatino Linotype"/>
          <w:lang w:val="es-MX"/>
        </w:rPr>
      </w:pPr>
    </w:p>
    <w:p w14:paraId="2FDBFDAE" w14:textId="77777777" w:rsidR="00E74701" w:rsidRPr="00B7320F" w:rsidRDefault="00E74701" w:rsidP="00FF4F61">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FF4F61">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FF4F61">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FF4F6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xml:space="preserve">, fracciones IV y V, de la Constitución Política del Estado Libre y Soberano de México; artículos 1, </w:t>
      </w:r>
      <w:r w:rsidRPr="00275583">
        <w:rPr>
          <w:rFonts w:ascii="Palatino Linotype" w:eastAsiaTheme="minorHAnsi" w:hAnsi="Palatino Linotype" w:cs="Arial"/>
          <w:lang w:val="es-MX" w:eastAsia="en-US"/>
        </w:rPr>
        <w:lastRenderedPageBreak/>
        <w:t>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B7320F" w:rsidRDefault="00266841" w:rsidP="00FF4F6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FF4F61">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FF4F61">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0E4D0FD" w14:textId="77777777" w:rsidR="00C942B2" w:rsidRDefault="00C942B2" w:rsidP="00FF4F61">
      <w:pPr>
        <w:autoSpaceDE w:val="0"/>
        <w:autoSpaceDN w:val="0"/>
        <w:adjustRightInd w:val="0"/>
        <w:spacing w:line="360" w:lineRule="auto"/>
        <w:jc w:val="both"/>
        <w:rPr>
          <w:rFonts w:ascii="Palatino Linotype" w:eastAsiaTheme="minorHAnsi" w:hAnsi="Palatino Linotype" w:cs="Arial"/>
          <w:lang w:val="es-MX" w:eastAsia="en-US"/>
        </w:rPr>
      </w:pPr>
    </w:p>
    <w:p w14:paraId="11A4BC0B" w14:textId="77777777" w:rsidR="00C942B2" w:rsidRPr="00913034" w:rsidRDefault="00C942B2" w:rsidP="00FF4F61">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7CEB1C2" w14:textId="77777777" w:rsidR="00C942B2" w:rsidRPr="00913034" w:rsidRDefault="00C942B2" w:rsidP="00FF4F61">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913034">
        <w:rPr>
          <w:rFonts w:ascii="Palatino Linotype" w:hAnsi="Palatino Linotype"/>
        </w:rPr>
        <w:lastRenderedPageBreak/>
        <w:t>manera electrónica, ello porque no se advierte nombre en específico</w:t>
      </w:r>
      <w:r w:rsidRPr="00913034">
        <w:rPr>
          <w:rFonts w:ascii="Palatino Linotype" w:hAnsi="Palatino Linotype" w:cs="Arial"/>
        </w:rPr>
        <w:t>, del cual no se colige que corresponda al nombre de una persona.</w:t>
      </w:r>
    </w:p>
    <w:p w14:paraId="4F864F6B" w14:textId="77777777" w:rsidR="00C942B2" w:rsidRPr="00913034" w:rsidRDefault="00C942B2" w:rsidP="00FF4F61">
      <w:pPr>
        <w:widowControl w:val="0"/>
        <w:autoSpaceDE w:val="0"/>
        <w:autoSpaceDN w:val="0"/>
        <w:adjustRightInd w:val="0"/>
        <w:spacing w:line="360" w:lineRule="auto"/>
        <w:jc w:val="both"/>
        <w:rPr>
          <w:rFonts w:ascii="Palatino Linotype" w:hAnsi="Palatino Linotype" w:cs="Arial"/>
        </w:rPr>
      </w:pPr>
    </w:p>
    <w:p w14:paraId="6EA1A418" w14:textId="77777777" w:rsidR="00C942B2" w:rsidRPr="00913034" w:rsidRDefault="00C942B2" w:rsidP="00FF4F6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4A211FF5" w14:textId="77777777" w:rsidR="00C942B2" w:rsidRPr="00913034" w:rsidRDefault="00C942B2" w:rsidP="00FF4F61">
      <w:pPr>
        <w:rPr>
          <w:lang w:val="es-MX"/>
        </w:rPr>
      </w:pPr>
    </w:p>
    <w:p w14:paraId="73D3E1ED" w14:textId="77777777" w:rsidR="00C942B2" w:rsidRPr="00913034" w:rsidRDefault="00C942B2" w:rsidP="00FF4F61">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228F3ED4" w14:textId="77777777" w:rsidR="00C942B2" w:rsidRPr="00913034" w:rsidRDefault="00C942B2" w:rsidP="00FF4F61">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3DE9C4AE" w14:textId="132DA49E" w:rsidR="00C942B2" w:rsidRDefault="00C942B2" w:rsidP="00FF4F61">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2D8E1382" w14:textId="77777777" w:rsidR="00914D71" w:rsidRPr="00032FFF" w:rsidRDefault="00914D71" w:rsidP="00FF4F61">
      <w:pPr>
        <w:ind w:left="567" w:right="616"/>
        <w:jc w:val="both"/>
        <w:rPr>
          <w:rFonts w:ascii="Palatino Linotype" w:hAnsi="Palatino Linotype"/>
          <w:b/>
          <w:i/>
          <w:sz w:val="22"/>
        </w:rPr>
      </w:pPr>
    </w:p>
    <w:p w14:paraId="4C2B2758" w14:textId="77777777" w:rsidR="00C942B2" w:rsidRPr="00913034" w:rsidRDefault="00C942B2" w:rsidP="00FF4F6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E913688" w14:textId="77777777" w:rsidR="00C942B2" w:rsidRPr="00913034" w:rsidRDefault="00C942B2" w:rsidP="00FF4F61">
      <w:pPr>
        <w:widowControl w:val="0"/>
        <w:autoSpaceDE w:val="0"/>
        <w:autoSpaceDN w:val="0"/>
        <w:adjustRightInd w:val="0"/>
        <w:spacing w:line="360" w:lineRule="auto"/>
        <w:jc w:val="both"/>
        <w:rPr>
          <w:rFonts w:ascii="Palatino Linotype" w:hAnsi="Palatino Linotype"/>
        </w:rPr>
      </w:pPr>
    </w:p>
    <w:p w14:paraId="13E5D7E6" w14:textId="77777777" w:rsidR="00C942B2" w:rsidRPr="00913034" w:rsidRDefault="00C942B2" w:rsidP="00FF4F6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w:t>
      </w:r>
      <w:r w:rsidRPr="00913034">
        <w:rPr>
          <w:rFonts w:ascii="Palatino Linotype" w:hAnsi="Palatino Linotype" w:cs="Arial"/>
        </w:rPr>
        <w:lastRenderedPageBreak/>
        <w:t>información sean anónimas, con nombre incompleto o seudónimo.</w:t>
      </w:r>
    </w:p>
    <w:p w14:paraId="739859E2" w14:textId="77777777" w:rsidR="00C942B2" w:rsidRPr="00913034" w:rsidRDefault="00C942B2" w:rsidP="00FF4F61">
      <w:pPr>
        <w:widowControl w:val="0"/>
        <w:autoSpaceDE w:val="0"/>
        <w:autoSpaceDN w:val="0"/>
        <w:adjustRightInd w:val="0"/>
        <w:spacing w:line="360" w:lineRule="auto"/>
        <w:jc w:val="both"/>
        <w:rPr>
          <w:rFonts w:ascii="Palatino Linotype" w:hAnsi="Palatino Linotype" w:cs="Arial"/>
        </w:rPr>
      </w:pPr>
    </w:p>
    <w:p w14:paraId="752E70A7" w14:textId="20984053" w:rsidR="00C942B2" w:rsidRPr="00C942B2" w:rsidRDefault="00C942B2" w:rsidP="00FF4F6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F9B56D" w14:textId="77777777" w:rsidR="00612EFB" w:rsidRDefault="00612EFB" w:rsidP="00FF4F61">
      <w:pPr>
        <w:widowControl w:val="0"/>
        <w:autoSpaceDE w:val="0"/>
        <w:autoSpaceDN w:val="0"/>
        <w:adjustRightInd w:val="0"/>
        <w:spacing w:line="360" w:lineRule="auto"/>
        <w:jc w:val="both"/>
        <w:rPr>
          <w:rFonts w:ascii="Palatino Linotype" w:hAnsi="Palatino Linotype"/>
        </w:rPr>
      </w:pPr>
    </w:p>
    <w:p w14:paraId="73F2CF6D" w14:textId="44DEAA2C" w:rsidR="00612EFB" w:rsidRPr="00C400AC" w:rsidRDefault="00C942B2" w:rsidP="00FF4F61">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w:t>
      </w:r>
      <w:r w:rsidR="00612EFB" w:rsidRPr="00C400AC">
        <w:rPr>
          <w:rFonts w:ascii="Palatino Linotype" w:hAnsi="Palatino Linotype" w:cs="Arial"/>
          <w:b/>
          <w:sz w:val="28"/>
        </w:rPr>
        <w:t>O. Del estudio de las causas de improcedencia y sobreseimiento.</w:t>
      </w:r>
    </w:p>
    <w:p w14:paraId="065B87A3" w14:textId="77777777" w:rsidR="00031C5C" w:rsidRPr="00031C5C" w:rsidRDefault="00031C5C" w:rsidP="00FF4F61">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06F3C07" w14:textId="77777777" w:rsidR="00031C5C" w:rsidRPr="00031C5C" w:rsidRDefault="00031C5C" w:rsidP="00FF4F61">
      <w:pPr>
        <w:spacing w:line="360" w:lineRule="auto"/>
        <w:jc w:val="both"/>
        <w:rPr>
          <w:rFonts w:ascii="Palatino Linotype" w:eastAsiaTheme="minorHAnsi" w:hAnsi="Palatino Linotype" w:cstheme="minorBidi"/>
          <w:lang w:val="es-ES_tradnl" w:eastAsia="en-US"/>
        </w:rPr>
      </w:pPr>
    </w:p>
    <w:p w14:paraId="465E9AC8" w14:textId="77777777" w:rsidR="00031C5C" w:rsidRPr="00031C5C" w:rsidRDefault="00031C5C" w:rsidP="00FF4F61">
      <w:pPr>
        <w:spacing w:line="360" w:lineRule="auto"/>
        <w:jc w:val="both"/>
        <w:rPr>
          <w:rFonts w:ascii="Palatino Linotype" w:eastAsiaTheme="minorEastAsia" w:hAnsi="Palatino Linotype" w:cstheme="minorBidi"/>
          <w:szCs w:val="22"/>
          <w:lang w:eastAsia="en-US"/>
        </w:rPr>
      </w:pPr>
      <w:r w:rsidRPr="00031C5C">
        <w:rPr>
          <w:rFonts w:ascii="Palatino Linotype" w:eastAsiaTheme="minorEastAsia" w:hAnsi="Palatino Linotype" w:cstheme="minorBidi"/>
          <w:szCs w:val="22"/>
          <w:lang w:eastAsia="en-US"/>
        </w:rPr>
        <w:t>En esa tesitura, la Ley de Transparencia de la entidad, en su artículo 192, contempla la figura jurídica del sobreseimiento y específicamente en su hipótesis inmersa en la fracción V refiere que se sobreseerá el asunto cuando, por cualquier motivo, el recurso de revisión quede sin materia.</w:t>
      </w:r>
    </w:p>
    <w:p w14:paraId="3664B403" w14:textId="77777777" w:rsidR="00031C5C" w:rsidRPr="00031C5C" w:rsidRDefault="00031C5C" w:rsidP="00FF4F61">
      <w:pPr>
        <w:spacing w:line="360" w:lineRule="auto"/>
        <w:jc w:val="both"/>
        <w:rPr>
          <w:rFonts w:ascii="Palatino Linotype" w:eastAsiaTheme="minorHAnsi" w:hAnsi="Palatino Linotype" w:cstheme="minorBidi"/>
          <w:lang w:val="es-ES_tradnl" w:eastAsia="en-US"/>
        </w:rPr>
      </w:pPr>
    </w:p>
    <w:p w14:paraId="6B2F15AB" w14:textId="77777777" w:rsidR="00FF4F61" w:rsidRDefault="00FF4F61" w:rsidP="00FF4F61">
      <w:pPr>
        <w:spacing w:line="360" w:lineRule="auto"/>
        <w:jc w:val="both"/>
        <w:rPr>
          <w:rFonts w:ascii="Palatino Linotype" w:eastAsiaTheme="minorHAnsi" w:hAnsi="Palatino Linotype" w:cstheme="minorBidi"/>
          <w:lang w:val="es-ES_tradnl" w:eastAsia="en-US"/>
        </w:rPr>
      </w:pPr>
    </w:p>
    <w:p w14:paraId="505AB5B9" w14:textId="316F9B6C" w:rsidR="00031C5C" w:rsidRPr="00031C5C" w:rsidRDefault="00031C5C" w:rsidP="00FF4F61">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En ese contexto, para el efecto de verificar que el presente recurso de revisión haya quedado sin materia, es necesario realizar un estudio a las actuaciones que obran en el expediente electrónico a fin determinar si en el caso en concreto se actualiza el supuesto procesal que establece la fracción V</w:t>
      </w:r>
      <w:r>
        <w:rPr>
          <w:rFonts w:ascii="Palatino Linotype" w:eastAsiaTheme="minorHAnsi" w:hAnsi="Palatino Linotype" w:cstheme="minorBidi"/>
          <w:lang w:val="es-ES_tradnl" w:eastAsia="en-US"/>
        </w:rPr>
        <w:t>,</w:t>
      </w:r>
      <w:r w:rsidRPr="00031C5C">
        <w:rPr>
          <w:rFonts w:ascii="Palatino Linotype" w:eastAsiaTheme="minorHAnsi" w:hAnsi="Palatino Linotype" w:cstheme="minorBidi"/>
          <w:lang w:val="es-ES_tradnl"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w:t>
      </w:r>
    </w:p>
    <w:p w14:paraId="1E04C84A" w14:textId="77777777" w:rsidR="003376C6" w:rsidRPr="00031C5C" w:rsidRDefault="003376C6" w:rsidP="00FF4F61">
      <w:pPr>
        <w:tabs>
          <w:tab w:val="left" w:pos="709"/>
        </w:tabs>
        <w:spacing w:line="360" w:lineRule="auto"/>
        <w:jc w:val="both"/>
        <w:rPr>
          <w:rFonts w:ascii="Palatino Linotype" w:hAnsi="Palatino Linotype" w:cs="Arial"/>
          <w:lang w:val="es-ES_tradnl"/>
        </w:rPr>
      </w:pPr>
    </w:p>
    <w:p w14:paraId="7ABDC2C3" w14:textId="7059A75E" w:rsidR="001762FA" w:rsidRPr="00B7320F" w:rsidRDefault="00031C5C" w:rsidP="00FF4F61">
      <w:pPr>
        <w:spacing w:line="360" w:lineRule="auto"/>
        <w:ind w:right="141"/>
        <w:jc w:val="both"/>
        <w:rPr>
          <w:rFonts w:ascii="Palatino Linotype" w:eastAsiaTheme="minorHAnsi" w:hAnsi="Palatino Linotype" w:cstheme="minorBidi"/>
          <w:lang w:val="es-MX" w:eastAsia="es-MX"/>
        </w:rPr>
      </w:pPr>
      <w:r w:rsidRPr="00031C5C">
        <w:rPr>
          <w:rFonts w:ascii="Palatino Linotype" w:eastAsiaTheme="minorHAnsi" w:hAnsi="Palatino Linotype" w:cstheme="minorBidi"/>
          <w:lang w:val="es-MX" w:eastAsia="es-MX"/>
        </w:rPr>
        <w:t>Por tanto, es conveniente recordar que el hoy</w:t>
      </w:r>
      <w:r>
        <w:rPr>
          <w:rFonts w:ascii="Palatino Linotype" w:eastAsiaTheme="minorHAnsi" w:hAnsi="Palatino Linotype" w:cstheme="minorBidi"/>
          <w:lang w:val="es-MX" w:eastAsia="es-MX"/>
        </w:rPr>
        <w:t xml:space="preserve"> </w:t>
      </w:r>
      <w:r w:rsidRPr="00031C5C">
        <w:rPr>
          <w:rFonts w:ascii="Palatino Linotype" w:eastAsiaTheme="minorHAnsi" w:hAnsi="Palatino Linotype" w:cstheme="minorBidi"/>
          <w:b/>
          <w:bCs/>
          <w:lang w:val="es-MX" w:eastAsia="es-MX"/>
        </w:rPr>
        <w:t>Recurrente</w:t>
      </w:r>
      <w:r>
        <w:rPr>
          <w:rFonts w:ascii="Palatino Linotype" w:eastAsiaTheme="minorHAnsi" w:hAnsi="Palatino Linotype" w:cstheme="minorBidi"/>
          <w:lang w:val="es-MX" w:eastAsia="es-MX"/>
        </w:rPr>
        <w:t xml:space="preserve"> solicitó la siguiente información:</w:t>
      </w:r>
    </w:p>
    <w:p w14:paraId="4C0E4541" w14:textId="77777777" w:rsidR="00D83603" w:rsidRPr="00914D71" w:rsidRDefault="00D83603" w:rsidP="00FF4F61">
      <w:pPr>
        <w:pStyle w:val="Sinespaciado"/>
        <w:rPr>
          <w:rFonts w:ascii="Palatino Linotype" w:eastAsiaTheme="minorHAnsi" w:hAnsi="Palatino Linotype"/>
          <w:szCs w:val="10"/>
          <w:lang w:eastAsia="es-MX"/>
        </w:rPr>
      </w:pPr>
    </w:p>
    <w:p w14:paraId="171485D2" w14:textId="7830AEA6" w:rsidR="00F43DB2" w:rsidRPr="00914D71" w:rsidRDefault="00914D71" w:rsidP="00FF4F61">
      <w:pPr>
        <w:pStyle w:val="Prrafodelista"/>
        <w:numPr>
          <w:ilvl w:val="0"/>
          <w:numId w:val="40"/>
        </w:numPr>
        <w:spacing w:line="360" w:lineRule="auto"/>
        <w:ind w:right="49"/>
        <w:jc w:val="both"/>
        <w:rPr>
          <w:rFonts w:ascii="Palatino Linotype" w:eastAsiaTheme="minorHAnsi" w:hAnsi="Palatino Linotype" w:cstheme="minorBidi"/>
          <w:lang w:eastAsia="es-MX"/>
        </w:rPr>
      </w:pPr>
      <w:r w:rsidRPr="00914D71">
        <w:rPr>
          <w:rFonts w:ascii="Palatino Linotype" w:eastAsiaTheme="minorHAnsi" w:hAnsi="Palatino Linotype" w:cstheme="minorBidi"/>
          <w:szCs w:val="22"/>
          <w:lang w:val="es-MX" w:eastAsia="es-MX"/>
        </w:rPr>
        <w:t>Solicito los movimientos de aumento de plaza o r</w:t>
      </w:r>
      <w:r w:rsidR="006C4581">
        <w:rPr>
          <w:rFonts w:ascii="Palatino Linotype" w:eastAsiaTheme="minorHAnsi" w:hAnsi="Palatino Linotype" w:cstheme="minorBidi"/>
          <w:szCs w:val="22"/>
          <w:lang w:val="es-MX" w:eastAsia="es-MX"/>
        </w:rPr>
        <w:t>ango del servidor público Mario</w:t>
      </w:r>
      <w:r w:rsidRPr="00914D71">
        <w:rPr>
          <w:rFonts w:ascii="Palatino Linotype" w:eastAsiaTheme="minorHAnsi" w:hAnsi="Palatino Linotype" w:cstheme="minorBidi"/>
          <w:szCs w:val="22"/>
          <w:lang w:val="es-MX" w:eastAsia="es-MX"/>
        </w:rPr>
        <w:t xml:space="preserve"> Reyes Santos, titular de la UIPPE y con qué fundamento se realizó dicho aumento.</w:t>
      </w:r>
    </w:p>
    <w:p w14:paraId="269A1837" w14:textId="77777777" w:rsidR="00914D71" w:rsidRDefault="00914D71" w:rsidP="00FF4F61">
      <w:pPr>
        <w:spacing w:line="360" w:lineRule="auto"/>
        <w:ind w:right="49"/>
        <w:jc w:val="both"/>
        <w:rPr>
          <w:rFonts w:ascii="Palatino Linotype" w:eastAsiaTheme="minorHAnsi" w:hAnsi="Palatino Linotype" w:cstheme="minorBidi"/>
          <w:lang w:eastAsia="es-MX"/>
        </w:rPr>
      </w:pPr>
    </w:p>
    <w:p w14:paraId="259258D5" w14:textId="2CB31BA7" w:rsidR="00914D71" w:rsidRDefault="00914D71" w:rsidP="00FF4F61">
      <w:pPr>
        <w:spacing w:line="360" w:lineRule="auto"/>
        <w:ind w:right="49"/>
        <w:jc w:val="both"/>
        <w:rPr>
          <w:rFonts w:ascii="Palatino Linotype"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Pr>
          <w:rFonts w:ascii="Palatino Linotype" w:eastAsia="Arial Unicode MS" w:hAnsi="Palatino Linotype" w:cs="Arial"/>
        </w:rPr>
        <w:t xml:space="preserve">adjunto a su respuesta los archivos electrónicos denominados </w:t>
      </w:r>
      <w:r w:rsidRPr="00914D71">
        <w:rPr>
          <w:rFonts w:ascii="Palatino Linotype" w:hAnsi="Palatino Linotype" w:cs="Arial"/>
          <w:i/>
        </w:rPr>
        <w:t>“00842 COORD. ADMINISTRATIVA.pdf” y “842 solicitante.pdf</w:t>
      </w:r>
      <w:r w:rsidRPr="002E1806">
        <w:rPr>
          <w:rFonts w:ascii="Palatino Linotype" w:hAnsi="Palatino Linotype" w:cs="Arial"/>
          <w:i/>
        </w:rPr>
        <w:t>”</w:t>
      </w:r>
      <w:r w:rsidRPr="00E72991">
        <w:rPr>
          <w:rFonts w:ascii="Palatino Linotype" w:hAnsi="Palatino Linotype" w:cs="Arial"/>
        </w:rPr>
        <w:t>,</w:t>
      </w:r>
      <w:r>
        <w:rPr>
          <w:rFonts w:ascii="Palatino Linotype" w:hAnsi="Palatino Linotype" w:cs="Arial"/>
        </w:rPr>
        <w:t xml:space="preserve"> a través de los cuales se advierte lo siguiente:</w:t>
      </w:r>
    </w:p>
    <w:p w14:paraId="518469E1" w14:textId="77777777" w:rsidR="00914D71" w:rsidRDefault="00914D71" w:rsidP="00FF4F61">
      <w:pPr>
        <w:spacing w:line="360" w:lineRule="auto"/>
        <w:ind w:right="49"/>
        <w:jc w:val="both"/>
        <w:rPr>
          <w:rFonts w:ascii="Palatino Linotype" w:eastAsiaTheme="minorHAnsi" w:hAnsi="Palatino Linotype" w:cstheme="minorBidi"/>
          <w:lang w:eastAsia="es-MX"/>
        </w:rPr>
      </w:pPr>
    </w:p>
    <w:p w14:paraId="182E5BD7" w14:textId="18490FC0" w:rsidR="00914D71" w:rsidRPr="00EA6316" w:rsidRDefault="00914D71" w:rsidP="00FF4F61">
      <w:pPr>
        <w:pStyle w:val="Prrafodelista"/>
        <w:numPr>
          <w:ilvl w:val="0"/>
          <w:numId w:val="41"/>
        </w:numPr>
        <w:spacing w:line="360" w:lineRule="auto"/>
        <w:ind w:right="49"/>
        <w:jc w:val="both"/>
        <w:rPr>
          <w:rFonts w:ascii="Palatino Linotype" w:eastAsiaTheme="minorHAnsi" w:hAnsi="Palatino Linotype" w:cstheme="minorBidi"/>
          <w:lang w:eastAsia="es-MX"/>
        </w:rPr>
      </w:pPr>
      <w:r w:rsidRPr="00EA6316">
        <w:rPr>
          <w:rFonts w:ascii="Palatino Linotype" w:hAnsi="Palatino Linotype" w:cs="Arial"/>
          <w:b/>
        </w:rPr>
        <w:t>00842 COORD. ADMINISTRATIVA.pdf:</w:t>
      </w:r>
      <w:r>
        <w:rPr>
          <w:rFonts w:ascii="Palatino Linotype" w:hAnsi="Palatino Linotype" w:cs="Arial"/>
        </w:rPr>
        <w:t xml:space="preserve"> Consistente en número de oficio 20700002000100S/IP/0271/2024, de fecha catorce de noviembre del dos mil veinticuatro, a través del cual la Servidora Pública Habilitada Suplente</w:t>
      </w:r>
      <w:r w:rsidR="00EA6316">
        <w:rPr>
          <w:rFonts w:ascii="Palatino Linotype" w:hAnsi="Palatino Linotype" w:cs="Arial"/>
        </w:rPr>
        <w:t xml:space="preserve"> de la Coordinación Administrativa, manifestó adjuntar copia simple de la tarjeta suscrita por la Oficial Mayor, por medio de la cual autoriza el cambio de rango.</w:t>
      </w:r>
    </w:p>
    <w:p w14:paraId="45EDFD3C" w14:textId="658C5CB6" w:rsidR="00EA6316" w:rsidRDefault="00EA6316" w:rsidP="00FF4F61">
      <w:pPr>
        <w:pStyle w:val="Prrafodelista"/>
        <w:spacing w:line="360" w:lineRule="auto"/>
        <w:ind w:left="720" w:right="49"/>
        <w:jc w:val="both"/>
        <w:rPr>
          <w:rFonts w:ascii="Palatino Linotype" w:hAnsi="Palatino Linotype" w:cs="Arial"/>
        </w:rPr>
      </w:pPr>
      <w:r>
        <w:rPr>
          <w:rFonts w:ascii="Palatino Linotype" w:hAnsi="Palatino Linotype" w:cs="Arial"/>
        </w:rPr>
        <w:lastRenderedPageBreak/>
        <w:t>Asimismo se advierte adjuntó la solicitud de acuerdo para asignación de percepciones a mandos superiores y grupo especial, a favor de la persona descrita en la solicitud de información, en la que se especifica percepciones actuales del servidor público y la propuesta, de fecha primero de julio del dos mil veinticuatro.</w:t>
      </w:r>
    </w:p>
    <w:p w14:paraId="6E38AEE8" w14:textId="77777777" w:rsidR="00EA6316" w:rsidRDefault="00EA6316" w:rsidP="00FF4F61">
      <w:pPr>
        <w:pStyle w:val="Prrafodelista"/>
        <w:spacing w:line="360" w:lineRule="auto"/>
        <w:ind w:left="720" w:right="49"/>
        <w:jc w:val="both"/>
        <w:rPr>
          <w:rFonts w:ascii="Palatino Linotype" w:hAnsi="Palatino Linotype" w:cs="Arial"/>
        </w:rPr>
      </w:pPr>
    </w:p>
    <w:p w14:paraId="0F9AE0F0" w14:textId="2105125F" w:rsidR="00EA6316" w:rsidRPr="00EA6316" w:rsidRDefault="00EA6316" w:rsidP="00FF4F61">
      <w:pPr>
        <w:pStyle w:val="Prrafodelista"/>
        <w:numPr>
          <w:ilvl w:val="0"/>
          <w:numId w:val="41"/>
        </w:numPr>
        <w:spacing w:line="360" w:lineRule="auto"/>
        <w:ind w:right="49"/>
        <w:jc w:val="both"/>
        <w:rPr>
          <w:rFonts w:ascii="Palatino Linotype" w:eastAsiaTheme="minorHAnsi" w:hAnsi="Palatino Linotype" w:cstheme="minorBidi"/>
          <w:lang w:eastAsia="es-MX"/>
        </w:rPr>
      </w:pPr>
      <w:r w:rsidRPr="00EA6316">
        <w:rPr>
          <w:rFonts w:ascii="Palatino Linotype" w:eastAsiaTheme="minorHAnsi" w:hAnsi="Palatino Linotype" w:cstheme="minorBidi"/>
          <w:b/>
          <w:lang w:eastAsia="es-MX"/>
        </w:rPr>
        <w:t>842 solicitante.pdf:</w:t>
      </w:r>
      <w:r>
        <w:rPr>
          <w:rFonts w:ascii="Palatino Linotype" w:eastAsiaTheme="minorHAnsi" w:hAnsi="Palatino Linotype" w:cstheme="minorBidi"/>
          <w:lang w:eastAsia="es-MX"/>
        </w:rPr>
        <w:t xml:space="preserve"> </w:t>
      </w:r>
      <w:r>
        <w:rPr>
          <w:rFonts w:ascii="Palatino Linotype" w:hAnsi="Palatino Linotype" w:cs="Arial"/>
        </w:rPr>
        <w:t>Consistente en número de oficio 20700004S/UT-2478/2024, de fecha veintiocho de noviembre del dos mil veinticuatro, a través del cual el Jefe de la Unidad de la UIPPE y Titular de la Unidad de Transparencia, informó al solicitante de la respuesta emitida por la Servidora Pública Habilitada Suplente de la Coordinación Administrativa en donde se detalla lo solicitado.</w:t>
      </w:r>
    </w:p>
    <w:p w14:paraId="4585F736" w14:textId="77777777" w:rsidR="00914D71" w:rsidRDefault="00914D71" w:rsidP="00FF4F61">
      <w:pPr>
        <w:spacing w:line="360" w:lineRule="auto"/>
        <w:ind w:right="49"/>
        <w:jc w:val="both"/>
        <w:rPr>
          <w:rFonts w:ascii="Palatino Linotype" w:eastAsiaTheme="minorHAnsi" w:hAnsi="Palatino Linotype" w:cstheme="minorBidi"/>
          <w:lang w:eastAsia="es-MX"/>
        </w:rPr>
      </w:pPr>
    </w:p>
    <w:p w14:paraId="5D01BEC3" w14:textId="77777777" w:rsidR="00EA6316" w:rsidRDefault="00EA6316" w:rsidP="00FF4F61">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Pr="00BF1471">
        <w:rPr>
          <w:rFonts w:ascii="Palatino Linotype" w:hAnsi="Palatino Linotype" w:cs="Arial"/>
        </w:rPr>
        <w:t>la parte</w:t>
      </w:r>
      <w:r w:rsidRPr="00BC334D">
        <w:rPr>
          <w:rFonts w:ascii="Palatino Linotype" w:hAnsi="Palatino Linotype" w:cs="Arial"/>
          <w:b/>
        </w:rPr>
        <w:t xml:space="preserve"> </w:t>
      </w:r>
      <w:r w:rsidRPr="00BC334D">
        <w:rPr>
          <w:rFonts w:ascii="Palatino Linotype" w:hAnsi="Palatino Linotype" w:cs="Arial"/>
          <w:b/>
          <w:bCs/>
        </w:rPr>
        <w:t>Recurrente</w:t>
      </w:r>
      <w:r w:rsidRPr="00BC334D">
        <w:rPr>
          <w:rFonts w:ascii="Palatino Linotype" w:hAnsi="Palatino Linotype" w:cs="Arial"/>
          <w:bCs/>
        </w:rPr>
        <w:t>, interpuso el presente recurso de revisión, señalando como razones o motivos de inconformidad, lo siguiente:</w:t>
      </w:r>
    </w:p>
    <w:p w14:paraId="270019E1" w14:textId="77777777" w:rsidR="00EA6316" w:rsidRPr="00BC334D" w:rsidRDefault="00EA6316" w:rsidP="00FF4F61">
      <w:pPr>
        <w:spacing w:line="360" w:lineRule="auto"/>
        <w:ind w:right="141"/>
        <w:jc w:val="both"/>
        <w:rPr>
          <w:rFonts w:ascii="Palatino Linotype" w:hAnsi="Palatino Linotype" w:cs="Arial"/>
          <w:bCs/>
        </w:rPr>
      </w:pPr>
    </w:p>
    <w:p w14:paraId="49ED9AD0" w14:textId="6FA3042C" w:rsidR="00EA6316" w:rsidRPr="00BC334D" w:rsidRDefault="00EA6316" w:rsidP="00FF4F61">
      <w:pPr>
        <w:spacing w:line="360" w:lineRule="auto"/>
        <w:ind w:right="190"/>
        <w:jc w:val="both"/>
        <w:rPr>
          <w:rFonts w:ascii="Palatino Linotype" w:hAnsi="Palatino Linotype" w:cs="Arial"/>
          <w:i/>
        </w:rPr>
      </w:pPr>
      <w:r w:rsidRPr="007F160F">
        <w:rPr>
          <w:rFonts w:ascii="Palatino Linotype" w:eastAsia="Arial Unicode MS" w:hAnsi="Palatino Linotype" w:cs="Arial"/>
          <w:i/>
        </w:rPr>
        <w:t>“</w:t>
      </w:r>
      <w:r w:rsidRPr="00FF4F61">
        <w:rPr>
          <w:rFonts w:ascii="Palatino Linotype" w:eastAsia="Arial Unicode MS" w:hAnsi="Palatino Linotype" w:cs="Arial"/>
          <w:i/>
        </w:rPr>
        <w:t>No tiene merecido el aumento, por ineficiente y RATERO</w:t>
      </w:r>
      <w:r w:rsidRPr="00EA6316">
        <w:rPr>
          <w:rFonts w:ascii="Palatino Linotype" w:eastAsia="Arial Unicode MS" w:hAnsi="Palatino Linotype" w:cs="Arial"/>
          <w:i/>
        </w:rPr>
        <w:t xml:space="preserve"> ojalá que el nuevo secretario tenga conocimiento de esto.</w:t>
      </w:r>
      <w:r w:rsidRPr="007F160F">
        <w:rPr>
          <w:rFonts w:ascii="Palatino Linotype" w:hAnsi="Palatino Linotype" w:cs="Arial"/>
          <w:i/>
        </w:rPr>
        <w:t>”</w:t>
      </w:r>
      <w:r w:rsidRPr="00BC334D">
        <w:rPr>
          <w:rFonts w:ascii="Palatino Linotype" w:hAnsi="Palatino Linotype" w:cs="Arial"/>
          <w:i/>
        </w:rPr>
        <w:t xml:space="preserve"> (Sic).</w:t>
      </w:r>
    </w:p>
    <w:p w14:paraId="2F314683" w14:textId="77777777" w:rsidR="002E025D" w:rsidRPr="002E025D" w:rsidRDefault="002E025D" w:rsidP="00FF4F61">
      <w:pPr>
        <w:spacing w:line="360" w:lineRule="auto"/>
        <w:ind w:right="49"/>
        <w:jc w:val="both"/>
        <w:rPr>
          <w:rFonts w:ascii="Palatino Linotype" w:hAnsi="Palatino Linotype"/>
          <w:lang w:eastAsia="es-MX"/>
        </w:rPr>
      </w:pPr>
    </w:p>
    <w:p w14:paraId="7C5B6F9E" w14:textId="6FC35D02" w:rsidR="00032FFF" w:rsidRDefault="00032FFF" w:rsidP="00FF4F61">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No obstante, a</w:t>
      </w:r>
      <w:r w:rsidRPr="00913034">
        <w:rPr>
          <w:rFonts w:ascii="Palatino Linotype" w:eastAsiaTheme="minorHAnsi" w:hAnsi="Palatino Linotype" w:cstheme="minorBidi"/>
          <w:lang w:val="es-MX" w:eastAsia="es-MX"/>
        </w:rPr>
        <w:t>tento a la solicitud de información</w:t>
      </w:r>
      <w:r>
        <w:rPr>
          <w:rFonts w:ascii="Palatino Linotype" w:eastAsiaTheme="minorHAnsi" w:hAnsi="Palatino Linotype" w:cstheme="minorBidi"/>
          <w:lang w:val="es-MX" w:eastAsia="es-MX"/>
        </w:rPr>
        <w:t xml:space="preserve"> el </w:t>
      </w:r>
      <w:r w:rsidRPr="00913034">
        <w:rPr>
          <w:rFonts w:ascii="Palatino Linotype" w:eastAsiaTheme="minorHAnsi" w:hAnsi="Palatino Linotype" w:cstheme="minorBidi"/>
          <w:b/>
          <w:lang w:val="es-MX" w:eastAsia="es-MX"/>
        </w:rPr>
        <w:t>Sujeto Obligado</w:t>
      </w:r>
      <w:r w:rsidRPr="00913034">
        <w:rPr>
          <w:rFonts w:ascii="Palatino Linotype" w:eastAsiaTheme="minorHAnsi" w:hAnsi="Palatino Linotype" w:cstheme="minorBidi"/>
          <w:lang w:val="es-MX" w:eastAsia="es-MX"/>
        </w:rPr>
        <w:t xml:space="preserve">, emitió su respuesta en donde </w:t>
      </w:r>
      <w:r w:rsidRPr="00913034">
        <w:rPr>
          <w:rFonts w:ascii="Palatino Linotype" w:hAnsi="Palatino Linotype" w:cs="Arial"/>
        </w:rPr>
        <w:t>se advierte lo siguiente:</w:t>
      </w:r>
    </w:p>
    <w:p w14:paraId="58A5E4FC" w14:textId="77777777" w:rsidR="00F26C3B" w:rsidRDefault="00F26C3B" w:rsidP="00FF4F61">
      <w:pPr>
        <w:spacing w:line="360" w:lineRule="auto"/>
        <w:ind w:right="49"/>
        <w:jc w:val="both"/>
        <w:rPr>
          <w:rFonts w:ascii="Palatino Linotype" w:hAnsi="Palatino Linotype" w:cs="Arial"/>
        </w:rPr>
      </w:pPr>
    </w:p>
    <w:p w14:paraId="300D2CE1" w14:textId="08E7969F" w:rsidR="00F26C3B" w:rsidRDefault="00E718A5" w:rsidP="00FF4F61">
      <w:pPr>
        <w:spacing w:line="360" w:lineRule="auto"/>
        <w:ind w:right="49"/>
        <w:jc w:val="both"/>
        <w:rPr>
          <w:rFonts w:ascii="Palatino Linotype" w:eastAsiaTheme="minorHAnsi" w:hAnsi="Palatino Linotype" w:cstheme="minorBidi"/>
          <w:lang w:val="es-MX" w:eastAsia="es-MX"/>
        </w:rPr>
      </w:pPr>
      <w:r>
        <w:rPr>
          <w:rFonts w:ascii="Palatino Linotype" w:hAnsi="Palatino Linotype" w:cs="Arial"/>
        </w:rPr>
        <w:t>Mediante el</w:t>
      </w:r>
      <w:r w:rsidR="00F26C3B">
        <w:rPr>
          <w:rFonts w:ascii="Palatino Linotype" w:hAnsi="Palatino Linotype" w:cs="Arial"/>
        </w:rPr>
        <w:t xml:space="preserve"> oficio número </w:t>
      </w:r>
      <w:r w:rsidRPr="00E718A5">
        <w:rPr>
          <w:rFonts w:ascii="Palatino Linotype" w:hAnsi="Palatino Linotype" w:cs="Arial"/>
          <w:b/>
          <w:bCs/>
        </w:rPr>
        <w:t>20700002000100S/IP/0271/2024</w:t>
      </w:r>
      <w:r>
        <w:rPr>
          <w:rFonts w:ascii="Palatino Linotype" w:hAnsi="Palatino Linotype" w:cs="Arial"/>
        </w:rPr>
        <w:t>, firmado</w:t>
      </w:r>
      <w:r w:rsidR="00F26C3B">
        <w:rPr>
          <w:rFonts w:ascii="Palatino Linotype" w:hAnsi="Palatino Linotype" w:cs="Arial"/>
        </w:rPr>
        <w:t xml:space="preserve"> por la </w:t>
      </w:r>
      <w:r w:rsidRPr="00E718A5">
        <w:rPr>
          <w:rFonts w:ascii="Palatino Linotype" w:hAnsi="Palatino Linotype" w:cs="Arial"/>
        </w:rPr>
        <w:t>a Servidora Pública Habilitada Suplente de la Coordinación Administrativa</w:t>
      </w:r>
      <w:r w:rsidR="00F26C3B">
        <w:rPr>
          <w:rFonts w:ascii="Palatino Linotype" w:hAnsi="Palatino Linotype" w:cs="Arial"/>
        </w:rPr>
        <w:t xml:space="preserve">, </w:t>
      </w:r>
      <w:r>
        <w:rPr>
          <w:rFonts w:ascii="Palatino Linotype" w:hAnsi="Palatino Linotype" w:cs="Arial"/>
        </w:rPr>
        <w:t xml:space="preserve">a través del cual </w:t>
      </w:r>
      <w:r w:rsidRPr="00E718A5">
        <w:rPr>
          <w:rFonts w:ascii="Palatino Linotype" w:hAnsi="Palatino Linotype" w:cs="Arial"/>
        </w:rPr>
        <w:t xml:space="preserve">manifestó adjuntar copia simple de la tarjeta suscrita por la Oficial Mayor, por medio </w:t>
      </w:r>
      <w:r w:rsidRPr="00E718A5">
        <w:rPr>
          <w:rFonts w:ascii="Palatino Linotype" w:hAnsi="Palatino Linotype" w:cs="Arial"/>
        </w:rPr>
        <w:lastRenderedPageBreak/>
        <w:t>de la c</w:t>
      </w:r>
      <w:r>
        <w:rPr>
          <w:rFonts w:ascii="Palatino Linotype" w:hAnsi="Palatino Linotype" w:cs="Arial"/>
        </w:rPr>
        <w:t>ual autoriza el cambio de rango, en el que</w:t>
      </w:r>
      <w:r w:rsidRPr="00E718A5">
        <w:rPr>
          <w:rFonts w:ascii="Palatino Linotype" w:hAnsi="Palatino Linotype" w:cs="Arial"/>
        </w:rPr>
        <w:t xml:space="preserve"> se advierte</w:t>
      </w:r>
      <w:r>
        <w:rPr>
          <w:rFonts w:ascii="Palatino Linotype" w:hAnsi="Palatino Linotype" w:cs="Arial"/>
        </w:rPr>
        <w:t xml:space="preserve"> el documento </w:t>
      </w:r>
      <w:r w:rsidRPr="00E718A5">
        <w:rPr>
          <w:rFonts w:ascii="Palatino Linotype" w:hAnsi="Palatino Linotype" w:cs="Arial"/>
        </w:rPr>
        <w:t>adjuntó la solicitud de acuerdo para asignación de percepciones a mandos superiores y grupo especial, a favor de la persona descrita en la solicitud de información, en la que se especifica percepciones actuales del servidor público y la propuesta, de fecha primero de julio del dos mil veinticuatro.</w:t>
      </w:r>
    </w:p>
    <w:p w14:paraId="0341512E" w14:textId="77777777" w:rsidR="005D1D9F" w:rsidRDefault="005D1D9F" w:rsidP="00FF4F61">
      <w:pPr>
        <w:spacing w:line="360" w:lineRule="auto"/>
        <w:ind w:right="141"/>
        <w:jc w:val="both"/>
        <w:rPr>
          <w:rFonts w:ascii="Palatino Linotype" w:hAnsi="Palatino Linotype" w:cs="Arial"/>
        </w:rPr>
      </w:pPr>
    </w:p>
    <w:p w14:paraId="3345C070" w14:textId="77777777" w:rsidR="00E718A5" w:rsidRPr="00BC334D" w:rsidRDefault="00E11B18" w:rsidP="00FF4F61">
      <w:pPr>
        <w:spacing w:line="360" w:lineRule="auto"/>
        <w:ind w:right="190"/>
        <w:jc w:val="both"/>
        <w:rPr>
          <w:rFonts w:ascii="Palatino Linotype" w:hAnsi="Palatino Linotype" w:cs="Arial"/>
          <w:i/>
        </w:rPr>
      </w:pPr>
      <w:r w:rsidRPr="00B7320F">
        <w:rPr>
          <w:rFonts w:ascii="Palatino Linotype" w:eastAsiaTheme="minorHAnsi" w:hAnsi="Palatino Linotype" w:cs="Arial"/>
          <w:bCs/>
          <w:lang w:val="es-MX" w:eastAsia="en-US"/>
        </w:rPr>
        <w:t>Es así que</w:t>
      </w:r>
      <w:r w:rsidR="005D1D9F">
        <w:rPr>
          <w:rFonts w:ascii="Palatino Linotype" w:eastAsiaTheme="minorHAnsi" w:hAnsi="Palatino Linotype" w:cs="Arial"/>
          <w:bCs/>
          <w:lang w:val="es-MX" w:eastAsia="en-US"/>
        </w:rPr>
        <w:t>,</w:t>
      </w:r>
      <w:r w:rsidRPr="00B7320F">
        <w:rPr>
          <w:rFonts w:ascii="Palatino Linotype" w:eastAsiaTheme="minorHAnsi" w:hAnsi="Palatino Linotype" w:cs="Arial"/>
          <w:bCs/>
          <w:lang w:val="es-MX" w:eastAsia="en-US"/>
        </w:rPr>
        <w:t xml:space="preserve"> derivado de la respuesta emitida por</w:t>
      </w:r>
      <w:r w:rsidR="005D1D9F">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Sujeto Obligado</w:t>
      </w:r>
      <w:r w:rsidRPr="00B7320F">
        <w:rPr>
          <w:rFonts w:ascii="Palatino Linotype" w:eastAsiaTheme="minorHAnsi" w:hAnsi="Palatino Linotype" w:cs="Arial"/>
          <w:bCs/>
          <w:lang w:val="es-MX" w:eastAsia="en-US"/>
        </w:rPr>
        <w:t>,</w:t>
      </w:r>
      <w:r w:rsidR="00E718A5">
        <w:rPr>
          <w:rFonts w:ascii="Palatino Linotype" w:eastAsiaTheme="minorHAnsi" w:hAnsi="Palatino Linotype" w:cs="Arial"/>
          <w:bCs/>
          <w:lang w:val="es-MX" w:eastAsia="en-US"/>
        </w:rPr>
        <w:t xml:space="preserve"> </w:t>
      </w:r>
      <w:r w:rsidR="005D1D9F">
        <w:rPr>
          <w:rFonts w:ascii="Palatino Linotype" w:eastAsiaTheme="minorHAnsi" w:hAnsi="Palatino Linotype" w:cs="Arial"/>
          <w:bCs/>
          <w:lang w:val="es-MX" w:eastAsia="en-US"/>
        </w:rPr>
        <w:t>l</w:t>
      </w:r>
      <w:r w:rsidR="00E718A5">
        <w:rPr>
          <w:rFonts w:ascii="Palatino Linotype" w:eastAsiaTheme="minorHAnsi" w:hAnsi="Palatino Linotype" w:cs="Arial"/>
          <w:bCs/>
          <w:lang w:val="es-MX" w:eastAsia="en-US"/>
        </w:rPr>
        <w:t>a parte</w:t>
      </w:r>
      <w:r w:rsidR="005D1D9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Recurrente</w:t>
      </w:r>
      <w:r w:rsidRPr="00B7320F">
        <w:rPr>
          <w:rFonts w:ascii="Palatino Linotype" w:eastAsiaTheme="minorHAnsi" w:hAnsi="Palatino Linotype" w:cs="Arial"/>
          <w:bCs/>
          <w:lang w:val="es-MX" w:eastAsia="en-US"/>
        </w:rPr>
        <w:t xml:space="preserve">, interpuso el presente recurso de revisión, señalando </w:t>
      </w:r>
      <w:r w:rsidR="005D1D9F">
        <w:rPr>
          <w:rFonts w:ascii="Palatino Linotype" w:eastAsiaTheme="minorHAnsi" w:hAnsi="Palatino Linotype" w:cs="Arial"/>
          <w:bCs/>
          <w:lang w:val="es-MX" w:eastAsia="en-US"/>
        </w:rPr>
        <w:t>en</w:t>
      </w:r>
      <w:r w:rsidR="00603289">
        <w:rPr>
          <w:rFonts w:ascii="Palatino Linotype" w:eastAsiaTheme="minorHAnsi" w:hAnsi="Palatino Linotype" w:cs="Arial"/>
          <w:bCs/>
          <w:lang w:val="es-MX" w:eastAsia="en-US"/>
        </w:rPr>
        <w:t xml:space="preserve"> sus </w:t>
      </w:r>
      <w:bookmarkStart w:id="3" w:name="_Hlk181707652"/>
      <w:r w:rsidR="00603289" w:rsidRPr="00603289">
        <w:rPr>
          <w:rFonts w:ascii="Palatino Linotype" w:eastAsiaTheme="minorHAnsi" w:hAnsi="Palatino Linotype" w:cs="Arial"/>
          <w:bCs/>
          <w:lang w:val="es-MX" w:eastAsia="en-US"/>
        </w:rPr>
        <w:t>razones o motivos de la inconformidad</w:t>
      </w:r>
      <w:bookmarkEnd w:id="3"/>
      <w:r w:rsidRPr="00B7320F">
        <w:rPr>
          <w:rFonts w:ascii="Palatino Linotype" w:eastAsiaTheme="minorHAnsi" w:hAnsi="Palatino Linotype" w:cs="Arial"/>
          <w:bCs/>
          <w:lang w:val="es-MX" w:eastAsia="en-US"/>
        </w:rPr>
        <w:t>, lo siguiente:</w:t>
      </w:r>
      <w:r w:rsidR="00603289">
        <w:rPr>
          <w:rFonts w:ascii="Palatino Linotype" w:eastAsiaTheme="minorHAnsi" w:hAnsi="Palatino Linotype" w:cs="Arial"/>
          <w:bCs/>
          <w:lang w:val="es-MX" w:eastAsia="en-US"/>
        </w:rPr>
        <w:t xml:space="preserve"> </w:t>
      </w:r>
      <w:r w:rsidR="00E718A5" w:rsidRPr="007F160F">
        <w:rPr>
          <w:rFonts w:ascii="Palatino Linotype" w:eastAsia="Arial Unicode MS" w:hAnsi="Palatino Linotype" w:cs="Arial"/>
          <w:i/>
        </w:rPr>
        <w:t>“</w:t>
      </w:r>
      <w:r w:rsidR="00E718A5" w:rsidRPr="001E3627">
        <w:rPr>
          <w:rFonts w:ascii="Palatino Linotype" w:eastAsia="Arial Unicode MS" w:hAnsi="Palatino Linotype" w:cs="Arial"/>
          <w:b/>
          <w:i/>
        </w:rPr>
        <w:t>No tiene merecido el aumento, por ineficiente y RATERO</w:t>
      </w:r>
      <w:r w:rsidR="00E718A5" w:rsidRPr="00EA6316">
        <w:rPr>
          <w:rFonts w:ascii="Palatino Linotype" w:eastAsia="Arial Unicode MS" w:hAnsi="Palatino Linotype" w:cs="Arial"/>
          <w:i/>
        </w:rPr>
        <w:t xml:space="preserve"> ojalá que el nuevo secretario tenga conocimiento de esto.</w:t>
      </w:r>
      <w:r w:rsidR="00E718A5" w:rsidRPr="007F160F">
        <w:rPr>
          <w:rFonts w:ascii="Palatino Linotype" w:hAnsi="Palatino Linotype" w:cs="Arial"/>
          <w:i/>
        </w:rPr>
        <w:t>”</w:t>
      </w:r>
      <w:r w:rsidR="00E718A5" w:rsidRPr="00BC334D">
        <w:rPr>
          <w:rFonts w:ascii="Palatino Linotype" w:hAnsi="Palatino Linotype" w:cs="Arial"/>
          <w:i/>
        </w:rPr>
        <w:t xml:space="preserve"> (Sic).</w:t>
      </w:r>
    </w:p>
    <w:p w14:paraId="2E27AF78" w14:textId="1EF189F2" w:rsidR="005D1D9F" w:rsidRPr="005D1D9F" w:rsidRDefault="005D1D9F" w:rsidP="00FF4F61">
      <w:pPr>
        <w:spacing w:line="360" w:lineRule="auto"/>
        <w:ind w:right="141"/>
        <w:jc w:val="both"/>
        <w:rPr>
          <w:rFonts w:ascii="Palatino Linotype" w:eastAsiaTheme="minorHAnsi" w:hAnsi="Palatino Linotype" w:cs="Arial"/>
          <w:bCs/>
          <w:i/>
          <w:lang w:val="es-MX" w:eastAsia="en-US"/>
        </w:rPr>
      </w:pPr>
    </w:p>
    <w:p w14:paraId="3E16BB02" w14:textId="7A3CF480" w:rsidR="00F94863" w:rsidRDefault="00F94863" w:rsidP="00FF4F61">
      <w:pPr>
        <w:tabs>
          <w:tab w:val="left" w:pos="709"/>
        </w:tabs>
        <w:spacing w:line="360" w:lineRule="auto"/>
        <w:contextualSpacing/>
        <w:jc w:val="both"/>
        <w:rPr>
          <w:rFonts w:ascii="Palatino Linotype" w:hAnsi="Palatino Linotype" w:cs="Arial"/>
          <w:lang w:val="es-ES_tradnl"/>
        </w:rPr>
      </w:pPr>
      <w:r w:rsidRPr="00C00F2F">
        <w:rPr>
          <w:rFonts w:ascii="Palatino Linotype" w:hAnsi="Palatino Linotype" w:cs="Arial"/>
          <w:lang w:val="es-ES_tradnl"/>
        </w:rPr>
        <w:t xml:space="preserve">Por lo que, en la etapa de manifestaciones, el </w:t>
      </w:r>
      <w:r w:rsidRPr="00C00F2F">
        <w:rPr>
          <w:rFonts w:ascii="Palatino Linotype" w:hAnsi="Palatino Linotype" w:cs="Arial"/>
          <w:b/>
          <w:bCs/>
          <w:lang w:val="es-ES_tradnl"/>
        </w:rPr>
        <w:t>Sujeto Obligado</w:t>
      </w:r>
      <w:r w:rsidR="00F26C3B">
        <w:rPr>
          <w:rFonts w:ascii="Palatino Linotype" w:hAnsi="Palatino Linotype" w:cs="Arial"/>
          <w:lang w:val="es-ES_tradnl"/>
        </w:rPr>
        <w:t xml:space="preserve"> </w:t>
      </w:r>
      <w:r w:rsidR="00E718A5">
        <w:rPr>
          <w:rFonts w:ascii="Palatino Linotype" w:hAnsi="Palatino Linotype" w:cs="Arial"/>
          <w:lang w:val="es-ES_tradnl"/>
        </w:rPr>
        <w:t>ratifica la respuesta emitida.</w:t>
      </w:r>
    </w:p>
    <w:p w14:paraId="7BD41298" w14:textId="77777777" w:rsidR="005D1D9F" w:rsidRDefault="005D1D9F" w:rsidP="00FF4F61">
      <w:pPr>
        <w:tabs>
          <w:tab w:val="left" w:pos="709"/>
        </w:tabs>
        <w:spacing w:line="360" w:lineRule="auto"/>
        <w:contextualSpacing/>
        <w:jc w:val="both"/>
        <w:rPr>
          <w:rFonts w:ascii="Palatino Linotype" w:hAnsi="Palatino Linotype" w:cs="Arial"/>
          <w:lang w:val="es-ES_tradnl"/>
        </w:rPr>
      </w:pPr>
    </w:p>
    <w:p w14:paraId="7C949691" w14:textId="77777777" w:rsidR="00FF4F61" w:rsidRPr="00FF4F61" w:rsidRDefault="00FF4F61" w:rsidP="00FF4F61">
      <w:pPr>
        <w:autoSpaceDE w:val="0"/>
        <w:autoSpaceDN w:val="0"/>
        <w:adjustRightInd w:val="0"/>
        <w:spacing w:line="360" w:lineRule="auto"/>
        <w:jc w:val="both"/>
        <w:rPr>
          <w:rFonts w:ascii="Palatino Linotype" w:hAnsi="Palatino Linotype"/>
          <w:highlight w:val="yellow"/>
        </w:rPr>
      </w:pPr>
      <w:bookmarkStart w:id="4" w:name="_Hlk160725700"/>
      <w:r w:rsidRPr="00FF4F61">
        <w:rPr>
          <w:rFonts w:ascii="Palatino Linotype" w:hAnsi="Palatino Linotype"/>
          <w:iCs/>
          <w:highlight w:val="yellow"/>
        </w:rPr>
        <w:t>Así las cosas,</w:t>
      </w:r>
      <w:r w:rsidRPr="00FF4F61">
        <w:rPr>
          <w:i/>
          <w:highlight w:val="yellow"/>
        </w:rPr>
        <w:t xml:space="preserve"> </w:t>
      </w:r>
      <w:r w:rsidRPr="00FF4F61">
        <w:rPr>
          <w:rFonts w:ascii="Palatino Linotype" w:hAnsi="Palatino Linotype" w:cs="Arial"/>
          <w:highlight w:val="yellow"/>
        </w:rPr>
        <w:t xml:space="preserve">se advierte </w:t>
      </w:r>
      <w:r w:rsidRPr="00FF4F61">
        <w:rPr>
          <w:rFonts w:ascii="Palatino Linotype" w:hAnsi="Palatino Linotype"/>
          <w:b/>
          <w:highlight w:val="yellow"/>
          <w:u w:val="single"/>
        </w:rPr>
        <w:t>que el particular no expresa razonamientos concretos que permitieran a analizar si, efectivamente, el Sujeto Obligado violentó el derecho de acceso a la información del particular</w:t>
      </w:r>
      <w:r w:rsidRPr="00FF4F61">
        <w:rPr>
          <w:rFonts w:ascii="Palatino Linotype" w:hAnsi="Palatino Linotype"/>
          <w:highlight w:val="yellow"/>
        </w:rPr>
        <w:t xml:space="preserve">, para mayor abundamiento es aplicable la Jurisprudencia con número de registro 173593 de la Novena Época, visible en el Semanario Judicial de la Federación y su Gaceta Tomo XXV, de enero de 2007, tesis I.4o.A. </w:t>
      </w:r>
      <w:proofErr w:type="gramStart"/>
      <w:r w:rsidRPr="00FF4F61">
        <w:rPr>
          <w:rFonts w:ascii="Palatino Linotype" w:hAnsi="Palatino Linotype"/>
          <w:highlight w:val="yellow"/>
        </w:rPr>
        <w:t>j/48</w:t>
      </w:r>
      <w:proofErr w:type="gramEnd"/>
      <w:r w:rsidRPr="00FF4F61">
        <w:rPr>
          <w:rFonts w:ascii="Palatino Linotype" w:hAnsi="Palatino Linotype"/>
          <w:highlight w:val="yellow"/>
        </w:rPr>
        <w:t xml:space="preserve"> en materia común, en la que se establece lo siguiente:</w:t>
      </w:r>
    </w:p>
    <w:p w14:paraId="37F8E0AE"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p>
    <w:p w14:paraId="6B613C9F" w14:textId="77777777" w:rsidR="00FF4F61" w:rsidRPr="00FF4F61" w:rsidRDefault="00FF4F61" w:rsidP="00FF4F61">
      <w:pPr>
        <w:pStyle w:val="Citas"/>
        <w:spacing w:before="0" w:after="0"/>
        <w:ind w:left="567" w:right="567"/>
        <w:rPr>
          <w:b/>
          <w:bCs/>
          <w:highlight w:val="yellow"/>
        </w:rPr>
      </w:pPr>
      <w:r w:rsidRPr="00FF4F61">
        <w:rPr>
          <w:b/>
          <w:bCs/>
          <w:highlight w:val="yellow"/>
        </w:rPr>
        <w:t>“CONCEPTOS DE VIOLACIÓN O AGRAVIOS. SON INOPERANTES CUANDO LOS ARGUMENTOS EXPUESTOS POR EL QUEJOSO O EL RECURRENTE SON AMBIGUOS Y SUPERFICIALES.</w:t>
      </w:r>
    </w:p>
    <w:p w14:paraId="0C5F9B06" w14:textId="77777777" w:rsidR="00FF4F61" w:rsidRPr="00FF4F61" w:rsidRDefault="00FF4F61" w:rsidP="00FF4F61">
      <w:pPr>
        <w:pStyle w:val="Citas"/>
        <w:spacing w:before="0" w:after="0"/>
        <w:ind w:left="567" w:right="567"/>
        <w:rPr>
          <w:highlight w:val="yellow"/>
        </w:rPr>
      </w:pPr>
      <w:r w:rsidRPr="00FF4F61">
        <w:rPr>
          <w:highlight w:val="yellow"/>
        </w:rPr>
        <w:t xml:space="preserve">Los actos de autoridad y las sentencias están investidos de una presunción de validez que debe ser destruida. Por tanto, </w:t>
      </w:r>
      <w:r w:rsidRPr="00FF4F61">
        <w:rPr>
          <w:highlight w:val="yellow"/>
          <w:u w:val="single"/>
        </w:rPr>
        <w:t xml:space="preserve">cuando lo expuesto por la parte quejosa o el recurrente es </w:t>
      </w:r>
      <w:r w:rsidRPr="00FF4F61">
        <w:rPr>
          <w:highlight w:val="yellow"/>
          <w:u w:val="single"/>
        </w:rPr>
        <w:lastRenderedPageBreak/>
        <w:t>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FF4F61">
        <w:rPr>
          <w:highlight w:val="yellow"/>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FF4F61">
        <w:rPr>
          <w:highlight w:val="yellow"/>
        </w:rPr>
        <w:t>sequitur</w:t>
      </w:r>
      <w:proofErr w:type="spellEnd"/>
      <w:r w:rsidRPr="00FF4F61">
        <w:rPr>
          <w:highlight w:val="yellow"/>
        </w:rPr>
        <w:t xml:space="preserve"> para obtener una declaratoria de invalidez. </w:t>
      </w:r>
    </w:p>
    <w:p w14:paraId="4ACAE103" w14:textId="77777777" w:rsidR="00FF4F61" w:rsidRPr="00FF4F61" w:rsidRDefault="00FF4F61" w:rsidP="00FF4F61">
      <w:pPr>
        <w:pStyle w:val="Citas"/>
        <w:spacing w:before="0" w:after="0"/>
        <w:ind w:left="567" w:right="567"/>
        <w:rPr>
          <w:sz w:val="20"/>
          <w:highlight w:val="yellow"/>
        </w:rPr>
      </w:pPr>
      <w:r w:rsidRPr="00FF4F61">
        <w:rPr>
          <w:sz w:val="20"/>
          <w:highlight w:val="yellow"/>
        </w:rPr>
        <w:t>CUARTO TRIBUNAL COLEGIADO EN MATERIA ADMINISTRATIVA DEL PRIMER CIRCUITO.</w:t>
      </w:r>
    </w:p>
    <w:p w14:paraId="642713E4" w14:textId="77777777" w:rsidR="00FF4F61" w:rsidRPr="00FF4F61" w:rsidRDefault="00FF4F61" w:rsidP="00FF4F61">
      <w:pPr>
        <w:pStyle w:val="Citas"/>
        <w:spacing w:before="0" w:after="0"/>
        <w:ind w:left="567" w:right="567"/>
        <w:rPr>
          <w:sz w:val="20"/>
          <w:highlight w:val="yellow"/>
        </w:rPr>
      </w:pPr>
      <w:r w:rsidRPr="00FF4F61">
        <w:rPr>
          <w:sz w:val="20"/>
          <w:highlight w:val="yellow"/>
        </w:rPr>
        <w:t xml:space="preserve">Amparo en revisión 43/2006. Juan Silva Rodríguez y otros. 22 de febrero de 2006. Unanimidad de votos. Ponente: Jean Claude </w:t>
      </w:r>
      <w:proofErr w:type="spellStart"/>
      <w:r w:rsidRPr="00FF4F61">
        <w:rPr>
          <w:sz w:val="20"/>
          <w:highlight w:val="yellow"/>
        </w:rPr>
        <w:t>Tron</w:t>
      </w:r>
      <w:proofErr w:type="spellEnd"/>
      <w:r w:rsidRPr="00FF4F61">
        <w:rPr>
          <w:sz w:val="20"/>
          <w:highlight w:val="yellow"/>
        </w:rPr>
        <w:t xml:space="preserve"> </w:t>
      </w:r>
      <w:proofErr w:type="spellStart"/>
      <w:r w:rsidRPr="00FF4F61">
        <w:rPr>
          <w:sz w:val="20"/>
          <w:highlight w:val="yellow"/>
        </w:rPr>
        <w:t>Petit</w:t>
      </w:r>
      <w:proofErr w:type="spellEnd"/>
      <w:r w:rsidRPr="00FF4F61">
        <w:rPr>
          <w:sz w:val="20"/>
          <w:highlight w:val="yellow"/>
        </w:rPr>
        <w:t xml:space="preserve">. Secretaria: Claudia Patricia Peraza Espinoza. </w:t>
      </w:r>
    </w:p>
    <w:p w14:paraId="4A330FEF" w14:textId="77777777" w:rsidR="00FF4F61" w:rsidRPr="00FF4F61" w:rsidRDefault="00FF4F61" w:rsidP="00FF4F61">
      <w:pPr>
        <w:pStyle w:val="Citas"/>
        <w:spacing w:before="0" w:after="0"/>
        <w:ind w:left="567" w:right="567"/>
        <w:rPr>
          <w:sz w:val="20"/>
          <w:highlight w:val="yellow"/>
        </w:rPr>
      </w:pPr>
      <w:r w:rsidRPr="00FF4F61">
        <w:rPr>
          <w:sz w:val="20"/>
          <w:highlight w:val="yellow"/>
        </w:rPr>
        <w:t xml:space="preserve">Amparo directo 443/2005. Servicios Corporativos Cosmos, S.A. de C.V. 1o. de marzo de 2006. Unanimidad de votos. Ponente: Jean Claude </w:t>
      </w:r>
      <w:proofErr w:type="spellStart"/>
      <w:r w:rsidRPr="00FF4F61">
        <w:rPr>
          <w:sz w:val="20"/>
          <w:highlight w:val="yellow"/>
        </w:rPr>
        <w:t>Tron</w:t>
      </w:r>
      <w:proofErr w:type="spellEnd"/>
      <w:r w:rsidRPr="00FF4F61">
        <w:rPr>
          <w:sz w:val="20"/>
          <w:highlight w:val="yellow"/>
        </w:rPr>
        <w:t xml:space="preserve"> </w:t>
      </w:r>
      <w:proofErr w:type="spellStart"/>
      <w:r w:rsidRPr="00FF4F61">
        <w:rPr>
          <w:sz w:val="20"/>
          <w:highlight w:val="yellow"/>
        </w:rPr>
        <w:t>Petit</w:t>
      </w:r>
      <w:proofErr w:type="spellEnd"/>
      <w:r w:rsidRPr="00FF4F61">
        <w:rPr>
          <w:sz w:val="20"/>
          <w:highlight w:val="yellow"/>
        </w:rPr>
        <w:t xml:space="preserve">. Secretario: Alfredo A. Martínez Jiménez. </w:t>
      </w:r>
    </w:p>
    <w:p w14:paraId="23F71234" w14:textId="77777777" w:rsidR="00FF4F61" w:rsidRPr="00FF4F61" w:rsidRDefault="00FF4F61" w:rsidP="00FF4F61">
      <w:pPr>
        <w:pStyle w:val="Citas"/>
        <w:spacing w:before="0" w:after="0"/>
        <w:ind w:left="567" w:right="567"/>
        <w:rPr>
          <w:sz w:val="20"/>
          <w:highlight w:val="yellow"/>
        </w:rPr>
      </w:pPr>
      <w:r w:rsidRPr="00FF4F61">
        <w:rPr>
          <w:sz w:val="20"/>
          <w:highlight w:val="yellow"/>
        </w:rPr>
        <w:t xml:space="preserve">Amparo directo 125/2006. Víctor Hugo Reyes </w:t>
      </w:r>
      <w:proofErr w:type="spellStart"/>
      <w:r w:rsidRPr="00FF4F61">
        <w:rPr>
          <w:sz w:val="20"/>
          <w:highlight w:val="yellow"/>
        </w:rPr>
        <w:t>Monterrubio</w:t>
      </w:r>
      <w:proofErr w:type="spellEnd"/>
      <w:r w:rsidRPr="00FF4F61">
        <w:rPr>
          <w:sz w:val="20"/>
          <w:highlight w:val="yellow"/>
        </w:rPr>
        <w:t xml:space="preserve">. 31 de mayo de 2006. Unanimidad de votos. Ponente: Jean Claude </w:t>
      </w:r>
      <w:proofErr w:type="spellStart"/>
      <w:r w:rsidRPr="00FF4F61">
        <w:rPr>
          <w:sz w:val="20"/>
          <w:highlight w:val="yellow"/>
        </w:rPr>
        <w:t>Tron</w:t>
      </w:r>
      <w:proofErr w:type="spellEnd"/>
      <w:r w:rsidRPr="00FF4F61">
        <w:rPr>
          <w:sz w:val="20"/>
          <w:highlight w:val="yellow"/>
        </w:rPr>
        <w:t xml:space="preserve"> </w:t>
      </w:r>
      <w:proofErr w:type="spellStart"/>
      <w:r w:rsidRPr="00FF4F61">
        <w:rPr>
          <w:sz w:val="20"/>
          <w:highlight w:val="yellow"/>
        </w:rPr>
        <w:t>Petit</w:t>
      </w:r>
      <w:proofErr w:type="spellEnd"/>
      <w:r w:rsidRPr="00FF4F61">
        <w:rPr>
          <w:sz w:val="20"/>
          <w:highlight w:val="yellow"/>
        </w:rPr>
        <w:t xml:space="preserve">. Secretario: Alfredo A. Martínez Jiménez. </w:t>
      </w:r>
    </w:p>
    <w:p w14:paraId="58820837" w14:textId="77777777" w:rsidR="00FF4F61" w:rsidRPr="00FF4F61" w:rsidRDefault="00FF4F61" w:rsidP="00FF4F61">
      <w:pPr>
        <w:pStyle w:val="Citas"/>
        <w:spacing w:before="0" w:after="0"/>
        <w:ind w:left="567" w:right="567"/>
        <w:rPr>
          <w:sz w:val="20"/>
          <w:highlight w:val="yellow"/>
        </w:rPr>
      </w:pPr>
      <w:r w:rsidRPr="00FF4F61">
        <w:rPr>
          <w:sz w:val="20"/>
          <w:highlight w:val="yellow"/>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0F821015" w14:textId="77777777" w:rsidR="00FF4F61" w:rsidRPr="00FF4F61" w:rsidRDefault="00FF4F61" w:rsidP="00FF4F61">
      <w:pPr>
        <w:pStyle w:val="Citas"/>
        <w:spacing w:before="0" w:after="0"/>
        <w:ind w:left="567" w:right="567"/>
        <w:rPr>
          <w:b/>
          <w:bCs/>
          <w:sz w:val="20"/>
          <w:highlight w:val="yellow"/>
        </w:rPr>
      </w:pPr>
      <w:r w:rsidRPr="00FF4F61">
        <w:rPr>
          <w:sz w:val="20"/>
          <w:highlight w:val="yellow"/>
        </w:rPr>
        <w:t xml:space="preserve">Incidente de suspensión (revisión) 380/2006. Director General Jurídico y de Gobierno en la Delegación Tlalpan. 11 de octubre de 2006. Unanimidad de votos. Ponente: Jesús Antonio </w:t>
      </w:r>
      <w:proofErr w:type="spellStart"/>
      <w:r w:rsidRPr="00FF4F61">
        <w:rPr>
          <w:sz w:val="20"/>
          <w:highlight w:val="yellow"/>
        </w:rPr>
        <w:t>Nazar</w:t>
      </w:r>
      <w:proofErr w:type="spellEnd"/>
      <w:r w:rsidRPr="00FF4F61">
        <w:rPr>
          <w:sz w:val="20"/>
          <w:highlight w:val="yellow"/>
        </w:rPr>
        <w:t xml:space="preserve"> Sevilla. Secretaria: Indira Martínez Fernández.” </w:t>
      </w:r>
      <w:r w:rsidRPr="00FF4F61">
        <w:rPr>
          <w:b/>
          <w:bCs/>
          <w:sz w:val="20"/>
          <w:highlight w:val="yellow"/>
        </w:rPr>
        <w:t>(Sic)</w:t>
      </w:r>
    </w:p>
    <w:p w14:paraId="0BAFB0E7" w14:textId="77777777" w:rsidR="00FF4F61" w:rsidRPr="00FF4F61" w:rsidRDefault="00FF4F61" w:rsidP="00FF4F61">
      <w:pPr>
        <w:spacing w:line="360" w:lineRule="auto"/>
        <w:jc w:val="both"/>
        <w:rPr>
          <w:rFonts w:ascii="Palatino Linotype" w:hAnsi="Palatino Linotype"/>
          <w:highlight w:val="yellow"/>
        </w:rPr>
      </w:pPr>
    </w:p>
    <w:p w14:paraId="7EA9081E" w14:textId="77777777" w:rsidR="006C4581" w:rsidRDefault="006C4581" w:rsidP="00FF4F61">
      <w:pPr>
        <w:spacing w:line="360" w:lineRule="auto"/>
        <w:jc w:val="both"/>
        <w:rPr>
          <w:rFonts w:ascii="Palatino Linotype" w:hAnsi="Palatino Linotype"/>
          <w:highlight w:val="yellow"/>
        </w:rPr>
      </w:pPr>
    </w:p>
    <w:p w14:paraId="35A963CE" w14:textId="77777777" w:rsidR="006C4581" w:rsidRDefault="006C4581" w:rsidP="00FF4F61">
      <w:pPr>
        <w:spacing w:line="360" w:lineRule="auto"/>
        <w:jc w:val="both"/>
        <w:rPr>
          <w:rFonts w:ascii="Palatino Linotype" w:hAnsi="Palatino Linotype"/>
          <w:highlight w:val="yellow"/>
        </w:rPr>
      </w:pPr>
    </w:p>
    <w:p w14:paraId="6E223507" w14:textId="77777777" w:rsidR="00FF4F61" w:rsidRPr="00FF4F61" w:rsidRDefault="00FF4F61" w:rsidP="00FF4F61">
      <w:pPr>
        <w:spacing w:line="360" w:lineRule="auto"/>
        <w:jc w:val="both"/>
        <w:rPr>
          <w:rFonts w:ascii="Palatino Linotype" w:hAnsi="Palatino Linotype"/>
          <w:highlight w:val="yellow"/>
        </w:rPr>
      </w:pPr>
      <w:r w:rsidRPr="00FF4F61">
        <w:rPr>
          <w:rFonts w:ascii="Palatino Linotype" w:hAnsi="Palatino Linotype"/>
          <w:highlight w:val="yellow"/>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174F0D67" w14:textId="77777777" w:rsidR="00FF4F61" w:rsidRPr="00FF4F61" w:rsidRDefault="00FF4F61" w:rsidP="00FF4F61">
      <w:pPr>
        <w:spacing w:line="360" w:lineRule="auto"/>
        <w:jc w:val="both"/>
        <w:rPr>
          <w:rFonts w:ascii="Palatino Linotype" w:hAnsi="Palatino Linotype"/>
          <w:highlight w:val="yellow"/>
        </w:rPr>
      </w:pPr>
    </w:p>
    <w:p w14:paraId="315946B4" w14:textId="77777777" w:rsidR="00FF4F61" w:rsidRPr="00FF4F61" w:rsidRDefault="00FF4F61" w:rsidP="00FF4F61">
      <w:pPr>
        <w:pStyle w:val="Citas"/>
        <w:spacing w:before="0" w:after="0"/>
        <w:ind w:left="567" w:right="567"/>
        <w:rPr>
          <w:b/>
          <w:bCs/>
          <w:highlight w:val="yellow"/>
        </w:rPr>
      </w:pPr>
      <w:r w:rsidRPr="00FF4F61">
        <w:rPr>
          <w:b/>
          <w:bCs/>
          <w:highlight w:val="yellow"/>
        </w:rPr>
        <w:t>“AGRAVIOS, LO QUE DEBE CONSIDERARSE COMO TALES</w:t>
      </w:r>
    </w:p>
    <w:p w14:paraId="48FA364A" w14:textId="77777777" w:rsidR="00FF4F61" w:rsidRPr="00FF4F61" w:rsidRDefault="00FF4F61" w:rsidP="00FF4F61">
      <w:pPr>
        <w:pStyle w:val="Citas"/>
        <w:spacing w:before="0" w:after="0"/>
        <w:ind w:left="567" w:right="567"/>
        <w:rPr>
          <w:highlight w:val="yellow"/>
        </w:rPr>
      </w:pPr>
      <w:r w:rsidRPr="00FF4F61">
        <w:rPr>
          <w:highlight w:val="yellow"/>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420198FD" w14:textId="77777777" w:rsidR="00FF4F61" w:rsidRPr="00FF4F61" w:rsidRDefault="00FF4F61" w:rsidP="00FF4F61">
      <w:pPr>
        <w:pStyle w:val="Citas"/>
        <w:spacing w:before="0" w:after="0"/>
        <w:ind w:left="567" w:right="567"/>
        <w:rPr>
          <w:sz w:val="20"/>
          <w:highlight w:val="yellow"/>
        </w:rPr>
      </w:pPr>
      <w:r w:rsidRPr="00FF4F61">
        <w:rPr>
          <w:sz w:val="20"/>
          <w:highlight w:val="yellow"/>
        </w:rPr>
        <w:t>PRIMER TRIBUNAL COLEGIADO DEL SEPTIMO CIRCUITO.</w:t>
      </w:r>
    </w:p>
    <w:p w14:paraId="5256EF29" w14:textId="77777777" w:rsidR="00FF4F61" w:rsidRPr="00FF4F61" w:rsidRDefault="00FF4F61" w:rsidP="00FF4F61">
      <w:pPr>
        <w:pStyle w:val="Citas"/>
        <w:spacing w:before="0" w:after="0"/>
        <w:ind w:left="567" w:right="567"/>
        <w:rPr>
          <w:b/>
          <w:bCs/>
          <w:sz w:val="20"/>
          <w:highlight w:val="yellow"/>
        </w:rPr>
      </w:pPr>
      <w:r w:rsidRPr="00FF4F61">
        <w:rPr>
          <w:sz w:val="20"/>
          <w:highlight w:val="yellow"/>
        </w:rPr>
        <w:t xml:space="preserve">Incidente 563/87. Jorge Orlando </w:t>
      </w:r>
      <w:proofErr w:type="spellStart"/>
      <w:r w:rsidRPr="00FF4F61">
        <w:rPr>
          <w:sz w:val="20"/>
          <w:highlight w:val="yellow"/>
        </w:rPr>
        <w:t>Cuallo</w:t>
      </w:r>
      <w:proofErr w:type="spellEnd"/>
      <w:r w:rsidRPr="00FF4F61">
        <w:rPr>
          <w:sz w:val="20"/>
          <w:highlight w:val="yellow"/>
        </w:rPr>
        <w:t xml:space="preserve">. 20 de enero de 1988. Unanimidad de votos. Ponente: Tomás Enrique Ochoa Moguel. Secretario: Héctor Riveros </w:t>
      </w:r>
      <w:proofErr w:type="spellStart"/>
      <w:r w:rsidRPr="00FF4F61">
        <w:rPr>
          <w:sz w:val="20"/>
          <w:highlight w:val="yellow"/>
        </w:rPr>
        <w:t>Caraza</w:t>
      </w:r>
      <w:proofErr w:type="spellEnd"/>
      <w:r w:rsidRPr="00FF4F61">
        <w:rPr>
          <w:sz w:val="20"/>
          <w:highlight w:val="yellow"/>
        </w:rPr>
        <w:t xml:space="preserve">.” </w:t>
      </w:r>
      <w:r w:rsidRPr="00FF4F61">
        <w:rPr>
          <w:b/>
          <w:bCs/>
          <w:sz w:val="20"/>
          <w:highlight w:val="yellow"/>
        </w:rPr>
        <w:t>(Sic)</w:t>
      </w:r>
    </w:p>
    <w:p w14:paraId="6C21DC25" w14:textId="77777777" w:rsidR="00FF4F61" w:rsidRPr="00FF4F61" w:rsidRDefault="00FF4F61" w:rsidP="00FF4F61">
      <w:pPr>
        <w:pStyle w:val="infoemcitas"/>
        <w:tabs>
          <w:tab w:val="left" w:pos="7655"/>
        </w:tabs>
        <w:spacing w:before="0" w:after="0"/>
        <w:ind w:left="0" w:right="0"/>
        <w:rPr>
          <w:i w:val="0"/>
          <w:sz w:val="24"/>
          <w:szCs w:val="24"/>
          <w:highlight w:val="yellow"/>
        </w:rPr>
      </w:pPr>
    </w:p>
    <w:p w14:paraId="6A0778FD"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r w:rsidRPr="00FF4F61">
        <w:rPr>
          <w:rFonts w:ascii="Palatino Linotype" w:hAnsi="Palatino Linotype" w:cs="Arial"/>
          <w:highlight w:val="yellow"/>
        </w:rPr>
        <w:t>Al respecto, cabe traer a cuenta lo previsto por el artículo 12, párrafo segundo de la Ley de Transparencia y Acceso a la Información Pública del Estado de México y Municipios que la letra establece lo siguiente:</w:t>
      </w:r>
    </w:p>
    <w:p w14:paraId="0AA9B924"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p>
    <w:p w14:paraId="3BB9845C" w14:textId="77777777" w:rsidR="00FF4F61" w:rsidRPr="00FF4F61" w:rsidRDefault="00FF4F61" w:rsidP="00FF4F61">
      <w:pPr>
        <w:pStyle w:val="Citas"/>
        <w:spacing w:before="0" w:after="0"/>
        <w:rPr>
          <w:b/>
          <w:highlight w:val="yellow"/>
        </w:rPr>
      </w:pPr>
      <w:r w:rsidRPr="00FF4F61">
        <w:rPr>
          <w:b/>
          <w:highlight w:val="yellow"/>
        </w:rPr>
        <w:t>“Artículo 12.</w:t>
      </w:r>
      <w:r w:rsidRPr="00FF4F61">
        <w:rPr>
          <w:highlight w:val="yellow"/>
        </w:rPr>
        <w:t xml:space="preserve"> …</w:t>
      </w:r>
      <w:r w:rsidRPr="00FF4F61">
        <w:rPr>
          <w:b/>
          <w:highlight w:val="yellow"/>
        </w:rPr>
        <w:t xml:space="preserve"> </w:t>
      </w:r>
    </w:p>
    <w:p w14:paraId="5717A053" w14:textId="77777777" w:rsidR="00FF4F61" w:rsidRPr="00FF4F61" w:rsidRDefault="00FF4F61" w:rsidP="00FF4F61">
      <w:pPr>
        <w:pStyle w:val="Citas"/>
        <w:spacing w:before="0" w:after="0"/>
        <w:rPr>
          <w:b/>
          <w:bCs/>
          <w:highlight w:val="yellow"/>
        </w:rPr>
      </w:pPr>
      <w:r w:rsidRPr="00FF4F61">
        <w:rPr>
          <w:b/>
          <w:highlight w:val="yellow"/>
          <w:u w:val="single"/>
        </w:rPr>
        <w:t>Los sujetos obligados sólo proporcionarán la información pública que se les requiera y que obre en sus archivos y en el estado en que ésta se encuentre</w:t>
      </w:r>
      <w:r w:rsidRPr="00FF4F61">
        <w:rPr>
          <w:highlight w:val="yellow"/>
        </w:rPr>
        <w:t xml:space="preserve">. La obligación de proporcionar información no comprende el procesamiento de la misma, ni el presentarla conforme al interés del solicitante; no estarán obligados a generarla, resumirla, efectuar cálculos o practicar investigaciones.” </w:t>
      </w:r>
      <w:r w:rsidRPr="00FF4F61">
        <w:rPr>
          <w:b/>
          <w:bCs/>
          <w:highlight w:val="yellow"/>
        </w:rPr>
        <w:t>(Sic)</w:t>
      </w:r>
    </w:p>
    <w:p w14:paraId="406E875D" w14:textId="77777777" w:rsidR="00FF4F61" w:rsidRPr="00FF4F61" w:rsidRDefault="00FF4F61" w:rsidP="00FF4F61">
      <w:pPr>
        <w:ind w:left="851" w:right="851"/>
        <w:jc w:val="both"/>
        <w:rPr>
          <w:rFonts w:ascii="Palatino Linotype" w:hAnsi="Palatino Linotype" w:cs="Arial"/>
          <w:b/>
          <w:i/>
          <w:sz w:val="16"/>
          <w:highlight w:val="yellow"/>
        </w:rPr>
      </w:pPr>
    </w:p>
    <w:p w14:paraId="6B4BD43F" w14:textId="77777777" w:rsidR="00FF4F61" w:rsidRPr="00FF4F61" w:rsidRDefault="00FF4F61" w:rsidP="00FF4F61">
      <w:pPr>
        <w:spacing w:line="360" w:lineRule="auto"/>
        <w:jc w:val="both"/>
        <w:rPr>
          <w:rFonts w:ascii="Palatino Linotype" w:hAnsi="Palatino Linotype" w:cs="Arial"/>
          <w:highlight w:val="yellow"/>
          <w:lang w:eastAsia="es-MX"/>
        </w:rPr>
      </w:pPr>
      <w:r w:rsidRPr="00FF4F61">
        <w:rPr>
          <w:rFonts w:ascii="Palatino Linotype" w:hAnsi="Palatino Linotype" w:cs="Arial"/>
          <w:highlight w:val="yellow"/>
          <w:lang w:eastAsia="es-MX"/>
        </w:rPr>
        <w:t xml:space="preserve">Además, y de conformidad con lo ya establecido anteriormente en el artículo 12, de la Ley de Transparencia y Acceso a la Información Pública del Estado de México y Municipios, anteriormente invocado el </w:t>
      </w:r>
      <w:r w:rsidRPr="00FF4F61">
        <w:rPr>
          <w:rFonts w:ascii="Palatino Linotype" w:hAnsi="Palatino Linotype" w:cs="Arial"/>
          <w:b/>
          <w:highlight w:val="yellow"/>
          <w:lang w:eastAsia="es-MX"/>
        </w:rPr>
        <w:t>Sujeto Obligado</w:t>
      </w:r>
      <w:r w:rsidRPr="00FF4F61">
        <w:rPr>
          <w:rFonts w:ascii="Palatino Linotype" w:hAnsi="Palatino Linotype" w:cs="Arial"/>
          <w:highlight w:val="yellow"/>
          <w:lang w:eastAsia="es-MX"/>
        </w:rPr>
        <w:t xml:space="preserve"> sólo proporcionará la información que obra en sus archivos, lo que </w:t>
      </w:r>
      <w:r w:rsidRPr="00FF4F61">
        <w:rPr>
          <w:rFonts w:ascii="Palatino Linotype" w:hAnsi="Palatino Linotype" w:cs="Arial"/>
          <w:i/>
          <w:highlight w:val="yellow"/>
          <w:lang w:eastAsia="es-MX"/>
        </w:rPr>
        <w:t>a contrario sensu</w:t>
      </w:r>
      <w:r w:rsidRPr="00FF4F61">
        <w:rPr>
          <w:rFonts w:ascii="Palatino Linotype" w:hAnsi="Palatino Linotype" w:cs="Arial"/>
          <w:highlight w:val="yellow"/>
          <w:lang w:eastAsia="es-MX"/>
        </w:rPr>
        <w:t xml:space="preserve"> significa que no se está obligado a proporcionar lo que no obre en sus archivos.</w:t>
      </w:r>
    </w:p>
    <w:p w14:paraId="70BD523A" w14:textId="77777777" w:rsidR="00FF4F61" w:rsidRPr="00FF4F61" w:rsidRDefault="00FF4F61" w:rsidP="00FF4F61">
      <w:pPr>
        <w:spacing w:line="360" w:lineRule="auto"/>
        <w:jc w:val="both"/>
        <w:rPr>
          <w:rFonts w:ascii="Palatino Linotype" w:hAnsi="Palatino Linotype" w:cs="Tahoma"/>
          <w:bCs/>
          <w:highlight w:val="yellow"/>
        </w:rPr>
      </w:pPr>
    </w:p>
    <w:p w14:paraId="571A7071" w14:textId="77777777" w:rsidR="00FF4F61" w:rsidRPr="00FF4F61" w:rsidRDefault="00FF4F61" w:rsidP="00FF4F61">
      <w:pPr>
        <w:spacing w:line="360" w:lineRule="auto"/>
        <w:jc w:val="both"/>
        <w:rPr>
          <w:rFonts w:ascii="Palatino Linotype" w:hAnsi="Palatino Linotype" w:cs="Tahoma"/>
          <w:bCs/>
          <w:highlight w:val="yellow"/>
        </w:rPr>
      </w:pPr>
      <w:r w:rsidRPr="00FF4F61">
        <w:rPr>
          <w:rFonts w:ascii="Palatino Linotype" w:hAnsi="Palatino Linotype" w:cs="Tahoma"/>
          <w:bCs/>
          <w:highlight w:val="yellow"/>
        </w:rPr>
        <w:t xml:space="preserve">Bajo estas líneas argumentativas, al retomar y delimitar los requerimientos del ahora </w:t>
      </w:r>
      <w:r w:rsidRPr="00FF4F61">
        <w:rPr>
          <w:rFonts w:ascii="Palatino Linotype" w:hAnsi="Palatino Linotype" w:cs="Tahoma"/>
          <w:b/>
          <w:bCs/>
          <w:highlight w:val="yellow"/>
        </w:rPr>
        <w:t>Recurrente</w:t>
      </w:r>
      <w:r w:rsidRPr="00FF4F61">
        <w:rPr>
          <w:rFonts w:ascii="Palatino Linotype" w:hAnsi="Palatino Linotype" w:cs="Tahoma"/>
          <w:bCs/>
          <w:highlight w:val="yellow"/>
        </w:rPr>
        <w:t xml:space="preserve">, de manera objetiva se precisa que se queja en los siguientes términos: </w:t>
      </w:r>
    </w:p>
    <w:p w14:paraId="2C304FBA" w14:textId="77777777" w:rsidR="00FF4F61" w:rsidRPr="00FF4F61" w:rsidRDefault="00FF4F61" w:rsidP="00FF4F61">
      <w:pPr>
        <w:spacing w:line="360" w:lineRule="auto"/>
        <w:jc w:val="both"/>
        <w:rPr>
          <w:rFonts w:ascii="Palatino Linotype" w:hAnsi="Palatino Linotype" w:cs="Tahoma"/>
          <w:bCs/>
          <w:highlight w:val="yellow"/>
        </w:rPr>
      </w:pPr>
    </w:p>
    <w:p w14:paraId="5C2AB195" w14:textId="0E819379" w:rsidR="00FF4F61" w:rsidRPr="00FF4F61" w:rsidRDefault="00FF4F61" w:rsidP="00FF4F61">
      <w:pPr>
        <w:spacing w:line="360" w:lineRule="auto"/>
        <w:jc w:val="both"/>
        <w:rPr>
          <w:rFonts w:ascii="Palatino Linotype" w:eastAsiaTheme="minorHAnsi" w:hAnsi="Palatino Linotype" w:cs="Arial"/>
          <w:i/>
          <w:sz w:val="22"/>
          <w:szCs w:val="22"/>
          <w:highlight w:val="yellow"/>
          <w:lang w:val="es-MX" w:eastAsia="en-US"/>
        </w:rPr>
      </w:pPr>
      <w:r w:rsidRPr="00FF4F61">
        <w:rPr>
          <w:rFonts w:ascii="Palatino Linotype" w:eastAsiaTheme="minorHAnsi" w:hAnsi="Palatino Linotype" w:cs="Arial"/>
          <w:i/>
          <w:sz w:val="22"/>
          <w:szCs w:val="22"/>
          <w:highlight w:val="yellow"/>
          <w:lang w:val="es-MX" w:eastAsia="en-US"/>
        </w:rPr>
        <w:t>“No tiene merecido el aumento, por ineficiente y RATERO ojalá que el nuevo secretario tenga conocimiento de esto.” (Sic).</w:t>
      </w:r>
    </w:p>
    <w:p w14:paraId="1C03397A" w14:textId="77777777" w:rsidR="00FF4F61" w:rsidRPr="00FF4F61" w:rsidRDefault="00FF4F61" w:rsidP="00FF4F61">
      <w:pPr>
        <w:spacing w:line="360" w:lineRule="auto"/>
        <w:jc w:val="both"/>
        <w:rPr>
          <w:rFonts w:ascii="Palatino Linotype" w:hAnsi="Palatino Linotype" w:cs="Arial"/>
          <w:highlight w:val="yellow"/>
        </w:rPr>
      </w:pPr>
    </w:p>
    <w:p w14:paraId="6CEB7A5E" w14:textId="64BF62DD" w:rsidR="00FF4F61" w:rsidRPr="00FF4F61" w:rsidRDefault="00FF4F61" w:rsidP="00FF4F61">
      <w:pPr>
        <w:spacing w:line="360" w:lineRule="auto"/>
        <w:jc w:val="both"/>
        <w:rPr>
          <w:rFonts w:ascii="Palatino Linotype" w:hAnsi="Palatino Linotype" w:cs="Arial"/>
          <w:highlight w:val="yellow"/>
        </w:rPr>
      </w:pPr>
      <w:r w:rsidRPr="00FF4F61">
        <w:rPr>
          <w:rFonts w:ascii="Palatino Linotype" w:hAnsi="Palatino Linotype" w:cs="Arial"/>
          <w:highlight w:val="yellow"/>
        </w:rPr>
        <w:t xml:space="preserve">Derivado de lo anterior, es dable concluir que el Particular no se inconforma por la negativa de información, información incompleta, clasificación de la información o alguna de las causales de procedencia previstas en el artículo 179 de la Ley de transparencia local, dicho en otras palabras, no se observa relación alguna entre los argumentos de inconformidad y el expediente que nos ocupa. </w:t>
      </w:r>
    </w:p>
    <w:p w14:paraId="12D0D663" w14:textId="77777777" w:rsidR="00FF4F61" w:rsidRPr="00FF4F61" w:rsidRDefault="00FF4F61" w:rsidP="00FF4F61">
      <w:pPr>
        <w:spacing w:line="360" w:lineRule="auto"/>
        <w:jc w:val="both"/>
        <w:rPr>
          <w:rFonts w:ascii="Palatino Linotype" w:hAnsi="Palatino Linotype" w:cs="Arial"/>
          <w:highlight w:val="yellow"/>
        </w:rPr>
      </w:pPr>
    </w:p>
    <w:p w14:paraId="20C24ECD" w14:textId="77777777" w:rsidR="00FF4F61" w:rsidRPr="00FF4F61" w:rsidRDefault="00FF4F61" w:rsidP="00FF4F61">
      <w:pPr>
        <w:spacing w:line="360" w:lineRule="auto"/>
        <w:jc w:val="both"/>
        <w:rPr>
          <w:rFonts w:ascii="Palatino Linotype" w:hAnsi="Palatino Linotype" w:cs="Arial"/>
          <w:highlight w:val="yellow"/>
        </w:rPr>
      </w:pPr>
      <w:r w:rsidRPr="00FF4F61">
        <w:rPr>
          <w:rFonts w:ascii="Palatino Linotype" w:hAnsi="Palatino Linotype" w:cs="Arial"/>
          <w:highlight w:val="yellow"/>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FF4F61">
        <w:rPr>
          <w:rFonts w:ascii="Palatino Linotype" w:hAnsi="Palatino Linotype" w:cs="Arial"/>
          <w:b/>
          <w:highlight w:val="yellow"/>
        </w:rPr>
        <w:t>(SAIMEX)</w:t>
      </w:r>
      <w:r w:rsidRPr="00FF4F61">
        <w:rPr>
          <w:rFonts w:ascii="Palatino Linotype" w:hAnsi="Palatino Linotype" w:cs="Arial"/>
          <w:highlight w:val="yellow"/>
        </w:rPr>
        <w:t>.</w:t>
      </w:r>
    </w:p>
    <w:p w14:paraId="7408DB45" w14:textId="77777777" w:rsidR="00FF4F61" w:rsidRPr="00FF4F61" w:rsidRDefault="00FF4F61" w:rsidP="00FF4F61">
      <w:pPr>
        <w:spacing w:line="360" w:lineRule="auto"/>
        <w:jc w:val="both"/>
        <w:rPr>
          <w:rFonts w:ascii="Palatino Linotype" w:hAnsi="Palatino Linotype" w:cs="Arial"/>
          <w:highlight w:val="yellow"/>
        </w:rPr>
      </w:pPr>
    </w:p>
    <w:p w14:paraId="3E66A7E2" w14:textId="77777777" w:rsidR="006C4581" w:rsidRDefault="006C4581" w:rsidP="00FF4F61">
      <w:pPr>
        <w:spacing w:line="360" w:lineRule="auto"/>
        <w:jc w:val="both"/>
        <w:rPr>
          <w:rFonts w:ascii="Palatino Linotype" w:hAnsi="Palatino Linotype" w:cs="Arial"/>
          <w:highlight w:val="yellow"/>
        </w:rPr>
      </w:pPr>
    </w:p>
    <w:p w14:paraId="03435EF9" w14:textId="77777777" w:rsidR="006C4581" w:rsidRDefault="006C4581" w:rsidP="00FF4F61">
      <w:pPr>
        <w:spacing w:line="360" w:lineRule="auto"/>
        <w:jc w:val="both"/>
        <w:rPr>
          <w:rFonts w:ascii="Palatino Linotype" w:hAnsi="Palatino Linotype" w:cs="Arial"/>
          <w:highlight w:val="yellow"/>
        </w:rPr>
      </w:pPr>
    </w:p>
    <w:p w14:paraId="5955E29E" w14:textId="77777777" w:rsidR="00FF4F61" w:rsidRPr="00FF4F61" w:rsidRDefault="00FF4F61" w:rsidP="00FF4F61">
      <w:pPr>
        <w:spacing w:line="360" w:lineRule="auto"/>
        <w:jc w:val="both"/>
        <w:rPr>
          <w:rFonts w:ascii="Palatino Linotype" w:hAnsi="Palatino Linotype" w:cs="Arial"/>
          <w:highlight w:val="yellow"/>
        </w:rPr>
      </w:pPr>
      <w:r w:rsidRPr="00FF4F61">
        <w:rPr>
          <w:rFonts w:ascii="Palatino Linotype" w:hAnsi="Palatino Linotype" w:cs="Arial"/>
          <w:highlight w:val="yellow"/>
        </w:rPr>
        <w:t xml:space="preserve">Por tales circunstancias, este Instituto se encuentra impedido a entrar al estudio de fondo, en virtud que el Particular no manifestó razones o motivos de inconformidad, relacionados con la respuesta emitida por parte de la </w:t>
      </w:r>
      <w:r w:rsidRPr="00FF4F61">
        <w:rPr>
          <w:rFonts w:ascii="Palatino Linotype" w:hAnsi="Palatino Linotype" w:cs="Arial"/>
          <w:b/>
          <w:bCs/>
          <w:highlight w:val="yellow"/>
        </w:rPr>
        <w:t>Secretaría de Finanzas</w:t>
      </w:r>
      <w:r w:rsidRPr="00FF4F61">
        <w:rPr>
          <w:rFonts w:ascii="Palatino Linotype" w:hAnsi="Palatino Linotype" w:cs="Arial"/>
          <w:highlight w:val="yellow"/>
        </w:rPr>
        <w:t>, a fin de atender su solicitud de acceso.</w:t>
      </w:r>
    </w:p>
    <w:p w14:paraId="2AAAC1B9"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p>
    <w:p w14:paraId="4EE3A090"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r w:rsidRPr="00FF4F61">
        <w:rPr>
          <w:rFonts w:ascii="Palatino Linotype" w:hAnsi="Palatino Linotype" w:cs="Arial"/>
          <w:highlight w:val="yellow"/>
        </w:rPr>
        <w:t>Hasta lo aquí expuesto, se advierte que se actualiza la hipótesis prevista en el artículo 191, fracción III, de la Ley de Transparencia y Acceso a la Información Pública del Estado de México y Municipios en vigor, que a la letra establece lo siguiente:</w:t>
      </w:r>
    </w:p>
    <w:p w14:paraId="513096E2"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p>
    <w:p w14:paraId="0D939400" w14:textId="77777777" w:rsidR="00FF4F61" w:rsidRPr="00FF4F61" w:rsidRDefault="00FF4F61" w:rsidP="00FF4F61">
      <w:pPr>
        <w:autoSpaceDE w:val="0"/>
        <w:autoSpaceDN w:val="0"/>
        <w:adjustRightInd w:val="0"/>
        <w:ind w:left="567" w:right="616"/>
        <w:jc w:val="both"/>
        <w:rPr>
          <w:rFonts w:ascii="Palatino Linotype" w:hAnsi="Palatino Linotype" w:cs="Arial"/>
          <w:i/>
          <w:highlight w:val="yellow"/>
        </w:rPr>
      </w:pPr>
      <w:r w:rsidRPr="00FF4F61">
        <w:rPr>
          <w:rFonts w:ascii="Palatino Linotype" w:hAnsi="Palatino Linotype" w:cs="Arial"/>
          <w:i/>
          <w:highlight w:val="yellow"/>
        </w:rPr>
        <w:t>“</w:t>
      </w:r>
      <w:r w:rsidRPr="00FF4F61">
        <w:rPr>
          <w:rFonts w:ascii="Palatino Linotype" w:hAnsi="Palatino Linotype" w:cs="Arial"/>
          <w:b/>
          <w:i/>
          <w:highlight w:val="yellow"/>
        </w:rPr>
        <w:t>Artículo 191</w:t>
      </w:r>
      <w:r w:rsidRPr="00FF4F61">
        <w:rPr>
          <w:rFonts w:ascii="Palatino Linotype" w:hAnsi="Palatino Linotype" w:cs="Arial"/>
          <w:i/>
          <w:highlight w:val="yellow"/>
        </w:rPr>
        <w:t>. El recurso será desechado por improcedente cuando:</w:t>
      </w:r>
    </w:p>
    <w:p w14:paraId="71A175C0" w14:textId="77777777" w:rsidR="00FF4F61" w:rsidRPr="00FF4F61" w:rsidRDefault="00FF4F61" w:rsidP="00FF4F61">
      <w:pPr>
        <w:autoSpaceDE w:val="0"/>
        <w:autoSpaceDN w:val="0"/>
        <w:adjustRightInd w:val="0"/>
        <w:ind w:left="567" w:right="616"/>
        <w:jc w:val="both"/>
        <w:rPr>
          <w:rFonts w:ascii="Palatino Linotype" w:hAnsi="Palatino Linotype" w:cs="Arial"/>
          <w:i/>
          <w:highlight w:val="yellow"/>
        </w:rPr>
      </w:pPr>
      <w:r w:rsidRPr="00FF4F61">
        <w:rPr>
          <w:rFonts w:ascii="Palatino Linotype" w:hAnsi="Palatino Linotype" w:cs="Arial"/>
          <w:i/>
          <w:highlight w:val="yellow"/>
        </w:rPr>
        <w:t>(…)</w:t>
      </w:r>
    </w:p>
    <w:p w14:paraId="5A2F37F7" w14:textId="77777777" w:rsidR="00FF4F61" w:rsidRPr="00FF4F61" w:rsidRDefault="00FF4F61" w:rsidP="00FF4F61">
      <w:pPr>
        <w:autoSpaceDE w:val="0"/>
        <w:autoSpaceDN w:val="0"/>
        <w:adjustRightInd w:val="0"/>
        <w:ind w:left="567" w:right="616"/>
        <w:jc w:val="both"/>
        <w:rPr>
          <w:rFonts w:ascii="Palatino Linotype" w:hAnsi="Palatino Linotype" w:cs="Arial"/>
          <w:b/>
          <w:i/>
          <w:highlight w:val="yellow"/>
        </w:rPr>
      </w:pPr>
      <w:r w:rsidRPr="00FF4F61">
        <w:rPr>
          <w:rFonts w:ascii="Palatino Linotype" w:hAnsi="Palatino Linotype" w:cs="Arial"/>
          <w:b/>
          <w:i/>
          <w:highlight w:val="yellow"/>
        </w:rPr>
        <w:t xml:space="preserve">III. </w:t>
      </w:r>
      <w:r w:rsidRPr="00FF4F61">
        <w:rPr>
          <w:rFonts w:ascii="Palatino Linotype" w:hAnsi="Palatino Linotype" w:cs="Arial"/>
          <w:b/>
          <w:i/>
          <w:highlight w:val="yellow"/>
          <w:u w:val="single"/>
        </w:rPr>
        <w:t>No actualice alguno de los supuestos previstos en la presente Ley</w:t>
      </w:r>
      <w:r w:rsidRPr="00FF4F61">
        <w:rPr>
          <w:rFonts w:ascii="Palatino Linotype" w:hAnsi="Palatino Linotype" w:cs="Arial"/>
          <w:b/>
          <w:i/>
          <w:highlight w:val="yellow"/>
        </w:rPr>
        <w:t xml:space="preserve">; </w:t>
      </w:r>
    </w:p>
    <w:p w14:paraId="6082EA40" w14:textId="77777777" w:rsidR="00FF4F61" w:rsidRPr="00FF4F61" w:rsidRDefault="00FF4F61" w:rsidP="00FF4F61">
      <w:pPr>
        <w:autoSpaceDE w:val="0"/>
        <w:autoSpaceDN w:val="0"/>
        <w:adjustRightInd w:val="0"/>
        <w:ind w:left="567" w:right="616"/>
        <w:jc w:val="both"/>
        <w:rPr>
          <w:rFonts w:ascii="Palatino Linotype" w:hAnsi="Palatino Linotype" w:cs="Arial"/>
          <w:i/>
          <w:highlight w:val="yellow"/>
        </w:rPr>
      </w:pPr>
      <w:r w:rsidRPr="00FF4F61">
        <w:rPr>
          <w:rFonts w:ascii="Palatino Linotype" w:hAnsi="Palatino Linotype" w:cs="Arial"/>
          <w:i/>
          <w:highlight w:val="yellow"/>
        </w:rPr>
        <w:t>(…)</w:t>
      </w:r>
    </w:p>
    <w:p w14:paraId="19618C31"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p>
    <w:p w14:paraId="4E4BFFB4"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r w:rsidRPr="00FF4F61">
        <w:rPr>
          <w:rFonts w:ascii="Palatino Linotype" w:hAnsi="Palatino Linotype" w:cs="Arial"/>
          <w:highlight w:val="yellow"/>
        </w:rPr>
        <w:t xml:space="preserve">En conclusión, la ley de la materia establece en la </w:t>
      </w:r>
      <w:r w:rsidRPr="00FF4F61">
        <w:rPr>
          <w:rFonts w:ascii="Palatino Linotype" w:hAnsi="Palatino Linotype" w:cs="Arial"/>
          <w:b/>
          <w:highlight w:val="yellow"/>
        </w:rPr>
        <w:t>fracción IV</w:t>
      </w:r>
      <w:r w:rsidRPr="00FF4F61">
        <w:rPr>
          <w:rFonts w:ascii="Palatino Linotype" w:hAnsi="Palatino Linotype" w:cs="Arial"/>
          <w:highlight w:val="yellow"/>
        </w:rPr>
        <w:t xml:space="preserve">, del </w:t>
      </w:r>
      <w:r w:rsidRPr="00FF4F61">
        <w:rPr>
          <w:rFonts w:ascii="Palatino Linotype" w:hAnsi="Palatino Linotype" w:cs="Arial"/>
          <w:b/>
          <w:highlight w:val="yellow"/>
        </w:rPr>
        <w:t>artículo 192</w:t>
      </w:r>
      <w:r w:rsidRPr="00FF4F61">
        <w:rPr>
          <w:rFonts w:ascii="Palatino Linotype" w:hAnsi="Palatino Linotype" w:cs="Arial"/>
          <w:highlight w:val="yellow"/>
        </w:rPr>
        <w:t>, de la Ley de Transparencia vigente en la entidad, que a la letra establecen:</w:t>
      </w:r>
    </w:p>
    <w:p w14:paraId="73D6A375" w14:textId="77777777" w:rsidR="00FF4F61" w:rsidRPr="00FF4F61" w:rsidRDefault="00FF4F61" w:rsidP="00FF4F61">
      <w:pPr>
        <w:autoSpaceDE w:val="0"/>
        <w:autoSpaceDN w:val="0"/>
        <w:adjustRightInd w:val="0"/>
        <w:spacing w:line="360" w:lineRule="auto"/>
        <w:jc w:val="both"/>
        <w:rPr>
          <w:rFonts w:ascii="Palatino Linotype" w:hAnsi="Palatino Linotype" w:cs="Arial"/>
          <w:highlight w:val="yellow"/>
        </w:rPr>
      </w:pPr>
    </w:p>
    <w:p w14:paraId="549D764E" w14:textId="77777777" w:rsidR="00FF4F61" w:rsidRPr="00FF4F61" w:rsidRDefault="00FF4F61" w:rsidP="00FF4F61">
      <w:pPr>
        <w:pStyle w:val="Citas"/>
        <w:spacing w:before="0" w:after="0"/>
        <w:rPr>
          <w:highlight w:val="yellow"/>
        </w:rPr>
      </w:pPr>
      <w:r w:rsidRPr="00FF4F61">
        <w:rPr>
          <w:highlight w:val="yellow"/>
        </w:rPr>
        <w:t>“Artículo 192. El recurso será sobreseído, en todo o en parte, cuando una vez admitido, se actualicen alguno de los siguientes supuestos:</w:t>
      </w:r>
    </w:p>
    <w:p w14:paraId="0C49A3C3" w14:textId="77777777" w:rsidR="00FF4F61" w:rsidRPr="00FF4F61" w:rsidRDefault="00FF4F61" w:rsidP="00FF4F61">
      <w:pPr>
        <w:pStyle w:val="Citas"/>
        <w:spacing w:before="0" w:after="0"/>
        <w:rPr>
          <w:highlight w:val="yellow"/>
        </w:rPr>
      </w:pPr>
    </w:p>
    <w:p w14:paraId="37D066FA" w14:textId="77777777" w:rsidR="00FF4F61" w:rsidRPr="00FF4F61" w:rsidRDefault="00FF4F61" w:rsidP="00FF4F61">
      <w:pPr>
        <w:pStyle w:val="Citas"/>
        <w:numPr>
          <w:ilvl w:val="0"/>
          <w:numId w:val="42"/>
        </w:numPr>
        <w:spacing w:before="0" w:after="0"/>
        <w:rPr>
          <w:highlight w:val="yellow"/>
        </w:rPr>
      </w:pPr>
      <w:r w:rsidRPr="00FF4F61">
        <w:rPr>
          <w:highlight w:val="yellow"/>
        </w:rPr>
        <w:t xml:space="preserve">El recurrente se desista expresamente del recurso; </w:t>
      </w:r>
    </w:p>
    <w:p w14:paraId="510B5A17" w14:textId="77777777" w:rsidR="00FF4F61" w:rsidRPr="00FF4F61" w:rsidRDefault="00FF4F61" w:rsidP="00FF4F61">
      <w:pPr>
        <w:pStyle w:val="Citas"/>
        <w:numPr>
          <w:ilvl w:val="0"/>
          <w:numId w:val="42"/>
        </w:numPr>
        <w:spacing w:before="0" w:after="0"/>
        <w:rPr>
          <w:highlight w:val="yellow"/>
        </w:rPr>
      </w:pPr>
      <w:r w:rsidRPr="00FF4F61">
        <w:rPr>
          <w:highlight w:val="yellow"/>
        </w:rPr>
        <w:t xml:space="preserve">El recurrente fallezca o, tratándose de personas jurídicas colectivas, se disuelva; </w:t>
      </w:r>
    </w:p>
    <w:p w14:paraId="3B8BF2F5" w14:textId="77777777" w:rsidR="00FF4F61" w:rsidRPr="00FF4F61" w:rsidRDefault="00FF4F61" w:rsidP="00FF4F61">
      <w:pPr>
        <w:pStyle w:val="Citas"/>
        <w:numPr>
          <w:ilvl w:val="0"/>
          <w:numId w:val="42"/>
        </w:numPr>
        <w:spacing w:before="0" w:after="0"/>
        <w:rPr>
          <w:highlight w:val="yellow"/>
        </w:rPr>
      </w:pPr>
      <w:r w:rsidRPr="00FF4F61">
        <w:rPr>
          <w:highlight w:val="yellow"/>
        </w:rPr>
        <w:t xml:space="preserve">El sujeto obligado responsable del acto lo modifique o revoque de tal manera que el recurso de revisión quede sin materia; </w:t>
      </w:r>
    </w:p>
    <w:p w14:paraId="02F4693D" w14:textId="77777777" w:rsidR="00FF4F61" w:rsidRPr="00FF4F61" w:rsidRDefault="00FF4F61" w:rsidP="00FF4F61">
      <w:pPr>
        <w:pStyle w:val="Citas"/>
        <w:numPr>
          <w:ilvl w:val="0"/>
          <w:numId w:val="42"/>
        </w:numPr>
        <w:spacing w:before="0" w:after="0"/>
        <w:rPr>
          <w:b/>
          <w:bCs/>
          <w:highlight w:val="yellow"/>
          <w:u w:val="single"/>
        </w:rPr>
      </w:pPr>
      <w:r w:rsidRPr="00FF4F61">
        <w:rPr>
          <w:b/>
          <w:bCs/>
          <w:highlight w:val="yellow"/>
          <w:u w:val="single"/>
        </w:rPr>
        <w:t xml:space="preserve">Admitido el recurso de revisión, aparezca alguna causal de improcedencia en los términos de la presente Ley; y </w:t>
      </w:r>
    </w:p>
    <w:p w14:paraId="75760087" w14:textId="77777777" w:rsidR="00FF4F61" w:rsidRPr="00FF4F61" w:rsidRDefault="00FF4F61" w:rsidP="00FF4F61">
      <w:pPr>
        <w:pStyle w:val="Citas"/>
        <w:numPr>
          <w:ilvl w:val="0"/>
          <w:numId w:val="42"/>
        </w:numPr>
        <w:spacing w:before="0" w:after="0"/>
        <w:rPr>
          <w:highlight w:val="yellow"/>
        </w:rPr>
      </w:pPr>
      <w:r w:rsidRPr="00FF4F61">
        <w:rPr>
          <w:highlight w:val="yellow"/>
        </w:rPr>
        <w:lastRenderedPageBreak/>
        <w:t>Cuando por cualquier motivo quede sin materia el recurso.”</w:t>
      </w:r>
    </w:p>
    <w:p w14:paraId="4AFF442A" w14:textId="77777777" w:rsidR="00FF4F61" w:rsidRPr="00FF4F61" w:rsidRDefault="00FF4F61" w:rsidP="00FF4F61">
      <w:pPr>
        <w:rPr>
          <w:rFonts w:ascii="Palatino Linotype" w:hAnsi="Palatino Linotype"/>
          <w:highlight w:val="yellow"/>
        </w:rPr>
      </w:pPr>
    </w:p>
    <w:p w14:paraId="3DE6D93F" w14:textId="77777777" w:rsidR="00FF4F61" w:rsidRPr="00FF4F61" w:rsidRDefault="00FF4F61" w:rsidP="00FF4F61">
      <w:pPr>
        <w:autoSpaceDE w:val="0"/>
        <w:autoSpaceDN w:val="0"/>
        <w:adjustRightInd w:val="0"/>
        <w:spacing w:line="360" w:lineRule="auto"/>
        <w:jc w:val="both"/>
        <w:rPr>
          <w:rFonts w:ascii="Palatino Linotype" w:hAnsi="Palatino Linotype"/>
          <w:sz w:val="14"/>
          <w:highlight w:val="yellow"/>
        </w:rPr>
      </w:pPr>
    </w:p>
    <w:p w14:paraId="5C29257E" w14:textId="77777777" w:rsidR="00FF4F61" w:rsidRPr="00FF4F61" w:rsidRDefault="00FF4F61" w:rsidP="00FF4F61">
      <w:pPr>
        <w:autoSpaceDE w:val="0"/>
        <w:autoSpaceDN w:val="0"/>
        <w:adjustRightInd w:val="0"/>
        <w:spacing w:line="360" w:lineRule="auto"/>
        <w:jc w:val="both"/>
        <w:rPr>
          <w:rFonts w:ascii="Palatino Linotype" w:hAnsi="Palatino Linotype"/>
          <w:b/>
          <w:highlight w:val="yellow"/>
          <w:u w:val="single"/>
        </w:rPr>
      </w:pPr>
      <w:r w:rsidRPr="00FF4F61">
        <w:rPr>
          <w:rFonts w:ascii="Palatino Linotype" w:hAnsi="Palatino Linotype"/>
          <w:highlight w:val="yellow"/>
        </w:rPr>
        <w:t xml:space="preserve">Es importante resaltar a manera de analogía que la Suprema Corte de Justicia de la Nación mediante el número 2 de la Serie </w:t>
      </w:r>
      <w:r w:rsidRPr="00FF4F61">
        <w:rPr>
          <w:rFonts w:ascii="Palatino Linotype" w:hAnsi="Palatino Linotype"/>
          <w:i/>
          <w:highlight w:val="yellow"/>
        </w:rPr>
        <w:t xml:space="preserve">Estudios Introductorios sobre el Juicio de Amparo </w:t>
      </w:r>
      <w:r w:rsidRPr="00FF4F61">
        <w:rPr>
          <w:rFonts w:ascii="Palatino Linotype" w:hAnsi="Palatino Linotype"/>
          <w:highlight w:val="yellow"/>
        </w:rPr>
        <w:t xml:space="preserve">relativo a </w:t>
      </w:r>
      <w:r w:rsidRPr="00FF4F61">
        <w:rPr>
          <w:rFonts w:ascii="Palatino Linotype" w:hAnsi="Palatino Linotype"/>
          <w:i/>
          <w:highlight w:val="yellow"/>
        </w:rPr>
        <w:t xml:space="preserve">LA IMPROCEDENCIA DE LA ACCIÓN DE AMPARO </w:t>
      </w:r>
      <w:r w:rsidRPr="00FF4F61">
        <w:rPr>
          <w:rFonts w:ascii="Palatino Linotype" w:hAnsi="Palatino Linotype"/>
          <w:highlight w:val="yellow"/>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FF4F61">
        <w:rPr>
          <w:rFonts w:ascii="Palatino Linotype" w:hAnsi="Palatino Linotype"/>
          <w:b/>
          <w:highlight w:val="yellow"/>
          <w:u w:val="single"/>
        </w:rPr>
        <w:t>lo que generará que la demanda sea desechada; o bien, después de admitida la demanda, lo que tendrá como consecuencia que se sobresea en el juicio.</w:t>
      </w:r>
    </w:p>
    <w:p w14:paraId="784D8692" w14:textId="77777777" w:rsidR="00FF4F61" w:rsidRPr="00FF4F61" w:rsidRDefault="00FF4F61" w:rsidP="00FF4F61">
      <w:pPr>
        <w:autoSpaceDE w:val="0"/>
        <w:autoSpaceDN w:val="0"/>
        <w:adjustRightInd w:val="0"/>
        <w:spacing w:line="360" w:lineRule="auto"/>
        <w:jc w:val="both"/>
        <w:rPr>
          <w:rFonts w:ascii="Palatino Linotype" w:hAnsi="Palatino Linotype"/>
          <w:b/>
          <w:highlight w:val="yellow"/>
          <w:u w:val="single"/>
        </w:rPr>
      </w:pPr>
    </w:p>
    <w:p w14:paraId="31904A49" w14:textId="77777777" w:rsidR="00FF4F61" w:rsidRPr="00FF4F61" w:rsidRDefault="00FF4F61" w:rsidP="00FF4F61">
      <w:pPr>
        <w:autoSpaceDE w:val="0"/>
        <w:autoSpaceDN w:val="0"/>
        <w:adjustRightInd w:val="0"/>
        <w:spacing w:line="360" w:lineRule="auto"/>
        <w:jc w:val="both"/>
        <w:rPr>
          <w:rFonts w:ascii="Palatino Linotype" w:hAnsi="Palatino Linotype"/>
          <w:highlight w:val="yellow"/>
        </w:rPr>
      </w:pPr>
      <w:r w:rsidRPr="00FF4F61">
        <w:rPr>
          <w:rFonts w:ascii="Palatino Linotype" w:hAnsi="Palatino Linotype"/>
          <w:highlight w:val="yellow"/>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54D130E4" w14:textId="77777777" w:rsidR="00FF4F61" w:rsidRPr="00FF4F61" w:rsidRDefault="00FF4F61" w:rsidP="00FF4F61">
      <w:pPr>
        <w:autoSpaceDE w:val="0"/>
        <w:autoSpaceDN w:val="0"/>
        <w:adjustRightInd w:val="0"/>
        <w:spacing w:line="360" w:lineRule="auto"/>
        <w:jc w:val="both"/>
        <w:rPr>
          <w:rFonts w:ascii="Palatino Linotype" w:hAnsi="Palatino Linotype"/>
          <w:highlight w:val="yellow"/>
        </w:rPr>
      </w:pPr>
    </w:p>
    <w:p w14:paraId="077EA17F" w14:textId="2E5854BE" w:rsidR="00FF4F61" w:rsidRDefault="00FF4F61" w:rsidP="00FF4F61">
      <w:pPr>
        <w:spacing w:line="360" w:lineRule="auto"/>
        <w:ind w:right="51"/>
        <w:jc w:val="both"/>
        <w:rPr>
          <w:rFonts w:ascii="Palatino Linotype" w:hAnsi="Palatino Linotype" w:cs="Arial"/>
          <w:bCs/>
          <w:lang w:eastAsia="es-MX"/>
        </w:rPr>
      </w:pPr>
      <w:r w:rsidRPr="00FF4F61">
        <w:rPr>
          <w:rFonts w:ascii="Palatino Linotype" w:hAnsi="Palatino Linotype" w:cs="Arial"/>
          <w:highlight w:val="yellow"/>
        </w:rPr>
        <w:t>En mérito de lo expuesto en líneas anteriores</w:t>
      </w:r>
      <w:r w:rsidRPr="00FF4F61">
        <w:rPr>
          <w:rFonts w:ascii="Palatino Linotype" w:hAnsi="Palatino Linotype"/>
          <w:noProof/>
          <w:highlight w:val="yellow"/>
          <w:lang w:eastAsia="es-MX"/>
        </w:rPr>
        <w:t xml:space="preserve">, resultan parcialmente procedentes los motivos de inconformidad que arguye </w:t>
      </w:r>
      <w:r w:rsidRPr="00FF4F61">
        <w:rPr>
          <w:rFonts w:ascii="Palatino Linotype" w:hAnsi="Palatino Linotype"/>
          <w:b/>
          <w:noProof/>
          <w:highlight w:val="yellow"/>
          <w:lang w:eastAsia="es-MX"/>
        </w:rPr>
        <w:t>la parte Recurrente</w:t>
      </w:r>
      <w:r w:rsidRPr="00FF4F61">
        <w:rPr>
          <w:rFonts w:ascii="Palatino Linotype" w:hAnsi="Palatino Linotype"/>
          <w:noProof/>
          <w:highlight w:val="yellow"/>
          <w:lang w:eastAsia="es-MX"/>
        </w:rPr>
        <w:t xml:space="preserve"> en su medio de impugnación que fue materia de estudio, </w:t>
      </w:r>
      <w:r w:rsidRPr="00FF4F61">
        <w:rPr>
          <w:rFonts w:ascii="Palatino Linotype" w:hAnsi="Palatino Linotype" w:cs="Arial"/>
          <w:highlight w:val="yellow"/>
        </w:rPr>
        <w:t xml:space="preserve">por ello con fundamento en el artículo 186, fracción I, en concordancia con el artículo 192, fracción IV, de la Ley de Transparencia y Acceso a la Información Pública del Estado de México y Municipios, se </w:t>
      </w:r>
      <w:r w:rsidRPr="00FF4F61">
        <w:rPr>
          <w:rFonts w:ascii="Palatino Linotype" w:hAnsi="Palatino Linotype" w:cs="Arial"/>
          <w:b/>
          <w:highlight w:val="yellow"/>
        </w:rPr>
        <w:t>SOBRESEE</w:t>
      </w:r>
      <w:r w:rsidRPr="00FF4F61">
        <w:rPr>
          <w:rFonts w:ascii="Palatino Linotype" w:hAnsi="Palatino Linotype" w:cs="Arial"/>
          <w:highlight w:val="yellow"/>
        </w:rPr>
        <w:t xml:space="preserve"> </w:t>
      </w:r>
      <w:r w:rsidRPr="00FF4F61">
        <w:rPr>
          <w:rFonts w:ascii="Palatino Linotype" w:hAnsi="Palatino Linotype" w:cs="Arial"/>
          <w:highlight w:val="yellow"/>
        </w:rPr>
        <w:lastRenderedPageBreak/>
        <w:t xml:space="preserve">el recurso de revisión </w:t>
      </w:r>
      <w:r w:rsidRPr="00FF4F61">
        <w:rPr>
          <w:rFonts w:ascii="Palatino Linotype" w:eastAsiaTheme="minorEastAsia" w:hAnsi="Palatino Linotype"/>
          <w:b/>
          <w:highlight w:val="yellow"/>
          <w:lang w:val="es-ES_tradnl"/>
        </w:rPr>
        <w:t>07465/INFOEM/IP/RR/2024</w:t>
      </w:r>
      <w:r w:rsidRPr="00FF4F61">
        <w:rPr>
          <w:rFonts w:ascii="Palatino Linotype" w:eastAsiaTheme="minorEastAsia" w:hAnsi="Palatino Linotype"/>
          <w:highlight w:val="yellow"/>
          <w:lang w:val="es-ES_tradnl"/>
        </w:rPr>
        <w:t>,</w:t>
      </w:r>
      <w:r w:rsidRPr="00FF4F61">
        <w:rPr>
          <w:rFonts w:ascii="Palatino Linotype" w:eastAsiaTheme="minorEastAsia" w:hAnsi="Palatino Linotype"/>
          <w:b/>
          <w:highlight w:val="yellow"/>
          <w:lang w:val="es-ES_tradnl"/>
        </w:rPr>
        <w:t xml:space="preserve"> </w:t>
      </w:r>
      <w:r w:rsidRPr="00FF4F61">
        <w:rPr>
          <w:rFonts w:ascii="Palatino Linotype" w:hAnsi="Palatino Linotype" w:cs="Arial"/>
          <w:bCs/>
          <w:highlight w:val="yellow"/>
          <w:lang w:eastAsia="es-MX"/>
        </w:rPr>
        <w:t>que ha sido materia del presente fallo.</w:t>
      </w:r>
    </w:p>
    <w:p w14:paraId="2C4BD2F7" w14:textId="77777777" w:rsidR="00FF4F61" w:rsidRDefault="00FF4F61" w:rsidP="00FF4F61">
      <w:pPr>
        <w:spacing w:line="360" w:lineRule="auto"/>
        <w:ind w:right="51"/>
        <w:jc w:val="both"/>
        <w:rPr>
          <w:rFonts w:ascii="Palatino Linotype" w:hAnsi="Palatino Linotype" w:cs="Arial"/>
          <w:bCs/>
          <w:lang w:eastAsia="es-MX"/>
        </w:rPr>
      </w:pPr>
    </w:p>
    <w:p w14:paraId="4E7E0D4D" w14:textId="77777777" w:rsidR="00FF4F61" w:rsidRPr="00A75AA2" w:rsidRDefault="00FF4F61" w:rsidP="00FF4F61">
      <w:pPr>
        <w:tabs>
          <w:tab w:val="left" w:pos="8931"/>
        </w:tabs>
        <w:spacing w:line="360" w:lineRule="auto"/>
        <w:ind w:right="51"/>
        <w:jc w:val="both"/>
        <w:rPr>
          <w:rFonts w:ascii="Palatino Linotype" w:hAnsi="Palatino Linotype"/>
        </w:rPr>
      </w:pPr>
      <w:r w:rsidRPr="00A75AA2">
        <w:rPr>
          <w:rFonts w:ascii="Palatino Linotype" w:hAnsi="Palatino Linotype"/>
        </w:rPr>
        <w:t>Por lo antes expuesto y fundado es de resolverse y,</w:t>
      </w:r>
    </w:p>
    <w:p w14:paraId="55E6C0C8" w14:textId="77777777" w:rsidR="00031C5C" w:rsidRPr="00031C5C" w:rsidRDefault="00031C5C" w:rsidP="00FF4F61">
      <w:pPr>
        <w:spacing w:line="360" w:lineRule="auto"/>
        <w:jc w:val="both"/>
        <w:rPr>
          <w:rFonts w:ascii="Palatino Linotype" w:eastAsiaTheme="minorHAnsi" w:hAnsi="Palatino Linotype" w:cstheme="minorBidi"/>
          <w:lang w:val="es-ES_tradnl" w:eastAsia="en-US"/>
        </w:rPr>
      </w:pPr>
    </w:p>
    <w:p w14:paraId="107E9319" w14:textId="77777777" w:rsidR="00031C5C" w:rsidRPr="00031C5C" w:rsidRDefault="00031C5C" w:rsidP="00FF4F61">
      <w:pPr>
        <w:keepNext/>
        <w:keepLines/>
        <w:spacing w:line="360" w:lineRule="auto"/>
        <w:jc w:val="center"/>
        <w:outlineLvl w:val="0"/>
        <w:rPr>
          <w:rFonts w:ascii="Palatino Linotype" w:eastAsiaTheme="minorHAnsi" w:hAnsi="Palatino Linotype" w:cstheme="majorBidi"/>
          <w:b/>
          <w:color w:val="000000" w:themeColor="text1"/>
          <w:sz w:val="28"/>
          <w:szCs w:val="32"/>
        </w:rPr>
      </w:pPr>
      <w:r w:rsidRPr="00031C5C">
        <w:rPr>
          <w:rFonts w:ascii="Palatino Linotype" w:eastAsiaTheme="minorHAnsi" w:hAnsi="Palatino Linotype" w:cstheme="majorBidi"/>
          <w:b/>
          <w:color w:val="000000" w:themeColor="text1"/>
          <w:sz w:val="28"/>
          <w:szCs w:val="32"/>
        </w:rPr>
        <w:t>R E S U E L V E</w:t>
      </w:r>
    </w:p>
    <w:p w14:paraId="62DDE2C6" w14:textId="77777777" w:rsidR="00031C5C" w:rsidRPr="00031C5C" w:rsidRDefault="00031C5C" w:rsidP="00FF4F61">
      <w:pPr>
        <w:spacing w:line="360" w:lineRule="auto"/>
        <w:jc w:val="both"/>
        <w:rPr>
          <w:rFonts w:ascii="Palatino Linotype" w:eastAsiaTheme="minorHAnsi" w:hAnsi="Palatino Linotype" w:cstheme="minorBidi"/>
          <w:b/>
          <w:bCs/>
          <w:spacing w:val="60"/>
          <w:sz w:val="21"/>
          <w:szCs w:val="21"/>
          <w:lang w:val="es-ES_tradnl" w:eastAsia="en-US"/>
        </w:rPr>
      </w:pPr>
    </w:p>
    <w:p w14:paraId="02DA7198" w14:textId="0829ACC6" w:rsidR="00FF4F61" w:rsidRPr="00A75AA2" w:rsidRDefault="00031C5C" w:rsidP="00FF4F61">
      <w:pPr>
        <w:spacing w:line="360" w:lineRule="auto"/>
        <w:jc w:val="both"/>
        <w:rPr>
          <w:rFonts w:ascii="Palatino Linotype" w:eastAsiaTheme="minorEastAsia" w:hAnsi="Palatino Linotype"/>
          <w:lang w:val="es-ES_tradnl"/>
        </w:rPr>
      </w:pPr>
      <w:r w:rsidRPr="00031C5C">
        <w:rPr>
          <w:rFonts w:ascii="Palatino Linotype" w:eastAsiaTheme="minorHAnsi" w:hAnsi="Palatino Linotype" w:cs="Arial"/>
          <w:b/>
          <w:sz w:val="28"/>
          <w:szCs w:val="28"/>
          <w:lang w:val="es-ES_tradnl" w:eastAsia="en-US"/>
        </w:rPr>
        <w:t>PRIMERO.</w:t>
      </w:r>
      <w:r w:rsidRPr="00031C5C">
        <w:rPr>
          <w:rFonts w:ascii="Palatino Linotype" w:eastAsiaTheme="minorHAnsi" w:hAnsi="Palatino Linotype" w:cs="Arial"/>
          <w:lang w:val="es-ES_tradnl" w:eastAsia="en-US"/>
        </w:rPr>
        <w:t xml:space="preserve"> </w:t>
      </w:r>
      <w:r w:rsidR="00FF4F61" w:rsidRPr="00A75AA2">
        <w:rPr>
          <w:rFonts w:ascii="Palatino Linotype" w:hAnsi="Palatino Linotype" w:cs="Arial"/>
          <w:lang w:val="es-ES_tradnl"/>
        </w:rPr>
        <w:t xml:space="preserve">Se </w:t>
      </w:r>
      <w:r w:rsidR="00FF4F61" w:rsidRPr="00A75AA2">
        <w:rPr>
          <w:rFonts w:ascii="Palatino Linotype" w:hAnsi="Palatino Linotype" w:cs="Arial"/>
          <w:b/>
          <w:lang w:val="es-ES_tradnl"/>
        </w:rPr>
        <w:t>SOBRESEE</w:t>
      </w:r>
      <w:r w:rsidR="00FF4F61" w:rsidRPr="00A75AA2">
        <w:rPr>
          <w:rFonts w:ascii="Palatino Linotype" w:hAnsi="Palatino Linotype" w:cs="Arial"/>
          <w:lang w:val="es-ES_tradnl"/>
        </w:rPr>
        <w:t xml:space="preserve"> el recurso de revisión número </w:t>
      </w:r>
      <w:r w:rsidR="00FF4F61">
        <w:rPr>
          <w:rFonts w:ascii="Palatino Linotype" w:eastAsiaTheme="minorEastAsia" w:hAnsi="Palatino Linotype"/>
          <w:b/>
          <w:lang w:val="es-ES_tradnl"/>
        </w:rPr>
        <w:t>07465</w:t>
      </w:r>
      <w:r w:rsidR="00FF4F61" w:rsidRPr="00A75AA2">
        <w:rPr>
          <w:rFonts w:ascii="Palatino Linotype" w:eastAsiaTheme="minorEastAsia" w:hAnsi="Palatino Linotype"/>
          <w:b/>
          <w:lang w:val="es-ES_tradnl"/>
        </w:rPr>
        <w:t>/INFOEM/IP/RR/202</w:t>
      </w:r>
      <w:r w:rsidR="00FF4F61">
        <w:rPr>
          <w:rFonts w:ascii="Palatino Linotype" w:eastAsiaTheme="minorEastAsia" w:hAnsi="Palatino Linotype"/>
          <w:b/>
          <w:lang w:val="es-ES_tradnl"/>
        </w:rPr>
        <w:t>4</w:t>
      </w:r>
      <w:r w:rsidR="00FF4F61" w:rsidRPr="00A75AA2">
        <w:rPr>
          <w:rFonts w:ascii="Palatino Linotype" w:eastAsiaTheme="minorEastAsia" w:hAnsi="Palatino Linotype"/>
          <w:lang w:val="es-ES_tradnl"/>
        </w:rPr>
        <w:t xml:space="preserve">, por improcedente en términos de los </w:t>
      </w:r>
      <w:r w:rsidR="00FF4F61" w:rsidRPr="00FF4F61">
        <w:rPr>
          <w:rFonts w:ascii="Palatino Linotype" w:eastAsiaTheme="minorEastAsia" w:hAnsi="Palatino Linotype"/>
          <w:b/>
          <w:highlight w:val="yellow"/>
          <w:lang w:val="es-ES_tradnl"/>
        </w:rPr>
        <w:t>artículos 191, fracción III y 192, fracción IV</w:t>
      </w:r>
      <w:r w:rsidR="00FF4F61" w:rsidRPr="00FF4F61">
        <w:rPr>
          <w:rFonts w:ascii="Palatino Linotype" w:eastAsiaTheme="minorEastAsia" w:hAnsi="Palatino Linotype"/>
          <w:highlight w:val="yellow"/>
          <w:lang w:val="es-ES_tradnl"/>
        </w:rPr>
        <w:t>,</w:t>
      </w:r>
      <w:r w:rsidR="00FF4F61" w:rsidRPr="00A75AA2">
        <w:rPr>
          <w:rFonts w:ascii="Palatino Linotype" w:eastAsiaTheme="minorEastAsia" w:hAnsi="Palatino Linotype"/>
          <w:lang w:val="es-ES_tradnl"/>
        </w:rPr>
        <w:t xml:space="preserve"> de la Ley de Transparencia y Acceso a la Información Pública del Estado de México y Municipios, y en términos del Considerando </w:t>
      </w:r>
      <w:r w:rsidR="00FF4F61" w:rsidRPr="00A75AA2">
        <w:rPr>
          <w:rFonts w:ascii="Palatino Linotype" w:eastAsiaTheme="minorEastAsia" w:hAnsi="Palatino Linotype"/>
          <w:b/>
          <w:lang w:val="es-ES_tradnl"/>
        </w:rPr>
        <w:t>CUARTO</w:t>
      </w:r>
      <w:r w:rsidR="00FF4F61" w:rsidRPr="00A75AA2">
        <w:rPr>
          <w:rFonts w:ascii="Palatino Linotype" w:eastAsiaTheme="minorEastAsia" w:hAnsi="Palatino Linotype"/>
          <w:lang w:val="es-ES_tradnl"/>
        </w:rPr>
        <w:t xml:space="preserve"> de la presente resolución.</w:t>
      </w:r>
    </w:p>
    <w:p w14:paraId="5828D1B4" w14:textId="5E732835" w:rsidR="00031C5C" w:rsidRPr="00031C5C" w:rsidRDefault="00031C5C" w:rsidP="00FF4F61">
      <w:pPr>
        <w:spacing w:line="360" w:lineRule="auto"/>
        <w:contextualSpacing/>
        <w:jc w:val="both"/>
        <w:rPr>
          <w:rFonts w:ascii="Palatino Linotype" w:eastAsiaTheme="minorHAnsi" w:hAnsi="Palatino Linotype" w:cs="Arial"/>
          <w:lang w:val="es-ES_tradnl" w:eastAsia="en-US"/>
        </w:rPr>
      </w:pPr>
    </w:p>
    <w:p w14:paraId="3101BC56" w14:textId="6C6BC4C9" w:rsidR="00031C5C" w:rsidRPr="00031C5C" w:rsidRDefault="00031C5C" w:rsidP="00FF4F61">
      <w:pPr>
        <w:spacing w:line="360" w:lineRule="auto"/>
        <w:jc w:val="both"/>
        <w:rPr>
          <w:rFonts w:ascii="Palatino Linotype" w:eastAsiaTheme="minorHAnsi" w:hAnsi="Palatino Linotype" w:cs="Arial"/>
          <w:lang w:val="es-ES_tradnl" w:eastAsia="en-US"/>
        </w:rPr>
      </w:pPr>
      <w:r w:rsidRPr="00031C5C">
        <w:rPr>
          <w:rFonts w:ascii="Palatino Linotype" w:eastAsiaTheme="minorHAnsi" w:hAnsi="Palatino Linotype" w:cs="Arial"/>
          <w:b/>
          <w:sz w:val="28"/>
          <w:szCs w:val="28"/>
          <w:lang w:val="es-ES_tradnl" w:eastAsia="en-US"/>
        </w:rPr>
        <w:t>SEGUNDO.</w:t>
      </w:r>
      <w:r w:rsidRPr="00031C5C">
        <w:rPr>
          <w:rFonts w:ascii="Palatino Linotype" w:eastAsiaTheme="minorHAnsi" w:hAnsi="Palatino Linotype" w:cs="Arial"/>
          <w:lang w:val="es-ES_tradnl" w:eastAsia="en-US"/>
        </w:rPr>
        <w:t xml:space="preserve"> </w:t>
      </w:r>
      <w:r w:rsidRPr="00031C5C">
        <w:rPr>
          <w:rFonts w:ascii="Palatino Linotype" w:eastAsiaTheme="minorHAnsi" w:hAnsi="Palatino Linotype" w:cs="Arial"/>
          <w:b/>
          <w:lang w:val="es-ES_tradnl" w:eastAsia="en-US"/>
        </w:rPr>
        <w:t>NOTIFÍQUESE</w:t>
      </w:r>
      <w:r w:rsidRPr="00031C5C">
        <w:rPr>
          <w:rFonts w:ascii="Palatino Linotype" w:eastAsiaTheme="minorHAnsi" w:hAnsi="Palatino Linotype" w:cs="Arial"/>
          <w:lang w:val="es-ES_tradnl" w:eastAsia="en-US"/>
        </w:rPr>
        <w:t xml:space="preserve"> la presente resolución al Titular de la Unidad de Transparencia del </w:t>
      </w:r>
      <w:r w:rsidRPr="00031C5C">
        <w:rPr>
          <w:rFonts w:ascii="Palatino Linotype" w:eastAsiaTheme="minorHAnsi" w:hAnsi="Palatino Linotype" w:cs="Arial"/>
          <w:b/>
          <w:bCs/>
          <w:lang w:val="es-ES_tradnl" w:eastAsia="en-US"/>
        </w:rPr>
        <w:t>Sujeto Obligado</w:t>
      </w:r>
      <w:r w:rsidRPr="00031C5C">
        <w:rPr>
          <w:rFonts w:ascii="Palatino Linotype" w:eastAsiaTheme="minorHAnsi" w:hAnsi="Palatino Linotype" w:cs="Arial"/>
          <w:lang w:val="es-ES_tradnl" w:eastAsia="en-US"/>
        </w:rPr>
        <w:t xml:space="preserve"> mediante el Sistema de Acceso a la Información Mexiquense </w:t>
      </w:r>
      <w:r w:rsidRPr="00031C5C">
        <w:rPr>
          <w:rFonts w:ascii="Palatino Linotype" w:eastAsiaTheme="minorHAnsi" w:hAnsi="Palatino Linotype" w:cs="Arial"/>
          <w:b/>
          <w:bCs/>
          <w:lang w:val="es-ES_tradnl" w:eastAsia="en-US"/>
        </w:rPr>
        <w:t>(SAIMEX)</w:t>
      </w:r>
      <w:r w:rsidRPr="00031C5C">
        <w:rPr>
          <w:rFonts w:ascii="Palatino Linotype" w:eastAsiaTheme="minorHAnsi" w:hAnsi="Palatino Linotype" w:cs="Arial"/>
          <w:lang w:val="es-ES_tradnl" w:eastAsia="en-US"/>
        </w:rPr>
        <w:t>.</w:t>
      </w:r>
    </w:p>
    <w:p w14:paraId="2AA2EFD5" w14:textId="77777777" w:rsidR="00031C5C" w:rsidRPr="00031C5C" w:rsidRDefault="00031C5C" w:rsidP="00FF4F61">
      <w:pPr>
        <w:spacing w:line="360" w:lineRule="auto"/>
        <w:jc w:val="both"/>
        <w:rPr>
          <w:rFonts w:ascii="Palatino Linotype" w:eastAsiaTheme="minorHAnsi" w:hAnsi="Palatino Linotype" w:cs="Arial"/>
          <w:lang w:val="es-ES_tradnl" w:eastAsia="en-US"/>
        </w:rPr>
      </w:pPr>
    </w:p>
    <w:p w14:paraId="3F75A02D" w14:textId="208D1203" w:rsidR="003000FC" w:rsidRDefault="00031C5C" w:rsidP="00FF4F61">
      <w:pPr>
        <w:spacing w:line="360" w:lineRule="auto"/>
        <w:contextualSpacing/>
        <w:jc w:val="both"/>
        <w:rPr>
          <w:rFonts w:ascii="Palatino Linotype" w:eastAsiaTheme="minorEastAsia" w:hAnsi="Palatino Linotype" w:cs="Arial"/>
          <w:szCs w:val="22"/>
          <w:lang w:eastAsia="en-US"/>
        </w:rPr>
      </w:pPr>
      <w:r w:rsidRPr="00031C5C">
        <w:rPr>
          <w:rFonts w:ascii="Palatino Linotype" w:eastAsiaTheme="minorEastAsia" w:hAnsi="Palatino Linotype" w:cs="Arial"/>
          <w:b/>
          <w:bCs/>
          <w:sz w:val="28"/>
          <w:lang w:eastAsia="en-US"/>
        </w:rPr>
        <w:t xml:space="preserve">TERCERO. </w:t>
      </w:r>
      <w:r w:rsidRPr="00031C5C">
        <w:rPr>
          <w:rFonts w:ascii="Palatino Linotype" w:eastAsiaTheme="minorEastAsia" w:hAnsi="Palatino Linotype" w:cs="Arial"/>
          <w:b/>
          <w:bCs/>
          <w:szCs w:val="22"/>
          <w:lang w:eastAsia="en-US"/>
        </w:rPr>
        <w:t>NOTIFÍQUESE</w:t>
      </w:r>
      <w:r w:rsidRPr="00031C5C">
        <w:rPr>
          <w:rFonts w:ascii="Palatino Linotype" w:eastAsiaTheme="minorEastAsia" w:hAnsi="Palatino Linotype" w:cs="Arial"/>
          <w:szCs w:val="22"/>
          <w:lang w:eastAsia="en-US"/>
        </w:rPr>
        <w:t xml:space="preserve"> la presente resolución a</w:t>
      </w:r>
      <w:r w:rsidR="00E718A5">
        <w:rPr>
          <w:rFonts w:ascii="Palatino Linotype" w:eastAsiaTheme="minorEastAsia" w:hAnsi="Palatino Linotype" w:cs="Arial"/>
          <w:szCs w:val="22"/>
          <w:lang w:eastAsia="en-US"/>
        </w:rPr>
        <w:t xml:space="preserve"> </w:t>
      </w:r>
      <w:r w:rsidRPr="00031C5C">
        <w:rPr>
          <w:rFonts w:ascii="Palatino Linotype" w:eastAsiaTheme="minorEastAsia" w:hAnsi="Palatino Linotype" w:cs="Arial"/>
          <w:szCs w:val="22"/>
          <w:lang w:eastAsia="en-US"/>
        </w:rPr>
        <w:t>l</w:t>
      </w:r>
      <w:r w:rsidR="00E718A5">
        <w:rPr>
          <w:rFonts w:ascii="Palatino Linotype" w:eastAsiaTheme="minorEastAsia" w:hAnsi="Palatino Linotype" w:cs="Arial"/>
          <w:szCs w:val="22"/>
          <w:lang w:eastAsia="en-US"/>
        </w:rPr>
        <w:t>a parte</w:t>
      </w:r>
      <w:r w:rsidRPr="00031C5C">
        <w:rPr>
          <w:rFonts w:ascii="Palatino Linotype" w:eastAsiaTheme="minorEastAsia" w:hAnsi="Palatino Linotype" w:cs="Arial"/>
          <w:szCs w:val="22"/>
          <w:lang w:eastAsia="en-US"/>
        </w:rPr>
        <w:t xml:space="preserve"> </w:t>
      </w:r>
      <w:r w:rsidRPr="00031C5C">
        <w:rPr>
          <w:rFonts w:ascii="Palatino Linotype" w:eastAsiaTheme="minorEastAsia" w:hAnsi="Palatino Linotype" w:cs="Arial"/>
          <w:b/>
          <w:bCs/>
          <w:szCs w:val="22"/>
          <w:lang w:eastAsia="en-US"/>
        </w:rPr>
        <w:t>Recurrente</w:t>
      </w:r>
      <w:r w:rsidRPr="00031C5C">
        <w:rPr>
          <w:rFonts w:ascii="Palatino Linotype" w:eastAsia="Calibri" w:hAnsi="Palatino Linotype" w:cs="Calibri"/>
          <w:szCs w:val="22"/>
          <w:lang w:eastAsia="es-MX"/>
        </w:rPr>
        <w:t xml:space="preserve"> </w:t>
      </w:r>
      <w:r w:rsidRPr="00031C5C">
        <w:rPr>
          <w:rFonts w:ascii="Palatino Linotype" w:eastAsiaTheme="minorEastAsia" w:hAnsi="Palatino Linotype" w:cs="Arial"/>
          <w:szCs w:val="22"/>
          <w:lang w:eastAsia="en-US"/>
        </w:rPr>
        <w:t xml:space="preserve">a través del Sistema de Acceso a la Información Mexiquense </w:t>
      </w:r>
      <w:r w:rsidRPr="00031C5C">
        <w:rPr>
          <w:rFonts w:ascii="Palatino Linotype" w:eastAsiaTheme="minorEastAsia" w:hAnsi="Palatino Linotype" w:cs="Arial"/>
          <w:b/>
          <w:bCs/>
          <w:szCs w:val="22"/>
          <w:lang w:eastAsia="en-US"/>
        </w:rPr>
        <w:t>(SAIMEX)</w:t>
      </w:r>
      <w:r w:rsidRPr="00031C5C">
        <w:rPr>
          <w:rFonts w:ascii="Palatino Linotype" w:eastAsiaTheme="minorEastAsia" w:hAnsi="Palatino Linotype" w:cs="Arial"/>
          <w:szCs w:val="22"/>
          <w:lang w:eastAsia="en-US"/>
        </w:rPr>
        <w:t xml:space="preserve">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bookmarkEnd w:id="4"/>
    </w:p>
    <w:p w14:paraId="35076083" w14:textId="77777777" w:rsidR="00031C5C" w:rsidRPr="00031C5C" w:rsidRDefault="00031C5C" w:rsidP="00FF4F61">
      <w:pPr>
        <w:spacing w:line="360" w:lineRule="auto"/>
        <w:contextualSpacing/>
        <w:jc w:val="both"/>
        <w:rPr>
          <w:rFonts w:ascii="Palatino Linotype" w:eastAsiaTheme="minorEastAsia" w:hAnsi="Palatino Linotype" w:cs="Arial"/>
          <w:szCs w:val="22"/>
          <w:lang w:eastAsia="en-US"/>
        </w:rPr>
      </w:pPr>
    </w:p>
    <w:p w14:paraId="41D5DD94" w14:textId="77777777" w:rsidR="00FF4F61" w:rsidRDefault="00FF4F61" w:rsidP="00FF4F61">
      <w:pPr>
        <w:spacing w:line="360" w:lineRule="auto"/>
        <w:jc w:val="both"/>
        <w:rPr>
          <w:rFonts w:ascii="Palatino Linotype" w:eastAsiaTheme="minorHAnsi" w:hAnsi="Palatino Linotype" w:cs="Arial"/>
          <w:lang w:val="es-MX" w:eastAsia="en-US"/>
        </w:rPr>
      </w:pPr>
    </w:p>
    <w:p w14:paraId="19BE0893" w14:textId="77777777" w:rsidR="00FF4F61" w:rsidRDefault="00FF4F61" w:rsidP="00FF4F61">
      <w:pPr>
        <w:spacing w:line="360" w:lineRule="auto"/>
        <w:jc w:val="both"/>
        <w:rPr>
          <w:rFonts w:ascii="Palatino Linotype" w:eastAsiaTheme="minorHAnsi" w:hAnsi="Palatino Linotype" w:cs="Arial"/>
          <w:lang w:val="es-MX" w:eastAsia="en-US"/>
        </w:rPr>
      </w:pPr>
    </w:p>
    <w:p w14:paraId="5D487E30" w14:textId="012E6040" w:rsidR="0029071C" w:rsidRPr="00B7320F" w:rsidRDefault="0029071C" w:rsidP="00FF4F6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F12BF7">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E718A5" w:rsidRPr="00C1321E">
        <w:rPr>
          <w:rFonts w:ascii="Palatino Linotype" w:eastAsiaTheme="minorHAnsi" w:hAnsi="Palatino Linotype" w:cs="Arial"/>
          <w:b/>
          <w:lang w:val="es-MX" w:eastAsia="en-US"/>
        </w:rPr>
        <w:t>SEGUNDA</w:t>
      </w:r>
      <w:r w:rsidR="00154DCB" w:rsidRPr="00C1321E">
        <w:rPr>
          <w:rFonts w:ascii="Palatino Linotype" w:eastAsiaTheme="minorHAnsi" w:hAnsi="Palatino Linotype" w:cs="Arial"/>
          <w:b/>
          <w:lang w:val="es-MX" w:eastAsia="en-US"/>
        </w:rPr>
        <w:t xml:space="preserve"> </w:t>
      </w:r>
      <w:r w:rsidR="00C37A05" w:rsidRPr="00C1321E">
        <w:rPr>
          <w:rFonts w:ascii="Palatino Linotype" w:eastAsiaTheme="minorHAnsi" w:hAnsi="Palatino Linotype" w:cs="Arial"/>
          <w:b/>
          <w:lang w:val="es-MX" w:eastAsia="en-US"/>
        </w:rPr>
        <w:t>SESIÓN</w:t>
      </w:r>
      <w:r w:rsidR="00C37A05" w:rsidRPr="00B7320F">
        <w:rPr>
          <w:rFonts w:ascii="Palatino Linotype" w:eastAsiaTheme="minorHAnsi" w:hAnsi="Palatino Linotype" w:cs="Arial"/>
          <w:lang w:val="es-MX" w:eastAsia="en-US"/>
        </w:rPr>
        <w:t xml:space="preserve">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E718A5" w:rsidRPr="00C1321E">
        <w:rPr>
          <w:rFonts w:ascii="Palatino Linotype" w:hAnsi="Palatino Linotype" w:cs="Arial"/>
          <w:b/>
          <w:color w:val="000000"/>
          <w:lang w:val="es-MX" w:eastAsia="es-MX"/>
        </w:rPr>
        <w:t>VEINTIDÓS</w:t>
      </w:r>
      <w:r w:rsidR="00C942B2" w:rsidRPr="00C1321E">
        <w:rPr>
          <w:rFonts w:ascii="Palatino Linotype" w:hAnsi="Palatino Linotype" w:cs="Arial"/>
          <w:b/>
          <w:color w:val="000000"/>
          <w:lang w:val="es-MX" w:eastAsia="es-MX"/>
        </w:rPr>
        <w:t xml:space="preserve"> DE E</w:t>
      </w:r>
      <w:r w:rsidR="00E718A5" w:rsidRPr="00C1321E">
        <w:rPr>
          <w:rFonts w:ascii="Palatino Linotype" w:hAnsi="Palatino Linotype" w:cs="Arial"/>
          <w:b/>
          <w:color w:val="000000"/>
          <w:lang w:val="es-MX" w:eastAsia="es-MX"/>
        </w:rPr>
        <w:t>NERO</w:t>
      </w:r>
      <w:r w:rsidR="00C942B2" w:rsidRPr="00C1321E">
        <w:rPr>
          <w:rFonts w:ascii="Palatino Linotype" w:hAnsi="Palatino Linotype" w:cs="Arial"/>
          <w:b/>
          <w:color w:val="000000"/>
          <w:lang w:val="es-MX" w:eastAsia="es-MX"/>
        </w:rPr>
        <w:t xml:space="preserve"> DOS </w:t>
      </w:r>
      <w:r w:rsidR="008E0F52" w:rsidRPr="00C1321E">
        <w:rPr>
          <w:rFonts w:ascii="Palatino Linotype" w:hAnsi="Palatino Linotype" w:cs="Arial"/>
          <w:b/>
          <w:color w:val="000000"/>
          <w:lang w:val="es-MX" w:eastAsia="es-MX"/>
        </w:rPr>
        <w:t>MIL VEINTIC</w:t>
      </w:r>
      <w:r w:rsidR="00E718A5" w:rsidRPr="00C1321E">
        <w:rPr>
          <w:rFonts w:ascii="Palatino Linotype" w:hAnsi="Palatino Linotype" w:cs="Arial"/>
          <w:b/>
          <w:color w:val="000000"/>
          <w:lang w:val="es-MX" w:eastAsia="es-MX"/>
        </w:rPr>
        <w:t>INC</w:t>
      </w:r>
      <w:r w:rsidR="008E0F52" w:rsidRPr="00C1321E">
        <w:rPr>
          <w:rFonts w:ascii="Palatino Linotype" w:hAnsi="Palatino Linotype" w:cs="Arial"/>
          <w:b/>
          <w:color w:val="000000"/>
          <w:lang w:val="es-MX" w:eastAsia="es-MX"/>
        </w:rPr>
        <w:t>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E41C47" w:rsidRPr="00B7320F">
        <w:rPr>
          <w:rFonts w:ascii="Palatino Linotype" w:eastAsiaTheme="minorHAnsi" w:hAnsi="Palatino Linotype" w:cs="Arial"/>
          <w:lang w:val="es-MX" w:eastAsia="en-US"/>
        </w:rPr>
        <w:t>-----------------------------------------------------------------------------------------------------------------------------------------------------------------------------------------------------</w:t>
      </w:r>
      <w:r w:rsidR="00E41C47">
        <w:rPr>
          <w:rFonts w:ascii="Palatino Linotype" w:eastAsiaTheme="minorHAnsi" w:hAnsi="Palatino Linotype" w:cs="Arial"/>
          <w:lang w:val="es-MX" w:eastAsia="en-US"/>
        </w:rPr>
        <w:t>-------------------------------</w:t>
      </w:r>
      <w:r w:rsidR="00E41C47" w:rsidRPr="00B7320F">
        <w:rPr>
          <w:rFonts w:ascii="Palatino Linotype" w:eastAsiaTheme="minorHAnsi" w:hAnsi="Palatino Linotype" w:cs="Arial"/>
          <w:lang w:val="es-MX" w:eastAsia="en-US"/>
        </w:rPr>
        <w:t>-----------------------------------------------------------------------------------------------------------------------------------------------------------------------------------------------------------------------------------------------------------------------------------------------------------------------</w:t>
      </w:r>
      <w:r w:rsidR="00E41C47">
        <w:rPr>
          <w:rFonts w:ascii="Palatino Linotype" w:eastAsiaTheme="minorHAnsi" w:hAnsi="Palatino Linotype" w:cs="Arial"/>
          <w:lang w:val="es-MX" w:eastAsia="en-US"/>
        </w:rPr>
        <w:t>-------------------------------</w:t>
      </w:r>
      <w:r w:rsidR="00E41C47" w:rsidRPr="00B7320F">
        <w:rPr>
          <w:rFonts w:ascii="Palatino Linotype" w:eastAsiaTheme="minorHAnsi" w:hAnsi="Palatino Linotype" w:cs="Arial"/>
          <w:lang w:val="es-MX" w:eastAsia="en-US"/>
        </w:rPr>
        <w:t>---------------------------------</w:t>
      </w:r>
      <w:r w:rsidR="00E718A5" w:rsidRPr="00B7320F">
        <w:rPr>
          <w:rFonts w:ascii="Palatino Linotype" w:eastAsiaTheme="minorHAnsi" w:hAnsi="Palatino Linotype" w:cs="Arial"/>
          <w:lang w:val="es-MX" w:eastAsia="en-US"/>
        </w:rPr>
        <w:t xml:space="preserve"> </w:t>
      </w:r>
      <w:r w:rsidR="00E41C47" w:rsidRPr="00B7320F">
        <w:rPr>
          <w:rFonts w:ascii="Palatino Linotype" w:eastAsiaTheme="minorHAnsi" w:hAnsi="Palatino Linotype" w:cs="Arial"/>
          <w:lang w:val="es-MX" w:eastAsia="en-US"/>
        </w:rPr>
        <w:t>------------------------------------------------------------------------------------------------------------------</w:t>
      </w:r>
      <w:r w:rsidR="00FF4F61" w:rsidRPr="00B7320F">
        <w:rPr>
          <w:rFonts w:ascii="Palatino Linotype" w:eastAsiaTheme="minorHAnsi" w:hAnsi="Palatino Linotype" w:cs="Arial"/>
          <w:lang w:val="es-MX" w:eastAsia="en-US"/>
        </w:rPr>
        <w:t>--------------------------------------------------</w:t>
      </w:r>
      <w:r w:rsidR="00FF4F61">
        <w:rPr>
          <w:rFonts w:ascii="Palatino Linotype" w:eastAsiaTheme="minorHAnsi" w:hAnsi="Palatino Linotype" w:cs="Arial"/>
          <w:lang w:val="es-MX" w:eastAsia="en-US"/>
        </w:rPr>
        <w:t>-------------------------------</w:t>
      </w:r>
      <w:r w:rsidR="00FF4F61" w:rsidRPr="00B7320F">
        <w:rPr>
          <w:rFonts w:ascii="Palatino Linotype" w:eastAsiaTheme="minorHAnsi" w:hAnsi="Palatino Linotype" w:cs="Arial"/>
          <w:lang w:val="es-MX" w:eastAsia="en-US"/>
        </w:rPr>
        <w:t>-----------------------------------------------------------------------------------------------------------------------------------------------------------------------------------------------------------------------------------------------------------------------------------------------------------------------</w:t>
      </w:r>
      <w:r w:rsidR="00FF4F61">
        <w:rPr>
          <w:rFonts w:ascii="Palatino Linotype" w:eastAsiaTheme="minorHAnsi" w:hAnsi="Palatino Linotype" w:cs="Arial"/>
          <w:lang w:val="es-MX" w:eastAsia="en-US"/>
        </w:rPr>
        <w:t>-------------------------------</w:t>
      </w:r>
      <w:r w:rsidR="00FF4F61" w:rsidRPr="00B7320F">
        <w:rPr>
          <w:rFonts w:ascii="Palatino Linotype" w:eastAsiaTheme="minorHAnsi" w:hAnsi="Palatino Linotype" w:cs="Arial"/>
          <w:lang w:val="es-MX" w:eastAsia="en-US"/>
        </w:rPr>
        <w:t>--------------------------------- --------------------------------------------------------------------------------------------------------------------------------------------------------------------</w:t>
      </w:r>
      <w:r w:rsidR="00FF4F61">
        <w:rPr>
          <w:rFonts w:ascii="Palatino Linotype" w:eastAsiaTheme="minorHAnsi" w:hAnsi="Palatino Linotype" w:cs="Arial"/>
          <w:lang w:val="es-MX" w:eastAsia="en-US"/>
        </w:rPr>
        <w:t>-------------------------------</w:t>
      </w:r>
      <w:r w:rsidR="00FF4F61" w:rsidRPr="00B7320F">
        <w:rPr>
          <w:rFonts w:ascii="Palatino Linotype" w:eastAsiaTheme="minorHAnsi" w:hAnsi="Palatino Linotype" w:cs="Arial"/>
          <w:lang w:val="es-MX" w:eastAsia="en-US"/>
        </w:rPr>
        <w:t>---------------------------------------------------------------------------------------------------------------------------------------------------------------------------------------------------------------------------------------------------------------------</w:t>
      </w:r>
    </w:p>
    <w:p w14:paraId="411DD373" w14:textId="78AB0B9E" w:rsidR="00054E04" w:rsidRPr="00694ABC" w:rsidRDefault="00C1321E" w:rsidP="00FF4F61">
      <w:pPr>
        <w:spacing w:line="360" w:lineRule="auto"/>
        <w:jc w:val="both"/>
        <w:rPr>
          <w:rFonts w:ascii="Palatino Linotype" w:eastAsiaTheme="minorHAnsi" w:hAnsi="Palatino Linotype" w:cs="Arial"/>
          <w:sz w:val="12"/>
          <w:lang w:val="es-MX" w:eastAsia="en-US"/>
        </w:rPr>
      </w:pPr>
      <w:r>
        <w:rPr>
          <w:rFonts w:ascii="Palatino Linotype" w:eastAsiaTheme="minorHAnsi" w:hAnsi="Palatino Linotype" w:cs="Arial"/>
          <w:sz w:val="18"/>
          <w:lang w:val="es-MX" w:eastAsia="en-US"/>
        </w:rPr>
        <w:t>JMV/CCR/BPAC</w:t>
      </w:r>
    </w:p>
    <w:p w14:paraId="3045BEB7" w14:textId="77777777" w:rsidR="0029071C" w:rsidRDefault="0029071C" w:rsidP="00FF4F61"/>
    <w:p w14:paraId="7EB24772" w14:textId="77777777" w:rsidR="0029071C" w:rsidRDefault="0029071C" w:rsidP="00FF4F61"/>
    <w:p w14:paraId="186BDFDF" w14:textId="77777777" w:rsidR="0029071C" w:rsidRDefault="0029071C" w:rsidP="00FF4F61"/>
    <w:p w14:paraId="7D78206F" w14:textId="77777777" w:rsidR="0029071C" w:rsidRDefault="0029071C" w:rsidP="00FF4F61"/>
    <w:p w14:paraId="04814BE6" w14:textId="77777777" w:rsidR="0029071C" w:rsidRDefault="0029071C" w:rsidP="00FF4F61"/>
    <w:p w14:paraId="6F49568C" w14:textId="77777777" w:rsidR="0029071C" w:rsidRDefault="0029071C" w:rsidP="00FF4F61"/>
    <w:p w14:paraId="6B8A2833" w14:textId="77777777" w:rsidR="0029071C" w:rsidRDefault="0029071C" w:rsidP="00FF4F61"/>
    <w:p w14:paraId="2E3529BC" w14:textId="77777777" w:rsidR="0029071C" w:rsidRDefault="0029071C" w:rsidP="00FF4F61"/>
    <w:p w14:paraId="488ED8DA" w14:textId="77777777" w:rsidR="0029071C" w:rsidRDefault="0029071C" w:rsidP="00FF4F61"/>
    <w:p w14:paraId="2B220EF2" w14:textId="77777777" w:rsidR="0029071C" w:rsidRDefault="0029071C" w:rsidP="00FF4F61"/>
    <w:p w14:paraId="54A41508" w14:textId="77777777" w:rsidR="0029071C" w:rsidRDefault="0029071C" w:rsidP="00FF4F61"/>
    <w:p w14:paraId="35C7B9CF" w14:textId="77777777" w:rsidR="0029071C" w:rsidRDefault="0029071C" w:rsidP="00FF4F61"/>
    <w:p w14:paraId="4A30153D" w14:textId="77777777" w:rsidR="0029071C" w:rsidRDefault="0029071C" w:rsidP="00FF4F61"/>
    <w:p w14:paraId="31AB933D" w14:textId="77777777" w:rsidR="0029071C" w:rsidRDefault="0029071C" w:rsidP="00FF4F61"/>
    <w:p w14:paraId="1E3C48FA" w14:textId="77777777" w:rsidR="0029071C" w:rsidRDefault="0029071C" w:rsidP="00FF4F61"/>
    <w:p w14:paraId="09C8730B" w14:textId="77777777" w:rsidR="0029071C" w:rsidRDefault="0029071C" w:rsidP="00FF4F61"/>
    <w:p w14:paraId="69F226C3" w14:textId="77777777" w:rsidR="0029071C" w:rsidRDefault="0029071C" w:rsidP="00FF4F61"/>
    <w:p w14:paraId="09C608C5" w14:textId="77777777" w:rsidR="0029071C" w:rsidRDefault="0029071C" w:rsidP="00FF4F61"/>
    <w:p w14:paraId="0D4B1FB2" w14:textId="77777777" w:rsidR="0029071C" w:rsidRDefault="0029071C" w:rsidP="00FF4F61"/>
    <w:p w14:paraId="160BB700" w14:textId="77777777" w:rsidR="0029071C" w:rsidRDefault="0029071C" w:rsidP="00FF4F61"/>
    <w:p w14:paraId="5A782B7A" w14:textId="77777777" w:rsidR="0029071C" w:rsidRDefault="0029071C" w:rsidP="00FF4F61"/>
    <w:p w14:paraId="4F28D52A" w14:textId="77777777" w:rsidR="0029071C" w:rsidRDefault="0029071C" w:rsidP="00FF4F61"/>
    <w:p w14:paraId="6C869109" w14:textId="77777777" w:rsidR="0029071C" w:rsidRDefault="0029071C" w:rsidP="00FF4F61"/>
    <w:p w14:paraId="0176EBE0" w14:textId="77777777" w:rsidR="0029071C" w:rsidRDefault="0029071C" w:rsidP="00FF4F61"/>
    <w:p w14:paraId="4A43AF8A" w14:textId="77777777" w:rsidR="0029071C" w:rsidRDefault="0029071C" w:rsidP="00FF4F61"/>
    <w:p w14:paraId="21B21FB2" w14:textId="77777777" w:rsidR="0029071C" w:rsidRDefault="0029071C" w:rsidP="00FF4F61"/>
    <w:p w14:paraId="4976B772" w14:textId="77777777" w:rsidR="0029071C" w:rsidRDefault="0029071C" w:rsidP="00FF4F61"/>
    <w:p w14:paraId="6A686AB3" w14:textId="77777777" w:rsidR="0029071C" w:rsidRDefault="0029071C" w:rsidP="00FF4F61"/>
    <w:p w14:paraId="42D25082" w14:textId="77777777" w:rsidR="0029071C" w:rsidRDefault="0029071C" w:rsidP="00FF4F61"/>
    <w:p w14:paraId="19677241" w14:textId="77777777" w:rsidR="0029071C" w:rsidRDefault="0029071C" w:rsidP="00FF4F61"/>
    <w:p w14:paraId="3096F816" w14:textId="77777777" w:rsidR="0029071C" w:rsidRDefault="0029071C" w:rsidP="00FF4F61"/>
    <w:p w14:paraId="2AB840FB" w14:textId="77777777" w:rsidR="0029071C" w:rsidRDefault="0029071C" w:rsidP="00FF4F61"/>
    <w:p w14:paraId="79A1A09E" w14:textId="77777777" w:rsidR="0029071C" w:rsidRDefault="0029071C" w:rsidP="00FF4F61"/>
    <w:p w14:paraId="489BB985" w14:textId="77777777" w:rsidR="0029071C" w:rsidRDefault="0029071C" w:rsidP="00FF4F61"/>
    <w:p w14:paraId="1929015B" w14:textId="30C74425" w:rsidR="0029071C" w:rsidRPr="003E56C9" w:rsidRDefault="0029071C" w:rsidP="00FF4F61"/>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029F" w14:textId="77777777" w:rsidR="00AF3BE2" w:rsidRDefault="00AF3BE2" w:rsidP="000B5E25">
      <w:r>
        <w:separator/>
      </w:r>
    </w:p>
  </w:endnote>
  <w:endnote w:type="continuationSeparator" w:id="0">
    <w:p w14:paraId="79B4D683" w14:textId="77777777" w:rsidR="00AF3BE2" w:rsidRDefault="00AF3BE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7E32B0C"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51136">
      <w:rPr>
        <w:rFonts w:ascii="Palatino Linotype" w:hAnsi="Palatino Linotype" w:cs="Arial"/>
        <w:bCs/>
        <w:noProof/>
        <w:sz w:val="20"/>
        <w:szCs w:val="20"/>
      </w:rPr>
      <w:t>18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51136">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69C3714B"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5113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51136">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9FB4" w14:textId="77777777" w:rsidR="00AF3BE2" w:rsidRDefault="00AF3BE2" w:rsidP="000B5E25">
      <w:r>
        <w:separator/>
      </w:r>
    </w:p>
  </w:footnote>
  <w:footnote w:type="continuationSeparator" w:id="0">
    <w:p w14:paraId="3AF18EA0" w14:textId="77777777" w:rsidR="00AF3BE2" w:rsidRDefault="00AF3BE2"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A51136">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3ADD6DBC" w:rsidR="00EC47E5" w:rsidRPr="0029071C" w:rsidRDefault="001116BA" w:rsidP="00E1041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1041E">
            <w:rPr>
              <w:rFonts w:ascii="Palatino Linotype" w:hAnsi="Palatino Linotype"/>
              <w:sz w:val="22"/>
              <w:szCs w:val="22"/>
              <w:lang w:val="es-ES_tradnl"/>
            </w:rPr>
            <w:t>7465</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331B1487" w:rsidR="00EC47E5" w:rsidRPr="0029071C" w:rsidRDefault="00E1041E" w:rsidP="008A5263">
          <w:pPr>
            <w:jc w:val="right"/>
            <w:rPr>
              <w:rFonts w:ascii="Palatino Linotype" w:hAnsi="Palatino Linotype"/>
              <w:sz w:val="22"/>
              <w:szCs w:val="22"/>
            </w:rPr>
          </w:pPr>
          <w:r w:rsidRPr="00E1041E">
            <w:rPr>
              <w:rFonts w:ascii="Palatino Linotype" w:hAnsi="Palatino Linotype"/>
              <w:sz w:val="22"/>
              <w:szCs w:val="22"/>
            </w:rPr>
            <w:t>Secretaría de Finanzas</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A5113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0.6pt;margin-top:-11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5B6163E1" w:rsidR="00EC47E5" w:rsidRPr="0029071C" w:rsidRDefault="001116BA" w:rsidP="00E1041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1041E">
            <w:rPr>
              <w:rFonts w:ascii="Palatino Linotype" w:hAnsi="Palatino Linotype"/>
              <w:sz w:val="22"/>
              <w:szCs w:val="22"/>
              <w:lang w:val="es-ES_tradnl"/>
            </w:rPr>
            <w:t>7465</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1B7DD68C" w:rsidR="00EC47E5" w:rsidRPr="006D30E6" w:rsidRDefault="00A5113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162E5DD2" w:rsidR="00EC47E5" w:rsidRPr="0029071C" w:rsidRDefault="00E1041E" w:rsidP="00F030FC">
          <w:pPr>
            <w:jc w:val="right"/>
            <w:rPr>
              <w:rFonts w:ascii="Palatino Linotype" w:hAnsi="Palatino Linotype"/>
              <w:sz w:val="22"/>
              <w:szCs w:val="22"/>
            </w:rPr>
          </w:pPr>
          <w:r w:rsidRPr="00E1041E">
            <w:rPr>
              <w:rFonts w:ascii="Palatino Linotype" w:hAnsi="Palatino Linotype"/>
              <w:sz w:val="22"/>
              <w:szCs w:val="22"/>
            </w:rPr>
            <w:t>Secretaría de Finanzas</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A51136">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132CA2"/>
    <w:multiLevelType w:val="hybridMultilevel"/>
    <w:tmpl w:val="8FB49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61A44"/>
    <w:multiLevelType w:val="hybridMultilevel"/>
    <w:tmpl w:val="C8DC3582"/>
    <w:lvl w:ilvl="0" w:tplc="81AAE9C4">
      <w:start w:val="8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D830D1"/>
    <w:multiLevelType w:val="hybridMultilevel"/>
    <w:tmpl w:val="E4B8E3D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15"/>
  </w:num>
  <w:num w:numId="3">
    <w:abstractNumId w:val="9"/>
  </w:num>
  <w:num w:numId="4">
    <w:abstractNumId w:val="32"/>
  </w:num>
  <w:num w:numId="5">
    <w:abstractNumId w:val="13"/>
  </w:num>
  <w:num w:numId="6">
    <w:abstractNumId w:val="10"/>
  </w:num>
  <w:num w:numId="7">
    <w:abstractNumId w:val="35"/>
  </w:num>
  <w:num w:numId="8">
    <w:abstractNumId w:val="40"/>
  </w:num>
  <w:num w:numId="9">
    <w:abstractNumId w:val="19"/>
  </w:num>
  <w:num w:numId="10">
    <w:abstractNumId w:val="3"/>
  </w:num>
  <w:num w:numId="11">
    <w:abstractNumId w:val="12"/>
  </w:num>
  <w:num w:numId="12">
    <w:abstractNumId w:val="24"/>
  </w:num>
  <w:num w:numId="13">
    <w:abstractNumId w:val="23"/>
  </w:num>
  <w:num w:numId="14">
    <w:abstractNumId w:val="28"/>
  </w:num>
  <w:num w:numId="15">
    <w:abstractNumId w:val="8"/>
  </w:num>
  <w:num w:numId="16">
    <w:abstractNumId w:val="41"/>
  </w:num>
  <w:num w:numId="17">
    <w:abstractNumId w:val="22"/>
  </w:num>
  <w:num w:numId="18">
    <w:abstractNumId w:val="25"/>
  </w:num>
  <w:num w:numId="19">
    <w:abstractNumId w:val="2"/>
  </w:num>
  <w:num w:numId="20">
    <w:abstractNumId w:val="34"/>
  </w:num>
  <w:num w:numId="21">
    <w:abstractNumId w:val="20"/>
  </w:num>
  <w:num w:numId="22">
    <w:abstractNumId w:val="29"/>
  </w:num>
  <w:num w:numId="23">
    <w:abstractNumId w:val="33"/>
  </w:num>
  <w:num w:numId="24">
    <w:abstractNumId w:val="21"/>
  </w:num>
  <w:num w:numId="25">
    <w:abstractNumId w:val="1"/>
  </w:num>
  <w:num w:numId="26">
    <w:abstractNumId w:val="27"/>
  </w:num>
  <w:num w:numId="27">
    <w:abstractNumId w:val="0"/>
  </w:num>
  <w:num w:numId="28">
    <w:abstractNumId w:val="7"/>
  </w:num>
  <w:num w:numId="29">
    <w:abstractNumId w:val="30"/>
  </w:num>
  <w:num w:numId="30">
    <w:abstractNumId w:val="17"/>
  </w:num>
  <w:num w:numId="31">
    <w:abstractNumId w:val="16"/>
  </w:num>
  <w:num w:numId="32">
    <w:abstractNumId w:val="36"/>
  </w:num>
  <w:num w:numId="33">
    <w:abstractNumId w:val="39"/>
  </w:num>
  <w:num w:numId="34">
    <w:abstractNumId w:val="31"/>
  </w:num>
  <w:num w:numId="35">
    <w:abstractNumId w:val="26"/>
  </w:num>
  <w:num w:numId="36">
    <w:abstractNumId w:val="18"/>
  </w:num>
  <w:num w:numId="37">
    <w:abstractNumId w:val="38"/>
  </w:num>
  <w:num w:numId="38">
    <w:abstractNumId w:val="14"/>
  </w:num>
  <w:num w:numId="39">
    <w:abstractNumId w:val="6"/>
  </w:num>
  <w:num w:numId="40">
    <w:abstractNumId w:val="4"/>
  </w:num>
  <w:num w:numId="41">
    <w:abstractNumId w:val="5"/>
  </w:num>
  <w:num w:numId="4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s-ES"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C5C"/>
    <w:rsid w:val="00031EFF"/>
    <w:rsid w:val="00032D08"/>
    <w:rsid w:val="00032FFF"/>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1B60"/>
    <w:rsid w:val="00113AA8"/>
    <w:rsid w:val="00115B15"/>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3627"/>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025D"/>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7924"/>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91137"/>
    <w:rsid w:val="004A0B63"/>
    <w:rsid w:val="004A26CF"/>
    <w:rsid w:val="004B2314"/>
    <w:rsid w:val="004B365B"/>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9032F"/>
    <w:rsid w:val="0059614C"/>
    <w:rsid w:val="00597D71"/>
    <w:rsid w:val="005A0FF4"/>
    <w:rsid w:val="005A6216"/>
    <w:rsid w:val="005B0692"/>
    <w:rsid w:val="005B234D"/>
    <w:rsid w:val="005B26AD"/>
    <w:rsid w:val="005B36A8"/>
    <w:rsid w:val="005B5693"/>
    <w:rsid w:val="005C2ACA"/>
    <w:rsid w:val="005C6646"/>
    <w:rsid w:val="005D1D9F"/>
    <w:rsid w:val="005D77CC"/>
    <w:rsid w:val="005E01A2"/>
    <w:rsid w:val="005E09AB"/>
    <w:rsid w:val="005E5716"/>
    <w:rsid w:val="005F1F89"/>
    <w:rsid w:val="005F4BFB"/>
    <w:rsid w:val="006000C5"/>
    <w:rsid w:val="006002E0"/>
    <w:rsid w:val="00603289"/>
    <w:rsid w:val="00603B0A"/>
    <w:rsid w:val="006128C9"/>
    <w:rsid w:val="00612EFB"/>
    <w:rsid w:val="006130C6"/>
    <w:rsid w:val="00620280"/>
    <w:rsid w:val="0062349E"/>
    <w:rsid w:val="00625713"/>
    <w:rsid w:val="006258FD"/>
    <w:rsid w:val="00626662"/>
    <w:rsid w:val="00632E48"/>
    <w:rsid w:val="00632E78"/>
    <w:rsid w:val="00643B58"/>
    <w:rsid w:val="00660434"/>
    <w:rsid w:val="00664801"/>
    <w:rsid w:val="006673CF"/>
    <w:rsid w:val="006810FF"/>
    <w:rsid w:val="00693F2F"/>
    <w:rsid w:val="00694976"/>
    <w:rsid w:val="00694ABC"/>
    <w:rsid w:val="006A2694"/>
    <w:rsid w:val="006B321A"/>
    <w:rsid w:val="006B418F"/>
    <w:rsid w:val="006B7440"/>
    <w:rsid w:val="006C1037"/>
    <w:rsid w:val="006C3931"/>
    <w:rsid w:val="006C4581"/>
    <w:rsid w:val="006D1713"/>
    <w:rsid w:val="006D30E6"/>
    <w:rsid w:val="006D3A03"/>
    <w:rsid w:val="006D73E4"/>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1193"/>
    <w:rsid w:val="007A118C"/>
    <w:rsid w:val="007A1F70"/>
    <w:rsid w:val="007A37FE"/>
    <w:rsid w:val="007A3973"/>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3F80"/>
    <w:rsid w:val="008500D3"/>
    <w:rsid w:val="00852668"/>
    <w:rsid w:val="008578BF"/>
    <w:rsid w:val="008660D6"/>
    <w:rsid w:val="008803EF"/>
    <w:rsid w:val="008805A5"/>
    <w:rsid w:val="00882980"/>
    <w:rsid w:val="0088642E"/>
    <w:rsid w:val="00896D29"/>
    <w:rsid w:val="008A12CF"/>
    <w:rsid w:val="008A1A90"/>
    <w:rsid w:val="008A5263"/>
    <w:rsid w:val="008A5FCD"/>
    <w:rsid w:val="008A64CB"/>
    <w:rsid w:val="008B082B"/>
    <w:rsid w:val="008B6546"/>
    <w:rsid w:val="008C3B24"/>
    <w:rsid w:val="008E01E4"/>
    <w:rsid w:val="008E0F52"/>
    <w:rsid w:val="008E7F32"/>
    <w:rsid w:val="008F148C"/>
    <w:rsid w:val="008F24CD"/>
    <w:rsid w:val="008F46A3"/>
    <w:rsid w:val="008F5DAE"/>
    <w:rsid w:val="00900C9B"/>
    <w:rsid w:val="00901487"/>
    <w:rsid w:val="00907F13"/>
    <w:rsid w:val="009111DC"/>
    <w:rsid w:val="00914306"/>
    <w:rsid w:val="00914D71"/>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0A5C"/>
    <w:rsid w:val="00A51136"/>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33BE"/>
    <w:rsid w:val="00AE1A47"/>
    <w:rsid w:val="00AE5995"/>
    <w:rsid w:val="00AE6704"/>
    <w:rsid w:val="00AE78CA"/>
    <w:rsid w:val="00AF3BE2"/>
    <w:rsid w:val="00B01BD5"/>
    <w:rsid w:val="00B04476"/>
    <w:rsid w:val="00B05B83"/>
    <w:rsid w:val="00B07EBD"/>
    <w:rsid w:val="00B1419F"/>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269F"/>
    <w:rsid w:val="00BD4B93"/>
    <w:rsid w:val="00BD65BC"/>
    <w:rsid w:val="00BD677A"/>
    <w:rsid w:val="00BD6CEB"/>
    <w:rsid w:val="00BD74AF"/>
    <w:rsid w:val="00BE233B"/>
    <w:rsid w:val="00BE7395"/>
    <w:rsid w:val="00BE7A6E"/>
    <w:rsid w:val="00BF6E0F"/>
    <w:rsid w:val="00C00F2F"/>
    <w:rsid w:val="00C0414E"/>
    <w:rsid w:val="00C058C8"/>
    <w:rsid w:val="00C1321E"/>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9064B"/>
    <w:rsid w:val="00C942B2"/>
    <w:rsid w:val="00CA216C"/>
    <w:rsid w:val="00CA4B8A"/>
    <w:rsid w:val="00CA4BF9"/>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1E26"/>
    <w:rsid w:val="00D77C58"/>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041E"/>
    <w:rsid w:val="00E11B18"/>
    <w:rsid w:val="00E14823"/>
    <w:rsid w:val="00E1679E"/>
    <w:rsid w:val="00E174F8"/>
    <w:rsid w:val="00E341AD"/>
    <w:rsid w:val="00E40828"/>
    <w:rsid w:val="00E41C47"/>
    <w:rsid w:val="00E42B2B"/>
    <w:rsid w:val="00E5647F"/>
    <w:rsid w:val="00E57BDB"/>
    <w:rsid w:val="00E625D3"/>
    <w:rsid w:val="00E65F37"/>
    <w:rsid w:val="00E70B77"/>
    <w:rsid w:val="00E711DE"/>
    <w:rsid w:val="00E718A5"/>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6316"/>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2BF7"/>
    <w:rsid w:val="00F1478C"/>
    <w:rsid w:val="00F17D1B"/>
    <w:rsid w:val="00F241AD"/>
    <w:rsid w:val="00F26C3B"/>
    <w:rsid w:val="00F30C1D"/>
    <w:rsid w:val="00F30C33"/>
    <w:rsid w:val="00F32EBF"/>
    <w:rsid w:val="00F348DC"/>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513C"/>
    <w:rsid w:val="00F90EBA"/>
    <w:rsid w:val="00F94863"/>
    <w:rsid w:val="00F97C38"/>
    <w:rsid w:val="00FA5223"/>
    <w:rsid w:val="00FA7ED5"/>
    <w:rsid w:val="00FB32CD"/>
    <w:rsid w:val="00FC079F"/>
    <w:rsid w:val="00FC0DAE"/>
    <w:rsid w:val="00FC1FC5"/>
    <w:rsid w:val="00FC6F08"/>
    <w:rsid w:val="00FC7CC7"/>
    <w:rsid w:val="00FE2FFB"/>
    <w:rsid w:val="00FF0516"/>
    <w:rsid w:val="00FF2D02"/>
    <w:rsid w:val="00FF366A"/>
    <w:rsid w:val="00FF4F61"/>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infoemcitas">
    <w:name w:val="infoem citas"/>
    <w:basedOn w:val="Normal"/>
    <w:qFormat/>
    <w:rsid w:val="00FF4F61"/>
    <w:pPr>
      <w:spacing w:before="240" w:after="160" w:line="360" w:lineRule="auto"/>
      <w:ind w:left="851" w:right="851"/>
      <w:jc w:val="both"/>
    </w:pPr>
    <w:rPr>
      <w:rFonts w:ascii="Palatino Linotype" w:eastAsiaTheme="minorHAnsi" w:hAnsi="Palatino Linotype" w:cstheme="minorBidi"/>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92DC0-AC58-4CAD-8720-6314284E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4116</Words>
  <Characters>22639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2025-01-15T04:26:00Z</dcterms:created>
  <dcterms:modified xsi:type="dcterms:W3CDTF">2025-01-28T18:09:00Z</dcterms:modified>
</cp:coreProperties>
</file>