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59393" w14:textId="0686BE52"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w:t>
      </w:r>
      <w:r w:rsidR="003B71C3" w:rsidRPr="003B71C3">
        <w:rPr>
          <w:rFonts w:ascii="Palatino Linotype" w:eastAsia="Palatino Linotype" w:hAnsi="Palatino Linotype" w:cs="Palatino Linotype"/>
          <w:color w:val="000000"/>
          <w:sz w:val="24"/>
          <w:szCs w:val="24"/>
        </w:rPr>
        <w:t>a doce de noviembre de dos mil veinticinco.</w:t>
      </w:r>
    </w:p>
    <w:p w14:paraId="069B53B6"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0FE71069" w14:textId="5E46FE80"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sidR="003B2EE5" w:rsidRPr="003B2EE5">
        <w:rPr>
          <w:rFonts w:ascii="Palatino Linotype" w:eastAsia="Palatino Linotype" w:hAnsi="Palatino Linotype" w:cs="Palatino Linotype"/>
          <w:b/>
          <w:sz w:val="24"/>
          <w:szCs w:val="24"/>
          <w:lang w:val="es-ES"/>
        </w:rPr>
        <w:t>11270/INFOEM/IP/RR/2025</w:t>
      </w:r>
      <w:bookmarkEnd w:id="0"/>
      <w:r w:rsidR="003B2EE5" w:rsidRPr="003B2EE5">
        <w:rPr>
          <w:rFonts w:ascii="Palatino Linotype" w:eastAsia="Palatino Linotype" w:hAnsi="Palatino Linotype" w:cs="Palatino Linotype"/>
          <w:b/>
          <w:sz w:val="24"/>
          <w:szCs w:val="24"/>
          <w:lang w:val="es-ES"/>
        </w:rPr>
        <w:t>, 11700/INFOEM/IP/RR/2025, 11701/INFOEM/IP/RR/2025, 11714/INFOEM/IP/RR/2025, 11720/INFOEM/IP/RR/2025, 11728/INFOEM/IP/RR/2025</w:t>
      </w:r>
      <w:r w:rsidR="003B2EE5">
        <w:rPr>
          <w:rFonts w:ascii="Palatino Linotype" w:eastAsia="Palatino Linotype" w:hAnsi="Palatino Linotype" w:cs="Palatino Linotype"/>
          <w:b/>
          <w:sz w:val="24"/>
          <w:szCs w:val="24"/>
          <w:lang w:val="es-ES"/>
        </w:rPr>
        <w:t xml:space="preserve">, </w:t>
      </w:r>
      <w:r w:rsidR="003B2EE5" w:rsidRPr="003B2EE5">
        <w:rPr>
          <w:rFonts w:ascii="Palatino Linotype" w:eastAsia="Palatino Linotype" w:hAnsi="Palatino Linotype" w:cs="Palatino Linotype"/>
          <w:b/>
          <w:sz w:val="24"/>
          <w:szCs w:val="24"/>
          <w:lang w:val="es-ES"/>
        </w:rPr>
        <w:t>11733/INFOEM/IP/RR/2025</w:t>
      </w:r>
      <w:r w:rsidR="003B2EE5">
        <w:rPr>
          <w:rFonts w:ascii="Palatino Linotype" w:eastAsia="Palatino Linotype" w:hAnsi="Palatino Linotype" w:cs="Palatino Linotype"/>
          <w:b/>
          <w:sz w:val="24"/>
          <w:szCs w:val="24"/>
          <w:lang w:val="es-ES"/>
        </w:rPr>
        <w:t xml:space="preserve"> 11734/INFOEM/IP/RR/2025, 11735/INFOEM/IP/RR/2025, 11736/INFOEM/IP/RR/2025, 11737/INFOEM/IP/RR/2025 y</w:t>
      </w:r>
      <w:r w:rsidR="003B2EE5" w:rsidRPr="003B2EE5">
        <w:rPr>
          <w:rFonts w:ascii="Palatino Linotype" w:eastAsia="Palatino Linotype" w:hAnsi="Palatino Linotype" w:cs="Palatino Linotype"/>
          <w:b/>
          <w:sz w:val="24"/>
          <w:szCs w:val="24"/>
          <w:lang w:val="es-ES"/>
        </w:rPr>
        <w:t xml:space="preserve"> 11738/INFOEM/IP/RR/2025</w:t>
      </w:r>
      <w:r w:rsidR="003B2EE5">
        <w:rPr>
          <w:rFonts w:ascii="Palatino Linotype" w:eastAsia="Palatino Linotype" w:hAnsi="Palatino Linotype" w:cs="Palatino Linotype"/>
          <w:b/>
          <w:sz w:val="24"/>
          <w:szCs w:val="24"/>
          <w:lang w:val="es-ES"/>
        </w:rPr>
        <w:t xml:space="preserve"> acumulados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interpuesto</w:t>
      </w:r>
      <w:r w:rsidR="003B2EE5">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sidR="006A5601">
        <w:rPr>
          <w:rFonts w:ascii="Palatino Linotype" w:eastAsia="Palatino Linotype" w:hAnsi="Palatino Linotype" w:cs="Palatino Linotype"/>
          <w:color w:val="000000"/>
          <w:sz w:val="24"/>
          <w:szCs w:val="24"/>
        </w:rPr>
        <w:t xml:space="preserve">por persona que manifiesta su nombre </w:t>
      </w:r>
      <w:r w:rsidR="00125F6D">
        <w:rPr>
          <w:rFonts w:ascii="Palatino Linotype" w:eastAsia="Palatino Linotype" w:hAnsi="Palatino Linotype" w:cs="Palatino Linotype"/>
          <w:color w:val="000000"/>
          <w:sz w:val="24"/>
          <w:szCs w:val="24"/>
        </w:rPr>
        <w:t>como</w:t>
      </w:r>
      <w:r w:rsidR="006A5601">
        <w:rPr>
          <w:rFonts w:ascii="Palatino Linotype" w:eastAsia="Palatino Linotype" w:hAnsi="Palatino Linotype" w:cs="Palatino Linotype"/>
          <w:color w:val="000000"/>
          <w:sz w:val="24"/>
          <w:szCs w:val="24"/>
        </w:rPr>
        <w:t xml:space="preserve">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125F6D" w:rsidRPr="00125F6D">
        <w:rPr>
          <w:rFonts w:ascii="Palatino Linotype" w:eastAsia="Palatino Linotype" w:hAnsi="Palatino Linotype" w:cs="Palatino Linotype"/>
          <w:b/>
          <w:color w:val="000000"/>
          <w:sz w:val="24"/>
          <w:szCs w:val="24"/>
        </w:rPr>
        <w:t>Sistema Municipal Para el Desarrollo Integral de la Familia de Ixtapaluca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r w:rsidR="00125F6D">
        <w:rPr>
          <w:rFonts w:ascii="Palatino Linotype" w:eastAsia="Palatino Linotype" w:hAnsi="Palatino Linotype" w:cs="Palatino Linotype"/>
          <w:sz w:val="24"/>
          <w:szCs w:val="24"/>
        </w:rPr>
        <w:t xml:space="preserve"> </w:t>
      </w:r>
    </w:p>
    <w:p w14:paraId="2E6D54D4"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335C03D6"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6C0BF2C5" w14:textId="77777777" w:rsidR="009E3316" w:rsidRDefault="009E3316" w:rsidP="009E3316">
      <w:pPr>
        <w:spacing w:after="0" w:line="360" w:lineRule="auto"/>
        <w:rPr>
          <w:rFonts w:ascii="Palatino Linotype" w:eastAsia="Palatino Linotype" w:hAnsi="Palatino Linotype" w:cs="Palatino Linotype"/>
          <w:b/>
          <w:sz w:val="24"/>
          <w:szCs w:val="24"/>
        </w:rPr>
      </w:pPr>
    </w:p>
    <w:p w14:paraId="216D5B17" w14:textId="2B9B8CD3"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00137BD5">
        <w:rPr>
          <w:rFonts w:ascii="Palatino Linotype" w:eastAsia="Palatino Linotype" w:hAnsi="Palatino Linotype" w:cs="Palatino Linotype"/>
          <w:b/>
          <w:color w:val="000000"/>
          <w:sz w:val="28"/>
          <w:szCs w:val="24"/>
        </w:rPr>
        <w:t>s</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00137BD5">
        <w:rPr>
          <w:rFonts w:ascii="Palatino Linotype" w:eastAsia="Palatino Linotype" w:hAnsi="Palatino Linotype" w:cs="Palatino Linotype"/>
          <w:b/>
          <w:color w:val="000000"/>
          <w:sz w:val="28"/>
          <w:szCs w:val="24"/>
        </w:rPr>
        <w:t>es</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7B4C4E01" w14:textId="7352549F"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560826" w:rsidRPr="00560826">
        <w:rPr>
          <w:rFonts w:ascii="Palatino Linotype" w:eastAsia="Palatino Linotype" w:hAnsi="Palatino Linotype" w:cs="Palatino Linotype"/>
          <w:b/>
          <w:bCs/>
          <w:sz w:val="24"/>
          <w:szCs w:val="24"/>
        </w:rPr>
        <w:t xml:space="preserve">ocho y </w:t>
      </w:r>
      <w:r w:rsidR="00125F6D" w:rsidRPr="00560826">
        <w:rPr>
          <w:rFonts w:ascii="Palatino Linotype" w:eastAsia="Palatino Linotype" w:hAnsi="Palatino Linotype" w:cs="Palatino Linotype"/>
          <w:b/>
          <w:bCs/>
          <w:sz w:val="24"/>
          <w:szCs w:val="24"/>
        </w:rPr>
        <w:t>diecisiete</w:t>
      </w:r>
      <w:r w:rsidR="00125F6D">
        <w:rPr>
          <w:rFonts w:ascii="Palatino Linotype" w:eastAsia="Palatino Linotype" w:hAnsi="Palatino Linotype" w:cs="Palatino Linotype"/>
          <w:b/>
          <w:sz w:val="24"/>
          <w:szCs w:val="24"/>
        </w:rPr>
        <w:t xml:space="preserve"> de septiembre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la</w:t>
      </w:r>
      <w:r w:rsidR="0056082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solicitud</w:t>
      </w:r>
      <w:r w:rsidR="00560826">
        <w:rPr>
          <w:rFonts w:ascii="Palatino Linotype" w:eastAsia="Palatino Linotype" w:hAnsi="Palatino Linotype" w:cs="Palatino Linotype"/>
          <w:sz w:val="24"/>
          <w:szCs w:val="24"/>
        </w:rPr>
        <w:t>es</w:t>
      </w:r>
      <w:r>
        <w:rPr>
          <w:rFonts w:ascii="Palatino Linotype" w:eastAsia="Palatino Linotype" w:hAnsi="Palatino Linotype" w:cs="Palatino Linotype"/>
          <w:sz w:val="24"/>
          <w:szCs w:val="24"/>
        </w:rPr>
        <w:t xml:space="preserve"> de acceso a la información pública, con número</w:t>
      </w:r>
      <w:r w:rsidR="0056082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folio </w:t>
      </w:r>
      <w:r w:rsidR="00560826" w:rsidRPr="00560826">
        <w:rPr>
          <w:rFonts w:ascii="Palatino Linotype" w:eastAsia="Palatino Linotype" w:hAnsi="Palatino Linotype" w:cs="Palatino Linotype"/>
          <w:b/>
          <w:bCs/>
          <w:sz w:val="24"/>
          <w:szCs w:val="24"/>
        </w:rPr>
        <w:lastRenderedPageBreak/>
        <w:t>00159/DIFIXTAPAL/IP/2025</w:t>
      </w:r>
      <w:r w:rsidR="00560826">
        <w:rPr>
          <w:rFonts w:ascii="Palatino Linotype" w:eastAsia="Palatino Linotype" w:hAnsi="Palatino Linotype" w:cs="Palatino Linotype"/>
          <w:b/>
          <w:bCs/>
          <w:sz w:val="24"/>
          <w:szCs w:val="24"/>
        </w:rPr>
        <w:t xml:space="preserve">, </w:t>
      </w:r>
      <w:r w:rsidR="00560826" w:rsidRPr="00560826">
        <w:rPr>
          <w:rFonts w:ascii="Palatino Linotype" w:eastAsia="Palatino Linotype" w:hAnsi="Palatino Linotype" w:cs="Palatino Linotype"/>
          <w:b/>
          <w:bCs/>
          <w:sz w:val="24"/>
          <w:szCs w:val="24"/>
        </w:rPr>
        <w:t>00199/DIFIXTAPAL/IP/2025</w:t>
      </w:r>
      <w:r w:rsidR="00560826">
        <w:rPr>
          <w:rFonts w:ascii="Palatino Linotype" w:eastAsia="Palatino Linotype" w:hAnsi="Palatino Linotype" w:cs="Palatino Linotype"/>
          <w:b/>
          <w:bCs/>
          <w:sz w:val="24"/>
          <w:szCs w:val="24"/>
        </w:rPr>
        <w:t xml:space="preserve">, </w:t>
      </w:r>
      <w:r w:rsidR="00560826" w:rsidRPr="00560826">
        <w:rPr>
          <w:rFonts w:ascii="Palatino Linotype" w:eastAsia="Palatino Linotype" w:hAnsi="Palatino Linotype" w:cs="Palatino Linotype"/>
          <w:b/>
          <w:bCs/>
          <w:sz w:val="24"/>
          <w:szCs w:val="24"/>
        </w:rPr>
        <w:t>00198/DIFIXTAPAL/IP/2025</w:t>
      </w:r>
      <w:r w:rsidR="00560826">
        <w:rPr>
          <w:rFonts w:ascii="Palatino Linotype" w:eastAsia="Palatino Linotype" w:hAnsi="Palatino Linotype" w:cs="Palatino Linotype"/>
          <w:b/>
          <w:bCs/>
          <w:sz w:val="24"/>
          <w:szCs w:val="24"/>
        </w:rPr>
        <w:t xml:space="preserve">, </w:t>
      </w:r>
      <w:r w:rsidR="00560826" w:rsidRPr="00560826">
        <w:rPr>
          <w:rFonts w:ascii="Palatino Linotype" w:eastAsia="Palatino Linotype" w:hAnsi="Palatino Linotype" w:cs="Palatino Linotype"/>
          <w:b/>
          <w:bCs/>
          <w:sz w:val="24"/>
          <w:szCs w:val="24"/>
        </w:rPr>
        <w:t>00185/DIFIXTAPAL/IP/2025</w:t>
      </w:r>
      <w:r w:rsidR="00560826">
        <w:rPr>
          <w:rFonts w:ascii="Palatino Linotype" w:eastAsia="Palatino Linotype" w:hAnsi="Palatino Linotype" w:cs="Palatino Linotype"/>
          <w:b/>
          <w:bCs/>
          <w:sz w:val="24"/>
          <w:szCs w:val="24"/>
        </w:rPr>
        <w:t xml:space="preserve">, </w:t>
      </w:r>
      <w:r w:rsidR="00560826" w:rsidRPr="00560826">
        <w:rPr>
          <w:rFonts w:ascii="Palatino Linotype" w:eastAsia="Palatino Linotype" w:hAnsi="Palatino Linotype" w:cs="Palatino Linotype"/>
          <w:b/>
          <w:bCs/>
          <w:sz w:val="24"/>
          <w:szCs w:val="24"/>
        </w:rPr>
        <w:t>00179/DIFIXTAPAL/IP/2025</w:t>
      </w:r>
      <w:r w:rsidR="00560826">
        <w:rPr>
          <w:rFonts w:ascii="Palatino Linotype" w:eastAsia="Palatino Linotype" w:hAnsi="Palatino Linotype" w:cs="Palatino Linotype"/>
          <w:b/>
          <w:bCs/>
          <w:sz w:val="24"/>
          <w:szCs w:val="24"/>
        </w:rPr>
        <w:t xml:space="preserve">, </w:t>
      </w:r>
      <w:r w:rsidR="00D679FF" w:rsidRPr="00D679FF">
        <w:rPr>
          <w:rFonts w:ascii="Palatino Linotype" w:eastAsia="Palatino Linotype" w:hAnsi="Palatino Linotype" w:cs="Palatino Linotype"/>
          <w:b/>
          <w:bCs/>
          <w:sz w:val="24"/>
          <w:szCs w:val="24"/>
        </w:rPr>
        <w:t>00171/DIFIXTAPAL/IP/2025</w:t>
      </w:r>
      <w:r w:rsidR="00D679FF">
        <w:rPr>
          <w:rFonts w:ascii="Palatino Linotype" w:eastAsia="Palatino Linotype" w:hAnsi="Palatino Linotype" w:cs="Palatino Linotype"/>
          <w:b/>
          <w:bCs/>
          <w:sz w:val="24"/>
          <w:szCs w:val="24"/>
        </w:rPr>
        <w:t xml:space="preserve">, </w:t>
      </w:r>
      <w:r w:rsidR="00D679FF" w:rsidRPr="00D679FF">
        <w:rPr>
          <w:rFonts w:ascii="Palatino Linotype" w:eastAsia="Palatino Linotype" w:hAnsi="Palatino Linotype" w:cs="Palatino Linotype"/>
          <w:b/>
          <w:bCs/>
          <w:sz w:val="24"/>
          <w:szCs w:val="24"/>
        </w:rPr>
        <w:t>00166/DIFIXTAPAL/IP/2025</w:t>
      </w:r>
      <w:r w:rsidR="00D679FF">
        <w:rPr>
          <w:rFonts w:ascii="Palatino Linotype" w:eastAsia="Palatino Linotype" w:hAnsi="Palatino Linotype" w:cs="Palatino Linotype"/>
          <w:b/>
          <w:bCs/>
          <w:sz w:val="24"/>
          <w:szCs w:val="24"/>
        </w:rPr>
        <w:t xml:space="preserve">, </w:t>
      </w:r>
      <w:r w:rsidR="00D679FF" w:rsidRPr="00D679FF">
        <w:rPr>
          <w:rFonts w:ascii="Palatino Linotype" w:eastAsia="Palatino Linotype" w:hAnsi="Palatino Linotype" w:cs="Palatino Linotype"/>
          <w:b/>
          <w:bCs/>
          <w:sz w:val="24"/>
          <w:szCs w:val="24"/>
        </w:rPr>
        <w:t>00165/DIFIXTAPAL/IP/2025</w:t>
      </w:r>
      <w:r w:rsidR="00D679FF">
        <w:rPr>
          <w:rFonts w:ascii="Palatino Linotype" w:eastAsia="Palatino Linotype" w:hAnsi="Palatino Linotype" w:cs="Palatino Linotype"/>
          <w:b/>
          <w:bCs/>
          <w:sz w:val="24"/>
          <w:szCs w:val="24"/>
        </w:rPr>
        <w:t xml:space="preserve">, </w:t>
      </w:r>
      <w:r w:rsidR="00D679FF" w:rsidRPr="00D679FF">
        <w:rPr>
          <w:rFonts w:ascii="Palatino Linotype" w:eastAsia="Palatino Linotype" w:hAnsi="Palatino Linotype" w:cs="Palatino Linotype"/>
          <w:b/>
          <w:bCs/>
          <w:sz w:val="24"/>
          <w:szCs w:val="24"/>
        </w:rPr>
        <w:t>00164/DIFIXTAPAL/IP/2025</w:t>
      </w:r>
      <w:r w:rsidR="00D679FF">
        <w:rPr>
          <w:rFonts w:ascii="Palatino Linotype" w:eastAsia="Palatino Linotype" w:hAnsi="Palatino Linotype" w:cs="Palatino Linotype"/>
          <w:b/>
          <w:bCs/>
          <w:sz w:val="24"/>
          <w:szCs w:val="24"/>
        </w:rPr>
        <w:t xml:space="preserve">, </w:t>
      </w:r>
      <w:r w:rsidR="00D679FF" w:rsidRPr="00D679FF">
        <w:rPr>
          <w:rFonts w:ascii="Palatino Linotype" w:eastAsia="Palatino Linotype" w:hAnsi="Palatino Linotype" w:cs="Palatino Linotype"/>
          <w:b/>
          <w:bCs/>
          <w:sz w:val="24"/>
          <w:szCs w:val="24"/>
        </w:rPr>
        <w:t>00163/DIFIXTAPAL/IP/2025</w:t>
      </w:r>
      <w:r w:rsidR="00D679FF">
        <w:rPr>
          <w:rFonts w:ascii="Palatino Linotype" w:eastAsia="Palatino Linotype" w:hAnsi="Palatino Linotype" w:cs="Palatino Linotype"/>
          <w:b/>
          <w:bCs/>
          <w:sz w:val="24"/>
          <w:szCs w:val="24"/>
        </w:rPr>
        <w:t xml:space="preserve">, </w:t>
      </w:r>
      <w:r w:rsidR="00D679FF" w:rsidRPr="00D679FF">
        <w:rPr>
          <w:rFonts w:ascii="Palatino Linotype" w:eastAsia="Palatino Linotype" w:hAnsi="Palatino Linotype" w:cs="Palatino Linotype"/>
          <w:b/>
          <w:bCs/>
          <w:sz w:val="24"/>
          <w:szCs w:val="24"/>
        </w:rPr>
        <w:t>00162/DIFIXTAPAL/IP/2025</w:t>
      </w:r>
      <w:r w:rsidR="00D679FF">
        <w:rPr>
          <w:rFonts w:ascii="Palatino Linotype" w:eastAsia="Palatino Linotype" w:hAnsi="Palatino Linotype" w:cs="Palatino Linotype"/>
          <w:b/>
          <w:bCs/>
          <w:sz w:val="24"/>
          <w:szCs w:val="24"/>
        </w:rPr>
        <w:t xml:space="preserve"> y </w:t>
      </w:r>
      <w:r w:rsidR="00D679FF" w:rsidRPr="00D679FF">
        <w:rPr>
          <w:rFonts w:ascii="Palatino Linotype" w:eastAsia="Palatino Linotype" w:hAnsi="Palatino Linotype" w:cs="Palatino Linotype"/>
          <w:b/>
          <w:bCs/>
          <w:sz w:val="24"/>
          <w:szCs w:val="24"/>
        </w:rPr>
        <w:t>00161/DIFIXTAPAL/IP/2025</w:t>
      </w:r>
      <w:r>
        <w:rPr>
          <w:rFonts w:ascii="Palatino Linotype" w:eastAsia="Palatino Linotype" w:hAnsi="Palatino Linotype" w:cs="Palatino Linotype"/>
          <w:sz w:val="24"/>
          <w:szCs w:val="24"/>
        </w:rPr>
        <w:t xml:space="preserve">, de lo siguiente: </w:t>
      </w:r>
    </w:p>
    <w:p w14:paraId="081C9AFB" w14:textId="53D6A90E" w:rsidR="00D679FF" w:rsidRPr="00D679FF" w:rsidRDefault="00D679FF" w:rsidP="00D679FF">
      <w:pPr>
        <w:pStyle w:val="INFOEM"/>
        <w:ind w:left="0"/>
        <w:rPr>
          <w:lang w:val="es-ES_tradnl" w:eastAsia="es-ES"/>
        </w:rPr>
      </w:pPr>
      <w:r w:rsidRPr="00D679FF">
        <w:rPr>
          <w:lang w:eastAsia="es-ES"/>
        </w:rPr>
        <w:t>00159/DIFIXTAPAL/IP/2025</w:t>
      </w:r>
    </w:p>
    <w:p w14:paraId="39597599" w14:textId="76B84E7E" w:rsidR="009E3316" w:rsidRPr="001C7F6F" w:rsidRDefault="009E3316" w:rsidP="009E3316">
      <w:pPr>
        <w:pStyle w:val="INFOEM"/>
        <w:rPr>
          <w:lang w:val="es-ES_tradnl" w:eastAsia="es-ES"/>
        </w:rPr>
      </w:pPr>
      <w:r w:rsidRPr="00D705FF">
        <w:rPr>
          <w:lang w:val="es-ES_tradnl" w:eastAsia="es-ES"/>
        </w:rPr>
        <w:t>“</w:t>
      </w:r>
      <w:r w:rsidR="00272C02" w:rsidRPr="00272C02">
        <w:rPr>
          <w:lang w:val="es-ES" w:eastAsia="es-ES"/>
        </w:rPr>
        <w:t>Solicito copia simple en versión pública de los oficios enviados por la Tesorería del DIF Ixtapaluca a la Presidencia y a la Dirección General durante los ejercicios 2022-2024. Requiero copia simple de los oficios recibidos por la Tesorería del DIF Ixtapaluca en el periodo 2022-2024</w:t>
      </w:r>
      <w:r w:rsidR="008D71B9" w:rsidRPr="008D71B9">
        <w:rPr>
          <w:lang w:val="es-ES" w:eastAsia="es-ES"/>
        </w:rPr>
        <w:t>.</w:t>
      </w:r>
      <w:r w:rsidRPr="00D705FF">
        <w:rPr>
          <w:lang w:val="es-ES_tradnl" w:eastAsia="es-ES"/>
        </w:rPr>
        <w:t>” (Sic)</w:t>
      </w:r>
      <w:r w:rsidR="0002329C">
        <w:rPr>
          <w:lang w:val="es-ES_tradnl" w:eastAsia="es-ES"/>
        </w:rPr>
        <w:t xml:space="preserve"> </w:t>
      </w:r>
    </w:p>
    <w:p w14:paraId="2950F181" w14:textId="6FB3307C" w:rsidR="00D679FF" w:rsidRPr="00D679FF" w:rsidRDefault="00D679FF" w:rsidP="00D679FF">
      <w:pPr>
        <w:pStyle w:val="INFOEM"/>
        <w:ind w:left="0"/>
        <w:rPr>
          <w:lang w:val="es-ES_tradnl" w:eastAsia="es-ES"/>
        </w:rPr>
      </w:pPr>
      <w:r w:rsidRPr="00D679FF">
        <w:rPr>
          <w:lang w:eastAsia="es-ES"/>
        </w:rPr>
        <w:t>001</w:t>
      </w:r>
      <w:r>
        <w:rPr>
          <w:lang w:eastAsia="es-ES"/>
        </w:rPr>
        <w:t>9</w:t>
      </w:r>
      <w:r w:rsidRPr="00D679FF">
        <w:rPr>
          <w:lang w:eastAsia="es-ES"/>
        </w:rPr>
        <w:t>9/DIFIXTAPAL/IP/2025</w:t>
      </w:r>
    </w:p>
    <w:p w14:paraId="214DAE38" w14:textId="0F2EE372" w:rsidR="00D679FF" w:rsidRPr="001C7F6F" w:rsidRDefault="00D679FF" w:rsidP="00D679FF">
      <w:pPr>
        <w:pStyle w:val="INFOEM"/>
        <w:rPr>
          <w:lang w:val="es-ES_tradnl" w:eastAsia="es-ES"/>
        </w:rPr>
      </w:pPr>
      <w:r w:rsidRPr="00D705FF">
        <w:rPr>
          <w:lang w:val="es-ES_tradnl" w:eastAsia="es-ES"/>
        </w:rPr>
        <w:t>“</w:t>
      </w:r>
      <w:r w:rsidR="00272C02" w:rsidRPr="00272C02">
        <w:rPr>
          <w:lang w:val="es-ES" w:eastAsia="es-ES"/>
        </w:rPr>
        <w:t>SOLICITO PUEDAN BRINDARME LA INFORMACIÓN QUE ACONTINUACION MENCIONO: LOS OFICIOS ENVIADOS Y RECIBIDOS DEL AREA DE ARCHIVO DEL 1RO. DE ENERO DEL 2022 AL 31 DE JULIO DEL 2025</w:t>
      </w:r>
      <w:r w:rsidRPr="00D705FF">
        <w:rPr>
          <w:lang w:val="es-ES_tradnl" w:eastAsia="es-ES"/>
        </w:rPr>
        <w:t>” (Sic)</w:t>
      </w:r>
      <w:r>
        <w:rPr>
          <w:lang w:val="es-ES_tradnl" w:eastAsia="es-ES"/>
        </w:rPr>
        <w:t xml:space="preserve"> </w:t>
      </w:r>
    </w:p>
    <w:p w14:paraId="3C215157" w14:textId="6F6A4C7C" w:rsidR="00D679FF" w:rsidRPr="00D679FF" w:rsidRDefault="00D679FF" w:rsidP="00D679FF">
      <w:pPr>
        <w:pStyle w:val="INFOEM"/>
        <w:ind w:left="0"/>
        <w:rPr>
          <w:lang w:val="es-ES_tradnl" w:eastAsia="es-ES"/>
        </w:rPr>
      </w:pPr>
      <w:r w:rsidRPr="00D679FF">
        <w:rPr>
          <w:lang w:eastAsia="es-ES"/>
        </w:rPr>
        <w:t>0019</w:t>
      </w:r>
      <w:r>
        <w:rPr>
          <w:lang w:eastAsia="es-ES"/>
        </w:rPr>
        <w:t>8</w:t>
      </w:r>
      <w:r w:rsidRPr="00D679FF">
        <w:rPr>
          <w:lang w:eastAsia="es-ES"/>
        </w:rPr>
        <w:t>/DIFIXTAPAL/IP/2025</w:t>
      </w:r>
    </w:p>
    <w:p w14:paraId="653A5CE1" w14:textId="75D3BDB8" w:rsidR="00D679FF" w:rsidRPr="001C7F6F" w:rsidRDefault="00D679FF" w:rsidP="00D679FF">
      <w:pPr>
        <w:pStyle w:val="INFOEM"/>
        <w:rPr>
          <w:lang w:val="es-ES_tradnl" w:eastAsia="es-ES"/>
        </w:rPr>
      </w:pPr>
      <w:r w:rsidRPr="00D705FF">
        <w:rPr>
          <w:lang w:val="es-ES_tradnl" w:eastAsia="es-ES"/>
        </w:rPr>
        <w:t>“</w:t>
      </w:r>
      <w:r w:rsidR="00272C02" w:rsidRPr="00272C02">
        <w:rPr>
          <w:lang w:val="es-ES" w:eastAsia="es-ES"/>
        </w:rPr>
        <w:t>solicito los oficios enviados y recibidos de la presidenta del "DIF" del 1ro de enero a la fecha de la solicitud 2025</w:t>
      </w:r>
      <w:r w:rsidRPr="00D705FF">
        <w:rPr>
          <w:lang w:val="es-ES_tradnl" w:eastAsia="es-ES"/>
        </w:rPr>
        <w:t>” (Sic)</w:t>
      </w:r>
      <w:r>
        <w:rPr>
          <w:lang w:val="es-ES_tradnl" w:eastAsia="es-ES"/>
        </w:rPr>
        <w:t xml:space="preserve"> </w:t>
      </w:r>
    </w:p>
    <w:p w14:paraId="0B0A219F" w14:textId="1490749F" w:rsidR="00D679FF" w:rsidRPr="00D679FF" w:rsidRDefault="00D679FF" w:rsidP="00D679FF">
      <w:pPr>
        <w:pStyle w:val="INFOEM"/>
        <w:ind w:left="0"/>
        <w:rPr>
          <w:lang w:val="es-ES_tradnl" w:eastAsia="es-ES"/>
        </w:rPr>
      </w:pPr>
      <w:r w:rsidRPr="00D679FF">
        <w:rPr>
          <w:lang w:eastAsia="es-ES"/>
        </w:rPr>
        <w:t>001</w:t>
      </w:r>
      <w:r>
        <w:rPr>
          <w:lang w:eastAsia="es-ES"/>
        </w:rPr>
        <w:t>85</w:t>
      </w:r>
      <w:r w:rsidRPr="00D679FF">
        <w:rPr>
          <w:lang w:eastAsia="es-ES"/>
        </w:rPr>
        <w:t>/DIFIXTAPAL/IP/2025</w:t>
      </w:r>
    </w:p>
    <w:p w14:paraId="1EB88A3C" w14:textId="6D6F0B04" w:rsidR="00D679FF" w:rsidRPr="001C7F6F" w:rsidRDefault="00D679FF" w:rsidP="00D679FF">
      <w:pPr>
        <w:pStyle w:val="INFOEM"/>
        <w:rPr>
          <w:lang w:val="es-ES_tradnl" w:eastAsia="es-ES"/>
        </w:rPr>
      </w:pPr>
      <w:r w:rsidRPr="00D705FF">
        <w:rPr>
          <w:lang w:val="es-ES_tradnl" w:eastAsia="es-ES"/>
        </w:rPr>
        <w:lastRenderedPageBreak/>
        <w:t>“</w:t>
      </w:r>
      <w:r w:rsidR="006454FC" w:rsidRPr="006454FC">
        <w:rPr>
          <w:lang w:val="es-ES" w:eastAsia="es-ES"/>
        </w:rPr>
        <w:t>Copias simples de los oficios enviados a Tesorería solicitando recursos para la organización de viajes de Adultos Mayores (2022 a la fecha).</w:t>
      </w:r>
      <w:r w:rsidRPr="00D705FF">
        <w:rPr>
          <w:lang w:val="es-ES_tradnl" w:eastAsia="es-ES"/>
        </w:rPr>
        <w:t>” (Sic)</w:t>
      </w:r>
      <w:r>
        <w:rPr>
          <w:lang w:val="es-ES_tradnl" w:eastAsia="es-ES"/>
        </w:rPr>
        <w:t xml:space="preserve"> </w:t>
      </w:r>
    </w:p>
    <w:p w14:paraId="289BDF7D" w14:textId="72B542CE" w:rsidR="00D679FF" w:rsidRPr="00D679FF" w:rsidRDefault="00D679FF" w:rsidP="00D679FF">
      <w:pPr>
        <w:pStyle w:val="INFOEM"/>
        <w:ind w:left="0"/>
        <w:rPr>
          <w:lang w:val="es-ES_tradnl" w:eastAsia="es-ES"/>
        </w:rPr>
      </w:pPr>
      <w:r w:rsidRPr="00D679FF">
        <w:rPr>
          <w:lang w:eastAsia="es-ES"/>
        </w:rPr>
        <w:t>001</w:t>
      </w:r>
      <w:r w:rsidR="00B35EED">
        <w:rPr>
          <w:lang w:eastAsia="es-ES"/>
        </w:rPr>
        <w:t>7</w:t>
      </w:r>
      <w:r w:rsidRPr="00D679FF">
        <w:rPr>
          <w:lang w:eastAsia="es-ES"/>
        </w:rPr>
        <w:t>9/DIFIXTAPAL/IP/2025</w:t>
      </w:r>
    </w:p>
    <w:p w14:paraId="7ED98105" w14:textId="6F9690C9" w:rsidR="00D679FF" w:rsidRPr="001C7F6F" w:rsidRDefault="00D679FF" w:rsidP="00D679FF">
      <w:pPr>
        <w:pStyle w:val="INFOEM"/>
        <w:rPr>
          <w:lang w:val="es-ES_tradnl" w:eastAsia="es-ES"/>
        </w:rPr>
      </w:pPr>
      <w:r w:rsidRPr="00D705FF">
        <w:rPr>
          <w:lang w:val="es-ES_tradnl" w:eastAsia="es-ES"/>
        </w:rPr>
        <w:t>“</w:t>
      </w:r>
      <w:r w:rsidR="00A16ACC" w:rsidRPr="00A16ACC">
        <w:rPr>
          <w:lang w:val="es-ES" w:eastAsia="es-ES"/>
        </w:rPr>
        <w:t>Copias simples de los oficios enviados y recibidos por el área de Adultos Mayores relacionados con la organización de viajes (2022 a la fecha).</w:t>
      </w:r>
      <w:r w:rsidRPr="00D705FF">
        <w:rPr>
          <w:lang w:val="es-ES_tradnl" w:eastAsia="es-ES"/>
        </w:rPr>
        <w:t>” (Sic)</w:t>
      </w:r>
      <w:r>
        <w:rPr>
          <w:lang w:val="es-ES_tradnl" w:eastAsia="es-ES"/>
        </w:rPr>
        <w:t xml:space="preserve"> </w:t>
      </w:r>
    </w:p>
    <w:p w14:paraId="79378902" w14:textId="3E314C88" w:rsidR="00D679FF" w:rsidRPr="00D679FF" w:rsidRDefault="00D679FF" w:rsidP="00D679FF">
      <w:pPr>
        <w:pStyle w:val="INFOEM"/>
        <w:ind w:left="0"/>
        <w:rPr>
          <w:lang w:val="es-ES_tradnl" w:eastAsia="es-ES"/>
        </w:rPr>
      </w:pPr>
      <w:r w:rsidRPr="00D679FF">
        <w:rPr>
          <w:lang w:eastAsia="es-ES"/>
        </w:rPr>
        <w:t>001</w:t>
      </w:r>
      <w:r w:rsidR="00B35EED">
        <w:rPr>
          <w:lang w:eastAsia="es-ES"/>
        </w:rPr>
        <w:t>71</w:t>
      </w:r>
      <w:r w:rsidRPr="00D679FF">
        <w:rPr>
          <w:lang w:eastAsia="es-ES"/>
        </w:rPr>
        <w:t>/DIFIXTAPAL/IP/2025</w:t>
      </w:r>
    </w:p>
    <w:p w14:paraId="62901D04" w14:textId="0C66F00F" w:rsidR="00D679FF" w:rsidRPr="001C7F6F" w:rsidRDefault="00D679FF" w:rsidP="00D679FF">
      <w:pPr>
        <w:pStyle w:val="INFOEM"/>
        <w:rPr>
          <w:lang w:val="es-ES_tradnl" w:eastAsia="es-ES"/>
        </w:rPr>
      </w:pPr>
      <w:r w:rsidRPr="00D705FF">
        <w:rPr>
          <w:lang w:val="es-ES_tradnl" w:eastAsia="es-ES"/>
        </w:rPr>
        <w:t>“</w:t>
      </w:r>
      <w:r w:rsidR="00A16ACC" w:rsidRPr="00A16ACC">
        <w:rPr>
          <w:lang w:val="es-ES" w:eastAsia="es-ES"/>
        </w:rPr>
        <w:t>Copias simples de todos los oficios enviados y recibidos por el área de Adultos Mayores del DIF municipal en el periodo 2022 a la fecha.</w:t>
      </w:r>
      <w:r w:rsidRPr="00D705FF">
        <w:rPr>
          <w:lang w:val="es-ES_tradnl" w:eastAsia="es-ES"/>
        </w:rPr>
        <w:t>” (Sic)</w:t>
      </w:r>
      <w:r>
        <w:rPr>
          <w:lang w:val="es-ES_tradnl" w:eastAsia="es-ES"/>
        </w:rPr>
        <w:t xml:space="preserve"> </w:t>
      </w:r>
    </w:p>
    <w:p w14:paraId="4DB61611" w14:textId="4AF119FD" w:rsidR="00D679FF" w:rsidRPr="00D679FF" w:rsidRDefault="00D679FF" w:rsidP="00D679FF">
      <w:pPr>
        <w:pStyle w:val="INFOEM"/>
        <w:ind w:left="0"/>
        <w:rPr>
          <w:lang w:val="es-ES_tradnl" w:eastAsia="es-ES"/>
        </w:rPr>
      </w:pPr>
      <w:r w:rsidRPr="00D679FF">
        <w:rPr>
          <w:lang w:eastAsia="es-ES"/>
        </w:rPr>
        <w:t>001</w:t>
      </w:r>
      <w:r w:rsidR="00B35EED">
        <w:rPr>
          <w:lang w:eastAsia="es-ES"/>
        </w:rPr>
        <w:t>66</w:t>
      </w:r>
      <w:r w:rsidRPr="00D679FF">
        <w:rPr>
          <w:lang w:eastAsia="es-ES"/>
        </w:rPr>
        <w:t>/DIFIXTAPAL/IP/2025</w:t>
      </w:r>
    </w:p>
    <w:p w14:paraId="5D796E6E" w14:textId="51586B56" w:rsidR="00D679FF" w:rsidRPr="001C7F6F" w:rsidRDefault="00D679FF" w:rsidP="00D679FF">
      <w:pPr>
        <w:pStyle w:val="INFOEM"/>
        <w:rPr>
          <w:lang w:val="es-ES_tradnl" w:eastAsia="es-ES"/>
        </w:rPr>
      </w:pPr>
      <w:r w:rsidRPr="00D705FF">
        <w:rPr>
          <w:lang w:val="es-ES_tradnl" w:eastAsia="es-ES"/>
        </w:rPr>
        <w:t>“</w:t>
      </w:r>
      <w:r w:rsidR="00A16ACC" w:rsidRPr="00A16ACC">
        <w:rPr>
          <w:lang w:val="es-ES" w:eastAsia="es-ES"/>
        </w:rPr>
        <w:t>Copias simples de todos los oficios enviados y recibidos por el área de Discapacidad del DIF municipal (2022 a la fecha).</w:t>
      </w:r>
      <w:r w:rsidRPr="00D705FF">
        <w:rPr>
          <w:lang w:val="es-ES_tradnl" w:eastAsia="es-ES"/>
        </w:rPr>
        <w:t>” (Sic)</w:t>
      </w:r>
      <w:r>
        <w:rPr>
          <w:lang w:val="es-ES_tradnl" w:eastAsia="es-ES"/>
        </w:rPr>
        <w:t xml:space="preserve"> </w:t>
      </w:r>
    </w:p>
    <w:p w14:paraId="168E4D27" w14:textId="3EE64107" w:rsidR="00D679FF" w:rsidRPr="00D679FF" w:rsidRDefault="00D679FF" w:rsidP="00D679FF">
      <w:pPr>
        <w:pStyle w:val="INFOEM"/>
        <w:ind w:left="0"/>
        <w:rPr>
          <w:lang w:val="es-ES_tradnl" w:eastAsia="es-ES"/>
        </w:rPr>
      </w:pPr>
      <w:r w:rsidRPr="00D679FF">
        <w:rPr>
          <w:lang w:eastAsia="es-ES"/>
        </w:rPr>
        <w:t>001</w:t>
      </w:r>
      <w:r w:rsidR="00B35EED">
        <w:rPr>
          <w:lang w:eastAsia="es-ES"/>
        </w:rPr>
        <w:t>65</w:t>
      </w:r>
      <w:r w:rsidRPr="00D679FF">
        <w:rPr>
          <w:lang w:eastAsia="es-ES"/>
        </w:rPr>
        <w:t>/DIFIXTAPAL/IP/2025</w:t>
      </w:r>
    </w:p>
    <w:p w14:paraId="6C3286D0" w14:textId="5B4B1744" w:rsidR="00D679FF" w:rsidRPr="001C7F6F" w:rsidRDefault="00D679FF" w:rsidP="00D679FF">
      <w:pPr>
        <w:pStyle w:val="INFOEM"/>
        <w:rPr>
          <w:lang w:val="es-ES_tradnl" w:eastAsia="es-ES"/>
        </w:rPr>
      </w:pPr>
      <w:r w:rsidRPr="00D705FF">
        <w:rPr>
          <w:lang w:val="es-ES_tradnl" w:eastAsia="es-ES"/>
        </w:rPr>
        <w:t>“</w:t>
      </w:r>
      <w:r w:rsidR="00317D88" w:rsidRPr="00317D88">
        <w:rPr>
          <w:lang w:val="es-ES" w:eastAsia="es-ES"/>
        </w:rPr>
        <w:t>Copias simples de todos los oficios enviados y recibidos por el área de Trabajo Social del DIF municipal (2022 a la fecha).</w:t>
      </w:r>
      <w:r w:rsidRPr="00D705FF">
        <w:rPr>
          <w:lang w:val="es-ES_tradnl" w:eastAsia="es-ES"/>
        </w:rPr>
        <w:t>” (Sic)</w:t>
      </w:r>
      <w:r>
        <w:rPr>
          <w:lang w:val="es-ES_tradnl" w:eastAsia="es-ES"/>
        </w:rPr>
        <w:t xml:space="preserve"> </w:t>
      </w:r>
    </w:p>
    <w:p w14:paraId="696ADBDC" w14:textId="33DD1A1F" w:rsidR="00D679FF" w:rsidRPr="00D679FF" w:rsidRDefault="00D679FF" w:rsidP="00D679FF">
      <w:pPr>
        <w:pStyle w:val="INFOEM"/>
        <w:ind w:left="0"/>
        <w:rPr>
          <w:lang w:val="es-ES_tradnl" w:eastAsia="es-ES"/>
        </w:rPr>
      </w:pPr>
      <w:r w:rsidRPr="00D679FF">
        <w:rPr>
          <w:lang w:eastAsia="es-ES"/>
        </w:rPr>
        <w:t>001</w:t>
      </w:r>
      <w:r w:rsidR="00B35EED">
        <w:rPr>
          <w:lang w:eastAsia="es-ES"/>
        </w:rPr>
        <w:t>64</w:t>
      </w:r>
      <w:r w:rsidRPr="00D679FF">
        <w:rPr>
          <w:lang w:eastAsia="es-ES"/>
        </w:rPr>
        <w:t>/DIFIXTAPAL/IP/2025</w:t>
      </w:r>
    </w:p>
    <w:p w14:paraId="43818254" w14:textId="186B8DE7" w:rsidR="00D679FF" w:rsidRPr="001C7F6F" w:rsidRDefault="00D679FF" w:rsidP="00D679FF">
      <w:pPr>
        <w:pStyle w:val="INFOEM"/>
        <w:rPr>
          <w:lang w:val="es-ES_tradnl" w:eastAsia="es-ES"/>
        </w:rPr>
      </w:pPr>
      <w:r w:rsidRPr="00D705FF">
        <w:rPr>
          <w:lang w:val="es-ES_tradnl" w:eastAsia="es-ES"/>
        </w:rPr>
        <w:t>“</w:t>
      </w:r>
      <w:r w:rsidR="00317D88" w:rsidRPr="00317D88">
        <w:rPr>
          <w:lang w:val="es-ES" w:eastAsia="es-ES"/>
        </w:rPr>
        <w:t>Copias simples de todos los oficios enviados y recibidos por el área de Procuraduría de la Defensa del Menor y la Familia (2022 a la fecha).</w:t>
      </w:r>
      <w:r w:rsidRPr="00D705FF">
        <w:rPr>
          <w:lang w:val="es-ES_tradnl" w:eastAsia="es-ES"/>
        </w:rPr>
        <w:t>” (Sic)</w:t>
      </w:r>
      <w:r>
        <w:rPr>
          <w:lang w:val="es-ES_tradnl" w:eastAsia="es-ES"/>
        </w:rPr>
        <w:t xml:space="preserve"> </w:t>
      </w:r>
    </w:p>
    <w:p w14:paraId="5A71B093" w14:textId="7CC3D137" w:rsidR="00D679FF" w:rsidRPr="00D679FF" w:rsidRDefault="00D679FF" w:rsidP="00D679FF">
      <w:pPr>
        <w:pStyle w:val="INFOEM"/>
        <w:ind w:left="0"/>
        <w:rPr>
          <w:lang w:val="es-ES_tradnl" w:eastAsia="es-ES"/>
        </w:rPr>
      </w:pPr>
      <w:r w:rsidRPr="00D679FF">
        <w:rPr>
          <w:lang w:eastAsia="es-ES"/>
        </w:rPr>
        <w:t>001</w:t>
      </w:r>
      <w:r w:rsidR="00B35EED">
        <w:rPr>
          <w:lang w:eastAsia="es-ES"/>
        </w:rPr>
        <w:t>63</w:t>
      </w:r>
      <w:r w:rsidRPr="00D679FF">
        <w:rPr>
          <w:lang w:eastAsia="es-ES"/>
        </w:rPr>
        <w:t>/DIFIXTAPAL/IP/2025</w:t>
      </w:r>
    </w:p>
    <w:p w14:paraId="568FCBFF" w14:textId="02C7846A" w:rsidR="00D679FF" w:rsidRPr="001C7F6F" w:rsidRDefault="00D679FF" w:rsidP="00D679FF">
      <w:pPr>
        <w:pStyle w:val="INFOEM"/>
        <w:rPr>
          <w:lang w:val="es-ES_tradnl" w:eastAsia="es-ES"/>
        </w:rPr>
      </w:pPr>
      <w:r w:rsidRPr="00D705FF">
        <w:rPr>
          <w:lang w:val="es-ES_tradnl" w:eastAsia="es-ES"/>
        </w:rPr>
        <w:lastRenderedPageBreak/>
        <w:t>“</w:t>
      </w:r>
      <w:r w:rsidR="00317D88" w:rsidRPr="00317D88">
        <w:rPr>
          <w:lang w:val="es-ES" w:eastAsia="es-ES"/>
        </w:rPr>
        <w:t>Copias simples de todos los oficios enviados y recibidos por el área de Tesorería del DIF en el periodo 2022 a la fecha.</w:t>
      </w:r>
      <w:r w:rsidRPr="00D705FF">
        <w:rPr>
          <w:lang w:val="es-ES_tradnl" w:eastAsia="es-ES"/>
        </w:rPr>
        <w:t>” (Sic)</w:t>
      </w:r>
      <w:r>
        <w:rPr>
          <w:lang w:val="es-ES_tradnl" w:eastAsia="es-ES"/>
        </w:rPr>
        <w:t xml:space="preserve"> </w:t>
      </w:r>
    </w:p>
    <w:p w14:paraId="6591D23F" w14:textId="4DBF2099" w:rsidR="00D679FF" w:rsidRPr="00D679FF" w:rsidRDefault="00D679FF" w:rsidP="00D679FF">
      <w:pPr>
        <w:pStyle w:val="INFOEM"/>
        <w:ind w:left="0"/>
        <w:rPr>
          <w:lang w:val="es-ES_tradnl" w:eastAsia="es-ES"/>
        </w:rPr>
      </w:pPr>
      <w:r w:rsidRPr="00D679FF">
        <w:rPr>
          <w:lang w:eastAsia="es-ES"/>
        </w:rPr>
        <w:t>001</w:t>
      </w:r>
      <w:r w:rsidR="00B35EED">
        <w:rPr>
          <w:lang w:eastAsia="es-ES"/>
        </w:rPr>
        <w:t>62</w:t>
      </w:r>
      <w:r w:rsidRPr="00D679FF">
        <w:rPr>
          <w:lang w:eastAsia="es-ES"/>
        </w:rPr>
        <w:t>/DIFIXTAPAL/IP/2025</w:t>
      </w:r>
    </w:p>
    <w:p w14:paraId="263BA836" w14:textId="48E0566B" w:rsidR="00D679FF" w:rsidRPr="001C7F6F" w:rsidRDefault="00D679FF" w:rsidP="00D679FF">
      <w:pPr>
        <w:pStyle w:val="INFOEM"/>
        <w:rPr>
          <w:lang w:val="es-ES_tradnl" w:eastAsia="es-ES"/>
        </w:rPr>
      </w:pPr>
      <w:r w:rsidRPr="00D705FF">
        <w:rPr>
          <w:lang w:val="es-ES_tradnl" w:eastAsia="es-ES"/>
        </w:rPr>
        <w:t>“</w:t>
      </w:r>
      <w:r w:rsidR="00317D88" w:rsidRPr="00317D88">
        <w:rPr>
          <w:lang w:val="es-ES" w:eastAsia="es-ES"/>
        </w:rPr>
        <w:t>Copias simples de todos los oficios recibidos por la Dirección General del DIF municipal en el periodo 2022 a la fecha</w:t>
      </w:r>
      <w:r w:rsidRPr="00D705FF">
        <w:rPr>
          <w:lang w:val="es-ES_tradnl" w:eastAsia="es-ES"/>
        </w:rPr>
        <w:t>” (Sic)</w:t>
      </w:r>
      <w:r>
        <w:rPr>
          <w:lang w:val="es-ES_tradnl" w:eastAsia="es-ES"/>
        </w:rPr>
        <w:t xml:space="preserve"> </w:t>
      </w:r>
    </w:p>
    <w:p w14:paraId="38526387" w14:textId="083B6CEF" w:rsidR="00B35EED" w:rsidRPr="00D679FF" w:rsidRDefault="00B35EED" w:rsidP="00B35EED">
      <w:pPr>
        <w:pStyle w:val="INFOEM"/>
        <w:ind w:left="0"/>
        <w:rPr>
          <w:lang w:val="es-ES_tradnl" w:eastAsia="es-ES"/>
        </w:rPr>
      </w:pPr>
      <w:r w:rsidRPr="00D679FF">
        <w:rPr>
          <w:lang w:eastAsia="es-ES"/>
        </w:rPr>
        <w:t>001</w:t>
      </w:r>
      <w:r>
        <w:rPr>
          <w:lang w:eastAsia="es-ES"/>
        </w:rPr>
        <w:t>61</w:t>
      </w:r>
      <w:r w:rsidRPr="00D679FF">
        <w:rPr>
          <w:lang w:eastAsia="es-ES"/>
        </w:rPr>
        <w:t>/DIFIXTAPAL/IP/2025</w:t>
      </w:r>
    </w:p>
    <w:p w14:paraId="4BC0F2A1" w14:textId="0839FCF3" w:rsidR="00B35EED" w:rsidRPr="001C7F6F" w:rsidRDefault="00B35EED" w:rsidP="00B35EED">
      <w:pPr>
        <w:pStyle w:val="INFOEM"/>
        <w:rPr>
          <w:lang w:val="es-ES_tradnl" w:eastAsia="es-ES"/>
        </w:rPr>
      </w:pPr>
      <w:r w:rsidRPr="00D705FF">
        <w:rPr>
          <w:lang w:val="es-ES_tradnl" w:eastAsia="es-ES"/>
        </w:rPr>
        <w:t>“</w:t>
      </w:r>
      <w:r w:rsidR="005E49FF" w:rsidRPr="005E49FF">
        <w:rPr>
          <w:lang w:val="es-ES" w:eastAsia="es-ES"/>
        </w:rPr>
        <w:t>Copias simples de todos los oficios enviados por la Dirección General del DIF municipal en el periodo 2022 a la fecha.</w:t>
      </w:r>
      <w:r w:rsidRPr="00D705FF">
        <w:rPr>
          <w:lang w:val="es-ES_tradnl" w:eastAsia="es-ES"/>
        </w:rPr>
        <w:t>” (Sic)</w:t>
      </w:r>
      <w:r>
        <w:rPr>
          <w:lang w:val="es-ES_tradnl" w:eastAsia="es-ES"/>
        </w:rPr>
        <w:t xml:space="preserve"> </w:t>
      </w:r>
    </w:p>
    <w:p w14:paraId="38014487" w14:textId="106B3CD5"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r w:rsidR="00D679FF">
        <w:rPr>
          <w:rFonts w:ascii="Palatino Linotype" w:hAnsi="Palatino Linotype"/>
          <w:lang w:val="es-ES_tradnl"/>
        </w:rPr>
        <w:t>, en todos los casos</w:t>
      </w:r>
      <w:r w:rsidRPr="002C3EC8">
        <w:rPr>
          <w:rFonts w:ascii="Palatino Linotype" w:hAnsi="Palatino Linotype"/>
          <w:lang w:val="es-ES_tradnl"/>
        </w:rPr>
        <w:t>.</w:t>
      </w:r>
    </w:p>
    <w:p w14:paraId="23AEAFA2"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7F94A35A" w14:textId="6ACEB9A1"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w:t>
      </w:r>
      <w:r w:rsidR="00B35EED">
        <w:rPr>
          <w:rFonts w:ascii="Palatino Linotype" w:eastAsia="Palatino Linotype" w:hAnsi="Palatino Linotype" w:cs="Palatino Linotype"/>
          <w:b/>
          <w:color w:val="000000"/>
          <w:sz w:val="28"/>
          <w:szCs w:val="24"/>
        </w:rPr>
        <w:t>s</w:t>
      </w:r>
      <w:r w:rsidRPr="00782BD1">
        <w:rPr>
          <w:rFonts w:ascii="Palatino Linotype" w:eastAsia="Palatino Linotype" w:hAnsi="Palatino Linotype" w:cs="Palatino Linotype"/>
          <w:b/>
          <w:color w:val="000000"/>
          <w:sz w:val="28"/>
          <w:szCs w:val="24"/>
        </w:rPr>
        <w:t xml:space="preserve"> del Sujeto Obligado.</w:t>
      </w:r>
    </w:p>
    <w:p w14:paraId="044BBB2B" w14:textId="775A0D6E"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w:t>
      </w:r>
      <w:r w:rsidR="002428F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a </w:t>
      </w:r>
      <w:proofErr w:type="gramStart"/>
      <w:r>
        <w:rPr>
          <w:rFonts w:ascii="Palatino Linotype" w:eastAsia="Palatino Linotype" w:hAnsi="Palatino Linotype" w:cs="Palatino Linotype"/>
          <w:sz w:val="24"/>
          <w:szCs w:val="24"/>
        </w:rPr>
        <w:t>la solicitud</w:t>
      </w:r>
      <w:r w:rsidR="002428F6">
        <w:rPr>
          <w:rFonts w:ascii="Palatino Linotype" w:eastAsia="Palatino Linotype" w:hAnsi="Palatino Linotype" w:cs="Palatino Linotype"/>
          <w:sz w:val="24"/>
          <w:szCs w:val="24"/>
        </w:rPr>
        <w:t>es</w:t>
      </w:r>
      <w:proofErr w:type="gramEnd"/>
      <w:r>
        <w:rPr>
          <w:rFonts w:ascii="Palatino Linotype" w:eastAsia="Palatino Linotype" w:hAnsi="Palatino Linotype" w:cs="Palatino Linotype"/>
          <w:sz w:val="24"/>
          <w:szCs w:val="24"/>
        </w:rPr>
        <w:t xml:space="preserve">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85823AE"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185DB9DB" w14:textId="1C381F76"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w:t>
      </w:r>
      <w:r w:rsidR="002428F6">
        <w:rPr>
          <w:rFonts w:ascii="Palatino Linotype" w:eastAsia="Palatino Linotype" w:hAnsi="Palatino Linotype" w:cs="Palatino Linotype"/>
          <w:b/>
          <w:color w:val="000000"/>
          <w:sz w:val="28"/>
          <w:szCs w:val="24"/>
        </w:rPr>
        <w:t xml:space="preserve"> </w:t>
      </w:r>
      <w:r w:rsidRPr="00782BD1">
        <w:rPr>
          <w:rFonts w:ascii="Palatino Linotype" w:eastAsia="Palatino Linotype" w:hAnsi="Palatino Linotype" w:cs="Palatino Linotype"/>
          <w:b/>
          <w:color w:val="000000"/>
          <w:sz w:val="28"/>
          <w:szCs w:val="24"/>
        </w:rPr>
        <w:t>l</w:t>
      </w:r>
      <w:r w:rsidR="002428F6">
        <w:rPr>
          <w:rFonts w:ascii="Palatino Linotype" w:eastAsia="Palatino Linotype" w:hAnsi="Palatino Linotype" w:cs="Palatino Linotype"/>
          <w:b/>
          <w:color w:val="000000"/>
          <w:sz w:val="28"/>
          <w:szCs w:val="24"/>
        </w:rPr>
        <w:t>os</w:t>
      </w:r>
      <w:r w:rsidRPr="00782BD1">
        <w:rPr>
          <w:rFonts w:ascii="Palatino Linotype" w:eastAsia="Palatino Linotype" w:hAnsi="Palatino Linotype" w:cs="Palatino Linotype"/>
          <w:b/>
          <w:color w:val="000000"/>
          <w:sz w:val="28"/>
          <w:szCs w:val="24"/>
        </w:rPr>
        <w:t xml:space="preserve"> recurso</w:t>
      </w:r>
      <w:r w:rsidR="002428F6">
        <w:rPr>
          <w:rFonts w:ascii="Palatino Linotype" w:eastAsia="Palatino Linotype" w:hAnsi="Palatino Linotype" w:cs="Palatino Linotype"/>
          <w:b/>
          <w:color w:val="000000"/>
          <w:sz w:val="28"/>
          <w:szCs w:val="24"/>
        </w:rPr>
        <w:t>s</w:t>
      </w:r>
      <w:r w:rsidRPr="00782BD1">
        <w:rPr>
          <w:rFonts w:ascii="Palatino Linotype" w:eastAsia="Palatino Linotype" w:hAnsi="Palatino Linotype" w:cs="Palatino Linotype"/>
          <w:b/>
          <w:color w:val="000000"/>
          <w:sz w:val="28"/>
          <w:szCs w:val="24"/>
        </w:rPr>
        <w:t xml:space="preserve"> de revisión.</w:t>
      </w:r>
    </w:p>
    <w:p w14:paraId="5EAFD2C2" w14:textId="5E7DF7CB"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w:t>
      </w:r>
      <w:r w:rsidR="002428F6">
        <w:rPr>
          <w:rFonts w:ascii="Palatino Linotype" w:eastAsia="Palatino Linotype" w:hAnsi="Palatino Linotype" w:cs="Palatino Linotype"/>
          <w:sz w:val="24"/>
          <w:szCs w:val="24"/>
        </w:rPr>
        <w:t>los</w:t>
      </w:r>
      <w:r>
        <w:rPr>
          <w:rFonts w:ascii="Palatino Linotype" w:eastAsia="Palatino Linotype" w:hAnsi="Palatino Linotype" w:cs="Palatino Linotype"/>
          <w:sz w:val="24"/>
          <w:szCs w:val="24"/>
        </w:rPr>
        <w:t xml:space="preserve"> recurso</w:t>
      </w:r>
      <w:r w:rsidR="002428F6">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revisión en fecha </w:t>
      </w:r>
      <w:r w:rsidR="00F339B0" w:rsidRPr="00F339B0">
        <w:rPr>
          <w:rFonts w:ascii="Palatino Linotype" w:eastAsia="Palatino Linotype" w:hAnsi="Palatino Linotype" w:cs="Palatino Linotype"/>
          <w:b/>
          <w:bCs/>
          <w:sz w:val="24"/>
          <w:szCs w:val="24"/>
        </w:rPr>
        <w:t xml:space="preserve">dos y </w:t>
      </w:r>
      <w:r w:rsidR="006A19E7" w:rsidRPr="00F339B0">
        <w:rPr>
          <w:rFonts w:ascii="Palatino Linotype" w:eastAsia="Palatino Linotype" w:hAnsi="Palatino Linotype" w:cs="Palatino Linotype"/>
          <w:b/>
          <w:bCs/>
          <w:sz w:val="24"/>
          <w:szCs w:val="24"/>
        </w:rPr>
        <w:t>nueve</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sidR="00F339B0">
        <w:rPr>
          <w:rFonts w:ascii="Palatino Linotype" w:eastAsia="Palatino Linotype" w:hAnsi="Palatino Linotype" w:cs="Palatino Linotype"/>
          <w:sz w:val="24"/>
          <w:szCs w:val="24"/>
        </w:rPr>
        <w:t>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w:t>
      </w:r>
      <w:r w:rsidR="00F339B0">
        <w:rPr>
          <w:rFonts w:ascii="Palatino Linotype" w:eastAsia="Palatino Linotype" w:hAnsi="Palatino Linotype" w:cs="Palatino Linotype"/>
          <w:sz w:val="24"/>
          <w:szCs w:val="24"/>
        </w:rPr>
        <w:t>los</w:t>
      </w:r>
      <w:r>
        <w:rPr>
          <w:rFonts w:ascii="Palatino Linotype" w:eastAsia="Palatino Linotype" w:hAnsi="Palatino Linotype" w:cs="Palatino Linotype"/>
          <w:sz w:val="24"/>
          <w:szCs w:val="24"/>
        </w:rPr>
        <w:t xml:space="preserve"> número</w:t>
      </w:r>
      <w:r w:rsidR="00F339B0">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expediente </w:t>
      </w:r>
      <w:r w:rsidR="00F339B0" w:rsidRPr="003B2EE5">
        <w:rPr>
          <w:rFonts w:ascii="Palatino Linotype" w:eastAsia="Palatino Linotype" w:hAnsi="Palatino Linotype" w:cs="Palatino Linotype"/>
          <w:b/>
          <w:sz w:val="24"/>
          <w:szCs w:val="24"/>
          <w:lang w:val="es-ES"/>
        </w:rPr>
        <w:t xml:space="preserve">11270/INFOEM/IP/RR/2025, 11700/INFOEM/IP/RR/2025, 11701/INFOEM/IP/RR/2025, </w:t>
      </w:r>
      <w:r w:rsidR="00F339B0" w:rsidRPr="003B2EE5">
        <w:rPr>
          <w:rFonts w:ascii="Palatino Linotype" w:eastAsia="Palatino Linotype" w:hAnsi="Palatino Linotype" w:cs="Palatino Linotype"/>
          <w:b/>
          <w:sz w:val="24"/>
          <w:szCs w:val="24"/>
          <w:lang w:val="es-ES"/>
        </w:rPr>
        <w:lastRenderedPageBreak/>
        <w:t>11714/INFOEM/IP/RR/2025, 11720/INFOEM/IP/RR/2025, 11728/INFOEM/IP/RR/2025</w:t>
      </w:r>
      <w:r w:rsidR="00F339B0">
        <w:rPr>
          <w:rFonts w:ascii="Palatino Linotype" w:eastAsia="Palatino Linotype" w:hAnsi="Palatino Linotype" w:cs="Palatino Linotype"/>
          <w:b/>
          <w:sz w:val="24"/>
          <w:szCs w:val="24"/>
          <w:lang w:val="es-ES"/>
        </w:rPr>
        <w:t xml:space="preserve">, </w:t>
      </w:r>
      <w:r w:rsidR="00F339B0" w:rsidRPr="003B2EE5">
        <w:rPr>
          <w:rFonts w:ascii="Palatino Linotype" w:eastAsia="Palatino Linotype" w:hAnsi="Palatino Linotype" w:cs="Palatino Linotype"/>
          <w:b/>
          <w:sz w:val="24"/>
          <w:szCs w:val="24"/>
          <w:lang w:val="es-ES"/>
        </w:rPr>
        <w:t>11733/INFOEM/IP/RR/2025</w:t>
      </w:r>
      <w:r w:rsidR="00F339B0">
        <w:rPr>
          <w:rFonts w:ascii="Palatino Linotype" w:eastAsia="Palatino Linotype" w:hAnsi="Palatino Linotype" w:cs="Palatino Linotype"/>
          <w:b/>
          <w:sz w:val="24"/>
          <w:szCs w:val="24"/>
          <w:lang w:val="es-ES"/>
        </w:rPr>
        <w:t xml:space="preserve"> 11734/INFOEM/IP/RR/2025, 11735/INFOEM/IP/RR/2025, 11736/INFOEM/IP/RR/2025, 11737/INFOEM/IP/RR/2025 y</w:t>
      </w:r>
      <w:r w:rsidR="00F339B0" w:rsidRPr="003B2EE5">
        <w:rPr>
          <w:rFonts w:ascii="Palatino Linotype" w:eastAsia="Palatino Linotype" w:hAnsi="Palatino Linotype" w:cs="Palatino Linotype"/>
          <w:b/>
          <w:sz w:val="24"/>
          <w:szCs w:val="24"/>
          <w:lang w:val="es-ES"/>
        </w:rPr>
        <w:t xml:space="preserve"> 11738/INFOEM/IP/RR/2025</w:t>
      </w:r>
      <w:r>
        <w:rPr>
          <w:rFonts w:ascii="Palatino Linotype" w:eastAsia="Palatino Linotype" w:hAnsi="Palatino Linotype" w:cs="Palatino Linotype"/>
          <w:sz w:val="24"/>
          <w:szCs w:val="24"/>
        </w:rPr>
        <w:t xml:space="preserve">, y señaló como acto impugnado y razones o motivos de inconformidad, lo </w:t>
      </w:r>
      <w:r w:rsidRPr="00246372">
        <w:rPr>
          <w:rFonts w:ascii="Palatino Linotype" w:eastAsia="Palatino Linotype" w:hAnsi="Palatino Linotype" w:cs="Palatino Linotype"/>
          <w:sz w:val="24"/>
          <w:szCs w:val="24"/>
        </w:rPr>
        <w:t>siguiente</w:t>
      </w:r>
      <w:r>
        <w:rPr>
          <w:rFonts w:ascii="Palatino Linotype" w:eastAsia="Palatino Linotype" w:hAnsi="Palatino Linotype" w:cs="Palatino Linotype"/>
          <w:sz w:val="24"/>
          <w:szCs w:val="24"/>
        </w:rPr>
        <w:t>:</w:t>
      </w:r>
    </w:p>
    <w:p w14:paraId="1223BFB3" w14:textId="77777777" w:rsidR="00AA1AD3" w:rsidRDefault="00AA1AD3"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val="es-ES"/>
        </w:rPr>
      </w:pPr>
    </w:p>
    <w:p w14:paraId="1A355244" w14:textId="57131544" w:rsidR="009E3316" w:rsidRDefault="00AA1AD3"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A1AD3">
        <w:rPr>
          <w:rFonts w:ascii="Palatino Linotype" w:eastAsia="Palatino Linotype" w:hAnsi="Palatino Linotype" w:cs="Palatino Linotype"/>
          <w:b/>
          <w:sz w:val="24"/>
          <w:szCs w:val="24"/>
          <w:lang w:val="es-ES"/>
        </w:rPr>
        <w:t>11270/INFOEM/IP/RR/2025</w:t>
      </w:r>
    </w:p>
    <w:p w14:paraId="0AA1C2DD"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7ABD48B0" w14:textId="342D93B5" w:rsidR="009E3316" w:rsidRDefault="009E3316" w:rsidP="009E3316">
      <w:pPr>
        <w:pStyle w:val="INFOEM"/>
      </w:pPr>
      <w:r>
        <w:t>“</w:t>
      </w:r>
      <w:r w:rsidR="00257489" w:rsidRPr="00257489">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w:t>
      </w:r>
      <w:r w:rsidR="00257489" w:rsidRPr="00257489">
        <w:lastRenderedPageBreak/>
        <w:t>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Pr="00D2150D">
        <w:t>"</w:t>
      </w:r>
      <w:r>
        <w:t xml:space="preserve"> (Sic) </w:t>
      </w:r>
    </w:p>
    <w:p w14:paraId="4A9A6ED0"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219A0A8A"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2D9315F8" w14:textId="618A7B2E" w:rsidR="009E3316" w:rsidRDefault="009E3316" w:rsidP="009E3316">
      <w:pPr>
        <w:pStyle w:val="INFOEM"/>
      </w:pPr>
      <w:r>
        <w:t>“</w:t>
      </w:r>
      <w:r w:rsidR="00257489" w:rsidRPr="00257489">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w:t>
      </w:r>
      <w:r w:rsidR="00257489" w:rsidRPr="00257489">
        <w:lastRenderedPageBreak/>
        <w:t>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t>”</w:t>
      </w:r>
      <w:r>
        <w:rPr>
          <w:sz w:val="24"/>
          <w:szCs w:val="24"/>
        </w:rPr>
        <w:t xml:space="preserve"> (Sic)</w:t>
      </w:r>
      <w:r>
        <w:rPr>
          <w:rFonts w:ascii="Times New Roman" w:eastAsia="Times New Roman" w:hAnsi="Times New Roman" w:cs="Times New Roman"/>
          <w:sz w:val="24"/>
          <w:szCs w:val="24"/>
        </w:rPr>
        <w:t xml:space="preserve"> </w:t>
      </w:r>
    </w:p>
    <w:p w14:paraId="55A7E334" w14:textId="2DE1F5B2" w:rsidR="00AA1AD3" w:rsidRDefault="00AA1AD3" w:rsidP="00AA1AD3">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A1AD3">
        <w:rPr>
          <w:rFonts w:ascii="Palatino Linotype" w:eastAsia="Palatino Linotype" w:hAnsi="Palatino Linotype" w:cs="Palatino Linotype"/>
          <w:b/>
          <w:sz w:val="24"/>
          <w:szCs w:val="24"/>
          <w:lang w:val="es-ES"/>
        </w:rPr>
        <w:t>11</w:t>
      </w:r>
      <w:r>
        <w:rPr>
          <w:rFonts w:ascii="Palatino Linotype" w:eastAsia="Palatino Linotype" w:hAnsi="Palatino Linotype" w:cs="Palatino Linotype"/>
          <w:b/>
          <w:sz w:val="24"/>
          <w:szCs w:val="24"/>
          <w:lang w:val="es-ES"/>
        </w:rPr>
        <w:t>70</w:t>
      </w:r>
      <w:r w:rsidRPr="00AA1AD3">
        <w:rPr>
          <w:rFonts w:ascii="Palatino Linotype" w:eastAsia="Palatino Linotype" w:hAnsi="Palatino Linotype" w:cs="Palatino Linotype"/>
          <w:b/>
          <w:sz w:val="24"/>
          <w:szCs w:val="24"/>
          <w:lang w:val="es-ES"/>
        </w:rPr>
        <w:t>0/INFOEM/IP/RR/2025</w:t>
      </w:r>
      <w:r w:rsidR="009C2C04">
        <w:rPr>
          <w:rFonts w:ascii="Palatino Linotype" w:eastAsia="Palatino Linotype" w:hAnsi="Palatino Linotype" w:cs="Palatino Linotype"/>
          <w:b/>
          <w:sz w:val="24"/>
          <w:szCs w:val="24"/>
          <w:lang w:val="es-ES"/>
        </w:rPr>
        <w:t xml:space="preserve"> y </w:t>
      </w:r>
      <w:r w:rsidR="009C2C04" w:rsidRPr="009C2C04">
        <w:rPr>
          <w:rFonts w:ascii="Palatino Linotype" w:eastAsia="Palatino Linotype" w:hAnsi="Palatino Linotype" w:cs="Palatino Linotype"/>
          <w:b/>
          <w:sz w:val="24"/>
          <w:szCs w:val="24"/>
          <w:lang w:val="es-ES"/>
        </w:rPr>
        <w:t>11701/INFOEM/IP/RR/2025</w:t>
      </w:r>
    </w:p>
    <w:p w14:paraId="24C4130A" w14:textId="77777777" w:rsidR="00AA1AD3" w:rsidRPr="0038340D" w:rsidRDefault="00AA1AD3" w:rsidP="00F350FF">
      <w:pPr>
        <w:numPr>
          <w:ilvl w:val="0"/>
          <w:numId w:val="7"/>
        </w:numPr>
        <w:pBdr>
          <w:top w:val="nil"/>
          <w:left w:val="nil"/>
          <w:bottom w:val="nil"/>
          <w:right w:val="nil"/>
          <w:between w:val="nil"/>
        </w:pBdr>
        <w:spacing w:after="0" w:line="360" w:lineRule="auto"/>
        <w:jc w:val="both"/>
        <w:rPr>
          <w:i/>
        </w:rPr>
      </w:pPr>
      <w:bookmarkStart w:id="1" w:name="_Hlk212489229"/>
      <w:r>
        <w:rPr>
          <w:rFonts w:ascii="Palatino Linotype" w:eastAsia="Palatino Linotype" w:hAnsi="Palatino Linotype" w:cs="Palatino Linotype"/>
          <w:b/>
          <w:i/>
          <w:color w:val="000000"/>
        </w:rPr>
        <w:t xml:space="preserve">Acto Impugnado: </w:t>
      </w:r>
    </w:p>
    <w:p w14:paraId="111B359C" w14:textId="6B205A97" w:rsidR="00AA1AD3" w:rsidRDefault="00AA1AD3" w:rsidP="00AA1AD3">
      <w:pPr>
        <w:pStyle w:val="INFOEM"/>
      </w:pPr>
      <w:r>
        <w:t>“</w:t>
      </w:r>
      <w:r w:rsidRPr="00AA1AD3">
        <w:t xml:space="preserve">El sujeto obligado ha incurrido en omisión al no atender en tiempo y forma las solicitudes de información presentadas, incumpliendo con los principios de transparencia y máxima publicidad previstos en la Ley de Transparencia y Acceso a </w:t>
      </w:r>
      <w:r w:rsidRPr="00AA1AD3">
        <w:lastRenderedPageBreak/>
        <w:t>la Información Pública del Estado de México y Municipios. Dicha conducta obstaculiza la rendición de cuentas y vulnera el derecho de acceso a la información</w:t>
      </w:r>
      <w:r w:rsidRPr="00257489">
        <w:t>.</w:t>
      </w:r>
      <w:r w:rsidRPr="00D2150D">
        <w:t>"</w:t>
      </w:r>
      <w:r>
        <w:t xml:space="preserve"> (Sic) </w:t>
      </w:r>
    </w:p>
    <w:p w14:paraId="5BE46661" w14:textId="77777777" w:rsidR="00AA1AD3" w:rsidRDefault="00AA1AD3" w:rsidP="00AA1AD3">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643886BB" w14:textId="77777777" w:rsidR="00AA1AD3" w:rsidRPr="0038340D" w:rsidRDefault="00AA1AD3" w:rsidP="00F350FF">
      <w:pPr>
        <w:numPr>
          <w:ilvl w:val="0"/>
          <w:numId w:val="7"/>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6795988F" w14:textId="50534CD4" w:rsidR="00AA1AD3" w:rsidRDefault="00AA1AD3" w:rsidP="00AA1AD3">
      <w:pPr>
        <w:pStyle w:val="INFOEM"/>
      </w:pPr>
      <w:r>
        <w:t>“</w:t>
      </w:r>
      <w:r w:rsidRPr="00AA1AD3">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t>”</w:t>
      </w:r>
      <w:r>
        <w:rPr>
          <w:sz w:val="24"/>
          <w:szCs w:val="24"/>
        </w:rPr>
        <w:t xml:space="preserve"> (Sic)</w:t>
      </w:r>
      <w:r>
        <w:rPr>
          <w:rFonts w:ascii="Times New Roman" w:eastAsia="Times New Roman" w:hAnsi="Times New Roman" w:cs="Times New Roman"/>
          <w:sz w:val="24"/>
          <w:szCs w:val="24"/>
        </w:rPr>
        <w:t xml:space="preserve"> </w:t>
      </w:r>
    </w:p>
    <w:bookmarkEnd w:id="1"/>
    <w:p w14:paraId="7EBE89A8" w14:textId="3C180F61" w:rsidR="009E3316" w:rsidRPr="009C2C04" w:rsidRDefault="009C2C04" w:rsidP="009E3316">
      <w:pPr>
        <w:spacing w:after="0" w:line="360" w:lineRule="auto"/>
        <w:jc w:val="both"/>
        <w:rPr>
          <w:rFonts w:ascii="Palatino Linotype" w:eastAsia="Palatino Linotype" w:hAnsi="Palatino Linotype" w:cs="Palatino Linotype"/>
          <w:b/>
          <w:sz w:val="24"/>
          <w:szCs w:val="24"/>
        </w:rPr>
      </w:pPr>
      <w:r w:rsidRPr="009C2C04">
        <w:rPr>
          <w:rFonts w:ascii="Palatino Linotype" w:eastAsia="Palatino Linotype" w:hAnsi="Palatino Linotype" w:cs="Palatino Linotype"/>
          <w:b/>
          <w:sz w:val="24"/>
          <w:szCs w:val="24"/>
        </w:rPr>
        <w:t>11714/INFOEM/IP/RR/2025</w:t>
      </w:r>
    </w:p>
    <w:p w14:paraId="5EE0E65C" w14:textId="77777777" w:rsidR="009C2C04" w:rsidRPr="0038340D" w:rsidRDefault="009C2C04" w:rsidP="00F350FF">
      <w:pPr>
        <w:numPr>
          <w:ilvl w:val="0"/>
          <w:numId w:val="6"/>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74F250BA" w14:textId="7E624A0C" w:rsidR="009C2C04" w:rsidRDefault="009C2C04" w:rsidP="009C2C04">
      <w:pPr>
        <w:pStyle w:val="INFOEM"/>
      </w:pPr>
      <w:r>
        <w:t>“</w:t>
      </w:r>
      <w:r w:rsidRPr="009C2C04">
        <w:t>Se advierte que el sujeto obligado no dio respuesta a las solicitudes de información, evidenciando una omisión sistemática que contraviene los principios de legalidad y transparencia. Tal actuación genera opacidad e impide una adecuada rendición de cuentas, lo que podría interpretarse como una práctica tendente a encubrir irregularidades administrativas.</w:t>
      </w:r>
      <w:r w:rsidRPr="00D2150D">
        <w:t>"</w:t>
      </w:r>
      <w:r>
        <w:t xml:space="preserve"> (Sic) </w:t>
      </w:r>
    </w:p>
    <w:p w14:paraId="0F0FF2B3" w14:textId="77777777" w:rsidR="009C2C04" w:rsidRDefault="009C2C04" w:rsidP="009C2C04">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1DE6BB4" w14:textId="77777777" w:rsidR="009C2C04" w:rsidRPr="0038340D" w:rsidRDefault="009C2C04" w:rsidP="00F350FF">
      <w:pPr>
        <w:numPr>
          <w:ilvl w:val="0"/>
          <w:numId w:val="6"/>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7CD6DECF" w14:textId="299AD727" w:rsidR="009C2C04" w:rsidRDefault="009C2C04" w:rsidP="009C2C04">
      <w:pPr>
        <w:pStyle w:val="INFOEM"/>
        <w:rPr>
          <w:rFonts w:ascii="Times New Roman" w:eastAsia="Times New Roman" w:hAnsi="Times New Roman" w:cs="Times New Roman"/>
          <w:sz w:val="24"/>
          <w:szCs w:val="24"/>
        </w:rPr>
      </w:pPr>
      <w:r>
        <w:t>“</w:t>
      </w:r>
      <w:r w:rsidRPr="009C2C04">
        <w:t xml:space="preserve">Se advierte que el sujeto obligado no dio respuesta a las solicitudes de información, evidenciando una omisión sistemática que contraviene los principios de legalidad y </w:t>
      </w:r>
      <w:r w:rsidRPr="009C2C04">
        <w:lastRenderedPageBreak/>
        <w:t>transparencia. Tal actuación genera opacidad e impide una adecuada rendición de cuentas, lo que podría interpretarse como una práctica tendente a encubrir irregularidades administrativas.</w:t>
      </w:r>
      <w:r>
        <w:t>”</w:t>
      </w:r>
      <w:r>
        <w:rPr>
          <w:sz w:val="24"/>
          <w:szCs w:val="24"/>
        </w:rPr>
        <w:t xml:space="preserve"> (Sic)</w:t>
      </w:r>
      <w:r>
        <w:rPr>
          <w:rFonts w:ascii="Times New Roman" w:eastAsia="Times New Roman" w:hAnsi="Times New Roman" w:cs="Times New Roman"/>
          <w:sz w:val="24"/>
          <w:szCs w:val="24"/>
        </w:rPr>
        <w:t xml:space="preserve"> </w:t>
      </w:r>
    </w:p>
    <w:p w14:paraId="1897D9AC" w14:textId="19F66C91" w:rsidR="009C2C04" w:rsidRPr="00F350FF" w:rsidRDefault="00F350FF" w:rsidP="00F350FF">
      <w:pPr>
        <w:pStyle w:val="INFOEM"/>
        <w:ind w:left="0"/>
        <w:rPr>
          <w:rFonts w:eastAsia="Palatino Linotype" w:cs="Palatino Linotype"/>
          <w:b/>
          <w:i w:val="0"/>
          <w:sz w:val="24"/>
          <w:szCs w:val="24"/>
          <w:lang w:eastAsia="es-MX"/>
        </w:rPr>
      </w:pPr>
      <w:r w:rsidRPr="00F350FF">
        <w:rPr>
          <w:rFonts w:eastAsia="Palatino Linotype" w:cs="Palatino Linotype"/>
          <w:b/>
          <w:i w:val="0"/>
          <w:sz w:val="24"/>
          <w:szCs w:val="24"/>
          <w:lang w:eastAsia="es-MX"/>
        </w:rPr>
        <w:t>11720/INFOEM/IP/RR/2025</w:t>
      </w:r>
      <w:r w:rsidR="00E33AE0">
        <w:rPr>
          <w:rFonts w:eastAsia="Palatino Linotype" w:cs="Palatino Linotype"/>
          <w:b/>
          <w:i w:val="0"/>
          <w:sz w:val="24"/>
          <w:szCs w:val="24"/>
          <w:lang w:eastAsia="es-MX"/>
        </w:rPr>
        <w:t xml:space="preserve">, 11721/INFOEM/IP/RR/2025, 11733/INFOEM/IP/RR/2025, 11734/INFOEM/IP/RR/2025, </w:t>
      </w:r>
      <w:r w:rsidR="00C827C7">
        <w:rPr>
          <w:rFonts w:eastAsia="Palatino Linotype" w:cs="Palatino Linotype"/>
          <w:b/>
          <w:i w:val="0"/>
          <w:sz w:val="24"/>
          <w:szCs w:val="24"/>
          <w:lang w:eastAsia="es-MX"/>
        </w:rPr>
        <w:t>11735/INFOEM/IP/RR/2025, 11736/INFOEM/IP/RR/2025, 11737/INFOEM/IP/RR/2025</w:t>
      </w:r>
      <w:r w:rsidR="00246372">
        <w:rPr>
          <w:rFonts w:eastAsia="Palatino Linotype" w:cs="Palatino Linotype"/>
          <w:b/>
          <w:i w:val="0"/>
          <w:sz w:val="24"/>
          <w:szCs w:val="24"/>
          <w:lang w:eastAsia="es-MX"/>
        </w:rPr>
        <w:t xml:space="preserve"> y 11738/INFOEM/IP/RR/2025.</w:t>
      </w:r>
    </w:p>
    <w:p w14:paraId="19CC7C35" w14:textId="77777777" w:rsidR="00F350FF" w:rsidRPr="0038340D" w:rsidRDefault="00F350FF" w:rsidP="00F350FF">
      <w:pPr>
        <w:numPr>
          <w:ilvl w:val="0"/>
          <w:numId w:val="9"/>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54C5C303" w14:textId="206007D8" w:rsidR="00F350FF" w:rsidRDefault="00F350FF" w:rsidP="00F350FF">
      <w:pPr>
        <w:pStyle w:val="INFOEM"/>
      </w:pPr>
      <w:r>
        <w:t>“</w:t>
      </w:r>
      <w:r w:rsidRPr="00F350FF">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Pr="009C2C04">
        <w:t>.</w:t>
      </w:r>
      <w:r w:rsidRPr="00D2150D">
        <w:t>"</w:t>
      </w:r>
      <w:r>
        <w:t xml:space="preserve"> (Sic) </w:t>
      </w:r>
    </w:p>
    <w:p w14:paraId="41D7280D" w14:textId="77777777" w:rsidR="00F350FF" w:rsidRDefault="00F350FF" w:rsidP="00F350FF">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6284C04" w14:textId="77777777" w:rsidR="00F350FF" w:rsidRPr="0038340D" w:rsidRDefault="00F350FF" w:rsidP="00F350FF">
      <w:pPr>
        <w:numPr>
          <w:ilvl w:val="0"/>
          <w:numId w:val="9"/>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02F938BB" w14:textId="62526875" w:rsidR="00F350FF" w:rsidRDefault="00F350FF" w:rsidP="00F350FF">
      <w:pPr>
        <w:pStyle w:val="INFOEM"/>
        <w:rPr>
          <w:rFonts w:ascii="Times New Roman" w:eastAsia="Times New Roman" w:hAnsi="Times New Roman" w:cs="Times New Roman"/>
          <w:sz w:val="24"/>
          <w:szCs w:val="24"/>
        </w:rPr>
      </w:pPr>
      <w:r>
        <w:t>“</w:t>
      </w:r>
      <w:r w:rsidRPr="00F350FF">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Pr="009C2C04">
        <w:t>.</w:t>
      </w:r>
      <w:r>
        <w:t>”</w:t>
      </w:r>
      <w:r>
        <w:rPr>
          <w:sz w:val="24"/>
          <w:szCs w:val="24"/>
        </w:rPr>
        <w:t xml:space="preserve"> (Sic)</w:t>
      </w:r>
      <w:r>
        <w:rPr>
          <w:rFonts w:ascii="Times New Roman" w:eastAsia="Times New Roman" w:hAnsi="Times New Roman" w:cs="Times New Roman"/>
          <w:sz w:val="24"/>
          <w:szCs w:val="24"/>
        </w:rPr>
        <w:t xml:space="preserve"> </w:t>
      </w:r>
    </w:p>
    <w:p w14:paraId="08F6B4A8" w14:textId="77777777" w:rsidR="009C2C04" w:rsidRDefault="009C2C04" w:rsidP="009E3316">
      <w:pPr>
        <w:spacing w:after="0" w:line="360" w:lineRule="auto"/>
        <w:jc w:val="both"/>
        <w:rPr>
          <w:rFonts w:ascii="Palatino Linotype" w:eastAsia="Palatino Linotype" w:hAnsi="Palatino Linotype" w:cs="Palatino Linotype"/>
          <w:b/>
          <w:sz w:val="28"/>
          <w:szCs w:val="28"/>
        </w:rPr>
      </w:pPr>
    </w:p>
    <w:p w14:paraId="6EB3E591" w14:textId="77777777"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067AEF7A" w14:textId="7FE0E947"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lastRenderedPageBreak/>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w:t>
      </w:r>
      <w:r w:rsidR="00B8743F">
        <w:rPr>
          <w:rFonts w:ascii="Palatino Linotype" w:hAnsi="Palatino Linotype"/>
          <w:sz w:val="24"/>
        </w:rPr>
        <w:t xml:space="preserve">s </w:t>
      </w:r>
      <w:r w:rsidR="00B8743F" w:rsidRPr="00B8743F">
        <w:rPr>
          <w:rFonts w:ascii="Palatino Linotype" w:hAnsi="Palatino Linotype"/>
          <w:b/>
          <w:bCs/>
          <w:sz w:val="24"/>
        </w:rPr>
        <w:t xml:space="preserve">seis, trece y catorce </w:t>
      </w:r>
      <w:r w:rsidRPr="00B8743F">
        <w:rPr>
          <w:rFonts w:ascii="Palatino Linotype" w:eastAsia="Palatino Linotype" w:hAnsi="Palatino Linotype" w:cs="Palatino Linotype"/>
          <w:b/>
          <w:bCs/>
          <w:sz w:val="24"/>
          <w:szCs w:val="24"/>
        </w:rPr>
        <w:t>de octubre</w:t>
      </w:r>
      <w:r w:rsidRPr="00B8743F">
        <w:rPr>
          <w:rFonts w:ascii="Palatino Linotype" w:hAnsi="Palatino Linotype"/>
          <w:b/>
          <w:bCs/>
          <w:sz w:val="24"/>
        </w:rPr>
        <w:t xml:space="preserve"> de dos </w:t>
      </w:r>
      <w:r>
        <w:rPr>
          <w:rFonts w:ascii="Palatino Linotype" w:hAnsi="Palatino Linotype"/>
          <w:b/>
          <w:sz w:val="24"/>
        </w:rPr>
        <w:t>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3541E247"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3B929828"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01E4129F"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25AB1A4E" w14:textId="77777777" w:rsidR="009E3316" w:rsidRPr="00DD2E32" w:rsidRDefault="009E3316" w:rsidP="009E3316">
      <w:pPr>
        <w:spacing w:after="0" w:line="360" w:lineRule="auto"/>
        <w:jc w:val="both"/>
        <w:rPr>
          <w:rFonts w:ascii="Palatino Linotype" w:hAnsi="Palatino Linotype" w:cs="Arial"/>
          <w:sz w:val="24"/>
          <w:szCs w:val="24"/>
        </w:rPr>
      </w:pPr>
    </w:p>
    <w:p w14:paraId="301CF330"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61AA428A" w14:textId="77777777" w:rsidR="009E3316" w:rsidRDefault="009E3316" w:rsidP="009E3316">
      <w:pPr>
        <w:spacing w:after="0" w:line="360" w:lineRule="auto"/>
        <w:jc w:val="both"/>
        <w:rPr>
          <w:rFonts w:ascii="Palatino Linotype" w:hAnsi="Palatino Linotype" w:cs="Arial"/>
          <w:b/>
          <w:sz w:val="28"/>
          <w:szCs w:val="28"/>
        </w:rPr>
      </w:pPr>
    </w:p>
    <w:p w14:paraId="1BD85BB5" w14:textId="77777777" w:rsidR="00300A28" w:rsidRPr="003679D4" w:rsidRDefault="009E3316" w:rsidP="00300A28">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00300A28" w:rsidRPr="003679D4">
        <w:rPr>
          <w:rFonts w:ascii="Palatino Linotype" w:hAnsi="Palatino Linotype" w:cs="Arial"/>
          <w:b/>
          <w:sz w:val="28"/>
          <w:szCs w:val="28"/>
        </w:rPr>
        <w:t>De la Acumulación</w:t>
      </w:r>
    </w:p>
    <w:p w14:paraId="5642E3F4" w14:textId="77777777" w:rsidR="00300A28" w:rsidRPr="00A4287A" w:rsidRDefault="00300A28" w:rsidP="00300A28">
      <w:pPr>
        <w:spacing w:after="0" w:line="360" w:lineRule="auto"/>
        <w:jc w:val="both"/>
        <w:rPr>
          <w:rFonts w:ascii="Palatino Linotype" w:eastAsia="Times New Roman" w:hAnsi="Palatino Linotype" w:cs="Arial"/>
          <w:sz w:val="24"/>
          <w:szCs w:val="24"/>
          <w:lang w:val="es-ES" w:eastAsia="es-ES"/>
        </w:rPr>
      </w:pPr>
      <w:r w:rsidRPr="00A4287A">
        <w:rPr>
          <w:rFonts w:ascii="Palatino Linotype" w:eastAsia="Times New Roman" w:hAnsi="Palatino Linotype" w:cs="Arial"/>
          <w:sz w:val="24"/>
          <w:szCs w:val="24"/>
          <w:lang w:val="es-ES" w:eastAsia="es-ES"/>
        </w:rPr>
        <w:lastRenderedPageBreak/>
        <w:t xml:space="preserve">Posteriormente por acuerdo del Pleno del Instituto, de fecha </w:t>
      </w:r>
      <w:r>
        <w:rPr>
          <w:rFonts w:ascii="Palatino Linotype" w:eastAsia="Times New Roman" w:hAnsi="Palatino Linotype" w:cs="Arial"/>
          <w:b/>
          <w:bCs/>
          <w:sz w:val="24"/>
          <w:szCs w:val="24"/>
          <w:lang w:val="es-ES" w:eastAsia="es-ES"/>
        </w:rPr>
        <w:t>veintidós</w:t>
      </w:r>
      <w:r w:rsidRPr="00A4287A">
        <w:rPr>
          <w:rFonts w:ascii="Palatino Linotype" w:eastAsia="Times New Roman" w:hAnsi="Palatino Linotype" w:cs="Arial"/>
          <w:b/>
          <w:bCs/>
          <w:sz w:val="24"/>
          <w:szCs w:val="24"/>
          <w:lang w:val="es-ES" w:eastAsia="es-ES"/>
        </w:rPr>
        <w:t xml:space="preserve"> de octubre</w:t>
      </w:r>
      <w:r w:rsidRPr="00A4287A">
        <w:rPr>
          <w:rFonts w:ascii="Palatino Linotype" w:eastAsia="Times New Roman" w:hAnsi="Palatino Linotype" w:cs="Arial"/>
          <w:b/>
          <w:sz w:val="24"/>
          <w:szCs w:val="24"/>
          <w:lang w:val="es-ES" w:eastAsia="es-ES"/>
        </w:rPr>
        <w:t xml:space="preserve"> de dos mil veinticinco</w:t>
      </w:r>
      <w:r w:rsidRPr="00A4287A">
        <w:rPr>
          <w:rFonts w:ascii="Palatino Linotype" w:eastAsia="Times New Roman" w:hAnsi="Palatino Linotype" w:cs="Arial"/>
          <w:sz w:val="24"/>
          <w:szCs w:val="24"/>
          <w:lang w:val="es-ES" w:eastAsia="es-ES"/>
        </w:rPr>
        <w:t xml:space="preserve">; respectivamente, se determinó acumular los recursos de revisión en estudio, ya que existe identidad del solicitante, del </w:t>
      </w:r>
      <w:r w:rsidRPr="00A4287A">
        <w:rPr>
          <w:rFonts w:ascii="Palatino Linotype" w:eastAsia="Times New Roman" w:hAnsi="Palatino Linotype" w:cs="Arial"/>
          <w:b/>
          <w:sz w:val="24"/>
          <w:szCs w:val="24"/>
          <w:lang w:val="es-ES" w:eastAsia="es-ES"/>
        </w:rPr>
        <w:t>Sujeto Obligado</w:t>
      </w:r>
      <w:r w:rsidRPr="00A4287A">
        <w:rPr>
          <w:rFonts w:ascii="Palatino Linotype" w:eastAsia="Times New Roman" w:hAnsi="Palatino Linotype" w:cs="Arial"/>
          <w:sz w:val="24"/>
          <w:szCs w:val="24"/>
          <w:lang w:val="es-ES" w:eastAsia="es-ES"/>
        </w:rPr>
        <w:t xml:space="preserve"> y similitud de causas y objeto de solicitud.</w:t>
      </w:r>
    </w:p>
    <w:p w14:paraId="5F2FE021" w14:textId="77777777" w:rsidR="00300A28" w:rsidRPr="00A4287A" w:rsidRDefault="00300A28" w:rsidP="00300A28">
      <w:pPr>
        <w:spacing w:after="0" w:line="360" w:lineRule="auto"/>
        <w:jc w:val="both"/>
        <w:rPr>
          <w:rFonts w:ascii="Palatino Linotype" w:eastAsia="Times New Roman" w:hAnsi="Palatino Linotype" w:cs="Arial"/>
          <w:sz w:val="24"/>
          <w:szCs w:val="24"/>
          <w:lang w:val="es-ES" w:eastAsia="es-ES"/>
        </w:rPr>
      </w:pPr>
    </w:p>
    <w:p w14:paraId="4AB63FAF" w14:textId="77777777" w:rsidR="00300A28" w:rsidRPr="00A4287A" w:rsidRDefault="00300A28" w:rsidP="00300A28">
      <w:pPr>
        <w:spacing w:after="0" w:line="360" w:lineRule="auto"/>
        <w:jc w:val="both"/>
        <w:rPr>
          <w:rFonts w:ascii="Palatino Linotype" w:eastAsiaTheme="minorHAnsi" w:hAnsi="Palatino Linotype" w:cstheme="minorBidi"/>
          <w:sz w:val="24"/>
          <w:szCs w:val="24"/>
          <w:lang w:eastAsia="en-US"/>
        </w:rPr>
      </w:pPr>
      <w:r w:rsidRPr="00A4287A">
        <w:rPr>
          <w:rFonts w:ascii="Palatino Linotype" w:eastAsiaTheme="minorHAnsi" w:hAnsi="Palatino Linotype" w:cstheme="minorBidi"/>
          <w:sz w:val="24"/>
          <w:szCs w:val="24"/>
          <w:lang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CB5F36A" w14:textId="77777777" w:rsidR="00300A28" w:rsidRPr="00A4287A" w:rsidRDefault="00300A28" w:rsidP="00300A28">
      <w:pPr>
        <w:spacing w:after="0" w:line="240" w:lineRule="auto"/>
        <w:rPr>
          <w:rFonts w:ascii="Palatino Linotype" w:eastAsiaTheme="minorHAnsi" w:hAnsi="Palatino Linotype" w:cstheme="minorBidi"/>
          <w:sz w:val="18"/>
          <w:lang w:eastAsia="en-US"/>
        </w:rPr>
      </w:pPr>
    </w:p>
    <w:p w14:paraId="7B481759" w14:textId="77777777" w:rsidR="00300A28" w:rsidRPr="00A4287A" w:rsidRDefault="00300A28" w:rsidP="00300A28">
      <w:pPr>
        <w:spacing w:after="0" w:line="240" w:lineRule="auto"/>
        <w:ind w:left="567" w:right="567"/>
        <w:jc w:val="both"/>
        <w:rPr>
          <w:rFonts w:ascii="Palatino Linotype" w:eastAsiaTheme="minorHAnsi" w:hAnsi="Palatino Linotype" w:cstheme="minorBidi"/>
          <w:i/>
          <w:szCs w:val="24"/>
          <w:lang w:eastAsia="en-US"/>
        </w:rPr>
      </w:pPr>
      <w:r w:rsidRPr="00A4287A">
        <w:rPr>
          <w:rFonts w:ascii="Palatino Linotype" w:eastAsiaTheme="minorHAnsi" w:hAnsi="Palatino Linotype" w:cstheme="minorBidi"/>
          <w:i/>
          <w:szCs w:val="24"/>
          <w:lang w:eastAsia="en-US"/>
        </w:rPr>
        <w:t>“</w:t>
      </w:r>
      <w:r w:rsidRPr="00A4287A">
        <w:rPr>
          <w:rFonts w:ascii="Palatino Linotype" w:eastAsiaTheme="minorHAnsi" w:hAnsi="Palatino Linotype" w:cstheme="minorBidi"/>
          <w:b/>
          <w:i/>
          <w:szCs w:val="24"/>
          <w:lang w:eastAsia="en-US"/>
        </w:rPr>
        <w:t>Artículo 195.</w:t>
      </w:r>
      <w:r w:rsidRPr="00A4287A">
        <w:rPr>
          <w:rFonts w:ascii="Palatino Linotype" w:eastAsiaTheme="minorHAnsi" w:hAnsi="Palatino Linotype" w:cstheme="minorBidi"/>
          <w:i/>
          <w:szCs w:val="24"/>
          <w:lang w:eastAsia="en-US"/>
        </w:rPr>
        <w:t xml:space="preserve"> En la tramitación del recurso de revisión se aplicarán supletoriamente las disposiciones contenidas en el </w:t>
      </w:r>
      <w:r w:rsidRPr="00A4287A">
        <w:rPr>
          <w:rFonts w:ascii="Palatino Linotype" w:eastAsiaTheme="minorHAnsi" w:hAnsi="Palatino Linotype" w:cstheme="minorBidi"/>
          <w:b/>
          <w:i/>
          <w:szCs w:val="24"/>
          <w:u w:val="single"/>
          <w:lang w:eastAsia="en-US"/>
        </w:rPr>
        <w:t>Código de Procedimientos Administrativos del Estado de México</w:t>
      </w:r>
      <w:r w:rsidRPr="00A4287A">
        <w:rPr>
          <w:rFonts w:ascii="Palatino Linotype" w:eastAsiaTheme="minorHAnsi" w:hAnsi="Palatino Linotype" w:cstheme="minorBidi"/>
          <w:i/>
          <w:szCs w:val="24"/>
          <w:lang w:eastAsia="en-US"/>
        </w:rPr>
        <w:t>.”</w:t>
      </w:r>
    </w:p>
    <w:p w14:paraId="17B4BC7A" w14:textId="77777777" w:rsidR="00300A28" w:rsidRPr="00A4287A" w:rsidRDefault="00300A28" w:rsidP="00300A28">
      <w:pPr>
        <w:spacing w:after="0" w:line="240" w:lineRule="auto"/>
        <w:ind w:left="567" w:right="567"/>
        <w:jc w:val="both"/>
        <w:rPr>
          <w:rFonts w:ascii="Palatino Linotype" w:eastAsiaTheme="minorHAnsi" w:hAnsi="Palatino Linotype" w:cstheme="minorBidi"/>
          <w:i/>
          <w:szCs w:val="24"/>
          <w:lang w:eastAsia="en-US"/>
        </w:rPr>
      </w:pPr>
    </w:p>
    <w:p w14:paraId="0BAF53A3" w14:textId="77777777" w:rsidR="00300A28" w:rsidRPr="00A4287A" w:rsidRDefault="00300A28" w:rsidP="00300A28">
      <w:pPr>
        <w:spacing w:after="0" w:line="240" w:lineRule="auto"/>
        <w:ind w:left="567" w:right="567"/>
        <w:jc w:val="both"/>
        <w:rPr>
          <w:rFonts w:ascii="Palatino Linotype" w:eastAsiaTheme="minorHAnsi" w:hAnsi="Palatino Linotype" w:cstheme="minorBidi"/>
          <w:i/>
          <w:szCs w:val="24"/>
          <w:lang w:eastAsia="en-US"/>
        </w:rPr>
      </w:pPr>
      <w:r w:rsidRPr="00A4287A">
        <w:rPr>
          <w:rFonts w:ascii="Palatino Linotype" w:eastAsiaTheme="minorHAnsi" w:hAnsi="Palatino Linotype" w:cstheme="minorBidi"/>
          <w:i/>
          <w:szCs w:val="24"/>
          <w:lang w:eastAsia="en-US"/>
        </w:rPr>
        <w:t>“</w:t>
      </w:r>
      <w:r w:rsidRPr="00A4287A">
        <w:rPr>
          <w:rFonts w:ascii="Palatino Linotype" w:eastAsiaTheme="minorHAnsi" w:hAnsi="Palatino Linotype" w:cstheme="minorBidi"/>
          <w:b/>
          <w:i/>
          <w:szCs w:val="24"/>
          <w:lang w:eastAsia="en-US"/>
        </w:rPr>
        <w:t>Artículo 18.</w:t>
      </w:r>
      <w:r w:rsidRPr="00A4287A">
        <w:rPr>
          <w:rFonts w:ascii="Palatino Linotype" w:eastAsiaTheme="minorHAnsi" w:hAnsi="Palatino Linotype" w:cstheme="minorBidi"/>
          <w:i/>
          <w:szCs w:val="24"/>
          <w:lang w:eastAsia="en-US"/>
        </w:rPr>
        <w:t xml:space="preserve"> </w:t>
      </w:r>
      <w:r w:rsidRPr="00A4287A">
        <w:rPr>
          <w:rFonts w:ascii="Palatino Linotype" w:eastAsiaTheme="minorHAnsi" w:hAnsi="Palatino Linotype" w:cstheme="minorBidi"/>
          <w:b/>
          <w:i/>
          <w:szCs w:val="24"/>
          <w:u w:val="single"/>
          <w:lang w:eastAsia="en-US"/>
        </w:rPr>
        <w:t>La autoridad administrativa</w:t>
      </w:r>
      <w:r w:rsidRPr="00A4287A">
        <w:rPr>
          <w:rFonts w:ascii="Palatino Linotype" w:eastAsiaTheme="minorHAnsi" w:hAnsi="Palatino Linotype" w:cstheme="minorBidi"/>
          <w:i/>
          <w:szCs w:val="24"/>
          <w:lang w:eastAsia="en-US"/>
        </w:rPr>
        <w:t xml:space="preserve"> o el Tribunal </w:t>
      </w:r>
      <w:r w:rsidRPr="00A4287A">
        <w:rPr>
          <w:rFonts w:ascii="Palatino Linotype" w:eastAsiaTheme="minorHAnsi" w:hAnsi="Palatino Linotype" w:cstheme="minorBidi"/>
          <w:b/>
          <w:i/>
          <w:szCs w:val="24"/>
          <w:u w:val="single"/>
          <w:lang w:eastAsia="en-US"/>
        </w:rPr>
        <w:t>acordarán la acumulación</w:t>
      </w:r>
      <w:r w:rsidRPr="00A4287A">
        <w:rPr>
          <w:rFonts w:ascii="Palatino Linotype" w:eastAsiaTheme="minorHAnsi" w:hAnsi="Palatino Linotype" w:cstheme="minorBidi"/>
          <w:i/>
          <w:szCs w:val="24"/>
          <w:lang w:eastAsia="en-US"/>
        </w:rPr>
        <w:t xml:space="preserve"> de los expedientes del procedimiento y proceso administrativo que ante ellos se sigan</w:t>
      </w:r>
      <w:r w:rsidRPr="00A4287A">
        <w:rPr>
          <w:rFonts w:ascii="Palatino Linotype" w:eastAsiaTheme="minorHAnsi" w:hAnsi="Palatino Linotype" w:cstheme="minorBidi"/>
          <w:b/>
          <w:i/>
          <w:szCs w:val="24"/>
          <w:u w:val="single"/>
          <w:lang w:eastAsia="en-US"/>
        </w:rPr>
        <w:t>, de oficio</w:t>
      </w:r>
      <w:r w:rsidRPr="00A4287A">
        <w:rPr>
          <w:rFonts w:ascii="Palatino Linotype" w:eastAsiaTheme="minorHAnsi" w:hAnsi="Palatino Linotype" w:cstheme="minorBidi"/>
          <w:i/>
          <w:szCs w:val="24"/>
          <w:lang w:eastAsia="en-US"/>
        </w:rPr>
        <w:t xml:space="preserve"> o a petición de parte, </w:t>
      </w:r>
      <w:r w:rsidRPr="00A4287A">
        <w:rPr>
          <w:rFonts w:ascii="Palatino Linotype" w:eastAsiaTheme="minorHAnsi" w:hAnsi="Palatino Linotype" w:cstheme="minorBidi"/>
          <w:b/>
          <w:i/>
          <w:szCs w:val="24"/>
          <w:u w:val="single"/>
          <w:lang w:eastAsia="en-US"/>
        </w:rPr>
        <w:t>cuando las partes o los actos administrativos sean iguales, se trate de actos conexos o resulte conveniente el trámite unificado de los asuntos</w:t>
      </w:r>
      <w:r w:rsidRPr="00A4287A">
        <w:rPr>
          <w:rFonts w:ascii="Palatino Linotype" w:eastAsiaTheme="minorHAnsi" w:hAnsi="Palatino Linotype" w:cstheme="minorBidi"/>
          <w:i/>
          <w:szCs w:val="24"/>
          <w:lang w:eastAsia="en-US"/>
        </w:rPr>
        <w:t>, para evitar la emisión de resoluciones contradictorias. La misma regla se aplicará, en lo conducente, para la separación de los expedientes.”</w:t>
      </w:r>
    </w:p>
    <w:p w14:paraId="60285A59" w14:textId="77777777" w:rsidR="00300A28" w:rsidRPr="00A4287A" w:rsidRDefault="00300A28" w:rsidP="00300A28">
      <w:pPr>
        <w:spacing w:after="0" w:line="360" w:lineRule="auto"/>
        <w:jc w:val="both"/>
        <w:rPr>
          <w:rFonts w:ascii="Palatino Linotype" w:eastAsiaTheme="minorHAnsi" w:hAnsi="Palatino Linotype" w:cs="Arial"/>
          <w:b/>
          <w:sz w:val="28"/>
          <w:lang w:eastAsia="en-US"/>
        </w:rPr>
      </w:pPr>
    </w:p>
    <w:p w14:paraId="055854B0" w14:textId="77777777" w:rsidR="003679D4" w:rsidRDefault="003679D4" w:rsidP="009E3316">
      <w:pPr>
        <w:spacing w:after="0" w:line="360" w:lineRule="auto"/>
        <w:jc w:val="both"/>
        <w:rPr>
          <w:rFonts w:ascii="Palatino Linotype" w:hAnsi="Palatino Linotype" w:cs="Arial"/>
          <w:sz w:val="24"/>
          <w:szCs w:val="24"/>
        </w:rPr>
      </w:pPr>
    </w:p>
    <w:p w14:paraId="2F208815" w14:textId="77777777" w:rsidR="00300A28" w:rsidRPr="002C3EC8" w:rsidRDefault="003679D4" w:rsidP="00300A28">
      <w:pPr>
        <w:spacing w:after="0" w:line="360" w:lineRule="auto"/>
        <w:jc w:val="both"/>
        <w:rPr>
          <w:rFonts w:ascii="Palatino Linotype" w:hAnsi="Palatino Linotype" w:cs="Arial"/>
          <w:b/>
          <w:sz w:val="28"/>
          <w:szCs w:val="28"/>
        </w:rPr>
      </w:pPr>
      <w:r w:rsidRPr="003679D4">
        <w:rPr>
          <w:rFonts w:ascii="Palatino Linotype" w:hAnsi="Palatino Linotype" w:cs="Arial"/>
          <w:b/>
          <w:sz w:val="28"/>
          <w:szCs w:val="28"/>
        </w:rPr>
        <w:t>S</w:t>
      </w:r>
      <w:r>
        <w:rPr>
          <w:rFonts w:ascii="Palatino Linotype" w:hAnsi="Palatino Linotype" w:cs="Arial"/>
          <w:b/>
          <w:sz w:val="28"/>
          <w:szCs w:val="28"/>
        </w:rPr>
        <w:t>É</w:t>
      </w:r>
      <w:r w:rsidRPr="003679D4">
        <w:rPr>
          <w:rFonts w:ascii="Palatino Linotype" w:hAnsi="Palatino Linotype" w:cs="Arial"/>
          <w:b/>
          <w:sz w:val="28"/>
          <w:szCs w:val="28"/>
        </w:rPr>
        <w:t xml:space="preserve">PTIMO. </w:t>
      </w:r>
      <w:r w:rsidR="00300A28" w:rsidRPr="002C3EC8">
        <w:rPr>
          <w:rFonts w:ascii="Palatino Linotype" w:hAnsi="Palatino Linotype" w:cs="Arial"/>
          <w:b/>
          <w:sz w:val="28"/>
          <w:szCs w:val="28"/>
        </w:rPr>
        <w:t>Del Cierre de Instrucción.</w:t>
      </w:r>
    </w:p>
    <w:p w14:paraId="0E116393" w14:textId="77777777" w:rsidR="00300A28" w:rsidRDefault="00300A28" w:rsidP="00300A28">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w:t>
      </w:r>
      <w:r w:rsidRPr="00751EC2">
        <w:rPr>
          <w:rFonts w:ascii="Palatino Linotype" w:hAnsi="Palatino Linotype" w:cs="Arial"/>
          <w:sz w:val="24"/>
          <w:szCs w:val="24"/>
        </w:rPr>
        <w:t>fecha</w:t>
      </w:r>
      <w:r>
        <w:rPr>
          <w:rFonts w:ascii="Palatino Linotype" w:hAnsi="Palatino Linotype" w:cs="Arial"/>
          <w:sz w:val="24"/>
          <w:szCs w:val="24"/>
        </w:rPr>
        <w:t xml:space="preserve">s </w:t>
      </w:r>
      <w:r w:rsidRPr="003679D4">
        <w:rPr>
          <w:rFonts w:ascii="Palatino Linotype" w:hAnsi="Palatino Linotype" w:cs="Arial"/>
          <w:b/>
          <w:bCs/>
          <w:sz w:val="24"/>
          <w:szCs w:val="24"/>
        </w:rPr>
        <w:t>dieciséis</w:t>
      </w:r>
      <w:r>
        <w:rPr>
          <w:rFonts w:ascii="Palatino Linotype" w:hAnsi="Palatino Linotype" w:cs="Arial"/>
          <w:b/>
          <w:bCs/>
          <w:sz w:val="24"/>
          <w:szCs w:val="24"/>
        </w:rPr>
        <w:t xml:space="preserve">, veintitrés </w:t>
      </w:r>
      <w:r w:rsidRPr="003679D4">
        <w:rPr>
          <w:rFonts w:ascii="Palatino Linotype" w:hAnsi="Palatino Linotype" w:cs="Arial"/>
          <w:b/>
          <w:bCs/>
          <w:sz w:val="24"/>
          <w:szCs w:val="24"/>
        </w:rPr>
        <w:t>y</w:t>
      </w:r>
      <w:r>
        <w:rPr>
          <w:rFonts w:ascii="Palatino Linotype" w:hAnsi="Palatino Linotype" w:cs="Arial"/>
          <w:b/>
          <w:bCs/>
          <w:sz w:val="24"/>
          <w:szCs w:val="24"/>
        </w:rPr>
        <w:t xml:space="preserve"> </w:t>
      </w:r>
      <w:r w:rsidRPr="003679D4">
        <w:rPr>
          <w:rFonts w:ascii="Palatino Linotype" w:hAnsi="Palatino Linotype" w:cs="Arial"/>
          <w:b/>
          <w:bCs/>
          <w:sz w:val="24"/>
          <w:szCs w:val="24"/>
        </w:rPr>
        <w:t>veintisiete</w:t>
      </w:r>
      <w:r w:rsidRPr="00751EC2">
        <w:rPr>
          <w:rFonts w:ascii="Palatino Linotype" w:hAnsi="Palatino Linotype" w:cs="Arial"/>
          <w:b/>
          <w:sz w:val="24"/>
          <w:szCs w:val="24"/>
        </w:rPr>
        <w:t xml:space="preserve"> de</w:t>
      </w:r>
      <w:r>
        <w:rPr>
          <w:rFonts w:ascii="Palatino Linotype" w:hAnsi="Palatino Linotype" w:cs="Arial"/>
          <w:b/>
          <w:sz w:val="24"/>
          <w:szCs w:val="24"/>
        </w:rPr>
        <w:t xml:space="preserve"> </w:t>
      </w:r>
      <w:r>
        <w:rPr>
          <w:rFonts w:ascii="Palatino Linotype" w:hAnsi="Palatino Linotype" w:cs="Arial"/>
          <w:b/>
          <w:sz w:val="24"/>
          <w:szCs w:val="24"/>
        </w:rPr>
        <w:lastRenderedPageBreak/>
        <w:t>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5AA99395" w14:textId="4C25BEFD" w:rsidR="00A4287A" w:rsidRPr="00A4287A" w:rsidRDefault="00A4287A" w:rsidP="00300A28">
      <w:pPr>
        <w:spacing w:after="0" w:line="360" w:lineRule="auto"/>
        <w:jc w:val="both"/>
        <w:rPr>
          <w:rFonts w:ascii="Palatino Linotype" w:eastAsiaTheme="minorHAnsi" w:hAnsi="Palatino Linotype" w:cs="Arial"/>
          <w:b/>
          <w:sz w:val="28"/>
          <w:lang w:eastAsia="en-US"/>
        </w:rPr>
      </w:pPr>
    </w:p>
    <w:p w14:paraId="5CEE73AA" w14:textId="77777777" w:rsidR="00CF4D3B" w:rsidRDefault="00CF4D3B" w:rsidP="009E3316">
      <w:pPr>
        <w:spacing w:after="0" w:line="360" w:lineRule="auto"/>
        <w:jc w:val="center"/>
        <w:rPr>
          <w:rFonts w:ascii="Palatino Linotype" w:eastAsia="Palatino Linotype" w:hAnsi="Palatino Linotype" w:cs="Palatino Linotype"/>
          <w:b/>
          <w:sz w:val="28"/>
          <w:szCs w:val="28"/>
        </w:rPr>
      </w:pPr>
    </w:p>
    <w:p w14:paraId="07EB602D" w14:textId="1DF1B661"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6BD5626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42C20BE"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5BF0FC74"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711C97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06B3746"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7C3425C2"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w:t>
      </w:r>
      <w:r>
        <w:rPr>
          <w:rFonts w:ascii="Palatino Linotype" w:eastAsia="Palatino Linotype" w:hAnsi="Palatino Linotype" w:cs="Palatino Linotype"/>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7997F8E"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6BF62FF"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0745A69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61462B8"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271BF65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6C69570"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B5FD31D"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632C8E3"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4551A600"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85A194D"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3898DDD"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Pr>
          <w:rFonts w:ascii="Palatino Linotype" w:eastAsia="Palatino Linotype" w:hAnsi="Palatino Linotype" w:cs="Palatino Linotype"/>
          <w:sz w:val="24"/>
          <w:szCs w:val="24"/>
        </w:rPr>
        <w:lastRenderedPageBreak/>
        <w:t xml:space="preserve">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2F1450E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9703377"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07320A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BB80732"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DF8FE4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43FC009"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Pr>
          <w:rFonts w:ascii="Palatino Linotype" w:eastAsia="Palatino Linotype" w:hAnsi="Palatino Linotype" w:cs="Palatino Linotype"/>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0CB6F5BC"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61FDE651"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4799408"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730D23F"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16FE7E7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C46BBA7"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0099CB6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71C670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7A8B3F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0CA97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6CEFCAE"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7DC0A6C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14:paraId="62CA2A94" w14:textId="77777777" w:rsidR="009E3316" w:rsidRDefault="009E3316" w:rsidP="009E3316">
      <w:pPr>
        <w:spacing w:line="360" w:lineRule="auto"/>
        <w:jc w:val="both"/>
        <w:rPr>
          <w:rFonts w:ascii="Palatino Linotype" w:eastAsia="Palatino Linotype" w:hAnsi="Palatino Linotype" w:cs="Palatino Linotype"/>
          <w:sz w:val="24"/>
          <w:szCs w:val="24"/>
        </w:rPr>
      </w:pPr>
    </w:p>
    <w:p w14:paraId="00D0625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5559264D"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581F467E"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2" w:name="_gjdgxs" w:colFirst="0" w:colLast="0"/>
      <w:bookmarkEnd w:id="2"/>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2E0320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2DEB2F39"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7F75E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5EDACA6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w:t>
      </w:r>
      <w:r>
        <w:rPr>
          <w:rFonts w:ascii="Palatino Linotype" w:eastAsia="Palatino Linotype" w:hAnsi="Palatino Linotype" w:cs="Palatino Linotype"/>
          <w:sz w:val="24"/>
          <w:szCs w:val="24"/>
        </w:rPr>
        <w:lastRenderedPageBreak/>
        <w:t>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0A92AC34"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7E50CE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92BB9E0"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4D86B1AC"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435AF185"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F0539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8C353EC"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877419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421B912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69B419B"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7D30ADFF"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Secretaría Técnica del Pleno de este Instituto para hacer del conocimiento del Órgano </w:t>
      </w:r>
      <w:r>
        <w:rPr>
          <w:rFonts w:ascii="Palatino Linotype" w:eastAsia="Palatino Linotype" w:hAnsi="Palatino Linotype" w:cs="Palatino Linotype"/>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F9015E8"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65A5524D" w14:textId="25333A41"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atienda la</w:t>
      </w:r>
      <w:r w:rsidR="00134A04">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solicitud</w:t>
      </w:r>
      <w:r w:rsidR="00134A04">
        <w:rPr>
          <w:rFonts w:ascii="Palatino Linotype" w:eastAsia="Palatino Linotype" w:hAnsi="Palatino Linotype" w:cs="Palatino Linotype"/>
          <w:sz w:val="24"/>
          <w:szCs w:val="24"/>
        </w:rPr>
        <w:t>es</w:t>
      </w:r>
      <w:r>
        <w:rPr>
          <w:rFonts w:ascii="Palatino Linotype" w:eastAsia="Palatino Linotype" w:hAnsi="Palatino Linotype" w:cs="Palatino Linotype"/>
          <w:sz w:val="24"/>
          <w:szCs w:val="24"/>
        </w:rPr>
        <w:t xml:space="preserve"> de información </w:t>
      </w:r>
      <w:r w:rsidR="00134A04" w:rsidRPr="00560826">
        <w:rPr>
          <w:rFonts w:ascii="Palatino Linotype" w:eastAsia="Palatino Linotype" w:hAnsi="Palatino Linotype" w:cs="Palatino Linotype"/>
          <w:b/>
          <w:bCs/>
          <w:sz w:val="24"/>
          <w:szCs w:val="24"/>
        </w:rPr>
        <w:t>00159/DIFIXTAPAL/IP/2025</w:t>
      </w:r>
      <w:r w:rsidR="00134A04">
        <w:rPr>
          <w:rFonts w:ascii="Palatino Linotype" w:eastAsia="Palatino Linotype" w:hAnsi="Palatino Linotype" w:cs="Palatino Linotype"/>
          <w:b/>
          <w:bCs/>
          <w:sz w:val="24"/>
          <w:szCs w:val="24"/>
        </w:rPr>
        <w:t xml:space="preserve">, </w:t>
      </w:r>
      <w:r w:rsidR="00134A04" w:rsidRPr="00560826">
        <w:rPr>
          <w:rFonts w:ascii="Palatino Linotype" w:eastAsia="Palatino Linotype" w:hAnsi="Palatino Linotype" w:cs="Palatino Linotype"/>
          <w:b/>
          <w:bCs/>
          <w:sz w:val="24"/>
          <w:szCs w:val="24"/>
        </w:rPr>
        <w:t>00199/DIFIXTAPAL/IP/2025</w:t>
      </w:r>
      <w:r w:rsidR="00134A04">
        <w:rPr>
          <w:rFonts w:ascii="Palatino Linotype" w:eastAsia="Palatino Linotype" w:hAnsi="Palatino Linotype" w:cs="Palatino Linotype"/>
          <w:b/>
          <w:bCs/>
          <w:sz w:val="24"/>
          <w:szCs w:val="24"/>
        </w:rPr>
        <w:t xml:space="preserve">, </w:t>
      </w:r>
      <w:r w:rsidR="00134A04" w:rsidRPr="00560826">
        <w:rPr>
          <w:rFonts w:ascii="Palatino Linotype" w:eastAsia="Palatino Linotype" w:hAnsi="Palatino Linotype" w:cs="Palatino Linotype"/>
          <w:b/>
          <w:bCs/>
          <w:sz w:val="24"/>
          <w:szCs w:val="24"/>
        </w:rPr>
        <w:t>00198/DIFIXTAPAL/IP/2025</w:t>
      </w:r>
      <w:r w:rsidR="00134A04">
        <w:rPr>
          <w:rFonts w:ascii="Palatino Linotype" w:eastAsia="Palatino Linotype" w:hAnsi="Palatino Linotype" w:cs="Palatino Linotype"/>
          <w:b/>
          <w:bCs/>
          <w:sz w:val="24"/>
          <w:szCs w:val="24"/>
        </w:rPr>
        <w:t xml:space="preserve">, </w:t>
      </w:r>
      <w:r w:rsidR="00134A04" w:rsidRPr="00560826">
        <w:rPr>
          <w:rFonts w:ascii="Palatino Linotype" w:eastAsia="Palatino Linotype" w:hAnsi="Palatino Linotype" w:cs="Palatino Linotype"/>
          <w:b/>
          <w:bCs/>
          <w:sz w:val="24"/>
          <w:szCs w:val="24"/>
        </w:rPr>
        <w:t>00185/DIFIXTAPAL/IP/2025</w:t>
      </w:r>
      <w:r w:rsidR="00134A04">
        <w:rPr>
          <w:rFonts w:ascii="Palatino Linotype" w:eastAsia="Palatino Linotype" w:hAnsi="Palatino Linotype" w:cs="Palatino Linotype"/>
          <w:b/>
          <w:bCs/>
          <w:sz w:val="24"/>
          <w:szCs w:val="24"/>
        </w:rPr>
        <w:t xml:space="preserve">, </w:t>
      </w:r>
      <w:r w:rsidR="00134A04" w:rsidRPr="00560826">
        <w:rPr>
          <w:rFonts w:ascii="Palatino Linotype" w:eastAsia="Palatino Linotype" w:hAnsi="Palatino Linotype" w:cs="Palatino Linotype"/>
          <w:b/>
          <w:bCs/>
          <w:sz w:val="24"/>
          <w:szCs w:val="24"/>
        </w:rPr>
        <w:t>00179/DIFIXTAPAL/IP/2025</w:t>
      </w:r>
      <w:r w:rsidR="00134A04">
        <w:rPr>
          <w:rFonts w:ascii="Palatino Linotype" w:eastAsia="Palatino Linotype" w:hAnsi="Palatino Linotype" w:cs="Palatino Linotype"/>
          <w:b/>
          <w:bCs/>
          <w:sz w:val="24"/>
          <w:szCs w:val="24"/>
        </w:rPr>
        <w:t xml:space="preserve">, </w:t>
      </w:r>
      <w:r w:rsidR="00134A04" w:rsidRPr="00D679FF">
        <w:rPr>
          <w:rFonts w:ascii="Palatino Linotype" w:eastAsia="Palatino Linotype" w:hAnsi="Palatino Linotype" w:cs="Palatino Linotype"/>
          <w:b/>
          <w:bCs/>
          <w:sz w:val="24"/>
          <w:szCs w:val="24"/>
        </w:rPr>
        <w:t>00171/DIFIXTAPAL/IP/2025</w:t>
      </w:r>
      <w:r w:rsidR="00134A04">
        <w:rPr>
          <w:rFonts w:ascii="Palatino Linotype" w:eastAsia="Palatino Linotype" w:hAnsi="Palatino Linotype" w:cs="Palatino Linotype"/>
          <w:b/>
          <w:bCs/>
          <w:sz w:val="24"/>
          <w:szCs w:val="24"/>
        </w:rPr>
        <w:t xml:space="preserve">, </w:t>
      </w:r>
      <w:r w:rsidR="00134A04" w:rsidRPr="00D679FF">
        <w:rPr>
          <w:rFonts w:ascii="Palatino Linotype" w:eastAsia="Palatino Linotype" w:hAnsi="Palatino Linotype" w:cs="Palatino Linotype"/>
          <w:b/>
          <w:bCs/>
          <w:sz w:val="24"/>
          <w:szCs w:val="24"/>
        </w:rPr>
        <w:t>00166/DIFIXTAPAL/IP/2025</w:t>
      </w:r>
      <w:r w:rsidR="00134A04">
        <w:rPr>
          <w:rFonts w:ascii="Palatino Linotype" w:eastAsia="Palatino Linotype" w:hAnsi="Palatino Linotype" w:cs="Palatino Linotype"/>
          <w:b/>
          <w:bCs/>
          <w:sz w:val="24"/>
          <w:szCs w:val="24"/>
        </w:rPr>
        <w:t xml:space="preserve">, </w:t>
      </w:r>
      <w:r w:rsidR="00134A04" w:rsidRPr="00D679FF">
        <w:rPr>
          <w:rFonts w:ascii="Palatino Linotype" w:eastAsia="Palatino Linotype" w:hAnsi="Palatino Linotype" w:cs="Palatino Linotype"/>
          <w:b/>
          <w:bCs/>
          <w:sz w:val="24"/>
          <w:szCs w:val="24"/>
        </w:rPr>
        <w:t>00165/DIFIXTAPAL/IP/2025</w:t>
      </w:r>
      <w:r w:rsidR="00134A04">
        <w:rPr>
          <w:rFonts w:ascii="Palatino Linotype" w:eastAsia="Palatino Linotype" w:hAnsi="Palatino Linotype" w:cs="Palatino Linotype"/>
          <w:b/>
          <w:bCs/>
          <w:sz w:val="24"/>
          <w:szCs w:val="24"/>
        </w:rPr>
        <w:t xml:space="preserve">, </w:t>
      </w:r>
      <w:r w:rsidR="00134A04" w:rsidRPr="00D679FF">
        <w:rPr>
          <w:rFonts w:ascii="Palatino Linotype" w:eastAsia="Palatino Linotype" w:hAnsi="Palatino Linotype" w:cs="Palatino Linotype"/>
          <w:b/>
          <w:bCs/>
          <w:sz w:val="24"/>
          <w:szCs w:val="24"/>
        </w:rPr>
        <w:t>00164/DIFIXTAPAL/IP/2025</w:t>
      </w:r>
      <w:r w:rsidR="00134A04">
        <w:rPr>
          <w:rFonts w:ascii="Palatino Linotype" w:eastAsia="Palatino Linotype" w:hAnsi="Palatino Linotype" w:cs="Palatino Linotype"/>
          <w:b/>
          <w:bCs/>
          <w:sz w:val="24"/>
          <w:szCs w:val="24"/>
        </w:rPr>
        <w:t xml:space="preserve">, </w:t>
      </w:r>
      <w:r w:rsidR="00134A04" w:rsidRPr="00D679FF">
        <w:rPr>
          <w:rFonts w:ascii="Palatino Linotype" w:eastAsia="Palatino Linotype" w:hAnsi="Palatino Linotype" w:cs="Palatino Linotype"/>
          <w:b/>
          <w:bCs/>
          <w:sz w:val="24"/>
          <w:szCs w:val="24"/>
        </w:rPr>
        <w:t>00163/DIFIXTAPAL/IP/2025</w:t>
      </w:r>
      <w:r w:rsidR="00134A04">
        <w:rPr>
          <w:rFonts w:ascii="Palatino Linotype" w:eastAsia="Palatino Linotype" w:hAnsi="Palatino Linotype" w:cs="Palatino Linotype"/>
          <w:b/>
          <w:bCs/>
          <w:sz w:val="24"/>
          <w:szCs w:val="24"/>
        </w:rPr>
        <w:t xml:space="preserve">, </w:t>
      </w:r>
      <w:r w:rsidR="00134A04" w:rsidRPr="00D679FF">
        <w:rPr>
          <w:rFonts w:ascii="Palatino Linotype" w:eastAsia="Palatino Linotype" w:hAnsi="Palatino Linotype" w:cs="Palatino Linotype"/>
          <w:b/>
          <w:bCs/>
          <w:sz w:val="24"/>
          <w:szCs w:val="24"/>
        </w:rPr>
        <w:t>00162/DIFIXTAPAL/IP/2025</w:t>
      </w:r>
      <w:r w:rsidR="00134A04">
        <w:rPr>
          <w:rFonts w:ascii="Palatino Linotype" w:eastAsia="Palatino Linotype" w:hAnsi="Palatino Linotype" w:cs="Palatino Linotype"/>
          <w:b/>
          <w:bCs/>
          <w:sz w:val="24"/>
          <w:szCs w:val="24"/>
        </w:rPr>
        <w:t xml:space="preserve"> y </w:t>
      </w:r>
      <w:r w:rsidR="00134A04" w:rsidRPr="00D679FF">
        <w:rPr>
          <w:rFonts w:ascii="Palatino Linotype" w:eastAsia="Palatino Linotype" w:hAnsi="Palatino Linotype" w:cs="Palatino Linotype"/>
          <w:b/>
          <w:bCs/>
          <w:sz w:val="24"/>
          <w:szCs w:val="24"/>
        </w:rPr>
        <w:t>00161/DIFIXTAPAL/IP/2025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r w:rsidR="00134A04">
        <w:rPr>
          <w:rFonts w:ascii="Palatino Linotype" w:eastAsia="Palatino Linotype" w:hAnsi="Palatino Linotype" w:cs="Palatino Linotype"/>
          <w:sz w:val="24"/>
          <w:szCs w:val="24"/>
        </w:rPr>
        <w:t>.</w:t>
      </w:r>
    </w:p>
    <w:p w14:paraId="125338D4"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DB7E33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294E31D"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14D9AE79"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7E0710C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lastRenderedPageBreak/>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701A89D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525D857" w14:textId="58ACB4F2"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sidRPr="00084FEB">
        <w:rPr>
          <w:rFonts w:ascii="Palatino Linotype" w:eastAsia="Palatino Linotype" w:hAnsi="Palatino Linotype" w:cs="Palatino Linotype"/>
          <w:b/>
          <w:sz w:val="24"/>
          <w:szCs w:val="24"/>
        </w:rPr>
        <w:t>ORDENA</w:t>
      </w:r>
      <w:r w:rsidRPr="00084FEB">
        <w:rPr>
          <w:rFonts w:ascii="Palatino Linotype" w:eastAsia="Palatino Linotype" w:hAnsi="Palatino Linotype" w:cs="Palatino Linotype"/>
          <w:sz w:val="24"/>
          <w:szCs w:val="24"/>
        </w:rPr>
        <w:t xml:space="preserve"> al </w:t>
      </w:r>
      <w:r w:rsidRPr="00084FEB">
        <w:rPr>
          <w:rFonts w:ascii="Palatino Linotype" w:eastAsia="Palatino Linotype" w:hAnsi="Palatino Linotype" w:cs="Palatino Linotype"/>
          <w:b/>
          <w:sz w:val="24"/>
          <w:szCs w:val="24"/>
        </w:rPr>
        <w:t>Sujeto Obligado</w:t>
      </w:r>
      <w:r w:rsidRPr="00084FEB">
        <w:rPr>
          <w:rFonts w:ascii="Palatino Linotype" w:eastAsia="Palatino Linotype" w:hAnsi="Palatino Linotype" w:cs="Palatino Linotype"/>
          <w:sz w:val="24"/>
          <w:szCs w:val="24"/>
        </w:rPr>
        <w:t xml:space="preserve"> atienda la</w:t>
      </w:r>
      <w:r w:rsidR="00134A04" w:rsidRPr="00084FEB">
        <w:rPr>
          <w:rFonts w:ascii="Palatino Linotype" w:eastAsia="Palatino Linotype" w:hAnsi="Palatino Linotype" w:cs="Palatino Linotype"/>
          <w:sz w:val="24"/>
          <w:szCs w:val="24"/>
        </w:rPr>
        <w:t>s</w:t>
      </w:r>
      <w:r w:rsidRPr="00084FEB">
        <w:rPr>
          <w:rFonts w:ascii="Palatino Linotype" w:eastAsia="Palatino Linotype" w:hAnsi="Palatino Linotype" w:cs="Palatino Linotype"/>
          <w:sz w:val="24"/>
          <w:szCs w:val="24"/>
        </w:rPr>
        <w:t xml:space="preserve"> solicitud</w:t>
      </w:r>
      <w:r w:rsidR="00134A04" w:rsidRPr="00084FEB">
        <w:rPr>
          <w:rFonts w:ascii="Palatino Linotype" w:eastAsia="Palatino Linotype" w:hAnsi="Palatino Linotype" w:cs="Palatino Linotype"/>
          <w:sz w:val="24"/>
          <w:szCs w:val="24"/>
        </w:rPr>
        <w:t>es</w:t>
      </w:r>
      <w:r w:rsidRPr="00084FEB">
        <w:rPr>
          <w:rFonts w:ascii="Palatino Linotype" w:eastAsia="Palatino Linotype" w:hAnsi="Palatino Linotype" w:cs="Palatino Linotype"/>
          <w:sz w:val="24"/>
          <w:szCs w:val="24"/>
        </w:rPr>
        <w:t xml:space="preserve"> de información </w:t>
      </w:r>
      <w:r w:rsidR="00134A04" w:rsidRPr="00084FEB">
        <w:rPr>
          <w:rFonts w:ascii="Palatino Linotype" w:eastAsia="Palatino Linotype" w:hAnsi="Palatino Linotype" w:cs="Palatino Linotype"/>
          <w:b/>
          <w:bCs/>
          <w:sz w:val="24"/>
          <w:szCs w:val="24"/>
        </w:rPr>
        <w:t>00159/DIFIXTAPAL/IP/2025, 00199/DIFIXTAPAL/IP/2025, 00198/DIFIXTAPAL/IP/2025, 00185/DIFIXTAPAL/IP/2025, 00179/DIFIXTAPAL/IP/2025, 00171/DIFIXTAPAL/IP/2025, 00166/DIFIXTAPAL/IP/2025, 00165/DIFIXTAPAL/IP/2025, 00164/DIFIXTAPAL/IP/2025, 00163/DIFIXTAPAL/IP/2025, 00162/DIFIXTAPAL/IP/2025 y 00161/DIFIXTAPAL/IP/2025</w:t>
      </w:r>
      <w:r w:rsidRPr="00084FEB">
        <w:rPr>
          <w:rFonts w:ascii="Palatino Linotype" w:eastAsia="Palatino Linotype" w:hAnsi="Palatino Linotype" w:cs="Palatino Linotype"/>
          <w:sz w:val="24"/>
          <w:szCs w:val="24"/>
        </w:rPr>
        <w:t>, vía Sistema de Acceso a la Información Mexiquense (SAIMEX), en términos del Considerando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57E94B1C"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2BF35248"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w:t>
      </w:r>
      <w:r w:rsidRPr="00AB17EE">
        <w:rPr>
          <w:rFonts w:ascii="Palatino Linotype" w:eastAsia="Palatino Linotype" w:hAnsi="Palatino Linotype" w:cs="Palatino Linotype"/>
          <w:b/>
          <w:color w:val="000000"/>
          <w:sz w:val="24"/>
          <w:lang w:val="es-ES_tradnl"/>
        </w:rPr>
        <w:lastRenderedPageBreak/>
        <w:t>previsto en los artículos 198, 200, fracción III; 214, 215 y 216 de la Ley  de Transparencia y Acceso a la Información Pública del Estado de México y Municipios.</w:t>
      </w:r>
    </w:p>
    <w:p w14:paraId="30A85738"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4526C8A0"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BEB6E53"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11F45BF1"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6677F4B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22F39A86"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767BC73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5958BB4" w14:textId="6804E73F"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3B71C3" w:rsidRPr="003B71C3">
        <w:rPr>
          <w:rFonts w:ascii="Palatino Linotype" w:eastAsia="Palatino Linotype" w:hAnsi="Palatino Linotype" w:cs="Palatino Linotype"/>
          <w:sz w:val="24"/>
          <w:szCs w:val="24"/>
        </w:rPr>
        <w:t>EN LA CUADRAGÉSIMA SESIÓN ORDINARIA CELEBRADA EL DOCE DE NOVIEMBRE DE DOS MIL VEINTICINCO</w:t>
      </w:r>
      <w:r>
        <w:rPr>
          <w:rFonts w:ascii="Palatino Linotype" w:eastAsia="Palatino Linotype" w:hAnsi="Palatino Linotype" w:cs="Palatino Linotype"/>
          <w:sz w:val="24"/>
          <w:szCs w:val="24"/>
        </w:rPr>
        <w:t>, ANTE EL SECRETARIO TÉCNICO DEL PLENO, ALEXIS TAPIA RAMÍREZ. ----------------------------------------------------------------------------------------------------------------------------------------------------------------------------------------------------------------------------------------------------------------------------------------------------------------------------------------------------------------------------------------------------------------------------------------------------------------------------------------------------------------------------------------------------------------------------------------------------------------------------------------------------------------------------------------------------------------------------------------------------------------------------------</w:t>
      </w:r>
      <w:r w:rsidR="002F04D6">
        <w:rPr>
          <w:rFonts w:eastAsia="Palatino Linotype" w:cs="Palatino Linotype"/>
          <w:color w:val="000000"/>
          <w:szCs w:val="24"/>
        </w:rPr>
        <w:t>------------------------------------------------------------------------------------------------------------------------------------------------------------------------------------------------------------------------------------------------------------------------------------------------------------------------------------------------------------------------------------------------------------------------------------------------------------------------------------------------------------------------------------------------------------------------------------------------------------------------------------------------------------------------------------------------------------------------------------------------------------------------------------------------------------------------------------------------------------------------------------------------------------------------------------------------------------------------------------------------------------------------------------------------------------------------------------------------------------------------------------------------------------------------------------------------------------------------------------------------------</w:t>
      </w:r>
    </w:p>
    <w:p w14:paraId="551D374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CDDA1A9"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D8FC38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F4E25C2" w14:textId="77777777" w:rsidR="009E3316" w:rsidRDefault="009E3316" w:rsidP="009E3316">
      <w:pPr>
        <w:spacing w:after="0"/>
        <w:rPr>
          <w:rFonts w:ascii="Palatino Linotype" w:eastAsia="Palatino Linotype" w:hAnsi="Palatino Linotype" w:cs="Palatino Linotype"/>
        </w:rPr>
      </w:pPr>
    </w:p>
    <w:p w14:paraId="040B5108" w14:textId="77777777" w:rsidR="009E3316" w:rsidRDefault="009E3316" w:rsidP="009E3316">
      <w:pPr>
        <w:spacing w:after="0"/>
        <w:rPr>
          <w:rFonts w:ascii="Palatino Linotype" w:eastAsia="Palatino Linotype" w:hAnsi="Palatino Linotype" w:cs="Palatino Linotype"/>
        </w:rPr>
      </w:pPr>
    </w:p>
    <w:p w14:paraId="4130534F" w14:textId="77777777" w:rsidR="009E3316" w:rsidRDefault="009E3316" w:rsidP="009E3316">
      <w:pPr>
        <w:spacing w:after="0"/>
        <w:rPr>
          <w:rFonts w:ascii="Palatino Linotype" w:eastAsia="Palatino Linotype" w:hAnsi="Palatino Linotype" w:cs="Palatino Linotype"/>
        </w:rPr>
      </w:pPr>
    </w:p>
    <w:p w14:paraId="75F8C866" w14:textId="77777777" w:rsidR="009E3316" w:rsidRDefault="009E3316" w:rsidP="009E3316">
      <w:pPr>
        <w:spacing w:after="0"/>
        <w:rPr>
          <w:rFonts w:ascii="Palatino Linotype" w:eastAsia="Palatino Linotype" w:hAnsi="Palatino Linotype" w:cs="Palatino Linotype"/>
        </w:rPr>
      </w:pPr>
    </w:p>
    <w:p w14:paraId="642CF4ED" w14:textId="77777777" w:rsidR="009E3316" w:rsidRDefault="009E3316" w:rsidP="009E3316">
      <w:pPr>
        <w:spacing w:after="0"/>
        <w:rPr>
          <w:rFonts w:ascii="Palatino Linotype" w:eastAsia="Palatino Linotype" w:hAnsi="Palatino Linotype" w:cs="Palatino Linotype"/>
        </w:rPr>
      </w:pPr>
    </w:p>
    <w:p w14:paraId="2BBD1C50" w14:textId="77777777" w:rsidR="009E3316" w:rsidRDefault="009E3316" w:rsidP="009E3316">
      <w:pPr>
        <w:spacing w:after="0"/>
        <w:rPr>
          <w:rFonts w:ascii="Palatino Linotype" w:eastAsia="Palatino Linotype" w:hAnsi="Palatino Linotype" w:cs="Palatino Linotype"/>
        </w:rPr>
      </w:pPr>
    </w:p>
    <w:p w14:paraId="10F3F857" w14:textId="77777777" w:rsidR="009E3316" w:rsidRDefault="009E3316" w:rsidP="009E3316">
      <w:pPr>
        <w:spacing w:after="0"/>
        <w:rPr>
          <w:rFonts w:ascii="Palatino Linotype" w:eastAsia="Palatino Linotype" w:hAnsi="Palatino Linotype" w:cs="Palatino Linotype"/>
        </w:rPr>
      </w:pPr>
    </w:p>
    <w:p w14:paraId="6497453B" w14:textId="77777777" w:rsidR="009E3316" w:rsidRDefault="009E3316" w:rsidP="009E3316"/>
    <w:p w14:paraId="1A47DF46" w14:textId="77777777" w:rsidR="009E3316" w:rsidRDefault="009E3316" w:rsidP="009E3316"/>
    <w:p w14:paraId="524D370D" w14:textId="77777777" w:rsidR="009E3316" w:rsidRDefault="009E3316" w:rsidP="009E3316"/>
    <w:p w14:paraId="7745D785" w14:textId="77777777" w:rsidR="009E3316" w:rsidRDefault="009E3316" w:rsidP="009E3316"/>
    <w:p w14:paraId="4D69F570" w14:textId="77777777" w:rsidR="009E3316" w:rsidRDefault="009E3316" w:rsidP="009E3316"/>
    <w:p w14:paraId="74F9A7B8" w14:textId="77777777" w:rsidR="009E3316" w:rsidRDefault="009E3316" w:rsidP="009E3316"/>
    <w:p w14:paraId="28A43C79" w14:textId="77777777" w:rsidR="009E3316" w:rsidRDefault="009E3316" w:rsidP="009E3316"/>
    <w:p w14:paraId="3FB0C6E6"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6778A" w14:textId="77777777" w:rsidR="00A112DF" w:rsidRDefault="00A112DF" w:rsidP="009E3316">
      <w:pPr>
        <w:spacing w:after="0" w:line="240" w:lineRule="auto"/>
      </w:pPr>
      <w:r>
        <w:separator/>
      </w:r>
    </w:p>
  </w:endnote>
  <w:endnote w:type="continuationSeparator" w:id="0">
    <w:p w14:paraId="7291A350" w14:textId="77777777" w:rsidR="00A112DF" w:rsidRDefault="00A112DF"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B6252" w14:textId="485F37D4" w:rsidR="000A4921"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05A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05A3">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14:paraId="45D7CE56" w14:textId="77777777" w:rsidR="000A4921" w:rsidRDefault="000A492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C34C" w14:textId="23FF4042" w:rsidR="000A4921"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05A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05A3">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14:paraId="46022A54" w14:textId="77777777" w:rsidR="000A4921" w:rsidRDefault="000A492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F1471" w14:textId="77777777" w:rsidR="00A112DF" w:rsidRDefault="00A112DF" w:rsidP="009E3316">
      <w:pPr>
        <w:spacing w:after="0" w:line="240" w:lineRule="auto"/>
      </w:pPr>
      <w:r>
        <w:separator/>
      </w:r>
    </w:p>
  </w:footnote>
  <w:footnote w:type="continuationSeparator" w:id="0">
    <w:p w14:paraId="3742D9FF" w14:textId="77777777" w:rsidR="00A112DF" w:rsidRDefault="00A112DF"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39BA" w14:textId="15930898" w:rsidR="000A4921" w:rsidRDefault="000A4921">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611B94ED" w14:textId="77777777">
      <w:trPr>
        <w:trHeight w:val="227"/>
      </w:trPr>
      <w:tc>
        <w:tcPr>
          <w:tcW w:w="5246" w:type="dxa"/>
        </w:tcPr>
        <w:p w14:paraId="009770BC" w14:textId="77777777" w:rsidR="000A4921"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5605F50E" wp14:editId="3D96ED55">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4CCC9FCF" w14:textId="36BBFBD8" w:rsidR="000A4921"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441C6F">
            <w:rPr>
              <w:rFonts w:ascii="Palatino Linotype" w:eastAsia="Palatino Linotype" w:hAnsi="Palatino Linotype" w:cs="Palatino Linotype"/>
              <w:b/>
              <w:sz w:val="24"/>
              <w:szCs w:val="24"/>
            </w:rPr>
            <w:t>27</w:t>
          </w:r>
          <w:r w:rsidR="008D71B9">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r w:rsidR="00441C6F">
            <w:rPr>
              <w:rFonts w:ascii="Palatino Linotype" w:eastAsia="Palatino Linotype" w:hAnsi="Palatino Linotype" w:cs="Palatino Linotype"/>
              <w:b/>
              <w:sz w:val="24"/>
              <w:szCs w:val="24"/>
            </w:rPr>
            <w:t xml:space="preserve"> y acumulados</w:t>
          </w:r>
        </w:p>
      </w:tc>
    </w:tr>
    <w:tr w:rsidR="0069244D" w14:paraId="7F77ABA7" w14:textId="77777777">
      <w:trPr>
        <w:trHeight w:val="242"/>
      </w:trPr>
      <w:tc>
        <w:tcPr>
          <w:tcW w:w="5246" w:type="dxa"/>
        </w:tcPr>
        <w:p w14:paraId="7A2D2D66" w14:textId="77777777" w:rsidR="000A4921"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2339213" w14:textId="17128399" w:rsidR="000A4921" w:rsidRDefault="00A47BD7">
          <w:pPr>
            <w:spacing w:after="120" w:line="256" w:lineRule="auto"/>
            <w:ind w:left="-486" w:right="214" w:firstLine="284"/>
            <w:jc w:val="right"/>
            <w:rPr>
              <w:rFonts w:ascii="Palatino Linotype" w:eastAsia="Palatino Linotype" w:hAnsi="Palatino Linotype" w:cs="Palatino Linotype"/>
              <w:b/>
              <w:sz w:val="24"/>
              <w:szCs w:val="24"/>
            </w:rPr>
          </w:pPr>
          <w:r w:rsidRPr="00A47BD7">
            <w:rPr>
              <w:rFonts w:ascii="Palatino Linotype" w:eastAsia="Palatino Linotype" w:hAnsi="Palatino Linotype" w:cs="Palatino Linotype"/>
              <w:b/>
              <w:bCs/>
              <w:color w:val="000000"/>
              <w:sz w:val="24"/>
              <w:szCs w:val="24"/>
            </w:rPr>
            <w:t>Sistema Municipal Para el Desarrollo Integral de la Familia de Ixtapaluca</w:t>
          </w:r>
        </w:p>
      </w:tc>
    </w:tr>
    <w:tr w:rsidR="0069244D" w14:paraId="67A0ACD2" w14:textId="77777777">
      <w:trPr>
        <w:trHeight w:val="342"/>
      </w:trPr>
      <w:tc>
        <w:tcPr>
          <w:tcW w:w="5246" w:type="dxa"/>
        </w:tcPr>
        <w:p w14:paraId="2D01342F" w14:textId="77777777" w:rsidR="000A4921"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23BB522" w14:textId="77777777" w:rsidR="000A4921"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1A12DB78" w14:textId="77777777" w:rsidR="000A4921" w:rsidRDefault="000A492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8AE7" w14:textId="04BB513E" w:rsidR="000A4921"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621BA826" wp14:editId="5A0EA494">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4E4D7F90" w14:textId="77777777">
      <w:trPr>
        <w:trHeight w:val="227"/>
      </w:trPr>
      <w:tc>
        <w:tcPr>
          <w:tcW w:w="5104" w:type="dxa"/>
        </w:tcPr>
        <w:p w14:paraId="76B694F6" w14:textId="77777777" w:rsidR="000A4921" w:rsidRDefault="009E3316">
          <w:pPr>
            <w:spacing w:after="120" w:line="256" w:lineRule="auto"/>
            <w:ind w:right="204"/>
            <w:jc w:val="right"/>
            <w:rPr>
              <w:rFonts w:ascii="Palatino Linotype" w:eastAsia="Palatino Linotype" w:hAnsi="Palatino Linotype" w:cs="Palatino Linotype"/>
            </w:rPr>
          </w:pPr>
          <w:bookmarkStart w:id="3" w:name="_30j0zll" w:colFirst="0" w:colLast="0"/>
          <w:bookmarkEnd w:id="3"/>
          <w:r>
            <w:rPr>
              <w:rFonts w:ascii="Palatino Linotype" w:eastAsia="Palatino Linotype" w:hAnsi="Palatino Linotype" w:cs="Palatino Linotype"/>
            </w:rPr>
            <w:t>Recurso de Revisión N°:</w:t>
          </w:r>
        </w:p>
      </w:tc>
      <w:tc>
        <w:tcPr>
          <w:tcW w:w="4819" w:type="dxa"/>
        </w:tcPr>
        <w:p w14:paraId="557D986D" w14:textId="0E4D94C0" w:rsidR="000A4921"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441C6F">
            <w:rPr>
              <w:rFonts w:ascii="Palatino Linotype" w:eastAsia="Palatino Linotype" w:hAnsi="Palatino Linotype" w:cs="Palatino Linotype"/>
              <w:b/>
              <w:sz w:val="24"/>
              <w:szCs w:val="24"/>
            </w:rPr>
            <w:t>270</w:t>
          </w:r>
          <w:r>
            <w:rPr>
              <w:rFonts w:ascii="Palatino Linotype" w:eastAsia="Palatino Linotype" w:hAnsi="Palatino Linotype" w:cs="Palatino Linotype"/>
              <w:b/>
              <w:sz w:val="24"/>
              <w:szCs w:val="24"/>
            </w:rPr>
            <w:t>/INFOEM/IP/RR/2025</w:t>
          </w:r>
          <w:r w:rsidR="00441C6F">
            <w:rPr>
              <w:rFonts w:ascii="Palatino Linotype" w:eastAsia="Palatino Linotype" w:hAnsi="Palatino Linotype" w:cs="Palatino Linotype"/>
              <w:b/>
              <w:sz w:val="24"/>
              <w:szCs w:val="24"/>
            </w:rPr>
            <w:t xml:space="preserve"> y acumulados</w:t>
          </w:r>
        </w:p>
      </w:tc>
    </w:tr>
    <w:tr w:rsidR="0069244D" w14:paraId="7DCCA213" w14:textId="77777777">
      <w:trPr>
        <w:trHeight w:val="242"/>
      </w:trPr>
      <w:tc>
        <w:tcPr>
          <w:tcW w:w="5104" w:type="dxa"/>
        </w:tcPr>
        <w:p w14:paraId="0E239BB8" w14:textId="77777777" w:rsidR="000A4921"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0719A49C" w14:textId="448A1350" w:rsidR="000A4921" w:rsidRDefault="00A47BD7">
          <w:pPr>
            <w:spacing w:after="120" w:line="256" w:lineRule="auto"/>
            <w:ind w:left="-486" w:right="214" w:firstLine="284"/>
            <w:jc w:val="right"/>
            <w:rPr>
              <w:rFonts w:ascii="Palatino Linotype" w:eastAsia="Palatino Linotype" w:hAnsi="Palatino Linotype" w:cs="Palatino Linotype"/>
              <w:b/>
            </w:rPr>
          </w:pPr>
          <w:r w:rsidRPr="00A47BD7">
            <w:rPr>
              <w:rFonts w:ascii="Palatino Linotype" w:eastAsia="Palatino Linotype" w:hAnsi="Palatino Linotype" w:cs="Palatino Linotype"/>
              <w:b/>
              <w:bCs/>
              <w:color w:val="000000"/>
              <w:sz w:val="24"/>
              <w:szCs w:val="24"/>
            </w:rPr>
            <w:t>Sistema Municipal Para el Desarrollo Integral de la Familia de Ixtapaluca</w:t>
          </w:r>
        </w:p>
      </w:tc>
    </w:tr>
    <w:tr w:rsidR="0069244D" w14:paraId="02B9B3CB" w14:textId="77777777">
      <w:trPr>
        <w:trHeight w:val="342"/>
      </w:trPr>
      <w:tc>
        <w:tcPr>
          <w:tcW w:w="5104" w:type="dxa"/>
        </w:tcPr>
        <w:p w14:paraId="2E72B5F4" w14:textId="77777777" w:rsidR="000A4921"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01BB1FA5" w14:textId="43B941DB" w:rsidR="000A4921" w:rsidRDefault="00BB05A3">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w:t>
          </w:r>
          <w:r w:rsidR="006A5601">
            <w:rPr>
              <w:rFonts w:ascii="Palatino Linotype" w:eastAsia="Palatino Linotype" w:hAnsi="Palatino Linotype" w:cs="Palatino Linotype"/>
              <w:b/>
            </w:rPr>
            <w:t xml:space="preserve"> </w:t>
          </w:r>
        </w:p>
      </w:tc>
    </w:tr>
    <w:tr w:rsidR="0069244D" w14:paraId="79AEA91A" w14:textId="77777777">
      <w:trPr>
        <w:trHeight w:val="342"/>
      </w:trPr>
      <w:tc>
        <w:tcPr>
          <w:tcW w:w="5104" w:type="dxa"/>
        </w:tcPr>
        <w:p w14:paraId="293324BA" w14:textId="77777777" w:rsidR="000A4921"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A14C3F7" w14:textId="77777777" w:rsidR="000A4921"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3C9A4A80" w14:textId="77777777" w:rsidR="000A4921" w:rsidRDefault="000A492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B1560"/>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E462B8"/>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EF637A"/>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D94831"/>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5F51CF"/>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C0C7F"/>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6"/>
  </w:num>
  <w:num w:numId="2">
    <w:abstractNumId w:val="1"/>
  </w:num>
  <w:num w:numId="3">
    <w:abstractNumId w:val="8"/>
  </w:num>
  <w:num w:numId="4">
    <w:abstractNumId w:val="7"/>
  </w:num>
  <w:num w:numId="5">
    <w:abstractNumId w:val="4"/>
  </w:num>
  <w:num w:numId="6">
    <w:abstractNumId w:val="0"/>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375D"/>
    <w:rsid w:val="0002329C"/>
    <w:rsid w:val="00037DD8"/>
    <w:rsid w:val="00084FEB"/>
    <w:rsid w:val="000A4921"/>
    <w:rsid w:val="00125F6D"/>
    <w:rsid w:val="00134A04"/>
    <w:rsid w:val="00137BD5"/>
    <w:rsid w:val="001B3FA8"/>
    <w:rsid w:val="00203B2D"/>
    <w:rsid w:val="0020756B"/>
    <w:rsid w:val="002428F6"/>
    <w:rsid w:val="00246372"/>
    <w:rsid w:val="00257489"/>
    <w:rsid w:val="00272C02"/>
    <w:rsid w:val="002F04D6"/>
    <w:rsid w:val="002F301F"/>
    <w:rsid w:val="00300A28"/>
    <w:rsid w:val="00314A10"/>
    <w:rsid w:val="00317D88"/>
    <w:rsid w:val="00335661"/>
    <w:rsid w:val="003679D4"/>
    <w:rsid w:val="003745BA"/>
    <w:rsid w:val="00385493"/>
    <w:rsid w:val="003B2EE5"/>
    <w:rsid w:val="003B71C3"/>
    <w:rsid w:val="00435DE1"/>
    <w:rsid w:val="00441C6F"/>
    <w:rsid w:val="00451211"/>
    <w:rsid w:val="00454597"/>
    <w:rsid w:val="004B79F5"/>
    <w:rsid w:val="00502DA8"/>
    <w:rsid w:val="0053555C"/>
    <w:rsid w:val="00560826"/>
    <w:rsid w:val="005B34B6"/>
    <w:rsid w:val="005D1BC7"/>
    <w:rsid w:val="005E49FF"/>
    <w:rsid w:val="006454FC"/>
    <w:rsid w:val="006A19E7"/>
    <w:rsid w:val="006A5601"/>
    <w:rsid w:val="006B2CB0"/>
    <w:rsid w:val="00751EC2"/>
    <w:rsid w:val="00782994"/>
    <w:rsid w:val="00833A12"/>
    <w:rsid w:val="00845EA7"/>
    <w:rsid w:val="008D71B9"/>
    <w:rsid w:val="00905EB8"/>
    <w:rsid w:val="009B12A2"/>
    <w:rsid w:val="009B36C9"/>
    <w:rsid w:val="009C2C04"/>
    <w:rsid w:val="009D0523"/>
    <w:rsid w:val="009E3316"/>
    <w:rsid w:val="00A04C07"/>
    <w:rsid w:val="00A112DF"/>
    <w:rsid w:val="00A16ACC"/>
    <w:rsid w:val="00A4287A"/>
    <w:rsid w:val="00A47BD7"/>
    <w:rsid w:val="00A52F6C"/>
    <w:rsid w:val="00AA1AD3"/>
    <w:rsid w:val="00AF0AC0"/>
    <w:rsid w:val="00B25F4B"/>
    <w:rsid w:val="00B35EED"/>
    <w:rsid w:val="00B82AC4"/>
    <w:rsid w:val="00B8743F"/>
    <w:rsid w:val="00BB05A3"/>
    <w:rsid w:val="00BB7148"/>
    <w:rsid w:val="00BC61EC"/>
    <w:rsid w:val="00C229D1"/>
    <w:rsid w:val="00C827C7"/>
    <w:rsid w:val="00C9156C"/>
    <w:rsid w:val="00CA2279"/>
    <w:rsid w:val="00CF4D3B"/>
    <w:rsid w:val="00D6696B"/>
    <w:rsid w:val="00D679FF"/>
    <w:rsid w:val="00D7120A"/>
    <w:rsid w:val="00E33AE0"/>
    <w:rsid w:val="00E35DF5"/>
    <w:rsid w:val="00EF7D87"/>
    <w:rsid w:val="00F339B0"/>
    <w:rsid w:val="00F350FF"/>
    <w:rsid w:val="00F41395"/>
    <w:rsid w:val="00F424DB"/>
    <w:rsid w:val="00F517B3"/>
    <w:rsid w:val="00F95CD3"/>
    <w:rsid w:val="00FE2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BC5B8"/>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22836">
      <w:bodyDiv w:val="1"/>
      <w:marLeft w:val="0"/>
      <w:marRight w:val="0"/>
      <w:marTop w:val="0"/>
      <w:marBottom w:val="0"/>
      <w:divBdr>
        <w:top w:val="none" w:sz="0" w:space="0" w:color="auto"/>
        <w:left w:val="none" w:sz="0" w:space="0" w:color="auto"/>
        <w:bottom w:val="none" w:sz="0" w:space="0" w:color="auto"/>
        <w:right w:val="none" w:sz="0" w:space="0" w:color="auto"/>
      </w:divBdr>
    </w:div>
    <w:div w:id="704016308">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540584521">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 w:id="184288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25</Pages>
  <Words>5294</Words>
  <Characters>29118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24</cp:revision>
  <dcterms:created xsi:type="dcterms:W3CDTF">2025-10-28T01:26:00Z</dcterms:created>
  <dcterms:modified xsi:type="dcterms:W3CDTF">2026-01-16T15:32:00Z</dcterms:modified>
</cp:coreProperties>
</file>