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3155E9" w14:textId="15D7BA2E" w:rsidR="00696456" w:rsidRDefault="00696456" w:rsidP="001A619C">
      <w:pPr>
        <w:pStyle w:val="TtulodeTDC"/>
        <w:spacing w:before="0" w:line="360" w:lineRule="auto"/>
        <w:jc w:val="center"/>
        <w:rPr>
          <w:rFonts w:ascii="Palatino Linotype" w:eastAsiaTheme="minorHAnsi" w:hAnsi="Palatino Linotype" w:cstheme="minorBidi"/>
          <w:color w:val="auto"/>
          <w:kern w:val="2"/>
          <w:sz w:val="22"/>
          <w:szCs w:val="22"/>
          <w:lang w:val="es-ES" w:eastAsia="en-US"/>
          <w14:ligatures w14:val="standardContextual"/>
        </w:rPr>
      </w:pPr>
    </w:p>
    <w:sdt>
      <w:sdtPr>
        <w:rPr>
          <w:rFonts w:ascii="Palatino Linotype" w:eastAsiaTheme="minorHAnsi" w:hAnsi="Palatino Linotype" w:cstheme="minorBidi"/>
          <w:color w:val="auto"/>
          <w:kern w:val="2"/>
          <w:sz w:val="22"/>
          <w:szCs w:val="22"/>
          <w:lang w:val="es-ES" w:eastAsia="en-US"/>
          <w14:ligatures w14:val="standardContextual"/>
        </w:rPr>
        <w:id w:val="-986006618"/>
        <w:docPartObj>
          <w:docPartGallery w:val="Table of Contents"/>
          <w:docPartUnique/>
        </w:docPartObj>
      </w:sdtPr>
      <w:sdtEndPr>
        <w:rPr>
          <w:b/>
          <w:bCs/>
        </w:rPr>
      </w:sdtEndPr>
      <w:sdtContent>
        <w:p w14:paraId="18E31643" w14:textId="5385FC6A" w:rsidR="008E2B21" w:rsidRPr="001810A0" w:rsidRDefault="008E2B21" w:rsidP="001A619C">
          <w:pPr>
            <w:pStyle w:val="TtulodeTDC"/>
            <w:spacing w:before="0" w:line="360" w:lineRule="auto"/>
            <w:jc w:val="center"/>
            <w:rPr>
              <w:rFonts w:ascii="Palatino Linotype" w:hAnsi="Palatino Linotype"/>
              <w:color w:val="auto"/>
              <w:sz w:val="22"/>
              <w:szCs w:val="22"/>
            </w:rPr>
          </w:pPr>
          <w:r w:rsidRPr="001810A0">
            <w:rPr>
              <w:rFonts w:ascii="Palatino Linotype" w:hAnsi="Palatino Linotype"/>
              <w:color w:val="auto"/>
              <w:sz w:val="22"/>
              <w:szCs w:val="22"/>
              <w:lang w:val="es-ES"/>
            </w:rPr>
            <w:t>RESOLUCIÓN DEL RECURSO DE REVISIÓN 07511/INFOEM/IP/RR/2024</w:t>
          </w:r>
        </w:p>
        <w:p w14:paraId="71465D3A" w14:textId="2594F808" w:rsidR="00AE1D23" w:rsidRPr="001810A0" w:rsidRDefault="00CF258B">
          <w:pPr>
            <w:pStyle w:val="TDC1"/>
            <w:rPr>
              <w:rFonts w:eastAsiaTheme="minorEastAsia"/>
              <w:kern w:val="0"/>
              <w:lang w:val="es-MX" w:eastAsia="es-MX"/>
              <w14:ligatures w14:val="none"/>
            </w:rPr>
          </w:pPr>
          <w:r>
            <w:rPr>
              <w:lang w:val="es-MX"/>
            </w:rPr>
            <w:t xml:space="preserve">     </w:t>
          </w:r>
          <w:r w:rsidR="008E2B21" w:rsidRPr="001810A0">
            <w:rPr>
              <w:lang w:val="es-MX"/>
            </w:rPr>
            <w:fldChar w:fldCharType="begin"/>
          </w:r>
          <w:r w:rsidR="008E2B21" w:rsidRPr="001810A0">
            <w:instrText xml:space="preserve"> TOC \o "1-3" \h \z \u </w:instrText>
          </w:r>
          <w:r w:rsidR="008E2B21" w:rsidRPr="001810A0">
            <w:rPr>
              <w:lang w:val="es-MX"/>
            </w:rPr>
            <w:fldChar w:fldCharType="separate"/>
          </w:r>
          <w:hyperlink w:anchor="_Toc188524592" w:history="1">
            <w:r w:rsidR="00AE1D23" w:rsidRPr="001810A0">
              <w:rPr>
                <w:rStyle w:val="Hipervnculo"/>
                <w:rFonts w:eastAsia="Calibri"/>
              </w:rPr>
              <w:t>A N T E C E D E N T E S</w:t>
            </w:r>
            <w:r w:rsidR="00AE1D23" w:rsidRPr="001810A0">
              <w:rPr>
                <w:webHidden/>
              </w:rPr>
              <w:tab/>
            </w:r>
            <w:r w:rsidR="00AE1D23" w:rsidRPr="001810A0">
              <w:rPr>
                <w:webHidden/>
              </w:rPr>
              <w:fldChar w:fldCharType="begin"/>
            </w:r>
            <w:r w:rsidR="00AE1D23" w:rsidRPr="001810A0">
              <w:rPr>
                <w:webHidden/>
              </w:rPr>
              <w:instrText xml:space="preserve"> PAGEREF _Toc188524592 \h </w:instrText>
            </w:r>
            <w:r w:rsidR="00AE1D23" w:rsidRPr="001810A0">
              <w:rPr>
                <w:webHidden/>
              </w:rPr>
            </w:r>
            <w:r w:rsidR="00AE1D23" w:rsidRPr="001810A0">
              <w:rPr>
                <w:webHidden/>
              </w:rPr>
              <w:fldChar w:fldCharType="separate"/>
            </w:r>
            <w:r w:rsidR="00932A19">
              <w:rPr>
                <w:webHidden/>
              </w:rPr>
              <w:t>2</w:t>
            </w:r>
            <w:r w:rsidR="00AE1D23" w:rsidRPr="001810A0">
              <w:rPr>
                <w:webHidden/>
              </w:rPr>
              <w:fldChar w:fldCharType="end"/>
            </w:r>
          </w:hyperlink>
        </w:p>
        <w:p w14:paraId="3373793A"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3" w:history="1">
            <w:r w:rsidR="00AE1D23" w:rsidRPr="001810A0">
              <w:rPr>
                <w:rStyle w:val="Hipervnculo"/>
                <w:rFonts w:ascii="Palatino Linotype" w:eastAsia="Times New Roman" w:hAnsi="Palatino Linotype"/>
                <w:noProof/>
                <w:lang w:eastAsia="es-ES"/>
              </w:rPr>
              <w:t>I. Presentación de la solicitud de información</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_Toc188524593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2</w:t>
            </w:r>
            <w:r w:rsidR="00AE1D23" w:rsidRPr="001810A0">
              <w:rPr>
                <w:rFonts w:ascii="Palatino Linotype" w:hAnsi="Palatino Linotype"/>
                <w:noProof/>
                <w:webHidden/>
              </w:rPr>
              <w:fldChar w:fldCharType="end"/>
            </w:r>
          </w:hyperlink>
        </w:p>
        <w:p w14:paraId="6FFE62FC"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4" w:history="1">
            <w:r w:rsidR="00AE1D23" w:rsidRPr="001810A0">
              <w:rPr>
                <w:rStyle w:val="Hipervnculo"/>
                <w:rFonts w:ascii="Palatino Linotype" w:hAnsi="Palatino Linotype"/>
                <w:noProof/>
              </w:rPr>
              <w:t>II. Prórroga</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_Toc188524594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3</w:t>
            </w:r>
            <w:r w:rsidR="00AE1D23" w:rsidRPr="001810A0">
              <w:rPr>
                <w:rFonts w:ascii="Palatino Linotype" w:hAnsi="Palatino Linotype"/>
                <w:noProof/>
                <w:webHidden/>
              </w:rPr>
              <w:fldChar w:fldCharType="end"/>
            </w:r>
          </w:hyperlink>
        </w:p>
        <w:p w14:paraId="0D28513D"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5" w:history="1">
            <w:r w:rsidR="00AE1D23" w:rsidRPr="001810A0">
              <w:rPr>
                <w:rStyle w:val="Hipervnculo"/>
                <w:rFonts w:ascii="Palatino Linotype" w:eastAsia="Calibri" w:hAnsi="Palatino Linotype"/>
                <w:noProof/>
              </w:rPr>
              <w:t>III. Respuesta del Sujeto Obligado</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_Toc188524595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3</w:t>
            </w:r>
            <w:r w:rsidR="00AE1D23" w:rsidRPr="001810A0">
              <w:rPr>
                <w:rFonts w:ascii="Palatino Linotype" w:hAnsi="Palatino Linotype"/>
                <w:noProof/>
                <w:webHidden/>
              </w:rPr>
              <w:fldChar w:fldCharType="end"/>
            </w:r>
          </w:hyperlink>
        </w:p>
        <w:p w14:paraId="5EC15605"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6" w:history="1">
            <w:r w:rsidR="00AE1D23" w:rsidRPr="001810A0">
              <w:rPr>
                <w:rStyle w:val="Hipervnculo"/>
                <w:rFonts w:ascii="Palatino Linotype" w:eastAsia="Calibri" w:hAnsi="Palatino Linotype"/>
                <w:noProof/>
              </w:rPr>
              <w:t>IV. Interposición del Recurso de Revisión</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_Toc188524596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4</w:t>
            </w:r>
            <w:r w:rsidR="00AE1D23" w:rsidRPr="001810A0">
              <w:rPr>
                <w:rFonts w:ascii="Palatino Linotype" w:hAnsi="Palatino Linotype"/>
                <w:noProof/>
                <w:webHidden/>
              </w:rPr>
              <w:fldChar w:fldCharType="end"/>
            </w:r>
          </w:hyperlink>
        </w:p>
        <w:p w14:paraId="3A0DD4E2"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7" w:history="1">
            <w:r w:rsidR="00AE1D23" w:rsidRPr="001810A0">
              <w:rPr>
                <w:rStyle w:val="Hipervnculo"/>
                <w:rFonts w:ascii="Palatino Linotype" w:eastAsia="Calibri" w:hAnsi="Palatino Linotype"/>
                <w:noProof/>
              </w:rPr>
              <w:t>V. Trámite del Recurso de Revisión ante el Instituto</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_Toc188524597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4</w:t>
            </w:r>
            <w:r w:rsidR="00AE1D23" w:rsidRPr="001810A0">
              <w:rPr>
                <w:rFonts w:ascii="Palatino Linotype" w:hAnsi="Palatino Linotype"/>
                <w:noProof/>
                <w:webHidden/>
              </w:rPr>
              <w:fldChar w:fldCharType="end"/>
            </w:r>
          </w:hyperlink>
        </w:p>
        <w:p w14:paraId="3FACBE7D"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8" w:history="1">
            <w:r w:rsidR="00AE1D23" w:rsidRPr="001810A0">
              <w:rPr>
                <w:rStyle w:val="Hipervnculo"/>
                <w:rFonts w:ascii="Palatino Linotype" w:eastAsia="Calibri" w:hAnsi="Palatino Linotype"/>
                <w:noProof/>
                <w:lang w:val="es-ES" w:eastAsia="es-MX"/>
              </w:rPr>
              <w:t xml:space="preserve">PRIMERO. </w:t>
            </w:r>
            <w:r w:rsidR="00AE1D23" w:rsidRPr="001810A0">
              <w:rPr>
                <w:rStyle w:val="Hipervnculo"/>
                <w:rFonts w:ascii="Palatino Linotype" w:eastAsia="Times New Roman" w:hAnsi="Palatino Linotype"/>
                <w:noProof/>
                <w:lang w:val="es-ES" w:eastAsia="es-ES"/>
              </w:rPr>
              <w:t>Competencia</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_Toc188524598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5</w:t>
            </w:r>
            <w:r w:rsidR="00AE1D23" w:rsidRPr="001810A0">
              <w:rPr>
                <w:rFonts w:ascii="Palatino Linotype" w:hAnsi="Palatino Linotype"/>
                <w:noProof/>
                <w:webHidden/>
              </w:rPr>
              <w:fldChar w:fldCharType="end"/>
            </w:r>
          </w:hyperlink>
        </w:p>
        <w:p w14:paraId="611499D3"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599" w:history="1">
            <w:r w:rsidR="00AE1D23" w:rsidRPr="001810A0">
              <w:rPr>
                <w:rStyle w:val="Hipervnculo"/>
                <w:rFonts w:ascii="Palatino Linotype" w:eastAsia="Calibri" w:hAnsi="Palatino Linotype"/>
                <w:noProof/>
                <w:lang w:val="es-ES" w:eastAsia="es-MX"/>
              </w:rPr>
              <w:t xml:space="preserve">SEGUNDO. </w:t>
            </w:r>
            <w:r w:rsidR="00AE1D23" w:rsidRPr="001810A0">
              <w:rPr>
                <w:rStyle w:val="Hipervnculo"/>
                <w:rFonts w:ascii="Palatino Linotype" w:eastAsia="Times New Roman" w:hAnsi="Palatino Linotype"/>
                <w:noProof/>
                <w:lang w:val="es-ES" w:eastAsia="es-ES"/>
              </w:rPr>
              <w:t>Causales de improcedencia y sobreseimiento</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_Toc188524599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6</w:t>
            </w:r>
            <w:r w:rsidR="00AE1D23" w:rsidRPr="001810A0">
              <w:rPr>
                <w:rFonts w:ascii="Palatino Linotype" w:hAnsi="Palatino Linotype"/>
                <w:noProof/>
                <w:webHidden/>
              </w:rPr>
              <w:fldChar w:fldCharType="end"/>
            </w:r>
          </w:hyperlink>
        </w:p>
        <w:p w14:paraId="6E5E1A60"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600" w:history="1">
            <w:r w:rsidR="00AE1D23" w:rsidRPr="001810A0">
              <w:rPr>
                <w:rStyle w:val="Hipervnculo"/>
                <w:rFonts w:ascii="Palatino Linotype" w:eastAsia="Times New Roman" w:hAnsi="Palatino Linotype"/>
                <w:noProof/>
                <w:lang w:val="es-ES" w:eastAsia="es-ES"/>
              </w:rPr>
              <w:t>TERCERO. Determinación de la Controversia</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_Toc188524600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8</w:t>
            </w:r>
            <w:r w:rsidR="00AE1D23" w:rsidRPr="001810A0">
              <w:rPr>
                <w:rFonts w:ascii="Palatino Linotype" w:hAnsi="Palatino Linotype"/>
                <w:noProof/>
                <w:webHidden/>
              </w:rPr>
              <w:fldChar w:fldCharType="end"/>
            </w:r>
          </w:hyperlink>
        </w:p>
        <w:p w14:paraId="2B26D634"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601" w:history="1">
            <w:r w:rsidR="00AE1D23" w:rsidRPr="001810A0">
              <w:rPr>
                <w:rStyle w:val="Hipervnculo"/>
                <w:rFonts w:ascii="Palatino Linotype" w:eastAsia="Times New Roman" w:hAnsi="Palatino Linotype"/>
                <w:noProof/>
                <w:lang w:val="es-ES" w:eastAsia="es-ES"/>
              </w:rPr>
              <w:t xml:space="preserve">CUARTO. </w:t>
            </w:r>
            <w:r w:rsidR="00AE1D23" w:rsidRPr="001810A0">
              <w:rPr>
                <w:rStyle w:val="Hipervnculo"/>
                <w:rFonts w:ascii="Palatino Linotype" w:eastAsia="Times New Roman" w:hAnsi="Palatino Linotype"/>
                <w:noProof/>
                <w:lang w:eastAsia="es-ES"/>
              </w:rPr>
              <w:t>Marco normativo aplicable en materia de transparencia y acceso a la información pública</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_Toc188524601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9</w:t>
            </w:r>
            <w:r w:rsidR="00AE1D23" w:rsidRPr="001810A0">
              <w:rPr>
                <w:rFonts w:ascii="Palatino Linotype" w:hAnsi="Palatino Linotype"/>
                <w:noProof/>
                <w:webHidden/>
              </w:rPr>
              <w:fldChar w:fldCharType="end"/>
            </w:r>
          </w:hyperlink>
        </w:p>
        <w:p w14:paraId="0BF45027"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602" w:history="1">
            <w:r w:rsidR="00AE1D23" w:rsidRPr="001810A0">
              <w:rPr>
                <w:rStyle w:val="Hipervnculo"/>
                <w:rFonts w:ascii="Palatino Linotype" w:eastAsia="Times New Roman" w:hAnsi="Palatino Linotype"/>
                <w:noProof/>
                <w:lang w:val="es-ES" w:eastAsia="es-ES"/>
              </w:rPr>
              <w:t>QUINTO. Estudio de Fondo</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_Toc188524602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10</w:t>
            </w:r>
            <w:r w:rsidR="00AE1D23" w:rsidRPr="001810A0">
              <w:rPr>
                <w:rFonts w:ascii="Palatino Linotype" w:hAnsi="Palatino Linotype"/>
                <w:noProof/>
                <w:webHidden/>
              </w:rPr>
              <w:fldChar w:fldCharType="end"/>
            </w:r>
          </w:hyperlink>
        </w:p>
        <w:p w14:paraId="36B391AE"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603" w:history="1">
            <w:r w:rsidR="00AE1D23" w:rsidRPr="001810A0">
              <w:rPr>
                <w:rStyle w:val="Hipervnculo"/>
                <w:rFonts w:ascii="Palatino Linotype" w:eastAsia="Times New Roman" w:hAnsi="Palatino Linotype"/>
                <w:noProof/>
                <w:lang w:val="es-ES" w:eastAsia="es-ES"/>
              </w:rPr>
              <w:t>SEXTO. Decisión</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_Toc188524603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16</w:t>
            </w:r>
            <w:r w:rsidR="00AE1D23" w:rsidRPr="001810A0">
              <w:rPr>
                <w:rFonts w:ascii="Palatino Linotype" w:hAnsi="Palatino Linotype"/>
                <w:noProof/>
                <w:webHidden/>
              </w:rPr>
              <w:fldChar w:fldCharType="end"/>
            </w:r>
          </w:hyperlink>
        </w:p>
        <w:p w14:paraId="21E88BD1" w14:textId="77777777" w:rsidR="00AE1D23" w:rsidRPr="001810A0" w:rsidRDefault="006153DC">
          <w:pPr>
            <w:pStyle w:val="TDC2"/>
            <w:rPr>
              <w:rFonts w:ascii="Palatino Linotype" w:eastAsiaTheme="minorEastAsia" w:hAnsi="Palatino Linotype"/>
              <w:noProof/>
              <w:kern w:val="0"/>
              <w:lang w:eastAsia="es-MX"/>
              <w14:ligatures w14:val="none"/>
            </w:rPr>
          </w:pPr>
          <w:hyperlink w:anchor="_Toc188524604" w:history="1">
            <w:r w:rsidR="00AE1D23" w:rsidRPr="001810A0">
              <w:rPr>
                <w:rStyle w:val="Hipervnculo"/>
                <w:rFonts w:ascii="Palatino Linotype" w:eastAsia="Times New Roman" w:hAnsi="Palatino Linotype"/>
                <w:noProof/>
                <w:lang w:val="es-ES" w:eastAsia="es-ES"/>
              </w:rPr>
              <w:t>SÉPTIMO. Vista a la Secretaría Técnica del Pleno</w:t>
            </w:r>
            <w:r w:rsidR="00AE1D23" w:rsidRPr="001810A0">
              <w:rPr>
                <w:rFonts w:ascii="Palatino Linotype" w:hAnsi="Palatino Linotype"/>
                <w:noProof/>
                <w:webHidden/>
              </w:rPr>
              <w:tab/>
            </w:r>
            <w:r w:rsidR="00AE1D23" w:rsidRPr="001810A0">
              <w:rPr>
                <w:rFonts w:ascii="Palatino Linotype" w:hAnsi="Palatino Linotype"/>
                <w:noProof/>
                <w:webHidden/>
              </w:rPr>
              <w:fldChar w:fldCharType="begin"/>
            </w:r>
            <w:r w:rsidR="00AE1D23" w:rsidRPr="001810A0">
              <w:rPr>
                <w:rFonts w:ascii="Palatino Linotype" w:hAnsi="Palatino Linotype"/>
                <w:noProof/>
                <w:webHidden/>
              </w:rPr>
              <w:instrText xml:space="preserve"> PAGEREF _Toc188524604 \h </w:instrText>
            </w:r>
            <w:r w:rsidR="00AE1D23" w:rsidRPr="001810A0">
              <w:rPr>
                <w:rFonts w:ascii="Palatino Linotype" w:hAnsi="Palatino Linotype"/>
                <w:noProof/>
                <w:webHidden/>
              </w:rPr>
            </w:r>
            <w:r w:rsidR="00AE1D23" w:rsidRPr="001810A0">
              <w:rPr>
                <w:rFonts w:ascii="Palatino Linotype" w:hAnsi="Palatino Linotype"/>
                <w:noProof/>
                <w:webHidden/>
              </w:rPr>
              <w:fldChar w:fldCharType="separate"/>
            </w:r>
            <w:r w:rsidR="00932A19">
              <w:rPr>
                <w:rFonts w:ascii="Palatino Linotype" w:hAnsi="Palatino Linotype"/>
                <w:noProof/>
                <w:webHidden/>
              </w:rPr>
              <w:t>16</w:t>
            </w:r>
            <w:r w:rsidR="00AE1D23" w:rsidRPr="001810A0">
              <w:rPr>
                <w:rFonts w:ascii="Palatino Linotype" w:hAnsi="Palatino Linotype"/>
                <w:noProof/>
                <w:webHidden/>
              </w:rPr>
              <w:fldChar w:fldCharType="end"/>
            </w:r>
          </w:hyperlink>
        </w:p>
        <w:p w14:paraId="71488EF7" w14:textId="77777777" w:rsidR="00AE1D23" w:rsidRPr="001810A0" w:rsidRDefault="006153DC">
          <w:pPr>
            <w:pStyle w:val="TDC1"/>
            <w:rPr>
              <w:rFonts w:eastAsiaTheme="minorEastAsia"/>
              <w:kern w:val="0"/>
              <w:lang w:val="es-MX" w:eastAsia="es-MX"/>
              <w14:ligatures w14:val="none"/>
            </w:rPr>
          </w:pPr>
          <w:hyperlink w:anchor="_Toc188524605" w:history="1">
            <w:r w:rsidR="00AE1D23" w:rsidRPr="001810A0">
              <w:rPr>
                <w:rStyle w:val="Hipervnculo"/>
              </w:rPr>
              <w:t>R E S U E L V E</w:t>
            </w:r>
            <w:r w:rsidR="00AE1D23" w:rsidRPr="001810A0">
              <w:rPr>
                <w:webHidden/>
              </w:rPr>
              <w:tab/>
            </w:r>
            <w:r w:rsidR="00AE1D23" w:rsidRPr="001810A0">
              <w:rPr>
                <w:webHidden/>
              </w:rPr>
              <w:fldChar w:fldCharType="begin"/>
            </w:r>
            <w:r w:rsidR="00AE1D23" w:rsidRPr="001810A0">
              <w:rPr>
                <w:webHidden/>
              </w:rPr>
              <w:instrText xml:space="preserve"> PAGEREF _Toc188524605 \h </w:instrText>
            </w:r>
            <w:r w:rsidR="00AE1D23" w:rsidRPr="001810A0">
              <w:rPr>
                <w:webHidden/>
              </w:rPr>
            </w:r>
            <w:r w:rsidR="00AE1D23" w:rsidRPr="001810A0">
              <w:rPr>
                <w:webHidden/>
              </w:rPr>
              <w:fldChar w:fldCharType="separate"/>
            </w:r>
            <w:r w:rsidR="00932A19">
              <w:rPr>
                <w:webHidden/>
              </w:rPr>
              <w:t>18</w:t>
            </w:r>
            <w:r w:rsidR="00AE1D23" w:rsidRPr="001810A0">
              <w:rPr>
                <w:webHidden/>
              </w:rPr>
              <w:fldChar w:fldCharType="end"/>
            </w:r>
          </w:hyperlink>
        </w:p>
        <w:p w14:paraId="5AD9D750" w14:textId="4842AA86" w:rsidR="008E2B21" w:rsidRPr="001810A0" w:rsidRDefault="008E2B21" w:rsidP="001A619C">
          <w:pPr>
            <w:spacing w:after="0" w:line="360" w:lineRule="auto"/>
            <w:rPr>
              <w:rFonts w:ascii="Palatino Linotype" w:hAnsi="Palatino Linotype"/>
            </w:rPr>
          </w:pPr>
          <w:r w:rsidRPr="001810A0">
            <w:rPr>
              <w:rFonts w:ascii="Palatino Linotype" w:hAnsi="Palatino Linotype"/>
              <w:b/>
              <w:bCs/>
              <w:lang w:val="es-ES"/>
            </w:rPr>
            <w:fldChar w:fldCharType="end"/>
          </w:r>
        </w:p>
      </w:sdtContent>
    </w:sdt>
    <w:p w14:paraId="26F929B9" w14:textId="22014005" w:rsidR="009C7A27" w:rsidRPr="001810A0" w:rsidRDefault="008E2B21" w:rsidP="001A619C">
      <w:pPr>
        <w:spacing w:after="0" w:line="360" w:lineRule="auto"/>
        <w:contextualSpacing/>
        <w:jc w:val="both"/>
        <w:rPr>
          <w:rFonts w:ascii="Palatino Linotype" w:eastAsia="Calibri" w:hAnsi="Palatino Linotype" w:cs="Tahoma"/>
          <w:bCs/>
          <w:kern w:val="0"/>
          <w14:ligatures w14:val="none"/>
        </w:rPr>
      </w:pPr>
      <w:r w:rsidRPr="001810A0">
        <w:rPr>
          <w:rFonts w:ascii="Palatino Linotype" w:eastAsia="Calibri" w:hAnsi="Palatino Linotype" w:cs="Tahoma"/>
          <w:bCs/>
          <w:kern w:val="0"/>
          <w14:ligatures w14:val="none"/>
        </w:rPr>
        <w:br w:type="column"/>
      </w:r>
    </w:p>
    <w:p w14:paraId="22B70401" w14:textId="32254306" w:rsidR="00234760" w:rsidRPr="001810A0" w:rsidRDefault="00234760" w:rsidP="001A619C">
      <w:pPr>
        <w:spacing w:after="0" w:line="360" w:lineRule="auto"/>
        <w:contextualSpacing/>
        <w:jc w:val="both"/>
        <w:rPr>
          <w:rFonts w:ascii="Palatino Linotype" w:eastAsia="Times New Roman" w:hAnsi="Palatino Linotype" w:cs="Tahoma"/>
          <w:bCs/>
          <w:kern w:val="0"/>
          <w:lang w:eastAsia="es-ES"/>
          <w14:ligatures w14:val="none"/>
        </w:rPr>
      </w:pPr>
      <w:r w:rsidRPr="001810A0">
        <w:rPr>
          <w:rFonts w:ascii="Palatino Linotype" w:eastAsia="Calibri" w:hAnsi="Palatino Linotype" w:cs="Tahoma"/>
          <w:bCs/>
          <w:kern w:val="0"/>
          <w14:ligatures w14:val="none"/>
        </w:rPr>
        <w:t xml:space="preserve">Resolución del Pleno del Instituto de Transparencia, Acceso a la Información Pública y </w:t>
      </w:r>
      <w:r w:rsidRPr="001810A0">
        <w:rPr>
          <w:rFonts w:ascii="Palatino Linotype" w:eastAsia="Times New Roman" w:hAnsi="Palatino Linotype" w:cs="Tahoma"/>
          <w:bCs/>
          <w:kern w:val="0"/>
          <w:lang w:eastAsia="es-ES"/>
          <w14:ligatures w14:val="none"/>
        </w:rPr>
        <w:t xml:space="preserve">Protección de Datos Personales del Estado de México y Municipios, con domicilio en Metepec, Estado de México, de fecha </w:t>
      </w:r>
      <w:r w:rsidR="004F6E2A" w:rsidRPr="001810A0">
        <w:rPr>
          <w:rFonts w:ascii="Palatino Linotype" w:eastAsia="Times New Roman" w:hAnsi="Palatino Linotype" w:cs="Tahoma"/>
          <w:bCs/>
          <w:kern w:val="0"/>
          <w:lang w:eastAsia="es-ES"/>
          <w14:ligatures w14:val="none"/>
        </w:rPr>
        <w:t>veintidós</w:t>
      </w:r>
      <w:r w:rsidR="00264688" w:rsidRPr="001810A0">
        <w:rPr>
          <w:rFonts w:ascii="Palatino Linotype" w:eastAsia="Times New Roman" w:hAnsi="Palatino Linotype" w:cs="Tahoma"/>
          <w:bCs/>
          <w:kern w:val="0"/>
          <w:lang w:eastAsia="es-ES"/>
          <w14:ligatures w14:val="none"/>
        </w:rPr>
        <w:t xml:space="preserve"> enero</w:t>
      </w:r>
      <w:r w:rsidRPr="001810A0">
        <w:rPr>
          <w:rFonts w:ascii="Palatino Linotype" w:eastAsia="Times New Roman" w:hAnsi="Palatino Linotype" w:cs="Tahoma"/>
          <w:bCs/>
          <w:kern w:val="0"/>
          <w:lang w:eastAsia="es-ES"/>
          <w14:ligatures w14:val="none"/>
        </w:rPr>
        <w:t xml:space="preserve"> de dos mil veinticinco.</w:t>
      </w:r>
    </w:p>
    <w:p w14:paraId="62216AD6" w14:textId="77777777" w:rsidR="00234760" w:rsidRPr="001810A0" w:rsidRDefault="00234760" w:rsidP="001A619C">
      <w:pPr>
        <w:spacing w:after="0" w:line="360" w:lineRule="auto"/>
        <w:contextualSpacing/>
        <w:jc w:val="both"/>
        <w:rPr>
          <w:rFonts w:ascii="Palatino Linotype" w:eastAsia="Calibri" w:hAnsi="Palatino Linotype" w:cs="Times New Roman"/>
          <w:color w:val="FF0000"/>
          <w:kern w:val="0"/>
          <w14:ligatures w14:val="none"/>
        </w:rPr>
      </w:pPr>
    </w:p>
    <w:p w14:paraId="370C70BB" w14:textId="297DAA76" w:rsidR="00234760" w:rsidRPr="001810A0" w:rsidRDefault="00234760" w:rsidP="001A619C">
      <w:pPr>
        <w:spacing w:after="0" w:line="360" w:lineRule="auto"/>
        <w:contextualSpacing/>
        <w:jc w:val="both"/>
        <w:rPr>
          <w:rFonts w:ascii="Palatino Linotype" w:eastAsia="Calibri" w:hAnsi="Palatino Linotype" w:cs="Times New Roman"/>
          <w:kern w:val="0"/>
          <w14:ligatures w14:val="none"/>
        </w:rPr>
      </w:pPr>
      <w:r w:rsidRPr="001810A0">
        <w:rPr>
          <w:rFonts w:ascii="Palatino Linotype" w:eastAsia="Calibri" w:hAnsi="Palatino Linotype" w:cs="Times New Roman"/>
          <w:b/>
          <w:bCs/>
          <w:kern w:val="0"/>
          <w14:ligatures w14:val="none"/>
        </w:rPr>
        <w:t xml:space="preserve">VISTO </w:t>
      </w:r>
      <w:r w:rsidRPr="001810A0">
        <w:rPr>
          <w:rFonts w:ascii="Palatino Linotype" w:eastAsia="Calibri" w:hAnsi="Palatino Linotype" w:cs="Times New Roman"/>
          <w:bCs/>
          <w:kern w:val="0"/>
          <w14:ligatures w14:val="none"/>
        </w:rPr>
        <w:t xml:space="preserve">el expediente conformado con motivo del Recurso de Revisión </w:t>
      </w:r>
      <w:r w:rsidRPr="00CF258B">
        <w:rPr>
          <w:rFonts w:ascii="Palatino Linotype" w:eastAsia="Calibri" w:hAnsi="Palatino Linotype" w:cs="Times New Roman"/>
          <w:b/>
          <w:kern w:val="0"/>
          <w14:ligatures w14:val="none"/>
        </w:rPr>
        <w:t>07511/INFOEM/IP/RR/2024</w:t>
      </w:r>
      <w:r w:rsidRPr="001810A0">
        <w:rPr>
          <w:rFonts w:ascii="Palatino Linotype" w:eastAsia="Calibri" w:hAnsi="Palatino Linotype" w:cs="Times New Roman"/>
          <w:kern w:val="0"/>
          <w14:ligatures w14:val="none"/>
        </w:rPr>
        <w:t xml:space="preserve">, interpuesto </w:t>
      </w:r>
      <w:r w:rsidR="00580C9C" w:rsidRPr="001810A0">
        <w:rPr>
          <w:rFonts w:ascii="Palatino Linotype" w:eastAsia="Calibri" w:hAnsi="Palatino Linotype" w:cs="Times New Roman"/>
          <w:kern w:val="0"/>
          <w14:ligatures w14:val="none"/>
        </w:rPr>
        <w:t>por</w:t>
      </w:r>
      <w:r w:rsidR="00580C9C">
        <w:rPr>
          <w:rFonts w:ascii="Palatino Linotype" w:eastAsia="Calibri" w:hAnsi="Palatino Linotype" w:cs="Times New Roman"/>
          <w:kern w:val="0"/>
          <w14:ligatures w14:val="none"/>
        </w:rPr>
        <w:t xml:space="preserve"> </w:t>
      </w:r>
      <w:r w:rsidR="00580C9C" w:rsidRPr="00580C9C">
        <w:rPr>
          <w:rFonts w:ascii="Palatino Linotype" w:eastAsia="Calibri" w:hAnsi="Palatino Linotype" w:cs="Times New Roman"/>
          <w:kern w:val="0"/>
          <w:highlight w:val="black"/>
          <w14:ligatures w14:val="none"/>
        </w:rPr>
        <w:t>xxxxxxxxxxxxxxxxx</w:t>
      </w:r>
      <w:r w:rsidR="00580C9C">
        <w:rPr>
          <w:rFonts w:ascii="Palatino Linotype" w:eastAsia="Calibri" w:hAnsi="Palatino Linotype" w:cs="Times New Roman"/>
          <w:kern w:val="0"/>
          <w14:ligatures w14:val="none"/>
        </w:rPr>
        <w:t>,</w:t>
      </w:r>
      <w:r w:rsidRPr="001810A0">
        <w:rPr>
          <w:rFonts w:ascii="Palatino Linotype" w:eastAsia="Calibri" w:hAnsi="Palatino Linotype" w:cs="Times New Roman"/>
          <w:kern w:val="0"/>
          <w14:ligatures w14:val="none"/>
        </w:rPr>
        <w:t xml:space="preserve"> en lo sucesivo, la persona</w:t>
      </w:r>
      <w:r w:rsidRPr="001810A0">
        <w:rPr>
          <w:rFonts w:ascii="Palatino Linotype" w:eastAsia="Calibri" w:hAnsi="Palatino Linotype" w:cs="Tahoma"/>
          <w:kern w:val="0"/>
          <w14:ligatures w14:val="none"/>
        </w:rPr>
        <w:t xml:space="preserve"> Recurrente o Particular</w:t>
      </w:r>
      <w:r w:rsidRPr="001810A0">
        <w:rPr>
          <w:rFonts w:ascii="Palatino Linotype" w:eastAsia="Calibri" w:hAnsi="Palatino Linotype" w:cs="Times New Roman"/>
          <w:kern w:val="0"/>
          <w14:ligatures w14:val="none"/>
        </w:rPr>
        <w:t xml:space="preserve">, en contra de la </w:t>
      </w:r>
      <w:r w:rsidR="00CF258B">
        <w:rPr>
          <w:rFonts w:ascii="Palatino Linotype" w:eastAsia="Calibri" w:hAnsi="Palatino Linotype" w:cs="Times New Roman"/>
          <w:kern w:val="0"/>
          <w14:ligatures w14:val="none"/>
        </w:rPr>
        <w:t xml:space="preserve">falta de </w:t>
      </w:r>
      <w:r w:rsidRPr="001810A0">
        <w:rPr>
          <w:rFonts w:ascii="Palatino Linotype" w:eastAsia="Calibri" w:hAnsi="Palatino Linotype" w:cs="Times New Roman"/>
          <w:kern w:val="0"/>
          <w14:ligatures w14:val="none"/>
        </w:rPr>
        <w:t xml:space="preserve">respuesta del Sujeto Obligado, </w:t>
      </w:r>
      <w:r w:rsidRPr="00CF258B">
        <w:rPr>
          <w:rFonts w:ascii="Palatino Linotype" w:eastAsia="Times New Roman" w:hAnsi="Palatino Linotype" w:cs="Times New Roman"/>
          <w:b/>
          <w:bCs/>
          <w:kern w:val="0"/>
          <w:lang w:eastAsia="es-ES"/>
          <w14:ligatures w14:val="none"/>
        </w:rPr>
        <w:t>Ayuntamiento de Tepotzotlán</w:t>
      </w:r>
      <w:r w:rsidRPr="00CF258B">
        <w:rPr>
          <w:rFonts w:ascii="Palatino Linotype" w:eastAsia="Calibri" w:hAnsi="Palatino Linotype" w:cs="Times New Roman"/>
          <w:b/>
          <w:kern w:val="0"/>
          <w14:ligatures w14:val="none"/>
        </w:rPr>
        <w:t>,</w:t>
      </w:r>
      <w:r w:rsidRPr="001810A0">
        <w:rPr>
          <w:rFonts w:ascii="Palatino Linotype" w:eastAsia="Calibri" w:hAnsi="Palatino Linotype" w:cs="Times New Roman"/>
          <w:kern w:val="0"/>
          <w14:ligatures w14:val="none"/>
        </w:rPr>
        <w:t xml:space="preserve"> a la solicitud de acceso a la información pública </w:t>
      </w:r>
      <w:r w:rsidRPr="001810A0">
        <w:rPr>
          <w:rFonts w:ascii="Palatino Linotype" w:eastAsia="Times New Roman" w:hAnsi="Palatino Linotype" w:cs="Times New Roman"/>
          <w:bCs/>
          <w:kern w:val="0"/>
          <w:lang w:eastAsia="es-ES"/>
          <w14:ligatures w14:val="none"/>
        </w:rPr>
        <w:t>00233/TEPOTZOT/IP/2024</w:t>
      </w:r>
      <w:r w:rsidRPr="001810A0">
        <w:rPr>
          <w:rFonts w:ascii="Palatino Linotype" w:eastAsia="Calibri" w:hAnsi="Palatino Linotype" w:cs="Times New Roman"/>
          <w:kern w:val="0"/>
          <w14:ligatures w14:val="none"/>
        </w:rPr>
        <w:t>, se emite la presente Resolución, con base en los Antecedentes y Considerandos que a continuación</w:t>
      </w:r>
      <w:r w:rsidRPr="001810A0">
        <w:rPr>
          <w:rFonts w:ascii="Palatino Linotype" w:eastAsia="Calibri" w:hAnsi="Palatino Linotype" w:cs="Times New Roman"/>
          <w:bCs/>
          <w:kern w:val="0"/>
          <w14:ligatures w14:val="none"/>
        </w:rPr>
        <w:t xml:space="preserve"> se exponen:</w:t>
      </w:r>
    </w:p>
    <w:p w14:paraId="734D795E" w14:textId="77777777" w:rsidR="00234760" w:rsidRPr="001810A0" w:rsidRDefault="00234760" w:rsidP="001A619C">
      <w:pPr>
        <w:tabs>
          <w:tab w:val="left" w:pos="2835"/>
        </w:tabs>
        <w:spacing w:after="0" w:line="360" w:lineRule="auto"/>
        <w:ind w:right="-93"/>
        <w:contextualSpacing/>
        <w:jc w:val="both"/>
        <w:rPr>
          <w:rFonts w:ascii="Palatino Linotype" w:eastAsia="Calibri" w:hAnsi="Palatino Linotype" w:cs="Tahoma"/>
          <w:bCs/>
          <w:kern w:val="0"/>
          <w:lang w:val="es-ES"/>
          <w14:ligatures w14:val="none"/>
        </w:rPr>
      </w:pPr>
    </w:p>
    <w:p w14:paraId="7E35F744" w14:textId="77777777" w:rsidR="00234760" w:rsidRPr="001810A0" w:rsidRDefault="00234760" w:rsidP="001A619C">
      <w:pPr>
        <w:pStyle w:val="Ttulo1"/>
        <w:rPr>
          <w:rFonts w:eastAsia="Calibri"/>
        </w:rPr>
      </w:pPr>
      <w:bookmarkStart w:id="0" w:name="_Toc188524592"/>
      <w:r w:rsidRPr="001810A0">
        <w:rPr>
          <w:rFonts w:eastAsia="Calibri"/>
        </w:rPr>
        <w:t>A N T E C E D E N T E S</w:t>
      </w:r>
      <w:bookmarkEnd w:id="0"/>
    </w:p>
    <w:p w14:paraId="775BF019" w14:textId="77777777" w:rsidR="00234760" w:rsidRPr="001810A0" w:rsidRDefault="00234760" w:rsidP="001A619C">
      <w:pPr>
        <w:spacing w:after="0" w:line="360" w:lineRule="auto"/>
        <w:ind w:right="-93"/>
        <w:contextualSpacing/>
        <w:jc w:val="both"/>
        <w:rPr>
          <w:rFonts w:ascii="Palatino Linotype" w:eastAsia="Calibri" w:hAnsi="Palatino Linotype" w:cs="Tahoma"/>
          <w:bCs/>
          <w:color w:val="FF0000"/>
          <w:kern w:val="0"/>
          <w14:ligatures w14:val="none"/>
        </w:rPr>
      </w:pPr>
    </w:p>
    <w:p w14:paraId="1D16EDCA" w14:textId="77777777" w:rsidR="00234760" w:rsidRPr="001810A0" w:rsidRDefault="00234760" w:rsidP="001A619C">
      <w:pPr>
        <w:pStyle w:val="Ttulo2"/>
        <w:rPr>
          <w:rFonts w:eastAsia="Times New Roman"/>
          <w:lang w:eastAsia="es-ES"/>
        </w:rPr>
      </w:pPr>
      <w:bookmarkStart w:id="1" w:name="_Toc188524593"/>
      <w:r w:rsidRPr="001810A0">
        <w:rPr>
          <w:rFonts w:eastAsia="Times New Roman"/>
          <w:lang w:eastAsia="es-ES"/>
        </w:rPr>
        <w:t>I. Presentación de la solicitud de información</w:t>
      </w:r>
      <w:bookmarkEnd w:id="1"/>
    </w:p>
    <w:p w14:paraId="13AD17DB" w14:textId="77777777" w:rsidR="00234760" w:rsidRPr="001810A0" w:rsidRDefault="00234760" w:rsidP="001A619C">
      <w:pPr>
        <w:tabs>
          <w:tab w:val="left" w:pos="567"/>
        </w:tabs>
        <w:spacing w:after="0" w:line="360" w:lineRule="auto"/>
        <w:contextualSpacing/>
        <w:jc w:val="both"/>
        <w:rPr>
          <w:rFonts w:ascii="Palatino Linotype" w:eastAsia="Times New Roman" w:hAnsi="Palatino Linotype" w:cs="Tahoma"/>
          <w:b/>
          <w:color w:val="FF0000"/>
          <w:kern w:val="0"/>
          <w:lang w:eastAsia="es-ES"/>
          <w14:ligatures w14:val="none"/>
        </w:rPr>
      </w:pPr>
    </w:p>
    <w:p w14:paraId="7278EC3F" w14:textId="6C63D98A" w:rsidR="00234760" w:rsidRPr="001810A0" w:rsidRDefault="00234760" w:rsidP="001A619C">
      <w:pPr>
        <w:autoSpaceDE w:val="0"/>
        <w:autoSpaceDN w:val="0"/>
        <w:adjustRightInd w:val="0"/>
        <w:spacing w:after="0" w:line="360" w:lineRule="auto"/>
        <w:contextualSpacing/>
        <w:jc w:val="both"/>
        <w:rPr>
          <w:rFonts w:ascii="Palatino Linotype" w:eastAsia="Times New Roman" w:hAnsi="Palatino Linotype" w:cs="Tahoma"/>
          <w:kern w:val="0"/>
          <w:lang w:eastAsia="es-ES"/>
          <w14:ligatures w14:val="none"/>
        </w:rPr>
      </w:pPr>
      <w:r w:rsidRPr="001810A0">
        <w:rPr>
          <w:rFonts w:ascii="Palatino Linotype" w:eastAsia="Times New Roman" w:hAnsi="Palatino Linotype" w:cs="Tahoma"/>
          <w:kern w:val="0"/>
          <w:lang w:eastAsia="es-ES"/>
          <w14:ligatures w14:val="none"/>
        </w:rPr>
        <w:t xml:space="preserve">Con fecha treinta de agosto de dos mil veinticuatro, el Particular presentó una solicitud de acceso a la información pública, a través del Sistema de Acceso a la Información Mexiquense (SAIMEX), ante el </w:t>
      </w:r>
      <w:r w:rsidRPr="001810A0">
        <w:rPr>
          <w:rFonts w:ascii="Palatino Linotype" w:eastAsia="Times New Roman" w:hAnsi="Palatino Linotype" w:cs="Times New Roman"/>
          <w:bCs/>
          <w:kern w:val="0"/>
          <w:lang w:eastAsia="es-ES"/>
          <w14:ligatures w14:val="none"/>
        </w:rPr>
        <w:t>Ayuntamiento de Tepotzotlán</w:t>
      </w:r>
      <w:r w:rsidRPr="001810A0">
        <w:rPr>
          <w:rFonts w:ascii="Palatino Linotype" w:eastAsia="Times New Roman" w:hAnsi="Palatino Linotype" w:cs="Tahoma"/>
          <w:b/>
          <w:bCs/>
          <w:kern w:val="0"/>
          <w:lang w:eastAsia="es-ES"/>
          <w14:ligatures w14:val="none"/>
        </w:rPr>
        <w:t xml:space="preserve">, </w:t>
      </w:r>
      <w:r w:rsidRPr="001810A0">
        <w:rPr>
          <w:rFonts w:ascii="Palatino Linotype" w:eastAsia="Times New Roman" w:hAnsi="Palatino Linotype" w:cs="Tahoma"/>
          <w:kern w:val="0"/>
          <w:lang w:val="es-ES" w:eastAsia="es-ES"/>
          <w14:ligatures w14:val="none"/>
        </w:rPr>
        <w:t>mediante la cual requirió lo siguiente:</w:t>
      </w:r>
    </w:p>
    <w:p w14:paraId="240C15DD" w14:textId="77777777" w:rsidR="00234760" w:rsidRPr="001810A0" w:rsidRDefault="00234760" w:rsidP="001A619C">
      <w:pPr>
        <w:tabs>
          <w:tab w:val="left" w:pos="567"/>
        </w:tabs>
        <w:spacing w:after="0" w:line="360" w:lineRule="auto"/>
        <w:contextualSpacing/>
        <w:jc w:val="both"/>
        <w:rPr>
          <w:rFonts w:ascii="Palatino Linotype" w:eastAsia="Times New Roman" w:hAnsi="Palatino Linotype" w:cs="Tahoma"/>
          <w:color w:val="FF0000"/>
          <w:kern w:val="0"/>
          <w:lang w:eastAsia="es-ES"/>
          <w14:ligatures w14:val="none"/>
        </w:rPr>
      </w:pPr>
    </w:p>
    <w:p w14:paraId="7EAF8531" w14:textId="77777777" w:rsidR="00234760" w:rsidRPr="001810A0" w:rsidRDefault="00234760" w:rsidP="001A619C">
      <w:pPr>
        <w:tabs>
          <w:tab w:val="left" w:pos="4667"/>
        </w:tabs>
        <w:spacing w:after="0" w:line="360" w:lineRule="auto"/>
        <w:ind w:left="567" w:right="567"/>
        <w:contextualSpacing/>
        <w:jc w:val="both"/>
        <w:rPr>
          <w:rFonts w:ascii="Palatino Linotype" w:eastAsia="Times New Roman" w:hAnsi="Palatino Linotype" w:cs="Tahoma"/>
          <w:b/>
          <w:i/>
          <w:iCs/>
          <w:kern w:val="0"/>
          <w:sz w:val="20"/>
          <w:szCs w:val="20"/>
          <w:lang w:eastAsia="es-ES"/>
          <w14:ligatures w14:val="none"/>
        </w:rPr>
      </w:pPr>
      <w:r w:rsidRPr="001810A0">
        <w:rPr>
          <w:rFonts w:ascii="Palatino Linotype" w:eastAsia="Times New Roman" w:hAnsi="Palatino Linotype" w:cs="Tahoma"/>
          <w:b/>
          <w:i/>
          <w:iCs/>
          <w:kern w:val="0"/>
          <w:sz w:val="20"/>
          <w:szCs w:val="20"/>
          <w:lang w:eastAsia="es-ES"/>
          <w14:ligatures w14:val="none"/>
        </w:rPr>
        <w:t>“DESCRIPCIÓN CLARA Y PRECISA DE LA INFORMACIÓN SOLICITADA.</w:t>
      </w:r>
    </w:p>
    <w:p w14:paraId="2E9594B3" w14:textId="77777777" w:rsidR="00234760" w:rsidRPr="001810A0" w:rsidRDefault="00234760" w:rsidP="001A619C">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r w:rsidRPr="001810A0">
        <w:rPr>
          <w:rFonts w:ascii="Palatino Linotype" w:eastAsia="Times New Roman" w:hAnsi="Palatino Linotype" w:cs="Tahoma"/>
          <w:i/>
          <w:iCs/>
          <w:kern w:val="0"/>
          <w:sz w:val="20"/>
          <w:szCs w:val="20"/>
          <w:lang w:eastAsia="es-ES"/>
          <w14:ligatures w14:val="none"/>
        </w:rPr>
        <w:t xml:space="preserve">Solicitud de licencia temporal al cargo sin goce de sueldo de los siguientes funcionarios públicos, toda vez que la información se requiere para cotejo por denuncia en el OSFEM y certificación, ya que los funcionarios que a continuación mencionamos se encuentran en activismo religioso en la festividad denominada Sr. del Nicho 2024 descuidando las labores de su encargo público en horarios laborales. Rocio Gonzalez Cortes José Antonio García Buergos Jorge Sánchez Baltazar Facundo Sánchez Baltazar María Dolores Nieto Santana María de los Ángeles Zuppa Villegas Soledad Villegas Sánchez” (Sic) </w:t>
      </w:r>
    </w:p>
    <w:p w14:paraId="3B766015" w14:textId="77777777" w:rsidR="00234760" w:rsidRPr="001810A0" w:rsidRDefault="00234760" w:rsidP="001A619C">
      <w:pPr>
        <w:tabs>
          <w:tab w:val="left" w:pos="4667"/>
        </w:tabs>
        <w:spacing w:after="0" w:line="360" w:lineRule="auto"/>
        <w:ind w:left="567" w:right="567"/>
        <w:contextualSpacing/>
        <w:jc w:val="both"/>
        <w:rPr>
          <w:rFonts w:ascii="Palatino Linotype" w:eastAsia="Times New Roman" w:hAnsi="Palatino Linotype" w:cs="Tahoma"/>
          <w:bCs/>
          <w:i/>
          <w:iCs/>
          <w:kern w:val="0"/>
          <w:sz w:val="20"/>
          <w:szCs w:val="20"/>
          <w:lang w:eastAsia="es-ES"/>
          <w14:ligatures w14:val="none"/>
        </w:rPr>
      </w:pPr>
    </w:p>
    <w:p w14:paraId="4750E34A" w14:textId="77777777" w:rsidR="00234760" w:rsidRPr="001810A0" w:rsidRDefault="00234760" w:rsidP="001A619C">
      <w:pPr>
        <w:tabs>
          <w:tab w:val="left" w:pos="567"/>
        </w:tabs>
        <w:spacing w:after="0" w:line="360" w:lineRule="auto"/>
        <w:ind w:left="567" w:right="567"/>
        <w:contextualSpacing/>
        <w:rPr>
          <w:rFonts w:ascii="Palatino Linotype" w:eastAsia="Times New Roman" w:hAnsi="Palatino Linotype" w:cs="Tahoma"/>
          <w:b/>
          <w:bCs/>
          <w:i/>
          <w:iCs/>
          <w:kern w:val="0"/>
          <w:sz w:val="20"/>
          <w:szCs w:val="20"/>
          <w:lang w:eastAsia="es-ES"/>
          <w14:ligatures w14:val="none"/>
        </w:rPr>
      </w:pPr>
      <w:r w:rsidRPr="001810A0">
        <w:rPr>
          <w:rFonts w:ascii="Palatino Linotype" w:eastAsia="Times New Roman" w:hAnsi="Palatino Linotype" w:cs="Tahoma"/>
          <w:b/>
          <w:bCs/>
          <w:i/>
          <w:iCs/>
          <w:kern w:val="0"/>
          <w:sz w:val="20"/>
          <w:szCs w:val="20"/>
          <w:lang w:eastAsia="es-ES"/>
          <w14:ligatures w14:val="none"/>
        </w:rPr>
        <w:t xml:space="preserve">“Modalidad de Entrega: </w:t>
      </w:r>
    </w:p>
    <w:p w14:paraId="052C69AD" w14:textId="77777777" w:rsidR="00234760" w:rsidRPr="001810A0" w:rsidRDefault="00234760" w:rsidP="001A619C">
      <w:pPr>
        <w:tabs>
          <w:tab w:val="left" w:pos="567"/>
        </w:tabs>
        <w:spacing w:after="0" w:line="360" w:lineRule="auto"/>
        <w:ind w:left="567" w:right="567"/>
        <w:contextualSpacing/>
        <w:rPr>
          <w:rFonts w:ascii="Palatino Linotype" w:eastAsia="Times New Roman" w:hAnsi="Palatino Linotype" w:cs="Tahoma"/>
          <w:i/>
          <w:iCs/>
          <w:kern w:val="0"/>
          <w:sz w:val="20"/>
          <w:szCs w:val="20"/>
          <w:lang w:eastAsia="es-ES"/>
          <w14:ligatures w14:val="none"/>
        </w:rPr>
      </w:pPr>
      <w:r w:rsidRPr="001810A0">
        <w:rPr>
          <w:rFonts w:ascii="Palatino Linotype" w:eastAsia="Times New Roman" w:hAnsi="Palatino Linotype" w:cs="Tahoma"/>
          <w:i/>
          <w:iCs/>
          <w:kern w:val="0"/>
          <w:sz w:val="20"/>
          <w:szCs w:val="20"/>
          <w:lang w:eastAsia="es-ES"/>
          <w14:ligatures w14:val="none"/>
        </w:rPr>
        <w:t xml:space="preserve"> A través de SAIMEX”</w:t>
      </w:r>
    </w:p>
    <w:p w14:paraId="13DEB285" w14:textId="77777777" w:rsidR="00234760" w:rsidRPr="001810A0" w:rsidRDefault="00234760" w:rsidP="001A619C">
      <w:pPr>
        <w:spacing w:after="0" w:line="360" w:lineRule="auto"/>
        <w:contextualSpacing/>
        <w:jc w:val="both"/>
        <w:rPr>
          <w:rFonts w:ascii="Palatino Linotype" w:eastAsia="Calibri" w:hAnsi="Palatino Linotype" w:cs="Times New Roman"/>
          <w:b/>
          <w:color w:val="FF0000"/>
          <w:kern w:val="0"/>
          <w14:ligatures w14:val="none"/>
        </w:rPr>
      </w:pPr>
    </w:p>
    <w:p w14:paraId="4901A931" w14:textId="37B022AC" w:rsidR="005E4EEE" w:rsidRPr="001810A0" w:rsidRDefault="005E4EEE" w:rsidP="005E4EEE">
      <w:pPr>
        <w:pStyle w:val="Ttulo2"/>
        <w:rPr>
          <w:color w:val="auto"/>
        </w:rPr>
      </w:pPr>
      <w:bookmarkStart w:id="2" w:name="_Toc188524594"/>
      <w:r w:rsidRPr="001810A0">
        <w:rPr>
          <w:color w:val="auto"/>
        </w:rPr>
        <w:t>II. Prórroga</w:t>
      </w:r>
      <w:bookmarkEnd w:id="2"/>
    </w:p>
    <w:p w14:paraId="38478753" w14:textId="533C151C" w:rsidR="00E83565" w:rsidRPr="001810A0" w:rsidRDefault="00E83565" w:rsidP="00E83565">
      <w:pPr>
        <w:spacing w:after="0" w:line="360" w:lineRule="auto"/>
        <w:contextualSpacing/>
        <w:jc w:val="both"/>
        <w:rPr>
          <w:rFonts w:ascii="Palatino Linotype" w:eastAsia="Calibri" w:hAnsi="Palatino Linotype" w:cs="Times New Roman"/>
          <w:kern w:val="0"/>
          <w14:ligatures w14:val="none"/>
        </w:rPr>
      </w:pPr>
      <w:r w:rsidRPr="001810A0">
        <w:rPr>
          <w:rFonts w:ascii="Palatino Linotype" w:eastAsia="Calibri" w:hAnsi="Palatino Linotype" w:cs="Times New Roman"/>
          <w:kern w:val="0"/>
          <w14:ligatures w14:val="none"/>
        </w:rPr>
        <w:t>El veintitrés de septiembre de dos mil veinticuatro, el Sujeto Obligado, a través del Sistema de Acceso a la Información Mexiquense (SAIMEX) notificó la prórroga para atender las solicitudes de información, de conformidad con lo siguiente:</w:t>
      </w:r>
    </w:p>
    <w:p w14:paraId="59DBBBF2" w14:textId="77777777" w:rsidR="00E83565" w:rsidRPr="001810A0" w:rsidRDefault="00E83565" w:rsidP="00E83565">
      <w:pPr>
        <w:spacing w:after="0" w:line="360" w:lineRule="auto"/>
        <w:contextualSpacing/>
        <w:jc w:val="both"/>
        <w:rPr>
          <w:rFonts w:ascii="Palatino Linotype" w:eastAsia="Calibri" w:hAnsi="Palatino Linotype" w:cs="Times New Roman"/>
          <w:kern w:val="0"/>
          <w14:ligatures w14:val="none"/>
        </w:rPr>
      </w:pPr>
    </w:p>
    <w:tbl>
      <w:tblPr>
        <w:tblW w:w="10500" w:type="dxa"/>
        <w:jc w:val="center"/>
        <w:tblCellSpacing w:w="0" w:type="dxa"/>
        <w:tblCellMar>
          <w:left w:w="0" w:type="dxa"/>
          <w:right w:w="0" w:type="dxa"/>
        </w:tblCellMar>
        <w:tblLook w:val="04A0" w:firstRow="1" w:lastRow="0" w:firstColumn="1" w:lastColumn="0" w:noHBand="0" w:noVBand="1"/>
      </w:tblPr>
      <w:tblGrid>
        <w:gridCol w:w="10500"/>
      </w:tblGrid>
      <w:tr w:rsidR="00E83565" w:rsidRPr="00E83565" w14:paraId="4FB2658D" w14:textId="77777777" w:rsidTr="00E83565">
        <w:trPr>
          <w:trHeight w:val="150"/>
          <w:tblCellSpacing w:w="0" w:type="dxa"/>
          <w:jc w:val="center"/>
        </w:trPr>
        <w:tc>
          <w:tcPr>
            <w:tcW w:w="0" w:type="auto"/>
            <w:vAlign w:val="center"/>
            <w:hideMark/>
          </w:tcPr>
          <w:p w14:paraId="2875F12F" w14:textId="225AB841" w:rsidR="00E83565" w:rsidRPr="00E83565" w:rsidRDefault="00E83565" w:rsidP="00E83565">
            <w:pPr>
              <w:spacing w:after="0" w:line="360" w:lineRule="auto"/>
              <w:ind w:left="1134" w:right="1286"/>
              <w:contextualSpacing/>
              <w:jc w:val="both"/>
              <w:rPr>
                <w:rFonts w:ascii="Palatino Linotype" w:eastAsia="Times New Roman" w:hAnsi="Palatino Linotype" w:cs="Tahoma"/>
                <w:i/>
                <w:iCs/>
                <w:kern w:val="0"/>
                <w:sz w:val="20"/>
                <w:szCs w:val="20"/>
                <w:lang w:eastAsia="es-ES"/>
                <w14:ligatures w14:val="none"/>
              </w:rPr>
            </w:pPr>
            <w:r w:rsidRPr="001810A0">
              <w:rPr>
                <w:rFonts w:ascii="Palatino Linotype" w:eastAsia="Times New Roman" w:hAnsi="Palatino Linotype" w:cs="Tahoma"/>
                <w:i/>
                <w:iCs/>
                <w:kern w:val="0"/>
                <w:sz w:val="20"/>
                <w:szCs w:val="20"/>
                <w:lang w:eastAsia="es-ES"/>
                <w14:ligatures w14:val="none"/>
              </w:rPr>
              <w:t>“…C</w:t>
            </w:r>
            <w:r w:rsidRPr="00E83565">
              <w:rPr>
                <w:rFonts w:ascii="Palatino Linotype" w:eastAsia="Times New Roman" w:hAnsi="Palatino Linotype" w:cs="Tahoma"/>
                <w:i/>
                <w:iCs/>
                <w:kern w:val="0"/>
                <w:sz w:val="20"/>
                <w:szCs w:val="20"/>
                <w:lang w:eastAsia="es-ES"/>
                <w14:ligatures w14:val="none"/>
              </w:rPr>
              <w:t>on fundamento en el artículo 163 de la Ley de Transparencia y Acceso a la Información Pública del Estado de México y Municipios, se le hace de su conocimiento que el plazo de 15 días hábiles para atender su solicitud de información ha sido prorrogado por 7 días en virtud de las siguientes razones:</w:t>
            </w:r>
          </w:p>
        </w:tc>
      </w:tr>
      <w:tr w:rsidR="00E83565" w:rsidRPr="00E83565" w14:paraId="233D7FA5" w14:textId="77777777" w:rsidTr="00E83565">
        <w:trPr>
          <w:trHeight w:val="375"/>
          <w:tblCellSpacing w:w="0" w:type="dxa"/>
          <w:jc w:val="center"/>
        </w:trPr>
        <w:tc>
          <w:tcPr>
            <w:tcW w:w="0" w:type="auto"/>
            <w:vAlign w:val="center"/>
            <w:hideMark/>
          </w:tcPr>
          <w:p w14:paraId="09EEA506" w14:textId="77777777" w:rsidR="00E83565" w:rsidRPr="00E83565" w:rsidRDefault="00E83565" w:rsidP="00E83565">
            <w:pPr>
              <w:tabs>
                <w:tab w:val="left" w:pos="567"/>
              </w:tabs>
              <w:spacing w:after="0" w:line="360" w:lineRule="auto"/>
              <w:ind w:left="567" w:right="567"/>
              <w:contextualSpacing/>
              <w:jc w:val="both"/>
              <w:rPr>
                <w:rFonts w:ascii="Palatino Linotype" w:eastAsia="Times New Roman" w:hAnsi="Palatino Linotype" w:cs="Tahoma"/>
                <w:i/>
                <w:iCs/>
                <w:kern w:val="0"/>
                <w:sz w:val="20"/>
                <w:szCs w:val="20"/>
                <w:lang w:eastAsia="es-ES"/>
                <w14:ligatures w14:val="none"/>
              </w:rPr>
            </w:pPr>
          </w:p>
        </w:tc>
      </w:tr>
      <w:tr w:rsidR="00E83565" w:rsidRPr="00E83565" w14:paraId="596DA4DA" w14:textId="77777777" w:rsidTr="00E83565">
        <w:trPr>
          <w:trHeight w:val="150"/>
          <w:tblCellSpacing w:w="0" w:type="dxa"/>
          <w:jc w:val="center"/>
        </w:trPr>
        <w:tc>
          <w:tcPr>
            <w:tcW w:w="0" w:type="auto"/>
            <w:vAlign w:val="center"/>
            <w:hideMark/>
          </w:tcPr>
          <w:p w14:paraId="095693B8" w14:textId="351F47B6" w:rsidR="00E83565" w:rsidRPr="00E83565" w:rsidRDefault="00E83565" w:rsidP="00E83565">
            <w:pPr>
              <w:tabs>
                <w:tab w:val="left" w:pos="1276"/>
              </w:tabs>
              <w:spacing w:after="0" w:line="360" w:lineRule="auto"/>
              <w:ind w:left="1134" w:right="1286"/>
              <w:contextualSpacing/>
              <w:jc w:val="both"/>
              <w:rPr>
                <w:rFonts w:ascii="Palatino Linotype" w:eastAsia="Times New Roman" w:hAnsi="Palatino Linotype" w:cs="Tahoma"/>
                <w:i/>
                <w:iCs/>
                <w:kern w:val="0"/>
                <w:sz w:val="20"/>
                <w:szCs w:val="20"/>
                <w:lang w:eastAsia="es-ES"/>
                <w14:ligatures w14:val="none"/>
              </w:rPr>
            </w:pPr>
            <w:r w:rsidRPr="00E83565">
              <w:rPr>
                <w:rFonts w:ascii="Palatino Linotype" w:eastAsia="Times New Roman" w:hAnsi="Palatino Linotype" w:cs="Tahoma"/>
                <w:i/>
                <w:iCs/>
                <w:kern w:val="0"/>
                <w:sz w:val="20"/>
                <w:szCs w:val="20"/>
                <w:lang w:eastAsia="es-ES"/>
                <w14:ligatures w14:val="none"/>
              </w:rPr>
              <w:t>DE ACUERDO A LA SEXAGÉSIMA NOVENA SESIÓN EXTRAORDINARIA 2024 DEL COMITÉ DE TRANSPARENCIA DE FECHA 23 DE SEPTIEMBRE DE 2024, EN EL ACUERDO 02/SE/69/CT/2024: Se aprueba por unanimidad la prórroga para atender la solicitud de información con número de folio 00233/TEPOTZOT/IP/2024, realizada por el particular</w:t>
            </w:r>
            <w:r w:rsidRPr="001810A0">
              <w:rPr>
                <w:rFonts w:ascii="Palatino Linotype" w:eastAsia="Times New Roman" w:hAnsi="Palatino Linotype" w:cs="Tahoma"/>
                <w:i/>
                <w:iCs/>
                <w:kern w:val="0"/>
                <w:sz w:val="20"/>
                <w:szCs w:val="20"/>
                <w:lang w:eastAsia="es-ES"/>
                <w14:ligatures w14:val="none"/>
              </w:rPr>
              <w:t>…” (Sic)</w:t>
            </w:r>
          </w:p>
        </w:tc>
      </w:tr>
    </w:tbl>
    <w:p w14:paraId="7B2EE018" w14:textId="77777777" w:rsidR="005E4EEE" w:rsidRPr="001810A0" w:rsidRDefault="005E4EEE" w:rsidP="005E4EEE"/>
    <w:p w14:paraId="61735349" w14:textId="50580116" w:rsidR="00234760" w:rsidRPr="001810A0" w:rsidRDefault="00234760" w:rsidP="001A619C">
      <w:pPr>
        <w:pStyle w:val="Ttulo2"/>
        <w:rPr>
          <w:rFonts w:eastAsia="Calibri"/>
        </w:rPr>
      </w:pPr>
      <w:bookmarkStart w:id="3" w:name="_Toc188524595"/>
      <w:r w:rsidRPr="001810A0">
        <w:rPr>
          <w:rFonts w:eastAsia="Calibri"/>
        </w:rPr>
        <w:t>II</w:t>
      </w:r>
      <w:r w:rsidR="005E4EEE" w:rsidRPr="001810A0">
        <w:rPr>
          <w:rFonts w:eastAsia="Calibri"/>
        </w:rPr>
        <w:t>I</w:t>
      </w:r>
      <w:r w:rsidRPr="001810A0">
        <w:rPr>
          <w:rFonts w:eastAsia="Calibri"/>
        </w:rPr>
        <w:t>. Respuesta del Sujeto Obligado</w:t>
      </w:r>
      <w:bookmarkEnd w:id="3"/>
    </w:p>
    <w:p w14:paraId="204EEF7D" w14:textId="77777777" w:rsidR="00234760" w:rsidRPr="001810A0" w:rsidRDefault="00234760" w:rsidP="001A619C">
      <w:pPr>
        <w:spacing w:after="0" w:line="360" w:lineRule="auto"/>
        <w:contextualSpacing/>
        <w:jc w:val="both"/>
        <w:rPr>
          <w:rFonts w:ascii="Palatino Linotype" w:eastAsia="Calibri" w:hAnsi="Palatino Linotype" w:cs="Times New Roman"/>
          <w:kern w:val="0"/>
          <w14:ligatures w14:val="none"/>
        </w:rPr>
      </w:pPr>
    </w:p>
    <w:p w14:paraId="0F464B55" w14:textId="77777777" w:rsidR="00234760" w:rsidRPr="001810A0" w:rsidRDefault="00234760" w:rsidP="001A619C">
      <w:pPr>
        <w:spacing w:after="0" w:line="360" w:lineRule="auto"/>
        <w:contextualSpacing/>
        <w:jc w:val="both"/>
        <w:rPr>
          <w:rFonts w:ascii="Palatino Linotype" w:eastAsia="Calibri" w:hAnsi="Palatino Linotype" w:cs="Times New Roman"/>
          <w:kern w:val="0"/>
          <w14:ligatures w14:val="none"/>
        </w:rPr>
      </w:pPr>
      <w:r w:rsidRPr="001810A0">
        <w:rPr>
          <w:rFonts w:ascii="Palatino Linotype" w:eastAsia="Calibri" w:hAnsi="Palatino Linotype" w:cs="Times New Roman"/>
          <w:kern w:val="0"/>
          <w14:ligatures w14:val="none"/>
        </w:rPr>
        <w:t>De conformidad con el artículo 136, párrafo primero de la Ley de Transparencia y Acceso a</w:t>
      </w:r>
    </w:p>
    <w:p w14:paraId="16C4A2D8" w14:textId="77777777" w:rsidR="00234760" w:rsidRPr="001810A0" w:rsidRDefault="00234760" w:rsidP="001A619C">
      <w:pPr>
        <w:spacing w:after="0" w:line="360" w:lineRule="auto"/>
        <w:contextualSpacing/>
        <w:jc w:val="both"/>
        <w:rPr>
          <w:rFonts w:ascii="Palatino Linotype" w:eastAsia="Times New Roman" w:hAnsi="Palatino Linotype" w:cs="Times New Roman"/>
          <w:b/>
          <w:bCs/>
          <w:kern w:val="0"/>
          <w:lang w:eastAsia="es-ES"/>
          <w14:ligatures w14:val="none"/>
        </w:rPr>
      </w:pPr>
      <w:r w:rsidRPr="001810A0">
        <w:rPr>
          <w:rFonts w:ascii="Palatino Linotype" w:eastAsia="Calibri" w:hAnsi="Palatino Linotype" w:cs="Times New Roman"/>
          <w:kern w:val="0"/>
          <w14:ligatures w14:val="none"/>
        </w:rPr>
        <w:t xml:space="preserve">la Información Pública del Estado de México y Municipios, el Sujeto Obligado debió dar contestación a la solicitud de acceso a la información; sin embargo, de las constancias que obran en el expediente electrónico del Sistema de Acceso a la Información Mexiquense (SAIMEX), se advierte que el </w:t>
      </w:r>
      <w:r w:rsidRPr="001810A0">
        <w:rPr>
          <w:rFonts w:ascii="Palatino Linotype" w:eastAsia="Times New Roman" w:hAnsi="Palatino Linotype" w:cs="Times New Roman"/>
          <w:b/>
          <w:bCs/>
          <w:kern w:val="0"/>
          <w:lang w:eastAsia="es-ES"/>
          <w14:ligatures w14:val="none"/>
        </w:rPr>
        <w:t>Ayuntamiento de Tepotzotlán</w:t>
      </w:r>
      <w:r w:rsidRPr="001810A0">
        <w:rPr>
          <w:rFonts w:ascii="Palatino Linotype" w:eastAsia="Calibri" w:hAnsi="Palatino Linotype" w:cs="Times New Roman"/>
          <w:kern w:val="0"/>
          <w14:ligatures w14:val="none"/>
        </w:rPr>
        <w:t xml:space="preserve">, omitió dar respuesta a la solicitud de información, por lo que se </w:t>
      </w:r>
      <w:r w:rsidRPr="001810A0">
        <w:rPr>
          <w:rFonts w:ascii="Palatino Linotype" w:eastAsia="Calibri" w:hAnsi="Palatino Linotype" w:cs="Times New Roman"/>
          <w:b/>
          <w:kern w:val="0"/>
          <w14:ligatures w14:val="none"/>
        </w:rPr>
        <w:t>configura la negativa ficta</w:t>
      </w:r>
      <w:r w:rsidRPr="001810A0">
        <w:rPr>
          <w:rFonts w:ascii="Palatino Linotype" w:eastAsia="Calibri" w:hAnsi="Palatino Linotype" w:cs="Times New Roman"/>
          <w:kern w:val="0"/>
          <w14:ligatures w14:val="none"/>
        </w:rPr>
        <w:t xml:space="preserve"> a entregar información, prevista, en los artículos 166, párrafo cuarto y 178, párrafo segundo de la Ley de Transparencia y Acceso a la Información Pública del Estado de México y Municipios.</w:t>
      </w:r>
    </w:p>
    <w:p w14:paraId="10A7FD55"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eastAsia="es-ES"/>
          <w14:ligatures w14:val="none"/>
        </w:rPr>
      </w:pPr>
    </w:p>
    <w:p w14:paraId="17AE5696" w14:textId="71914A32" w:rsidR="00234760" w:rsidRPr="001810A0" w:rsidRDefault="00AE1D23" w:rsidP="001A619C">
      <w:pPr>
        <w:pStyle w:val="Ttulo2"/>
        <w:rPr>
          <w:rFonts w:eastAsia="Calibri"/>
        </w:rPr>
      </w:pPr>
      <w:bookmarkStart w:id="4" w:name="_Toc188524596"/>
      <w:r w:rsidRPr="001810A0">
        <w:rPr>
          <w:rFonts w:eastAsia="Calibri"/>
        </w:rPr>
        <w:t>IV</w:t>
      </w:r>
      <w:r w:rsidR="00234760" w:rsidRPr="001810A0">
        <w:rPr>
          <w:rFonts w:eastAsia="Calibri"/>
        </w:rPr>
        <w:t>. Interposición del Recurso de Revisión</w:t>
      </w:r>
      <w:bookmarkEnd w:id="4"/>
    </w:p>
    <w:p w14:paraId="163C6E85" w14:textId="77777777" w:rsidR="00234760" w:rsidRPr="001810A0" w:rsidRDefault="00234760" w:rsidP="001A619C">
      <w:pPr>
        <w:spacing w:after="0" w:line="360" w:lineRule="auto"/>
        <w:contextualSpacing/>
        <w:jc w:val="both"/>
        <w:rPr>
          <w:rFonts w:ascii="Palatino Linotype" w:eastAsia="Calibri" w:hAnsi="Palatino Linotype" w:cs="Times New Roman"/>
          <w:b/>
          <w:bCs/>
          <w:color w:val="FF0000"/>
          <w:kern w:val="0"/>
          <w14:ligatures w14:val="none"/>
        </w:rPr>
      </w:pPr>
    </w:p>
    <w:p w14:paraId="2768965F" w14:textId="77777777" w:rsidR="00234760" w:rsidRPr="001810A0" w:rsidRDefault="00234760" w:rsidP="001A619C">
      <w:pPr>
        <w:spacing w:after="0" w:line="360" w:lineRule="auto"/>
        <w:contextualSpacing/>
        <w:jc w:val="both"/>
        <w:rPr>
          <w:rFonts w:ascii="Palatino Linotype" w:eastAsia="Calibri" w:hAnsi="Palatino Linotype" w:cs="Tahoma"/>
          <w:kern w:val="0"/>
          <w14:ligatures w14:val="none"/>
        </w:rPr>
      </w:pPr>
      <w:r w:rsidRPr="001810A0">
        <w:rPr>
          <w:rFonts w:ascii="Palatino Linotype" w:eastAsia="Calibri" w:hAnsi="Palatino Linotype" w:cs="Tahoma"/>
          <w:kern w:val="0"/>
          <w14:ligatures w14:val="none"/>
        </w:rPr>
        <w:t xml:space="preserve">Con fecha seis de diciembre de dos mil veinticuatro, </w:t>
      </w:r>
      <w:r w:rsidRPr="001810A0">
        <w:rPr>
          <w:rFonts w:ascii="Palatino Linotype" w:eastAsia="Calibri" w:hAnsi="Palatino Linotype" w:cs="Tahoma"/>
          <w:kern w:val="0"/>
          <w:lang w:val="es-ES"/>
          <w14:ligatures w14:val="none"/>
        </w:rPr>
        <w:t xml:space="preserve">el Particular interpuso un Recurso de Revisión ante este Instituto, a través del Sistema de Acceso a la Información Mexiquense (SAIMEX), en contra de la falta de respuesta del </w:t>
      </w:r>
      <w:r w:rsidRPr="001810A0">
        <w:rPr>
          <w:rFonts w:ascii="Palatino Linotype" w:eastAsia="Times New Roman" w:hAnsi="Palatino Linotype" w:cs="Times New Roman"/>
          <w:bCs/>
          <w:kern w:val="0"/>
          <w:lang w:eastAsia="es-ES"/>
          <w14:ligatures w14:val="none"/>
        </w:rPr>
        <w:t>Ayuntamiento de Tepotzotlán</w:t>
      </w:r>
      <w:r w:rsidRPr="001810A0">
        <w:rPr>
          <w:rFonts w:ascii="Palatino Linotype" w:eastAsia="Calibri" w:hAnsi="Palatino Linotype" w:cs="Tahoma"/>
          <w:kern w:val="0"/>
          <w:lang w:val="es-ES"/>
          <w14:ligatures w14:val="none"/>
        </w:rPr>
        <w:t xml:space="preserve">, a la solicitud de información, en los siguientes términos: </w:t>
      </w:r>
    </w:p>
    <w:p w14:paraId="725D7ADF" w14:textId="77777777" w:rsidR="00234760" w:rsidRPr="001810A0" w:rsidRDefault="00234760" w:rsidP="001A619C">
      <w:pPr>
        <w:spacing w:after="0" w:line="360" w:lineRule="auto"/>
        <w:ind w:left="567" w:right="567"/>
        <w:contextualSpacing/>
        <w:jc w:val="both"/>
        <w:rPr>
          <w:rFonts w:ascii="Palatino Linotype" w:eastAsia="Calibri" w:hAnsi="Palatino Linotype" w:cs="Times New Roman"/>
          <w:b/>
          <w:bCs/>
          <w:i/>
          <w:color w:val="FF0000"/>
          <w:kern w:val="0"/>
          <w:sz w:val="20"/>
          <w:szCs w:val="20"/>
          <w14:ligatures w14:val="none"/>
        </w:rPr>
      </w:pPr>
    </w:p>
    <w:p w14:paraId="073FBE57" w14:textId="77777777" w:rsidR="00234760" w:rsidRPr="001810A0" w:rsidRDefault="00234760" w:rsidP="001A619C">
      <w:pPr>
        <w:spacing w:after="0" w:line="360" w:lineRule="auto"/>
        <w:ind w:left="567" w:right="567"/>
        <w:contextualSpacing/>
        <w:jc w:val="both"/>
        <w:rPr>
          <w:rFonts w:ascii="Palatino Linotype" w:eastAsia="Calibri" w:hAnsi="Palatino Linotype" w:cs="Times New Roman"/>
          <w:bCs/>
          <w:i/>
          <w:kern w:val="0"/>
          <w:sz w:val="20"/>
          <w:szCs w:val="20"/>
          <w14:ligatures w14:val="none"/>
        </w:rPr>
      </w:pPr>
      <w:r w:rsidRPr="001810A0">
        <w:rPr>
          <w:rFonts w:ascii="Palatino Linotype" w:eastAsia="Calibri" w:hAnsi="Palatino Linotype" w:cs="Times New Roman"/>
          <w:b/>
          <w:bCs/>
          <w:i/>
          <w:kern w:val="0"/>
          <w:sz w:val="20"/>
          <w:szCs w:val="20"/>
          <w14:ligatures w14:val="none"/>
        </w:rPr>
        <w:t>“ACTO IMPUGNADO</w:t>
      </w:r>
    </w:p>
    <w:p w14:paraId="3375D6DD" w14:textId="77777777" w:rsidR="00234760" w:rsidRPr="001810A0" w:rsidRDefault="00234760" w:rsidP="001A619C">
      <w:pPr>
        <w:spacing w:after="0" w:line="360" w:lineRule="auto"/>
        <w:ind w:left="567" w:right="567"/>
        <w:contextualSpacing/>
        <w:jc w:val="both"/>
        <w:rPr>
          <w:rFonts w:ascii="Palatino Linotype" w:eastAsia="Times New Roman" w:hAnsi="Palatino Linotype" w:cs="Times New Roman"/>
          <w:i/>
          <w:kern w:val="0"/>
          <w:sz w:val="20"/>
          <w:szCs w:val="20"/>
          <w:lang w:eastAsia="es-ES"/>
          <w14:ligatures w14:val="none"/>
        </w:rPr>
      </w:pPr>
      <w:r w:rsidRPr="001810A0">
        <w:rPr>
          <w:rFonts w:ascii="Palatino Linotype" w:eastAsia="Times New Roman" w:hAnsi="Palatino Linotype" w:cs="Times New Roman"/>
          <w:i/>
          <w:kern w:val="0"/>
          <w:sz w:val="20"/>
          <w:szCs w:val="20"/>
          <w:lang w:eastAsia="es-ES"/>
          <w14:ligatures w14:val="none"/>
        </w:rPr>
        <w:t>No contestaron la información solicitada. “Sic)</w:t>
      </w:r>
    </w:p>
    <w:p w14:paraId="4AC0AC29" w14:textId="77777777" w:rsidR="00234760" w:rsidRPr="001810A0" w:rsidRDefault="00234760" w:rsidP="001A619C">
      <w:pPr>
        <w:spacing w:after="0" w:line="360" w:lineRule="auto"/>
        <w:ind w:right="567"/>
        <w:contextualSpacing/>
        <w:jc w:val="both"/>
        <w:rPr>
          <w:rFonts w:ascii="Palatino Linotype" w:eastAsia="Calibri" w:hAnsi="Palatino Linotype" w:cs="Times New Roman"/>
          <w:i/>
          <w:color w:val="FF0000"/>
          <w:kern w:val="0"/>
          <w:sz w:val="20"/>
          <w:szCs w:val="20"/>
          <w14:ligatures w14:val="none"/>
        </w:rPr>
      </w:pPr>
    </w:p>
    <w:p w14:paraId="5C996C7F" w14:textId="77777777" w:rsidR="00234760" w:rsidRPr="001810A0" w:rsidRDefault="00234760" w:rsidP="001A619C">
      <w:pPr>
        <w:tabs>
          <w:tab w:val="left" w:pos="4667"/>
        </w:tabs>
        <w:spacing w:after="0" w:line="360" w:lineRule="auto"/>
        <w:ind w:left="567" w:right="567"/>
        <w:contextualSpacing/>
        <w:jc w:val="both"/>
        <w:rPr>
          <w:rFonts w:ascii="Palatino Linotype" w:eastAsia="Times New Roman" w:hAnsi="Palatino Linotype" w:cs="Tahoma"/>
          <w:b/>
          <w:bCs/>
          <w:i/>
          <w:kern w:val="0"/>
          <w:sz w:val="20"/>
          <w:szCs w:val="20"/>
          <w:lang w:eastAsia="es-ES"/>
          <w14:ligatures w14:val="none"/>
        </w:rPr>
      </w:pPr>
      <w:r w:rsidRPr="001810A0">
        <w:rPr>
          <w:rFonts w:ascii="Palatino Linotype" w:eastAsia="Times New Roman" w:hAnsi="Palatino Linotype" w:cs="Tahoma"/>
          <w:b/>
          <w:bCs/>
          <w:i/>
          <w:kern w:val="0"/>
          <w:sz w:val="20"/>
          <w:szCs w:val="20"/>
          <w:lang w:eastAsia="es-ES"/>
          <w14:ligatures w14:val="none"/>
        </w:rPr>
        <w:t>“RAZONES O MOTIVOS DE LA INCONFORMIDAD</w:t>
      </w:r>
    </w:p>
    <w:p w14:paraId="04E4288B" w14:textId="77777777" w:rsidR="00234760" w:rsidRPr="001810A0" w:rsidRDefault="00234760" w:rsidP="001A619C">
      <w:pPr>
        <w:spacing w:after="0" w:line="360" w:lineRule="auto"/>
        <w:ind w:left="567" w:right="567"/>
        <w:contextualSpacing/>
        <w:jc w:val="both"/>
        <w:rPr>
          <w:rFonts w:ascii="Palatino Linotype" w:eastAsia="Times New Roman" w:hAnsi="Palatino Linotype" w:cs="Tahoma"/>
          <w:i/>
          <w:kern w:val="0"/>
          <w:sz w:val="20"/>
          <w:szCs w:val="20"/>
          <w:lang w:eastAsia="es-ES"/>
          <w14:ligatures w14:val="none"/>
        </w:rPr>
      </w:pPr>
      <w:r w:rsidRPr="001810A0">
        <w:rPr>
          <w:rFonts w:ascii="Palatino Linotype" w:eastAsia="Times New Roman" w:hAnsi="Palatino Linotype" w:cs="Tahoma"/>
          <w:i/>
          <w:kern w:val="0"/>
          <w:sz w:val="20"/>
          <w:szCs w:val="20"/>
          <w:lang w:eastAsia="es-ES"/>
          <w14:ligatures w14:val="none"/>
        </w:rPr>
        <w:t>No contestaron” (Sic.)</w:t>
      </w:r>
    </w:p>
    <w:p w14:paraId="3FF41F42" w14:textId="77777777" w:rsidR="00234760" w:rsidRPr="001810A0" w:rsidRDefault="00234760" w:rsidP="001A619C">
      <w:pPr>
        <w:spacing w:after="0" w:line="360" w:lineRule="auto"/>
        <w:contextualSpacing/>
        <w:jc w:val="both"/>
        <w:rPr>
          <w:rFonts w:ascii="Palatino Linotype" w:eastAsia="Calibri" w:hAnsi="Palatino Linotype" w:cs="Times New Roman"/>
          <w:b/>
          <w:bCs/>
          <w:color w:val="FF0000"/>
          <w:kern w:val="0"/>
          <w14:ligatures w14:val="none"/>
        </w:rPr>
      </w:pPr>
    </w:p>
    <w:p w14:paraId="135FFAC0" w14:textId="6DD84624" w:rsidR="00234760" w:rsidRPr="001810A0" w:rsidRDefault="00234760" w:rsidP="001A619C">
      <w:pPr>
        <w:pStyle w:val="Ttulo2"/>
        <w:rPr>
          <w:rFonts w:eastAsia="Calibri"/>
        </w:rPr>
      </w:pPr>
      <w:bookmarkStart w:id="5" w:name="_Toc188524597"/>
      <w:r w:rsidRPr="001810A0">
        <w:rPr>
          <w:rFonts w:eastAsia="Calibri"/>
        </w:rPr>
        <w:t>V. Trámite del Recurso de Revisión ante el Instituto</w:t>
      </w:r>
      <w:bookmarkEnd w:id="5"/>
    </w:p>
    <w:p w14:paraId="64234E12" w14:textId="77777777" w:rsidR="00234760" w:rsidRPr="001810A0" w:rsidRDefault="00234760" w:rsidP="001A619C">
      <w:pPr>
        <w:spacing w:after="0" w:line="360" w:lineRule="auto"/>
        <w:contextualSpacing/>
        <w:jc w:val="both"/>
        <w:rPr>
          <w:rFonts w:ascii="Palatino Linotype" w:eastAsia="Calibri" w:hAnsi="Palatino Linotype" w:cs="Times New Roman"/>
          <w:color w:val="FF0000"/>
          <w:kern w:val="0"/>
          <w14:ligatures w14:val="none"/>
        </w:rPr>
      </w:pPr>
    </w:p>
    <w:p w14:paraId="3976FCD4" w14:textId="77777777" w:rsidR="00234760" w:rsidRPr="001810A0" w:rsidRDefault="00234760" w:rsidP="001A619C">
      <w:pPr>
        <w:spacing w:after="0" w:line="360" w:lineRule="auto"/>
        <w:contextualSpacing/>
        <w:jc w:val="both"/>
        <w:rPr>
          <w:rFonts w:ascii="Palatino Linotype" w:eastAsia="Calibri" w:hAnsi="Palatino Linotype" w:cs="Times New Roman"/>
          <w:kern w:val="0"/>
          <w14:ligatures w14:val="none"/>
        </w:rPr>
      </w:pPr>
      <w:r w:rsidRPr="001810A0">
        <w:rPr>
          <w:rFonts w:ascii="Palatino Linotype" w:eastAsia="Calibri" w:hAnsi="Palatino Linotype" w:cs="Times New Roman"/>
          <w:b/>
          <w:bCs/>
          <w:kern w:val="0"/>
          <w14:ligatures w14:val="none"/>
        </w:rPr>
        <w:t xml:space="preserve">a) Turno del Recurso de Revisión. </w:t>
      </w:r>
      <w:r w:rsidRPr="001810A0">
        <w:rPr>
          <w:rFonts w:ascii="Palatino Linotype" w:eastAsia="Calibri" w:hAnsi="Palatino Linotype" w:cs="Times New Roman"/>
          <w:kern w:val="0"/>
          <w14:ligatures w14:val="none"/>
        </w:rPr>
        <w:t xml:space="preserve">El </w:t>
      </w:r>
      <w:r w:rsidRPr="001810A0">
        <w:rPr>
          <w:rFonts w:ascii="Palatino Linotype" w:eastAsia="Calibri" w:hAnsi="Palatino Linotype" w:cs="Tahoma"/>
          <w:kern w:val="0"/>
          <w14:ligatures w14:val="none"/>
        </w:rPr>
        <w:t>seis de diciembre de dos mil veinticuatro,</w:t>
      </w:r>
      <w:r w:rsidRPr="001810A0">
        <w:rPr>
          <w:rFonts w:ascii="Palatino Linotype" w:eastAsia="Calibri" w:hAnsi="Palatino Linotype" w:cs="Times New Roman"/>
          <w:kern w:val="0"/>
          <w14:ligatures w14:val="none"/>
        </w:rPr>
        <w:t xml:space="preserve"> </w:t>
      </w:r>
      <w:r w:rsidRPr="001810A0">
        <w:rPr>
          <w:rFonts w:ascii="Palatino Linotype" w:eastAsia="Batang" w:hAnsi="Palatino Linotype" w:cs="Tahoma"/>
          <w:bCs/>
          <w:kern w:val="0"/>
          <w:lang w:eastAsia="es-ES"/>
          <w14:ligatures w14:val="none"/>
        </w:rPr>
        <w:t xml:space="preserve">el </w:t>
      </w:r>
      <w:r w:rsidRPr="001810A0">
        <w:rPr>
          <w:rFonts w:ascii="Palatino Linotype" w:eastAsia="Times New Roman" w:hAnsi="Palatino Linotype" w:cs="Tahoma"/>
          <w:kern w:val="0"/>
          <w:lang w:val="es-ES" w:eastAsia="es-ES"/>
          <w14:ligatures w14:val="none"/>
        </w:rPr>
        <w:t>Sistema de Acceso a la Información Mexiquense (SAIMEX),</w:t>
      </w:r>
      <w:r w:rsidRPr="001810A0">
        <w:rPr>
          <w:rFonts w:ascii="Palatino Linotype" w:eastAsia="Batang" w:hAnsi="Palatino Linotype" w:cs="Tahoma"/>
          <w:bCs/>
          <w:kern w:val="0"/>
          <w:lang w:eastAsia="es-ES"/>
          <w14:ligatures w14:val="none"/>
        </w:rPr>
        <w:t xml:space="preserve"> asignó el número de expediente </w:t>
      </w:r>
      <w:r w:rsidRPr="001810A0">
        <w:rPr>
          <w:rFonts w:ascii="Palatino Linotype" w:eastAsia="Batang" w:hAnsi="Palatino Linotype" w:cs="Tahoma"/>
          <w:b/>
          <w:bCs/>
          <w:kern w:val="0"/>
          <w:lang w:eastAsia="es-ES"/>
          <w14:ligatures w14:val="none"/>
        </w:rPr>
        <w:t>07511/INFOEM/IP/RR/2024</w:t>
      </w:r>
      <w:r w:rsidRPr="001810A0">
        <w:rPr>
          <w:rFonts w:ascii="Palatino Linotype" w:eastAsia="Batang" w:hAnsi="Palatino Linotype" w:cs="Tahoma"/>
          <w:bCs/>
          <w:kern w:val="0"/>
          <w:lang w:eastAsia="es-ES"/>
          <w14:ligatures w14:val="none"/>
        </w:rPr>
        <w:t>, al medio de impugnación que nos ocupa, con base en el sistema aprobado por el Pleno de este Órgano Garante y lo turnó al Comisionado Ponente Luis Gustavo Parra Noriega, para los efectos del artículo 185, fracción I de la Ley de Transparencia y Acceso a la Información Pública del Estado de México y Municipios.</w:t>
      </w:r>
    </w:p>
    <w:p w14:paraId="24CE2743" w14:textId="77777777" w:rsidR="00234760" w:rsidRPr="001810A0" w:rsidRDefault="00234760" w:rsidP="001A619C">
      <w:pPr>
        <w:spacing w:after="0" w:line="360" w:lineRule="auto"/>
        <w:contextualSpacing/>
        <w:jc w:val="both"/>
        <w:rPr>
          <w:rFonts w:ascii="Palatino Linotype" w:eastAsia="Batang" w:hAnsi="Palatino Linotype" w:cs="Tahoma"/>
          <w:bCs/>
          <w:color w:val="FF0000"/>
          <w:kern w:val="0"/>
          <w:lang w:eastAsia="es-ES"/>
          <w14:ligatures w14:val="none"/>
        </w:rPr>
      </w:pPr>
    </w:p>
    <w:p w14:paraId="13C4EB71" w14:textId="77777777" w:rsidR="00234760" w:rsidRPr="001810A0" w:rsidRDefault="00234760" w:rsidP="001A619C">
      <w:pPr>
        <w:spacing w:after="0" w:line="360" w:lineRule="auto"/>
        <w:contextualSpacing/>
        <w:jc w:val="both"/>
        <w:rPr>
          <w:rFonts w:ascii="Palatino Linotype" w:eastAsia="Batang" w:hAnsi="Palatino Linotype" w:cs="Tahoma"/>
          <w:bCs/>
          <w:kern w:val="0"/>
          <w:lang w:eastAsia="es-ES"/>
          <w14:ligatures w14:val="none"/>
        </w:rPr>
      </w:pPr>
      <w:r w:rsidRPr="001810A0">
        <w:rPr>
          <w:rFonts w:ascii="Palatino Linotype" w:eastAsia="Batang" w:hAnsi="Palatino Linotype" w:cs="Tahoma"/>
          <w:b/>
          <w:bCs/>
          <w:kern w:val="0"/>
          <w:lang w:eastAsia="es-ES"/>
          <w14:ligatures w14:val="none"/>
        </w:rPr>
        <w:t xml:space="preserve">b) Admisión del </w:t>
      </w:r>
      <w:r w:rsidRPr="001810A0">
        <w:rPr>
          <w:rFonts w:ascii="Palatino Linotype" w:eastAsia="Times New Roman" w:hAnsi="Palatino Linotype" w:cs="Tahoma"/>
          <w:b/>
          <w:kern w:val="0"/>
          <w:lang w:eastAsia="es-ES"/>
          <w14:ligatures w14:val="none"/>
        </w:rPr>
        <w:t>Recurso de Revisión</w:t>
      </w:r>
      <w:r w:rsidRPr="001810A0">
        <w:rPr>
          <w:rFonts w:ascii="Palatino Linotype" w:eastAsia="Batang" w:hAnsi="Palatino Linotype" w:cs="Tahoma"/>
          <w:b/>
          <w:bCs/>
          <w:kern w:val="0"/>
          <w:lang w:val="es-ES_tradnl" w:eastAsia="es-ES"/>
          <w14:ligatures w14:val="none"/>
        </w:rPr>
        <w:t xml:space="preserve">. </w:t>
      </w:r>
      <w:r w:rsidRPr="001810A0">
        <w:rPr>
          <w:rFonts w:ascii="Palatino Linotype" w:eastAsia="Batang" w:hAnsi="Palatino Linotype" w:cs="Tahoma"/>
          <w:bCs/>
          <w:kern w:val="0"/>
          <w:lang w:eastAsia="es-ES"/>
          <w14:ligatures w14:val="none"/>
        </w:rPr>
        <w:t xml:space="preserve">El once de diciembre de dos mil veinticuatro, </w:t>
      </w:r>
      <w:r w:rsidRPr="001810A0">
        <w:rPr>
          <w:rFonts w:ascii="Palatino Linotype" w:eastAsia="Batang" w:hAnsi="Palatino Linotype" w:cs="Tahoma"/>
          <w:bCs/>
          <w:kern w:val="0"/>
          <w:lang w:val="es-ES_tradnl" w:eastAsia="es-ES"/>
          <w14:ligatures w14:val="none"/>
        </w:rPr>
        <w:t>se acordó la admisión del Recurso de Revisión interpuesto por el Recurrente en contra del Sujeto Obligado, en términos del artículo 185, fracciones I y II de la Ley de Transparencia y Acceso a la Información Pública del Estado de México y Municipios, el cual fue notificado a las partes el dieciséis del mismo mes y año, a través del Sistema de Acceso a la Información Mexiquense (SAIMEX), en el que se les otorgó un plazo de siete días hábiles posteriores a la misma, para que manifestaran lo que a su derecho conviniera y formularan alegatos.</w:t>
      </w:r>
    </w:p>
    <w:p w14:paraId="04890713" w14:textId="77777777" w:rsidR="00234760" w:rsidRPr="001810A0" w:rsidRDefault="00234760" w:rsidP="001A619C">
      <w:pPr>
        <w:spacing w:after="0" w:line="360" w:lineRule="auto"/>
        <w:contextualSpacing/>
        <w:jc w:val="both"/>
        <w:rPr>
          <w:rFonts w:ascii="Palatino Linotype" w:eastAsia="Batang" w:hAnsi="Palatino Linotype" w:cs="Tahoma"/>
          <w:bCs/>
          <w:color w:val="FF0000"/>
          <w:kern w:val="0"/>
          <w:lang w:val="es-ES_tradnl" w:eastAsia="es-ES"/>
          <w14:ligatures w14:val="none"/>
        </w:rPr>
      </w:pPr>
    </w:p>
    <w:p w14:paraId="17E12026" w14:textId="77777777" w:rsidR="00234760" w:rsidRPr="001810A0" w:rsidRDefault="00234760" w:rsidP="001A619C">
      <w:pPr>
        <w:spacing w:after="0" w:line="360" w:lineRule="auto"/>
        <w:contextualSpacing/>
        <w:jc w:val="both"/>
        <w:rPr>
          <w:rFonts w:ascii="Palatino Linotype" w:eastAsia="Calibri" w:hAnsi="Palatino Linotype" w:cs="Times New Roman"/>
          <w:noProof/>
          <w:kern w:val="0"/>
          <w14:ligatures w14:val="none"/>
        </w:rPr>
      </w:pPr>
      <w:r w:rsidRPr="001810A0">
        <w:rPr>
          <w:rFonts w:ascii="Palatino Linotype" w:eastAsia="Times New Roman" w:hAnsi="Palatino Linotype" w:cs="Tahoma"/>
          <w:b/>
          <w:kern w:val="0"/>
          <w:lang w:eastAsia="es-ES"/>
          <w14:ligatures w14:val="none"/>
        </w:rPr>
        <w:t>c)</w:t>
      </w:r>
      <w:r w:rsidRPr="001810A0">
        <w:rPr>
          <w:rFonts w:ascii="Palatino Linotype" w:eastAsia="Times New Roman" w:hAnsi="Palatino Linotype" w:cs="Tahoma"/>
          <w:kern w:val="0"/>
          <w:lang w:val="es-ES_tradnl" w:eastAsia="es-ES"/>
          <w14:ligatures w14:val="none"/>
        </w:rPr>
        <w:t xml:space="preserve"> </w:t>
      </w:r>
      <w:r w:rsidRPr="001810A0">
        <w:rPr>
          <w:rFonts w:ascii="Palatino Linotype" w:eastAsia="Times New Roman" w:hAnsi="Palatino Linotype" w:cs="Tahoma"/>
          <w:b/>
          <w:kern w:val="0"/>
          <w:lang w:val="es-ES_tradnl" w:eastAsia="es-ES"/>
          <w14:ligatures w14:val="none"/>
        </w:rPr>
        <w:t xml:space="preserve">Informe Justificado o manifestaciones. </w:t>
      </w:r>
      <w:r w:rsidRPr="001810A0">
        <w:rPr>
          <w:rFonts w:ascii="Palatino Linotype" w:eastAsia="Times New Roman" w:hAnsi="Palatino Linotype" w:cs="Tahoma"/>
          <w:bCs/>
          <w:kern w:val="0"/>
          <w:lang w:val="es-ES_tradnl" w:eastAsia="es-ES"/>
          <w14:ligatures w14:val="none"/>
        </w:rPr>
        <w:t>Las partes fueron omisas en emitir manifestaciones o alegatos</w:t>
      </w:r>
    </w:p>
    <w:p w14:paraId="329B06C8" w14:textId="77777777" w:rsidR="00234760" w:rsidRPr="001810A0" w:rsidRDefault="00234760" w:rsidP="001A619C">
      <w:pPr>
        <w:spacing w:after="0" w:line="360" w:lineRule="auto"/>
        <w:contextualSpacing/>
        <w:jc w:val="both"/>
        <w:rPr>
          <w:rFonts w:ascii="Palatino Linotype" w:eastAsia="Times New Roman" w:hAnsi="Palatino Linotype" w:cs="Tahoma"/>
          <w:b/>
          <w:kern w:val="0"/>
          <w:sz w:val="18"/>
          <w:lang w:eastAsia="es-ES"/>
          <w14:ligatures w14:val="none"/>
        </w:rPr>
      </w:pPr>
    </w:p>
    <w:p w14:paraId="005FEA3F" w14:textId="5CAA1964" w:rsidR="00234760" w:rsidRPr="001810A0" w:rsidRDefault="00234760" w:rsidP="001A619C">
      <w:pPr>
        <w:spacing w:after="0" w:line="360" w:lineRule="auto"/>
        <w:contextualSpacing/>
        <w:jc w:val="both"/>
        <w:rPr>
          <w:rFonts w:ascii="Palatino Linotype" w:eastAsia="Times New Roman" w:hAnsi="Palatino Linotype" w:cs="Times New Roman"/>
          <w:kern w:val="0"/>
          <w:lang w:eastAsia="es-ES"/>
          <w14:ligatures w14:val="none"/>
        </w:rPr>
      </w:pPr>
      <w:r w:rsidRPr="001810A0">
        <w:rPr>
          <w:rFonts w:ascii="Palatino Linotype" w:eastAsia="Times New Roman" w:hAnsi="Palatino Linotype" w:cs="Times New Roman"/>
          <w:b/>
          <w:kern w:val="0"/>
          <w:lang w:eastAsia="es-ES"/>
          <w14:ligatures w14:val="none"/>
        </w:rPr>
        <w:t xml:space="preserve">d) Cierre de instrucción. </w:t>
      </w:r>
      <w:r w:rsidRPr="001810A0">
        <w:rPr>
          <w:rFonts w:ascii="Palatino Linotype" w:eastAsia="Times New Roman" w:hAnsi="Palatino Linotype" w:cs="Times New Roman"/>
          <w:kern w:val="0"/>
          <w:lang w:eastAsia="es-ES"/>
          <w14:ligatures w14:val="none"/>
        </w:rPr>
        <w:t xml:space="preserve">El </w:t>
      </w:r>
      <w:r w:rsidR="008E2B21" w:rsidRPr="001810A0">
        <w:rPr>
          <w:rFonts w:ascii="Palatino Linotype" w:eastAsia="Times New Roman" w:hAnsi="Palatino Linotype" w:cs="Times New Roman"/>
          <w:kern w:val="0"/>
          <w:lang w:eastAsia="es-ES"/>
          <w14:ligatures w14:val="none"/>
        </w:rPr>
        <w:t>dieciséis</w:t>
      </w:r>
      <w:r w:rsidRPr="001810A0">
        <w:rPr>
          <w:rFonts w:ascii="Palatino Linotype" w:eastAsia="Times New Roman" w:hAnsi="Palatino Linotype" w:cs="Times New Roman"/>
          <w:kern w:val="0"/>
          <w:lang w:eastAsia="es-ES"/>
          <w14:ligatures w14:val="none"/>
        </w:rPr>
        <w:t xml:space="preserve"> de enero de dos mil veinticuatro, al no existir diligencias pendientes por desahogar, se emitió el acuerdo por medio del cual se declaró cerrada la instrucción y, se pasó el expediente a resolución, en términos de lo dispuesto en los artículos 185, fracciones VI y VIII, de la Ley de Transparencia y Acceso a la Información Pública del Estado de México y Municipios; acto que fue notificado a las partes el mismo día, a través del Sistema de Acceso a la Información Mexiquense (SAIMEX). </w:t>
      </w:r>
    </w:p>
    <w:p w14:paraId="7AAA2037" w14:textId="77777777" w:rsidR="00234760" w:rsidRPr="001810A0" w:rsidRDefault="00234760" w:rsidP="001A619C">
      <w:pPr>
        <w:spacing w:after="0" w:line="360" w:lineRule="auto"/>
        <w:contextualSpacing/>
        <w:jc w:val="both"/>
        <w:rPr>
          <w:rFonts w:ascii="Palatino Linotype" w:eastAsia="Times New Roman" w:hAnsi="Palatino Linotype" w:cs="Tahoma"/>
          <w:b/>
          <w:color w:val="FF0000"/>
          <w:kern w:val="0"/>
          <w:sz w:val="18"/>
          <w:lang w:eastAsia="es-ES"/>
          <w14:ligatures w14:val="none"/>
        </w:rPr>
      </w:pPr>
    </w:p>
    <w:p w14:paraId="6BA2DA10"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r w:rsidRPr="001810A0">
        <w:rPr>
          <w:rFonts w:ascii="Palatino Linotype" w:eastAsia="Times New Roman" w:hAnsi="Palatino Linotype" w:cs="Tahoma"/>
          <w:kern w:val="0"/>
          <w:lang w:eastAsia="es-ES"/>
          <w14:ligatures w14:val="none"/>
        </w:rPr>
        <w:t xml:space="preserve">En razón de que fue debidamente sustanciado el expediente electrónico y no existe diligencia pendiente de desahogo, se emite la Resolución que conforme a Derecho proceda, de acuerdo con los siguientes: </w:t>
      </w:r>
    </w:p>
    <w:p w14:paraId="6194783E"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p>
    <w:p w14:paraId="17D5DA09" w14:textId="77777777" w:rsidR="00234760" w:rsidRPr="001810A0" w:rsidRDefault="00234760" w:rsidP="001A619C">
      <w:pPr>
        <w:spacing w:after="0" w:line="360" w:lineRule="auto"/>
        <w:contextualSpacing/>
        <w:jc w:val="center"/>
        <w:rPr>
          <w:rFonts w:ascii="Palatino Linotype" w:eastAsia="Times New Roman" w:hAnsi="Palatino Linotype" w:cs="Tahoma"/>
          <w:b/>
          <w:kern w:val="0"/>
          <w:szCs w:val="20"/>
          <w:lang w:val="es-ES" w:eastAsia="es-ES"/>
          <w14:ligatures w14:val="none"/>
        </w:rPr>
      </w:pPr>
      <w:r w:rsidRPr="001810A0">
        <w:rPr>
          <w:rFonts w:ascii="Palatino Linotype" w:eastAsia="Times New Roman" w:hAnsi="Palatino Linotype" w:cs="Tahoma"/>
          <w:b/>
          <w:kern w:val="0"/>
          <w:szCs w:val="20"/>
          <w:lang w:val="es-ES" w:eastAsia="es-ES"/>
          <w14:ligatures w14:val="none"/>
        </w:rPr>
        <w:t>C O N S I D E R A N D O S</w:t>
      </w:r>
    </w:p>
    <w:p w14:paraId="021A5A40" w14:textId="77777777" w:rsidR="00234760" w:rsidRPr="001810A0" w:rsidRDefault="00234760" w:rsidP="001A619C">
      <w:pPr>
        <w:spacing w:after="0" w:line="360" w:lineRule="auto"/>
        <w:contextualSpacing/>
        <w:jc w:val="both"/>
        <w:rPr>
          <w:rFonts w:ascii="Palatino Linotype" w:eastAsia="Times New Roman" w:hAnsi="Palatino Linotype" w:cs="Tahoma"/>
          <w:b/>
          <w:kern w:val="0"/>
          <w:szCs w:val="20"/>
          <w:lang w:val="es-ES" w:eastAsia="es-ES"/>
          <w14:ligatures w14:val="none"/>
        </w:rPr>
      </w:pPr>
    </w:p>
    <w:p w14:paraId="4804E799" w14:textId="77777777" w:rsidR="00234760" w:rsidRPr="001810A0" w:rsidRDefault="00234760" w:rsidP="001A619C">
      <w:pPr>
        <w:pStyle w:val="Ttulo2"/>
        <w:rPr>
          <w:rFonts w:eastAsia="Times New Roman"/>
          <w:lang w:val="es-ES" w:eastAsia="es-ES"/>
        </w:rPr>
      </w:pPr>
      <w:bookmarkStart w:id="6" w:name="_Toc188524598"/>
      <w:r w:rsidRPr="001810A0">
        <w:rPr>
          <w:rFonts w:eastAsia="Calibri"/>
          <w:lang w:val="es-ES" w:eastAsia="es-MX"/>
        </w:rPr>
        <w:t xml:space="preserve">PRIMERO. </w:t>
      </w:r>
      <w:r w:rsidRPr="001810A0">
        <w:rPr>
          <w:rFonts w:eastAsia="Times New Roman"/>
          <w:lang w:val="es-ES" w:eastAsia="es-ES"/>
        </w:rPr>
        <w:t>Competencia</w:t>
      </w:r>
      <w:bookmarkEnd w:id="6"/>
    </w:p>
    <w:p w14:paraId="7F35A1B6" w14:textId="77777777" w:rsidR="00234760" w:rsidRPr="001810A0" w:rsidRDefault="00234760" w:rsidP="001A619C">
      <w:pPr>
        <w:autoSpaceDE w:val="0"/>
        <w:autoSpaceDN w:val="0"/>
        <w:adjustRightInd w:val="0"/>
        <w:spacing w:after="0" w:line="360" w:lineRule="auto"/>
        <w:contextualSpacing/>
        <w:jc w:val="both"/>
        <w:rPr>
          <w:rFonts w:ascii="Palatino Linotype" w:eastAsia="Times New Roman" w:hAnsi="Palatino Linotype" w:cs="Tahoma"/>
          <w:b/>
          <w:kern w:val="0"/>
          <w:szCs w:val="20"/>
          <w:lang w:val="es-ES" w:eastAsia="es-ES"/>
          <w14:ligatures w14:val="none"/>
        </w:rPr>
      </w:pPr>
    </w:p>
    <w:p w14:paraId="4789BEC0" w14:textId="4C319032" w:rsidR="00234760" w:rsidRPr="001810A0" w:rsidRDefault="00234760" w:rsidP="001A619C">
      <w:pPr>
        <w:spacing w:after="0" w:line="360" w:lineRule="auto"/>
        <w:contextualSpacing/>
        <w:jc w:val="both"/>
        <w:rPr>
          <w:rFonts w:ascii="Palatino Linotype" w:eastAsia="Times New Roman" w:hAnsi="Palatino Linotype" w:cs="Tahoma"/>
          <w:bCs/>
          <w:kern w:val="0"/>
          <w:szCs w:val="20"/>
          <w:lang w:eastAsia="es-ES"/>
          <w14:ligatures w14:val="none"/>
        </w:rPr>
      </w:pPr>
      <w:bookmarkStart w:id="7" w:name="_Hlk63334754"/>
      <w:r w:rsidRPr="001810A0">
        <w:rPr>
          <w:rFonts w:ascii="Palatino Linotype" w:eastAsia="Times New Roman" w:hAnsi="Palatino Linotype" w:cs="Tahoma"/>
          <w:bCs/>
          <w:kern w:val="0"/>
          <w:szCs w:val="20"/>
          <w:lang w:eastAsia="es-ES"/>
          <w14:ligatures w14:val="none"/>
        </w:rPr>
        <w:t>El Instituto de Transparencia, Acceso a la Información Pública y Protección de Datos Personales del Estado de México y Municipios, es competente para conocer y resolver el presente recurso de revisión interpuesto por la persona recurrente, conforme a lo dispuesto en los artículos 5°, párrafos trigésimo segundo, trigésimo tercero y trigésimo cuarto, fracciones I, II, III, IV y V de la Constitución Política del Estado Libre y Soberano de México; 1°, 8°, 9°, 10, 56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w:t>
      </w:r>
      <w:r w:rsidRPr="001810A0">
        <w:rPr>
          <w:rFonts w:ascii="Palatino Linotype" w:eastAsia="Times New Roman" w:hAnsi="Palatino Linotype" w:cs="Times New Roman"/>
          <w:bCs/>
          <w:kern w:val="0"/>
          <w:szCs w:val="20"/>
          <w:lang w:eastAsia="es-ES"/>
          <w14:ligatures w14:val="none"/>
        </w:rPr>
        <w:t xml:space="preserve"> 7°, </w:t>
      </w:r>
      <w:r w:rsidRPr="001810A0">
        <w:rPr>
          <w:rFonts w:ascii="Palatino Linotype" w:eastAsia="Times New Roman" w:hAnsi="Palatino Linotype" w:cs="Tahoma"/>
          <w:bCs/>
          <w:kern w:val="0"/>
          <w:szCs w:val="20"/>
          <w:lang w:eastAsia="es-ES"/>
          <w14:ligatures w14:val="none"/>
        </w:rPr>
        <w:t>9°, fracciones I y XXIII y 11 del Reglamento Interior del Instituto de Transparencia, Acceso a la Información Pública y Protección de Datos Personales del Estado de México y Municipios.</w:t>
      </w:r>
      <w:bookmarkEnd w:id="7"/>
    </w:p>
    <w:p w14:paraId="0A679A81" w14:textId="77777777" w:rsidR="00234760" w:rsidRPr="001810A0" w:rsidRDefault="00234760" w:rsidP="001A619C">
      <w:pPr>
        <w:autoSpaceDE w:val="0"/>
        <w:autoSpaceDN w:val="0"/>
        <w:adjustRightInd w:val="0"/>
        <w:spacing w:after="0" w:line="360" w:lineRule="auto"/>
        <w:contextualSpacing/>
        <w:rPr>
          <w:rFonts w:ascii="Palatino Linotype" w:eastAsia="Calibri" w:hAnsi="Palatino Linotype" w:cs="Tahoma"/>
          <w:b/>
          <w:kern w:val="0"/>
          <w:szCs w:val="20"/>
          <w:lang w:val="es-ES" w:eastAsia="es-MX"/>
          <w14:ligatures w14:val="none"/>
        </w:rPr>
      </w:pPr>
    </w:p>
    <w:p w14:paraId="439EF6AB" w14:textId="77777777" w:rsidR="00234760" w:rsidRPr="001810A0" w:rsidRDefault="00234760" w:rsidP="001A619C">
      <w:pPr>
        <w:pStyle w:val="Ttulo2"/>
        <w:rPr>
          <w:rFonts w:eastAsia="Times New Roman"/>
          <w:lang w:val="es-ES" w:eastAsia="es-ES"/>
        </w:rPr>
      </w:pPr>
      <w:bookmarkStart w:id="8" w:name="_Toc188524599"/>
      <w:r w:rsidRPr="001810A0">
        <w:rPr>
          <w:rFonts w:eastAsia="Calibri"/>
          <w:lang w:val="es-ES" w:eastAsia="es-MX"/>
        </w:rPr>
        <w:t xml:space="preserve">SEGUNDO. </w:t>
      </w:r>
      <w:r w:rsidRPr="001810A0">
        <w:rPr>
          <w:rFonts w:eastAsia="Times New Roman"/>
          <w:lang w:val="es-ES" w:eastAsia="es-ES"/>
        </w:rPr>
        <w:t>Causales de improcedencia y sobreseimiento</w:t>
      </w:r>
      <w:bookmarkEnd w:id="8"/>
    </w:p>
    <w:p w14:paraId="4469D39D" w14:textId="77777777" w:rsidR="00234760" w:rsidRPr="001810A0" w:rsidRDefault="00234760" w:rsidP="001A619C">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p>
    <w:p w14:paraId="2AE8118B" w14:textId="77777777" w:rsidR="00234760" w:rsidRPr="001810A0" w:rsidRDefault="00234760" w:rsidP="001A619C">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r w:rsidRPr="001810A0">
        <w:rPr>
          <w:rFonts w:ascii="Palatino Linotype" w:eastAsia="Times New Roman" w:hAnsi="Palatino Linotype" w:cs="Tahoma"/>
          <w:kern w:val="0"/>
          <w:lang w:val="es-ES" w:eastAsia="es-ES"/>
          <w14:ligatures w14:val="none"/>
        </w:rPr>
        <w:t xml:space="preserve">De las constancias que forma parte del Recurso de Revisión que se analiza, se advierte que previo al estudio del fondo de la </w:t>
      </w:r>
      <w:r w:rsidRPr="001810A0">
        <w:rPr>
          <w:rFonts w:ascii="Palatino Linotype" w:eastAsia="Times New Roman" w:hAnsi="Palatino Linotype" w:cs="Tahoma"/>
          <w:i/>
          <w:kern w:val="0"/>
          <w:lang w:val="es-ES" w:eastAsia="es-ES"/>
          <w14:ligatures w14:val="none"/>
        </w:rPr>
        <w:t>litis</w:t>
      </w:r>
      <w:r w:rsidRPr="001810A0">
        <w:rPr>
          <w:rFonts w:ascii="Palatino Linotype" w:eastAsia="Times New Roman" w:hAnsi="Palatino Linotype" w:cs="Tahoma"/>
          <w:kern w:val="0"/>
          <w:lang w:val="es-ES" w:eastAsia="es-ES"/>
          <w14:ligatures w14:val="none"/>
        </w:rPr>
        <w:t>, es necesario estudiar las causales de improcedencia y sobreseimiento que se adviertan, para determinar lo que en Derecho proceda.</w:t>
      </w:r>
    </w:p>
    <w:p w14:paraId="23F5BD5E" w14:textId="77777777" w:rsidR="00234760" w:rsidRPr="001810A0" w:rsidRDefault="00234760" w:rsidP="001A619C">
      <w:pPr>
        <w:autoSpaceDE w:val="0"/>
        <w:autoSpaceDN w:val="0"/>
        <w:adjustRightInd w:val="0"/>
        <w:spacing w:after="0" w:line="360" w:lineRule="auto"/>
        <w:contextualSpacing/>
        <w:jc w:val="both"/>
        <w:rPr>
          <w:rFonts w:ascii="Palatino Linotype" w:eastAsia="Times New Roman" w:hAnsi="Palatino Linotype" w:cs="Tahoma"/>
          <w:kern w:val="0"/>
          <w:lang w:val="es-ES" w:eastAsia="es-ES"/>
          <w14:ligatures w14:val="none"/>
        </w:rPr>
      </w:pPr>
    </w:p>
    <w:p w14:paraId="256E77A5" w14:textId="77777777" w:rsidR="00234760" w:rsidRPr="001810A0" w:rsidRDefault="00234760" w:rsidP="001A619C">
      <w:pPr>
        <w:spacing w:after="0" w:line="360" w:lineRule="auto"/>
        <w:contextualSpacing/>
        <w:jc w:val="both"/>
        <w:rPr>
          <w:rFonts w:ascii="Palatino Linotype" w:eastAsia="Times New Roman" w:hAnsi="Palatino Linotype" w:cs="Times New Roman"/>
          <w:b/>
          <w:kern w:val="0"/>
          <w:lang w:val="es-ES" w:eastAsia="es-ES"/>
          <w14:ligatures w14:val="none"/>
        </w:rPr>
      </w:pPr>
      <w:r w:rsidRPr="001810A0">
        <w:rPr>
          <w:rFonts w:ascii="Palatino Linotype" w:eastAsia="Times New Roman" w:hAnsi="Palatino Linotype" w:cs="Times New Roman"/>
          <w:b/>
          <w:kern w:val="0"/>
          <w:lang w:val="es-ES" w:eastAsia="es-ES"/>
          <w14:ligatures w14:val="none"/>
        </w:rPr>
        <w:t>Causales de improcedencia</w:t>
      </w:r>
    </w:p>
    <w:p w14:paraId="19F0CD22" w14:textId="77777777" w:rsidR="00234760" w:rsidRPr="001810A0" w:rsidRDefault="00234760" w:rsidP="001A619C">
      <w:pPr>
        <w:spacing w:after="0" w:line="360" w:lineRule="auto"/>
        <w:contextualSpacing/>
        <w:jc w:val="both"/>
        <w:rPr>
          <w:rFonts w:ascii="Palatino Linotype" w:eastAsia="Times New Roman" w:hAnsi="Palatino Linotype" w:cs="Times New Roman"/>
          <w:kern w:val="0"/>
          <w:lang w:eastAsia="es-ES"/>
          <w14:ligatures w14:val="none"/>
        </w:rPr>
      </w:pPr>
    </w:p>
    <w:p w14:paraId="45FA632C"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r w:rsidRPr="001810A0">
        <w:rPr>
          <w:rFonts w:ascii="Palatino Linotype" w:eastAsia="Times New Roman" w:hAnsi="Palatino Linotype" w:cs="Tahoma"/>
          <w:kern w:val="0"/>
          <w:lang w:eastAsia="es-ES"/>
          <w14:ligatures w14:val="none"/>
        </w:rPr>
        <w:t>Este Instituto realiza el estudio oficioso de las causales de improcedencia, por tratarse de una cuestión de orden público y de estudio preferente (acorde con el Criterio orientador en la Tesis de Jurisprudencia “IMPROCEDENCIA.” (Semanario Judicial de la Federación, Quinta Época, 1985, pág. 262), el cual establece que debe examinarse previamente la procedencia del juicio de amparo, sea que las partes lo soliciten o no, por ser una cuestión de orden público; de tal suerte, deberá ser desechado cualquier Recurso de Revisión que actualice alguno de los supuestos establecidos en el artículo 191 de la Ley de Transparencia y Acceso a la Información Pública del Estado de México y Municipios, por ser improcedente.</w:t>
      </w:r>
    </w:p>
    <w:p w14:paraId="31BB7650"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p>
    <w:p w14:paraId="7FB6A10B"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r w:rsidRPr="001810A0">
        <w:rPr>
          <w:rFonts w:ascii="Palatino Linotype" w:eastAsia="Times New Roman" w:hAnsi="Palatino Linotype" w:cs="Tahoma"/>
          <w:kern w:val="0"/>
          <w:lang w:eastAsia="es-ES"/>
          <w14:ligatures w14:val="none"/>
        </w:rPr>
        <w:t>En el presente caso, </w:t>
      </w:r>
      <w:r w:rsidRPr="001810A0">
        <w:rPr>
          <w:rFonts w:ascii="Palatino Linotype" w:eastAsia="Times New Roman" w:hAnsi="Palatino Linotype" w:cs="Tahoma"/>
          <w:b/>
          <w:bCs/>
          <w:kern w:val="0"/>
          <w:lang w:eastAsia="es-ES"/>
          <w14:ligatures w14:val="none"/>
        </w:rPr>
        <w:t>no se actualiza ninguna de las causales de improcedencia</w:t>
      </w:r>
      <w:r w:rsidRPr="001810A0">
        <w:rPr>
          <w:rFonts w:ascii="Palatino Linotype" w:eastAsia="Times New Roman" w:hAnsi="Palatino Linotype" w:cs="Tahoma"/>
          <w:kern w:val="0"/>
          <w:lang w:eastAsia="es-ES"/>
          <w14:ligatures w14:val="none"/>
        </w:rPr>
        <w:t> establecidas en el ordenamiento jurídico previamente señalado, toda vez que: este Instituto no tiene conocimiento de que se encuentre en trámite algún medio de defensa presentado por la persona Recurrente ante otra instancia; no existió prevención alguna; la veracidad de la respuesta no formó parte del agravio; ni se realizó una consulta o ampliación a los alcances del requerimiento informativo.</w:t>
      </w:r>
    </w:p>
    <w:p w14:paraId="1C4D15DD"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p>
    <w:p w14:paraId="544C844B"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val="es-ES" w:eastAsia="es-ES"/>
          <w14:ligatures w14:val="none"/>
        </w:rPr>
      </w:pPr>
      <w:r w:rsidRPr="001810A0">
        <w:rPr>
          <w:rFonts w:ascii="Palatino Linotype" w:eastAsia="Times New Roman" w:hAnsi="Palatino Linotype" w:cs="Tahoma"/>
          <w:kern w:val="0"/>
          <w:lang w:val="es-ES" w:eastAsia="es-ES"/>
          <w14:ligatures w14:val="none"/>
        </w:rPr>
        <w:t xml:space="preserve">Además, de que el Medios de Impugnación fue presentado en tiempo, toda vez que ante la ausencia de la respuesta del Ente Recurrido, se constituyó la </w:t>
      </w:r>
      <w:r w:rsidRPr="001810A0">
        <w:rPr>
          <w:rFonts w:ascii="Palatino Linotype" w:eastAsia="Times New Roman" w:hAnsi="Palatino Linotype" w:cs="Tahoma"/>
          <w:b/>
          <w:kern w:val="0"/>
          <w:lang w:val="es-ES" w:eastAsia="es-ES"/>
          <w14:ligatures w14:val="none"/>
        </w:rPr>
        <w:t>negativa ficta</w:t>
      </w:r>
      <w:r w:rsidRPr="001810A0">
        <w:rPr>
          <w:rFonts w:ascii="Palatino Linotype" w:eastAsia="Times New Roman" w:hAnsi="Palatino Linotype" w:cs="Tahoma"/>
          <w:kern w:val="0"/>
          <w:lang w:val="es-ES" w:eastAsia="es-ES"/>
          <w14:ligatures w14:val="none"/>
        </w:rPr>
        <w:t xml:space="preserve">, que genera la posibilidad de los particulares de interponer un recurso de revisión ante tal omisión, </w:t>
      </w:r>
      <w:r w:rsidRPr="001810A0">
        <w:rPr>
          <w:rFonts w:ascii="Palatino Linotype" w:eastAsia="Times New Roman" w:hAnsi="Palatino Linotype" w:cs="Tahoma"/>
          <w:kern w:val="0"/>
          <w:u w:val="single"/>
          <w:lang w:val="es-ES" w:eastAsia="es-ES"/>
          <w14:ligatures w14:val="none"/>
        </w:rPr>
        <w:t>en cualquier momento</w:t>
      </w:r>
      <w:r w:rsidRPr="001810A0">
        <w:rPr>
          <w:rFonts w:ascii="Palatino Linotype" w:eastAsia="Times New Roman" w:hAnsi="Palatino Linotype" w:cs="Tahoma"/>
          <w:kern w:val="0"/>
          <w:lang w:val="es-ES" w:eastAsia="es-ES"/>
          <w14:ligatures w14:val="none"/>
        </w:rPr>
        <w:t>; por lo que, no es necesario determinar una temporalidad respecto del momento de presentación, conforme a lo establecido en los artículos 166 y 178, párrafo segundo de la Ley de Transparencia y Acceso a la Información Pública del Estado de México y los Municipios.</w:t>
      </w:r>
    </w:p>
    <w:p w14:paraId="167C1641"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val="es-ES" w:eastAsia="es-ES"/>
          <w14:ligatures w14:val="none"/>
        </w:rPr>
      </w:pPr>
    </w:p>
    <w:p w14:paraId="316E6965" w14:textId="77777777" w:rsidR="00234760" w:rsidRPr="001810A0" w:rsidRDefault="00234760" w:rsidP="001A619C">
      <w:pPr>
        <w:spacing w:after="0" w:line="360" w:lineRule="auto"/>
        <w:contextualSpacing/>
        <w:jc w:val="both"/>
        <w:rPr>
          <w:rFonts w:ascii="Palatino Linotype" w:eastAsia="Times New Roman" w:hAnsi="Palatino Linotype" w:cs="Tahoma"/>
          <w:bCs/>
          <w:kern w:val="0"/>
          <w:lang w:val="es-ES" w:eastAsia="es-ES"/>
          <w14:ligatures w14:val="none"/>
        </w:rPr>
      </w:pPr>
      <w:r w:rsidRPr="001810A0">
        <w:rPr>
          <w:rFonts w:ascii="Palatino Linotype" w:eastAsia="Times New Roman" w:hAnsi="Palatino Linotype" w:cs="Tahoma"/>
          <w:kern w:val="0"/>
          <w:lang w:val="es-ES" w:eastAsia="es-ES"/>
          <w14:ligatures w14:val="none"/>
        </w:rPr>
        <w:t>Conforme a lo anterior, se actualiza la causal de procedencia señalada en el artículo 179, fracción VII, de la Ley de la materia</w:t>
      </w:r>
      <w:r w:rsidRPr="001810A0">
        <w:rPr>
          <w:rFonts w:ascii="Palatino Linotype" w:eastAsia="Times New Roman" w:hAnsi="Palatino Linotype" w:cs="Tahoma"/>
          <w:bCs/>
          <w:kern w:val="0"/>
          <w:lang w:val="es-ES" w:eastAsia="es-ES"/>
          <w14:ligatures w14:val="none"/>
        </w:rPr>
        <w:t>, toda vez que el Solicitante se inconformó con la falta de respuesta a su solicitud de acceso a información pública.</w:t>
      </w:r>
    </w:p>
    <w:p w14:paraId="73CE20DA" w14:textId="77777777" w:rsidR="00234760" w:rsidRPr="001810A0" w:rsidRDefault="00234760" w:rsidP="001A619C">
      <w:pPr>
        <w:spacing w:after="0" w:line="360" w:lineRule="auto"/>
        <w:contextualSpacing/>
        <w:jc w:val="both"/>
        <w:rPr>
          <w:rFonts w:ascii="Palatino Linotype" w:eastAsia="Times New Roman" w:hAnsi="Palatino Linotype" w:cs="Tahoma"/>
          <w:b/>
          <w:bCs/>
          <w:kern w:val="0"/>
          <w:lang w:eastAsia="es-ES"/>
          <w14:ligatures w14:val="none"/>
        </w:rPr>
      </w:pPr>
    </w:p>
    <w:p w14:paraId="45CF513E" w14:textId="77777777" w:rsidR="00234760" w:rsidRPr="001810A0" w:rsidRDefault="00234760" w:rsidP="001A619C">
      <w:pPr>
        <w:spacing w:after="0" w:line="360" w:lineRule="auto"/>
        <w:contextualSpacing/>
        <w:jc w:val="both"/>
        <w:rPr>
          <w:rFonts w:ascii="Palatino Linotype" w:eastAsia="Times New Roman" w:hAnsi="Palatino Linotype" w:cs="Tahoma"/>
          <w:b/>
          <w:bCs/>
          <w:kern w:val="0"/>
          <w:lang w:eastAsia="es-ES"/>
          <w14:ligatures w14:val="none"/>
        </w:rPr>
      </w:pPr>
      <w:r w:rsidRPr="001810A0">
        <w:rPr>
          <w:rFonts w:ascii="Palatino Linotype" w:eastAsia="Times New Roman" w:hAnsi="Palatino Linotype" w:cs="Tahoma"/>
          <w:b/>
          <w:bCs/>
          <w:kern w:val="0"/>
          <w:lang w:eastAsia="es-ES"/>
          <w14:ligatures w14:val="none"/>
        </w:rPr>
        <w:t>Causales de sobreseimiento</w:t>
      </w:r>
    </w:p>
    <w:p w14:paraId="3D6C8FB7" w14:textId="77777777" w:rsidR="00234760" w:rsidRPr="001810A0" w:rsidRDefault="00234760" w:rsidP="001A619C">
      <w:pPr>
        <w:spacing w:after="0" w:line="360" w:lineRule="auto"/>
        <w:contextualSpacing/>
        <w:jc w:val="both"/>
        <w:rPr>
          <w:rFonts w:ascii="Palatino Linotype" w:eastAsia="Times New Roman" w:hAnsi="Palatino Linotype" w:cs="Tahoma"/>
          <w:b/>
          <w:bCs/>
          <w:kern w:val="0"/>
          <w:lang w:eastAsia="es-ES"/>
          <w14:ligatures w14:val="none"/>
        </w:rPr>
      </w:pPr>
    </w:p>
    <w:p w14:paraId="08D2314E" w14:textId="77777777" w:rsidR="00234760" w:rsidRPr="001810A0" w:rsidRDefault="00234760" w:rsidP="001A619C">
      <w:pPr>
        <w:spacing w:after="0" w:line="360" w:lineRule="auto"/>
        <w:contextualSpacing/>
        <w:jc w:val="both"/>
        <w:rPr>
          <w:rFonts w:ascii="Palatino Linotype" w:eastAsia="Times New Roman" w:hAnsi="Palatino Linotype" w:cs="Tahoma"/>
          <w:bCs/>
          <w:kern w:val="0"/>
          <w:lang w:eastAsia="es-ES"/>
          <w14:ligatures w14:val="none"/>
        </w:rPr>
      </w:pPr>
      <w:r w:rsidRPr="001810A0">
        <w:rPr>
          <w:rFonts w:ascii="Palatino Linotype" w:eastAsia="Times New Roman" w:hAnsi="Palatino Linotype" w:cs="Tahoma"/>
          <w:bCs/>
          <w:kern w:val="0"/>
          <w:lang w:eastAsia="es-ES"/>
          <w14:ligatures w14:val="none"/>
        </w:rPr>
        <w:t xml:space="preserve">Por ser de previo y especial pronunciamiento, este Instituto analiza si se actualiza alguna causal de sobreseimiento. </w:t>
      </w:r>
    </w:p>
    <w:p w14:paraId="02BA3E4E" w14:textId="77777777" w:rsidR="00234760" w:rsidRPr="001810A0" w:rsidRDefault="00234760" w:rsidP="001A619C">
      <w:pPr>
        <w:spacing w:after="0" w:line="360" w:lineRule="auto"/>
        <w:contextualSpacing/>
        <w:jc w:val="both"/>
        <w:rPr>
          <w:rFonts w:ascii="Palatino Linotype" w:eastAsia="Times New Roman" w:hAnsi="Palatino Linotype" w:cs="Tahoma"/>
          <w:bCs/>
          <w:kern w:val="0"/>
          <w:lang w:eastAsia="es-ES"/>
          <w14:ligatures w14:val="none"/>
        </w:rPr>
      </w:pPr>
    </w:p>
    <w:p w14:paraId="3DF4D5F5" w14:textId="77777777" w:rsidR="00234760"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r w:rsidRPr="001810A0">
        <w:rPr>
          <w:rFonts w:ascii="Palatino Linotype" w:eastAsia="Times New Roman" w:hAnsi="Palatino Linotype" w:cs="Tahoma"/>
          <w:bCs/>
          <w:kern w:val="0"/>
          <w:lang w:eastAsia="es-ES"/>
          <w14:ligatures w14:val="none"/>
        </w:rPr>
        <w:t>Sobre el tema, e</w:t>
      </w:r>
      <w:r w:rsidRPr="001810A0">
        <w:rPr>
          <w:rFonts w:ascii="Palatino Linotype" w:eastAsia="Times New Roman" w:hAnsi="Palatino Linotype" w:cs="Tahoma"/>
          <w:kern w:val="0"/>
          <w:lang w:eastAsia="es-ES"/>
          <w14:ligatures w14:val="none"/>
        </w:rPr>
        <w:t>l artículo 192 de la Ley Transparencia y Acceso a la Información Pública del Estado de México y Municipios, señala las causales por las cuales se puede sobreseer en todo o en parte, el Recurso de Revisión; así, del análisis realizado por este Instituto, se advierte que no se actualiza algún supuesto de sobreseimiento; lo anterior, en virtud de que no hay constancias en el expediente en que se actúa, de que la persona Recurrente se haya desistido del recurso, haya fallecido, sobreviniera alguna causal de improcedencia, que el Sujeto Obligado hubiese modificado o revocado el acto impugnado o bien, haya quedado sin materia.</w:t>
      </w:r>
    </w:p>
    <w:p w14:paraId="74C0E481" w14:textId="77777777" w:rsidR="00234760" w:rsidRPr="001810A0" w:rsidRDefault="00234760" w:rsidP="001A619C">
      <w:pPr>
        <w:spacing w:after="0" w:line="360" w:lineRule="auto"/>
        <w:contextualSpacing/>
        <w:jc w:val="both"/>
        <w:rPr>
          <w:rFonts w:ascii="Palatino Linotype" w:eastAsia="Times New Roman" w:hAnsi="Palatino Linotype" w:cs="Tahoma"/>
          <w:bCs/>
          <w:kern w:val="0"/>
          <w:lang w:eastAsia="es-ES"/>
          <w14:ligatures w14:val="none"/>
        </w:rPr>
      </w:pPr>
    </w:p>
    <w:p w14:paraId="270B2B2A" w14:textId="77777777" w:rsidR="00234760" w:rsidRPr="001810A0" w:rsidRDefault="00234760" w:rsidP="001A619C">
      <w:pPr>
        <w:spacing w:after="0" w:line="360" w:lineRule="auto"/>
        <w:contextualSpacing/>
        <w:jc w:val="both"/>
        <w:rPr>
          <w:rFonts w:ascii="Palatino Linotype" w:eastAsia="Times New Roman" w:hAnsi="Palatino Linotype" w:cs="Tahoma"/>
          <w:bCs/>
          <w:kern w:val="0"/>
          <w:lang w:eastAsia="es-ES"/>
          <w14:ligatures w14:val="none"/>
        </w:rPr>
      </w:pPr>
      <w:r w:rsidRPr="001810A0">
        <w:rPr>
          <w:rFonts w:ascii="Palatino Linotype" w:eastAsia="Times New Roman" w:hAnsi="Palatino Linotype" w:cs="Tahoma"/>
          <w:bCs/>
          <w:kern w:val="0"/>
          <w:lang w:eastAsia="es-ES"/>
          <w14:ligatures w14:val="none"/>
        </w:rPr>
        <w:t xml:space="preserve">Por tales motivos, se considera procedente entrar al fondo del presente asunto. </w:t>
      </w:r>
    </w:p>
    <w:p w14:paraId="7283BF4C" w14:textId="77777777" w:rsidR="00234760" w:rsidRPr="001810A0" w:rsidRDefault="00234760" w:rsidP="001A619C">
      <w:pPr>
        <w:spacing w:after="0" w:line="360" w:lineRule="auto"/>
        <w:contextualSpacing/>
        <w:jc w:val="both"/>
        <w:rPr>
          <w:rFonts w:ascii="Palatino Linotype" w:eastAsia="Times New Roman" w:hAnsi="Palatino Linotype" w:cs="Tahoma"/>
          <w:bCs/>
          <w:color w:val="FF0000"/>
          <w:kern w:val="0"/>
          <w:lang w:eastAsia="es-ES"/>
          <w14:ligatures w14:val="none"/>
        </w:rPr>
      </w:pPr>
    </w:p>
    <w:p w14:paraId="434ECD08" w14:textId="77777777" w:rsidR="00234760" w:rsidRPr="001810A0" w:rsidRDefault="00234760" w:rsidP="001A619C">
      <w:pPr>
        <w:pStyle w:val="Ttulo2"/>
        <w:rPr>
          <w:rFonts w:eastAsia="Times New Roman"/>
          <w:lang w:val="es-ES" w:eastAsia="es-ES"/>
        </w:rPr>
      </w:pPr>
      <w:bookmarkStart w:id="9" w:name="_Toc188524600"/>
      <w:r w:rsidRPr="001810A0">
        <w:rPr>
          <w:rFonts w:eastAsia="Times New Roman"/>
          <w:lang w:val="es-ES" w:eastAsia="es-ES"/>
        </w:rPr>
        <w:t>TERCERO. Determinación de la Controversia</w:t>
      </w:r>
      <w:bookmarkEnd w:id="9"/>
    </w:p>
    <w:p w14:paraId="411C80A7"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52BB306A" w14:textId="0023D9E6" w:rsidR="00C360EB" w:rsidRPr="001810A0" w:rsidRDefault="00234760" w:rsidP="001A619C">
      <w:pPr>
        <w:spacing w:after="0" w:line="360" w:lineRule="auto"/>
        <w:contextualSpacing/>
        <w:jc w:val="both"/>
        <w:rPr>
          <w:rFonts w:ascii="Palatino Linotype" w:eastAsia="Times New Roman" w:hAnsi="Palatino Linotype" w:cs="Tahoma"/>
          <w:kern w:val="0"/>
          <w:lang w:eastAsia="es-ES"/>
          <w14:ligatures w14:val="none"/>
        </w:rPr>
      </w:pPr>
      <w:r w:rsidRPr="001810A0">
        <w:rPr>
          <w:rFonts w:ascii="Palatino Linotype" w:eastAsia="Times New Roman" w:hAnsi="Palatino Linotype" w:cs="Tahoma"/>
          <w:kern w:val="0"/>
          <w:lang w:eastAsia="es-ES"/>
          <w14:ligatures w14:val="none"/>
        </w:rPr>
        <w:t>Con el objetivo de ilustrar la controversia planteada, resulta conveniente precisar, que una vez realizado el estudio de las constancias que integran el expediente en el que se actúa, se desprende que el Particular requirió</w:t>
      </w:r>
      <w:r w:rsidR="00C360EB" w:rsidRPr="001810A0">
        <w:rPr>
          <w:rFonts w:ascii="Palatino Linotype" w:eastAsia="Times New Roman" w:hAnsi="Palatino Linotype" w:cs="Tahoma"/>
          <w:kern w:val="0"/>
          <w:lang w:eastAsia="es-ES"/>
          <w14:ligatures w14:val="none"/>
        </w:rPr>
        <w:t xml:space="preserve"> </w:t>
      </w:r>
      <w:r w:rsidR="00E9791C" w:rsidRPr="001810A0">
        <w:rPr>
          <w:rFonts w:ascii="Palatino Linotype" w:eastAsia="Times New Roman" w:hAnsi="Palatino Linotype" w:cs="Tahoma"/>
          <w:kern w:val="0"/>
          <w:lang w:eastAsia="es-ES"/>
          <w14:ligatures w14:val="none"/>
        </w:rPr>
        <w:t>respecto a siete servidores públicos determinados y mencionados en la solicitud de información</w:t>
      </w:r>
      <w:r w:rsidR="00C360EB" w:rsidRPr="001810A0">
        <w:rPr>
          <w:rFonts w:ascii="Palatino Linotype" w:eastAsia="Times New Roman" w:hAnsi="Palatino Linotype" w:cs="Tahoma"/>
          <w:kern w:val="0"/>
          <w:lang w:eastAsia="es-ES"/>
          <w14:ligatures w14:val="none"/>
        </w:rPr>
        <w:t>, las licencias o permisos sin goce de sueldo</w:t>
      </w:r>
      <w:r w:rsidR="00E9791C" w:rsidRPr="001810A0">
        <w:rPr>
          <w:rFonts w:ascii="Palatino Linotype" w:eastAsia="Times New Roman" w:hAnsi="Palatino Linotype" w:cs="Tahoma"/>
          <w:kern w:val="0"/>
          <w:lang w:eastAsia="es-ES"/>
          <w14:ligatures w14:val="none"/>
        </w:rPr>
        <w:t>.</w:t>
      </w:r>
    </w:p>
    <w:p w14:paraId="2F3FEAFD" w14:textId="77777777" w:rsidR="00C360EB" w:rsidRPr="001810A0" w:rsidRDefault="00C360EB" w:rsidP="001A619C">
      <w:pPr>
        <w:spacing w:after="0" w:line="360" w:lineRule="auto"/>
        <w:contextualSpacing/>
        <w:jc w:val="both"/>
        <w:rPr>
          <w:rFonts w:ascii="Palatino Linotype" w:eastAsia="Times New Roman" w:hAnsi="Palatino Linotype" w:cs="Tahoma"/>
          <w:kern w:val="0"/>
          <w:lang w:eastAsia="es-ES"/>
          <w14:ligatures w14:val="none"/>
        </w:rPr>
      </w:pPr>
    </w:p>
    <w:p w14:paraId="3460C29E" w14:textId="77777777" w:rsidR="00234760" w:rsidRPr="001810A0" w:rsidRDefault="00234760" w:rsidP="001A619C">
      <w:pPr>
        <w:spacing w:after="0" w:line="360" w:lineRule="auto"/>
        <w:ind w:right="-28"/>
        <w:contextualSpacing/>
        <w:jc w:val="both"/>
        <w:rPr>
          <w:rFonts w:ascii="Palatino Linotype" w:eastAsia="Calibri" w:hAnsi="Palatino Linotype" w:cs="Tahoma"/>
          <w:bCs/>
          <w:iCs/>
          <w:kern w:val="0"/>
          <w:lang w:val="es-ES" w:eastAsia="es-ES"/>
          <w14:ligatures w14:val="none"/>
        </w:rPr>
      </w:pPr>
      <w:r w:rsidRPr="001810A0">
        <w:rPr>
          <w:rFonts w:ascii="Palatino Linotype" w:eastAsia="Calibri" w:hAnsi="Palatino Linotype" w:cs="Tahoma"/>
          <w:bCs/>
          <w:iCs/>
          <w:kern w:val="0"/>
          <w:lang w:val="es-ES"/>
          <w14:ligatures w14:val="none"/>
        </w:rPr>
        <w:t>Ante la falta de respuesta del Ente Recurrido, el Particular, justamente se inconformó porque no le dieron contestación a su requerimiento de información, lo cual se actualiza el supuesto previsto en el artículo 179, fracción VII, de la Ley de Transparencia y Acceso a la Información Pública del Estado de México y Municipios</w:t>
      </w:r>
      <w:r w:rsidRPr="001810A0">
        <w:rPr>
          <w:rFonts w:ascii="Palatino Linotype" w:eastAsia="Calibri" w:hAnsi="Palatino Linotype" w:cs="Tahoma"/>
          <w:bCs/>
          <w:iCs/>
          <w:kern w:val="0"/>
          <w:shd w:val="clear" w:color="auto" w:fill="FFFFFF"/>
          <w14:ligatures w14:val="none"/>
        </w:rPr>
        <w:t xml:space="preserve">. </w:t>
      </w:r>
      <w:r w:rsidRPr="001810A0">
        <w:rPr>
          <w:rFonts w:ascii="Palatino Linotype" w:eastAsia="Calibri" w:hAnsi="Palatino Linotype" w:cs="Tahoma"/>
          <w:kern w:val="0"/>
          <w:lang w:val="es-ES"/>
          <w14:ligatures w14:val="none"/>
        </w:rPr>
        <w:t>Así las cosas, una vez admitido y notificado el Recurso de Revisión a las partes, estas</w:t>
      </w:r>
      <w:r w:rsidRPr="001810A0">
        <w:rPr>
          <w:rFonts w:ascii="Palatino Linotype" w:eastAsia="Calibri" w:hAnsi="Palatino Linotype" w:cs="Tahoma"/>
          <w:bCs/>
          <w:iCs/>
          <w:kern w:val="0"/>
          <w:lang w:val="es-ES" w:eastAsia="es-ES"/>
          <w14:ligatures w14:val="none"/>
        </w:rPr>
        <w:t xml:space="preserve"> fueron omisas en realizar manifestaciones o alegatos.</w:t>
      </w:r>
    </w:p>
    <w:p w14:paraId="7F170368" w14:textId="77777777" w:rsidR="00234760" w:rsidRPr="001810A0" w:rsidRDefault="00234760" w:rsidP="001A619C">
      <w:pPr>
        <w:spacing w:after="0" w:line="360" w:lineRule="auto"/>
        <w:ind w:right="-28"/>
        <w:contextualSpacing/>
        <w:jc w:val="both"/>
        <w:rPr>
          <w:rFonts w:ascii="Palatino Linotype" w:eastAsia="Calibri" w:hAnsi="Palatino Linotype" w:cs="Tahoma"/>
          <w:bCs/>
          <w:iCs/>
          <w:kern w:val="0"/>
          <w:lang w:val="es-ES" w:eastAsia="es-ES"/>
          <w14:ligatures w14:val="none"/>
        </w:rPr>
      </w:pPr>
    </w:p>
    <w:p w14:paraId="762AD1CC" w14:textId="77777777" w:rsidR="00E9791C" w:rsidRPr="001810A0" w:rsidRDefault="00E9791C" w:rsidP="001A619C">
      <w:pPr>
        <w:tabs>
          <w:tab w:val="left" w:pos="4962"/>
        </w:tabs>
        <w:spacing w:after="0" w:line="360" w:lineRule="auto"/>
        <w:contextualSpacing/>
        <w:jc w:val="both"/>
        <w:rPr>
          <w:rFonts w:ascii="Palatino Linotype" w:eastAsia="Calibri" w:hAnsi="Palatino Linotype" w:cs="Tahoma"/>
          <w:iCs/>
          <w:kern w:val="0"/>
          <w:lang w:val="es-ES" w:eastAsia="es-ES_tradnl"/>
          <w14:ligatures w14:val="none"/>
        </w:rPr>
      </w:pPr>
    </w:p>
    <w:p w14:paraId="4649C496" w14:textId="7D6B41AA" w:rsidR="00E9791C" w:rsidRPr="001810A0" w:rsidRDefault="00E9791C" w:rsidP="00E9791C">
      <w:pPr>
        <w:tabs>
          <w:tab w:val="left" w:pos="4962"/>
        </w:tabs>
        <w:spacing w:after="0" w:line="360" w:lineRule="auto"/>
        <w:contextualSpacing/>
        <w:jc w:val="both"/>
        <w:rPr>
          <w:rFonts w:ascii="Palatino Linotype" w:eastAsia="Palatino Linotype" w:hAnsi="Palatino Linotype" w:cs="Palatino Linotype"/>
          <w:color w:val="000000"/>
          <w:kern w:val="0"/>
          <w:lang w:eastAsia="es-MX"/>
          <w14:ligatures w14:val="none"/>
        </w:rPr>
      </w:pPr>
      <w:r w:rsidRPr="001810A0">
        <w:rPr>
          <w:rFonts w:ascii="Palatino Linotype" w:eastAsia="Palatino Linotype" w:hAnsi="Palatino Linotype" w:cs="Palatino Linotype"/>
          <w:color w:val="000000"/>
          <w:kern w:val="0"/>
          <w:lang w:eastAsia="es-MX"/>
          <w14:ligatures w14:val="none"/>
        </w:rPr>
        <w:t>Por otra parte, a través del Recurso de Revisión, el Particular realizó las siguientes</w:t>
      </w:r>
      <w:r w:rsidRPr="001810A0">
        <w:rPr>
          <w:rFonts w:ascii="Palatino Linotype" w:eastAsia="Palatino Linotype" w:hAnsi="Palatino Linotype" w:cs="Palatino Linotype"/>
          <w:color w:val="000000"/>
          <w:kern w:val="0"/>
          <w:lang w:eastAsia="es-MX"/>
          <w14:ligatures w14:val="none"/>
        </w:rPr>
        <w:br/>
        <w:t xml:space="preserve">manifestaciones: </w:t>
      </w:r>
      <w:r w:rsidRPr="001810A0">
        <w:rPr>
          <w:rFonts w:ascii="Palatino Linotype" w:eastAsia="Palatino Linotype" w:hAnsi="Palatino Linotype" w:cs="Palatino Linotype"/>
          <w:i/>
          <w:iCs/>
          <w:color w:val="000000"/>
          <w:kern w:val="0"/>
          <w:lang w:eastAsia="es-MX"/>
          <w14:ligatures w14:val="none"/>
        </w:rPr>
        <w:t>“…</w:t>
      </w:r>
      <w:r w:rsidRPr="001810A0">
        <w:rPr>
          <w:rFonts w:ascii="Palatino Linotype" w:eastAsia="Times New Roman" w:hAnsi="Palatino Linotype" w:cs="Tahoma"/>
          <w:i/>
          <w:iCs/>
          <w:kern w:val="0"/>
          <w:lang w:eastAsia="es-ES"/>
          <w14:ligatures w14:val="none"/>
        </w:rPr>
        <w:t>toda vez que la información se requiere para cotejo por denuncia en el Órgano Superior de Fiscalización del Estado de México y certificación, ya que los funcionarios que a continuación mencionamos se encuentran en activismo religioso en la festividad denominada Sr. del Nicho dos mil veinticuatro, descuidando las labores de su encargo público en horarios laborales</w:t>
      </w:r>
      <w:r w:rsidRPr="001810A0">
        <w:rPr>
          <w:rFonts w:ascii="Palatino Linotype" w:eastAsia="Palatino Linotype" w:hAnsi="Palatino Linotype" w:cs="Palatino Linotype"/>
          <w:i/>
          <w:iCs/>
          <w:color w:val="000000"/>
          <w:kern w:val="0"/>
          <w:lang w:eastAsia="es-MX"/>
          <w14:ligatures w14:val="none"/>
        </w:rPr>
        <w:t>…”</w:t>
      </w:r>
      <w:r w:rsidRPr="001810A0">
        <w:rPr>
          <w:rFonts w:ascii="Palatino Linotype" w:eastAsia="Palatino Linotype" w:hAnsi="Palatino Linotype" w:cs="Palatino Linotype"/>
          <w:color w:val="000000"/>
          <w:kern w:val="0"/>
          <w:lang w:eastAsia="es-MX"/>
          <w14:ligatures w14:val="none"/>
        </w:rPr>
        <w:t xml:space="preserve"> las cuales únicamente contienen afirmaciones sobre apreciaciones subjetivas carentes de sustento, al no presentar, ni aportar elementos que apoyen la localización de la información requerida, ya que refieren a pronunciamientos a la forma de actuar </w:t>
      </w:r>
      <w:r w:rsidR="005B3BF0" w:rsidRPr="001810A0">
        <w:rPr>
          <w:rFonts w:ascii="Palatino Linotype" w:eastAsia="Palatino Linotype" w:hAnsi="Palatino Linotype" w:cs="Palatino Linotype"/>
          <w:color w:val="000000"/>
          <w:kern w:val="0"/>
          <w:lang w:eastAsia="es-MX"/>
          <w14:ligatures w14:val="none"/>
        </w:rPr>
        <w:t>de ciertos servidores públicos</w:t>
      </w:r>
      <w:r w:rsidRPr="001810A0">
        <w:rPr>
          <w:rFonts w:ascii="Palatino Linotype" w:eastAsia="Palatino Linotype" w:hAnsi="Palatino Linotype" w:cs="Palatino Linotype"/>
          <w:color w:val="000000"/>
          <w:kern w:val="0"/>
          <w:lang w:eastAsia="es-MX"/>
          <w14:ligatures w14:val="none"/>
        </w:rPr>
        <w:t>, mismas que no corresponden a una solicitud de acceso y por lo tanto, las mismas devienen de IMPROCEDENTES; por lo que deben desestimarse para todos los efectos a que haya lugar.</w:t>
      </w:r>
    </w:p>
    <w:p w14:paraId="0F7296C0" w14:textId="77777777" w:rsidR="00E9791C" w:rsidRPr="001810A0" w:rsidRDefault="00E9791C" w:rsidP="001A619C">
      <w:pPr>
        <w:tabs>
          <w:tab w:val="left" w:pos="4962"/>
        </w:tabs>
        <w:spacing w:after="0" w:line="360" w:lineRule="auto"/>
        <w:contextualSpacing/>
        <w:jc w:val="both"/>
        <w:rPr>
          <w:rFonts w:ascii="Palatino Linotype" w:eastAsia="Calibri" w:hAnsi="Palatino Linotype" w:cs="Tahoma"/>
          <w:iCs/>
          <w:kern w:val="0"/>
          <w:lang w:eastAsia="es-ES_tradnl"/>
          <w14:ligatures w14:val="none"/>
        </w:rPr>
      </w:pPr>
    </w:p>
    <w:p w14:paraId="30EAAF15" w14:textId="5E2A237C" w:rsidR="00234760" w:rsidRPr="001810A0" w:rsidRDefault="00234760" w:rsidP="001A619C">
      <w:pPr>
        <w:tabs>
          <w:tab w:val="left" w:pos="4962"/>
        </w:tabs>
        <w:spacing w:after="0" w:line="360" w:lineRule="auto"/>
        <w:contextualSpacing/>
        <w:jc w:val="both"/>
        <w:rPr>
          <w:rFonts w:ascii="Palatino Linotype" w:eastAsia="Calibri" w:hAnsi="Palatino Linotype" w:cs="Tahoma"/>
          <w:bCs/>
          <w:kern w:val="0"/>
          <w:lang w:eastAsia="es-ES"/>
          <w14:ligatures w14:val="none"/>
        </w:rPr>
      </w:pPr>
      <w:r w:rsidRPr="001810A0">
        <w:rPr>
          <w:rFonts w:ascii="Palatino Linotype" w:eastAsia="Calibri" w:hAnsi="Palatino Linotype" w:cs="Tahoma"/>
          <w:iCs/>
          <w:kern w:val="0"/>
          <w:lang w:val="es-ES" w:eastAsia="es-ES_tradnl"/>
          <w14:ligatures w14:val="none"/>
        </w:rPr>
        <w:t xml:space="preserve">Lo anterior, se desprende de las documentales que obran en el expediente de referencia, materia de la presente resolución, consistente en: la solicitud de acceso a la información </w:t>
      </w:r>
      <w:r w:rsidRPr="001810A0">
        <w:rPr>
          <w:rFonts w:ascii="Palatino Linotype" w:eastAsia="Calibri" w:hAnsi="Palatino Linotype" w:cs="Tahoma"/>
          <w:iCs/>
          <w:kern w:val="0"/>
          <w:lang w:eastAsia="es-ES_tradnl"/>
          <w14:ligatures w14:val="none"/>
        </w:rPr>
        <w:t xml:space="preserve">y el escrito recursal; </w:t>
      </w:r>
      <w:r w:rsidRPr="001810A0">
        <w:rPr>
          <w:rFonts w:ascii="Palatino Linotype" w:eastAsia="Calibri" w:hAnsi="Palatino Linotype" w:cs="Tahoma"/>
          <w:bCs/>
          <w:kern w:val="0"/>
          <w:lang w:eastAsia="es-ES"/>
          <w14:ligatures w14:val="none"/>
        </w:rPr>
        <w:t>instrumentales que se toman en cuenta a efecto de resolver el presente medio de impugnación, conforme a lo dispuesto por el artículo 185, fracción IV, de la Ley de Transparencia y Acceso a la Información Pública del Estado de México y Municipios.</w:t>
      </w:r>
    </w:p>
    <w:p w14:paraId="364B8DAC" w14:textId="77777777" w:rsidR="00234760" w:rsidRPr="001810A0" w:rsidRDefault="00234760" w:rsidP="001A619C">
      <w:pPr>
        <w:spacing w:after="0" w:line="360" w:lineRule="auto"/>
        <w:contextualSpacing/>
        <w:jc w:val="both"/>
        <w:rPr>
          <w:rFonts w:ascii="Palatino Linotype" w:eastAsia="Calibri" w:hAnsi="Palatino Linotype" w:cs="Tahoma"/>
          <w:kern w:val="0"/>
          <w:lang w:eastAsia="es-ES_tradnl"/>
          <w14:ligatures w14:val="none"/>
        </w:rPr>
      </w:pPr>
    </w:p>
    <w:p w14:paraId="0B86DF8C" w14:textId="77777777" w:rsidR="00234760" w:rsidRPr="001810A0" w:rsidRDefault="00234760" w:rsidP="001A619C">
      <w:pPr>
        <w:pStyle w:val="Ttulo2"/>
        <w:jc w:val="both"/>
        <w:rPr>
          <w:rFonts w:eastAsia="Times New Roman"/>
          <w:lang w:eastAsia="es-ES"/>
        </w:rPr>
      </w:pPr>
      <w:bookmarkStart w:id="10" w:name="_Toc188524601"/>
      <w:r w:rsidRPr="001810A0">
        <w:rPr>
          <w:rFonts w:eastAsia="Times New Roman"/>
          <w:lang w:val="es-ES" w:eastAsia="es-ES"/>
        </w:rPr>
        <w:t xml:space="preserve">CUARTO. </w:t>
      </w:r>
      <w:r w:rsidRPr="001810A0">
        <w:rPr>
          <w:rFonts w:eastAsia="Times New Roman"/>
          <w:lang w:eastAsia="es-ES"/>
        </w:rPr>
        <w:t>Marco normativo aplicable en materia de transparencia y acceso a la información pública</w:t>
      </w:r>
      <w:bookmarkEnd w:id="10"/>
    </w:p>
    <w:p w14:paraId="503AAC17" w14:textId="77777777" w:rsidR="00234760" w:rsidRPr="001810A0" w:rsidRDefault="00234760" w:rsidP="001A619C">
      <w:pPr>
        <w:autoSpaceDE w:val="0"/>
        <w:autoSpaceDN w:val="0"/>
        <w:adjustRightInd w:val="0"/>
        <w:spacing w:after="0" w:line="360" w:lineRule="auto"/>
        <w:contextualSpacing/>
        <w:jc w:val="both"/>
        <w:rPr>
          <w:rFonts w:ascii="Palatino Linotype" w:eastAsia="Times New Roman" w:hAnsi="Palatino Linotype" w:cs="Tahoma"/>
          <w:bCs/>
          <w:iCs/>
          <w:kern w:val="0"/>
          <w:lang w:val="es-ES" w:eastAsia="es-ES"/>
          <w14:ligatures w14:val="none"/>
        </w:rPr>
      </w:pPr>
    </w:p>
    <w:p w14:paraId="75E8CAF7"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r w:rsidRPr="001810A0">
        <w:rPr>
          <w:rFonts w:ascii="Palatino Linotype" w:eastAsia="Times New Roman" w:hAnsi="Palatino Linotype" w:cs="Tahoma"/>
          <w:bCs/>
          <w:iCs/>
          <w:kern w:val="0"/>
          <w:lang w:eastAsia="es-ES"/>
          <w14:ligatures w14:val="none"/>
        </w:rPr>
        <w:t>El artículo 6°, Apartado A), fracción I de la Constitución Política de los Estados Unidos Mexicanos, establece que toda la información en posesión de cualquier autoridad, es pública y sólo podrá ser reservada temporalmente por razones de interés público.</w:t>
      </w:r>
    </w:p>
    <w:p w14:paraId="7EBF530C"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0CE1F42A"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r w:rsidRPr="001810A0">
        <w:rPr>
          <w:rFonts w:ascii="Palatino Linotype" w:eastAsia="Times New Roman" w:hAnsi="Palatino Linotype" w:cs="Tahoma"/>
          <w:bCs/>
          <w:iCs/>
          <w:kern w:val="0"/>
          <w:lang w:eastAsia="es-ES"/>
          <w14:ligatures w14:val="none"/>
        </w:rPr>
        <w:t>La Ley General de Transparencia y Acceso a la Información Pública, dispone en su artículo 70, la información que se considera corresponde a las Obligaciones de Transparencia, la cual debe estar disponible para cualquier persona de manera permanente y actualizada.</w:t>
      </w:r>
    </w:p>
    <w:p w14:paraId="5360AC06"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3EB447EF"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r w:rsidRPr="001810A0">
        <w:rPr>
          <w:rFonts w:ascii="Palatino Linotype" w:eastAsia="Times New Roman" w:hAnsi="Palatino Linotype" w:cs="Tahoma"/>
          <w:bCs/>
          <w:iCs/>
          <w:kern w:val="0"/>
          <w:lang w:eastAsia="es-ES"/>
          <w14:ligatures w14:val="none"/>
        </w:rPr>
        <w:t>En materia local, el artículo 5°, fracción I de la Constitución Política del Estado Libre y Soberano de México, es coincidente con la Constitución Federal, en el sentido de la publicidad de toda la información, con la única restricción de proteger el interés público, así como la información referente a la intimidad de la vida privada y la imagen de las personas, con las excepciones que establezca la ley reglamentaria. Por su parte, la Ley de Transparencia y Acceso a la Información Pública del Estado de México y Municipios (Reglamentaria del artículo 5° de la Constitución Local), establece lo siguiente:</w:t>
      </w:r>
    </w:p>
    <w:p w14:paraId="253868ED"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001E226B"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r w:rsidRPr="001810A0">
        <w:rPr>
          <w:rFonts w:ascii="Palatino Linotype" w:eastAsia="Times New Roman" w:hAnsi="Palatino Linotype" w:cs="Tahoma"/>
          <w:bCs/>
          <w:iCs/>
          <w:kern w:val="0"/>
          <w:lang w:eastAsia="es-ES"/>
          <w14:ligatures w14:val="none"/>
        </w:rPr>
        <w:t>El artículo 12, que, quienes generen, recopilen, administren, manejen, procesen, archiven o conserven información pública serán responsables de la misma.</w:t>
      </w:r>
    </w:p>
    <w:p w14:paraId="1F1B1FF1"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6EA51573" w14:textId="77777777" w:rsidR="00234760" w:rsidRPr="001810A0" w:rsidRDefault="00234760" w:rsidP="001A619C">
      <w:pPr>
        <w:widowControl w:val="0"/>
        <w:spacing w:after="0" w:line="360" w:lineRule="auto"/>
        <w:contextualSpacing/>
        <w:jc w:val="both"/>
        <w:rPr>
          <w:rFonts w:ascii="Palatino Linotype" w:eastAsia="Times New Roman" w:hAnsi="Palatino Linotype" w:cs="Tahoma"/>
          <w:bCs/>
          <w:iCs/>
          <w:kern w:val="0"/>
          <w:lang w:eastAsia="es-ES"/>
          <w14:ligatures w14:val="none"/>
        </w:rPr>
      </w:pPr>
      <w:r w:rsidRPr="001810A0">
        <w:rPr>
          <w:rFonts w:ascii="Palatino Linotype" w:eastAsia="Times New Roman" w:hAnsi="Palatino Linotype" w:cs="Tahoma"/>
          <w:bCs/>
          <w:iCs/>
          <w:kern w:val="0"/>
          <w:lang w:eastAsia="es-ES"/>
          <w14:ligatures w14:val="none"/>
        </w:rPr>
        <w:t>El artículo 18, que, los Sujetos Obligados deberán documentar todo acto que derive del ejercicio de sus facultades, competencias o funciones, considerando desde su origen la eventual publicidad y reutilización de la información que generen.</w:t>
      </w:r>
    </w:p>
    <w:p w14:paraId="4E34CE25"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5AD53489"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r w:rsidRPr="001810A0">
        <w:rPr>
          <w:rFonts w:ascii="Palatino Linotype" w:eastAsia="Times New Roman" w:hAnsi="Palatino Linotype" w:cs="Tahoma"/>
          <w:bCs/>
          <w:iCs/>
          <w:kern w:val="0"/>
          <w:lang w:eastAsia="es-ES"/>
          <w14:ligatures w14:val="none"/>
        </w:rPr>
        <w:t>El artículo 19,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404D5678"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71FB063E" w14:textId="77777777" w:rsidR="00234760" w:rsidRPr="001810A0" w:rsidRDefault="00234760" w:rsidP="001A619C">
      <w:pPr>
        <w:pStyle w:val="Ttulo2"/>
        <w:rPr>
          <w:rFonts w:eastAsia="Times New Roman"/>
          <w:lang w:val="es-ES" w:eastAsia="es-ES"/>
        </w:rPr>
      </w:pPr>
      <w:bookmarkStart w:id="11" w:name="_Toc188524602"/>
      <w:r w:rsidRPr="001810A0">
        <w:rPr>
          <w:rFonts w:eastAsia="Times New Roman"/>
          <w:lang w:val="es-ES" w:eastAsia="es-ES"/>
        </w:rPr>
        <w:t>QUINTO. Estudio de Fondo</w:t>
      </w:r>
      <w:bookmarkEnd w:id="11"/>
    </w:p>
    <w:p w14:paraId="462B71C2"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0BB7F56C"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Expuestas las posturas de las partes, se procede al análisis del agravio hecho valer por la persona Recurrente, concerniente a la falta de respuesta del Ayuntamiento de Tepotzotlán, a la solicitud de información presentada. </w:t>
      </w:r>
    </w:p>
    <w:p w14:paraId="2B4EF0D3"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5AB24EE1" w14:textId="77777777" w:rsidR="00E9791C" w:rsidRPr="001810A0" w:rsidRDefault="00E9791C"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7472F908" w14:textId="77777777" w:rsidR="00E9791C" w:rsidRPr="001810A0" w:rsidRDefault="00E9791C"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0E799829"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En principio, es de suma importancia señalar los objetivos de la Ley de Transparencia y Acceso a la Información Pública del Estado de México y Municipios, en relación con la obligación de acceso por parte de los Sujetos Obligados, lo cuales se encuentran establecidos en el artículo 2° de dicho ordenamiento jurídico y son los siguientes:</w:t>
      </w:r>
    </w:p>
    <w:p w14:paraId="69CF17A3"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48CAB1A4" w14:textId="77777777" w:rsidR="00234760" w:rsidRPr="001810A0" w:rsidRDefault="00234760" w:rsidP="001A619C">
      <w:pPr>
        <w:numPr>
          <w:ilvl w:val="0"/>
          <w:numId w:val="5"/>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Proveer lo necesario para garantizar a toda persona el derecho de acceso a la información pública, a través de procedimientos sencillos, expeditos, oportunos y gratuitos;</w:t>
      </w:r>
    </w:p>
    <w:p w14:paraId="230DA9DC"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5E3A291F" w14:textId="77777777" w:rsidR="00234760" w:rsidRPr="001810A0" w:rsidRDefault="00234760" w:rsidP="001A619C">
      <w:pPr>
        <w:numPr>
          <w:ilvl w:val="0"/>
          <w:numId w:val="5"/>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Transparentar la gestión pública, mediante la difusión de la información generada por los Sujetos Obligados, y</w:t>
      </w:r>
    </w:p>
    <w:p w14:paraId="7848800C"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10653AE2" w14:textId="77777777" w:rsidR="00234760" w:rsidRPr="001810A0" w:rsidRDefault="00234760" w:rsidP="001A619C">
      <w:pPr>
        <w:numPr>
          <w:ilvl w:val="0"/>
          <w:numId w:val="5"/>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Promover, fomentar y difundir la cultura de la transparencia en el ejercicio de la función pública, el acceso a la información y la participación ciudadana, así como, la rendición de cuentas.</w:t>
      </w:r>
    </w:p>
    <w:p w14:paraId="1690A095"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456D3B9C"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Conforme a lo anterior, se deprende que los objetivos de la Ley de la materia, son establecer las bases que regirán las formas para garantizar el derecho de acceso a la información, mediante procesos sencillos y expeditos, la promoción, fomentación y difusión de la cultura de transparencia y la rendición de cuentas, a través de establecimiento de políticas públicas y mecanismos que garanticen la publicidad de información oportuna, verificable, comprensible, actualizada y completa.</w:t>
      </w:r>
    </w:p>
    <w:p w14:paraId="0A94B474"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05DB8562"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w:t>
      </w:r>
    </w:p>
    <w:p w14:paraId="5198BFC4"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6C01A0C3"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Para lograr lo anterior, los Sujetos Obligados deben seguir el procedimiento para la atención a las solicitudes de acceso a la información, establecido en los artículos 151, 159, 160, 162, 163, 164, 165 y 166, de la Ley de Transparencia y Acceso a la Información Pública del Estado de México y Municipios, el cual es el siguiente:</w:t>
      </w:r>
    </w:p>
    <w:p w14:paraId="15813B86"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19D53FB3" w14:textId="77777777" w:rsidR="00234760" w:rsidRPr="001810A0" w:rsidRDefault="00234760" w:rsidP="001A619C">
      <w:pPr>
        <w:numPr>
          <w:ilvl w:val="0"/>
          <w:numId w:val="6"/>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Las Unidades de Transparencia de los Sujetos Obligados deben garantizar las medidas y condiciones de accesibilidad para que toda persona puede ejercer el derecho de acceso a la información; por lo que, son las responsables de hacer las notificaciones correspondientes, además de llevar a cabo de todas las gestiones necesarias para facilitar el acceso de la información;</w:t>
      </w:r>
    </w:p>
    <w:p w14:paraId="080A75E0" w14:textId="77777777" w:rsidR="001A619C" w:rsidRPr="001810A0" w:rsidRDefault="001A619C"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12288AD2" w14:textId="77777777" w:rsidR="00234760" w:rsidRPr="001810A0" w:rsidRDefault="00234760" w:rsidP="001A619C">
      <w:pPr>
        <w:numPr>
          <w:ilvl w:val="0"/>
          <w:numId w:val="6"/>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Los Sujetos Obligados podrán requerirle a los Solicitantes, que complementen, corrijan o amplíen su solicitud de información, cuando resulten los datos proporcionados insuficientes, incorrectos, incompletos o erróneos; solicitar dicha aclaración, interrumpirá el plazo para dar respuesta y comenzará a computarse el día siguiente al desahogo de esta.</w:t>
      </w:r>
    </w:p>
    <w:p w14:paraId="3862467F"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2D37566C" w14:textId="77777777" w:rsidR="00234760" w:rsidRPr="001810A0" w:rsidRDefault="00234760" w:rsidP="001A619C">
      <w:pPr>
        <w:numPr>
          <w:ilvl w:val="0"/>
          <w:numId w:val="6"/>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Las respuestas a los requerimientos informativos deberán notificarse al interesado en el menor tiempo posible, que no podrá exceder quince días, contados a partir del día siguiente a la presentación de ésta. Excepcionalmente, el plazo referido podrá ampliarse por siete días hábiles más, cuando existan razones fundadas y motivadas, a través del Comité de Transparencia;</w:t>
      </w:r>
    </w:p>
    <w:p w14:paraId="3EFB305F"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457B7CC3" w14:textId="77777777" w:rsidR="00234760" w:rsidRPr="001810A0" w:rsidRDefault="00234760" w:rsidP="001A619C">
      <w:pPr>
        <w:numPr>
          <w:ilvl w:val="0"/>
          <w:numId w:val="6"/>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Las Unidades de Transparencia garantizarán que las solicitudes se turnen a todas las áreas competentes que cuenten con la información o deban tenerla de acuerdo a sus facultades, funciones y atribuciones, para que realicen una búsqueda exhaustiva y razonable de la documentación solicitada, con el fin de que proporcionen las expresiones documentales que se encuentren en sus archivos o que estén constreñidos a elaborar;</w:t>
      </w:r>
    </w:p>
    <w:p w14:paraId="05911EDE" w14:textId="77777777" w:rsidR="001A619C" w:rsidRPr="001810A0" w:rsidRDefault="001A619C" w:rsidP="001A619C">
      <w:pPr>
        <w:pStyle w:val="Prrafodelista"/>
        <w:spacing w:after="0" w:line="360" w:lineRule="auto"/>
        <w:rPr>
          <w:rFonts w:ascii="Palatino Linotype" w:eastAsia="Times New Roman" w:hAnsi="Palatino Linotype" w:cs="Tahoma"/>
          <w:bCs/>
          <w:iCs/>
          <w:kern w:val="0"/>
          <w:lang w:val="es-ES" w:eastAsia="es-ES"/>
          <w14:ligatures w14:val="none"/>
        </w:rPr>
      </w:pPr>
    </w:p>
    <w:p w14:paraId="2D6E0CEC" w14:textId="77777777" w:rsidR="00234760" w:rsidRPr="001810A0" w:rsidRDefault="00234760" w:rsidP="001A619C">
      <w:pPr>
        <w:numPr>
          <w:ilvl w:val="0"/>
          <w:numId w:val="6"/>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El acceso se dará en la modalidad de entrega y en su caso, de envío elegido por el solicitante, cuando no pueda entregarse en dicha modalidad, el Sujeto Obligado deberá ofrecer otras; por lo cual, deberá fundamentar y motivar la necesidad de modificar el medio de entrega, y</w:t>
      </w:r>
    </w:p>
    <w:p w14:paraId="71F28988"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00931168" w14:textId="77777777" w:rsidR="00234760" w:rsidRPr="001810A0" w:rsidRDefault="00234760" w:rsidP="001A619C">
      <w:pPr>
        <w:numPr>
          <w:ilvl w:val="0"/>
          <w:numId w:val="6"/>
        </w:num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Las Unidades de Transparencia, tendrán disponible la información requerida durante un plazo mínimo de sesenta días hábiles, contados a partir de que el solicitante hubiere realizado, en su caso, el pago respectivo, el cual deberá efectuarse en un plazo no mayor a treinta días hábiles; por lo que, una vez trascurrida dicha temporalidad, los Sujetos Obligados darán por concluida la solicitud y procederán de ser el caso, a la destrucción del material.</w:t>
      </w:r>
    </w:p>
    <w:p w14:paraId="250F84F2"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5F6BFA4D"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Una vez establecido lo anterior, es de indicar que el agravio del Particular consistió en que, a la fecha de interposición del Recurso de Revisión, el </w:t>
      </w:r>
      <w:r w:rsidRPr="001810A0">
        <w:rPr>
          <w:rFonts w:ascii="Palatino Linotype" w:eastAsia="Times New Roman" w:hAnsi="Palatino Linotype" w:cs="Times New Roman"/>
          <w:b/>
          <w:bCs/>
          <w:kern w:val="0"/>
          <w:lang w:eastAsia="es-ES"/>
          <w14:ligatures w14:val="none"/>
        </w:rPr>
        <w:t>Ayuntamiento de Tepotzotlán</w:t>
      </w:r>
      <w:r w:rsidRPr="001810A0">
        <w:rPr>
          <w:rFonts w:ascii="Palatino Linotype" w:eastAsia="Times New Roman" w:hAnsi="Palatino Linotype" w:cs="Tahoma"/>
          <w:bCs/>
          <w:iCs/>
          <w:kern w:val="0"/>
          <w:lang w:val="es-ES" w:eastAsia="es-ES"/>
          <w14:ligatures w14:val="none"/>
        </w:rPr>
        <w:t>, no había registrado respuesta al requerimiento de acceso a la información, el cual se presentó, el treinta de agosto de dos mil veinticuatro.</w:t>
      </w:r>
    </w:p>
    <w:p w14:paraId="4C6E3EC4"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3C6ABED1"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En ese orden de ideas, el plazo con el que contaba el Sujeto Obligado para emitir contestación al requerimiento informativo, </w:t>
      </w:r>
      <w:r w:rsidRPr="001810A0">
        <w:rPr>
          <w:rFonts w:ascii="Palatino Linotype" w:eastAsia="Times New Roman" w:hAnsi="Palatino Linotype" w:cs="Tahoma"/>
          <w:b/>
          <w:bCs/>
          <w:iCs/>
          <w:kern w:val="0"/>
          <w:lang w:val="es-ES" w:eastAsia="es-ES"/>
          <w14:ligatures w14:val="none"/>
        </w:rPr>
        <w:t>comenzó a correr el dos de septiembre y feneció el quince de octubre ambos de dos mil veinticuatro</w:t>
      </w:r>
      <w:r w:rsidRPr="001810A0">
        <w:rPr>
          <w:rFonts w:ascii="Palatino Linotype" w:eastAsia="Times New Roman" w:hAnsi="Palatino Linotype" w:cs="Tahoma"/>
          <w:bCs/>
          <w:iCs/>
          <w:kern w:val="0"/>
          <w:lang w:val="es-ES" w:eastAsia="es-ES"/>
          <w14:ligatures w14:val="none"/>
        </w:rPr>
        <w:t>; lo anterior, sin contar los días, treinta y uno de agosto, primero, siete, ocho, catorce, quince, dieciséis, veintiuno, veintidós, veintiocho y veintinueve de septiembre, así como primero, cinco, seis, dice y trece de octubre, todos del año en curso, de conformidad con los artículos 3°, fracción X, y el Calendario Oficial en Materia de Transparencia, Acceso a la Información Pública y Protección de Datos Personales del Estado de México y Municipios, así como de laborales de este Instituto, para el año dos mil veinticuatro y enero dos mil veinticinco.</w:t>
      </w:r>
    </w:p>
    <w:p w14:paraId="66273B0E"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0A116DD8"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Conforme a lo anterior, este Instituto verificó que, en efecto, no se registró una respuesta a la solicitud de la persona Recurrente, en el Sistema de Acceso a la Información Mexiquense (SAIMEX), tal como se observa a continuación:</w:t>
      </w:r>
    </w:p>
    <w:p w14:paraId="59AF9E35"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41552D92" w14:textId="77777777" w:rsidR="00234760" w:rsidRPr="001810A0" w:rsidRDefault="00234760" w:rsidP="001A619C">
      <w:pPr>
        <w:spacing w:after="0" w:line="360" w:lineRule="auto"/>
        <w:contextualSpacing/>
        <w:jc w:val="center"/>
        <w:rPr>
          <w:rFonts w:ascii="Palatino Linotype" w:eastAsia="Times New Roman" w:hAnsi="Palatino Linotype" w:cs="Tahoma"/>
          <w:bCs/>
          <w:iCs/>
          <w:noProof/>
          <w:color w:val="FF0000"/>
          <w:kern w:val="0"/>
          <w:lang w:eastAsia="es-MX"/>
          <w14:ligatures w14:val="none"/>
        </w:rPr>
      </w:pPr>
      <w:r w:rsidRPr="001810A0">
        <w:rPr>
          <w:rFonts w:ascii="Times New Roman" w:eastAsia="Times New Roman" w:hAnsi="Times New Roman" w:cs="Times New Roman"/>
          <w:noProof/>
          <w:color w:val="FF0000"/>
          <w:kern w:val="0"/>
          <w:sz w:val="20"/>
          <w:szCs w:val="20"/>
          <w:lang w:eastAsia="es-MX"/>
          <w14:ligatures w14:val="none"/>
        </w:rPr>
        <w:drawing>
          <wp:inline distT="0" distB="0" distL="0" distR="0" wp14:anchorId="2F41ED2D" wp14:editId="4CC75ACB">
            <wp:extent cx="2864484" cy="2143125"/>
            <wp:effectExtent l="0" t="0" r="0" b="0"/>
            <wp:docPr id="1535393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393745" name=""/>
                    <pic:cNvPicPr/>
                  </pic:nvPicPr>
                  <pic:blipFill rotWithShape="1">
                    <a:blip r:embed="rId8"/>
                    <a:srcRect t="-1" b="11050"/>
                    <a:stretch/>
                  </pic:blipFill>
                  <pic:spPr bwMode="auto">
                    <a:xfrm>
                      <a:off x="0" y="0"/>
                      <a:ext cx="2872899" cy="2149421"/>
                    </a:xfrm>
                    <a:prstGeom prst="rect">
                      <a:avLst/>
                    </a:prstGeom>
                    <a:ln>
                      <a:noFill/>
                    </a:ln>
                    <a:extLst>
                      <a:ext uri="{53640926-AAD7-44D8-BBD7-CCE9431645EC}">
                        <a14:shadowObscured xmlns:a14="http://schemas.microsoft.com/office/drawing/2010/main"/>
                      </a:ext>
                    </a:extLst>
                  </pic:spPr>
                </pic:pic>
              </a:graphicData>
            </a:graphic>
          </wp:inline>
        </w:drawing>
      </w:r>
    </w:p>
    <w:p w14:paraId="3ECDA28A" w14:textId="77777777" w:rsidR="001A619C" w:rsidRPr="001810A0" w:rsidRDefault="001A619C" w:rsidP="001A619C">
      <w:pPr>
        <w:spacing w:after="0" w:line="360" w:lineRule="auto"/>
        <w:contextualSpacing/>
        <w:jc w:val="center"/>
        <w:rPr>
          <w:rFonts w:ascii="Palatino Linotype" w:eastAsia="Times New Roman" w:hAnsi="Palatino Linotype" w:cs="Tahoma"/>
          <w:bCs/>
          <w:iCs/>
          <w:noProof/>
          <w:color w:val="FF0000"/>
          <w:kern w:val="0"/>
          <w:lang w:eastAsia="es-MX"/>
          <w14:ligatures w14:val="none"/>
        </w:rPr>
      </w:pPr>
    </w:p>
    <w:p w14:paraId="60F15FDB"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Así, se colige que, tal como lo precisó el Particular, el </w:t>
      </w:r>
      <w:r w:rsidRPr="001810A0">
        <w:rPr>
          <w:rFonts w:ascii="Palatino Linotype" w:eastAsia="Times New Roman" w:hAnsi="Palatino Linotype" w:cs="Tahoma"/>
          <w:b/>
          <w:bCs/>
          <w:iCs/>
          <w:kern w:val="0"/>
          <w:lang w:val="es-ES" w:eastAsia="es-ES"/>
          <w14:ligatures w14:val="none"/>
        </w:rPr>
        <w:t>Ayuntamiento de Tepotzotlán</w:t>
      </w:r>
      <w:r w:rsidRPr="001810A0">
        <w:rPr>
          <w:rFonts w:ascii="Palatino Linotype" w:eastAsia="Times New Roman" w:hAnsi="Palatino Linotype" w:cs="Tahoma"/>
          <w:bCs/>
          <w:iCs/>
          <w:kern w:val="0"/>
          <w:lang w:val="es-ES" w:eastAsia="es-ES"/>
          <w14:ligatures w14:val="none"/>
        </w:rPr>
        <w:t xml:space="preserve"> no emitió respuesta para dar contestación a la solicitud de información, dentro de los plazos establecidos en el artículo 163, de la Ley de la materia, pues tenía hasta el trece de noviembre de dos mil veinticuatro, para realizar dicha situación, inclusive a la presente fecha, dicho ente no ha emitido contestación alguna; por lo que, resulta evidente que el agravio hecho valer por la persona Recurrente resulta </w:t>
      </w:r>
      <w:r w:rsidRPr="001810A0">
        <w:rPr>
          <w:rFonts w:ascii="Palatino Linotype" w:eastAsia="Times New Roman" w:hAnsi="Palatino Linotype" w:cs="Tahoma"/>
          <w:b/>
          <w:bCs/>
          <w:iCs/>
          <w:kern w:val="0"/>
          <w:lang w:val="es-ES" w:eastAsia="es-ES"/>
          <w14:ligatures w14:val="none"/>
        </w:rPr>
        <w:t>FUNDADO.</w:t>
      </w:r>
    </w:p>
    <w:p w14:paraId="26F737B1"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752040B0"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Con base en lo expuesto, es procedente </w:t>
      </w:r>
      <w:r w:rsidRPr="001810A0">
        <w:rPr>
          <w:rFonts w:ascii="Palatino Linotype" w:eastAsia="Times New Roman" w:hAnsi="Palatino Linotype" w:cs="Tahoma"/>
          <w:b/>
          <w:bCs/>
          <w:iCs/>
          <w:kern w:val="0"/>
          <w:lang w:val="es-ES" w:eastAsia="es-ES"/>
          <w14:ligatures w14:val="none"/>
        </w:rPr>
        <w:t>ORDENAR</w:t>
      </w:r>
      <w:r w:rsidRPr="001810A0">
        <w:rPr>
          <w:rFonts w:ascii="Palatino Linotype" w:eastAsia="Times New Roman" w:hAnsi="Palatino Linotype" w:cs="Tahoma"/>
          <w:bCs/>
          <w:iCs/>
          <w:kern w:val="0"/>
          <w:lang w:val="es-ES" w:eastAsia="es-ES"/>
          <w14:ligatures w14:val="none"/>
        </w:rPr>
        <w:t xml:space="preserve"> al Sujeto Obligado, que emita respuesta que a derecho corresponda, al requerimiento de información; no obstante, para tal circunstancia es necesario analizar si cuenta con competencia para conocer de lo peticionado.</w:t>
      </w:r>
    </w:p>
    <w:p w14:paraId="715E9366"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5449ACCF"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Sobre el tema, es necesario traer a colación los artículos 86, fracción III y VIII, y 87, fracción V, de la Ley del Trabajado de los Servidores Públicos al Servicio del Estado y Municipios, los cuales precisan que los servidores públicos, tendrán derecho a obtener </w:t>
      </w:r>
      <w:r w:rsidRPr="001810A0">
        <w:rPr>
          <w:rFonts w:ascii="Palatino Linotype" w:eastAsia="Times New Roman" w:hAnsi="Palatino Linotype" w:cs="Tahoma"/>
          <w:b/>
          <w:bCs/>
          <w:iCs/>
          <w:kern w:val="0"/>
          <w:lang w:val="es-ES" w:eastAsia="es-ES"/>
          <w14:ligatures w14:val="none"/>
        </w:rPr>
        <w:t>licencias o permisos</w:t>
      </w:r>
      <w:r w:rsidRPr="001810A0">
        <w:rPr>
          <w:rFonts w:ascii="Palatino Linotype" w:eastAsia="Times New Roman" w:hAnsi="Palatino Linotype" w:cs="Tahoma"/>
          <w:bCs/>
          <w:iCs/>
          <w:kern w:val="0"/>
          <w:lang w:val="es-ES" w:eastAsia="es-ES"/>
          <w14:ligatures w14:val="none"/>
        </w:rPr>
        <w:t>, de diversas índoles.</w:t>
      </w:r>
    </w:p>
    <w:p w14:paraId="29776BAD"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656A8398"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Ahora bien, en la fracción VIII del artículo 86 de la Ley del Trabajado de los Servidores Públicos al Servicio del Estado y Municipios, refiere que dentro de las licencias que pueden disfrutar los servidores públicos, se encuentran las </w:t>
      </w:r>
      <w:r w:rsidRPr="001810A0">
        <w:rPr>
          <w:rFonts w:ascii="Palatino Linotype" w:eastAsia="Times New Roman" w:hAnsi="Palatino Linotype" w:cs="Tahoma"/>
          <w:b/>
          <w:bCs/>
          <w:iCs/>
          <w:kern w:val="0"/>
          <w:lang w:val="es-ES" w:eastAsia="es-ES"/>
          <w14:ligatures w14:val="none"/>
        </w:rPr>
        <w:t>licencias o permisos con o sin goce de sueldo.</w:t>
      </w:r>
    </w:p>
    <w:p w14:paraId="6619D2CF" w14:textId="77777777" w:rsidR="001A619C" w:rsidRPr="001810A0" w:rsidRDefault="001A619C"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420D5FCF" w14:textId="1DE745E1"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En ese contexto el Manual de Organización de la Dirección de Administración y </w:t>
      </w:r>
      <w:r w:rsidR="001A619C" w:rsidRPr="001810A0">
        <w:rPr>
          <w:rFonts w:ascii="Palatino Linotype" w:eastAsia="Times New Roman" w:hAnsi="Palatino Linotype" w:cs="Tahoma"/>
          <w:bCs/>
          <w:iCs/>
          <w:kern w:val="0"/>
          <w:lang w:val="es-ES" w:eastAsia="es-ES"/>
          <w14:ligatures w14:val="none"/>
        </w:rPr>
        <w:t>Finanzas del Sujeto Obligado establece</w:t>
      </w:r>
      <w:r w:rsidRPr="001810A0">
        <w:rPr>
          <w:rFonts w:ascii="Palatino Linotype" w:eastAsia="Times New Roman" w:hAnsi="Palatino Linotype" w:cs="Tahoma"/>
          <w:bCs/>
          <w:iCs/>
          <w:kern w:val="0"/>
          <w:lang w:val="es-ES" w:eastAsia="es-ES"/>
          <w14:ligatures w14:val="none"/>
        </w:rPr>
        <w:t xml:space="preserve"> que dicha Dirección cuenta con diversas áreas, entre ellas la Jefatura de Recursos Humanos, la cual tiene como objetivo contar con el capital humano adecuado que permita el desarrollo y crecimiento de los colaboradores para el aumento de la productividad organizacional, así como desarrollar la comunicación interna capaz de crear lazos de conexión entre los colaboradores y directivos. Teniendo dentro de sus atribuciones y funciones entre otras cosas </w:t>
      </w:r>
      <w:r w:rsidR="001A619C" w:rsidRPr="001810A0">
        <w:rPr>
          <w:rFonts w:ascii="Palatino Linotype" w:eastAsia="Times New Roman" w:hAnsi="Palatino Linotype" w:cs="Tahoma"/>
          <w:bCs/>
          <w:iCs/>
          <w:kern w:val="0"/>
          <w:lang w:val="es-ES" w:eastAsia="es-ES"/>
          <w14:ligatures w14:val="none"/>
        </w:rPr>
        <w:t>r</w:t>
      </w:r>
      <w:r w:rsidRPr="001810A0">
        <w:rPr>
          <w:rFonts w:ascii="Palatino Linotype" w:eastAsia="Times New Roman" w:hAnsi="Palatino Linotype" w:cs="Tahoma"/>
          <w:bCs/>
          <w:iCs/>
          <w:kern w:val="0"/>
          <w:lang w:val="es-ES" w:eastAsia="es-ES"/>
          <w14:ligatures w14:val="none"/>
        </w:rPr>
        <w:t xml:space="preserve">ecabar y </w:t>
      </w:r>
      <w:r w:rsidRPr="001810A0">
        <w:rPr>
          <w:rFonts w:ascii="Palatino Linotype" w:eastAsia="Times New Roman" w:hAnsi="Palatino Linotype" w:cs="Tahoma"/>
          <w:b/>
          <w:bCs/>
          <w:iCs/>
          <w:kern w:val="0"/>
          <w:lang w:val="es-ES" w:eastAsia="es-ES"/>
          <w14:ligatures w14:val="none"/>
        </w:rPr>
        <w:t>controlar la asistencia del personal.</w:t>
      </w:r>
    </w:p>
    <w:p w14:paraId="16216BC8"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1B309A7F"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Conforme a lo anterior, es claro que el Sujeto Obligado, tiene competencia para conocer de la información solicitada, al contar con un área específica y contar con la obligación de generar documentos relacionados con la solicitud, por lo que, para atender el requerimiento en análisis, deberá realizar una búsqueda exhaustiva y razonable en todas sus áreas competentes, en términos del artículo 162 de la Ley de Transparencia y Acceso a la Información Pública del Estado de México y Municipios, a efecto de que dé la respuesta que a derecho corresponda y, en su caso, proporcione los documentos que den cuenta de la información solicitada.</w:t>
      </w:r>
    </w:p>
    <w:p w14:paraId="32A3AE83"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4C6AB028"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Finalmente, no pasa desapercibido para este Instituto que los documentos que den cuenta de lo solicitado, pudieran contener datos o información clasificada; al respecto, conforme al artículo 3°, fracción XLV, relacionado con el 137, ambos de la Ley de Transparencia y Acceso a la Información Pública del Estado de México y Municipios, cuando un documento contenga información pública y reservada o confidencial, la Unidad de Transparencia para efectos de atender al requerimiento informativo, deberá elaborar una versión Pública en la que s</w:t>
      </w:r>
      <w:r w:rsidRPr="001810A0">
        <w:rPr>
          <w:rFonts w:ascii="Palatino Linotype" w:eastAsia="Times New Roman" w:hAnsi="Palatino Linotype" w:cs="Tahoma"/>
          <w:b/>
          <w:bCs/>
          <w:iCs/>
          <w:kern w:val="0"/>
          <w:lang w:val="es-ES" w:eastAsia="es-ES"/>
          <w14:ligatures w14:val="none"/>
        </w:rPr>
        <w:t xml:space="preserve">e </w:t>
      </w:r>
      <w:r w:rsidRPr="001810A0">
        <w:rPr>
          <w:rFonts w:ascii="Palatino Linotype" w:eastAsia="Times New Roman" w:hAnsi="Palatino Linotype" w:cs="Tahoma"/>
          <w:bCs/>
          <w:iCs/>
          <w:kern w:val="0"/>
          <w:lang w:val="es-ES" w:eastAsia="es-ES"/>
          <w14:ligatures w14:val="none"/>
        </w:rPr>
        <w:t xml:space="preserve">testen las partes o secciones clasificadas, indicando su contenido de manera genérica y fundando y motivando su clasificación. </w:t>
      </w:r>
    </w:p>
    <w:p w14:paraId="33F4BCD5"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4EFD0A19"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Para tal situación, el Sujeto Obligado deberá seguir el procedimiento establecido en el artículo 168 de dicho ordenamiento jurídico; esto es, que el área competente deberá elaborar la versión pública, así como emitir el Acuerdo, por parte del Comité de Transparencia, donde confirme la clasificación de los datos, fundando y motivando la clasificación</w:t>
      </w:r>
      <w:r w:rsidRPr="001810A0">
        <w:rPr>
          <w:rFonts w:ascii="Palatino Linotype" w:eastAsia="Times New Roman" w:hAnsi="Palatino Linotype" w:cs="Tahoma"/>
          <w:b/>
          <w:bCs/>
          <w:iCs/>
          <w:kern w:val="0"/>
          <w:lang w:val="es-ES" w:eastAsia="es-ES"/>
          <w14:ligatures w14:val="none"/>
        </w:rPr>
        <w:t>.</w:t>
      </w:r>
    </w:p>
    <w:p w14:paraId="5C794F4D"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34E41E3B" w14:textId="77777777" w:rsidR="00234760" w:rsidRPr="001810A0" w:rsidRDefault="00234760" w:rsidP="001A619C">
      <w:pPr>
        <w:pStyle w:val="Ttulo2"/>
        <w:rPr>
          <w:rFonts w:eastAsia="Times New Roman"/>
          <w:lang w:val="es-ES" w:eastAsia="es-ES"/>
        </w:rPr>
      </w:pPr>
      <w:bookmarkStart w:id="12" w:name="_Toc188524603"/>
      <w:r w:rsidRPr="001810A0">
        <w:rPr>
          <w:rFonts w:eastAsia="Times New Roman"/>
          <w:lang w:val="es-ES" w:eastAsia="es-ES"/>
        </w:rPr>
        <w:t>SEXTO. Decisión</w:t>
      </w:r>
      <w:bookmarkEnd w:id="12"/>
    </w:p>
    <w:p w14:paraId="2E688E6F"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7C2CF95C"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Con fundamento en el artículo 186, fracción IV, de la Ley de Transparencia y Acceso a la Información Pública del Estado de México y Municipios, este Instituto considera procedente </w:t>
      </w:r>
      <w:r w:rsidRPr="001810A0">
        <w:rPr>
          <w:rFonts w:ascii="Palatino Linotype" w:eastAsia="Times New Roman" w:hAnsi="Palatino Linotype" w:cs="Tahoma"/>
          <w:b/>
          <w:bCs/>
          <w:iCs/>
          <w:kern w:val="0"/>
          <w:lang w:val="es-ES" w:eastAsia="es-ES"/>
          <w14:ligatures w14:val="none"/>
        </w:rPr>
        <w:t>ORDENAR</w:t>
      </w:r>
      <w:r w:rsidRPr="001810A0">
        <w:rPr>
          <w:rFonts w:ascii="Palatino Linotype" w:eastAsia="Times New Roman" w:hAnsi="Palatino Linotype" w:cs="Tahoma"/>
          <w:bCs/>
          <w:iCs/>
          <w:kern w:val="0"/>
          <w:lang w:val="es-ES" w:eastAsia="es-ES"/>
          <w14:ligatures w14:val="none"/>
        </w:rPr>
        <w:t xml:space="preserve"> al Sujeto Obligado, a que dé atención y respuesta a la solicitud de información pública con número </w:t>
      </w:r>
      <w:r w:rsidRPr="001810A0">
        <w:rPr>
          <w:rFonts w:ascii="Palatino Linotype" w:eastAsia="Times New Roman" w:hAnsi="Palatino Linotype" w:cs="Tahoma"/>
          <w:iCs/>
          <w:kern w:val="0"/>
          <w:lang w:val="es-ES" w:eastAsia="es-ES"/>
          <w14:ligatures w14:val="none"/>
        </w:rPr>
        <w:t>00233/TEPOTZOT/IP/2024.</w:t>
      </w:r>
    </w:p>
    <w:p w14:paraId="646731BC"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5EBE81D" w14:textId="77777777" w:rsidR="00234760" w:rsidRPr="001810A0" w:rsidRDefault="00234760" w:rsidP="001A619C">
      <w:pPr>
        <w:pStyle w:val="Ttulo2"/>
        <w:rPr>
          <w:rFonts w:eastAsia="Times New Roman"/>
          <w:lang w:val="es-ES" w:eastAsia="es-ES"/>
        </w:rPr>
      </w:pPr>
      <w:bookmarkStart w:id="13" w:name="_Toc188524604"/>
      <w:r w:rsidRPr="001810A0">
        <w:rPr>
          <w:rFonts w:eastAsia="Times New Roman"/>
          <w:lang w:val="es-ES" w:eastAsia="es-ES"/>
        </w:rPr>
        <w:t xml:space="preserve">SÉPTIMO. </w:t>
      </w:r>
      <w:bookmarkStart w:id="14" w:name="_Hlk187857842"/>
      <w:r w:rsidRPr="001810A0">
        <w:rPr>
          <w:rFonts w:eastAsia="Times New Roman"/>
          <w:lang w:val="es-ES" w:eastAsia="es-ES"/>
        </w:rPr>
        <w:t>Vista a la Secretaría Técnica del Pleno</w:t>
      </w:r>
      <w:bookmarkEnd w:id="13"/>
    </w:p>
    <w:bookmarkEnd w:id="14"/>
    <w:p w14:paraId="2634932D"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49FEFBBD"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En el caso en estudio, ha quedado acreditado que el </w:t>
      </w:r>
      <w:r w:rsidRPr="001810A0">
        <w:rPr>
          <w:rFonts w:ascii="Palatino Linotype" w:eastAsia="Times New Roman" w:hAnsi="Palatino Linotype" w:cs="Times New Roman"/>
          <w:kern w:val="0"/>
          <w:lang w:eastAsia="es-ES"/>
          <w14:ligatures w14:val="none"/>
        </w:rPr>
        <w:t>Ayuntamiento de Tepotzotlán</w:t>
      </w:r>
      <w:r w:rsidRPr="001810A0">
        <w:rPr>
          <w:rFonts w:ascii="Palatino Linotype" w:eastAsia="Times New Roman" w:hAnsi="Palatino Linotype" w:cs="Tahoma"/>
          <w:b/>
          <w:bCs/>
          <w:iCs/>
          <w:kern w:val="0"/>
          <w:lang w:val="es-ES" w:eastAsia="es-ES"/>
          <w14:ligatures w14:val="none"/>
        </w:rPr>
        <w:t xml:space="preserve">, </w:t>
      </w:r>
      <w:r w:rsidRPr="001810A0">
        <w:rPr>
          <w:rFonts w:ascii="Palatino Linotype" w:eastAsia="Times New Roman" w:hAnsi="Palatino Linotype" w:cs="Tahoma"/>
          <w:bCs/>
          <w:iCs/>
          <w:kern w:val="0"/>
          <w:lang w:val="es-ES" w:eastAsia="es-ES"/>
          <w14:ligatures w14:val="none"/>
        </w:rPr>
        <w:t xml:space="preserve">omitió dar respuesta en el plazo señalado en el artículo 163 de la Ley de Transparencia y Acceso a la Información Pública del Estado de México y Municipios. </w:t>
      </w:r>
    </w:p>
    <w:p w14:paraId="560C6C0F"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359A5297"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Al respecto, el artículo 36, fracción X, del ordenamiento jurídico en cita, establece que es atribución de este Instituto hacer del conocimiento del Órgano Interno de Control o equivalente de cada Sujeto Obligado las infracciones a esta Ley</w:t>
      </w:r>
      <w:r w:rsidRPr="001810A0">
        <w:rPr>
          <w:rFonts w:ascii="Palatino Linotype" w:eastAsia="Times New Roman" w:hAnsi="Palatino Linotype" w:cs="Tahoma"/>
          <w:b/>
          <w:bCs/>
          <w:iCs/>
          <w:kern w:val="0"/>
          <w:lang w:val="es-ES" w:eastAsia="es-ES"/>
          <w14:ligatures w14:val="none"/>
        </w:rPr>
        <w:t xml:space="preserve">. </w:t>
      </w:r>
    </w:p>
    <w:p w14:paraId="7C5F4E35"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6F4841E9"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En ese sentido, de conformidad con lo previsto en el artículo 222, fracción II, de dicho ordenamiento, son causas de responsabilidad administrativa los incumplimientos de las obligaciones establecida en la Ley de la materia, entre otras conductas, la falta de respuesta a las solicitudes de información en los plazos señalados, a saber, dentro de los quince días siguientes a la presentación del requerimiento. </w:t>
      </w:r>
    </w:p>
    <w:p w14:paraId="42156ED2" w14:textId="77777777" w:rsidR="00234760" w:rsidRPr="001810A0" w:rsidRDefault="00234760" w:rsidP="001A619C">
      <w:pPr>
        <w:spacing w:after="0" w:line="360" w:lineRule="auto"/>
        <w:contextualSpacing/>
        <w:jc w:val="both"/>
        <w:rPr>
          <w:rFonts w:ascii="Palatino Linotype" w:eastAsia="Times New Roman" w:hAnsi="Palatino Linotype" w:cs="Tahoma"/>
          <w:bCs/>
          <w:iCs/>
          <w:color w:val="FF0000"/>
          <w:kern w:val="0"/>
          <w:lang w:val="es-ES" w:eastAsia="es-ES"/>
          <w14:ligatures w14:val="none"/>
        </w:rPr>
      </w:pPr>
    </w:p>
    <w:p w14:paraId="4B494CC6"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Por su parte, el artículo 223 de la Ley de Transparencia y Acceso a la Información Pública del Estado de México y Municipios, prevé que este Instituto deberá dar vista al Área Competente, con el fin de que determine el grado de responsabilidad de los servidores públicos que incumplan con las obligaciones establecidas en la Ley. </w:t>
      </w:r>
    </w:p>
    <w:p w14:paraId="561323A4"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374B3102"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En ese contexto, la fracción XXVII, del artículo 19, del Reglamento Interior del Instituto de Transparencia, Acceso a la Información Pública y Protección de Datos Personales del Estado de México y Municipios, establece que es función de la Secretaría Técnica del Pleno, remitir al Órgano Interno de Control de los Sujetos Obligados, las presuntas infracciones cometidas en el marco de la Ley de la materia, para la promoción de responsabilidades y sanciones. </w:t>
      </w:r>
    </w:p>
    <w:p w14:paraId="5AA3D8D1"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5AC1A184"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Sobre el particular, si bien, la presente resolución no tiene por objetivo investigar y determinar posibles violaciones al derecho de acceso a la información, toda vez que este Organismo Autónomo, advirtió la falta de respuesta del Sujeto Obligado, se considera procedente dar vista a la Secretaría Técnica de este Instituto, para que realice lo conducente.</w:t>
      </w:r>
    </w:p>
    <w:p w14:paraId="515E2BC1"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24C16D0C"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Términos de la Resolución para conocimiento del Particular</w:t>
      </w:r>
    </w:p>
    <w:p w14:paraId="2B812859"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12C19700" w14:textId="77777777" w:rsidR="001A619C"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Se le hace del conocimiento al Particular, que, en el presente caso, se le da la razón, pues el </w:t>
      </w:r>
      <w:r w:rsidRPr="001810A0">
        <w:rPr>
          <w:rFonts w:ascii="Palatino Linotype" w:eastAsia="Times New Roman" w:hAnsi="Palatino Linotype" w:cs="Times New Roman"/>
          <w:kern w:val="0"/>
          <w:lang w:eastAsia="es-ES"/>
          <w14:ligatures w14:val="none"/>
        </w:rPr>
        <w:t>Ayuntamiento de Tepotzotlán</w:t>
      </w:r>
      <w:r w:rsidRPr="001810A0">
        <w:rPr>
          <w:rFonts w:ascii="Palatino Linotype" w:eastAsia="Times New Roman" w:hAnsi="Palatino Linotype" w:cs="Times New Roman"/>
          <w:bCs/>
          <w:kern w:val="0"/>
          <w:lang w:eastAsia="es-ES"/>
          <w14:ligatures w14:val="none"/>
        </w:rPr>
        <w:t xml:space="preserve"> </w:t>
      </w:r>
      <w:r w:rsidRPr="001810A0">
        <w:rPr>
          <w:rFonts w:ascii="Palatino Linotype" w:eastAsia="Times New Roman" w:hAnsi="Palatino Linotype" w:cs="Tahoma"/>
          <w:bCs/>
          <w:iCs/>
          <w:kern w:val="0"/>
          <w:lang w:val="es-ES" w:eastAsia="es-ES"/>
          <w14:ligatures w14:val="none"/>
        </w:rPr>
        <w:t xml:space="preserve">no emitió contestación alguna, por lo que, deberá dar atención al requerimiento de información, realizar unas búsqueda exhaustiva y razonable en sus archivos, y en su caso, entregarle la documentación que corresponda. </w:t>
      </w:r>
    </w:p>
    <w:p w14:paraId="0BF19FCA" w14:textId="77777777" w:rsidR="001810A0" w:rsidRPr="001810A0" w:rsidRDefault="001810A0"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4F7AC08E" w14:textId="77777777" w:rsidR="001A619C"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Además, se le informa que, de conformidad con lo establecido en el artículo 179, párrafo segundo, de la Ley de la materia, tiene derecho a interponer nuevamente Recurso de Revisión ante este Instituto, por la respuesta que dé el Sujeto Obligado, en cumplimiento a esta Resolución. </w:t>
      </w:r>
    </w:p>
    <w:p w14:paraId="67DDB9FB" w14:textId="77777777" w:rsidR="001A619C" w:rsidRPr="001810A0" w:rsidRDefault="001A619C" w:rsidP="001A619C">
      <w:pPr>
        <w:spacing w:after="0" w:line="360" w:lineRule="auto"/>
        <w:contextualSpacing/>
        <w:jc w:val="both"/>
        <w:rPr>
          <w:rFonts w:ascii="Palatino Linotype" w:eastAsia="Times New Roman" w:hAnsi="Palatino Linotype" w:cs="Tahoma"/>
          <w:bCs/>
          <w:iCs/>
          <w:kern w:val="0"/>
          <w:lang w:val="es-ES" w:eastAsia="es-ES"/>
          <w14:ligatures w14:val="none"/>
        </w:rPr>
      </w:pPr>
    </w:p>
    <w:p w14:paraId="0FACEBF7" w14:textId="77777777" w:rsidR="001A619C" w:rsidRPr="001810A0" w:rsidRDefault="001A619C" w:rsidP="001A619C">
      <w:pPr>
        <w:spacing w:after="0" w:line="360" w:lineRule="auto"/>
        <w:jc w:val="both"/>
        <w:rPr>
          <w:rFonts w:ascii="Palatino Linotype" w:eastAsia="Calibri" w:hAnsi="Palatino Linotype" w:cs="Times New Roman"/>
          <w:color w:val="000000"/>
          <w:kern w:val="0"/>
          <w14:ligatures w14:val="none"/>
        </w:rPr>
      </w:pPr>
      <w:r w:rsidRPr="001810A0">
        <w:rPr>
          <w:rFonts w:ascii="Palatino Linotype" w:eastAsia="Calibri" w:hAnsi="Palatino Linotype" w:cs="Times New Roman"/>
          <w:color w:val="000000"/>
          <w:kern w:val="0"/>
          <w14:ligatures w14:val="none"/>
        </w:rPr>
        <w:t>Finalmente, se le informa que la labor de este Instituto de Transparencia, Acceso a la Información Pública y Protección de Datos Personales del Estado de México y Municipios, es apoyar a la población a acceder a la información pública y garantizar la protección de los datos personales.</w:t>
      </w:r>
    </w:p>
    <w:p w14:paraId="2E20AA44"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eastAsia="es-ES"/>
          <w14:ligatures w14:val="none"/>
        </w:rPr>
      </w:pPr>
    </w:p>
    <w:p w14:paraId="3630C1C1" w14:textId="77777777" w:rsidR="00234760" w:rsidRPr="001810A0" w:rsidRDefault="00234760" w:rsidP="001A619C">
      <w:pPr>
        <w:spacing w:after="0" w:line="360" w:lineRule="auto"/>
        <w:ind w:left="708" w:hanging="708"/>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Por lo expuesto y fundado, este Pleno:</w:t>
      </w:r>
    </w:p>
    <w:p w14:paraId="7983EBE6" w14:textId="77777777" w:rsidR="00686585" w:rsidRPr="001810A0" w:rsidRDefault="00686585" w:rsidP="00686585">
      <w:pPr>
        <w:spacing w:after="0" w:line="360" w:lineRule="auto"/>
        <w:contextualSpacing/>
        <w:rPr>
          <w:rFonts w:ascii="Palatino Linotype" w:eastAsia="Times New Roman" w:hAnsi="Palatino Linotype" w:cs="Tahoma"/>
          <w:b/>
          <w:bCs/>
          <w:iCs/>
          <w:color w:val="FF0000"/>
          <w:kern w:val="0"/>
          <w:lang w:val="es-ES" w:eastAsia="es-ES"/>
          <w14:ligatures w14:val="none"/>
        </w:rPr>
      </w:pPr>
      <w:bookmarkStart w:id="15" w:name="_GoBack"/>
      <w:bookmarkEnd w:id="15"/>
    </w:p>
    <w:p w14:paraId="168760FC" w14:textId="62A07345" w:rsidR="00686585" w:rsidRPr="00686585" w:rsidRDefault="00234760" w:rsidP="00686585">
      <w:pPr>
        <w:pStyle w:val="Ttulo1"/>
        <w:rPr>
          <w:rFonts w:eastAsia="Times New Roman"/>
          <w:lang w:val="es-ES" w:eastAsia="es-ES"/>
        </w:rPr>
      </w:pPr>
      <w:bookmarkStart w:id="16" w:name="_Toc188524605"/>
      <w:r w:rsidRPr="001810A0">
        <w:rPr>
          <w:rFonts w:eastAsia="Times New Roman"/>
          <w:lang w:val="es-ES" w:eastAsia="es-ES"/>
        </w:rPr>
        <w:t>R E S U E L V E</w:t>
      </w:r>
      <w:bookmarkEnd w:id="16"/>
    </w:p>
    <w:p w14:paraId="4491B51E"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24DE140B" w14:textId="77777777" w:rsidR="00234760" w:rsidRPr="001810A0" w:rsidRDefault="00234760" w:rsidP="001A619C">
      <w:pPr>
        <w:spacing w:after="0" w:line="360" w:lineRule="auto"/>
        <w:contextualSpacing/>
        <w:jc w:val="both"/>
        <w:rPr>
          <w:rFonts w:ascii="Palatino Linotype" w:eastAsia="Times New Roman" w:hAnsi="Palatino Linotype" w:cs="Tahoma"/>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PRIMERO.</w:t>
      </w:r>
      <w:r w:rsidRPr="001810A0">
        <w:rPr>
          <w:rFonts w:ascii="Palatino Linotype" w:eastAsia="Times New Roman" w:hAnsi="Palatino Linotype" w:cs="Tahoma"/>
          <w:bCs/>
          <w:iCs/>
          <w:kern w:val="0"/>
          <w:lang w:val="es-ES" w:eastAsia="es-ES"/>
          <w14:ligatures w14:val="none"/>
        </w:rPr>
        <w:t xml:space="preserve"> Resultan</w:t>
      </w:r>
      <w:r w:rsidRPr="001810A0">
        <w:rPr>
          <w:rFonts w:ascii="Palatino Linotype" w:eastAsia="Times New Roman" w:hAnsi="Palatino Linotype" w:cs="Tahoma"/>
          <w:b/>
          <w:bCs/>
          <w:iCs/>
          <w:kern w:val="0"/>
          <w:lang w:val="es-ES" w:eastAsia="es-ES"/>
          <w14:ligatures w14:val="none"/>
        </w:rPr>
        <w:t xml:space="preserve"> FUNDADAS </w:t>
      </w:r>
      <w:r w:rsidRPr="001810A0">
        <w:rPr>
          <w:rFonts w:ascii="Palatino Linotype" w:eastAsia="Times New Roman" w:hAnsi="Palatino Linotype" w:cs="Tahoma"/>
          <w:bCs/>
          <w:iCs/>
          <w:kern w:val="0"/>
          <w:lang w:val="es-ES" w:eastAsia="es-ES"/>
          <w14:ligatures w14:val="none"/>
        </w:rPr>
        <w:t xml:space="preserve">las razones o motivos de inconformidad hechos valer por el Particular en el Recurso de Revisión </w:t>
      </w:r>
      <w:r w:rsidRPr="001810A0">
        <w:rPr>
          <w:rFonts w:ascii="Palatino Linotype" w:eastAsia="Times New Roman" w:hAnsi="Palatino Linotype" w:cs="Tahoma"/>
          <w:iCs/>
          <w:kern w:val="0"/>
          <w:lang w:val="es-ES" w:eastAsia="es-ES"/>
          <w14:ligatures w14:val="none"/>
        </w:rPr>
        <w:t>07511/INFOEM/IP/RR/2024, en términos del considerando QUINTO y SEXTO de la presente Resolución.</w:t>
      </w:r>
    </w:p>
    <w:p w14:paraId="76B3C328"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952DB93" w14:textId="77777777"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 xml:space="preserve">SEGUNDO. </w:t>
      </w:r>
      <w:r w:rsidRPr="001810A0">
        <w:rPr>
          <w:rFonts w:ascii="Palatino Linotype" w:eastAsia="Times New Roman" w:hAnsi="Palatino Linotype" w:cs="Tahoma"/>
          <w:bCs/>
          <w:iCs/>
          <w:kern w:val="0"/>
          <w:lang w:val="es-ES" w:eastAsia="es-ES"/>
          <w14:ligatures w14:val="none"/>
        </w:rPr>
        <w:t>Se</w:t>
      </w:r>
      <w:r w:rsidRPr="001810A0">
        <w:rPr>
          <w:rFonts w:ascii="Palatino Linotype" w:eastAsia="Times New Roman" w:hAnsi="Palatino Linotype" w:cs="Tahoma"/>
          <w:b/>
          <w:bCs/>
          <w:iCs/>
          <w:kern w:val="0"/>
          <w:lang w:val="es-ES" w:eastAsia="es-ES"/>
          <w14:ligatures w14:val="none"/>
        </w:rPr>
        <w:t xml:space="preserve"> ORDENA </w:t>
      </w:r>
      <w:r w:rsidRPr="001810A0">
        <w:rPr>
          <w:rFonts w:ascii="Palatino Linotype" w:eastAsia="Times New Roman" w:hAnsi="Palatino Linotype" w:cs="Tahoma"/>
          <w:bCs/>
          <w:iCs/>
          <w:kern w:val="0"/>
          <w:lang w:val="es-ES" w:eastAsia="es-ES"/>
          <w14:ligatures w14:val="none"/>
        </w:rPr>
        <w:t xml:space="preserve">al Sujeto Obligado, a efecto de que dé atención a la solicitud de acceso a la información </w:t>
      </w:r>
      <w:r w:rsidRPr="001810A0">
        <w:rPr>
          <w:rFonts w:ascii="Palatino Linotype" w:eastAsia="Times New Roman" w:hAnsi="Palatino Linotype" w:cs="Times New Roman"/>
          <w:bCs/>
          <w:kern w:val="0"/>
          <w:lang w:eastAsia="es-ES"/>
          <w14:ligatures w14:val="none"/>
        </w:rPr>
        <w:t>00233/TEPOTZOT/IP/2024</w:t>
      </w:r>
      <w:r w:rsidRPr="001810A0">
        <w:rPr>
          <w:rFonts w:ascii="Palatino Linotype" w:eastAsia="Times New Roman" w:hAnsi="Palatino Linotype" w:cs="Tahoma"/>
          <w:bCs/>
          <w:iCs/>
          <w:kern w:val="0"/>
          <w:lang w:val="es-ES" w:eastAsia="es-ES"/>
          <w14:ligatures w14:val="none"/>
        </w:rPr>
        <w:t>, a través del Sistema de Acceso a la Información Mexiquense (SAIMEX), dé la respuesta que conforme a derecho corresponda</w:t>
      </w:r>
      <w:r w:rsidRPr="001810A0">
        <w:rPr>
          <w:rFonts w:ascii="Palatino Linotype" w:eastAsia="Times New Roman" w:hAnsi="Palatino Linotype" w:cs="Tahoma"/>
          <w:b/>
          <w:bCs/>
          <w:iCs/>
          <w:kern w:val="0"/>
          <w:lang w:val="es-ES" w:eastAsia="es-ES"/>
          <w14:ligatures w14:val="none"/>
        </w:rPr>
        <w:t>.</w:t>
      </w:r>
    </w:p>
    <w:p w14:paraId="2ABE94F5"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6C654CD3"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 xml:space="preserve">TERCERO. </w:t>
      </w:r>
      <w:r w:rsidRPr="001810A0">
        <w:rPr>
          <w:rFonts w:ascii="Palatino Linotype" w:eastAsia="Times New Roman" w:hAnsi="Palatino Linotype" w:cs="Tahoma"/>
          <w:bCs/>
          <w:iCs/>
          <w:kern w:val="0"/>
          <w:lang w:val="es-ES" w:eastAsia="es-ES"/>
          <w14:ligatures w14:val="none"/>
        </w:rPr>
        <w:t>Con fundamento en el artículo 179, párrafo segundo, de la Ley de Transparencia y Acceso a la Información Pública del Estado de México y Municipios, se hace del conocimiento de la persona Recurrente que tiene derecho a interponer nuevamente Recurso de Revisión ante este Instituto, por la respuesta que dé el Sujeto Obligado, en cumplimiento a esta Resolución</w:t>
      </w:r>
      <w:r w:rsidRPr="001810A0">
        <w:rPr>
          <w:rFonts w:ascii="Palatino Linotype" w:eastAsia="Times New Roman" w:hAnsi="Palatino Linotype" w:cs="Tahoma"/>
          <w:b/>
          <w:bCs/>
          <w:iCs/>
          <w:kern w:val="0"/>
          <w:lang w:val="es-ES" w:eastAsia="es-ES"/>
          <w14:ligatures w14:val="none"/>
        </w:rPr>
        <w:t xml:space="preserve">.  </w:t>
      </w:r>
    </w:p>
    <w:p w14:paraId="054121FB"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2EC1603E"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 xml:space="preserve">CUARTO. NOTIFÍQUESE POR SAIMEX </w:t>
      </w:r>
      <w:r w:rsidRPr="001810A0">
        <w:rPr>
          <w:rFonts w:ascii="Palatino Linotype" w:eastAsia="Times New Roman" w:hAnsi="Palatino Linotype" w:cs="Tahoma"/>
          <w:bCs/>
          <w:iCs/>
          <w:kern w:val="0"/>
          <w:lang w:val="es-ES" w:eastAsia="es-ES"/>
          <w14:ligatures w14:val="none"/>
        </w:rPr>
        <w:t>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se le apercibe que en caso de negarse a cumplir la presente resolución o hacerlo de manera parcial, se le impondrá una medida de apremio de conformidad con lo previsto en los artículos 198, 200, fracción III, 214, 215 y 216 de la Ley referida.</w:t>
      </w:r>
    </w:p>
    <w:p w14:paraId="4B95FDFE"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543DE073" w14:textId="085100C1" w:rsidR="00234760" w:rsidRPr="001810A0"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 xml:space="preserve">QUINTO. NOTIFÍQUESE POR SAIMEX </w:t>
      </w:r>
      <w:r w:rsidRPr="001810A0">
        <w:rPr>
          <w:rFonts w:ascii="Palatino Linotype" w:eastAsia="Times New Roman" w:hAnsi="Palatino Linotype" w:cs="Tahoma"/>
          <w:bCs/>
          <w:iCs/>
          <w:kern w:val="0"/>
          <w:lang w:val="es-ES" w:eastAsia="es-ES"/>
          <w14:ligatures w14:val="none"/>
        </w:rPr>
        <w:t>a la persona Recurr</w:t>
      </w:r>
      <w:r w:rsidR="00686585">
        <w:rPr>
          <w:rFonts w:ascii="Palatino Linotype" w:eastAsia="Times New Roman" w:hAnsi="Palatino Linotype" w:cs="Tahoma"/>
          <w:bCs/>
          <w:iCs/>
          <w:kern w:val="0"/>
          <w:lang w:val="es-ES" w:eastAsia="es-ES"/>
          <w14:ligatures w14:val="none"/>
        </w:rPr>
        <w:t>ente la presente Resolución; asi</w:t>
      </w:r>
      <w:r w:rsidRPr="001810A0">
        <w:rPr>
          <w:rFonts w:ascii="Palatino Linotype" w:eastAsia="Times New Roman" w:hAnsi="Palatino Linotype" w:cs="Tahoma"/>
          <w:bCs/>
          <w:iCs/>
          <w:kern w:val="0"/>
          <w:lang w:val="es-ES" w:eastAsia="es-ES"/>
          <w14:ligatures w14:val="none"/>
        </w:rPr>
        <w:t>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64D87A2F" w14:textId="77777777" w:rsidR="00234760" w:rsidRPr="001810A0" w:rsidRDefault="00234760" w:rsidP="001A619C">
      <w:pPr>
        <w:spacing w:after="0" w:line="360" w:lineRule="auto"/>
        <w:contextualSpacing/>
        <w:jc w:val="both"/>
        <w:rPr>
          <w:rFonts w:ascii="Palatino Linotype" w:eastAsia="Times New Roman" w:hAnsi="Palatino Linotype" w:cs="Tahoma"/>
          <w:b/>
          <w:bCs/>
          <w:iCs/>
          <w:color w:val="FF0000"/>
          <w:kern w:val="0"/>
          <w:lang w:val="es-ES" w:eastAsia="es-ES"/>
          <w14:ligatures w14:val="none"/>
        </w:rPr>
      </w:pPr>
    </w:p>
    <w:p w14:paraId="5FD4582E"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r w:rsidRPr="001810A0">
        <w:rPr>
          <w:rFonts w:ascii="Palatino Linotype" w:eastAsia="Times New Roman" w:hAnsi="Palatino Linotype" w:cs="Tahoma"/>
          <w:b/>
          <w:bCs/>
          <w:iCs/>
          <w:kern w:val="0"/>
          <w:lang w:val="es-ES" w:eastAsia="es-ES"/>
          <w14:ligatures w14:val="none"/>
        </w:rPr>
        <w:t xml:space="preserve">SEXTO. </w:t>
      </w:r>
      <w:r w:rsidRPr="001810A0">
        <w:rPr>
          <w:rFonts w:ascii="Palatino Linotype" w:eastAsia="Times New Roman" w:hAnsi="Palatino Linotype" w:cs="Tahoma"/>
          <w:bCs/>
          <w:iCs/>
          <w:kern w:val="0"/>
          <w:lang w:val="es-ES" w:eastAsia="es-ES"/>
          <w14:ligatures w14:val="none"/>
        </w:rPr>
        <w:t xml:space="preserve">Gírese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determine lo conducente, en términos de lo señalado en el Considerando </w:t>
      </w:r>
      <w:r w:rsidRPr="001810A0">
        <w:rPr>
          <w:rFonts w:ascii="Palatino Linotype" w:eastAsia="Times New Roman" w:hAnsi="Palatino Linotype" w:cs="Tahoma"/>
          <w:b/>
          <w:bCs/>
          <w:iCs/>
          <w:kern w:val="0"/>
          <w:lang w:val="es-ES" w:eastAsia="es-ES"/>
          <w14:ligatures w14:val="none"/>
        </w:rPr>
        <w:t>SÉPTIMO</w:t>
      </w:r>
      <w:r w:rsidRPr="001810A0">
        <w:rPr>
          <w:rFonts w:ascii="Palatino Linotype" w:eastAsia="Times New Roman" w:hAnsi="Palatino Linotype" w:cs="Tahoma"/>
          <w:bCs/>
          <w:iCs/>
          <w:kern w:val="0"/>
          <w:lang w:val="es-ES" w:eastAsia="es-ES"/>
          <w14:ligatures w14:val="none"/>
        </w:rPr>
        <w:t xml:space="preserve"> de la presente Resolución.</w:t>
      </w:r>
    </w:p>
    <w:p w14:paraId="7047C742" w14:textId="77777777" w:rsidR="00234760" w:rsidRPr="001810A0" w:rsidRDefault="00234760" w:rsidP="001A619C">
      <w:pPr>
        <w:spacing w:after="0" w:line="360" w:lineRule="auto"/>
        <w:contextualSpacing/>
        <w:jc w:val="both"/>
        <w:rPr>
          <w:rFonts w:ascii="Palatino Linotype" w:eastAsia="Times New Roman" w:hAnsi="Palatino Linotype" w:cs="Tahoma"/>
          <w:b/>
          <w:bCs/>
          <w:iCs/>
          <w:kern w:val="0"/>
          <w:lang w:val="es-ES" w:eastAsia="es-ES"/>
          <w14:ligatures w14:val="none"/>
        </w:rPr>
      </w:pPr>
    </w:p>
    <w:p w14:paraId="45CF3DE4" w14:textId="269692A1" w:rsidR="00234760" w:rsidRPr="00686585" w:rsidRDefault="00234760" w:rsidP="001A619C">
      <w:pPr>
        <w:spacing w:after="0" w:line="360" w:lineRule="auto"/>
        <w:contextualSpacing/>
        <w:jc w:val="both"/>
        <w:rPr>
          <w:rFonts w:ascii="Palatino Linotype" w:eastAsia="Times New Roman" w:hAnsi="Palatino Linotype" w:cs="Tahoma"/>
          <w:bCs/>
          <w:iCs/>
          <w:kern w:val="0"/>
          <w:lang w:val="es-ES" w:eastAsia="es-ES"/>
          <w14:ligatures w14:val="none"/>
        </w:rPr>
      </w:pPr>
      <w:r w:rsidRPr="001810A0">
        <w:rPr>
          <w:rFonts w:ascii="Palatino Linotype" w:eastAsia="Times New Roman" w:hAnsi="Palatino Linotype" w:cs="Tahoma"/>
          <w:bCs/>
          <w:iCs/>
          <w:kern w:val="0"/>
          <w:lang w:val="es-ES" w:eastAsia="es-ES"/>
          <w14:ligatures w14:val="none"/>
        </w:rPr>
        <w:t xml:space="preserve">ASÍ LO RESUELVE, POR </w:t>
      </w:r>
      <w:r w:rsidRPr="001810A0">
        <w:rPr>
          <w:rFonts w:ascii="Palatino Linotype" w:eastAsia="Times New Roman" w:hAnsi="Palatino Linotype" w:cs="Tahoma"/>
          <w:b/>
          <w:bCs/>
          <w:iCs/>
          <w:kern w:val="0"/>
          <w:lang w:val="es-ES" w:eastAsia="es-ES"/>
          <w14:ligatures w14:val="none"/>
        </w:rPr>
        <w:t>UNANIMIDAD</w:t>
      </w:r>
      <w:r w:rsidRPr="001810A0">
        <w:rPr>
          <w:rFonts w:ascii="Palatino Linotype" w:eastAsia="Times New Roman" w:hAnsi="Palatino Linotype" w:cs="Tahoma"/>
          <w:bCs/>
          <w:iCs/>
          <w:kern w:val="0"/>
          <w:lang w:val="es-ES" w:eastAsia="es-ES"/>
          <w14:ligatures w14:val="none"/>
        </w:rPr>
        <w:t xml:space="preserve">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884E48" w:rsidRPr="001810A0">
        <w:rPr>
          <w:rFonts w:ascii="Palatino Linotype" w:eastAsia="Times New Roman" w:hAnsi="Palatino Linotype" w:cs="Tahoma"/>
          <w:bCs/>
          <w:iCs/>
          <w:kern w:val="0"/>
          <w:lang w:val="es-ES" w:eastAsia="es-ES"/>
          <w14:ligatures w14:val="none"/>
        </w:rPr>
        <w:t>SEGUNDA</w:t>
      </w:r>
      <w:r w:rsidRPr="001810A0">
        <w:rPr>
          <w:rFonts w:ascii="Palatino Linotype" w:eastAsia="Times New Roman" w:hAnsi="Palatino Linotype" w:cs="Tahoma"/>
          <w:bCs/>
          <w:iCs/>
          <w:kern w:val="0"/>
          <w:lang w:val="es-ES" w:eastAsia="es-ES"/>
          <w14:ligatures w14:val="none"/>
        </w:rPr>
        <w:t xml:space="preserve"> SESIÓN ORDINARIA, CELEBRADA EL </w:t>
      </w:r>
      <w:r w:rsidR="00884E48" w:rsidRPr="001810A0">
        <w:rPr>
          <w:rFonts w:ascii="Palatino Linotype" w:eastAsia="Times New Roman" w:hAnsi="Palatino Linotype" w:cs="Tahoma"/>
          <w:bCs/>
          <w:iCs/>
          <w:kern w:val="0"/>
          <w:lang w:val="es-ES" w:eastAsia="es-ES"/>
          <w14:ligatures w14:val="none"/>
        </w:rPr>
        <w:t>VEINTIDÓS</w:t>
      </w:r>
      <w:r w:rsidRPr="001810A0">
        <w:rPr>
          <w:rFonts w:ascii="Palatino Linotype" w:eastAsia="Times New Roman" w:hAnsi="Palatino Linotype" w:cs="Tahoma"/>
          <w:bCs/>
          <w:iCs/>
          <w:kern w:val="0"/>
          <w:lang w:val="es-ES" w:eastAsia="es-ES"/>
          <w14:ligatures w14:val="none"/>
        </w:rPr>
        <w:t xml:space="preserve"> DE ENERO DE DOS MIL VEINTIC</w:t>
      </w:r>
      <w:r w:rsidR="00884E48" w:rsidRPr="001810A0">
        <w:rPr>
          <w:rFonts w:ascii="Palatino Linotype" w:eastAsia="Times New Roman" w:hAnsi="Palatino Linotype" w:cs="Tahoma"/>
          <w:bCs/>
          <w:iCs/>
          <w:kern w:val="0"/>
          <w:lang w:val="es-ES" w:eastAsia="es-ES"/>
          <w14:ligatures w14:val="none"/>
        </w:rPr>
        <w:t>INCO</w:t>
      </w:r>
      <w:r w:rsidRPr="001810A0">
        <w:rPr>
          <w:rFonts w:ascii="Palatino Linotype" w:eastAsia="Times New Roman" w:hAnsi="Palatino Linotype" w:cs="Tahoma"/>
          <w:bCs/>
          <w:iCs/>
          <w:kern w:val="0"/>
          <w:lang w:val="es-ES" w:eastAsia="es-ES"/>
          <w14:ligatures w14:val="none"/>
        </w:rPr>
        <w:t>, ANTE EL SECRETARIO TÉCNICO DEL PLENO, ALEXIS TAPIA RAMÍREZ</w:t>
      </w:r>
    </w:p>
    <w:p w14:paraId="3A86286C" w14:textId="77777777" w:rsidR="00234760" w:rsidRPr="00234760" w:rsidRDefault="00234760" w:rsidP="001A619C">
      <w:pPr>
        <w:spacing w:after="0" w:line="360" w:lineRule="auto"/>
        <w:contextualSpacing/>
        <w:jc w:val="both"/>
        <w:rPr>
          <w:rFonts w:ascii="Palatino Linotype" w:eastAsia="Calibri" w:hAnsi="Palatino Linotype" w:cs="Tahoma"/>
          <w:bCs/>
          <w:color w:val="FF0000"/>
          <w:kern w:val="0"/>
          <w:lang w:val="es-ES_tradnl" w:eastAsia="es-MX"/>
          <w14:ligatures w14:val="none"/>
        </w:rPr>
      </w:pPr>
    </w:p>
    <w:p w14:paraId="47C993D8" w14:textId="77777777" w:rsidR="00234760" w:rsidRPr="00234760" w:rsidRDefault="00234760" w:rsidP="001A619C">
      <w:pPr>
        <w:spacing w:after="0" w:line="360" w:lineRule="auto"/>
        <w:contextualSpacing/>
        <w:rPr>
          <w:rFonts w:ascii="Times New Roman" w:eastAsia="Times New Roman" w:hAnsi="Times New Roman" w:cs="Times New Roman"/>
          <w:color w:val="FF0000"/>
          <w:kern w:val="0"/>
          <w:sz w:val="20"/>
          <w:szCs w:val="20"/>
          <w:lang w:eastAsia="es-ES"/>
          <w14:ligatures w14:val="none"/>
        </w:rPr>
      </w:pPr>
    </w:p>
    <w:p w14:paraId="5F01EF1E"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683F3FE4"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5D83008B"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05B8B1DC"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198C04D7"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2BA25D43"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0EE08CD0"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5786C740"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6896CB39"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7BFF35E6"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08C3C3DA"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593D2915"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1A5DEEE3"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20A22F4B"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08FD05E6"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6DD7FE20"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123D0CF6"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4B26EC3E" w14:textId="77777777" w:rsidR="00234760" w:rsidRPr="00234760" w:rsidRDefault="00234760" w:rsidP="001A619C">
      <w:pPr>
        <w:spacing w:after="0" w:line="360" w:lineRule="auto"/>
        <w:rPr>
          <w:rFonts w:ascii="Times New Roman" w:eastAsia="Times New Roman" w:hAnsi="Times New Roman" w:cs="Times New Roman"/>
          <w:color w:val="FF0000"/>
          <w:kern w:val="0"/>
          <w:sz w:val="20"/>
          <w:szCs w:val="20"/>
          <w:lang w:eastAsia="es-ES"/>
          <w14:ligatures w14:val="none"/>
        </w:rPr>
      </w:pPr>
    </w:p>
    <w:p w14:paraId="3B0C2CE3" w14:textId="77777777" w:rsidR="00234760" w:rsidRPr="00234760" w:rsidRDefault="00234760" w:rsidP="001A619C">
      <w:pPr>
        <w:tabs>
          <w:tab w:val="left" w:pos="8931"/>
        </w:tabs>
        <w:spacing w:after="0" w:line="360" w:lineRule="auto"/>
        <w:jc w:val="both"/>
        <w:rPr>
          <w:rFonts w:ascii="Palatino Linotype" w:eastAsia="Palatino Linotype" w:hAnsi="Palatino Linotype" w:cs="Palatino Linotype"/>
          <w:color w:val="000000" w:themeColor="text1"/>
          <w:kern w:val="0"/>
          <w:lang w:eastAsia="es-MX"/>
          <w14:ligatures w14:val="none"/>
        </w:rPr>
      </w:pPr>
    </w:p>
    <w:sectPr w:rsidR="00234760" w:rsidRPr="00234760" w:rsidSect="008E2B21">
      <w:headerReference w:type="even" r:id="rId9"/>
      <w:headerReference w:type="default" r:id="rId10"/>
      <w:footerReference w:type="even" r:id="rId11"/>
      <w:footerReference w:type="default" r:id="rId12"/>
      <w:headerReference w:type="first" r:id="rId13"/>
      <w:footerReference w:type="first" r:id="rId14"/>
      <w:pgSz w:w="12240" w:h="15840"/>
      <w:pgMar w:top="1418" w:right="1467"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379D4" w14:textId="77777777" w:rsidR="006153DC" w:rsidRDefault="006153DC" w:rsidP="00234760">
      <w:pPr>
        <w:spacing w:after="0" w:line="240" w:lineRule="auto"/>
      </w:pPr>
      <w:r>
        <w:separator/>
      </w:r>
    </w:p>
  </w:endnote>
  <w:endnote w:type="continuationSeparator" w:id="0">
    <w:p w14:paraId="46E66BA7" w14:textId="77777777" w:rsidR="006153DC" w:rsidRDefault="006153DC" w:rsidP="00234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altName w:val="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257F2" w14:textId="77777777" w:rsidR="00C552E1" w:rsidRDefault="00E969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32A19">
      <w:rPr>
        <w:b/>
        <w:noProof/>
        <w:color w:val="000000"/>
        <w:sz w:val="24"/>
        <w:szCs w:val="24"/>
      </w:rPr>
      <w:t>20</w:t>
    </w:r>
    <w:r>
      <w:rPr>
        <w:b/>
        <w:color w:val="000000"/>
        <w:sz w:val="24"/>
        <w:szCs w:val="24"/>
      </w:rPr>
      <w:fldChar w:fldCharType="end"/>
    </w:r>
  </w:p>
  <w:p w14:paraId="3EB4B1C9" w14:textId="77777777" w:rsidR="00C552E1" w:rsidRDefault="00C552E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AA195" w14:textId="77777777" w:rsidR="00C552E1" w:rsidRDefault="00E969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86585">
      <w:rPr>
        <w:b/>
        <w:noProof/>
        <w:color w:val="000000"/>
        <w:sz w:val="24"/>
        <w:szCs w:val="24"/>
      </w:rPr>
      <w:t>19</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86585">
      <w:rPr>
        <w:b/>
        <w:noProof/>
        <w:color w:val="000000"/>
        <w:sz w:val="24"/>
        <w:szCs w:val="24"/>
      </w:rPr>
      <w:t>20</w:t>
    </w:r>
    <w:r>
      <w:rPr>
        <w:b/>
        <w:color w:val="000000"/>
        <w:sz w:val="24"/>
        <w:szCs w:val="24"/>
      </w:rPr>
      <w:fldChar w:fldCharType="end"/>
    </w:r>
  </w:p>
  <w:p w14:paraId="60657C83" w14:textId="77777777" w:rsidR="00C552E1" w:rsidRDefault="00C552E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14440" w14:textId="77777777" w:rsidR="00C552E1" w:rsidRDefault="00E96937">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6153DC">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6153DC">
      <w:rPr>
        <w:b/>
        <w:noProof/>
        <w:color w:val="000000"/>
        <w:sz w:val="24"/>
        <w:szCs w:val="24"/>
      </w:rPr>
      <w:t>1</w:t>
    </w:r>
    <w:r>
      <w:rPr>
        <w:b/>
        <w:color w:val="000000"/>
        <w:sz w:val="24"/>
        <w:szCs w:val="24"/>
      </w:rPr>
      <w:fldChar w:fldCharType="end"/>
    </w:r>
  </w:p>
  <w:p w14:paraId="0C74168E" w14:textId="77777777" w:rsidR="00C552E1" w:rsidRDefault="00C552E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7D2E8" w14:textId="77777777" w:rsidR="006153DC" w:rsidRDefault="006153DC" w:rsidP="00234760">
      <w:pPr>
        <w:spacing w:after="0" w:line="240" w:lineRule="auto"/>
      </w:pPr>
      <w:r>
        <w:separator/>
      </w:r>
    </w:p>
  </w:footnote>
  <w:footnote w:type="continuationSeparator" w:id="0">
    <w:p w14:paraId="308681D6" w14:textId="77777777" w:rsidR="006153DC" w:rsidRDefault="006153DC" w:rsidP="002347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A9666" w14:textId="77777777" w:rsidR="00C552E1" w:rsidRDefault="00C552E1">
    <w:pPr>
      <w:widowControl w:val="0"/>
      <w:pBdr>
        <w:top w:val="nil"/>
        <w:left w:val="nil"/>
        <w:bottom w:val="nil"/>
        <w:right w:val="nil"/>
        <w:between w:val="nil"/>
      </w:pBdr>
      <w:spacing w:after="0" w:line="276" w:lineRule="auto"/>
    </w:pPr>
  </w:p>
  <w:tbl>
    <w:tblPr>
      <w:tblW w:w="6096" w:type="dxa"/>
      <w:tblInd w:w="2835" w:type="dxa"/>
      <w:tblBorders>
        <w:top w:val="nil"/>
        <w:left w:val="nil"/>
        <w:bottom w:val="nil"/>
        <w:right w:val="nil"/>
        <w:insideH w:val="nil"/>
        <w:insideV w:val="nil"/>
      </w:tblBorders>
      <w:tblLayout w:type="fixed"/>
      <w:tblLook w:val="0400" w:firstRow="0" w:lastRow="0" w:firstColumn="0" w:lastColumn="0" w:noHBand="0" w:noVBand="1"/>
    </w:tblPr>
    <w:tblGrid>
      <w:gridCol w:w="2691"/>
      <w:gridCol w:w="3405"/>
    </w:tblGrid>
    <w:tr w:rsidR="00226C2B" w14:paraId="24FCEF71" w14:textId="77777777">
      <w:trPr>
        <w:trHeight w:val="132"/>
      </w:trPr>
      <w:tc>
        <w:tcPr>
          <w:tcW w:w="2691" w:type="dxa"/>
        </w:tcPr>
        <w:p w14:paraId="04588446" w14:textId="77777777" w:rsidR="00C552E1" w:rsidRDefault="00E96937">
          <w:pPr>
            <w:tabs>
              <w:tab w:val="right" w:pos="8838"/>
            </w:tabs>
            <w:ind w:right="-105"/>
            <w:rPr>
              <w:b/>
            </w:rPr>
          </w:pPr>
          <w:r>
            <w:rPr>
              <w:b/>
            </w:rPr>
            <w:t>Recurso de Revisión:</w:t>
          </w:r>
        </w:p>
      </w:tc>
      <w:tc>
        <w:tcPr>
          <w:tcW w:w="3405" w:type="dxa"/>
        </w:tcPr>
        <w:p w14:paraId="52D73444" w14:textId="77777777" w:rsidR="00C552E1" w:rsidRDefault="00E96937">
          <w:pPr>
            <w:tabs>
              <w:tab w:val="right" w:pos="8838"/>
            </w:tabs>
            <w:ind w:left="-28" w:right="-32"/>
          </w:pPr>
          <w:r>
            <w:t>03846/INFOEM/IP/RR/2020</w:t>
          </w:r>
        </w:p>
      </w:tc>
    </w:tr>
    <w:tr w:rsidR="00226C2B" w14:paraId="719F3EBF" w14:textId="77777777">
      <w:trPr>
        <w:trHeight w:val="261"/>
      </w:trPr>
      <w:tc>
        <w:tcPr>
          <w:tcW w:w="2691" w:type="dxa"/>
        </w:tcPr>
        <w:p w14:paraId="167A9A9E" w14:textId="77777777" w:rsidR="00C552E1" w:rsidRDefault="00E96937">
          <w:pPr>
            <w:tabs>
              <w:tab w:val="right" w:pos="8838"/>
            </w:tabs>
            <w:ind w:right="-105"/>
            <w:rPr>
              <w:b/>
            </w:rPr>
          </w:pPr>
          <w:r>
            <w:rPr>
              <w:b/>
            </w:rPr>
            <w:t>Sujeto Obligado:</w:t>
          </w:r>
        </w:p>
      </w:tc>
      <w:tc>
        <w:tcPr>
          <w:tcW w:w="3405" w:type="dxa"/>
        </w:tcPr>
        <w:p w14:paraId="788A6DB2" w14:textId="77777777" w:rsidR="00C552E1" w:rsidRDefault="00E96937">
          <w:pPr>
            <w:tabs>
              <w:tab w:val="right" w:pos="8838"/>
            </w:tabs>
            <w:ind w:right="-32"/>
          </w:pPr>
          <w:r>
            <w:t>Ayuntamiento de Temascalcingo</w:t>
          </w:r>
        </w:p>
      </w:tc>
    </w:tr>
    <w:tr w:rsidR="00226C2B" w14:paraId="418A258B" w14:textId="77777777">
      <w:trPr>
        <w:trHeight w:val="261"/>
      </w:trPr>
      <w:tc>
        <w:tcPr>
          <w:tcW w:w="2691" w:type="dxa"/>
        </w:tcPr>
        <w:p w14:paraId="0537139C" w14:textId="77777777" w:rsidR="00C552E1" w:rsidRDefault="00E96937">
          <w:pPr>
            <w:tabs>
              <w:tab w:val="right" w:pos="8838"/>
            </w:tabs>
            <w:ind w:right="-105"/>
            <w:rPr>
              <w:b/>
            </w:rPr>
          </w:pPr>
          <w:r>
            <w:rPr>
              <w:b/>
            </w:rPr>
            <w:t>Comisionado Ponente:</w:t>
          </w:r>
        </w:p>
      </w:tc>
      <w:tc>
        <w:tcPr>
          <w:tcW w:w="3405" w:type="dxa"/>
        </w:tcPr>
        <w:p w14:paraId="2CF802A4" w14:textId="77777777" w:rsidR="00C552E1" w:rsidRDefault="00E96937">
          <w:pPr>
            <w:tabs>
              <w:tab w:val="right" w:pos="8838"/>
            </w:tabs>
            <w:ind w:right="-32"/>
            <w:rPr>
              <w:b/>
            </w:rPr>
          </w:pPr>
          <w:r>
            <w:t>Luis Gustavo Parra Noriega</w:t>
          </w:r>
        </w:p>
      </w:tc>
    </w:tr>
  </w:tbl>
  <w:p w14:paraId="6BCF28C6" w14:textId="77777777" w:rsidR="00C552E1" w:rsidRDefault="006153DC">
    <w:pPr>
      <w:pBdr>
        <w:top w:val="nil"/>
        <w:left w:val="nil"/>
        <w:bottom w:val="nil"/>
        <w:right w:val="nil"/>
        <w:between w:val="nil"/>
      </w:pBdr>
      <w:tabs>
        <w:tab w:val="center" w:pos="4419"/>
        <w:tab w:val="right" w:pos="8838"/>
      </w:tabs>
      <w:spacing w:after="0" w:line="240" w:lineRule="auto"/>
      <w:rPr>
        <w:color w:val="000000"/>
      </w:rPr>
    </w:pPr>
    <w:r>
      <w:rPr>
        <w:color w:val="000000"/>
      </w:rPr>
      <w:pict w14:anchorId="783CF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alt="" style="position:absolute;margin-left:0;margin-top:0;width:663.5pt;height:12in;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8C39F" w14:textId="77777777" w:rsidR="00C552E1" w:rsidRDefault="006153DC">
    <w:pPr>
      <w:widowControl w:val="0"/>
      <w:pBdr>
        <w:top w:val="nil"/>
        <w:left w:val="nil"/>
        <w:bottom w:val="nil"/>
        <w:right w:val="nil"/>
        <w:between w:val="nil"/>
      </w:pBdr>
      <w:spacing w:after="0" w:line="276" w:lineRule="auto"/>
      <w:rPr>
        <w:color w:val="000000"/>
      </w:rPr>
    </w:pPr>
    <w:r>
      <w:rPr>
        <w:color w:val="000000"/>
      </w:rPr>
      <w:pict w14:anchorId="564798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68.55pt;margin-top:-122pt;width:663.5pt;height:12in;z-index:-251657216;mso-position-horizontal-relative:margin;mso-position-vertical-relative:margin">
          <v:imagedata r:id="rId1" o:title="image1"/>
          <w10:wrap anchorx="margin" anchory="margin"/>
        </v:shape>
      </w:pict>
    </w:r>
  </w:p>
  <w:tbl>
    <w:tblPr>
      <w:tblW w:w="5812" w:type="dxa"/>
      <w:tblInd w:w="3402" w:type="dxa"/>
      <w:tblBorders>
        <w:top w:val="nil"/>
        <w:left w:val="nil"/>
        <w:bottom w:val="nil"/>
        <w:right w:val="nil"/>
        <w:insideH w:val="nil"/>
        <w:insideV w:val="nil"/>
      </w:tblBorders>
      <w:tblLayout w:type="fixed"/>
      <w:tblLook w:val="0400" w:firstRow="0" w:lastRow="0" w:firstColumn="0" w:lastColumn="0" w:noHBand="0" w:noVBand="1"/>
    </w:tblPr>
    <w:tblGrid>
      <w:gridCol w:w="2691"/>
      <w:gridCol w:w="3121"/>
    </w:tblGrid>
    <w:tr w:rsidR="00226C2B" w14:paraId="0BE80DD6" w14:textId="77777777" w:rsidTr="008E2B21">
      <w:trPr>
        <w:trHeight w:val="132"/>
      </w:trPr>
      <w:tc>
        <w:tcPr>
          <w:tcW w:w="2691" w:type="dxa"/>
        </w:tcPr>
        <w:p w14:paraId="3D2581D4" w14:textId="77777777" w:rsidR="00C552E1" w:rsidRPr="00234760" w:rsidRDefault="00E96937" w:rsidP="008E2B21">
          <w:pPr>
            <w:tabs>
              <w:tab w:val="right" w:pos="8838"/>
            </w:tabs>
            <w:spacing w:after="0"/>
            <w:ind w:right="-105"/>
            <w:rPr>
              <w:rFonts w:ascii="Palatino Linotype" w:hAnsi="Palatino Linotype"/>
              <w:b/>
            </w:rPr>
          </w:pPr>
          <w:r w:rsidRPr="00234760">
            <w:rPr>
              <w:rFonts w:ascii="Palatino Linotype" w:hAnsi="Palatino Linotype"/>
              <w:b/>
            </w:rPr>
            <w:t>Recurso de Revisión:</w:t>
          </w:r>
        </w:p>
      </w:tc>
      <w:tc>
        <w:tcPr>
          <w:tcW w:w="3121" w:type="dxa"/>
        </w:tcPr>
        <w:p w14:paraId="62F27E67" w14:textId="4594566D" w:rsidR="00C552E1" w:rsidRPr="00234760" w:rsidRDefault="00E96937" w:rsidP="008E2B21">
          <w:pPr>
            <w:tabs>
              <w:tab w:val="right" w:pos="8838"/>
            </w:tabs>
            <w:spacing w:after="0"/>
            <w:ind w:left="-28" w:right="-32"/>
            <w:rPr>
              <w:rFonts w:ascii="Palatino Linotype" w:hAnsi="Palatino Linotype"/>
            </w:rPr>
          </w:pPr>
          <w:r w:rsidRPr="00234760">
            <w:rPr>
              <w:rFonts w:ascii="Palatino Linotype" w:hAnsi="Palatino Linotype"/>
            </w:rPr>
            <w:t>0</w:t>
          </w:r>
          <w:r w:rsidR="00234760" w:rsidRPr="00234760">
            <w:rPr>
              <w:rFonts w:ascii="Palatino Linotype" w:hAnsi="Palatino Linotype"/>
            </w:rPr>
            <w:t>7511</w:t>
          </w:r>
          <w:r w:rsidRPr="00234760">
            <w:rPr>
              <w:rFonts w:ascii="Palatino Linotype" w:hAnsi="Palatino Linotype"/>
            </w:rPr>
            <w:t>/INFOEM/IP/RR/2024</w:t>
          </w:r>
        </w:p>
      </w:tc>
    </w:tr>
    <w:tr w:rsidR="00226C2B" w14:paraId="4A5D2409" w14:textId="77777777" w:rsidTr="008E2B21">
      <w:trPr>
        <w:trHeight w:val="261"/>
      </w:trPr>
      <w:tc>
        <w:tcPr>
          <w:tcW w:w="2691" w:type="dxa"/>
        </w:tcPr>
        <w:p w14:paraId="60678B1B" w14:textId="77777777" w:rsidR="00C552E1" w:rsidRPr="00234760" w:rsidRDefault="00E96937" w:rsidP="008E2B21">
          <w:pPr>
            <w:tabs>
              <w:tab w:val="right" w:pos="8838"/>
            </w:tabs>
            <w:spacing w:after="0"/>
            <w:ind w:right="-105"/>
            <w:rPr>
              <w:rFonts w:ascii="Palatino Linotype" w:hAnsi="Palatino Linotype"/>
              <w:b/>
            </w:rPr>
          </w:pPr>
          <w:r w:rsidRPr="00234760">
            <w:rPr>
              <w:rFonts w:ascii="Palatino Linotype" w:hAnsi="Palatino Linotype"/>
              <w:b/>
            </w:rPr>
            <w:t>Sujeto Obligado:</w:t>
          </w:r>
        </w:p>
      </w:tc>
      <w:tc>
        <w:tcPr>
          <w:tcW w:w="3121" w:type="dxa"/>
        </w:tcPr>
        <w:p w14:paraId="7F5065C5" w14:textId="6BD52B22" w:rsidR="00C552E1" w:rsidRPr="00234760" w:rsidRDefault="00234760" w:rsidP="008E2B21">
          <w:pPr>
            <w:tabs>
              <w:tab w:val="right" w:pos="8838"/>
            </w:tabs>
            <w:spacing w:after="0"/>
            <w:ind w:right="-32"/>
            <w:rPr>
              <w:rFonts w:ascii="Palatino Linotype" w:hAnsi="Palatino Linotype"/>
            </w:rPr>
          </w:pPr>
          <w:r w:rsidRPr="00234760">
            <w:rPr>
              <w:rFonts w:ascii="Palatino Linotype" w:hAnsi="Palatino Linotype"/>
            </w:rPr>
            <w:t>Ayuntamiento de Tepotzotlán</w:t>
          </w:r>
        </w:p>
      </w:tc>
    </w:tr>
    <w:tr w:rsidR="00226C2B" w14:paraId="14D1467D" w14:textId="77777777" w:rsidTr="008E2B21">
      <w:trPr>
        <w:trHeight w:val="261"/>
      </w:trPr>
      <w:tc>
        <w:tcPr>
          <w:tcW w:w="2691" w:type="dxa"/>
        </w:tcPr>
        <w:p w14:paraId="723C55A4" w14:textId="77777777" w:rsidR="00C552E1" w:rsidRPr="00234760" w:rsidRDefault="00E96937" w:rsidP="008E2B21">
          <w:pPr>
            <w:tabs>
              <w:tab w:val="right" w:pos="8838"/>
            </w:tabs>
            <w:spacing w:after="0"/>
            <w:ind w:right="-105"/>
            <w:rPr>
              <w:rFonts w:ascii="Palatino Linotype" w:hAnsi="Palatino Linotype"/>
              <w:b/>
            </w:rPr>
          </w:pPr>
          <w:r w:rsidRPr="00234760">
            <w:rPr>
              <w:rFonts w:ascii="Palatino Linotype" w:hAnsi="Palatino Linotype"/>
              <w:b/>
            </w:rPr>
            <w:t>Comisionado Ponente:</w:t>
          </w:r>
        </w:p>
      </w:tc>
      <w:tc>
        <w:tcPr>
          <w:tcW w:w="3121" w:type="dxa"/>
        </w:tcPr>
        <w:p w14:paraId="32E84CA6" w14:textId="2C91A08A" w:rsidR="00C552E1" w:rsidRPr="008E2B21" w:rsidRDefault="00E96937" w:rsidP="008E2B21">
          <w:pPr>
            <w:tabs>
              <w:tab w:val="right" w:pos="8838"/>
            </w:tabs>
            <w:spacing w:after="0"/>
            <w:ind w:right="-32"/>
            <w:rPr>
              <w:rFonts w:ascii="Palatino Linotype" w:hAnsi="Palatino Linotype"/>
            </w:rPr>
          </w:pPr>
          <w:r w:rsidRPr="00234760">
            <w:rPr>
              <w:rFonts w:ascii="Palatino Linotype" w:hAnsi="Palatino Linotype"/>
            </w:rPr>
            <w:t>Luis Gustavo Parra Noriega</w:t>
          </w:r>
        </w:p>
      </w:tc>
    </w:tr>
  </w:tbl>
  <w:p w14:paraId="3B89D625" w14:textId="77777777" w:rsidR="00C552E1" w:rsidRDefault="00C552E1">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06D61" w14:textId="3182C0EA" w:rsidR="00C552E1" w:rsidRDefault="006153DC">
    <w:pPr>
      <w:widowControl w:val="0"/>
      <w:pBdr>
        <w:top w:val="nil"/>
        <w:left w:val="nil"/>
        <w:bottom w:val="nil"/>
        <w:right w:val="nil"/>
        <w:between w:val="nil"/>
      </w:pBdr>
      <w:spacing w:after="0" w:line="276" w:lineRule="auto"/>
      <w:rPr>
        <w:color w:val="000000"/>
      </w:rPr>
    </w:pPr>
    <w:r>
      <w:rPr>
        <w:color w:val="000000"/>
      </w:rPr>
      <w:pict w14:anchorId="13B1F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4.05pt;margin-top:-123.95pt;width:663.5pt;height:12in;z-index:-251656192;mso-position-horizontal-relative:margin;mso-position-vertical-relative:margin">
          <v:imagedata r:id="rId1" o:title="image1"/>
          <w10:wrap anchorx="margin" anchory="margin"/>
        </v:shape>
      </w:pict>
    </w:r>
  </w:p>
  <w:tbl>
    <w:tblPr>
      <w:tblW w:w="5812" w:type="dxa"/>
      <w:jc w:val="right"/>
      <w:tblBorders>
        <w:top w:val="nil"/>
        <w:left w:val="nil"/>
        <w:bottom w:val="nil"/>
        <w:right w:val="nil"/>
        <w:insideH w:val="nil"/>
        <w:insideV w:val="nil"/>
      </w:tblBorders>
      <w:tblLayout w:type="fixed"/>
      <w:tblLook w:val="0400" w:firstRow="0" w:lastRow="0" w:firstColumn="0" w:lastColumn="0" w:noHBand="0" w:noVBand="1"/>
    </w:tblPr>
    <w:tblGrid>
      <w:gridCol w:w="2691"/>
      <w:gridCol w:w="3121"/>
    </w:tblGrid>
    <w:tr w:rsidR="00226C2B" w14:paraId="19EF529C" w14:textId="77777777" w:rsidTr="008E2B21">
      <w:trPr>
        <w:trHeight w:val="137"/>
        <w:jc w:val="right"/>
      </w:trPr>
      <w:tc>
        <w:tcPr>
          <w:tcW w:w="2691" w:type="dxa"/>
        </w:tcPr>
        <w:p w14:paraId="335114BB" w14:textId="77777777" w:rsidR="00C552E1" w:rsidRPr="00234760" w:rsidRDefault="00E96937" w:rsidP="008E2B21">
          <w:pPr>
            <w:tabs>
              <w:tab w:val="right" w:pos="8838"/>
            </w:tabs>
            <w:spacing w:after="0" w:line="240" w:lineRule="auto"/>
            <w:ind w:right="-105"/>
            <w:rPr>
              <w:rFonts w:ascii="Palatino Linotype" w:hAnsi="Palatino Linotype"/>
              <w:b/>
            </w:rPr>
          </w:pPr>
          <w:r w:rsidRPr="00234760">
            <w:rPr>
              <w:rFonts w:ascii="Palatino Linotype" w:hAnsi="Palatino Linotype"/>
              <w:b/>
            </w:rPr>
            <w:t>Recurso de Revisión:</w:t>
          </w:r>
        </w:p>
      </w:tc>
      <w:tc>
        <w:tcPr>
          <w:tcW w:w="3121" w:type="dxa"/>
        </w:tcPr>
        <w:p w14:paraId="48951264" w14:textId="4C3E765C" w:rsidR="00C552E1" w:rsidRPr="00234760" w:rsidRDefault="00E96937" w:rsidP="008E2B21">
          <w:pPr>
            <w:tabs>
              <w:tab w:val="right" w:pos="8838"/>
            </w:tabs>
            <w:spacing w:after="0" w:line="240" w:lineRule="auto"/>
            <w:ind w:left="-28" w:right="-32"/>
            <w:rPr>
              <w:rFonts w:ascii="Palatino Linotype" w:hAnsi="Palatino Linotype"/>
            </w:rPr>
          </w:pPr>
          <w:r w:rsidRPr="00234760">
            <w:rPr>
              <w:rFonts w:ascii="Palatino Linotype" w:hAnsi="Palatino Linotype"/>
            </w:rPr>
            <w:t>0</w:t>
          </w:r>
          <w:r w:rsidR="00234760">
            <w:rPr>
              <w:rFonts w:ascii="Palatino Linotype" w:hAnsi="Palatino Linotype"/>
            </w:rPr>
            <w:t>7511</w:t>
          </w:r>
          <w:r w:rsidRPr="00234760">
            <w:rPr>
              <w:rFonts w:ascii="Palatino Linotype" w:hAnsi="Palatino Linotype"/>
            </w:rPr>
            <w:t>/INFOEM/IP/RR/2024</w:t>
          </w:r>
        </w:p>
      </w:tc>
    </w:tr>
    <w:tr w:rsidR="00226C2B" w14:paraId="4D77FFBD" w14:textId="77777777" w:rsidTr="008E2B21">
      <w:trPr>
        <w:trHeight w:val="132"/>
        <w:jc w:val="right"/>
      </w:trPr>
      <w:tc>
        <w:tcPr>
          <w:tcW w:w="2691" w:type="dxa"/>
        </w:tcPr>
        <w:p w14:paraId="0D40DAB4" w14:textId="77777777" w:rsidR="00C552E1" w:rsidRPr="00580C9C" w:rsidRDefault="00E96937" w:rsidP="008E2B21">
          <w:pPr>
            <w:tabs>
              <w:tab w:val="right" w:pos="8838"/>
            </w:tabs>
            <w:spacing w:after="0" w:line="240" w:lineRule="auto"/>
            <w:ind w:right="-105"/>
            <w:rPr>
              <w:rFonts w:ascii="Palatino Linotype" w:hAnsi="Palatino Linotype"/>
              <w:b/>
            </w:rPr>
          </w:pPr>
          <w:r w:rsidRPr="00580C9C">
            <w:rPr>
              <w:rFonts w:ascii="Palatino Linotype" w:hAnsi="Palatino Linotype"/>
              <w:b/>
            </w:rPr>
            <w:t>Recurrente:</w:t>
          </w:r>
        </w:p>
      </w:tc>
      <w:tc>
        <w:tcPr>
          <w:tcW w:w="3121" w:type="dxa"/>
        </w:tcPr>
        <w:p w14:paraId="0C12EF6E" w14:textId="17CCCBC6" w:rsidR="00C552E1" w:rsidRPr="00580C9C" w:rsidRDefault="00580C9C" w:rsidP="008E2B21">
          <w:pPr>
            <w:spacing w:after="0" w:line="240" w:lineRule="auto"/>
            <w:rPr>
              <w:rFonts w:ascii="Palatino Linotype" w:hAnsi="Palatino Linotype"/>
            </w:rPr>
          </w:pPr>
          <w:r w:rsidRPr="00580C9C">
            <w:rPr>
              <w:rFonts w:ascii="Palatino Linotype" w:hAnsi="Palatino Linotype"/>
              <w:highlight w:val="black"/>
            </w:rPr>
            <w:t>xxxxxxxxxxxxxxxxx</w:t>
          </w:r>
        </w:p>
      </w:tc>
    </w:tr>
    <w:tr w:rsidR="00226C2B" w14:paraId="6701807C" w14:textId="77777777" w:rsidTr="008E2B21">
      <w:trPr>
        <w:trHeight w:val="261"/>
        <w:jc w:val="right"/>
      </w:trPr>
      <w:tc>
        <w:tcPr>
          <w:tcW w:w="2691" w:type="dxa"/>
        </w:tcPr>
        <w:p w14:paraId="0F9AD905" w14:textId="77777777" w:rsidR="00C552E1" w:rsidRPr="00234760" w:rsidRDefault="00E96937" w:rsidP="008E2B21">
          <w:pPr>
            <w:tabs>
              <w:tab w:val="right" w:pos="8838"/>
            </w:tabs>
            <w:spacing w:after="0" w:line="240" w:lineRule="auto"/>
            <w:ind w:right="-105"/>
            <w:rPr>
              <w:rFonts w:ascii="Palatino Linotype" w:hAnsi="Palatino Linotype"/>
              <w:b/>
            </w:rPr>
          </w:pPr>
          <w:r w:rsidRPr="00234760">
            <w:rPr>
              <w:rFonts w:ascii="Palatino Linotype" w:hAnsi="Palatino Linotype"/>
              <w:b/>
            </w:rPr>
            <w:t>Sujeto Obligado:</w:t>
          </w:r>
        </w:p>
      </w:tc>
      <w:tc>
        <w:tcPr>
          <w:tcW w:w="3121" w:type="dxa"/>
        </w:tcPr>
        <w:p w14:paraId="428442BF" w14:textId="4E9F4D49" w:rsidR="00C552E1" w:rsidRPr="00234760" w:rsidRDefault="00234760" w:rsidP="008E2B21">
          <w:pPr>
            <w:spacing w:after="0" w:line="240" w:lineRule="auto"/>
            <w:ind w:right="-104"/>
            <w:rPr>
              <w:rFonts w:ascii="Palatino Linotype" w:hAnsi="Palatino Linotype"/>
            </w:rPr>
          </w:pPr>
          <w:r>
            <w:rPr>
              <w:rFonts w:ascii="Palatino Linotype" w:hAnsi="Palatino Linotype"/>
            </w:rPr>
            <w:t>Ayuntamiento de Tepotzotlán</w:t>
          </w:r>
        </w:p>
      </w:tc>
    </w:tr>
    <w:tr w:rsidR="00226C2B" w14:paraId="73CB3F9F" w14:textId="77777777" w:rsidTr="008E2B21">
      <w:trPr>
        <w:trHeight w:val="261"/>
        <w:jc w:val="right"/>
      </w:trPr>
      <w:tc>
        <w:tcPr>
          <w:tcW w:w="2691" w:type="dxa"/>
        </w:tcPr>
        <w:p w14:paraId="3FAB12DA" w14:textId="77777777" w:rsidR="00C552E1" w:rsidRPr="00234760" w:rsidRDefault="00E96937" w:rsidP="008E2B21">
          <w:pPr>
            <w:tabs>
              <w:tab w:val="right" w:pos="8838"/>
            </w:tabs>
            <w:spacing w:after="0" w:line="240" w:lineRule="auto"/>
            <w:ind w:right="-105"/>
            <w:rPr>
              <w:rFonts w:ascii="Palatino Linotype" w:hAnsi="Palatino Linotype"/>
              <w:b/>
            </w:rPr>
          </w:pPr>
          <w:r w:rsidRPr="00234760">
            <w:rPr>
              <w:rFonts w:ascii="Palatino Linotype" w:hAnsi="Palatino Linotype"/>
              <w:b/>
            </w:rPr>
            <w:t>Comisionado Ponente:</w:t>
          </w:r>
        </w:p>
      </w:tc>
      <w:tc>
        <w:tcPr>
          <w:tcW w:w="3121" w:type="dxa"/>
        </w:tcPr>
        <w:p w14:paraId="20FF0E10" w14:textId="77777777" w:rsidR="00C552E1" w:rsidRPr="00234760" w:rsidRDefault="00E96937" w:rsidP="008E2B21">
          <w:pPr>
            <w:tabs>
              <w:tab w:val="right" w:pos="8838"/>
            </w:tabs>
            <w:spacing w:after="0" w:line="240" w:lineRule="auto"/>
            <w:ind w:right="-32"/>
            <w:rPr>
              <w:rFonts w:ascii="Palatino Linotype" w:hAnsi="Palatino Linotype"/>
              <w:b/>
            </w:rPr>
          </w:pPr>
          <w:r w:rsidRPr="00234760">
            <w:rPr>
              <w:rFonts w:ascii="Palatino Linotype" w:hAnsi="Palatino Linotype"/>
            </w:rPr>
            <w:t>Luis Gustavo Parra Noriega</w:t>
          </w:r>
        </w:p>
      </w:tc>
    </w:tr>
  </w:tbl>
  <w:p w14:paraId="57549F5C" w14:textId="7860B814" w:rsidR="00C552E1" w:rsidRDefault="00C552E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4228"/>
    <w:multiLevelType w:val="hybridMultilevel"/>
    <w:tmpl w:val="5F7C6E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870F51"/>
    <w:multiLevelType w:val="multilevel"/>
    <w:tmpl w:val="894EFC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96F6E4C"/>
    <w:multiLevelType w:val="hybridMultilevel"/>
    <w:tmpl w:val="63A04F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610E0A"/>
    <w:multiLevelType w:val="multilevel"/>
    <w:tmpl w:val="829C073C"/>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3E785A"/>
    <w:multiLevelType w:val="multilevel"/>
    <w:tmpl w:val="C28ACBDE"/>
    <w:lvl w:ilvl="0">
      <w:start w:val="5"/>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54D0D1D"/>
    <w:multiLevelType w:val="multilevel"/>
    <w:tmpl w:val="69EACD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60"/>
    <w:rsid w:val="000907CF"/>
    <w:rsid w:val="000962B3"/>
    <w:rsid w:val="00105691"/>
    <w:rsid w:val="00153BBE"/>
    <w:rsid w:val="001810A0"/>
    <w:rsid w:val="001A619C"/>
    <w:rsid w:val="002034D6"/>
    <w:rsid w:val="00234760"/>
    <w:rsid w:val="00264688"/>
    <w:rsid w:val="002C6AFC"/>
    <w:rsid w:val="00342F81"/>
    <w:rsid w:val="00430E7E"/>
    <w:rsid w:val="004F6E2A"/>
    <w:rsid w:val="00580C9C"/>
    <w:rsid w:val="005B3BF0"/>
    <w:rsid w:val="005E4EEE"/>
    <w:rsid w:val="00607DDB"/>
    <w:rsid w:val="006153DC"/>
    <w:rsid w:val="006717ED"/>
    <w:rsid w:val="00686585"/>
    <w:rsid w:val="00696456"/>
    <w:rsid w:val="006B11AA"/>
    <w:rsid w:val="007963E5"/>
    <w:rsid w:val="008302C9"/>
    <w:rsid w:val="00884E48"/>
    <w:rsid w:val="008E2B21"/>
    <w:rsid w:val="00932A19"/>
    <w:rsid w:val="0095646E"/>
    <w:rsid w:val="009C7A27"/>
    <w:rsid w:val="00AB547C"/>
    <w:rsid w:val="00AE1D23"/>
    <w:rsid w:val="00B54091"/>
    <w:rsid w:val="00B674D3"/>
    <w:rsid w:val="00B74874"/>
    <w:rsid w:val="00B914F6"/>
    <w:rsid w:val="00BC24FC"/>
    <w:rsid w:val="00C360EB"/>
    <w:rsid w:val="00C552E1"/>
    <w:rsid w:val="00C72C10"/>
    <w:rsid w:val="00C8157B"/>
    <w:rsid w:val="00CF258B"/>
    <w:rsid w:val="00D1625B"/>
    <w:rsid w:val="00D66AA4"/>
    <w:rsid w:val="00D84B35"/>
    <w:rsid w:val="00E83565"/>
    <w:rsid w:val="00E96937"/>
    <w:rsid w:val="00E9791C"/>
    <w:rsid w:val="00EE2350"/>
    <w:rsid w:val="00EF379E"/>
    <w:rsid w:val="00F857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9A8C28"/>
  <w15:chartTrackingRefBased/>
  <w15:docId w15:val="{CA3E91A8-6782-4E9A-B522-94A7F5218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E2B21"/>
    <w:pPr>
      <w:keepNext/>
      <w:keepLines/>
      <w:spacing w:after="0" w:line="360" w:lineRule="auto"/>
      <w:jc w:val="center"/>
      <w:outlineLvl w:val="0"/>
    </w:pPr>
    <w:rPr>
      <w:rFonts w:ascii="Palatino Linotype" w:eastAsiaTheme="majorEastAsia" w:hAnsi="Palatino Linotype" w:cstheme="majorBidi"/>
      <w:b/>
      <w:color w:val="000000" w:themeColor="text1"/>
      <w:szCs w:val="32"/>
    </w:rPr>
  </w:style>
  <w:style w:type="paragraph" w:styleId="Ttulo2">
    <w:name w:val="heading 2"/>
    <w:basedOn w:val="Normal"/>
    <w:next w:val="Normal"/>
    <w:link w:val="Ttulo2Car"/>
    <w:uiPriority w:val="9"/>
    <w:unhideWhenUsed/>
    <w:qFormat/>
    <w:rsid w:val="008E2B21"/>
    <w:pPr>
      <w:keepNext/>
      <w:keepLines/>
      <w:spacing w:after="0" w:line="360" w:lineRule="auto"/>
      <w:outlineLvl w:val="1"/>
    </w:pPr>
    <w:rPr>
      <w:rFonts w:ascii="Palatino Linotype" w:eastAsiaTheme="majorEastAsia" w:hAnsi="Palatino Linotype" w:cstheme="majorBidi"/>
      <w:b/>
      <w:color w:val="000000" w:themeColor="text1"/>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2B21"/>
    <w:rPr>
      <w:rFonts w:ascii="Palatino Linotype" w:eastAsiaTheme="majorEastAsia" w:hAnsi="Palatino Linotype" w:cstheme="majorBidi"/>
      <w:b/>
      <w:color w:val="000000" w:themeColor="text1"/>
      <w:szCs w:val="32"/>
    </w:rPr>
  </w:style>
  <w:style w:type="character" w:customStyle="1" w:styleId="Ttulo2Car">
    <w:name w:val="Título 2 Car"/>
    <w:basedOn w:val="Fuentedeprrafopredeter"/>
    <w:link w:val="Ttulo2"/>
    <w:uiPriority w:val="9"/>
    <w:rsid w:val="008E2B21"/>
    <w:rPr>
      <w:rFonts w:ascii="Palatino Linotype" w:eastAsiaTheme="majorEastAsia" w:hAnsi="Palatino Linotype" w:cstheme="majorBidi"/>
      <w:b/>
      <w:color w:val="000000" w:themeColor="text1"/>
      <w:szCs w:val="26"/>
    </w:rPr>
  </w:style>
  <w:style w:type="paragraph" w:styleId="TtulodeTDC">
    <w:name w:val="TOC Heading"/>
    <w:basedOn w:val="Ttulo1"/>
    <w:next w:val="Normal"/>
    <w:uiPriority w:val="39"/>
    <w:unhideWhenUsed/>
    <w:qFormat/>
    <w:rsid w:val="008E2B21"/>
    <w:pPr>
      <w:spacing w:before="240" w:line="259" w:lineRule="auto"/>
      <w:jc w:val="left"/>
      <w:outlineLvl w:val="9"/>
    </w:pPr>
    <w:rPr>
      <w:rFonts w:asciiTheme="majorHAnsi" w:hAnsiTheme="majorHAnsi"/>
      <w:b w:val="0"/>
      <w:color w:val="2F5496" w:themeColor="accent1" w:themeShade="BF"/>
      <w:kern w:val="0"/>
      <w:sz w:val="32"/>
      <w:lang w:eastAsia="es-MX"/>
      <w14:ligatures w14:val="none"/>
    </w:rPr>
  </w:style>
  <w:style w:type="paragraph" w:styleId="TDC1">
    <w:name w:val="toc 1"/>
    <w:basedOn w:val="Normal"/>
    <w:next w:val="Normal"/>
    <w:autoRedefine/>
    <w:uiPriority w:val="39"/>
    <w:unhideWhenUsed/>
    <w:rsid w:val="0095646E"/>
    <w:pPr>
      <w:tabs>
        <w:tab w:val="right" w:leader="dot" w:pos="9062"/>
      </w:tabs>
      <w:spacing w:after="100"/>
    </w:pPr>
    <w:rPr>
      <w:rFonts w:ascii="Palatino Linotype" w:eastAsia="Times New Roman" w:hAnsi="Palatino Linotype"/>
      <w:noProof/>
      <w:lang w:val="es-ES" w:eastAsia="es-ES"/>
    </w:rPr>
  </w:style>
  <w:style w:type="paragraph" w:styleId="TDC2">
    <w:name w:val="toc 2"/>
    <w:basedOn w:val="Normal"/>
    <w:next w:val="Normal"/>
    <w:autoRedefine/>
    <w:uiPriority w:val="39"/>
    <w:unhideWhenUsed/>
    <w:rsid w:val="00E9791C"/>
    <w:pPr>
      <w:tabs>
        <w:tab w:val="right" w:leader="dot" w:pos="9062"/>
      </w:tabs>
      <w:spacing w:after="0" w:line="360" w:lineRule="auto"/>
      <w:ind w:left="221"/>
      <w:jc w:val="both"/>
    </w:pPr>
  </w:style>
  <w:style w:type="character" w:styleId="Hipervnculo">
    <w:name w:val="Hyperlink"/>
    <w:basedOn w:val="Fuentedeprrafopredeter"/>
    <w:uiPriority w:val="99"/>
    <w:unhideWhenUsed/>
    <w:rsid w:val="008E2B21"/>
    <w:rPr>
      <w:color w:val="0563C1" w:themeColor="hyperlink"/>
      <w:u w:val="single"/>
    </w:rPr>
  </w:style>
  <w:style w:type="paragraph" w:styleId="Prrafodelista">
    <w:name w:val="List Paragraph"/>
    <w:basedOn w:val="Normal"/>
    <w:uiPriority w:val="34"/>
    <w:qFormat/>
    <w:rsid w:val="001A6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048357">
      <w:bodyDiv w:val="1"/>
      <w:marLeft w:val="0"/>
      <w:marRight w:val="0"/>
      <w:marTop w:val="0"/>
      <w:marBottom w:val="0"/>
      <w:divBdr>
        <w:top w:val="none" w:sz="0" w:space="0" w:color="auto"/>
        <w:left w:val="none" w:sz="0" w:space="0" w:color="auto"/>
        <w:bottom w:val="none" w:sz="0" w:space="0" w:color="auto"/>
        <w:right w:val="none" w:sz="0" w:space="0" w:color="auto"/>
      </w:divBdr>
    </w:div>
    <w:div w:id="459156995">
      <w:bodyDiv w:val="1"/>
      <w:marLeft w:val="0"/>
      <w:marRight w:val="0"/>
      <w:marTop w:val="0"/>
      <w:marBottom w:val="0"/>
      <w:divBdr>
        <w:top w:val="none" w:sz="0" w:space="0" w:color="auto"/>
        <w:left w:val="none" w:sz="0" w:space="0" w:color="auto"/>
        <w:bottom w:val="none" w:sz="0" w:space="0" w:color="auto"/>
        <w:right w:val="none" w:sz="0" w:space="0" w:color="auto"/>
      </w:divBdr>
    </w:div>
    <w:div w:id="662246264">
      <w:bodyDiv w:val="1"/>
      <w:marLeft w:val="0"/>
      <w:marRight w:val="0"/>
      <w:marTop w:val="0"/>
      <w:marBottom w:val="0"/>
      <w:divBdr>
        <w:top w:val="none" w:sz="0" w:space="0" w:color="auto"/>
        <w:left w:val="none" w:sz="0" w:space="0" w:color="auto"/>
        <w:bottom w:val="none" w:sz="0" w:space="0" w:color="auto"/>
        <w:right w:val="none" w:sz="0" w:space="0" w:color="auto"/>
      </w:divBdr>
    </w:div>
    <w:div w:id="1291861154">
      <w:bodyDiv w:val="1"/>
      <w:marLeft w:val="0"/>
      <w:marRight w:val="0"/>
      <w:marTop w:val="0"/>
      <w:marBottom w:val="0"/>
      <w:divBdr>
        <w:top w:val="none" w:sz="0" w:space="0" w:color="auto"/>
        <w:left w:val="none" w:sz="0" w:space="0" w:color="auto"/>
        <w:bottom w:val="none" w:sz="0" w:space="0" w:color="auto"/>
        <w:right w:val="none" w:sz="0" w:space="0" w:color="auto"/>
      </w:divBdr>
    </w:div>
    <w:div w:id="18140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8A7AA-F64A-44E5-BA8F-1FE239199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4878</Words>
  <Characters>26834</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 Gs</dc:creator>
  <cp:keywords/>
  <dc:description/>
  <cp:lastModifiedBy>ROX</cp:lastModifiedBy>
  <cp:revision>3</cp:revision>
  <cp:lastPrinted>2025-01-23T23:57:00Z</cp:lastPrinted>
  <dcterms:created xsi:type="dcterms:W3CDTF">2025-01-30T17:28:00Z</dcterms:created>
  <dcterms:modified xsi:type="dcterms:W3CDTF">2025-02-19T16:51:00Z</dcterms:modified>
</cp:coreProperties>
</file>