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48B" w:rsidRPr="00E13872" w:rsidRDefault="00A077F4" w:rsidP="002C3557">
      <w:pPr>
        <w:tabs>
          <w:tab w:val="left" w:pos="3465"/>
        </w:tabs>
        <w:spacing w:line="360" w:lineRule="auto"/>
        <w:jc w:val="both"/>
        <w:rPr>
          <w:rFonts w:ascii="Palatino Linotype" w:eastAsia="Palatino Linotype" w:hAnsi="Palatino Linotype" w:cs="Palatino Linotype"/>
          <w:color w:val="000000" w:themeColor="text1"/>
        </w:rPr>
      </w:pPr>
      <w:bookmarkStart w:id="0" w:name="_GoBack"/>
      <w:bookmarkEnd w:id="0"/>
      <w:r w:rsidRPr="00E13872">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E13872">
        <w:rPr>
          <w:rFonts w:ascii="Palatino Linotype" w:eastAsia="Palatino Linotype" w:hAnsi="Palatino Linotype" w:cs="Palatino Linotype"/>
          <w:b/>
          <w:color w:val="000000" w:themeColor="text1"/>
        </w:rPr>
        <w:t xml:space="preserve">de fecha </w:t>
      </w:r>
      <w:r w:rsidR="00BD6DC1" w:rsidRPr="00E13872">
        <w:rPr>
          <w:rFonts w:ascii="Palatino Linotype" w:eastAsia="Palatino Linotype" w:hAnsi="Palatino Linotype" w:cs="Palatino Linotype"/>
          <w:b/>
          <w:color w:val="000000" w:themeColor="text1"/>
        </w:rPr>
        <w:t>seis (06) de agosto</w:t>
      </w:r>
      <w:r w:rsidRPr="00E13872">
        <w:rPr>
          <w:rFonts w:ascii="Palatino Linotype" w:eastAsia="Palatino Linotype" w:hAnsi="Palatino Linotype" w:cs="Palatino Linotype"/>
          <w:b/>
          <w:color w:val="000000" w:themeColor="text1"/>
        </w:rPr>
        <w:t xml:space="preserve"> de dos mil veinticinco</w:t>
      </w:r>
      <w:r w:rsidRPr="00E13872">
        <w:rPr>
          <w:rFonts w:ascii="Palatino Linotype" w:eastAsia="Palatino Linotype" w:hAnsi="Palatino Linotype" w:cs="Palatino Linotype"/>
          <w:color w:val="000000" w:themeColor="text1"/>
        </w:rPr>
        <w:t>.</w:t>
      </w:r>
    </w:p>
    <w:p w:rsidR="0072148B" w:rsidRPr="00E13872" w:rsidRDefault="0072148B" w:rsidP="002C3557">
      <w:pPr>
        <w:tabs>
          <w:tab w:val="left" w:pos="3465"/>
        </w:tabs>
        <w:spacing w:line="360" w:lineRule="auto"/>
        <w:jc w:val="both"/>
        <w:rPr>
          <w:rFonts w:ascii="Palatino Linotype" w:eastAsia="Palatino Linotype" w:hAnsi="Palatino Linotype" w:cs="Palatino Linotype"/>
          <w:color w:val="000000" w:themeColor="text1"/>
        </w:rPr>
      </w:pPr>
    </w:p>
    <w:p w:rsidR="0072148B" w:rsidRPr="00E13872" w:rsidRDefault="00A077F4" w:rsidP="002C3557">
      <w:pPr>
        <w:spacing w:line="360" w:lineRule="auto"/>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b/>
          <w:color w:val="000000" w:themeColor="text1"/>
        </w:rPr>
        <w:t xml:space="preserve">VISTAS </w:t>
      </w:r>
      <w:r w:rsidRPr="00E13872">
        <w:rPr>
          <w:rFonts w:ascii="Palatino Linotype" w:eastAsia="Palatino Linotype" w:hAnsi="Palatino Linotype" w:cs="Palatino Linotype"/>
          <w:color w:val="000000" w:themeColor="text1"/>
        </w:rPr>
        <w:t xml:space="preserve">las constancias para resolver </w:t>
      </w:r>
      <w:r w:rsidR="002C4BEC" w:rsidRPr="00E13872">
        <w:rPr>
          <w:rFonts w:ascii="Palatino Linotype" w:eastAsia="Palatino Linotype" w:hAnsi="Palatino Linotype" w:cs="Palatino Linotype"/>
          <w:color w:val="000000" w:themeColor="text1"/>
        </w:rPr>
        <w:t>el Recurso</w:t>
      </w:r>
      <w:r w:rsidRPr="00E13872">
        <w:rPr>
          <w:rFonts w:ascii="Palatino Linotype" w:eastAsia="Palatino Linotype" w:hAnsi="Palatino Linotype" w:cs="Palatino Linotype"/>
          <w:color w:val="000000" w:themeColor="text1"/>
        </w:rPr>
        <w:t xml:space="preserve"> de Revisión </w:t>
      </w:r>
      <w:r w:rsidR="00A87A67" w:rsidRPr="00E13872">
        <w:rPr>
          <w:rFonts w:ascii="Palatino Linotype" w:eastAsia="Palatino Linotype" w:hAnsi="Palatino Linotype" w:cs="Palatino Linotype"/>
          <w:b/>
          <w:color w:val="000000" w:themeColor="text1"/>
        </w:rPr>
        <w:t>03098</w:t>
      </w:r>
      <w:r w:rsidRPr="00E13872">
        <w:rPr>
          <w:rFonts w:ascii="Palatino Linotype" w:eastAsia="Palatino Linotype" w:hAnsi="Palatino Linotype" w:cs="Palatino Linotype"/>
          <w:b/>
          <w:color w:val="000000" w:themeColor="text1"/>
        </w:rPr>
        <w:t>/INFOEM/IP/RR/2025</w:t>
      </w:r>
      <w:r w:rsidR="002C4BEC" w:rsidRPr="00E13872">
        <w:rPr>
          <w:rFonts w:ascii="Palatino Linotype" w:eastAsia="Palatino Linotype" w:hAnsi="Palatino Linotype" w:cs="Palatino Linotype"/>
          <w:color w:val="000000" w:themeColor="text1"/>
        </w:rPr>
        <w:t>, promovido</w:t>
      </w:r>
      <w:r w:rsidRPr="00E13872">
        <w:rPr>
          <w:rFonts w:ascii="Palatino Linotype" w:eastAsia="Palatino Linotype" w:hAnsi="Palatino Linotype" w:cs="Palatino Linotype"/>
          <w:color w:val="000000" w:themeColor="text1"/>
        </w:rPr>
        <w:t xml:space="preserve"> por </w:t>
      </w:r>
      <w:r w:rsidR="00B95873" w:rsidRPr="00E13872">
        <w:rPr>
          <w:rFonts w:ascii="Palatino Linotype" w:eastAsia="Palatino Linotype" w:hAnsi="Palatino Linotype" w:cs="Palatino Linotype"/>
          <w:color w:val="000000" w:themeColor="text1"/>
        </w:rPr>
        <w:t>una persona que no registró nombre</w:t>
      </w:r>
      <w:r w:rsidRPr="00E13872">
        <w:rPr>
          <w:rFonts w:ascii="Palatino Linotype" w:eastAsia="Palatino Linotype" w:hAnsi="Palatino Linotype" w:cs="Palatino Linotype"/>
          <w:color w:val="000000" w:themeColor="text1"/>
        </w:rPr>
        <w:t xml:space="preserve">, en lo sucesivo </w:t>
      </w:r>
      <w:r w:rsidRPr="00E13872">
        <w:rPr>
          <w:rFonts w:ascii="Palatino Linotype" w:eastAsia="Palatino Linotype" w:hAnsi="Palatino Linotype" w:cs="Palatino Linotype"/>
          <w:b/>
          <w:color w:val="000000" w:themeColor="text1"/>
        </w:rPr>
        <w:t>EL RECURRENTE</w:t>
      </w:r>
      <w:r w:rsidRPr="00E13872">
        <w:rPr>
          <w:rFonts w:ascii="Palatino Linotype" w:eastAsia="Palatino Linotype" w:hAnsi="Palatino Linotype" w:cs="Palatino Linotype"/>
          <w:color w:val="000000" w:themeColor="text1"/>
        </w:rPr>
        <w:t>, en contr</w:t>
      </w:r>
      <w:r w:rsidR="002C4BEC" w:rsidRPr="00E13872">
        <w:rPr>
          <w:rFonts w:ascii="Palatino Linotype" w:eastAsia="Palatino Linotype" w:hAnsi="Palatino Linotype" w:cs="Palatino Linotype"/>
          <w:color w:val="000000" w:themeColor="text1"/>
        </w:rPr>
        <w:t>a de la respuesta otorgada a la solicitud</w:t>
      </w:r>
      <w:r w:rsidRPr="00E13872">
        <w:rPr>
          <w:rFonts w:ascii="Palatino Linotype" w:eastAsia="Palatino Linotype" w:hAnsi="Palatino Linotype" w:cs="Palatino Linotype"/>
          <w:color w:val="000000" w:themeColor="text1"/>
        </w:rPr>
        <w:t xml:space="preserve"> de información </w:t>
      </w:r>
      <w:r w:rsidR="00A87A67" w:rsidRPr="00E13872">
        <w:rPr>
          <w:rFonts w:ascii="Palatino Linotype" w:eastAsia="Palatino Linotype" w:hAnsi="Palatino Linotype" w:cs="Palatino Linotype"/>
          <w:b/>
          <w:color w:val="000000" w:themeColor="text1"/>
        </w:rPr>
        <w:t>00139/ATLACOM/IP/2025</w:t>
      </w:r>
      <w:r w:rsidRPr="00E13872">
        <w:rPr>
          <w:rFonts w:ascii="Palatino Linotype" w:eastAsia="Palatino Linotype" w:hAnsi="Palatino Linotype" w:cs="Palatino Linotype"/>
          <w:color w:val="000000" w:themeColor="text1"/>
        </w:rPr>
        <w:t xml:space="preserve">, por parte del </w:t>
      </w:r>
      <w:r w:rsidR="00385C23" w:rsidRPr="00E13872">
        <w:rPr>
          <w:rFonts w:ascii="Palatino Linotype" w:eastAsia="Palatino Linotype" w:hAnsi="Palatino Linotype" w:cs="Palatino Linotype"/>
          <w:b/>
          <w:color w:val="000000" w:themeColor="text1"/>
        </w:rPr>
        <w:t xml:space="preserve">Ayuntamiento de </w:t>
      </w:r>
      <w:r w:rsidR="00A87A67" w:rsidRPr="00E13872">
        <w:rPr>
          <w:rFonts w:ascii="Palatino Linotype" w:eastAsia="Palatino Linotype" w:hAnsi="Palatino Linotype" w:cs="Palatino Linotype"/>
          <w:b/>
          <w:color w:val="000000" w:themeColor="text1"/>
        </w:rPr>
        <w:t>Atlacomulco</w:t>
      </w:r>
      <w:r w:rsidRPr="00E13872">
        <w:rPr>
          <w:rFonts w:ascii="Palatino Linotype" w:eastAsia="Palatino Linotype" w:hAnsi="Palatino Linotype" w:cs="Palatino Linotype"/>
          <w:b/>
          <w:color w:val="000000" w:themeColor="text1"/>
        </w:rPr>
        <w:t xml:space="preserve">, </w:t>
      </w:r>
      <w:r w:rsidRPr="00E13872">
        <w:rPr>
          <w:rFonts w:ascii="Palatino Linotype" w:eastAsia="Palatino Linotype" w:hAnsi="Palatino Linotype" w:cs="Palatino Linotype"/>
          <w:color w:val="000000" w:themeColor="text1"/>
        </w:rPr>
        <w:t xml:space="preserve">en adelante el </w:t>
      </w:r>
      <w:r w:rsidRPr="00E13872">
        <w:rPr>
          <w:rFonts w:ascii="Palatino Linotype" w:eastAsia="Palatino Linotype" w:hAnsi="Palatino Linotype" w:cs="Palatino Linotype"/>
          <w:b/>
          <w:color w:val="000000" w:themeColor="text1"/>
        </w:rPr>
        <w:t>SUJETO OBLIGADO</w:t>
      </w:r>
      <w:r w:rsidRPr="00E13872">
        <w:rPr>
          <w:rFonts w:ascii="Palatino Linotype" w:eastAsia="Palatino Linotype" w:hAnsi="Palatino Linotype" w:cs="Palatino Linotype"/>
          <w:color w:val="000000" w:themeColor="text1"/>
        </w:rPr>
        <w:t>, se emite la presente resolución con base en los siguientes:</w:t>
      </w:r>
    </w:p>
    <w:p w:rsidR="0072148B" w:rsidRPr="00E13872" w:rsidRDefault="0072148B" w:rsidP="002C3557">
      <w:pPr>
        <w:spacing w:line="360" w:lineRule="auto"/>
        <w:jc w:val="both"/>
        <w:rPr>
          <w:rFonts w:ascii="Palatino Linotype" w:eastAsia="Palatino Linotype" w:hAnsi="Palatino Linotype" w:cs="Palatino Linotype"/>
          <w:color w:val="000000" w:themeColor="text1"/>
        </w:rPr>
      </w:pPr>
    </w:p>
    <w:p w:rsidR="0072148B" w:rsidRPr="00E13872" w:rsidRDefault="00A077F4" w:rsidP="002C3557">
      <w:pPr>
        <w:pStyle w:val="Ttulo1"/>
        <w:spacing w:before="0" w:line="360" w:lineRule="auto"/>
        <w:jc w:val="center"/>
        <w:rPr>
          <w:rFonts w:ascii="Palatino Linotype" w:eastAsia="Palatino Linotype" w:hAnsi="Palatino Linotype" w:cs="Palatino Linotype"/>
          <w:b/>
          <w:color w:val="000000" w:themeColor="text1"/>
          <w:sz w:val="24"/>
          <w:szCs w:val="24"/>
        </w:rPr>
      </w:pPr>
      <w:bookmarkStart w:id="1" w:name="_heading=h.gjdgxs" w:colFirst="0" w:colLast="0"/>
      <w:bookmarkEnd w:id="1"/>
      <w:r w:rsidRPr="00E13872">
        <w:rPr>
          <w:rFonts w:ascii="Palatino Linotype" w:eastAsia="Palatino Linotype" w:hAnsi="Palatino Linotype" w:cs="Palatino Linotype"/>
          <w:b/>
          <w:color w:val="000000" w:themeColor="text1"/>
          <w:sz w:val="24"/>
          <w:szCs w:val="24"/>
        </w:rPr>
        <w:t>A N T E C E D E N T E S</w:t>
      </w:r>
    </w:p>
    <w:p w:rsidR="0072148B" w:rsidRPr="00E13872" w:rsidRDefault="0072148B" w:rsidP="002C3557">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u w:val="single"/>
        </w:rPr>
      </w:pPr>
    </w:p>
    <w:p w:rsidR="0072148B" w:rsidRPr="00E13872" w:rsidRDefault="00A077F4" w:rsidP="002C3557">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El </w:t>
      </w:r>
      <w:r w:rsidR="00A87A67" w:rsidRPr="00E13872">
        <w:rPr>
          <w:rFonts w:ascii="Palatino Linotype" w:eastAsia="Palatino Linotype" w:hAnsi="Palatino Linotype" w:cs="Palatino Linotype"/>
          <w:b/>
          <w:color w:val="000000" w:themeColor="text1"/>
        </w:rPr>
        <w:t>once</w:t>
      </w:r>
      <w:r w:rsidR="0049478E" w:rsidRPr="00E13872">
        <w:rPr>
          <w:rFonts w:ascii="Palatino Linotype" w:eastAsia="Palatino Linotype" w:hAnsi="Palatino Linotype" w:cs="Palatino Linotype"/>
          <w:b/>
          <w:color w:val="000000" w:themeColor="text1"/>
        </w:rPr>
        <w:t xml:space="preserve"> de febrero</w:t>
      </w:r>
      <w:r w:rsidRPr="00E13872">
        <w:rPr>
          <w:rFonts w:ascii="Palatino Linotype" w:eastAsia="Palatino Linotype" w:hAnsi="Palatino Linotype" w:cs="Palatino Linotype"/>
          <w:b/>
          <w:color w:val="000000" w:themeColor="text1"/>
        </w:rPr>
        <w:t xml:space="preserve"> de dos mil veinticinco</w:t>
      </w:r>
      <w:r w:rsidRPr="00E13872">
        <w:rPr>
          <w:rFonts w:ascii="Palatino Linotype" w:eastAsia="Palatino Linotype" w:hAnsi="Palatino Linotype" w:cs="Palatino Linotype"/>
          <w:color w:val="000000" w:themeColor="text1"/>
        </w:rPr>
        <w:t>,</w:t>
      </w:r>
      <w:r w:rsidRPr="00E13872">
        <w:rPr>
          <w:rFonts w:ascii="Palatino Linotype" w:eastAsia="Palatino Linotype" w:hAnsi="Palatino Linotype" w:cs="Palatino Linotype"/>
          <w:b/>
          <w:color w:val="000000" w:themeColor="text1"/>
        </w:rPr>
        <w:t xml:space="preserve"> </w:t>
      </w:r>
      <w:r w:rsidRPr="00E13872">
        <w:rPr>
          <w:rFonts w:ascii="Palatino Linotype" w:eastAsia="Palatino Linotype" w:hAnsi="Palatino Linotype" w:cs="Palatino Linotype"/>
          <w:color w:val="000000" w:themeColor="text1"/>
        </w:rPr>
        <w:t>se presentó ante el Sujeto Obligado vía Sistema de Acceso a la Información Mex</w:t>
      </w:r>
      <w:r w:rsidR="002C4BEC" w:rsidRPr="00E13872">
        <w:rPr>
          <w:rFonts w:ascii="Palatino Linotype" w:eastAsia="Palatino Linotype" w:hAnsi="Palatino Linotype" w:cs="Palatino Linotype"/>
          <w:color w:val="000000" w:themeColor="text1"/>
        </w:rPr>
        <w:t xml:space="preserve">iquense, en adelante SAIMEX, la siguiente </w:t>
      </w:r>
      <w:r w:rsidR="002C4BEC" w:rsidRPr="00E13872">
        <w:rPr>
          <w:rFonts w:ascii="Palatino Linotype" w:eastAsia="Palatino Linotype" w:hAnsi="Palatino Linotype" w:cs="Palatino Linotype"/>
          <w:b/>
          <w:color w:val="000000" w:themeColor="text1"/>
        </w:rPr>
        <w:t xml:space="preserve">solicitud </w:t>
      </w:r>
      <w:r w:rsidRPr="00E13872">
        <w:rPr>
          <w:rFonts w:ascii="Palatino Linotype" w:eastAsia="Palatino Linotype" w:hAnsi="Palatino Linotype" w:cs="Palatino Linotype"/>
          <w:b/>
          <w:color w:val="000000" w:themeColor="text1"/>
        </w:rPr>
        <w:t>de información pública</w:t>
      </w:r>
      <w:r w:rsidRPr="00E13872">
        <w:rPr>
          <w:rFonts w:ascii="Palatino Linotype" w:eastAsia="Palatino Linotype" w:hAnsi="Palatino Linotype" w:cs="Palatino Linotype"/>
          <w:color w:val="000000" w:themeColor="text1"/>
        </w:rPr>
        <w:t>:</w:t>
      </w:r>
    </w:p>
    <w:p w:rsidR="0072148B" w:rsidRPr="00E13872" w:rsidRDefault="0072148B" w:rsidP="002C3557">
      <w:pPr>
        <w:pBdr>
          <w:top w:val="nil"/>
          <w:left w:val="nil"/>
          <w:bottom w:val="nil"/>
          <w:right w:val="nil"/>
          <w:between w:val="nil"/>
        </w:pBdr>
        <w:jc w:val="both"/>
        <w:rPr>
          <w:rFonts w:ascii="Palatino Linotype" w:eastAsia="Palatino Linotype" w:hAnsi="Palatino Linotype" w:cs="Palatino Linotype"/>
          <w:color w:val="000000" w:themeColor="text1"/>
        </w:rPr>
      </w:pPr>
    </w:p>
    <w:p w:rsidR="0072148B" w:rsidRPr="00E13872" w:rsidRDefault="002C4BEC" w:rsidP="002C3557">
      <w:pPr>
        <w:pBdr>
          <w:top w:val="nil"/>
          <w:left w:val="nil"/>
          <w:bottom w:val="nil"/>
          <w:right w:val="nil"/>
          <w:between w:val="nil"/>
        </w:pBdr>
        <w:jc w:val="both"/>
        <w:rPr>
          <w:rFonts w:ascii="Palatino Linotype" w:eastAsia="Palatino Linotype" w:hAnsi="Palatino Linotype" w:cs="Palatino Linotype"/>
          <w:i/>
          <w:color w:val="000000" w:themeColor="text1"/>
        </w:rPr>
      </w:pPr>
      <w:r w:rsidRPr="00E13872">
        <w:rPr>
          <w:rFonts w:ascii="Palatino Linotype" w:eastAsia="Palatino Linotype" w:hAnsi="Palatino Linotype" w:cs="Palatino Linotype"/>
          <w:i/>
          <w:color w:val="000000" w:themeColor="text1"/>
        </w:rPr>
        <w:t xml:space="preserve"> </w:t>
      </w:r>
      <w:r w:rsidR="00223B24" w:rsidRPr="00E13872">
        <w:rPr>
          <w:rFonts w:ascii="Palatino Linotype" w:eastAsia="Palatino Linotype" w:hAnsi="Palatino Linotype" w:cs="Palatino Linotype"/>
          <w:i/>
          <w:color w:val="000000" w:themeColor="text1"/>
        </w:rPr>
        <w:t>“</w:t>
      </w:r>
      <w:r w:rsidR="00A87A67" w:rsidRPr="00E13872">
        <w:rPr>
          <w:rFonts w:ascii="Palatino Linotype" w:eastAsia="Palatino Linotype" w:hAnsi="Palatino Linotype" w:cs="Palatino Linotype"/>
          <w:i/>
          <w:color w:val="000000" w:themeColor="text1"/>
        </w:rPr>
        <w:t>Compras, requerimientos y documentos que comprueben las compras de enero 2025</w:t>
      </w:r>
      <w:r w:rsidR="00AA0D5C" w:rsidRPr="00E13872">
        <w:rPr>
          <w:rFonts w:ascii="Palatino Linotype" w:eastAsia="Palatino Linotype" w:hAnsi="Palatino Linotype" w:cs="Palatino Linotype"/>
          <w:i/>
          <w:color w:val="000000" w:themeColor="text1"/>
        </w:rPr>
        <w:t>.</w:t>
      </w:r>
      <w:r w:rsidR="00223B24" w:rsidRPr="00E13872">
        <w:rPr>
          <w:rFonts w:ascii="Palatino Linotype" w:eastAsia="Palatino Linotype" w:hAnsi="Palatino Linotype" w:cs="Palatino Linotype"/>
          <w:i/>
          <w:color w:val="000000" w:themeColor="text1"/>
        </w:rPr>
        <w:t>” (Sic)</w:t>
      </w:r>
    </w:p>
    <w:p w:rsidR="00223B24" w:rsidRPr="00E13872" w:rsidRDefault="00223B24" w:rsidP="002C3557">
      <w:pPr>
        <w:pBdr>
          <w:top w:val="nil"/>
          <w:left w:val="nil"/>
          <w:bottom w:val="nil"/>
          <w:right w:val="nil"/>
          <w:between w:val="nil"/>
        </w:pBdr>
        <w:jc w:val="both"/>
        <w:rPr>
          <w:rFonts w:ascii="Palatino Linotype" w:eastAsia="Palatino Linotype" w:hAnsi="Palatino Linotype" w:cs="Palatino Linotype"/>
          <w:i/>
          <w:color w:val="000000" w:themeColor="text1"/>
        </w:rPr>
      </w:pPr>
    </w:p>
    <w:p w:rsidR="006A1BDE" w:rsidRDefault="006A1BDE" w:rsidP="006A1BDE">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72148B" w:rsidRPr="00E13872" w:rsidRDefault="00A077F4" w:rsidP="006A1BDE">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Se eligió como modalidad de entrega de la información: A través del </w:t>
      </w:r>
      <w:r w:rsidRPr="00E13872">
        <w:rPr>
          <w:rFonts w:ascii="Palatino Linotype" w:eastAsia="Palatino Linotype" w:hAnsi="Palatino Linotype" w:cs="Palatino Linotype"/>
          <w:b/>
          <w:color w:val="000000" w:themeColor="text1"/>
        </w:rPr>
        <w:t>SAIMEX.</w:t>
      </w:r>
    </w:p>
    <w:p w:rsidR="009B2185" w:rsidRPr="00E13872" w:rsidRDefault="009B2185" w:rsidP="002C3557">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A87A67" w:rsidRPr="00E13872" w:rsidRDefault="00A87A67" w:rsidP="002C3557">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El </w:t>
      </w:r>
      <w:r w:rsidRPr="00E13872">
        <w:rPr>
          <w:rFonts w:ascii="Palatino Linotype" w:eastAsia="Palatino Linotype" w:hAnsi="Palatino Linotype" w:cs="Palatino Linotype"/>
          <w:b/>
          <w:color w:val="000000" w:themeColor="text1"/>
        </w:rPr>
        <w:t>cinco de marzo de dos mil veinticinco</w:t>
      </w:r>
      <w:r w:rsidRPr="00E13872">
        <w:rPr>
          <w:rFonts w:ascii="Palatino Linotype" w:eastAsia="Palatino Linotype" w:hAnsi="Palatino Linotype" w:cs="Palatino Linotype"/>
          <w:color w:val="000000" w:themeColor="text1"/>
        </w:rPr>
        <w:t>, el Sujeto Obligado notificó la prórroga para responder la solicitud de información en los términos siguientes:</w:t>
      </w:r>
      <w:r w:rsidR="002252B8" w:rsidRPr="00E13872">
        <w:rPr>
          <w:rFonts w:ascii="Palatino Linotype" w:eastAsia="Palatino Linotype" w:hAnsi="Palatino Linotype" w:cs="Palatino Linotype"/>
          <w:color w:val="000000" w:themeColor="text1"/>
        </w:rPr>
        <w:t xml:space="preserve"> se le hace de su conocimiento que el plazo de 15 días hábiles para atender su solicitud de información ha sido prorrogado por 7 días en la Octava Sesión Extraordinaria del Comité de Transparencia.</w:t>
      </w:r>
    </w:p>
    <w:p w:rsidR="003E1C35" w:rsidRPr="00E13872" w:rsidRDefault="00A077F4" w:rsidP="002C3557">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lastRenderedPageBreak/>
        <w:t>El</w:t>
      </w:r>
      <w:r w:rsidRPr="00E13872">
        <w:rPr>
          <w:rFonts w:ascii="Palatino Linotype" w:eastAsia="Palatino Linotype" w:hAnsi="Palatino Linotype" w:cs="Palatino Linotype"/>
          <w:b/>
          <w:color w:val="000000" w:themeColor="text1"/>
        </w:rPr>
        <w:t xml:space="preserve"> </w:t>
      </w:r>
      <w:r w:rsidR="00A87A67" w:rsidRPr="00E13872">
        <w:rPr>
          <w:rFonts w:ascii="Palatino Linotype" w:eastAsia="Palatino Linotype" w:hAnsi="Palatino Linotype" w:cs="Palatino Linotype"/>
          <w:b/>
          <w:color w:val="000000" w:themeColor="text1"/>
        </w:rPr>
        <w:t>catorce</w:t>
      </w:r>
      <w:r w:rsidR="006E390C" w:rsidRPr="00E13872">
        <w:rPr>
          <w:rFonts w:ascii="Palatino Linotype" w:eastAsia="Palatino Linotype" w:hAnsi="Palatino Linotype" w:cs="Palatino Linotype"/>
          <w:b/>
          <w:color w:val="000000" w:themeColor="text1"/>
        </w:rPr>
        <w:t xml:space="preserve"> de marzo</w:t>
      </w:r>
      <w:r w:rsidRPr="00E13872">
        <w:rPr>
          <w:rFonts w:ascii="Palatino Linotype" w:eastAsia="Palatino Linotype" w:hAnsi="Palatino Linotype" w:cs="Palatino Linotype"/>
          <w:b/>
          <w:color w:val="000000" w:themeColor="text1"/>
        </w:rPr>
        <w:t xml:space="preserve"> de dos mil veinticinco</w:t>
      </w:r>
      <w:r w:rsidRPr="00E13872">
        <w:rPr>
          <w:rFonts w:ascii="Palatino Linotype" w:eastAsia="Palatino Linotype" w:hAnsi="Palatino Linotype" w:cs="Palatino Linotype"/>
          <w:color w:val="000000" w:themeColor="text1"/>
        </w:rPr>
        <w:t>, el Sujeto Obligado</w:t>
      </w:r>
      <w:r w:rsidRPr="00E13872">
        <w:rPr>
          <w:rFonts w:ascii="Palatino Linotype" w:eastAsia="Palatino Linotype" w:hAnsi="Palatino Linotype" w:cs="Palatino Linotype"/>
          <w:b/>
          <w:color w:val="000000" w:themeColor="text1"/>
        </w:rPr>
        <w:t>,</w:t>
      </w:r>
      <w:r w:rsidRPr="00E13872">
        <w:rPr>
          <w:rFonts w:ascii="Palatino Linotype" w:eastAsia="Palatino Linotype" w:hAnsi="Palatino Linotype" w:cs="Palatino Linotype"/>
          <w:color w:val="000000" w:themeColor="text1"/>
        </w:rPr>
        <w:t xml:space="preserve"> dio </w:t>
      </w:r>
      <w:r w:rsidRPr="00E13872">
        <w:rPr>
          <w:rFonts w:ascii="Palatino Linotype" w:eastAsia="Palatino Linotype" w:hAnsi="Palatino Linotype" w:cs="Palatino Linotype"/>
          <w:b/>
          <w:color w:val="000000" w:themeColor="text1"/>
        </w:rPr>
        <w:t>respuesta</w:t>
      </w:r>
      <w:r w:rsidRPr="00E13872">
        <w:rPr>
          <w:rFonts w:ascii="Palatino Linotype" w:eastAsia="Palatino Linotype" w:hAnsi="Palatino Linotype" w:cs="Palatino Linotype"/>
          <w:color w:val="000000" w:themeColor="text1"/>
        </w:rPr>
        <w:t xml:space="preserve"> a través de los siguientes archivos electrónicos</w:t>
      </w:r>
      <w:r w:rsidRPr="00E13872">
        <w:rPr>
          <w:rFonts w:ascii="Palatino Linotype" w:eastAsia="Palatino Linotype" w:hAnsi="Palatino Linotype" w:cs="Palatino Linotype"/>
          <w:b/>
          <w:i/>
          <w:color w:val="000000" w:themeColor="text1"/>
        </w:rPr>
        <w:t>:</w:t>
      </w:r>
    </w:p>
    <w:p w:rsidR="00A87A67" w:rsidRPr="00E13872" w:rsidRDefault="00A87A67" w:rsidP="002C3557">
      <w:pPr>
        <w:pBdr>
          <w:top w:val="nil"/>
          <w:left w:val="nil"/>
          <w:bottom w:val="nil"/>
          <w:right w:val="nil"/>
          <w:between w:val="nil"/>
        </w:pBdr>
        <w:tabs>
          <w:tab w:val="left" w:pos="567"/>
        </w:tabs>
        <w:jc w:val="both"/>
        <w:rPr>
          <w:rFonts w:ascii="Palatino Linotype" w:eastAsia="Palatino Linotype" w:hAnsi="Palatino Linotype" w:cs="Palatino Linotype"/>
          <w:b/>
          <w:i/>
          <w:color w:val="000000" w:themeColor="text1"/>
        </w:rPr>
      </w:pPr>
      <w:r w:rsidRPr="00E13872">
        <w:rPr>
          <w:rFonts w:ascii="Palatino Linotype" w:eastAsia="Palatino Linotype" w:hAnsi="Palatino Linotype" w:cs="Palatino Linotype"/>
          <w:b/>
          <w:i/>
          <w:color w:val="000000" w:themeColor="text1"/>
        </w:rPr>
        <w:t>0139_SOL_RESP_ADMON_2025.pdf</w:t>
      </w:r>
    </w:p>
    <w:p w:rsidR="00A87A67" w:rsidRPr="00E13872" w:rsidRDefault="00A87A67" w:rsidP="002C3557">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Oficio MA/DA/ADQ. /0113/02/2025 de fecha 26 de febrero de 2025, firmado por la Directora de administración a través del cual señala que una vez realizada la búsqueda exhaustiva y razonable en los archivos físicos y electrónicos de esta unidad administrativa y en lo que respecta al Departamento de Recursos Materiales y Adquisiciones se informa que </w:t>
      </w:r>
      <w:r w:rsidRPr="00E13872">
        <w:rPr>
          <w:rFonts w:ascii="Palatino Linotype" w:eastAsia="Palatino Linotype" w:hAnsi="Palatino Linotype" w:cs="Palatino Linotype"/>
          <w:b/>
          <w:color w:val="000000" w:themeColor="text1"/>
        </w:rPr>
        <w:t>no obra documentación alguna respecto de lo solicitado</w:t>
      </w:r>
      <w:r w:rsidRPr="00E13872">
        <w:rPr>
          <w:rFonts w:ascii="Palatino Linotype" w:eastAsia="Palatino Linotype" w:hAnsi="Palatino Linotype" w:cs="Palatino Linotype"/>
          <w:color w:val="000000" w:themeColor="text1"/>
        </w:rPr>
        <w:t>.</w:t>
      </w:r>
    </w:p>
    <w:p w:rsidR="001E51E4" w:rsidRPr="00E13872" w:rsidRDefault="001E51E4" w:rsidP="002C3557">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p>
    <w:p w:rsidR="001E51E4" w:rsidRPr="00E13872" w:rsidRDefault="001E51E4" w:rsidP="002C3557">
      <w:pPr>
        <w:pBdr>
          <w:top w:val="nil"/>
          <w:left w:val="nil"/>
          <w:bottom w:val="nil"/>
          <w:right w:val="nil"/>
          <w:between w:val="nil"/>
        </w:pBdr>
        <w:tabs>
          <w:tab w:val="left" w:pos="567"/>
        </w:tabs>
        <w:jc w:val="both"/>
        <w:rPr>
          <w:rFonts w:ascii="Palatino Linotype" w:eastAsia="Palatino Linotype" w:hAnsi="Palatino Linotype" w:cs="Palatino Linotype"/>
          <w:b/>
          <w:i/>
          <w:color w:val="000000" w:themeColor="text1"/>
        </w:rPr>
      </w:pPr>
      <w:r w:rsidRPr="00E13872">
        <w:rPr>
          <w:rFonts w:ascii="Palatino Linotype" w:eastAsia="Palatino Linotype" w:hAnsi="Palatino Linotype" w:cs="Palatino Linotype"/>
          <w:b/>
          <w:i/>
          <w:color w:val="000000" w:themeColor="text1"/>
        </w:rPr>
        <w:t>139_RSOL_TM_2025_COMPRAS.pdf</w:t>
      </w:r>
    </w:p>
    <w:p w:rsidR="001E51E4" w:rsidRPr="00E13872" w:rsidRDefault="001E51E4" w:rsidP="002C3557">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Oficio TMA/STE/331/03/2025 de fecha 12 de marzo de 2025 firmado por el Tesorero Municipal a través del cual manifiesta que la información solicitada se encuentra dentro de las atribuciones y facultades de la Dirección de Administración de conformidad con el artículo 78 del Bando Municipal 2025.</w:t>
      </w:r>
    </w:p>
    <w:p w:rsidR="001E51E4" w:rsidRPr="00E13872" w:rsidRDefault="001E51E4" w:rsidP="002C3557">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p>
    <w:p w:rsidR="001E51E4" w:rsidRPr="00E13872" w:rsidRDefault="001E51E4" w:rsidP="002C3557">
      <w:pPr>
        <w:pBdr>
          <w:top w:val="nil"/>
          <w:left w:val="nil"/>
          <w:bottom w:val="nil"/>
          <w:right w:val="nil"/>
          <w:between w:val="nil"/>
        </w:pBdr>
        <w:tabs>
          <w:tab w:val="left" w:pos="567"/>
        </w:tabs>
        <w:jc w:val="both"/>
        <w:rPr>
          <w:rFonts w:ascii="Palatino Linotype" w:eastAsia="Palatino Linotype" w:hAnsi="Palatino Linotype" w:cs="Palatino Linotype"/>
          <w:b/>
          <w:i/>
          <w:color w:val="000000" w:themeColor="text1"/>
        </w:rPr>
      </w:pPr>
      <w:r w:rsidRPr="00E13872">
        <w:rPr>
          <w:rFonts w:ascii="Palatino Linotype" w:eastAsia="Palatino Linotype" w:hAnsi="Palatino Linotype" w:cs="Palatino Linotype"/>
          <w:b/>
          <w:i/>
          <w:color w:val="000000" w:themeColor="text1"/>
        </w:rPr>
        <w:t>0139_RESP_UT_2025.pdf</w:t>
      </w:r>
    </w:p>
    <w:p w:rsidR="001E51E4" w:rsidRPr="00E13872" w:rsidRDefault="001E51E4" w:rsidP="002C3557">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Documento firmado por la Titular de la Unidad de Transparencia a través del cual informa que la solicitud fue turnada a los Servidores Públicos Habilitados de la Dirección de Administración y </w:t>
      </w:r>
      <w:r w:rsidR="00B003F6" w:rsidRPr="00E13872">
        <w:rPr>
          <w:rFonts w:ascii="Palatino Linotype" w:eastAsia="Palatino Linotype" w:hAnsi="Palatino Linotype" w:cs="Palatino Linotype"/>
          <w:color w:val="000000" w:themeColor="text1"/>
        </w:rPr>
        <w:t>Tesorería</w:t>
      </w:r>
      <w:r w:rsidRPr="00E13872">
        <w:rPr>
          <w:rFonts w:ascii="Palatino Linotype" w:eastAsia="Palatino Linotype" w:hAnsi="Palatino Linotype" w:cs="Palatino Linotype"/>
          <w:color w:val="000000" w:themeColor="text1"/>
        </w:rPr>
        <w:t xml:space="preserve"> Municipal</w:t>
      </w:r>
      <w:r w:rsidR="00B003F6" w:rsidRPr="00E13872">
        <w:rPr>
          <w:rFonts w:ascii="Palatino Linotype" w:eastAsia="Palatino Linotype" w:hAnsi="Palatino Linotype" w:cs="Palatino Linotype"/>
          <w:color w:val="000000" w:themeColor="text1"/>
        </w:rPr>
        <w:t>. Se adjuntan las respuestas emitidas por dichas unidades administrativas.</w:t>
      </w:r>
    </w:p>
    <w:p w:rsidR="00B003F6" w:rsidRPr="00E13872" w:rsidRDefault="00B003F6" w:rsidP="002C3557">
      <w:pPr>
        <w:pBdr>
          <w:top w:val="nil"/>
          <w:left w:val="nil"/>
          <w:bottom w:val="nil"/>
          <w:right w:val="nil"/>
          <w:between w:val="nil"/>
        </w:pBdr>
        <w:tabs>
          <w:tab w:val="left" w:pos="567"/>
        </w:tabs>
        <w:jc w:val="both"/>
        <w:rPr>
          <w:rFonts w:ascii="Palatino Linotype" w:eastAsia="Palatino Linotype" w:hAnsi="Palatino Linotype" w:cs="Palatino Linotype"/>
          <w:color w:val="000000" w:themeColor="text1"/>
        </w:rPr>
      </w:pPr>
    </w:p>
    <w:p w:rsidR="00A87A67" w:rsidRPr="00E13872" w:rsidRDefault="00A87A67" w:rsidP="002C3557">
      <w:pPr>
        <w:pBdr>
          <w:top w:val="nil"/>
          <w:left w:val="nil"/>
          <w:bottom w:val="nil"/>
          <w:right w:val="nil"/>
          <w:between w:val="nil"/>
        </w:pBdr>
        <w:tabs>
          <w:tab w:val="left" w:pos="567"/>
        </w:tabs>
        <w:jc w:val="both"/>
        <w:rPr>
          <w:rFonts w:ascii="Palatino Linotype" w:eastAsia="Palatino Linotype" w:hAnsi="Palatino Linotype" w:cs="Palatino Linotype"/>
          <w:b/>
          <w:color w:val="000000" w:themeColor="text1"/>
        </w:rPr>
      </w:pPr>
    </w:p>
    <w:p w:rsidR="0072148B" w:rsidRPr="00E13872" w:rsidRDefault="00A077F4" w:rsidP="002C3557">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El</w:t>
      </w:r>
      <w:r w:rsidRPr="00E13872">
        <w:rPr>
          <w:rFonts w:ascii="Palatino Linotype" w:eastAsia="Palatino Linotype" w:hAnsi="Palatino Linotype" w:cs="Palatino Linotype"/>
          <w:b/>
          <w:color w:val="000000" w:themeColor="text1"/>
        </w:rPr>
        <w:t xml:space="preserve"> </w:t>
      </w:r>
      <w:r w:rsidR="00790F83" w:rsidRPr="00E13872">
        <w:rPr>
          <w:rFonts w:ascii="Palatino Linotype" w:eastAsia="Palatino Linotype" w:hAnsi="Palatino Linotype" w:cs="Palatino Linotype"/>
          <w:b/>
          <w:color w:val="000000" w:themeColor="text1"/>
        </w:rPr>
        <w:t>dieciocho</w:t>
      </w:r>
      <w:r w:rsidR="00A42B65" w:rsidRPr="00E13872">
        <w:rPr>
          <w:rFonts w:ascii="Palatino Linotype" w:eastAsia="Palatino Linotype" w:hAnsi="Palatino Linotype" w:cs="Palatino Linotype"/>
          <w:b/>
          <w:color w:val="000000" w:themeColor="text1"/>
        </w:rPr>
        <w:t xml:space="preserve"> de marzo</w:t>
      </w:r>
      <w:r w:rsidRPr="00E13872">
        <w:rPr>
          <w:rFonts w:ascii="Palatino Linotype" w:eastAsia="Palatino Linotype" w:hAnsi="Palatino Linotype" w:cs="Palatino Linotype"/>
          <w:b/>
          <w:color w:val="000000" w:themeColor="text1"/>
        </w:rPr>
        <w:t xml:space="preserve"> de dos mil veinticinco</w:t>
      </w:r>
      <w:r w:rsidRPr="00E13872">
        <w:rPr>
          <w:rFonts w:ascii="Palatino Linotype" w:eastAsia="Palatino Linotype" w:hAnsi="Palatino Linotype" w:cs="Palatino Linotype"/>
          <w:color w:val="000000" w:themeColor="text1"/>
        </w:rPr>
        <w:t xml:space="preserve">, el particular interpuso </w:t>
      </w:r>
      <w:r w:rsidR="00E30A06" w:rsidRPr="00E13872">
        <w:rPr>
          <w:rFonts w:ascii="Palatino Linotype" w:eastAsia="Palatino Linotype" w:hAnsi="Palatino Linotype" w:cs="Palatino Linotype"/>
          <w:color w:val="000000" w:themeColor="text1"/>
        </w:rPr>
        <w:t xml:space="preserve">el </w:t>
      </w:r>
      <w:r w:rsidR="00E30A06" w:rsidRPr="00E13872">
        <w:rPr>
          <w:rFonts w:ascii="Palatino Linotype" w:eastAsia="Palatino Linotype" w:hAnsi="Palatino Linotype" w:cs="Palatino Linotype"/>
          <w:b/>
          <w:color w:val="000000" w:themeColor="text1"/>
        </w:rPr>
        <w:t>recurso</w:t>
      </w:r>
      <w:r w:rsidRPr="00E13872">
        <w:rPr>
          <w:rFonts w:ascii="Palatino Linotype" w:eastAsia="Palatino Linotype" w:hAnsi="Palatino Linotype" w:cs="Palatino Linotype"/>
          <w:b/>
          <w:color w:val="000000" w:themeColor="text1"/>
        </w:rPr>
        <w:t xml:space="preserve"> de revisión</w:t>
      </w:r>
      <w:r w:rsidRPr="00E13872">
        <w:rPr>
          <w:rFonts w:ascii="Palatino Linotype" w:eastAsia="Palatino Linotype" w:hAnsi="Palatino Linotype" w:cs="Palatino Linotype"/>
          <w:color w:val="000000" w:themeColor="text1"/>
        </w:rPr>
        <w:t xml:space="preserve"> a</w:t>
      </w:r>
      <w:r w:rsidR="00E30A06" w:rsidRPr="00E13872">
        <w:rPr>
          <w:rFonts w:ascii="Palatino Linotype" w:eastAsia="Palatino Linotype" w:hAnsi="Palatino Linotype" w:cs="Palatino Linotype"/>
          <w:color w:val="000000" w:themeColor="text1"/>
        </w:rPr>
        <w:t>l</w:t>
      </w:r>
      <w:r w:rsidRPr="00E13872">
        <w:rPr>
          <w:rFonts w:ascii="Palatino Linotype" w:eastAsia="Palatino Linotype" w:hAnsi="Palatino Linotype" w:cs="Palatino Linotype"/>
          <w:color w:val="000000" w:themeColor="text1"/>
        </w:rPr>
        <w:t xml:space="preserve"> </w:t>
      </w:r>
      <w:r w:rsidR="00E30A06" w:rsidRPr="00E13872">
        <w:rPr>
          <w:rFonts w:ascii="Palatino Linotype" w:eastAsia="Palatino Linotype" w:hAnsi="Palatino Linotype" w:cs="Palatino Linotype"/>
          <w:color w:val="000000" w:themeColor="text1"/>
        </w:rPr>
        <w:t>que se le</w:t>
      </w:r>
      <w:r w:rsidRPr="00E13872">
        <w:rPr>
          <w:rFonts w:ascii="Palatino Linotype" w:eastAsia="Palatino Linotype" w:hAnsi="Palatino Linotype" w:cs="Palatino Linotype"/>
          <w:color w:val="000000" w:themeColor="text1"/>
        </w:rPr>
        <w:t xml:space="preserve"> </w:t>
      </w:r>
      <w:r w:rsidR="00E30A06" w:rsidRPr="00E13872">
        <w:rPr>
          <w:rFonts w:ascii="Palatino Linotype" w:eastAsia="Palatino Linotype" w:hAnsi="Palatino Linotype" w:cs="Palatino Linotype"/>
          <w:color w:val="000000" w:themeColor="text1"/>
        </w:rPr>
        <w:t>asignó</w:t>
      </w:r>
      <w:r w:rsidRPr="00E13872">
        <w:rPr>
          <w:rFonts w:ascii="Palatino Linotype" w:eastAsia="Palatino Linotype" w:hAnsi="Palatino Linotype" w:cs="Palatino Linotype"/>
          <w:color w:val="000000" w:themeColor="text1"/>
        </w:rPr>
        <w:t xml:space="preserve"> </w:t>
      </w:r>
      <w:r w:rsidR="00E30A06" w:rsidRPr="00E13872">
        <w:rPr>
          <w:rFonts w:ascii="Palatino Linotype" w:eastAsia="Palatino Linotype" w:hAnsi="Palatino Linotype" w:cs="Palatino Linotype"/>
          <w:color w:val="000000" w:themeColor="text1"/>
        </w:rPr>
        <w:t>el folio</w:t>
      </w:r>
      <w:r w:rsidRPr="00E13872">
        <w:rPr>
          <w:rFonts w:ascii="Palatino Linotype" w:eastAsia="Palatino Linotype" w:hAnsi="Palatino Linotype" w:cs="Palatino Linotype"/>
          <w:color w:val="000000" w:themeColor="text1"/>
        </w:rPr>
        <w:t xml:space="preserve"> </w:t>
      </w:r>
      <w:r w:rsidR="00790F83" w:rsidRPr="00E13872">
        <w:rPr>
          <w:rFonts w:ascii="Palatino Linotype" w:eastAsia="Palatino Linotype" w:hAnsi="Palatino Linotype" w:cs="Palatino Linotype"/>
          <w:b/>
          <w:color w:val="000000" w:themeColor="text1"/>
        </w:rPr>
        <w:t>03098</w:t>
      </w:r>
      <w:r w:rsidR="00E30A06" w:rsidRPr="00E13872">
        <w:rPr>
          <w:rFonts w:ascii="Palatino Linotype" w:eastAsia="Palatino Linotype" w:hAnsi="Palatino Linotype" w:cs="Palatino Linotype"/>
          <w:b/>
          <w:color w:val="000000" w:themeColor="text1"/>
        </w:rPr>
        <w:t>/INFOEM/IP/RR/2025</w:t>
      </w:r>
      <w:r w:rsidRPr="00E13872">
        <w:rPr>
          <w:rFonts w:ascii="Palatino Linotype" w:eastAsia="Palatino Linotype" w:hAnsi="Palatino Linotype" w:cs="Palatino Linotype"/>
          <w:b/>
          <w:color w:val="000000" w:themeColor="text1"/>
        </w:rPr>
        <w:t xml:space="preserve"> </w:t>
      </w:r>
      <w:r w:rsidRPr="00E13872">
        <w:rPr>
          <w:rFonts w:ascii="Palatino Linotype" w:eastAsia="Palatino Linotype" w:hAnsi="Palatino Linotype" w:cs="Palatino Linotype"/>
          <w:color w:val="000000" w:themeColor="text1"/>
        </w:rPr>
        <w:t xml:space="preserve">en contra de </w:t>
      </w:r>
      <w:r w:rsidR="00E30A06" w:rsidRPr="00E13872">
        <w:rPr>
          <w:rFonts w:ascii="Palatino Linotype" w:eastAsia="Palatino Linotype" w:hAnsi="Palatino Linotype" w:cs="Palatino Linotype"/>
          <w:color w:val="000000" w:themeColor="text1"/>
        </w:rPr>
        <w:t>la respuesta emitida</w:t>
      </w:r>
      <w:r w:rsidRPr="00E13872">
        <w:rPr>
          <w:rFonts w:ascii="Palatino Linotype" w:eastAsia="Palatino Linotype" w:hAnsi="Palatino Linotype" w:cs="Palatino Linotype"/>
          <w:color w:val="000000" w:themeColor="text1"/>
        </w:rPr>
        <w:t xml:space="preserve"> por el sujeto obligado, realizando las siguientes manifestaciones como acto impugnado y razones o motivos de inconformidad:</w:t>
      </w:r>
    </w:p>
    <w:p w:rsidR="0033402D" w:rsidRPr="00E13872" w:rsidRDefault="0033402D" w:rsidP="002C3557">
      <w:pPr>
        <w:pBdr>
          <w:top w:val="nil"/>
          <w:left w:val="nil"/>
          <w:bottom w:val="nil"/>
          <w:right w:val="nil"/>
          <w:between w:val="nil"/>
        </w:pBdr>
        <w:tabs>
          <w:tab w:val="left" w:pos="0"/>
        </w:tabs>
        <w:jc w:val="both"/>
        <w:rPr>
          <w:rFonts w:ascii="Palatino Linotype" w:eastAsia="Palatino Linotype" w:hAnsi="Palatino Linotype" w:cs="Palatino Linotype"/>
          <w:color w:val="000000" w:themeColor="text1"/>
        </w:rPr>
      </w:pPr>
    </w:p>
    <w:p w:rsidR="0072148B" w:rsidRPr="006A1BDE" w:rsidRDefault="00A077F4" w:rsidP="006A1BDE">
      <w:pPr>
        <w:pStyle w:val="Prrafodelista"/>
        <w:numPr>
          <w:ilvl w:val="0"/>
          <w:numId w:val="10"/>
        </w:numPr>
        <w:pBdr>
          <w:top w:val="nil"/>
          <w:left w:val="nil"/>
          <w:bottom w:val="nil"/>
          <w:right w:val="nil"/>
          <w:between w:val="nil"/>
        </w:pBdr>
        <w:jc w:val="both"/>
        <w:rPr>
          <w:rFonts w:ascii="Palatino Linotype" w:eastAsia="Palatino Linotype" w:hAnsi="Palatino Linotype" w:cs="Palatino Linotype"/>
          <w:i/>
          <w:color w:val="000000" w:themeColor="text1"/>
        </w:rPr>
      </w:pPr>
      <w:bookmarkStart w:id="2" w:name="_heading=h.30j0zll" w:colFirst="0" w:colLast="0"/>
      <w:bookmarkEnd w:id="2"/>
      <w:r w:rsidRPr="006A1BDE">
        <w:rPr>
          <w:rFonts w:ascii="Palatino Linotype" w:eastAsia="Palatino Linotype" w:hAnsi="Palatino Linotype" w:cs="Palatino Linotype"/>
          <w:b/>
          <w:color w:val="000000" w:themeColor="text1"/>
        </w:rPr>
        <w:t xml:space="preserve">Acto impugnado: </w:t>
      </w:r>
      <w:r w:rsidRPr="006A1BDE">
        <w:rPr>
          <w:rFonts w:ascii="Palatino Linotype" w:eastAsia="Palatino Linotype" w:hAnsi="Palatino Linotype" w:cs="Palatino Linotype"/>
          <w:i/>
          <w:color w:val="000000" w:themeColor="text1"/>
        </w:rPr>
        <w:t>“</w:t>
      </w:r>
      <w:r w:rsidR="00790F83" w:rsidRPr="006A1BDE">
        <w:rPr>
          <w:rFonts w:ascii="Palatino Linotype" w:eastAsia="Palatino Linotype" w:hAnsi="Palatino Linotype" w:cs="Palatino Linotype"/>
          <w:i/>
          <w:color w:val="000000" w:themeColor="text1"/>
        </w:rPr>
        <w:t>No dan información</w:t>
      </w:r>
      <w:r w:rsidRPr="006A1BDE">
        <w:rPr>
          <w:rFonts w:ascii="Palatino Linotype" w:eastAsia="Palatino Linotype" w:hAnsi="Palatino Linotype" w:cs="Palatino Linotype"/>
          <w:i/>
          <w:color w:val="000000" w:themeColor="text1"/>
        </w:rPr>
        <w:t>” (Sic)</w:t>
      </w:r>
    </w:p>
    <w:p w:rsidR="0072148B" w:rsidRPr="00E13872" w:rsidRDefault="0072148B" w:rsidP="002C3557">
      <w:pPr>
        <w:pBdr>
          <w:top w:val="nil"/>
          <w:left w:val="nil"/>
          <w:bottom w:val="nil"/>
          <w:right w:val="nil"/>
          <w:between w:val="nil"/>
        </w:pBdr>
        <w:jc w:val="both"/>
        <w:rPr>
          <w:rFonts w:ascii="Palatino Linotype" w:eastAsia="Palatino Linotype" w:hAnsi="Palatino Linotype" w:cs="Palatino Linotype"/>
          <w:i/>
          <w:color w:val="000000" w:themeColor="text1"/>
        </w:rPr>
      </w:pPr>
    </w:p>
    <w:p w:rsidR="0072148B" w:rsidRPr="006A1BDE" w:rsidRDefault="00A077F4" w:rsidP="006A1BDE">
      <w:pPr>
        <w:pStyle w:val="Prrafodelista"/>
        <w:numPr>
          <w:ilvl w:val="0"/>
          <w:numId w:val="10"/>
        </w:numPr>
        <w:pBdr>
          <w:top w:val="nil"/>
          <w:left w:val="nil"/>
          <w:bottom w:val="nil"/>
          <w:right w:val="nil"/>
          <w:between w:val="nil"/>
        </w:pBdr>
        <w:jc w:val="both"/>
        <w:rPr>
          <w:rFonts w:ascii="Palatino Linotype" w:eastAsia="Palatino Linotype" w:hAnsi="Palatino Linotype" w:cs="Palatino Linotype"/>
          <w:i/>
          <w:color w:val="000000" w:themeColor="text1"/>
        </w:rPr>
      </w:pPr>
      <w:bookmarkStart w:id="3" w:name="_heading=h.1fob9te" w:colFirst="0" w:colLast="0"/>
      <w:bookmarkEnd w:id="3"/>
      <w:r w:rsidRPr="006A1BDE">
        <w:rPr>
          <w:rFonts w:ascii="Palatino Linotype" w:eastAsia="Palatino Linotype" w:hAnsi="Palatino Linotype" w:cs="Palatino Linotype"/>
          <w:b/>
          <w:color w:val="000000" w:themeColor="text1"/>
        </w:rPr>
        <w:t xml:space="preserve">Razones o Motivos de inconformidad: </w:t>
      </w:r>
      <w:r w:rsidRPr="006A1BDE">
        <w:rPr>
          <w:rFonts w:ascii="Palatino Linotype" w:eastAsia="Palatino Linotype" w:hAnsi="Palatino Linotype" w:cs="Palatino Linotype"/>
          <w:i/>
          <w:color w:val="000000" w:themeColor="text1"/>
        </w:rPr>
        <w:t>“</w:t>
      </w:r>
      <w:r w:rsidR="00790F83" w:rsidRPr="006A1BDE">
        <w:rPr>
          <w:rFonts w:ascii="Palatino Linotype" w:eastAsia="Palatino Linotype" w:hAnsi="Palatino Linotype" w:cs="Palatino Linotype"/>
          <w:i/>
          <w:color w:val="000000" w:themeColor="text1"/>
        </w:rPr>
        <w:t>No dan información</w:t>
      </w:r>
      <w:r w:rsidRPr="006A1BDE">
        <w:rPr>
          <w:rFonts w:ascii="Palatino Linotype" w:eastAsia="Palatino Linotype" w:hAnsi="Palatino Linotype" w:cs="Palatino Linotype"/>
          <w:i/>
          <w:color w:val="000000" w:themeColor="text1"/>
        </w:rPr>
        <w:t xml:space="preserve">” </w:t>
      </w:r>
      <w:r w:rsidRPr="006A1BDE">
        <w:rPr>
          <w:rFonts w:ascii="Palatino Linotype" w:eastAsia="Palatino Linotype" w:hAnsi="Palatino Linotype" w:cs="Palatino Linotype"/>
          <w:color w:val="000000" w:themeColor="text1"/>
        </w:rPr>
        <w:t>(Sic)</w:t>
      </w:r>
    </w:p>
    <w:p w:rsidR="0072148B" w:rsidRPr="00E13872" w:rsidRDefault="0072148B" w:rsidP="002C3557">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u w:val="single"/>
        </w:rPr>
      </w:pPr>
    </w:p>
    <w:p w:rsidR="0072148B" w:rsidRPr="00E13872" w:rsidRDefault="006C72E8" w:rsidP="002C3557">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lastRenderedPageBreak/>
        <w:t>La Comisionada Ponente</w:t>
      </w:r>
      <w:r w:rsidR="00A077F4" w:rsidRPr="00E13872">
        <w:rPr>
          <w:rFonts w:ascii="Palatino Linotype" w:eastAsia="Palatino Linotype" w:hAnsi="Palatino Linotype" w:cs="Palatino Linotype"/>
          <w:color w:val="000000" w:themeColor="text1"/>
        </w:rPr>
        <w:t xml:space="preserve"> con fundamento en lo dispuesto por el artículo 185, fracción II, de la ley de la materia, a través </w:t>
      </w:r>
      <w:r w:rsidRPr="00E13872">
        <w:rPr>
          <w:rFonts w:ascii="Palatino Linotype" w:eastAsia="Palatino Linotype" w:hAnsi="Palatino Linotype" w:cs="Palatino Linotype"/>
          <w:color w:val="000000" w:themeColor="text1"/>
        </w:rPr>
        <w:t>del</w:t>
      </w:r>
      <w:r w:rsidR="00A077F4" w:rsidRPr="00E13872">
        <w:rPr>
          <w:rFonts w:ascii="Palatino Linotype" w:eastAsia="Palatino Linotype" w:hAnsi="Palatino Linotype" w:cs="Palatino Linotype"/>
          <w:color w:val="000000" w:themeColor="text1"/>
        </w:rPr>
        <w:t xml:space="preserve"> </w:t>
      </w:r>
      <w:r w:rsidRPr="00E13872">
        <w:rPr>
          <w:rFonts w:ascii="Palatino Linotype" w:eastAsia="Palatino Linotype" w:hAnsi="Palatino Linotype" w:cs="Palatino Linotype"/>
          <w:b/>
          <w:color w:val="000000" w:themeColor="text1"/>
        </w:rPr>
        <w:t>acuerdo</w:t>
      </w:r>
      <w:r w:rsidR="00A077F4" w:rsidRPr="00E13872">
        <w:rPr>
          <w:rFonts w:ascii="Palatino Linotype" w:eastAsia="Palatino Linotype" w:hAnsi="Palatino Linotype" w:cs="Palatino Linotype"/>
          <w:b/>
          <w:color w:val="000000" w:themeColor="text1"/>
        </w:rPr>
        <w:t xml:space="preserve"> de admisión </w:t>
      </w:r>
      <w:r w:rsidRPr="00E13872">
        <w:rPr>
          <w:rFonts w:ascii="Palatino Linotype" w:eastAsia="Palatino Linotype" w:hAnsi="Palatino Linotype" w:cs="Palatino Linotype"/>
          <w:color w:val="000000" w:themeColor="text1"/>
        </w:rPr>
        <w:t>de fecha</w:t>
      </w:r>
      <w:r w:rsidR="00A077F4" w:rsidRPr="00E13872">
        <w:rPr>
          <w:rFonts w:ascii="Palatino Linotype" w:eastAsia="Palatino Linotype" w:hAnsi="Palatino Linotype" w:cs="Palatino Linotype"/>
          <w:color w:val="000000" w:themeColor="text1"/>
        </w:rPr>
        <w:t xml:space="preserve"> </w:t>
      </w:r>
      <w:r w:rsidR="00DB69D1" w:rsidRPr="00E13872">
        <w:rPr>
          <w:rFonts w:ascii="Palatino Linotype" w:eastAsia="Palatino Linotype" w:hAnsi="Palatino Linotype" w:cs="Palatino Linotype"/>
          <w:b/>
          <w:color w:val="000000" w:themeColor="text1"/>
        </w:rPr>
        <w:t>dieciocho</w:t>
      </w:r>
      <w:r w:rsidR="00BB0B24" w:rsidRPr="00E13872">
        <w:rPr>
          <w:rFonts w:ascii="Palatino Linotype" w:eastAsia="Palatino Linotype" w:hAnsi="Palatino Linotype" w:cs="Palatino Linotype"/>
          <w:b/>
          <w:color w:val="000000" w:themeColor="text1"/>
        </w:rPr>
        <w:t xml:space="preserve"> de marzo</w:t>
      </w:r>
      <w:r w:rsidR="00A077F4" w:rsidRPr="00E13872">
        <w:rPr>
          <w:rFonts w:ascii="Palatino Linotype" w:eastAsia="Palatino Linotype" w:hAnsi="Palatino Linotype" w:cs="Palatino Linotype"/>
          <w:b/>
          <w:color w:val="000000" w:themeColor="text1"/>
        </w:rPr>
        <w:t xml:space="preserve"> dos mil veinticinco, </w:t>
      </w:r>
      <w:r w:rsidRPr="00E13872">
        <w:rPr>
          <w:rFonts w:ascii="Palatino Linotype" w:eastAsia="Palatino Linotype" w:hAnsi="Palatino Linotype" w:cs="Palatino Linotype"/>
          <w:color w:val="000000" w:themeColor="text1"/>
        </w:rPr>
        <w:t>puso</w:t>
      </w:r>
      <w:r w:rsidR="00A077F4" w:rsidRPr="00E13872">
        <w:rPr>
          <w:rFonts w:ascii="Palatino Linotype" w:eastAsia="Palatino Linotype" w:hAnsi="Palatino Linotype" w:cs="Palatino Linotype"/>
          <w:color w:val="000000" w:themeColor="text1"/>
        </w:rPr>
        <w:t xml:space="preserve"> a disposición de las partes el expediente electrónico vía SAIMEX a efecto de que en un plazo máximo de siete días manifestara lo que a su derecho conviniera, ofreciera pruebas y alegatos según corresponda al caso concreto, de esta forma para que el </w:t>
      </w:r>
      <w:r w:rsidR="00A077F4" w:rsidRPr="00E13872">
        <w:rPr>
          <w:rFonts w:ascii="Palatino Linotype" w:eastAsia="Palatino Linotype" w:hAnsi="Palatino Linotype" w:cs="Palatino Linotype"/>
          <w:b/>
          <w:color w:val="000000" w:themeColor="text1"/>
        </w:rPr>
        <w:t xml:space="preserve">SUJETO OBLIGADO </w:t>
      </w:r>
      <w:r w:rsidR="00A077F4" w:rsidRPr="00E13872">
        <w:rPr>
          <w:rFonts w:ascii="Palatino Linotype" w:eastAsia="Palatino Linotype" w:hAnsi="Palatino Linotype" w:cs="Palatino Linotype"/>
          <w:color w:val="000000" w:themeColor="text1"/>
        </w:rPr>
        <w:t>presentara el Informe Justificado procedente.</w:t>
      </w:r>
    </w:p>
    <w:p w:rsidR="004E0AFD" w:rsidRPr="00E13872" w:rsidRDefault="004E0AFD" w:rsidP="002C3557">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4E0AFD" w:rsidRPr="00E13872" w:rsidRDefault="004E0AFD" w:rsidP="002C355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El Recurrente</w:t>
      </w:r>
      <w:r w:rsidRPr="00E13872">
        <w:rPr>
          <w:rFonts w:ascii="Palatino Linotype" w:eastAsia="Palatino Linotype" w:hAnsi="Palatino Linotype" w:cs="Palatino Linotype"/>
          <w:b/>
          <w:color w:val="000000" w:themeColor="text1"/>
        </w:rPr>
        <w:t xml:space="preserve"> </w:t>
      </w:r>
      <w:r w:rsidRPr="00E13872">
        <w:rPr>
          <w:rFonts w:ascii="Palatino Linotype" w:eastAsia="Palatino Linotype" w:hAnsi="Palatino Linotype" w:cs="Palatino Linotype"/>
          <w:color w:val="000000" w:themeColor="text1"/>
        </w:rPr>
        <w:t>dejó de realizar manifestaciones que a su derecho conviniera y asistiera. Por su parte, el Sujeto Obligado,</w:t>
      </w:r>
      <w:r w:rsidRPr="00E13872">
        <w:rPr>
          <w:rFonts w:ascii="Palatino Linotype" w:eastAsia="Palatino Linotype" w:hAnsi="Palatino Linotype" w:cs="Palatino Linotype"/>
          <w:b/>
          <w:color w:val="000000" w:themeColor="text1"/>
        </w:rPr>
        <w:t xml:space="preserve"> </w:t>
      </w:r>
      <w:r w:rsidRPr="00E13872">
        <w:rPr>
          <w:rFonts w:ascii="Palatino Linotype" w:eastAsia="Palatino Linotype" w:hAnsi="Palatino Linotype" w:cs="Palatino Linotype"/>
          <w:color w:val="000000" w:themeColor="text1"/>
        </w:rPr>
        <w:t>el</w:t>
      </w:r>
      <w:r w:rsidRPr="00E13872">
        <w:rPr>
          <w:rFonts w:ascii="Palatino Linotype" w:eastAsia="Palatino Linotype" w:hAnsi="Palatino Linotype" w:cs="Palatino Linotype"/>
          <w:b/>
          <w:color w:val="000000" w:themeColor="text1"/>
        </w:rPr>
        <w:t xml:space="preserve"> </w:t>
      </w:r>
      <w:r w:rsidR="00DB69D1" w:rsidRPr="00E13872">
        <w:rPr>
          <w:rFonts w:ascii="Palatino Linotype" w:eastAsia="Palatino Linotype" w:hAnsi="Palatino Linotype" w:cs="Palatino Linotype"/>
          <w:b/>
          <w:color w:val="000000" w:themeColor="text1"/>
        </w:rPr>
        <w:t>veintisiete</w:t>
      </w:r>
      <w:r w:rsidR="006D1845" w:rsidRPr="00E13872">
        <w:rPr>
          <w:rFonts w:ascii="Palatino Linotype" w:eastAsia="Palatino Linotype" w:hAnsi="Palatino Linotype" w:cs="Palatino Linotype"/>
          <w:b/>
          <w:color w:val="000000" w:themeColor="text1"/>
        </w:rPr>
        <w:t xml:space="preserve"> de marzo</w:t>
      </w:r>
      <w:r w:rsidRPr="00E13872">
        <w:rPr>
          <w:rFonts w:ascii="Palatino Linotype" w:eastAsia="Palatino Linotype" w:hAnsi="Palatino Linotype" w:cs="Palatino Linotype"/>
          <w:b/>
          <w:color w:val="000000" w:themeColor="text1"/>
        </w:rPr>
        <w:t xml:space="preserve"> de dos mil veinticinco </w:t>
      </w:r>
      <w:r w:rsidR="00F26E84" w:rsidRPr="00E13872">
        <w:rPr>
          <w:rFonts w:ascii="Palatino Linotype" w:eastAsia="Palatino Linotype" w:hAnsi="Palatino Linotype" w:cs="Palatino Linotype"/>
          <w:color w:val="000000" w:themeColor="text1"/>
        </w:rPr>
        <w:t>presentó informe</w:t>
      </w:r>
      <w:r w:rsidR="00BB0B24" w:rsidRPr="00E13872">
        <w:rPr>
          <w:rFonts w:ascii="Palatino Linotype" w:eastAsia="Palatino Linotype" w:hAnsi="Palatino Linotype" w:cs="Palatino Linotype"/>
          <w:color w:val="000000" w:themeColor="text1"/>
        </w:rPr>
        <w:t xml:space="preserve"> justificado</w:t>
      </w:r>
      <w:r w:rsidR="000A0F74" w:rsidRPr="00E13872">
        <w:rPr>
          <w:rFonts w:ascii="Palatino Linotype" w:eastAsia="Palatino Linotype" w:hAnsi="Palatino Linotype" w:cs="Palatino Linotype"/>
          <w:color w:val="000000" w:themeColor="text1"/>
        </w:rPr>
        <w:t xml:space="preserve"> a través del archivo digital </w:t>
      </w:r>
      <w:r w:rsidRPr="00E13872">
        <w:rPr>
          <w:rFonts w:ascii="Palatino Linotype" w:eastAsia="Palatino Linotype" w:hAnsi="Palatino Linotype" w:cs="Palatino Linotype"/>
          <w:color w:val="000000" w:themeColor="text1"/>
        </w:rPr>
        <w:t xml:space="preserve">siguiente: </w:t>
      </w:r>
    </w:p>
    <w:p w:rsidR="004E0AFD" w:rsidRPr="00E13872" w:rsidRDefault="004E0AFD" w:rsidP="002C3557">
      <w:pPr>
        <w:pBdr>
          <w:top w:val="nil"/>
          <w:left w:val="nil"/>
          <w:bottom w:val="nil"/>
          <w:right w:val="nil"/>
          <w:between w:val="nil"/>
        </w:pBdr>
        <w:jc w:val="both"/>
        <w:rPr>
          <w:rFonts w:ascii="Palatino Linotype" w:eastAsia="Palatino Linotype" w:hAnsi="Palatino Linotype" w:cs="Palatino Linotype"/>
          <w:b/>
          <w:color w:val="000000" w:themeColor="text1"/>
        </w:rPr>
      </w:pPr>
    </w:p>
    <w:p w:rsidR="00451CF4" w:rsidRPr="00E13872" w:rsidRDefault="007F1CC8" w:rsidP="002C3557">
      <w:pPr>
        <w:pBdr>
          <w:top w:val="nil"/>
          <w:left w:val="nil"/>
          <w:bottom w:val="nil"/>
          <w:right w:val="nil"/>
          <w:between w:val="nil"/>
        </w:pBdr>
        <w:ind w:firstLine="10"/>
        <w:jc w:val="both"/>
        <w:rPr>
          <w:rFonts w:ascii="Palatino Linotype" w:eastAsia="Palatino Linotype" w:hAnsi="Palatino Linotype" w:cs="Palatino Linotype"/>
          <w:b/>
          <w:i/>
          <w:color w:val="000000" w:themeColor="text1"/>
        </w:rPr>
      </w:pPr>
      <w:r w:rsidRPr="00E13872">
        <w:rPr>
          <w:rFonts w:ascii="Palatino Linotype" w:eastAsia="Palatino Linotype" w:hAnsi="Palatino Linotype" w:cs="Palatino Linotype"/>
          <w:b/>
          <w:i/>
          <w:color w:val="000000" w:themeColor="text1"/>
        </w:rPr>
        <w:tab/>
      </w:r>
      <w:r w:rsidR="00790F83" w:rsidRPr="00E13872">
        <w:rPr>
          <w:rFonts w:ascii="Palatino Linotype" w:eastAsia="Palatino Linotype" w:hAnsi="Palatino Linotype" w:cs="Palatino Linotype"/>
          <w:b/>
          <w:i/>
          <w:color w:val="000000" w:themeColor="text1"/>
        </w:rPr>
        <w:t>03098_RR_IFJ_2025.pdf</w:t>
      </w:r>
    </w:p>
    <w:p w:rsidR="00790F83" w:rsidRPr="00E13872" w:rsidRDefault="00790F83" w:rsidP="002C3557">
      <w:pPr>
        <w:pBdr>
          <w:top w:val="nil"/>
          <w:left w:val="nil"/>
          <w:bottom w:val="nil"/>
          <w:right w:val="nil"/>
          <w:between w:val="nil"/>
        </w:pBdr>
        <w:ind w:firstLine="1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Documento firmado por la Titular de la Unidad de Transparencia a través del cual rinde informe justificado en los siguientes términos:</w:t>
      </w:r>
    </w:p>
    <w:p w:rsidR="00790F83" w:rsidRPr="00E13872" w:rsidRDefault="00790F83" w:rsidP="002C3557">
      <w:pPr>
        <w:pBdr>
          <w:top w:val="nil"/>
          <w:left w:val="nil"/>
          <w:bottom w:val="nil"/>
          <w:right w:val="nil"/>
          <w:between w:val="nil"/>
        </w:pBdr>
        <w:ind w:firstLine="1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La Tesorería Municipal ratifica su respuesta inicial.</w:t>
      </w:r>
    </w:p>
    <w:p w:rsidR="00790F83" w:rsidRPr="00E13872" w:rsidRDefault="00790F83" w:rsidP="002C3557">
      <w:pPr>
        <w:pBdr>
          <w:top w:val="nil"/>
          <w:left w:val="nil"/>
          <w:bottom w:val="nil"/>
          <w:right w:val="nil"/>
          <w:between w:val="nil"/>
        </w:pBdr>
        <w:ind w:firstLine="1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La Dirección de Administración re mite la siguiente información:</w:t>
      </w:r>
    </w:p>
    <w:p w:rsidR="00790F83" w:rsidRPr="00E13872" w:rsidRDefault="00790F83" w:rsidP="006A1BDE">
      <w:pPr>
        <w:pStyle w:val="Prrafodelista"/>
        <w:numPr>
          <w:ilvl w:val="0"/>
          <w:numId w:val="8"/>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b/>
          <w:color w:val="000000" w:themeColor="text1"/>
        </w:rPr>
        <w:t>Compras y requerimientos</w:t>
      </w:r>
      <w:r w:rsidRPr="00E13872">
        <w:rPr>
          <w:rFonts w:ascii="Palatino Linotype" w:eastAsia="Palatino Linotype" w:hAnsi="Palatino Linotype" w:cs="Palatino Linotype"/>
          <w:color w:val="000000" w:themeColor="text1"/>
        </w:rPr>
        <w:t>: Por lo que respecta a estos puntos, la Dirección de Administración remite la información referente a las requisiciones, solicitadas por diversas áreas de este Sujeto Obligado, dando cumplimiento al punto de la solicitud de información, en virtud de que en las documentales reflejan las compras realizadas en enero del 2025.</w:t>
      </w:r>
    </w:p>
    <w:p w:rsidR="00790F83" w:rsidRPr="00E13872" w:rsidRDefault="00790F83" w:rsidP="006A1BDE">
      <w:pPr>
        <w:pStyle w:val="Prrafodelista"/>
        <w:numPr>
          <w:ilvl w:val="0"/>
          <w:numId w:val="8"/>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b/>
          <w:color w:val="000000" w:themeColor="text1"/>
        </w:rPr>
        <w:t>Documentos que comprueben las compras de enero 2025</w:t>
      </w:r>
      <w:r w:rsidRPr="00E13872">
        <w:rPr>
          <w:rFonts w:ascii="Palatino Linotype" w:eastAsia="Palatino Linotype" w:hAnsi="Palatino Linotype" w:cs="Palatino Linotype"/>
          <w:color w:val="000000" w:themeColor="text1"/>
        </w:rPr>
        <w:t>: Para este punto, el área refiere que de manera enunciativa más no limitativa, las requisiciones que remiten forman parte del expediente que comprueban las compras realizadas en el periodo solicitado, en virtud de que las mismas fueron autorizadas, tal y como se puede visualizar en la parte inferior de dichas documentales, por lo cual en sentido estricto, las requisiciones dan por colmado dicho punto de su solicitud de información. Asimismo hace la precisión que por lo que respecta a las Facturas, documento que también pueden colmar la pretensión del hoy Recurrente, las mismas se encuentran en proceso de facturación, es decir, no obran en los archi</w:t>
      </w:r>
      <w:r w:rsidR="00D4443C" w:rsidRPr="00E13872">
        <w:rPr>
          <w:rFonts w:ascii="Palatino Linotype" w:eastAsia="Palatino Linotype" w:hAnsi="Palatino Linotype" w:cs="Palatino Linotype"/>
          <w:color w:val="000000" w:themeColor="text1"/>
        </w:rPr>
        <w:t>vos de la Unidad Administrativa…</w:t>
      </w:r>
    </w:p>
    <w:p w:rsidR="00995B5D" w:rsidRPr="00E13872" w:rsidRDefault="00995B5D" w:rsidP="002C3557">
      <w:pPr>
        <w:pBdr>
          <w:top w:val="nil"/>
          <w:left w:val="nil"/>
          <w:bottom w:val="nil"/>
          <w:right w:val="nil"/>
          <w:between w:val="nil"/>
        </w:pBdr>
        <w:jc w:val="both"/>
        <w:rPr>
          <w:rFonts w:ascii="Palatino Linotype" w:eastAsia="Palatino Linotype" w:hAnsi="Palatino Linotype" w:cs="Palatino Linotype"/>
          <w:color w:val="000000" w:themeColor="text1"/>
        </w:rPr>
      </w:pPr>
    </w:p>
    <w:p w:rsidR="00995B5D" w:rsidRPr="00E13872" w:rsidRDefault="00995B5D" w:rsidP="002C3557">
      <w:pPr>
        <w:pBdr>
          <w:top w:val="nil"/>
          <w:left w:val="nil"/>
          <w:bottom w:val="nil"/>
          <w:right w:val="nil"/>
          <w:between w:val="nil"/>
        </w:pBdr>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lastRenderedPageBreak/>
        <w:t>Señalando que se complementa la respuesta inicial remitiendo las requisiciones de la temporalidad solicitada.</w:t>
      </w:r>
    </w:p>
    <w:p w:rsidR="00790F83" w:rsidRPr="00E13872" w:rsidRDefault="00790F83" w:rsidP="002C3557">
      <w:pPr>
        <w:pBdr>
          <w:top w:val="nil"/>
          <w:left w:val="nil"/>
          <w:bottom w:val="nil"/>
          <w:right w:val="nil"/>
          <w:between w:val="nil"/>
        </w:pBdr>
        <w:ind w:firstLine="10"/>
        <w:jc w:val="both"/>
        <w:rPr>
          <w:rFonts w:ascii="Palatino Linotype" w:eastAsia="Palatino Linotype" w:hAnsi="Palatino Linotype" w:cs="Palatino Linotype"/>
          <w:b/>
          <w:i/>
          <w:color w:val="000000" w:themeColor="text1"/>
        </w:rPr>
      </w:pPr>
    </w:p>
    <w:p w:rsidR="00932276" w:rsidRPr="00E13872" w:rsidRDefault="00790F83" w:rsidP="002C3557">
      <w:pPr>
        <w:pBdr>
          <w:top w:val="nil"/>
          <w:left w:val="nil"/>
          <w:bottom w:val="nil"/>
          <w:right w:val="nil"/>
          <w:between w:val="nil"/>
        </w:pBdr>
        <w:ind w:firstLine="10"/>
        <w:jc w:val="both"/>
        <w:rPr>
          <w:rFonts w:ascii="Palatino Linotype" w:eastAsia="Palatino Linotype" w:hAnsi="Palatino Linotype" w:cs="Palatino Linotype"/>
          <w:b/>
          <w:i/>
          <w:color w:val="000000" w:themeColor="text1"/>
        </w:rPr>
      </w:pPr>
      <w:r w:rsidRPr="00E13872">
        <w:rPr>
          <w:rFonts w:ascii="Palatino Linotype" w:eastAsia="Palatino Linotype" w:hAnsi="Palatino Linotype" w:cs="Palatino Linotype"/>
          <w:b/>
          <w:i/>
          <w:color w:val="000000" w:themeColor="text1"/>
        </w:rPr>
        <w:t>3098_RR_ANEXOS_ADMON.pdf</w:t>
      </w:r>
    </w:p>
    <w:p w:rsidR="00932276" w:rsidRPr="00E13872" w:rsidRDefault="00932276" w:rsidP="002C3557">
      <w:pPr>
        <w:pBdr>
          <w:top w:val="nil"/>
          <w:left w:val="nil"/>
          <w:bottom w:val="nil"/>
          <w:right w:val="nil"/>
          <w:between w:val="nil"/>
        </w:pBdr>
        <w:ind w:firstLine="1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Documento que contiene 27 solicitudes de requisición mismas que muestran distintos datos, entre ellos los </w:t>
      </w:r>
      <w:r w:rsidR="00FE1EB8" w:rsidRPr="00E13872">
        <w:rPr>
          <w:rFonts w:ascii="Palatino Linotype" w:eastAsia="Palatino Linotype" w:hAnsi="Palatino Linotype" w:cs="Palatino Linotype"/>
          <w:color w:val="000000" w:themeColor="text1"/>
        </w:rPr>
        <w:t>referentes</w:t>
      </w:r>
      <w:r w:rsidRPr="00E13872">
        <w:rPr>
          <w:rFonts w:ascii="Palatino Linotype" w:eastAsia="Palatino Linotype" w:hAnsi="Palatino Linotype" w:cs="Palatino Linotype"/>
          <w:color w:val="000000" w:themeColor="text1"/>
        </w:rPr>
        <w:t xml:space="preserve"> al área solicitante, fecha</w:t>
      </w:r>
      <w:r w:rsidR="00FE1EB8" w:rsidRPr="00E13872">
        <w:rPr>
          <w:rFonts w:ascii="Palatino Linotype" w:eastAsia="Palatino Linotype" w:hAnsi="Palatino Linotype" w:cs="Palatino Linotype"/>
          <w:color w:val="000000" w:themeColor="text1"/>
        </w:rPr>
        <w:t>, cantidad y descripción de artículos. Comentarios de uso y aplicación, nombre y firma de recibido y costo, firmas y sellos de diversos servidores públicos que solicitan y autorizan tal requisición.</w:t>
      </w:r>
    </w:p>
    <w:p w:rsidR="00790F83" w:rsidRPr="00E13872" w:rsidRDefault="00790F83" w:rsidP="002C3557">
      <w:pPr>
        <w:pBdr>
          <w:top w:val="nil"/>
          <w:left w:val="nil"/>
          <w:bottom w:val="nil"/>
          <w:right w:val="nil"/>
          <w:between w:val="nil"/>
        </w:pBdr>
        <w:ind w:firstLine="10"/>
        <w:jc w:val="both"/>
        <w:rPr>
          <w:rFonts w:ascii="Palatino Linotype" w:eastAsia="Palatino Linotype" w:hAnsi="Palatino Linotype" w:cs="Palatino Linotype"/>
          <w:color w:val="000000" w:themeColor="text1"/>
        </w:rPr>
      </w:pPr>
    </w:p>
    <w:p w:rsidR="00084793" w:rsidRPr="00E13872" w:rsidRDefault="00084793" w:rsidP="002C355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bookmarkStart w:id="4" w:name="_heading=h.3znysh7" w:colFirst="0" w:colLast="0"/>
      <w:bookmarkEnd w:id="4"/>
      <w:r w:rsidRPr="00E13872">
        <w:rPr>
          <w:rFonts w:ascii="Palatino Linotype" w:eastAsia="Palatino Linotype" w:hAnsi="Palatino Linotype" w:cs="Palatino Linotype"/>
          <w:color w:val="000000" w:themeColor="text1"/>
        </w:rPr>
        <w:t>En fecha</w:t>
      </w:r>
      <w:r w:rsidRPr="00E13872">
        <w:rPr>
          <w:rFonts w:ascii="Palatino Linotype" w:eastAsia="Palatino Linotype" w:hAnsi="Palatino Linotype" w:cs="Palatino Linotype"/>
          <w:b/>
          <w:color w:val="000000" w:themeColor="text1"/>
        </w:rPr>
        <w:t xml:space="preserve"> </w:t>
      </w:r>
      <w:r w:rsidR="009845A2" w:rsidRPr="00E13872">
        <w:rPr>
          <w:rFonts w:ascii="Palatino Linotype" w:eastAsia="Palatino Linotype" w:hAnsi="Palatino Linotype" w:cs="Palatino Linotype"/>
          <w:b/>
          <w:color w:val="000000" w:themeColor="text1"/>
        </w:rPr>
        <w:t>ocho de mayo</w:t>
      </w:r>
      <w:r w:rsidRPr="00E13872">
        <w:rPr>
          <w:rFonts w:ascii="Palatino Linotype" w:eastAsia="Palatino Linotype" w:hAnsi="Palatino Linotype" w:cs="Palatino Linotype"/>
          <w:b/>
          <w:color w:val="000000" w:themeColor="text1"/>
        </w:rPr>
        <w:t xml:space="preserve"> de dos mil veinticinco</w:t>
      </w:r>
      <w:r w:rsidRPr="00E13872">
        <w:rPr>
          <w:rFonts w:ascii="Palatino Linotype" w:eastAsia="Palatino Linotype" w:hAnsi="Palatino Linotype" w:cs="Palatino Linotype"/>
          <w:color w:val="000000" w:themeColor="text1"/>
        </w:rPr>
        <w:t>, se acordó ampliar el pazo para resolver el presente Recurso de Revisión.</w:t>
      </w:r>
    </w:p>
    <w:p w:rsidR="00084793" w:rsidRPr="00E13872" w:rsidRDefault="00084793" w:rsidP="002C3557">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72148B" w:rsidRPr="00E13872" w:rsidRDefault="00A077F4" w:rsidP="002C355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E13872">
        <w:rPr>
          <w:rFonts w:ascii="Palatino Linotype" w:eastAsia="Palatino Linotype" w:hAnsi="Palatino Linotype" w:cs="Palatino Linotype"/>
          <w:color w:val="000000" w:themeColor="text1"/>
        </w:rPr>
        <w:t xml:space="preserve">Seguidamente, en fecha </w:t>
      </w:r>
      <w:r w:rsidR="00A96F20" w:rsidRPr="00E13872">
        <w:rPr>
          <w:rFonts w:ascii="Palatino Linotype" w:eastAsia="Palatino Linotype" w:hAnsi="Palatino Linotype" w:cs="Palatino Linotype"/>
          <w:b/>
          <w:color w:val="000000" w:themeColor="text1"/>
        </w:rPr>
        <w:t>dieciocho</w:t>
      </w:r>
      <w:r w:rsidR="009845A2" w:rsidRPr="00E13872">
        <w:rPr>
          <w:rFonts w:ascii="Palatino Linotype" w:eastAsia="Palatino Linotype" w:hAnsi="Palatino Linotype" w:cs="Palatino Linotype"/>
          <w:b/>
          <w:color w:val="000000" w:themeColor="text1"/>
        </w:rPr>
        <w:t xml:space="preserve"> de julio</w:t>
      </w:r>
      <w:r w:rsidRPr="00E13872">
        <w:rPr>
          <w:rFonts w:ascii="Palatino Linotype" w:eastAsia="Palatino Linotype" w:hAnsi="Palatino Linotype" w:cs="Palatino Linotype"/>
          <w:b/>
          <w:color w:val="000000" w:themeColor="text1"/>
        </w:rPr>
        <w:t xml:space="preserve"> de dos mil veinticinco</w:t>
      </w:r>
      <w:r w:rsidRPr="00E13872">
        <w:rPr>
          <w:rFonts w:ascii="Palatino Linotype" w:eastAsia="Palatino Linotype" w:hAnsi="Palatino Linotype" w:cs="Palatino Linotype"/>
          <w:color w:val="000000" w:themeColor="text1"/>
        </w:rPr>
        <w:t xml:space="preserve">, la Comisionada Ponente dictó el </w:t>
      </w:r>
      <w:r w:rsidRPr="00E13872">
        <w:rPr>
          <w:rFonts w:ascii="Palatino Linotype" w:eastAsia="Palatino Linotype" w:hAnsi="Palatino Linotype" w:cs="Palatino Linotype"/>
          <w:b/>
          <w:color w:val="000000" w:themeColor="text1"/>
        </w:rPr>
        <w:t>cierre del periodo de instrucción</w:t>
      </w:r>
      <w:r w:rsidRPr="00E13872">
        <w:rPr>
          <w:rFonts w:ascii="Palatino Linotype" w:eastAsia="Palatino Linotype" w:hAnsi="Palatino Linotype" w:cs="Palatino Linotype"/>
          <w:color w:val="000000" w:themeColor="text1"/>
        </w:rPr>
        <w:t xml:space="preserve"> y, ordenó la resolución</w:t>
      </w:r>
      <w:r w:rsidR="00A42940" w:rsidRPr="00E13872">
        <w:rPr>
          <w:rFonts w:ascii="Palatino Linotype" w:eastAsia="Palatino Linotype" w:hAnsi="Palatino Linotype" w:cs="Palatino Linotype"/>
          <w:color w:val="000000" w:themeColor="text1"/>
        </w:rPr>
        <w:t xml:space="preserve"> que conforme a Derecho proceda</w:t>
      </w:r>
      <w:r w:rsidRPr="00E13872">
        <w:rPr>
          <w:rFonts w:ascii="Palatino Linotype" w:eastAsia="Palatino Linotype" w:hAnsi="Palatino Linotype" w:cs="Palatino Linotype"/>
          <w:color w:val="000000" w:themeColor="text1"/>
        </w:rPr>
        <w:t>:</w:t>
      </w:r>
    </w:p>
    <w:p w:rsidR="0072148B" w:rsidRPr="00E13872" w:rsidRDefault="0072148B" w:rsidP="002C3557">
      <w:pPr>
        <w:pBdr>
          <w:top w:val="nil"/>
          <w:left w:val="nil"/>
          <w:bottom w:val="nil"/>
          <w:right w:val="nil"/>
          <w:between w:val="nil"/>
        </w:pBdr>
        <w:rPr>
          <w:rFonts w:ascii="Palatino Linotype" w:eastAsia="Palatino Linotype" w:hAnsi="Palatino Linotype" w:cs="Palatino Linotype"/>
          <w:b/>
          <w:color w:val="000000" w:themeColor="text1"/>
        </w:rPr>
      </w:pPr>
    </w:p>
    <w:p w:rsidR="00A42940" w:rsidRPr="00E13872" w:rsidRDefault="00A42940" w:rsidP="002C3557">
      <w:pPr>
        <w:keepNext/>
        <w:keepLines/>
        <w:spacing w:line="360" w:lineRule="auto"/>
        <w:jc w:val="center"/>
        <w:rPr>
          <w:rFonts w:ascii="Palatino Linotype" w:eastAsia="Palatino Linotype" w:hAnsi="Palatino Linotype" w:cs="Palatino Linotype"/>
          <w:b/>
          <w:color w:val="000000" w:themeColor="text1"/>
        </w:rPr>
      </w:pPr>
      <w:r w:rsidRPr="00E13872">
        <w:rPr>
          <w:rFonts w:ascii="Palatino Linotype" w:eastAsia="Palatino Linotype" w:hAnsi="Palatino Linotype" w:cs="Palatino Linotype"/>
          <w:b/>
          <w:color w:val="000000" w:themeColor="text1"/>
        </w:rPr>
        <w:t>C</w:t>
      </w:r>
      <w:r w:rsidR="00555394" w:rsidRPr="00E13872">
        <w:rPr>
          <w:rFonts w:ascii="Palatino Linotype" w:eastAsia="Palatino Linotype" w:hAnsi="Palatino Linotype" w:cs="Palatino Linotype"/>
          <w:b/>
          <w:color w:val="000000" w:themeColor="text1"/>
        </w:rPr>
        <w:t xml:space="preserve"> </w:t>
      </w:r>
      <w:r w:rsidRPr="00E13872">
        <w:rPr>
          <w:rFonts w:ascii="Palatino Linotype" w:eastAsia="Palatino Linotype" w:hAnsi="Palatino Linotype" w:cs="Palatino Linotype"/>
          <w:b/>
          <w:color w:val="000000" w:themeColor="text1"/>
        </w:rPr>
        <w:t>O</w:t>
      </w:r>
      <w:r w:rsidR="00555394" w:rsidRPr="00E13872">
        <w:rPr>
          <w:rFonts w:ascii="Palatino Linotype" w:eastAsia="Palatino Linotype" w:hAnsi="Palatino Linotype" w:cs="Palatino Linotype"/>
          <w:b/>
          <w:color w:val="000000" w:themeColor="text1"/>
        </w:rPr>
        <w:t xml:space="preserve"> </w:t>
      </w:r>
      <w:r w:rsidRPr="00E13872">
        <w:rPr>
          <w:rFonts w:ascii="Palatino Linotype" w:eastAsia="Palatino Linotype" w:hAnsi="Palatino Linotype" w:cs="Palatino Linotype"/>
          <w:b/>
          <w:color w:val="000000" w:themeColor="text1"/>
        </w:rPr>
        <w:t>N</w:t>
      </w:r>
      <w:r w:rsidR="00555394" w:rsidRPr="00E13872">
        <w:rPr>
          <w:rFonts w:ascii="Palatino Linotype" w:eastAsia="Palatino Linotype" w:hAnsi="Palatino Linotype" w:cs="Palatino Linotype"/>
          <w:b/>
          <w:color w:val="000000" w:themeColor="text1"/>
        </w:rPr>
        <w:t xml:space="preserve"> </w:t>
      </w:r>
      <w:r w:rsidRPr="00E13872">
        <w:rPr>
          <w:rFonts w:ascii="Palatino Linotype" w:eastAsia="Palatino Linotype" w:hAnsi="Palatino Linotype" w:cs="Palatino Linotype"/>
          <w:b/>
          <w:color w:val="000000" w:themeColor="text1"/>
        </w:rPr>
        <w:t>S</w:t>
      </w:r>
      <w:r w:rsidR="00555394" w:rsidRPr="00E13872">
        <w:rPr>
          <w:rFonts w:ascii="Palatino Linotype" w:eastAsia="Palatino Linotype" w:hAnsi="Palatino Linotype" w:cs="Palatino Linotype"/>
          <w:b/>
          <w:color w:val="000000" w:themeColor="text1"/>
        </w:rPr>
        <w:t xml:space="preserve"> </w:t>
      </w:r>
      <w:r w:rsidRPr="00E13872">
        <w:rPr>
          <w:rFonts w:ascii="Palatino Linotype" w:eastAsia="Palatino Linotype" w:hAnsi="Palatino Linotype" w:cs="Palatino Linotype"/>
          <w:b/>
          <w:color w:val="000000" w:themeColor="text1"/>
        </w:rPr>
        <w:t>I</w:t>
      </w:r>
      <w:r w:rsidR="00555394" w:rsidRPr="00E13872">
        <w:rPr>
          <w:rFonts w:ascii="Palatino Linotype" w:eastAsia="Palatino Linotype" w:hAnsi="Palatino Linotype" w:cs="Palatino Linotype"/>
          <w:b/>
          <w:color w:val="000000" w:themeColor="text1"/>
        </w:rPr>
        <w:t xml:space="preserve"> </w:t>
      </w:r>
      <w:r w:rsidRPr="00E13872">
        <w:rPr>
          <w:rFonts w:ascii="Palatino Linotype" w:eastAsia="Palatino Linotype" w:hAnsi="Palatino Linotype" w:cs="Palatino Linotype"/>
          <w:b/>
          <w:color w:val="000000" w:themeColor="text1"/>
        </w:rPr>
        <w:t>D</w:t>
      </w:r>
      <w:r w:rsidR="00555394" w:rsidRPr="00E13872">
        <w:rPr>
          <w:rFonts w:ascii="Palatino Linotype" w:eastAsia="Palatino Linotype" w:hAnsi="Palatino Linotype" w:cs="Palatino Linotype"/>
          <w:b/>
          <w:color w:val="000000" w:themeColor="text1"/>
        </w:rPr>
        <w:t xml:space="preserve"> </w:t>
      </w:r>
      <w:r w:rsidRPr="00E13872">
        <w:rPr>
          <w:rFonts w:ascii="Palatino Linotype" w:eastAsia="Palatino Linotype" w:hAnsi="Palatino Linotype" w:cs="Palatino Linotype"/>
          <w:b/>
          <w:color w:val="000000" w:themeColor="text1"/>
        </w:rPr>
        <w:t>E</w:t>
      </w:r>
      <w:r w:rsidR="00555394" w:rsidRPr="00E13872">
        <w:rPr>
          <w:rFonts w:ascii="Palatino Linotype" w:eastAsia="Palatino Linotype" w:hAnsi="Palatino Linotype" w:cs="Palatino Linotype"/>
          <w:b/>
          <w:color w:val="000000" w:themeColor="text1"/>
        </w:rPr>
        <w:t xml:space="preserve"> </w:t>
      </w:r>
      <w:r w:rsidRPr="00E13872">
        <w:rPr>
          <w:rFonts w:ascii="Palatino Linotype" w:eastAsia="Palatino Linotype" w:hAnsi="Palatino Linotype" w:cs="Palatino Linotype"/>
          <w:b/>
          <w:color w:val="000000" w:themeColor="text1"/>
        </w:rPr>
        <w:t>R</w:t>
      </w:r>
      <w:r w:rsidR="00555394" w:rsidRPr="00E13872">
        <w:rPr>
          <w:rFonts w:ascii="Palatino Linotype" w:eastAsia="Palatino Linotype" w:hAnsi="Palatino Linotype" w:cs="Palatino Linotype"/>
          <w:b/>
          <w:color w:val="000000" w:themeColor="text1"/>
        </w:rPr>
        <w:t xml:space="preserve"> </w:t>
      </w:r>
      <w:r w:rsidRPr="00E13872">
        <w:rPr>
          <w:rFonts w:ascii="Palatino Linotype" w:eastAsia="Palatino Linotype" w:hAnsi="Palatino Linotype" w:cs="Palatino Linotype"/>
          <w:b/>
          <w:color w:val="000000" w:themeColor="text1"/>
        </w:rPr>
        <w:t>A</w:t>
      </w:r>
      <w:r w:rsidR="00555394" w:rsidRPr="00E13872">
        <w:rPr>
          <w:rFonts w:ascii="Palatino Linotype" w:eastAsia="Palatino Linotype" w:hAnsi="Palatino Linotype" w:cs="Palatino Linotype"/>
          <w:b/>
          <w:color w:val="000000" w:themeColor="text1"/>
        </w:rPr>
        <w:t xml:space="preserve"> </w:t>
      </w:r>
      <w:r w:rsidRPr="00E13872">
        <w:rPr>
          <w:rFonts w:ascii="Palatino Linotype" w:eastAsia="Palatino Linotype" w:hAnsi="Palatino Linotype" w:cs="Palatino Linotype"/>
          <w:b/>
          <w:color w:val="000000" w:themeColor="text1"/>
        </w:rPr>
        <w:t>N</w:t>
      </w:r>
      <w:r w:rsidR="00555394" w:rsidRPr="00E13872">
        <w:rPr>
          <w:rFonts w:ascii="Palatino Linotype" w:eastAsia="Palatino Linotype" w:hAnsi="Palatino Linotype" w:cs="Palatino Linotype"/>
          <w:b/>
          <w:color w:val="000000" w:themeColor="text1"/>
        </w:rPr>
        <w:t xml:space="preserve"> </w:t>
      </w:r>
      <w:r w:rsidRPr="00E13872">
        <w:rPr>
          <w:rFonts w:ascii="Palatino Linotype" w:eastAsia="Palatino Linotype" w:hAnsi="Palatino Linotype" w:cs="Palatino Linotype"/>
          <w:b/>
          <w:color w:val="000000" w:themeColor="text1"/>
        </w:rPr>
        <w:t>D</w:t>
      </w:r>
      <w:r w:rsidR="00555394" w:rsidRPr="00E13872">
        <w:rPr>
          <w:rFonts w:ascii="Palatino Linotype" w:eastAsia="Palatino Linotype" w:hAnsi="Palatino Linotype" w:cs="Palatino Linotype"/>
          <w:b/>
          <w:color w:val="000000" w:themeColor="text1"/>
        </w:rPr>
        <w:t xml:space="preserve"> </w:t>
      </w:r>
      <w:r w:rsidRPr="00E13872">
        <w:rPr>
          <w:rFonts w:ascii="Palatino Linotype" w:eastAsia="Palatino Linotype" w:hAnsi="Palatino Linotype" w:cs="Palatino Linotype"/>
          <w:b/>
          <w:color w:val="000000" w:themeColor="text1"/>
        </w:rPr>
        <w:t xml:space="preserve">O </w:t>
      </w:r>
    </w:p>
    <w:p w:rsidR="00A42940" w:rsidRPr="00E13872" w:rsidRDefault="00A42940" w:rsidP="002C3557">
      <w:pPr>
        <w:spacing w:line="360" w:lineRule="auto"/>
        <w:rPr>
          <w:rFonts w:ascii="Palatino Linotype" w:eastAsia="Palatino Linotype" w:hAnsi="Palatino Linotype" w:cs="Palatino Linotype"/>
          <w:color w:val="000000" w:themeColor="text1"/>
        </w:rPr>
      </w:pPr>
    </w:p>
    <w:p w:rsidR="00A42940" w:rsidRPr="00E13872" w:rsidRDefault="00A42940" w:rsidP="002C3557">
      <w:pPr>
        <w:keepNext/>
        <w:keepLines/>
        <w:spacing w:line="360" w:lineRule="auto"/>
        <w:rPr>
          <w:rFonts w:ascii="Palatino Linotype" w:eastAsia="Palatino Linotype" w:hAnsi="Palatino Linotype" w:cs="Palatino Linotype"/>
          <w:b/>
          <w:color w:val="000000" w:themeColor="text1"/>
        </w:rPr>
      </w:pPr>
      <w:r w:rsidRPr="00E13872">
        <w:rPr>
          <w:rFonts w:ascii="Palatino Linotype" w:eastAsia="Palatino Linotype" w:hAnsi="Palatino Linotype" w:cs="Palatino Linotype"/>
          <w:b/>
          <w:color w:val="000000" w:themeColor="text1"/>
        </w:rPr>
        <w:t>PRIMERO. De la competencia</w:t>
      </w:r>
    </w:p>
    <w:p w:rsidR="00A42940" w:rsidRPr="00E13872" w:rsidRDefault="00A42940" w:rsidP="002C355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w:t>
      </w:r>
      <w:r w:rsidRPr="00E13872">
        <w:rPr>
          <w:rFonts w:ascii="Palatino Linotype" w:eastAsia="Palatino Linotype" w:hAnsi="Palatino Linotype" w:cs="Palatino Linotype"/>
          <w:color w:val="000000" w:themeColor="text1"/>
        </w:rPr>
        <w:lastRenderedPageBreak/>
        <w:t>y 11 del Reglamento Interior del Instituto de Transparencia, Acceso a la Información Pública y Protección de Datos Personales del Estado de México y Municipios.</w:t>
      </w:r>
    </w:p>
    <w:p w:rsidR="00A42940" w:rsidRPr="00E13872" w:rsidRDefault="00A42940" w:rsidP="002C3557">
      <w:pPr>
        <w:tabs>
          <w:tab w:val="left" w:pos="426"/>
        </w:tabs>
        <w:spacing w:line="360" w:lineRule="auto"/>
        <w:jc w:val="both"/>
        <w:rPr>
          <w:rFonts w:ascii="Palatino Linotype" w:eastAsia="Palatino Linotype" w:hAnsi="Palatino Linotype" w:cs="Palatino Linotype"/>
          <w:color w:val="000000" w:themeColor="text1"/>
        </w:rPr>
      </w:pPr>
    </w:p>
    <w:p w:rsidR="00A42940" w:rsidRPr="00E13872" w:rsidRDefault="00A42940" w:rsidP="002C3557">
      <w:pPr>
        <w:keepNext/>
        <w:keepLines/>
        <w:spacing w:line="360" w:lineRule="auto"/>
        <w:rPr>
          <w:rFonts w:ascii="Palatino Linotype" w:eastAsia="Palatino Linotype" w:hAnsi="Palatino Linotype" w:cs="Palatino Linotype"/>
          <w:b/>
          <w:color w:val="000000" w:themeColor="text1"/>
        </w:rPr>
      </w:pPr>
      <w:r w:rsidRPr="00E13872">
        <w:rPr>
          <w:rFonts w:ascii="Palatino Linotype" w:eastAsia="Palatino Linotype" w:hAnsi="Palatino Linotype" w:cs="Palatino Linotype"/>
          <w:b/>
          <w:color w:val="000000" w:themeColor="text1"/>
        </w:rPr>
        <w:t>SEGUNDO. De la oportunidad y procedencia.</w:t>
      </w:r>
    </w:p>
    <w:p w:rsidR="00A42940" w:rsidRPr="00E13872" w:rsidRDefault="00A42940" w:rsidP="002C355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El medio de impugnación fue presentado a través del </w:t>
      </w:r>
      <w:r w:rsidRPr="00E13872">
        <w:rPr>
          <w:rFonts w:ascii="Palatino Linotype" w:eastAsia="Palatino Linotype" w:hAnsi="Palatino Linotype" w:cs="Palatino Linotype"/>
          <w:b/>
          <w:color w:val="000000" w:themeColor="text1"/>
        </w:rPr>
        <w:t>SAIMEX,</w:t>
      </w:r>
      <w:r w:rsidRPr="00E13872">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E13872">
        <w:rPr>
          <w:rFonts w:ascii="Palatino Linotype" w:eastAsia="Palatino Linotype" w:hAnsi="Palatino Linotype" w:cs="Palatino Linotype"/>
          <w:b/>
          <w:color w:val="000000" w:themeColor="text1"/>
        </w:rPr>
        <w:t>SUJETO OBLIGADO</w:t>
      </w:r>
      <w:r w:rsidRPr="00E13872">
        <w:rPr>
          <w:rFonts w:ascii="Palatino Linotype" w:eastAsia="Palatino Linotype" w:hAnsi="Palatino Linotype" w:cs="Palatino Linotype"/>
          <w:color w:val="000000" w:themeColor="text1"/>
        </w:rPr>
        <w:t xml:space="preserve"> entregó respuesta el </w:t>
      </w:r>
      <w:r w:rsidR="00937055" w:rsidRPr="00E13872">
        <w:rPr>
          <w:rFonts w:ascii="Palatino Linotype" w:eastAsia="Palatino Linotype" w:hAnsi="Palatino Linotype" w:cs="Palatino Linotype"/>
          <w:b/>
          <w:color w:val="000000" w:themeColor="text1"/>
        </w:rPr>
        <w:t>catorce</w:t>
      </w:r>
      <w:r w:rsidRPr="00E13872">
        <w:rPr>
          <w:rFonts w:ascii="Palatino Linotype" w:eastAsia="Palatino Linotype" w:hAnsi="Palatino Linotype" w:cs="Palatino Linotype"/>
          <w:b/>
          <w:color w:val="000000" w:themeColor="text1"/>
        </w:rPr>
        <w:t xml:space="preserve"> de marzo de dos mil veinticinco</w:t>
      </w:r>
      <w:r w:rsidRPr="00E13872">
        <w:rPr>
          <w:rFonts w:ascii="Palatino Linotype" w:eastAsia="Palatino Linotype" w:hAnsi="Palatino Linotype" w:cs="Palatino Linotype"/>
          <w:color w:val="000000" w:themeColor="text1"/>
        </w:rPr>
        <w:t xml:space="preserve">, de tal forma que el plazo para interponer el recurso transcurrió del </w:t>
      </w:r>
      <w:r w:rsidR="00937055" w:rsidRPr="00E13872">
        <w:rPr>
          <w:rFonts w:ascii="Palatino Linotype" w:eastAsia="Palatino Linotype" w:hAnsi="Palatino Linotype" w:cs="Palatino Linotype"/>
          <w:b/>
          <w:color w:val="000000" w:themeColor="text1"/>
        </w:rPr>
        <w:t>dieciocho</w:t>
      </w:r>
      <w:r w:rsidRPr="00E13872">
        <w:rPr>
          <w:rFonts w:ascii="Palatino Linotype" w:eastAsia="Palatino Linotype" w:hAnsi="Palatino Linotype" w:cs="Palatino Linotype"/>
          <w:b/>
          <w:color w:val="000000" w:themeColor="text1"/>
        </w:rPr>
        <w:t xml:space="preserve"> de marzo al </w:t>
      </w:r>
      <w:r w:rsidR="00937055" w:rsidRPr="00E13872">
        <w:rPr>
          <w:rFonts w:ascii="Palatino Linotype" w:eastAsia="Palatino Linotype" w:hAnsi="Palatino Linotype" w:cs="Palatino Linotype"/>
          <w:b/>
          <w:color w:val="000000" w:themeColor="text1"/>
        </w:rPr>
        <w:t>siete</w:t>
      </w:r>
      <w:r w:rsidRPr="00E13872">
        <w:rPr>
          <w:rFonts w:ascii="Palatino Linotype" w:eastAsia="Palatino Linotype" w:hAnsi="Palatino Linotype" w:cs="Palatino Linotype"/>
          <w:b/>
          <w:color w:val="000000" w:themeColor="text1"/>
        </w:rPr>
        <w:t xml:space="preserve"> de abril de dos mil veinticinco, </w:t>
      </w:r>
      <w:r w:rsidRPr="00E13872">
        <w:rPr>
          <w:rFonts w:ascii="Palatino Linotype" w:eastAsia="Palatino Linotype" w:hAnsi="Palatino Linotype" w:cs="Palatino Linotype"/>
          <w:color w:val="000000" w:themeColor="text1"/>
        </w:rPr>
        <w:t xml:space="preserve">en consecuencia, si el </w:t>
      </w:r>
      <w:r w:rsidRPr="00E13872">
        <w:rPr>
          <w:rFonts w:ascii="Palatino Linotype" w:eastAsia="Palatino Linotype" w:hAnsi="Palatino Linotype" w:cs="Palatino Linotype"/>
          <w:b/>
          <w:color w:val="000000" w:themeColor="text1"/>
        </w:rPr>
        <w:t>PARTICULAR</w:t>
      </w:r>
      <w:r w:rsidRPr="00E13872">
        <w:rPr>
          <w:rFonts w:ascii="Palatino Linotype" w:eastAsia="Palatino Linotype" w:hAnsi="Palatino Linotype" w:cs="Palatino Linotype"/>
          <w:color w:val="000000" w:themeColor="text1"/>
        </w:rPr>
        <w:t xml:space="preserve"> presentó su inconformidad el </w:t>
      </w:r>
      <w:r w:rsidR="00937055" w:rsidRPr="00E13872">
        <w:rPr>
          <w:rFonts w:ascii="Palatino Linotype" w:eastAsia="Palatino Linotype" w:hAnsi="Palatino Linotype" w:cs="Palatino Linotype"/>
          <w:b/>
          <w:color w:val="000000" w:themeColor="text1"/>
        </w:rPr>
        <w:t>dieciocho</w:t>
      </w:r>
      <w:r w:rsidRPr="00E13872">
        <w:rPr>
          <w:rFonts w:ascii="Palatino Linotype" w:eastAsia="Palatino Linotype" w:hAnsi="Palatino Linotype" w:cs="Palatino Linotype"/>
          <w:b/>
          <w:color w:val="000000" w:themeColor="text1"/>
        </w:rPr>
        <w:t xml:space="preserve"> de marzo de dos mil veinticinco</w:t>
      </w:r>
      <w:r w:rsidRPr="00E13872">
        <w:rPr>
          <w:rFonts w:ascii="Palatino Linotype" w:eastAsia="Palatino Linotype" w:hAnsi="Palatino Linotype" w:cs="Palatino Linotype"/>
          <w:color w:val="000000" w:themeColor="text1"/>
        </w:rPr>
        <w:t xml:space="preserve">, este  se encuentra dentro de los márgenes temporales previstos en el artículo 178 de la </w:t>
      </w:r>
      <w:r w:rsidRPr="00E13872">
        <w:rPr>
          <w:rFonts w:ascii="Palatino Linotype" w:eastAsia="Palatino Linotype" w:hAnsi="Palatino Linotype" w:cs="Palatino Linotype"/>
          <w:b/>
          <w:color w:val="000000" w:themeColor="text1"/>
        </w:rPr>
        <w:t xml:space="preserve">Ley de Transparencia y Acceso a la Información Pública del Estado de México y Municipios </w:t>
      </w:r>
      <w:r w:rsidRPr="00E13872">
        <w:rPr>
          <w:rFonts w:ascii="Palatino Linotype" w:eastAsia="Palatino Linotype" w:hAnsi="Palatino Linotype" w:cs="Palatino Linotype"/>
          <w:color w:val="000000" w:themeColor="text1"/>
        </w:rPr>
        <w:t xml:space="preserve">vigente. </w:t>
      </w:r>
    </w:p>
    <w:p w:rsidR="00A42940" w:rsidRPr="00E13872" w:rsidRDefault="00A42940" w:rsidP="002C3557">
      <w:pPr>
        <w:spacing w:line="360" w:lineRule="auto"/>
        <w:jc w:val="both"/>
        <w:rPr>
          <w:rFonts w:ascii="Palatino Linotype" w:eastAsia="Palatino Linotype" w:hAnsi="Palatino Linotype" w:cs="Palatino Linotype"/>
          <w:color w:val="000000" w:themeColor="text1"/>
        </w:rPr>
      </w:pPr>
      <w:bookmarkStart w:id="5" w:name="_heading=h.2et92p0" w:colFirst="0" w:colLast="0"/>
      <w:bookmarkEnd w:id="5"/>
    </w:p>
    <w:p w:rsidR="00A42940" w:rsidRPr="00E13872" w:rsidRDefault="00A42940" w:rsidP="002C3557">
      <w:pPr>
        <w:pStyle w:val="Ttulo2"/>
        <w:rPr>
          <w:rFonts w:ascii="Palatino Linotype" w:eastAsia="Palatino Linotype" w:hAnsi="Palatino Linotype" w:cs="Palatino Linotype"/>
          <w:b/>
          <w:i/>
          <w:color w:val="000000" w:themeColor="text1"/>
          <w:sz w:val="24"/>
          <w:szCs w:val="24"/>
        </w:rPr>
      </w:pPr>
      <w:r w:rsidRPr="00E13872">
        <w:rPr>
          <w:rFonts w:ascii="Palatino Linotype" w:eastAsia="Palatino Linotype" w:hAnsi="Palatino Linotype" w:cs="Palatino Linotype"/>
          <w:b/>
          <w:color w:val="000000" w:themeColor="text1"/>
          <w:sz w:val="24"/>
          <w:szCs w:val="24"/>
        </w:rPr>
        <w:t xml:space="preserve">TERCERO. Del planteamiento de la </w:t>
      </w:r>
      <w:r w:rsidRPr="00E13872">
        <w:rPr>
          <w:rFonts w:ascii="Palatino Linotype" w:eastAsia="Palatino Linotype" w:hAnsi="Palatino Linotype" w:cs="Palatino Linotype"/>
          <w:b/>
          <w:i/>
          <w:color w:val="000000" w:themeColor="text1"/>
          <w:sz w:val="24"/>
          <w:szCs w:val="24"/>
        </w:rPr>
        <w:t>Litis.</w:t>
      </w:r>
    </w:p>
    <w:p w:rsidR="002B7A1B" w:rsidRPr="00E13872" w:rsidRDefault="002B7A1B" w:rsidP="006A1BDE">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Se solicitó tener acceso, a la información que a continuación se simplifica:</w:t>
      </w:r>
    </w:p>
    <w:p w:rsidR="002B7A1B" w:rsidRPr="00E13872" w:rsidRDefault="0008616B" w:rsidP="006A1BDE">
      <w:pPr>
        <w:pStyle w:val="Prrafodelista"/>
        <w:numPr>
          <w:ilvl w:val="0"/>
          <w:numId w:val="6"/>
        </w:numPr>
        <w:pBdr>
          <w:top w:val="nil"/>
          <w:left w:val="nil"/>
          <w:bottom w:val="nil"/>
          <w:right w:val="nil"/>
          <w:between w:val="nil"/>
        </w:pBdr>
        <w:ind w:left="0" w:firstLine="0"/>
        <w:jc w:val="both"/>
        <w:rPr>
          <w:rFonts w:ascii="Palatino Linotype" w:eastAsia="Palatino Linotype" w:hAnsi="Palatino Linotype" w:cs="Palatino Linotype"/>
          <w:i/>
          <w:color w:val="000000" w:themeColor="text1"/>
        </w:rPr>
      </w:pPr>
      <w:r w:rsidRPr="00E13872">
        <w:rPr>
          <w:rFonts w:ascii="Palatino Linotype" w:eastAsia="Palatino Linotype" w:hAnsi="Palatino Linotype" w:cs="Palatino Linotype"/>
          <w:i/>
          <w:color w:val="000000" w:themeColor="text1"/>
        </w:rPr>
        <w:t>Requerimientos de compras y documentos que comprueben las compras de enero 2025</w:t>
      </w:r>
      <w:r w:rsidR="002B7A1B" w:rsidRPr="00E13872">
        <w:rPr>
          <w:rFonts w:ascii="Palatino Linotype" w:eastAsia="Palatino Linotype" w:hAnsi="Palatino Linotype" w:cs="Palatino Linotype"/>
          <w:i/>
          <w:color w:val="000000" w:themeColor="text1"/>
        </w:rPr>
        <w:t>.</w:t>
      </w:r>
    </w:p>
    <w:p w:rsidR="002B7A1B" w:rsidRPr="00E13872" w:rsidRDefault="002B7A1B" w:rsidP="002C3557">
      <w:pPr>
        <w:pStyle w:val="Prrafodelista"/>
        <w:ind w:left="0"/>
        <w:jc w:val="both"/>
        <w:rPr>
          <w:rFonts w:ascii="Palatino Linotype" w:eastAsia="Palatino Linotype" w:hAnsi="Palatino Linotype" w:cs="Palatino Linotype"/>
          <w:color w:val="000000" w:themeColor="text1"/>
        </w:rPr>
      </w:pPr>
    </w:p>
    <w:p w:rsidR="002B7A1B" w:rsidRPr="00E13872" w:rsidRDefault="002B7A1B" w:rsidP="002C355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En respuesta, el Sujeto Obligado</w:t>
      </w:r>
      <w:r w:rsidRPr="00E13872">
        <w:rPr>
          <w:rFonts w:ascii="Palatino Linotype" w:eastAsia="Palatino Linotype" w:hAnsi="Palatino Linotype" w:cs="Palatino Linotype"/>
          <w:b/>
          <w:color w:val="000000" w:themeColor="text1"/>
        </w:rPr>
        <w:t xml:space="preserve"> </w:t>
      </w:r>
      <w:r w:rsidRPr="00E13872">
        <w:rPr>
          <w:rFonts w:ascii="Palatino Linotype" w:eastAsia="Palatino Linotype" w:hAnsi="Palatino Linotype" w:cs="Palatino Linotype"/>
          <w:color w:val="000000" w:themeColor="text1"/>
        </w:rPr>
        <w:t xml:space="preserve">remitió </w:t>
      </w:r>
      <w:r w:rsidR="00FA778F" w:rsidRPr="00E13872">
        <w:rPr>
          <w:rFonts w:ascii="Palatino Linotype" w:eastAsia="Palatino Linotype" w:hAnsi="Palatino Linotype" w:cs="Palatino Linotype"/>
          <w:color w:val="000000" w:themeColor="text1"/>
        </w:rPr>
        <w:t xml:space="preserve">el archivo </w:t>
      </w:r>
      <w:r w:rsidR="00876526" w:rsidRPr="00E13872">
        <w:rPr>
          <w:rFonts w:ascii="Palatino Linotype" w:eastAsia="Palatino Linotype" w:hAnsi="Palatino Linotype" w:cs="Palatino Linotype"/>
          <w:color w:val="000000" w:themeColor="text1"/>
        </w:rPr>
        <w:t>ya descritos en el anterior párrafo 3</w:t>
      </w:r>
      <w:r w:rsidRPr="00E13872">
        <w:rPr>
          <w:rFonts w:ascii="Palatino Linotype" w:eastAsia="Palatino Linotype" w:hAnsi="Palatino Linotype" w:cs="Palatino Linotype"/>
          <w:color w:val="000000" w:themeColor="text1"/>
        </w:rPr>
        <w:t>, inconforme con la</w:t>
      </w:r>
      <w:r w:rsidR="00FA778F" w:rsidRPr="00E13872">
        <w:rPr>
          <w:rFonts w:ascii="Palatino Linotype" w:eastAsia="Palatino Linotype" w:hAnsi="Palatino Linotype" w:cs="Palatino Linotype"/>
          <w:color w:val="000000" w:themeColor="text1"/>
        </w:rPr>
        <w:t xml:space="preserve"> respuesta</w:t>
      </w:r>
      <w:r w:rsidRPr="00E13872">
        <w:rPr>
          <w:rFonts w:ascii="Palatino Linotype" w:eastAsia="Palatino Linotype" w:hAnsi="Palatino Linotype" w:cs="Palatino Linotype"/>
          <w:color w:val="000000" w:themeColor="text1"/>
        </w:rPr>
        <w:t xml:space="preserve">, se interpuso recurso de revisión argumentando sustancialmente </w:t>
      </w:r>
      <w:r w:rsidR="00FA778F" w:rsidRPr="00E13872">
        <w:rPr>
          <w:rFonts w:ascii="Palatino Linotype" w:eastAsia="Palatino Linotype" w:hAnsi="Palatino Linotype" w:cs="Palatino Linotype"/>
          <w:color w:val="000000" w:themeColor="text1"/>
        </w:rPr>
        <w:t>la negativa de la información</w:t>
      </w:r>
      <w:r w:rsidRPr="00E13872">
        <w:rPr>
          <w:rFonts w:ascii="Palatino Linotype" w:eastAsia="Palatino Linotype" w:hAnsi="Palatino Linotype" w:cs="Palatino Linotype"/>
          <w:color w:val="000000" w:themeColor="text1"/>
        </w:rPr>
        <w:t>.</w:t>
      </w:r>
    </w:p>
    <w:p w:rsidR="002B7A1B" w:rsidRPr="00E13872" w:rsidRDefault="002B7A1B" w:rsidP="002C3557">
      <w:pPr>
        <w:contextualSpacing/>
        <w:jc w:val="both"/>
        <w:rPr>
          <w:rFonts w:ascii="Palatino Linotype" w:eastAsia="Palatino Linotype" w:hAnsi="Palatino Linotype" w:cs="Palatino Linotype"/>
          <w:i/>
          <w:color w:val="000000" w:themeColor="text1"/>
        </w:rPr>
      </w:pPr>
    </w:p>
    <w:p w:rsidR="002B7A1B" w:rsidRPr="00E13872" w:rsidRDefault="002B7A1B" w:rsidP="002C355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En dichas condiciones, la controversia a resolver en el presente proveído, corresponde a determinar si se actualiza la causal de procedencia prevista en el artículo 179, </w:t>
      </w:r>
      <w:r w:rsidR="00895953" w:rsidRPr="00E13872">
        <w:rPr>
          <w:rFonts w:ascii="Palatino Linotype" w:eastAsia="Palatino Linotype" w:hAnsi="Palatino Linotype" w:cs="Palatino Linotype"/>
          <w:color w:val="000000" w:themeColor="text1"/>
        </w:rPr>
        <w:t>fracción</w:t>
      </w:r>
      <w:r w:rsidRPr="00E13872">
        <w:rPr>
          <w:rFonts w:ascii="Palatino Linotype" w:eastAsia="Palatino Linotype" w:hAnsi="Palatino Linotype" w:cs="Palatino Linotype"/>
          <w:color w:val="000000" w:themeColor="text1"/>
        </w:rPr>
        <w:t xml:space="preserve"> </w:t>
      </w:r>
      <w:r w:rsidR="004F1783" w:rsidRPr="00E13872">
        <w:rPr>
          <w:rFonts w:ascii="Palatino Linotype" w:eastAsia="Palatino Linotype" w:hAnsi="Palatino Linotype" w:cs="Palatino Linotype"/>
          <w:color w:val="000000" w:themeColor="text1"/>
        </w:rPr>
        <w:t>I</w:t>
      </w:r>
      <w:r w:rsidRPr="00E13872">
        <w:rPr>
          <w:rFonts w:ascii="Palatino Linotype" w:eastAsia="Palatino Linotype" w:hAnsi="Palatino Linotype" w:cs="Palatino Linotype"/>
          <w:color w:val="000000" w:themeColor="text1"/>
        </w:rPr>
        <w:t>,</w:t>
      </w:r>
      <w:r w:rsidRPr="00E13872">
        <w:rPr>
          <w:rFonts w:ascii="Palatino Linotype" w:eastAsia="Palatino Linotype" w:hAnsi="Palatino Linotype" w:cs="Palatino Linotype"/>
          <w:b/>
          <w:color w:val="000000" w:themeColor="text1"/>
        </w:rPr>
        <w:t xml:space="preserve"> </w:t>
      </w:r>
      <w:r w:rsidRPr="00E13872">
        <w:rPr>
          <w:rFonts w:ascii="Palatino Linotype" w:eastAsia="Palatino Linotype" w:hAnsi="Palatino Linotype" w:cs="Palatino Linotype"/>
          <w:color w:val="000000" w:themeColor="text1"/>
        </w:rPr>
        <w:t>de la Ley de Transparencia y Acceso a la Información Pública del Estado de</w:t>
      </w:r>
      <w:r w:rsidRPr="00E13872">
        <w:rPr>
          <w:rFonts w:ascii="Palatino Linotype" w:eastAsia="Palatino Linotype" w:hAnsi="Palatino Linotype" w:cs="Palatino Linotype"/>
          <w:b/>
          <w:color w:val="000000" w:themeColor="text1"/>
        </w:rPr>
        <w:t xml:space="preserve"> </w:t>
      </w:r>
      <w:r w:rsidRPr="00E13872">
        <w:rPr>
          <w:rFonts w:ascii="Palatino Linotype" w:eastAsia="Palatino Linotype" w:hAnsi="Palatino Linotype" w:cs="Palatino Linotype"/>
          <w:color w:val="000000" w:themeColor="text1"/>
        </w:rPr>
        <w:t>México</w:t>
      </w:r>
      <w:r w:rsidRPr="00E13872">
        <w:rPr>
          <w:rFonts w:ascii="Palatino Linotype" w:eastAsia="Palatino Linotype" w:hAnsi="Palatino Linotype" w:cs="Palatino Linotype"/>
          <w:b/>
          <w:color w:val="000000" w:themeColor="text1"/>
        </w:rPr>
        <w:t xml:space="preserve"> </w:t>
      </w:r>
      <w:r w:rsidRPr="00E13872">
        <w:rPr>
          <w:rFonts w:ascii="Palatino Linotype" w:eastAsia="Palatino Linotype" w:hAnsi="Palatino Linotype" w:cs="Palatino Linotype"/>
          <w:color w:val="000000" w:themeColor="text1"/>
        </w:rPr>
        <w:t>y</w:t>
      </w:r>
      <w:r w:rsidRPr="00E13872">
        <w:rPr>
          <w:rFonts w:ascii="Palatino Linotype" w:eastAsia="Palatino Linotype" w:hAnsi="Palatino Linotype" w:cs="Palatino Linotype"/>
          <w:b/>
          <w:color w:val="000000" w:themeColor="text1"/>
        </w:rPr>
        <w:t xml:space="preserve"> </w:t>
      </w:r>
      <w:r w:rsidRPr="00E13872">
        <w:rPr>
          <w:rFonts w:ascii="Palatino Linotype" w:eastAsia="Palatino Linotype" w:hAnsi="Palatino Linotype" w:cs="Palatino Linotype"/>
          <w:color w:val="000000" w:themeColor="text1"/>
        </w:rPr>
        <w:t xml:space="preserve">Municipios; </w:t>
      </w:r>
      <w:r w:rsidR="00895953" w:rsidRPr="00E13872">
        <w:rPr>
          <w:rFonts w:ascii="Palatino Linotype" w:eastAsia="Palatino Linotype" w:hAnsi="Palatino Linotype" w:cs="Palatino Linotype"/>
          <w:color w:val="000000" w:themeColor="text1"/>
        </w:rPr>
        <w:t>fracción</w:t>
      </w:r>
      <w:r w:rsidRPr="00E13872">
        <w:rPr>
          <w:rFonts w:ascii="Palatino Linotype" w:eastAsia="Palatino Linotype" w:hAnsi="Palatino Linotype" w:cs="Palatino Linotype"/>
          <w:color w:val="000000" w:themeColor="text1"/>
        </w:rPr>
        <w:t xml:space="preserve"> que determina la hipótesis relativa a la </w:t>
      </w:r>
      <w:r w:rsidR="004F1783" w:rsidRPr="00E13872">
        <w:rPr>
          <w:rFonts w:ascii="Palatino Linotype" w:eastAsia="Palatino Linotype" w:hAnsi="Palatino Linotype" w:cs="Palatino Linotype"/>
          <w:color w:val="000000" w:themeColor="text1"/>
        </w:rPr>
        <w:t xml:space="preserve">negativa a la </w:t>
      </w:r>
      <w:r w:rsidR="004F1783" w:rsidRPr="00E13872">
        <w:rPr>
          <w:rFonts w:ascii="Palatino Linotype" w:eastAsia="Palatino Linotype" w:hAnsi="Palatino Linotype" w:cs="Palatino Linotype"/>
          <w:color w:val="000000" w:themeColor="text1"/>
        </w:rPr>
        <w:lastRenderedPageBreak/>
        <w:t>información solicitada</w:t>
      </w:r>
      <w:r w:rsidRPr="00E13872">
        <w:rPr>
          <w:rFonts w:ascii="Palatino Linotype" w:eastAsia="Palatino Linotype" w:hAnsi="Palatino Linotype" w:cs="Palatino Linotype"/>
          <w:color w:val="000000" w:themeColor="text1"/>
        </w:rPr>
        <w:t>; contexto del cual se dolió el Recurrente al momento de interponer su inconformidad. De modo tal que el presente recurso de revisión se abocará en determinar si el Sujeto Obligado con su respuesta ciertamente actualiza la causal de procedencia</w:t>
      </w:r>
      <w:r w:rsidRPr="00E13872">
        <w:rPr>
          <w:rFonts w:ascii="Palatino Linotype" w:eastAsia="Palatino Linotype" w:hAnsi="Palatino Linotype" w:cs="Palatino Linotype"/>
          <w:b/>
          <w:color w:val="000000" w:themeColor="text1"/>
        </w:rPr>
        <w:t xml:space="preserve"> </w:t>
      </w:r>
      <w:r w:rsidRPr="00E13872">
        <w:rPr>
          <w:rFonts w:ascii="Palatino Linotype" w:eastAsia="Palatino Linotype" w:hAnsi="Palatino Linotype" w:cs="Palatino Linotype"/>
          <w:color w:val="000000" w:themeColor="text1"/>
        </w:rPr>
        <w:t xml:space="preserve">señalada. </w:t>
      </w:r>
    </w:p>
    <w:p w:rsidR="002B7A1B" w:rsidRPr="00E13872" w:rsidRDefault="002B7A1B" w:rsidP="002C3557">
      <w:pPr>
        <w:spacing w:line="360" w:lineRule="auto"/>
        <w:rPr>
          <w:rFonts w:ascii="Palatino Linotype" w:eastAsia="Palatino Linotype" w:hAnsi="Palatino Linotype" w:cs="Palatino Linotype"/>
          <w:color w:val="000000" w:themeColor="text1"/>
        </w:rPr>
      </w:pPr>
    </w:p>
    <w:p w:rsidR="00846BB7" w:rsidRPr="00E13872" w:rsidRDefault="00846BB7" w:rsidP="002C3557">
      <w:pPr>
        <w:pStyle w:val="Ttulo2"/>
        <w:rPr>
          <w:rFonts w:ascii="Palatino Linotype" w:eastAsia="Palatino Linotype" w:hAnsi="Palatino Linotype" w:cs="Palatino Linotype"/>
          <w:b/>
          <w:color w:val="000000" w:themeColor="text1"/>
          <w:sz w:val="24"/>
          <w:szCs w:val="24"/>
        </w:rPr>
      </w:pPr>
      <w:bookmarkStart w:id="6" w:name="_heading=h.1t3h5sf" w:colFirst="0" w:colLast="0"/>
      <w:bookmarkEnd w:id="6"/>
      <w:r w:rsidRPr="00E13872">
        <w:rPr>
          <w:rFonts w:ascii="Palatino Linotype" w:eastAsia="Palatino Linotype" w:hAnsi="Palatino Linotype" w:cs="Palatino Linotype"/>
          <w:b/>
          <w:color w:val="000000" w:themeColor="text1"/>
          <w:sz w:val="24"/>
          <w:szCs w:val="24"/>
        </w:rPr>
        <w:t>CUARTO. Del estudio y resolución del asunto.</w:t>
      </w:r>
    </w:p>
    <w:p w:rsidR="002B7A1B" w:rsidRPr="00E13872" w:rsidRDefault="002B7A1B" w:rsidP="002C355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2B7A1B" w:rsidRPr="00E13872" w:rsidRDefault="002B7A1B" w:rsidP="002C3557">
      <w:pPr>
        <w:spacing w:line="360" w:lineRule="auto"/>
        <w:jc w:val="both"/>
        <w:rPr>
          <w:rFonts w:ascii="Palatino Linotype" w:eastAsia="Palatino Linotype" w:hAnsi="Palatino Linotype" w:cs="Palatino Linotype"/>
          <w:color w:val="000000" w:themeColor="text1"/>
        </w:rPr>
      </w:pPr>
    </w:p>
    <w:p w:rsidR="002B7A1B" w:rsidRPr="00E13872" w:rsidRDefault="002B7A1B" w:rsidP="002C355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2B7A1B" w:rsidRPr="00E13872" w:rsidRDefault="002B7A1B" w:rsidP="002C3557">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2B7A1B" w:rsidRPr="00E13872" w:rsidRDefault="002B7A1B" w:rsidP="002C355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Los artículos antes citados, refieren que el derecho de acceso a la información pública es un derecho humano que abarca el solicitar, investigar, difundir y buscar información que se encuentre en los archivos de los sujetos obligados, ya sea porque estos las generaron o la </w:t>
      </w:r>
      <w:r w:rsidRPr="00E13872">
        <w:rPr>
          <w:rFonts w:ascii="Palatino Linotype" w:eastAsia="Palatino Linotype" w:hAnsi="Palatino Linotype" w:cs="Palatino Linotype"/>
          <w:color w:val="000000" w:themeColor="text1"/>
        </w:rPr>
        <w:lastRenderedPageBreak/>
        <w:t>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FA778F" w:rsidRPr="00E13872" w:rsidRDefault="00FA778F" w:rsidP="002C3557">
      <w:pPr>
        <w:spacing w:line="360" w:lineRule="auto"/>
        <w:jc w:val="both"/>
        <w:rPr>
          <w:rFonts w:ascii="Palatino Linotype" w:eastAsia="Palatino Linotype" w:hAnsi="Palatino Linotype" w:cs="Palatino Linotype"/>
          <w:color w:val="000000" w:themeColor="text1"/>
        </w:rPr>
      </w:pPr>
    </w:p>
    <w:p w:rsidR="002B7A1B" w:rsidRPr="00E13872" w:rsidRDefault="00FA778F" w:rsidP="002C3557">
      <w:pPr>
        <w:numPr>
          <w:ilvl w:val="0"/>
          <w:numId w:val="4"/>
        </w:numPr>
        <w:pBdr>
          <w:top w:val="nil"/>
          <w:left w:val="nil"/>
          <w:bottom w:val="nil"/>
          <w:right w:val="nil"/>
          <w:between w:val="nil"/>
        </w:pBdr>
        <w:spacing w:line="360" w:lineRule="auto"/>
        <w:ind w:left="0"/>
        <w:rPr>
          <w:rFonts w:ascii="Palatino Linotype" w:eastAsia="Palatino Linotype" w:hAnsi="Palatino Linotype" w:cs="Palatino Linotype"/>
          <w:b/>
          <w:color w:val="000000" w:themeColor="text1"/>
        </w:rPr>
      </w:pPr>
      <w:r w:rsidRPr="00E13872">
        <w:rPr>
          <w:rFonts w:ascii="Palatino Linotype" w:eastAsia="Palatino Linotype" w:hAnsi="Palatino Linotype" w:cs="Palatino Linotype"/>
          <w:b/>
          <w:color w:val="000000" w:themeColor="text1"/>
        </w:rPr>
        <w:t>Del Sujeto Obligado.</w:t>
      </w:r>
    </w:p>
    <w:p w:rsidR="00275AB0" w:rsidRPr="00E13872" w:rsidRDefault="00275AB0" w:rsidP="002C3557">
      <w:pPr>
        <w:numPr>
          <w:ilvl w:val="0"/>
          <w:numId w:val="2"/>
        </w:numPr>
        <w:spacing w:line="360" w:lineRule="auto"/>
        <w:ind w:left="0" w:firstLine="0"/>
        <w:jc w:val="both"/>
        <w:rPr>
          <w:rFonts w:ascii="Palatino Linotype" w:hAnsi="Palatino Linotype"/>
          <w:color w:val="000000" w:themeColor="text1"/>
        </w:rPr>
      </w:pPr>
      <w:r w:rsidRPr="00E13872">
        <w:rPr>
          <w:rFonts w:ascii="Palatino Linotype" w:eastAsia="Palatino Linotype" w:hAnsi="Palatino Linotype" w:cs="Palatino Linotype"/>
          <w:color w:val="000000" w:themeColor="text1"/>
        </w:rPr>
        <w:t>Para el adecuado funcionamiento de la Administración Pública Municipal, cada Dependencia o Dirección contará con los Departamentos, Coordinaciones, Oficialías, Áreas y Unidades Administrativas necesarias, tal como lo señala el Bando Municipal 2025 en su artículo 74:</w:t>
      </w:r>
    </w:p>
    <w:p w:rsidR="00275AB0" w:rsidRPr="00E13872" w:rsidRDefault="00275AB0" w:rsidP="002C3557">
      <w:pPr>
        <w:jc w:val="center"/>
        <w:rPr>
          <w:rFonts w:ascii="Palatino Linotype" w:eastAsia="Palatino Linotype" w:hAnsi="Palatino Linotype" w:cs="Palatino Linotype"/>
          <w:b/>
          <w:i/>
          <w:color w:val="000000" w:themeColor="text1"/>
        </w:rPr>
      </w:pPr>
      <w:r w:rsidRPr="00E13872">
        <w:rPr>
          <w:rFonts w:ascii="Palatino Linotype" w:eastAsia="Palatino Linotype" w:hAnsi="Palatino Linotype" w:cs="Palatino Linotype"/>
          <w:b/>
          <w:i/>
          <w:color w:val="000000" w:themeColor="text1"/>
        </w:rPr>
        <w:t>Bando Municipal 2025</w:t>
      </w:r>
    </w:p>
    <w:p w:rsidR="00275AB0" w:rsidRPr="00E13872" w:rsidRDefault="00275AB0" w:rsidP="002C3557">
      <w:pPr>
        <w:jc w:val="center"/>
        <w:rPr>
          <w:rFonts w:ascii="Palatino Linotype" w:eastAsia="Palatino Linotype" w:hAnsi="Palatino Linotype" w:cs="Palatino Linotype"/>
          <w:b/>
          <w:i/>
          <w:color w:val="000000" w:themeColor="text1"/>
        </w:rPr>
      </w:pPr>
    </w:p>
    <w:p w:rsidR="00275AB0" w:rsidRPr="00E13872" w:rsidRDefault="00275AB0" w:rsidP="002C3557">
      <w:pPr>
        <w:jc w:val="both"/>
        <w:rPr>
          <w:rFonts w:ascii="Palatino Linotype" w:eastAsia="Palatino Linotype" w:hAnsi="Palatino Linotype" w:cs="Palatino Linotype"/>
          <w:i/>
          <w:color w:val="000000" w:themeColor="text1"/>
        </w:rPr>
      </w:pPr>
      <w:r w:rsidRPr="00E13872">
        <w:rPr>
          <w:rFonts w:ascii="Palatino Linotype" w:eastAsia="Palatino Linotype" w:hAnsi="Palatino Linotype" w:cs="Palatino Linotype"/>
          <w:i/>
          <w:color w:val="000000" w:themeColor="text1"/>
        </w:rPr>
        <w:t xml:space="preserve">Artículo 74. Para el adecuado funcionamiento de la Administración Pública Municipal, cada Dependencia o Dirección contará con los Departamentos, Coordinaciones, Oficialías, Áreas y Unidades Administrativas necesarias, conforme a sus recursos presupuestales. </w:t>
      </w:r>
    </w:p>
    <w:p w:rsidR="00275AB0" w:rsidRPr="00E13872" w:rsidRDefault="002C7303" w:rsidP="002C3557">
      <w:pPr>
        <w:jc w:val="both"/>
        <w:rPr>
          <w:rFonts w:ascii="Palatino Linotype" w:eastAsia="Palatino Linotype" w:hAnsi="Palatino Linotype" w:cs="Palatino Linotype"/>
          <w:i/>
          <w:color w:val="000000" w:themeColor="text1"/>
        </w:rPr>
      </w:pPr>
      <w:r w:rsidRPr="00E13872">
        <w:rPr>
          <w:rFonts w:ascii="Palatino Linotype" w:eastAsia="Palatino Linotype" w:hAnsi="Palatino Linotype" w:cs="Palatino Linotype"/>
          <w:i/>
          <w:color w:val="000000" w:themeColor="text1"/>
        </w:rPr>
        <w:t>…</w:t>
      </w:r>
    </w:p>
    <w:p w:rsidR="00275AB0" w:rsidRPr="00E13872" w:rsidRDefault="00275AB0" w:rsidP="002C3557">
      <w:pPr>
        <w:jc w:val="both"/>
        <w:rPr>
          <w:rFonts w:ascii="Palatino Linotype" w:eastAsia="Palatino Linotype" w:hAnsi="Palatino Linotype" w:cs="Palatino Linotype"/>
          <w:b/>
          <w:i/>
          <w:color w:val="000000" w:themeColor="text1"/>
        </w:rPr>
      </w:pPr>
      <w:r w:rsidRPr="00E13872">
        <w:rPr>
          <w:rFonts w:ascii="Palatino Linotype" w:eastAsia="Palatino Linotype" w:hAnsi="Palatino Linotype" w:cs="Palatino Linotype"/>
          <w:b/>
          <w:i/>
          <w:color w:val="000000" w:themeColor="text1"/>
        </w:rPr>
        <w:t>3. Tesorería Municipal.</w:t>
      </w:r>
    </w:p>
    <w:p w:rsidR="002C7303" w:rsidRPr="00E13872" w:rsidRDefault="002C7303" w:rsidP="002C3557">
      <w:pPr>
        <w:ind w:firstLine="153"/>
        <w:jc w:val="both"/>
        <w:rPr>
          <w:rFonts w:ascii="Palatino Linotype" w:eastAsia="Palatino Linotype" w:hAnsi="Palatino Linotype" w:cs="Palatino Linotype"/>
          <w:i/>
          <w:color w:val="000000" w:themeColor="text1"/>
        </w:rPr>
      </w:pPr>
      <w:r w:rsidRPr="00E13872">
        <w:rPr>
          <w:rFonts w:ascii="Palatino Linotype" w:eastAsia="Palatino Linotype" w:hAnsi="Palatino Linotype" w:cs="Palatino Linotype"/>
          <w:i/>
          <w:color w:val="000000" w:themeColor="text1"/>
        </w:rPr>
        <w:t xml:space="preserve">3.1. Subtesorería de Ingresos. </w:t>
      </w:r>
    </w:p>
    <w:p w:rsidR="002C7303" w:rsidRPr="00E13872" w:rsidRDefault="002C7303" w:rsidP="002C3557">
      <w:pPr>
        <w:ind w:firstLine="153"/>
        <w:jc w:val="both"/>
        <w:rPr>
          <w:rFonts w:ascii="Palatino Linotype" w:eastAsia="Palatino Linotype" w:hAnsi="Palatino Linotype" w:cs="Palatino Linotype"/>
          <w:i/>
          <w:color w:val="000000" w:themeColor="text1"/>
        </w:rPr>
      </w:pPr>
      <w:r w:rsidRPr="00E13872">
        <w:rPr>
          <w:rFonts w:ascii="Palatino Linotype" w:eastAsia="Palatino Linotype" w:hAnsi="Palatino Linotype" w:cs="Palatino Linotype"/>
          <w:i/>
          <w:color w:val="000000" w:themeColor="text1"/>
        </w:rPr>
        <w:t xml:space="preserve">3.1.1. Coordinación de Fiscalización. </w:t>
      </w:r>
    </w:p>
    <w:p w:rsidR="002C7303" w:rsidRPr="00E13872" w:rsidRDefault="002C7303" w:rsidP="002C3557">
      <w:pPr>
        <w:ind w:firstLine="153"/>
        <w:jc w:val="both"/>
        <w:rPr>
          <w:rFonts w:ascii="Palatino Linotype" w:eastAsia="Palatino Linotype" w:hAnsi="Palatino Linotype" w:cs="Palatino Linotype"/>
          <w:b/>
          <w:i/>
          <w:color w:val="000000" w:themeColor="text1"/>
        </w:rPr>
      </w:pPr>
      <w:r w:rsidRPr="00E13872">
        <w:rPr>
          <w:rFonts w:ascii="Palatino Linotype" w:eastAsia="Palatino Linotype" w:hAnsi="Palatino Linotype" w:cs="Palatino Linotype"/>
          <w:b/>
          <w:i/>
          <w:color w:val="000000" w:themeColor="text1"/>
        </w:rPr>
        <w:t xml:space="preserve">3.2. Subtesorería de Egresos, Presupuesto, Contabilidad y Cuenta Pública. </w:t>
      </w:r>
    </w:p>
    <w:p w:rsidR="002C7303" w:rsidRPr="00E13872" w:rsidRDefault="002C7303" w:rsidP="002C3557">
      <w:pPr>
        <w:ind w:firstLine="153"/>
        <w:jc w:val="both"/>
        <w:rPr>
          <w:rFonts w:ascii="Palatino Linotype" w:eastAsia="Palatino Linotype" w:hAnsi="Palatino Linotype" w:cs="Palatino Linotype"/>
          <w:i/>
          <w:color w:val="000000" w:themeColor="text1"/>
        </w:rPr>
      </w:pPr>
      <w:r w:rsidRPr="00E13872">
        <w:rPr>
          <w:rFonts w:ascii="Palatino Linotype" w:eastAsia="Palatino Linotype" w:hAnsi="Palatino Linotype" w:cs="Palatino Linotype"/>
          <w:i/>
          <w:color w:val="000000" w:themeColor="text1"/>
        </w:rPr>
        <w:t xml:space="preserve">3.2.1. Coordinación de Programas Especiales. </w:t>
      </w:r>
    </w:p>
    <w:p w:rsidR="002C7303" w:rsidRPr="00E13872" w:rsidRDefault="002C7303" w:rsidP="002C3557">
      <w:pPr>
        <w:ind w:firstLine="153"/>
        <w:jc w:val="both"/>
        <w:rPr>
          <w:rFonts w:ascii="Palatino Linotype" w:eastAsia="Palatino Linotype" w:hAnsi="Palatino Linotype" w:cs="Palatino Linotype"/>
          <w:i/>
          <w:color w:val="000000" w:themeColor="text1"/>
        </w:rPr>
      </w:pPr>
      <w:r w:rsidRPr="00E13872">
        <w:rPr>
          <w:rFonts w:ascii="Palatino Linotype" w:eastAsia="Palatino Linotype" w:hAnsi="Palatino Linotype" w:cs="Palatino Linotype"/>
          <w:i/>
          <w:color w:val="000000" w:themeColor="text1"/>
        </w:rPr>
        <w:t xml:space="preserve">3.2.2. Coordinación de Nómina. </w:t>
      </w:r>
    </w:p>
    <w:p w:rsidR="002C7303" w:rsidRPr="00E13872" w:rsidRDefault="002C7303" w:rsidP="002C3557">
      <w:pPr>
        <w:ind w:firstLine="153"/>
        <w:jc w:val="both"/>
        <w:rPr>
          <w:rFonts w:ascii="Palatino Linotype" w:eastAsia="Palatino Linotype" w:hAnsi="Palatino Linotype" w:cs="Palatino Linotype"/>
          <w:i/>
          <w:color w:val="000000" w:themeColor="text1"/>
        </w:rPr>
      </w:pPr>
      <w:r w:rsidRPr="00E13872">
        <w:rPr>
          <w:rFonts w:ascii="Palatino Linotype" w:eastAsia="Palatino Linotype" w:hAnsi="Palatino Linotype" w:cs="Palatino Linotype"/>
          <w:i/>
          <w:color w:val="000000" w:themeColor="text1"/>
        </w:rPr>
        <w:t>3.3. Departamento de Catastro</w:t>
      </w:r>
    </w:p>
    <w:p w:rsidR="002C7303" w:rsidRPr="00E13872" w:rsidRDefault="002C7303" w:rsidP="002C3557">
      <w:pPr>
        <w:jc w:val="both"/>
        <w:rPr>
          <w:rFonts w:ascii="Palatino Linotype" w:eastAsia="Palatino Linotype" w:hAnsi="Palatino Linotype" w:cs="Palatino Linotype"/>
          <w:i/>
          <w:color w:val="000000" w:themeColor="text1"/>
        </w:rPr>
      </w:pPr>
      <w:r w:rsidRPr="00E13872">
        <w:rPr>
          <w:rFonts w:ascii="Palatino Linotype" w:eastAsia="Palatino Linotype" w:hAnsi="Palatino Linotype" w:cs="Palatino Linotype"/>
          <w:i/>
          <w:color w:val="000000" w:themeColor="text1"/>
        </w:rPr>
        <w:t>…</w:t>
      </w:r>
    </w:p>
    <w:p w:rsidR="00275AB0" w:rsidRPr="00E13872" w:rsidRDefault="00275AB0" w:rsidP="002C3557">
      <w:pPr>
        <w:jc w:val="both"/>
        <w:rPr>
          <w:rFonts w:ascii="Palatino Linotype" w:eastAsia="Palatino Linotype" w:hAnsi="Palatino Linotype" w:cs="Palatino Linotype"/>
          <w:b/>
          <w:i/>
          <w:color w:val="000000" w:themeColor="text1"/>
        </w:rPr>
      </w:pPr>
      <w:r w:rsidRPr="00E13872">
        <w:rPr>
          <w:rFonts w:ascii="Palatino Linotype" w:eastAsia="Palatino Linotype" w:hAnsi="Palatino Linotype" w:cs="Palatino Linotype"/>
          <w:b/>
          <w:i/>
          <w:color w:val="000000" w:themeColor="text1"/>
        </w:rPr>
        <w:t>6. Dirección de Administración.</w:t>
      </w:r>
    </w:p>
    <w:p w:rsidR="002C7303" w:rsidRPr="00E13872" w:rsidRDefault="002C7303" w:rsidP="002C3557">
      <w:pPr>
        <w:jc w:val="both"/>
        <w:rPr>
          <w:rFonts w:ascii="Palatino Linotype" w:eastAsia="Palatino Linotype" w:hAnsi="Palatino Linotype" w:cs="Palatino Linotype"/>
          <w:b/>
          <w:i/>
          <w:color w:val="000000" w:themeColor="text1"/>
        </w:rPr>
      </w:pPr>
      <w:r w:rsidRPr="00E13872">
        <w:rPr>
          <w:rFonts w:ascii="Palatino Linotype" w:eastAsia="Palatino Linotype" w:hAnsi="Palatino Linotype" w:cs="Palatino Linotype"/>
          <w:b/>
          <w:i/>
          <w:color w:val="000000" w:themeColor="text1"/>
        </w:rPr>
        <w:t xml:space="preserve">6.1. Departamento de Recursos Materiales y Adquisiciones. </w:t>
      </w:r>
    </w:p>
    <w:p w:rsidR="002C7303" w:rsidRPr="00E13872" w:rsidRDefault="002C7303" w:rsidP="002C3557">
      <w:pPr>
        <w:jc w:val="both"/>
        <w:rPr>
          <w:rFonts w:ascii="Palatino Linotype" w:eastAsia="Palatino Linotype" w:hAnsi="Palatino Linotype" w:cs="Palatino Linotype"/>
          <w:i/>
          <w:color w:val="000000" w:themeColor="text1"/>
        </w:rPr>
      </w:pPr>
      <w:r w:rsidRPr="00E13872">
        <w:rPr>
          <w:rFonts w:ascii="Palatino Linotype" w:eastAsia="Palatino Linotype" w:hAnsi="Palatino Linotype" w:cs="Palatino Linotype"/>
          <w:i/>
          <w:color w:val="000000" w:themeColor="text1"/>
        </w:rPr>
        <w:t xml:space="preserve">6.2. Coordinación de Parque Vehicular. </w:t>
      </w:r>
    </w:p>
    <w:p w:rsidR="002C7303" w:rsidRPr="00E13872" w:rsidRDefault="002C7303" w:rsidP="002C3557">
      <w:pPr>
        <w:jc w:val="both"/>
        <w:rPr>
          <w:rFonts w:ascii="Palatino Linotype" w:eastAsia="Palatino Linotype" w:hAnsi="Palatino Linotype" w:cs="Palatino Linotype"/>
          <w:i/>
          <w:color w:val="000000" w:themeColor="text1"/>
        </w:rPr>
      </w:pPr>
      <w:r w:rsidRPr="00E13872">
        <w:rPr>
          <w:rFonts w:ascii="Palatino Linotype" w:eastAsia="Palatino Linotype" w:hAnsi="Palatino Linotype" w:cs="Palatino Linotype"/>
          <w:i/>
          <w:color w:val="000000" w:themeColor="text1"/>
        </w:rPr>
        <w:lastRenderedPageBreak/>
        <w:t xml:space="preserve">6.3. Departamento de Recursos Humanos. </w:t>
      </w:r>
    </w:p>
    <w:p w:rsidR="00FA778F" w:rsidRPr="00E13872" w:rsidRDefault="002C7303" w:rsidP="002C3557">
      <w:pPr>
        <w:jc w:val="both"/>
        <w:rPr>
          <w:rFonts w:ascii="Palatino Linotype" w:eastAsia="Palatino Linotype" w:hAnsi="Palatino Linotype" w:cs="Palatino Linotype"/>
          <w:i/>
          <w:color w:val="000000" w:themeColor="text1"/>
        </w:rPr>
      </w:pPr>
      <w:r w:rsidRPr="00E13872">
        <w:rPr>
          <w:rFonts w:ascii="Palatino Linotype" w:eastAsia="Palatino Linotype" w:hAnsi="Palatino Linotype" w:cs="Palatino Linotype"/>
          <w:i/>
          <w:color w:val="000000" w:themeColor="text1"/>
        </w:rPr>
        <w:t>6.4. Departamento de Tecnologías de la Información.</w:t>
      </w:r>
    </w:p>
    <w:p w:rsidR="00FA778F" w:rsidRPr="00E13872" w:rsidRDefault="00FA778F" w:rsidP="002C3557">
      <w:pPr>
        <w:jc w:val="both"/>
        <w:rPr>
          <w:rFonts w:ascii="Palatino Linotype" w:hAnsi="Palatino Linotype"/>
          <w:color w:val="000000" w:themeColor="text1"/>
        </w:rPr>
      </w:pPr>
    </w:p>
    <w:p w:rsidR="00A219ED" w:rsidRPr="00E13872" w:rsidRDefault="00A219ED" w:rsidP="002C355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De conformidad con el artículo 76 del Bando Municipal, la </w:t>
      </w:r>
      <w:r w:rsidRPr="00E13872">
        <w:rPr>
          <w:rFonts w:ascii="Palatino Linotype" w:eastAsia="Palatino Linotype" w:hAnsi="Palatino Linotype" w:cs="Palatino Linotype"/>
          <w:b/>
          <w:color w:val="000000" w:themeColor="text1"/>
        </w:rPr>
        <w:t>Tesorería Municipal</w:t>
      </w:r>
      <w:r w:rsidRPr="00E13872">
        <w:rPr>
          <w:rFonts w:ascii="Palatino Linotype" w:eastAsia="Palatino Linotype" w:hAnsi="Palatino Linotype" w:cs="Palatino Linotype"/>
          <w:color w:val="000000" w:themeColor="text1"/>
        </w:rPr>
        <w:t>, es el órgano encargado de la recaudación de los ingresos municipales y responsable de realizar las erogaciones que haga el ayuntamiento.</w:t>
      </w:r>
    </w:p>
    <w:p w:rsidR="00A219ED" w:rsidRPr="00E13872" w:rsidRDefault="00A219ED" w:rsidP="002C3557">
      <w:pPr>
        <w:spacing w:line="360" w:lineRule="auto"/>
        <w:jc w:val="both"/>
        <w:rPr>
          <w:rFonts w:ascii="Palatino Linotype" w:eastAsia="Palatino Linotype" w:hAnsi="Palatino Linotype" w:cs="Palatino Linotype"/>
          <w:color w:val="000000" w:themeColor="text1"/>
        </w:rPr>
      </w:pPr>
    </w:p>
    <w:p w:rsidR="00A219ED" w:rsidRPr="00E13872" w:rsidRDefault="00A219ED" w:rsidP="002C355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De conformidad con el artículo 78 del Bando Municipal, la </w:t>
      </w:r>
      <w:r w:rsidRPr="00E13872">
        <w:rPr>
          <w:rFonts w:ascii="Palatino Linotype" w:eastAsia="Palatino Linotype" w:hAnsi="Palatino Linotype" w:cs="Palatino Linotype"/>
          <w:b/>
          <w:color w:val="000000" w:themeColor="text1"/>
        </w:rPr>
        <w:t>Dirección de Administración</w:t>
      </w:r>
      <w:r w:rsidRPr="00E13872">
        <w:rPr>
          <w:rFonts w:ascii="Palatino Linotype" w:eastAsia="Palatino Linotype" w:hAnsi="Palatino Linotype" w:cs="Palatino Linotype"/>
          <w:color w:val="000000" w:themeColor="text1"/>
        </w:rPr>
        <w:t>, es la dependencia encargada de prestar el apoyo administrativo que requiera la administración pública municipal, así como dotar de todos los elementos materiales y humanos que requieran las dependencias de la administración pública para el adecuado funcionamiento.</w:t>
      </w:r>
    </w:p>
    <w:p w:rsidR="00A219ED" w:rsidRPr="00E13872" w:rsidRDefault="00A219ED" w:rsidP="002C3557">
      <w:pPr>
        <w:spacing w:line="360" w:lineRule="auto"/>
        <w:jc w:val="both"/>
        <w:rPr>
          <w:rFonts w:ascii="Palatino Linotype" w:eastAsia="Palatino Linotype" w:hAnsi="Palatino Linotype" w:cs="Palatino Linotype"/>
          <w:color w:val="000000" w:themeColor="text1"/>
        </w:rPr>
      </w:pPr>
    </w:p>
    <w:p w:rsidR="00FA778F" w:rsidRPr="00E13872" w:rsidRDefault="00FA778F" w:rsidP="002C3557">
      <w:pPr>
        <w:numPr>
          <w:ilvl w:val="0"/>
          <w:numId w:val="2"/>
        </w:numPr>
        <w:spacing w:line="360" w:lineRule="auto"/>
        <w:ind w:left="0" w:firstLine="0"/>
        <w:jc w:val="both"/>
        <w:rPr>
          <w:rFonts w:ascii="Palatino Linotype" w:hAnsi="Palatino Linotype"/>
          <w:color w:val="000000" w:themeColor="text1"/>
        </w:rPr>
      </w:pPr>
      <w:r w:rsidRPr="00E13872">
        <w:rPr>
          <w:rFonts w:ascii="Palatino Linotype" w:eastAsia="Palatino Linotype" w:hAnsi="Palatino Linotype" w:cs="Palatino Linotype"/>
          <w:color w:val="000000" w:themeColor="text1"/>
        </w:rPr>
        <w:t>Es de recordar que el Sujeto Obligado en respuesta inicial emite pronunciamiento a través de</w:t>
      </w:r>
      <w:r w:rsidR="003E0A73" w:rsidRPr="00E13872">
        <w:rPr>
          <w:rFonts w:ascii="Palatino Linotype" w:eastAsia="Palatino Linotype" w:hAnsi="Palatino Linotype" w:cs="Palatino Linotype"/>
          <w:color w:val="000000" w:themeColor="text1"/>
        </w:rPr>
        <w:t xml:space="preserve"> </w:t>
      </w:r>
      <w:r w:rsidRPr="00E13872">
        <w:rPr>
          <w:rFonts w:ascii="Palatino Linotype" w:eastAsia="Palatino Linotype" w:hAnsi="Palatino Linotype" w:cs="Palatino Linotype"/>
          <w:color w:val="000000" w:themeColor="text1"/>
        </w:rPr>
        <w:t>l</w:t>
      </w:r>
      <w:r w:rsidR="003E0A73" w:rsidRPr="00E13872">
        <w:rPr>
          <w:rFonts w:ascii="Palatino Linotype" w:eastAsia="Palatino Linotype" w:hAnsi="Palatino Linotype" w:cs="Palatino Linotype"/>
          <w:color w:val="000000" w:themeColor="text1"/>
        </w:rPr>
        <w:t>os</w:t>
      </w:r>
      <w:r w:rsidRPr="00E13872">
        <w:rPr>
          <w:rFonts w:ascii="Palatino Linotype" w:eastAsia="Palatino Linotype" w:hAnsi="Palatino Linotype" w:cs="Palatino Linotype"/>
          <w:color w:val="000000" w:themeColor="text1"/>
        </w:rPr>
        <w:t xml:space="preserve"> Servidor</w:t>
      </w:r>
      <w:r w:rsidR="003E0A73" w:rsidRPr="00E13872">
        <w:rPr>
          <w:rFonts w:ascii="Palatino Linotype" w:eastAsia="Palatino Linotype" w:hAnsi="Palatino Linotype" w:cs="Palatino Linotype"/>
          <w:color w:val="000000" w:themeColor="text1"/>
        </w:rPr>
        <w:t>es</w:t>
      </w:r>
      <w:r w:rsidRPr="00E13872">
        <w:rPr>
          <w:rFonts w:ascii="Palatino Linotype" w:eastAsia="Palatino Linotype" w:hAnsi="Palatino Linotype" w:cs="Palatino Linotype"/>
          <w:color w:val="000000" w:themeColor="text1"/>
        </w:rPr>
        <w:t xml:space="preserve"> Público</w:t>
      </w:r>
      <w:r w:rsidR="003E0A73" w:rsidRPr="00E13872">
        <w:rPr>
          <w:rFonts w:ascii="Palatino Linotype" w:eastAsia="Palatino Linotype" w:hAnsi="Palatino Linotype" w:cs="Palatino Linotype"/>
          <w:color w:val="000000" w:themeColor="text1"/>
        </w:rPr>
        <w:t>s</w:t>
      </w:r>
      <w:r w:rsidRPr="00E13872">
        <w:rPr>
          <w:rFonts w:ascii="Palatino Linotype" w:eastAsia="Palatino Linotype" w:hAnsi="Palatino Linotype" w:cs="Palatino Linotype"/>
          <w:color w:val="000000" w:themeColor="text1"/>
        </w:rPr>
        <w:t xml:space="preserve"> Habilitado</w:t>
      </w:r>
      <w:r w:rsidR="003E0A73" w:rsidRPr="00E13872">
        <w:rPr>
          <w:rFonts w:ascii="Palatino Linotype" w:eastAsia="Palatino Linotype" w:hAnsi="Palatino Linotype" w:cs="Palatino Linotype"/>
          <w:color w:val="000000" w:themeColor="text1"/>
        </w:rPr>
        <w:t>s</w:t>
      </w:r>
      <w:r w:rsidRPr="00E13872">
        <w:rPr>
          <w:rFonts w:ascii="Palatino Linotype" w:eastAsia="Palatino Linotype" w:hAnsi="Palatino Linotype" w:cs="Palatino Linotype"/>
          <w:color w:val="000000" w:themeColor="text1"/>
        </w:rPr>
        <w:t xml:space="preserve"> de la </w:t>
      </w:r>
      <w:r w:rsidR="003E0A73" w:rsidRPr="00E13872">
        <w:rPr>
          <w:rFonts w:ascii="Palatino Linotype" w:eastAsia="Palatino Linotype" w:hAnsi="Palatino Linotype" w:cs="Palatino Linotype"/>
          <w:color w:val="000000" w:themeColor="text1"/>
        </w:rPr>
        <w:t>Dirección de Administración y la Tesorería Municipal</w:t>
      </w:r>
      <w:r w:rsidRPr="00E13872">
        <w:rPr>
          <w:rFonts w:ascii="Palatino Linotype" w:eastAsia="Palatino Linotype" w:hAnsi="Palatino Linotype" w:cs="Palatino Linotype"/>
          <w:color w:val="000000" w:themeColor="text1"/>
        </w:rPr>
        <w:t>, por lo que podemos advertir que se</w:t>
      </w:r>
      <w:r w:rsidRPr="00E13872">
        <w:rPr>
          <w:rFonts w:ascii="Palatino Linotype" w:eastAsia="Palatino Linotype" w:hAnsi="Palatino Linotype" w:cs="Palatino Linotype"/>
          <w:b/>
          <w:color w:val="000000" w:themeColor="text1"/>
        </w:rPr>
        <w:t xml:space="preserve"> </w:t>
      </w:r>
      <w:r w:rsidRPr="00E13872">
        <w:rPr>
          <w:rFonts w:ascii="Palatino Linotype" w:eastAsia="Palatino Linotype" w:hAnsi="Palatino Linotype" w:cs="Palatino Linotype"/>
          <w:color w:val="000000" w:themeColor="text1"/>
        </w:rPr>
        <w:t>siguió el procedimiento inmerso en la normatividad aplicable, ya que turnó los requerimientos de información a la unidad administrativa competente, vigilando lo establecido por el artículo 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rsidR="00FA778F" w:rsidRPr="00E13872" w:rsidRDefault="00FA778F" w:rsidP="002C3557">
      <w:pPr>
        <w:jc w:val="both"/>
        <w:rPr>
          <w:rFonts w:ascii="Palatino Linotype" w:eastAsia="Palatino Linotype" w:hAnsi="Palatino Linotype" w:cs="Palatino Linotype"/>
          <w:i/>
          <w:color w:val="000000" w:themeColor="text1"/>
        </w:rPr>
      </w:pPr>
      <w:r w:rsidRPr="00E13872">
        <w:rPr>
          <w:rFonts w:ascii="Palatino Linotype" w:eastAsia="Palatino Linotype" w:hAnsi="Palatino Linotype" w:cs="Palatino Linotype"/>
          <w:b/>
          <w:i/>
          <w:color w:val="000000" w:themeColor="text1"/>
        </w:rPr>
        <w:t>XXXIX.</w:t>
      </w:r>
      <w:r w:rsidRPr="00E13872">
        <w:rPr>
          <w:rFonts w:ascii="Palatino Linotype" w:eastAsia="Palatino Linotype" w:hAnsi="Palatino Linotype" w:cs="Palatino Linotype"/>
          <w:i/>
          <w:color w:val="000000" w:themeColor="text1"/>
        </w:rPr>
        <w:t xml:space="preserve"> </w:t>
      </w:r>
      <w:r w:rsidRPr="00E13872">
        <w:rPr>
          <w:rFonts w:ascii="Palatino Linotype" w:eastAsia="Palatino Linotype" w:hAnsi="Palatino Linotype" w:cs="Palatino Linotype"/>
          <w:b/>
          <w:i/>
          <w:color w:val="000000" w:themeColor="text1"/>
        </w:rPr>
        <w:t>Servidor público habilitado</w:t>
      </w:r>
      <w:r w:rsidRPr="00E13872">
        <w:rPr>
          <w:rFonts w:ascii="Palatino Linotype" w:eastAsia="Palatino Linotype" w:hAnsi="Palatino Linotype" w:cs="Palatino Linotype"/>
          <w:i/>
          <w:color w:val="000000" w:themeColor="text1"/>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FA778F" w:rsidRPr="00E13872" w:rsidRDefault="00FA778F" w:rsidP="002C3557">
      <w:pPr>
        <w:numPr>
          <w:ilvl w:val="0"/>
          <w:numId w:val="2"/>
        </w:numPr>
        <w:spacing w:line="360" w:lineRule="auto"/>
        <w:ind w:left="0" w:firstLine="0"/>
        <w:jc w:val="both"/>
        <w:rPr>
          <w:rFonts w:ascii="Palatino Linotype" w:hAnsi="Palatino Linotype"/>
          <w:color w:val="000000" w:themeColor="text1"/>
        </w:rPr>
      </w:pPr>
      <w:r w:rsidRPr="00E13872">
        <w:rPr>
          <w:rFonts w:ascii="Palatino Linotype" w:eastAsia="Palatino Linotype" w:hAnsi="Palatino Linotype" w:cs="Palatino Linotype"/>
          <w:color w:val="000000" w:themeColor="text1"/>
        </w:rPr>
        <w:lastRenderedPageBreak/>
        <w:t>Así las cosas, se advierte que efectivamente la Unidad de Transparencia cumplió con lo establecido en el artículo 162 de la Ley de Transparencia y Acceso a la Información Pública del Estado de México y Municipios, el cual menciona lo siguiente:</w:t>
      </w:r>
    </w:p>
    <w:p w:rsidR="00FA778F" w:rsidRPr="00E13872" w:rsidRDefault="00FA778F" w:rsidP="002C3557">
      <w:pPr>
        <w:jc w:val="both"/>
        <w:rPr>
          <w:rFonts w:ascii="Palatino Linotype" w:eastAsia="Palatino Linotype" w:hAnsi="Palatino Linotype" w:cs="Palatino Linotype"/>
          <w:i/>
          <w:color w:val="000000" w:themeColor="text1"/>
        </w:rPr>
      </w:pPr>
      <w:r w:rsidRPr="00E13872">
        <w:rPr>
          <w:rFonts w:ascii="Palatino Linotype" w:eastAsia="Palatino Linotype" w:hAnsi="Palatino Linotype" w:cs="Palatino Linotype"/>
          <w:i/>
          <w:color w:val="000000" w:themeColor="text1"/>
        </w:rPr>
        <w:t>“</w:t>
      </w:r>
      <w:r w:rsidRPr="00E13872">
        <w:rPr>
          <w:rFonts w:ascii="Palatino Linotype" w:eastAsia="Palatino Linotype" w:hAnsi="Palatino Linotype" w:cs="Palatino Linotype"/>
          <w:b/>
          <w:i/>
          <w:color w:val="000000" w:themeColor="text1"/>
        </w:rPr>
        <w:t>Artículo 162.</w:t>
      </w:r>
      <w:r w:rsidRPr="00E13872">
        <w:rPr>
          <w:rFonts w:ascii="Palatino Linotype" w:eastAsia="Palatino Linotype" w:hAnsi="Palatino Linotype" w:cs="Palatino Linotype"/>
          <w:i/>
          <w:color w:val="000000" w:themeColor="text1"/>
        </w:rPr>
        <w:t xml:space="preserve"> Las unidades de transparencia deberán garantizar que las solicitudes se turnen a </w:t>
      </w:r>
      <w:r w:rsidRPr="00E13872">
        <w:rPr>
          <w:rFonts w:ascii="Palatino Linotype" w:eastAsia="Palatino Linotype" w:hAnsi="Palatino Linotype" w:cs="Palatino Linotype"/>
          <w:b/>
          <w:i/>
          <w:color w:val="000000" w:themeColor="text1"/>
        </w:rPr>
        <w:t>todas las Áreas competentes</w:t>
      </w:r>
      <w:r w:rsidRPr="00E13872">
        <w:rPr>
          <w:rFonts w:ascii="Palatino Linotype" w:eastAsia="Palatino Linotype" w:hAnsi="Palatino Linotype" w:cs="Palatino Linotype"/>
          <w:i/>
          <w:color w:val="000000" w:themeColor="text1"/>
        </w:rPr>
        <w:t xml:space="preserve"> que cuenten con la información o deban tenerla de acuerdo a sus facultades, competencias y funciones, con el objeto de que realicen una búsqueda exhaustiva y razonable de la información solicitada.”</w:t>
      </w:r>
    </w:p>
    <w:p w:rsidR="00FA778F" w:rsidRPr="00E13872" w:rsidRDefault="00FA778F" w:rsidP="002C3557">
      <w:pPr>
        <w:spacing w:line="360" w:lineRule="auto"/>
        <w:jc w:val="both"/>
        <w:rPr>
          <w:rFonts w:ascii="Palatino Linotype" w:eastAsia="Palatino Linotype" w:hAnsi="Palatino Linotype" w:cs="Palatino Linotype"/>
          <w:color w:val="000000" w:themeColor="text1"/>
        </w:rPr>
      </w:pPr>
    </w:p>
    <w:p w:rsidR="00FA778F" w:rsidRPr="00E13872" w:rsidRDefault="00FA778F" w:rsidP="002C3557">
      <w:pPr>
        <w:numPr>
          <w:ilvl w:val="0"/>
          <w:numId w:val="2"/>
        </w:numPr>
        <w:spacing w:line="360" w:lineRule="auto"/>
        <w:ind w:left="0" w:firstLine="0"/>
        <w:jc w:val="both"/>
        <w:rPr>
          <w:rFonts w:ascii="Palatino Linotype" w:hAnsi="Palatino Linotype"/>
          <w:color w:val="000000" w:themeColor="text1"/>
        </w:rPr>
      </w:pPr>
      <w:r w:rsidRPr="00E13872">
        <w:rPr>
          <w:rFonts w:ascii="Palatino Linotype" w:eastAsia="Palatino Linotype" w:hAnsi="Palatino Linotype" w:cs="Palatino Linotype"/>
          <w:color w:val="000000" w:themeColor="text1"/>
        </w:rPr>
        <w:t xml:space="preserve">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FA778F" w:rsidRPr="00E13872" w:rsidRDefault="00FA778F" w:rsidP="002C3557">
      <w:pPr>
        <w:jc w:val="both"/>
        <w:rPr>
          <w:rFonts w:ascii="Palatino Linotype" w:eastAsia="Palatino Linotype" w:hAnsi="Palatino Linotype" w:cs="Palatino Linotype"/>
          <w:i/>
          <w:color w:val="000000" w:themeColor="text1"/>
        </w:rPr>
      </w:pPr>
      <w:r w:rsidRPr="00E13872">
        <w:rPr>
          <w:rFonts w:ascii="Palatino Linotype" w:eastAsia="Palatino Linotype" w:hAnsi="Palatino Linotype" w:cs="Palatino Linotype"/>
          <w:i/>
          <w:color w:val="000000" w:themeColor="text1"/>
        </w:rPr>
        <w:t>“</w:t>
      </w:r>
      <w:r w:rsidRPr="00E13872">
        <w:rPr>
          <w:rFonts w:ascii="Palatino Linotype" w:eastAsia="Palatino Linotype" w:hAnsi="Palatino Linotype" w:cs="Palatino Linotype"/>
          <w:b/>
          <w:i/>
          <w:color w:val="000000" w:themeColor="text1"/>
        </w:rPr>
        <w:t xml:space="preserve">Artículo 3. </w:t>
      </w:r>
      <w:r w:rsidRPr="00E13872">
        <w:rPr>
          <w:rFonts w:ascii="Palatino Linotype" w:eastAsia="Palatino Linotype" w:hAnsi="Palatino Linotype" w:cs="Palatino Linotype"/>
          <w:i/>
          <w:color w:val="000000" w:themeColor="text1"/>
        </w:rPr>
        <w:t>Para los efectos de la presente Ley se entenderá por:</w:t>
      </w:r>
    </w:p>
    <w:p w:rsidR="00FA778F" w:rsidRPr="00E13872" w:rsidRDefault="00FA778F" w:rsidP="002C3557">
      <w:pPr>
        <w:jc w:val="both"/>
        <w:rPr>
          <w:rFonts w:ascii="Palatino Linotype" w:eastAsia="Palatino Linotype" w:hAnsi="Palatino Linotype" w:cs="Palatino Linotype"/>
          <w:i/>
          <w:color w:val="000000" w:themeColor="text1"/>
        </w:rPr>
      </w:pPr>
      <w:r w:rsidRPr="00E13872">
        <w:rPr>
          <w:rFonts w:ascii="Palatino Linotype" w:eastAsia="Palatino Linotype" w:hAnsi="Palatino Linotype" w:cs="Palatino Linotype"/>
          <w:i/>
          <w:color w:val="000000" w:themeColor="text1"/>
        </w:rPr>
        <w:t>(…)</w:t>
      </w:r>
    </w:p>
    <w:p w:rsidR="00FA778F" w:rsidRPr="00E13872" w:rsidRDefault="00FA778F" w:rsidP="002C3557">
      <w:pPr>
        <w:jc w:val="both"/>
        <w:rPr>
          <w:rFonts w:ascii="Palatino Linotype" w:eastAsia="Palatino Linotype" w:hAnsi="Palatino Linotype" w:cs="Palatino Linotype"/>
          <w:i/>
          <w:color w:val="000000" w:themeColor="text1"/>
        </w:rPr>
      </w:pPr>
      <w:r w:rsidRPr="00E13872">
        <w:rPr>
          <w:rFonts w:ascii="Palatino Linotype" w:eastAsia="Palatino Linotype" w:hAnsi="Palatino Linotype" w:cs="Palatino Linotype"/>
          <w:b/>
          <w:i/>
          <w:color w:val="000000" w:themeColor="text1"/>
        </w:rPr>
        <w:t>XI. Documento:</w:t>
      </w:r>
      <w:r w:rsidRPr="00E13872">
        <w:rPr>
          <w:rFonts w:ascii="Palatino Linotype" w:eastAsia="Palatino Linotype" w:hAnsi="Palatino Linotype" w:cs="Palatino Linotype"/>
          <w:i/>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A778F" w:rsidRPr="00E13872" w:rsidRDefault="00FA778F" w:rsidP="002C3557">
      <w:pPr>
        <w:spacing w:line="360" w:lineRule="auto"/>
        <w:jc w:val="both"/>
        <w:rPr>
          <w:rFonts w:ascii="Palatino Linotype" w:eastAsia="Palatino Linotype" w:hAnsi="Palatino Linotype" w:cs="Palatino Linotype"/>
          <w:i/>
          <w:color w:val="000000" w:themeColor="text1"/>
        </w:rPr>
      </w:pPr>
      <w:r w:rsidRPr="00E13872">
        <w:rPr>
          <w:rFonts w:ascii="Palatino Linotype" w:eastAsia="Palatino Linotype" w:hAnsi="Palatino Linotype" w:cs="Palatino Linotype"/>
          <w:i/>
          <w:color w:val="000000" w:themeColor="text1"/>
        </w:rPr>
        <w:t>(…)”</w:t>
      </w:r>
    </w:p>
    <w:p w:rsidR="00FA778F" w:rsidRPr="00E13872" w:rsidRDefault="00FA778F" w:rsidP="002C3557">
      <w:pPr>
        <w:jc w:val="both"/>
        <w:rPr>
          <w:rFonts w:ascii="Palatino Linotype" w:eastAsia="Palatino Linotype" w:hAnsi="Palatino Linotype" w:cs="Palatino Linotype"/>
          <w:color w:val="000000" w:themeColor="text1"/>
        </w:rPr>
      </w:pPr>
    </w:p>
    <w:p w:rsidR="00FA778F" w:rsidRPr="00E13872" w:rsidRDefault="00FA778F" w:rsidP="002C3557">
      <w:pPr>
        <w:numPr>
          <w:ilvl w:val="0"/>
          <w:numId w:val="2"/>
        </w:numPr>
        <w:spacing w:line="360" w:lineRule="auto"/>
        <w:ind w:left="0" w:firstLine="0"/>
        <w:jc w:val="both"/>
        <w:rPr>
          <w:rFonts w:ascii="Palatino Linotype" w:hAnsi="Palatino Linotype"/>
          <w:color w:val="000000" w:themeColor="text1"/>
        </w:rPr>
      </w:pPr>
      <w:r w:rsidRPr="00E13872">
        <w:rPr>
          <w:rFonts w:ascii="Palatino Linotype" w:eastAsia="Palatino Linotype" w:hAnsi="Palatino Linotype" w:cs="Palatino Linotype"/>
          <w:color w:val="000000" w:themeColor="text1"/>
        </w:rPr>
        <w:t xml:space="preserve">Siendo aplicable el Criterio de interpretación en el orden administrativo número 0002-11, emitido por Acuerdo del Pleno del Instituto de Transparencia y Acceso a la </w:t>
      </w:r>
      <w:r w:rsidRPr="00E13872">
        <w:rPr>
          <w:rFonts w:ascii="Palatino Linotype" w:eastAsia="Palatino Linotype" w:hAnsi="Palatino Linotype" w:cs="Palatino Linotype"/>
          <w:color w:val="000000" w:themeColor="text1"/>
        </w:rPr>
        <w:lastRenderedPageBreak/>
        <w:t>Información Pública del Estado de México y Municipios; publicado en el Periódico Oficial del Gobierno del Estado Libre y Soberano de México “Gaceta del Gobierno”, el diecinueve de octubre de dos mil once, cuyo rubro y texto dispone:</w:t>
      </w:r>
    </w:p>
    <w:p w:rsidR="00FA778F" w:rsidRPr="00E13872" w:rsidRDefault="00FA778F" w:rsidP="002C3557">
      <w:pPr>
        <w:jc w:val="both"/>
        <w:rPr>
          <w:rFonts w:ascii="Palatino Linotype" w:eastAsia="Palatino Linotype" w:hAnsi="Palatino Linotype" w:cs="Palatino Linotype"/>
          <w:b/>
          <w:i/>
          <w:color w:val="000000" w:themeColor="text1"/>
        </w:rPr>
      </w:pPr>
      <w:r w:rsidRPr="00E13872">
        <w:rPr>
          <w:rFonts w:ascii="Palatino Linotype" w:eastAsia="Palatino Linotype" w:hAnsi="Palatino Linotype" w:cs="Palatino Linotype"/>
          <w:b/>
          <w:color w:val="000000" w:themeColor="text1"/>
        </w:rPr>
        <w:t>“</w:t>
      </w:r>
      <w:r w:rsidRPr="00E13872">
        <w:rPr>
          <w:rFonts w:ascii="Palatino Linotype" w:eastAsia="Palatino Linotype" w:hAnsi="Palatino Linotype" w:cs="Palatino Linotype"/>
          <w:b/>
          <w:i/>
          <w:color w:val="000000" w:themeColor="text1"/>
        </w:rPr>
        <w:t>CRITERIO 0002-11</w:t>
      </w:r>
    </w:p>
    <w:p w:rsidR="00FA778F" w:rsidRPr="00E13872" w:rsidRDefault="00FA778F" w:rsidP="002C3557">
      <w:pPr>
        <w:jc w:val="both"/>
        <w:rPr>
          <w:rFonts w:ascii="Palatino Linotype" w:eastAsia="Palatino Linotype" w:hAnsi="Palatino Linotype" w:cs="Palatino Linotype"/>
          <w:i/>
          <w:color w:val="000000" w:themeColor="text1"/>
        </w:rPr>
      </w:pPr>
      <w:r w:rsidRPr="00E13872">
        <w:rPr>
          <w:rFonts w:ascii="Palatino Linotype" w:eastAsia="Palatino Linotype" w:hAnsi="Palatino Linotype" w:cs="Palatino Linotype"/>
          <w:b/>
          <w:i/>
          <w:color w:val="000000" w:themeColor="text1"/>
        </w:rPr>
        <w:t>INFORMACIÓN PÚBLICA, CONCEPTO DE, EN MATERIA DE TRANSPARENCIA. INTERPRETACIÓN SISTEMÁTICA DE LOS ARTÍCULOS 2°, FRACCIÓN V, XV, Y XVI, 3°, 4°, 11 Y 41.</w:t>
      </w:r>
      <w:r w:rsidRPr="00E13872">
        <w:rPr>
          <w:rFonts w:ascii="Palatino Linotype" w:eastAsia="Palatino Linotype" w:hAnsi="Palatino Linotype" w:cs="Palatino Linotype"/>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A778F" w:rsidRPr="00E13872" w:rsidRDefault="00FA778F" w:rsidP="002C3557">
      <w:pPr>
        <w:jc w:val="both"/>
        <w:rPr>
          <w:rFonts w:ascii="Palatino Linotype" w:eastAsia="Palatino Linotype" w:hAnsi="Palatino Linotype" w:cs="Palatino Linotype"/>
          <w:i/>
          <w:color w:val="000000" w:themeColor="text1"/>
        </w:rPr>
      </w:pPr>
      <w:r w:rsidRPr="00E13872">
        <w:rPr>
          <w:rFonts w:ascii="Palatino Linotype" w:eastAsia="Palatino Linotype" w:hAnsi="Palatino Linotype" w:cs="Palatino Linotype"/>
          <w:i/>
          <w:color w:val="000000" w:themeColor="text1"/>
        </w:rPr>
        <w:t>En consecuencia el acceso a la información se refiere a que se cumplan cualquiera de los siguientes tres supuestos:</w:t>
      </w:r>
    </w:p>
    <w:p w:rsidR="00FA778F" w:rsidRPr="00E13872" w:rsidRDefault="00FA778F" w:rsidP="002C3557">
      <w:pPr>
        <w:jc w:val="both"/>
        <w:rPr>
          <w:rFonts w:ascii="Palatino Linotype" w:eastAsia="Palatino Linotype" w:hAnsi="Palatino Linotype" w:cs="Palatino Linotype"/>
          <w:b/>
          <w:i/>
          <w:color w:val="000000" w:themeColor="text1"/>
        </w:rPr>
      </w:pPr>
      <w:r w:rsidRPr="00E13872">
        <w:rPr>
          <w:rFonts w:ascii="Palatino Linotype" w:eastAsia="Palatino Linotype" w:hAnsi="Palatino Linotype" w:cs="Palatino Linotype"/>
          <w:b/>
          <w:i/>
          <w:color w:val="000000" w:themeColor="text1"/>
        </w:rPr>
        <w:t xml:space="preserve">1) </w:t>
      </w:r>
      <w:r w:rsidRPr="00E13872">
        <w:rPr>
          <w:rFonts w:ascii="Palatino Linotype" w:eastAsia="Palatino Linotype" w:hAnsi="Palatino Linotype" w:cs="Palatino Linotype"/>
          <w:b/>
          <w:i/>
          <w:color w:val="000000" w:themeColor="text1"/>
          <w:u w:val="single"/>
        </w:rPr>
        <w:t>Que se trate de información registrada en cualquier soporte documental, que en ejercicio de las atribuciones conferidas, sea generada por los Sujetos Obligados;</w:t>
      </w:r>
    </w:p>
    <w:p w:rsidR="00FA778F" w:rsidRPr="00E13872" w:rsidRDefault="00FA778F" w:rsidP="002C3557">
      <w:pPr>
        <w:jc w:val="both"/>
        <w:rPr>
          <w:rFonts w:ascii="Palatino Linotype" w:eastAsia="Palatino Linotype" w:hAnsi="Palatino Linotype" w:cs="Palatino Linotype"/>
          <w:i/>
          <w:color w:val="000000" w:themeColor="text1"/>
        </w:rPr>
      </w:pPr>
      <w:r w:rsidRPr="00E13872">
        <w:rPr>
          <w:rFonts w:ascii="Palatino Linotype" w:eastAsia="Palatino Linotype" w:hAnsi="Palatino Linotype" w:cs="Palatino Linotype"/>
          <w:i/>
          <w:color w:val="000000" w:themeColor="text1"/>
        </w:rPr>
        <w:t>2) Que se trate de información registrada en cualquier soporte documental, que en ejercicio de las atribuciones conferidas, sea administrada por los Sujetos Obligados, y</w:t>
      </w:r>
    </w:p>
    <w:p w:rsidR="00FA778F" w:rsidRPr="00E13872" w:rsidRDefault="00FA778F" w:rsidP="002C3557">
      <w:pPr>
        <w:jc w:val="both"/>
        <w:rPr>
          <w:rFonts w:ascii="Palatino Linotype" w:eastAsia="Palatino Linotype" w:hAnsi="Palatino Linotype" w:cs="Palatino Linotype"/>
          <w:i/>
          <w:color w:val="000000" w:themeColor="text1"/>
        </w:rPr>
      </w:pPr>
      <w:r w:rsidRPr="00E13872">
        <w:rPr>
          <w:rFonts w:ascii="Palatino Linotype" w:eastAsia="Palatino Linotype" w:hAnsi="Palatino Linotype" w:cs="Palatino Linotype"/>
          <w:i/>
          <w:color w:val="000000" w:themeColor="text1"/>
        </w:rPr>
        <w:t>3) Que se trate de información registrada en cualquier soporte documental, que en ejercicio de las atribuciones conferidas, se encuentre en posesión de los Sujetos Obligados.”</w:t>
      </w:r>
    </w:p>
    <w:p w:rsidR="00FA778F" w:rsidRPr="00E13872" w:rsidRDefault="00FA778F" w:rsidP="002C3557">
      <w:pPr>
        <w:tabs>
          <w:tab w:val="left" w:pos="851"/>
        </w:tabs>
        <w:spacing w:line="360" w:lineRule="auto"/>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(Énfasis Añadido)</w:t>
      </w:r>
    </w:p>
    <w:p w:rsidR="00FA778F" w:rsidRPr="00E13872" w:rsidRDefault="00FA778F" w:rsidP="002C3557">
      <w:pPr>
        <w:pBdr>
          <w:top w:val="nil"/>
          <w:left w:val="nil"/>
          <w:bottom w:val="nil"/>
          <w:right w:val="nil"/>
          <w:between w:val="nil"/>
        </w:pBdr>
        <w:jc w:val="both"/>
        <w:rPr>
          <w:rFonts w:ascii="Palatino Linotype" w:eastAsia="Palatino Linotype" w:hAnsi="Palatino Linotype" w:cs="Palatino Linotype"/>
          <w:color w:val="000000" w:themeColor="text1"/>
        </w:rPr>
      </w:pPr>
    </w:p>
    <w:p w:rsidR="00FA778F" w:rsidRPr="00E13872" w:rsidRDefault="00FA778F" w:rsidP="002C3557">
      <w:pPr>
        <w:numPr>
          <w:ilvl w:val="0"/>
          <w:numId w:val="2"/>
        </w:numPr>
        <w:spacing w:line="360" w:lineRule="auto"/>
        <w:ind w:left="0" w:firstLine="0"/>
        <w:jc w:val="both"/>
        <w:rPr>
          <w:rFonts w:ascii="Palatino Linotype" w:hAnsi="Palatino Linotype"/>
          <w:color w:val="000000" w:themeColor="text1"/>
        </w:rPr>
      </w:pPr>
      <w:r w:rsidRPr="00E13872">
        <w:rPr>
          <w:rFonts w:ascii="Palatino Linotype" w:eastAsia="Palatino Linotype" w:hAnsi="Palatino Linotype" w:cs="Palatino Linotype"/>
          <w:color w:val="000000" w:themeColor="text1"/>
        </w:rPr>
        <w:t>Por su parte los artículos 160 y 166, de la Ley local en la materia, que se reproduce de la siguiente forma:</w:t>
      </w:r>
    </w:p>
    <w:p w:rsidR="00FA778F" w:rsidRPr="00E13872" w:rsidRDefault="00FA778F" w:rsidP="002C3557">
      <w:pPr>
        <w:jc w:val="both"/>
        <w:rPr>
          <w:rFonts w:ascii="Palatino Linotype" w:eastAsia="Palatino Linotype" w:hAnsi="Palatino Linotype" w:cs="Palatino Linotype"/>
          <w:i/>
          <w:color w:val="000000" w:themeColor="text1"/>
        </w:rPr>
      </w:pPr>
      <w:r w:rsidRPr="00E13872">
        <w:rPr>
          <w:rFonts w:ascii="Palatino Linotype" w:eastAsia="Palatino Linotype" w:hAnsi="Palatino Linotype" w:cs="Palatino Linotype"/>
          <w:i/>
          <w:color w:val="000000" w:themeColor="text1"/>
        </w:rPr>
        <w:t>“</w:t>
      </w:r>
      <w:r w:rsidRPr="00E13872">
        <w:rPr>
          <w:rFonts w:ascii="Palatino Linotype" w:eastAsia="Palatino Linotype" w:hAnsi="Palatino Linotype" w:cs="Palatino Linotype"/>
          <w:b/>
          <w:i/>
          <w:color w:val="000000" w:themeColor="text1"/>
        </w:rPr>
        <w:t>Artículo 160.</w:t>
      </w:r>
      <w:r w:rsidRPr="00E13872">
        <w:rPr>
          <w:rFonts w:ascii="Palatino Linotype" w:eastAsia="Palatino Linotype" w:hAnsi="Palatino Linotype" w:cs="Palatino Linotype"/>
          <w:i/>
          <w:color w:val="000000" w:themeColor="text1"/>
        </w:rPr>
        <w:t xml:space="preserve"> </w:t>
      </w:r>
      <w:r w:rsidRPr="00E13872">
        <w:rPr>
          <w:rFonts w:ascii="Palatino Linotype" w:eastAsia="Palatino Linotype" w:hAnsi="Palatino Linotype" w:cs="Palatino Linotype"/>
          <w:i/>
          <w:color w:val="000000" w:themeColor="text1"/>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E13872">
        <w:rPr>
          <w:rFonts w:ascii="Palatino Linotype" w:eastAsia="Palatino Linotype" w:hAnsi="Palatino Linotype" w:cs="Palatino Linotype"/>
          <w:i/>
          <w:color w:val="000000" w:themeColor="text1"/>
        </w:rPr>
        <w:t>.</w:t>
      </w:r>
    </w:p>
    <w:p w:rsidR="00FA778F" w:rsidRPr="00E13872" w:rsidRDefault="00FA778F" w:rsidP="002C3557">
      <w:pPr>
        <w:jc w:val="both"/>
        <w:rPr>
          <w:rFonts w:ascii="Palatino Linotype" w:eastAsia="Palatino Linotype" w:hAnsi="Palatino Linotype" w:cs="Palatino Linotype"/>
          <w:i/>
          <w:color w:val="000000" w:themeColor="text1"/>
        </w:rPr>
      </w:pPr>
    </w:p>
    <w:p w:rsidR="00FA778F" w:rsidRPr="00E13872" w:rsidRDefault="00FA778F" w:rsidP="002C3557">
      <w:pPr>
        <w:jc w:val="both"/>
        <w:rPr>
          <w:rFonts w:ascii="Palatino Linotype" w:eastAsia="Palatino Linotype" w:hAnsi="Palatino Linotype" w:cs="Palatino Linotype"/>
          <w:i/>
          <w:color w:val="000000" w:themeColor="text1"/>
        </w:rPr>
      </w:pPr>
      <w:r w:rsidRPr="00E13872">
        <w:rPr>
          <w:rFonts w:ascii="Palatino Linotype" w:eastAsia="Palatino Linotype" w:hAnsi="Palatino Linotype" w:cs="Palatino Linotype"/>
          <w:i/>
          <w:color w:val="000000" w:themeColor="text1"/>
        </w:rPr>
        <w:t>En caso que la información solicitada consista en bases de datos se deberá privilegiar la entrega de la misma en formatos abiertos.</w:t>
      </w:r>
    </w:p>
    <w:p w:rsidR="00FA778F" w:rsidRPr="00E13872" w:rsidRDefault="00FA778F" w:rsidP="002C3557">
      <w:pPr>
        <w:jc w:val="both"/>
        <w:rPr>
          <w:rFonts w:ascii="Palatino Linotype" w:eastAsia="Palatino Linotype" w:hAnsi="Palatino Linotype" w:cs="Palatino Linotype"/>
          <w:i/>
          <w:color w:val="000000" w:themeColor="text1"/>
          <w:u w:val="single"/>
        </w:rPr>
      </w:pPr>
      <w:r w:rsidRPr="00E13872">
        <w:rPr>
          <w:rFonts w:ascii="Palatino Linotype" w:eastAsia="Palatino Linotype" w:hAnsi="Palatino Linotype" w:cs="Palatino Linotype"/>
          <w:b/>
          <w:i/>
          <w:color w:val="000000" w:themeColor="text1"/>
        </w:rPr>
        <w:t>Artículo 166.</w:t>
      </w:r>
      <w:r w:rsidRPr="00E13872">
        <w:rPr>
          <w:rFonts w:ascii="Palatino Linotype" w:eastAsia="Palatino Linotype" w:hAnsi="Palatino Linotype" w:cs="Palatino Linotype"/>
          <w:i/>
          <w:color w:val="000000" w:themeColor="text1"/>
        </w:rPr>
        <w:t xml:space="preserve"> </w:t>
      </w:r>
      <w:r w:rsidRPr="00E13872">
        <w:rPr>
          <w:rFonts w:ascii="Palatino Linotype" w:eastAsia="Palatino Linotype" w:hAnsi="Palatino Linotype" w:cs="Palatino Linotype"/>
          <w:i/>
          <w:color w:val="000000" w:themeColor="text1"/>
          <w:u w:val="single"/>
        </w:rPr>
        <w:t>La obligación de acceso a la información pública se tendrá por cumplida cuando el solicitante tenga a su disposición la información requerida, o cuando realice la consulta de la misma en el lugar en el que ésta se localice.</w:t>
      </w:r>
    </w:p>
    <w:p w:rsidR="00FA778F" w:rsidRPr="00E13872" w:rsidRDefault="00FA778F" w:rsidP="002C3557">
      <w:pPr>
        <w:spacing w:line="360" w:lineRule="auto"/>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lastRenderedPageBreak/>
        <w:t>(Énfasis añadido)</w:t>
      </w:r>
    </w:p>
    <w:p w:rsidR="00FA778F" w:rsidRPr="00E13872" w:rsidRDefault="00FA778F" w:rsidP="002C3557">
      <w:pPr>
        <w:jc w:val="both"/>
        <w:rPr>
          <w:rFonts w:ascii="Palatino Linotype" w:eastAsia="Palatino Linotype" w:hAnsi="Palatino Linotype" w:cs="Palatino Linotype"/>
          <w:color w:val="000000" w:themeColor="text1"/>
        </w:rPr>
      </w:pPr>
    </w:p>
    <w:p w:rsidR="00FA778F" w:rsidRPr="00E13872" w:rsidRDefault="00FA778F" w:rsidP="002C3557">
      <w:pPr>
        <w:numPr>
          <w:ilvl w:val="0"/>
          <w:numId w:val="2"/>
        </w:numPr>
        <w:spacing w:line="360" w:lineRule="auto"/>
        <w:ind w:left="0" w:firstLine="0"/>
        <w:jc w:val="both"/>
        <w:rPr>
          <w:rFonts w:ascii="Palatino Linotype" w:hAnsi="Palatino Linotype"/>
          <w:color w:val="000000" w:themeColor="text1"/>
        </w:rPr>
      </w:pPr>
      <w:r w:rsidRPr="00E13872">
        <w:rPr>
          <w:rFonts w:ascii="Palatino Linotype" w:eastAsia="Palatino Linotype" w:hAnsi="Palatino Linotype" w:cs="Palatino Linotype"/>
          <w:color w:val="000000" w:themeColor="text1"/>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FA778F" w:rsidRPr="00E13872" w:rsidRDefault="00FA778F" w:rsidP="002C3557">
      <w:pPr>
        <w:spacing w:line="360" w:lineRule="auto"/>
        <w:jc w:val="both"/>
        <w:rPr>
          <w:rFonts w:ascii="Palatino Linotype" w:eastAsia="Palatino Linotype" w:hAnsi="Palatino Linotype" w:cs="Palatino Linotype"/>
          <w:color w:val="000000" w:themeColor="text1"/>
        </w:rPr>
      </w:pPr>
    </w:p>
    <w:p w:rsidR="000C7516" w:rsidRPr="00E13872" w:rsidRDefault="00FA778F" w:rsidP="002C355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Ahora bien, es de recordar que el particular solicitó </w:t>
      </w:r>
      <w:r w:rsidR="000C7516" w:rsidRPr="00E13872">
        <w:rPr>
          <w:rFonts w:ascii="Palatino Linotype" w:eastAsia="Palatino Linotype" w:hAnsi="Palatino Linotype" w:cs="Palatino Linotype"/>
          <w:i/>
          <w:color w:val="000000" w:themeColor="text1"/>
          <w:u w:val="single"/>
        </w:rPr>
        <w:t>Requerimientos de compras y documentos que comprueben las compras de enero 2025</w:t>
      </w:r>
      <w:r w:rsidRPr="00E13872">
        <w:rPr>
          <w:rFonts w:ascii="Palatino Linotype" w:eastAsia="Palatino Linotype" w:hAnsi="Palatino Linotype" w:cs="Palatino Linotype"/>
          <w:color w:val="000000" w:themeColor="text1"/>
        </w:rPr>
        <w:t>, el Sujeto Obligado</w:t>
      </w:r>
      <w:r w:rsidR="000C7516" w:rsidRPr="00E13872">
        <w:rPr>
          <w:rFonts w:ascii="Palatino Linotype" w:eastAsia="Palatino Linotype" w:hAnsi="Palatino Linotype" w:cs="Palatino Linotype"/>
          <w:color w:val="000000" w:themeColor="text1"/>
        </w:rPr>
        <w:t xml:space="preserve"> emitió respuesta a través de las unidades administrativas competentes</w:t>
      </w:r>
      <w:r w:rsidRPr="00E13872">
        <w:rPr>
          <w:rFonts w:ascii="Palatino Linotype" w:eastAsia="Palatino Linotype" w:hAnsi="Palatino Linotype" w:cs="Palatino Linotype"/>
          <w:b/>
          <w:color w:val="000000" w:themeColor="text1"/>
        </w:rPr>
        <w:t>,</w:t>
      </w:r>
      <w:r w:rsidRPr="00E13872">
        <w:rPr>
          <w:rFonts w:ascii="Palatino Linotype" w:eastAsia="Palatino Linotype" w:hAnsi="Palatino Linotype" w:cs="Palatino Linotype"/>
          <w:color w:val="000000" w:themeColor="text1"/>
        </w:rPr>
        <w:t xml:space="preserve"> </w:t>
      </w:r>
      <w:r w:rsidR="00DE25F8" w:rsidRPr="00E13872">
        <w:rPr>
          <w:rFonts w:ascii="Palatino Linotype" w:eastAsia="Palatino Linotype" w:hAnsi="Palatino Linotype" w:cs="Palatino Linotype"/>
          <w:color w:val="000000" w:themeColor="text1"/>
        </w:rPr>
        <w:t xml:space="preserve">señalando </w:t>
      </w:r>
      <w:r w:rsidR="000C7516" w:rsidRPr="00E13872">
        <w:rPr>
          <w:rFonts w:ascii="Palatino Linotype" w:eastAsia="Palatino Linotype" w:hAnsi="Palatino Linotype" w:cs="Palatino Linotype"/>
          <w:color w:val="000000" w:themeColor="text1"/>
        </w:rPr>
        <w:t xml:space="preserve">a través de la Directora de Administración que una vez realizada la búsqueda exhaustiva y razonable en los archivos físicos y electrónicos del al Departamento de Recursos Materiales y Adquisiciones, </w:t>
      </w:r>
      <w:r w:rsidR="000C7516" w:rsidRPr="00E13872">
        <w:rPr>
          <w:rFonts w:ascii="Palatino Linotype" w:eastAsia="Palatino Linotype" w:hAnsi="Palatino Linotype" w:cs="Palatino Linotype"/>
          <w:b/>
          <w:color w:val="000000" w:themeColor="text1"/>
        </w:rPr>
        <w:t>no obra documentación alguna respecto de lo solicitado</w:t>
      </w:r>
      <w:r w:rsidR="000C7516" w:rsidRPr="00E13872">
        <w:rPr>
          <w:rFonts w:ascii="Palatino Linotype" w:eastAsia="Palatino Linotype" w:hAnsi="Palatino Linotype" w:cs="Palatino Linotype"/>
          <w:color w:val="000000" w:themeColor="text1"/>
        </w:rPr>
        <w:t xml:space="preserve">, y a través del Tesorero Municipal manifestando que la información solicitada se encuentra dentro de las atribuciones y facultades de la Dirección de Administración, </w:t>
      </w:r>
      <w:r w:rsidRPr="00E13872">
        <w:rPr>
          <w:rFonts w:ascii="Palatino Linotype" w:eastAsia="Palatino Linotype" w:hAnsi="Palatino Linotype" w:cs="Palatino Linotype"/>
          <w:color w:val="000000" w:themeColor="text1"/>
        </w:rPr>
        <w:t xml:space="preserve">situación de la cual se dolió el recurrente </w:t>
      </w:r>
      <w:r w:rsidR="00DE25F8" w:rsidRPr="00E13872">
        <w:rPr>
          <w:rFonts w:ascii="Palatino Linotype" w:eastAsia="Palatino Linotype" w:hAnsi="Palatino Linotype" w:cs="Palatino Linotype"/>
          <w:color w:val="000000" w:themeColor="text1"/>
        </w:rPr>
        <w:t>manifestando la negativa de la información requerida,</w:t>
      </w:r>
      <w:r w:rsidRPr="00E13872">
        <w:rPr>
          <w:rFonts w:ascii="Palatino Linotype" w:eastAsia="Palatino Linotype" w:hAnsi="Palatino Linotype" w:cs="Palatino Linotype"/>
          <w:color w:val="000000" w:themeColor="text1"/>
        </w:rPr>
        <w:t xml:space="preserve"> posteriormente en informe justificado el Sujeto Obligado ratificó </w:t>
      </w:r>
      <w:r w:rsidR="000C7516" w:rsidRPr="00E13872">
        <w:rPr>
          <w:rFonts w:ascii="Palatino Linotype" w:eastAsia="Palatino Linotype" w:hAnsi="Palatino Linotype" w:cs="Palatino Linotype"/>
          <w:color w:val="000000" w:themeColor="text1"/>
        </w:rPr>
        <w:t xml:space="preserve">la respuesta proporcionada por el Tesorero Municipal, empero complementó su respuesta a través de la Dirección de Administración, manifestando que respecto a </w:t>
      </w:r>
      <w:r w:rsidR="000C7516" w:rsidRPr="00E13872">
        <w:rPr>
          <w:rFonts w:ascii="Palatino Linotype" w:eastAsia="Palatino Linotype" w:hAnsi="Palatino Linotype" w:cs="Palatino Linotype"/>
          <w:b/>
          <w:color w:val="000000" w:themeColor="text1"/>
        </w:rPr>
        <w:t>Compras y requerimientos</w:t>
      </w:r>
      <w:r w:rsidR="000C7516" w:rsidRPr="00E13872">
        <w:rPr>
          <w:rFonts w:ascii="Palatino Linotype" w:eastAsia="Palatino Linotype" w:hAnsi="Palatino Linotype" w:cs="Palatino Linotype"/>
          <w:color w:val="000000" w:themeColor="text1"/>
        </w:rPr>
        <w:t xml:space="preserve">: se remite la información referente a las requisiciones solicitadas por diversas áreas, documentales que reflejan las compras realizadas en enero del 2025, en cuanto a los </w:t>
      </w:r>
      <w:r w:rsidR="000C7516" w:rsidRPr="00E13872">
        <w:rPr>
          <w:rFonts w:ascii="Palatino Linotype" w:eastAsia="Palatino Linotype" w:hAnsi="Palatino Linotype" w:cs="Palatino Linotype"/>
          <w:b/>
          <w:color w:val="000000" w:themeColor="text1"/>
        </w:rPr>
        <w:t>Documentos que comprueben las compras de enero 2025</w:t>
      </w:r>
      <w:r w:rsidR="000C7516" w:rsidRPr="00E13872">
        <w:rPr>
          <w:rFonts w:ascii="Palatino Linotype" w:eastAsia="Palatino Linotype" w:hAnsi="Palatino Linotype" w:cs="Palatino Linotype"/>
          <w:color w:val="000000" w:themeColor="text1"/>
        </w:rPr>
        <w:t>: refiere que las requisiciones forman parte del expediente que comprueban las compras real</w:t>
      </w:r>
      <w:r w:rsidR="00EC5E5F" w:rsidRPr="00E13872">
        <w:rPr>
          <w:rFonts w:ascii="Palatino Linotype" w:eastAsia="Palatino Linotype" w:hAnsi="Palatino Linotype" w:cs="Palatino Linotype"/>
          <w:color w:val="000000" w:themeColor="text1"/>
        </w:rPr>
        <w:t>izadas en el periodo solicitado</w:t>
      </w:r>
      <w:r w:rsidR="000C7516" w:rsidRPr="00E13872">
        <w:rPr>
          <w:rFonts w:ascii="Palatino Linotype" w:eastAsia="Palatino Linotype" w:hAnsi="Palatino Linotype" w:cs="Palatino Linotype"/>
          <w:color w:val="000000" w:themeColor="text1"/>
        </w:rPr>
        <w:t xml:space="preserve">. Asimismo hace la precisión que por lo que respecta a las Facturas, documento que también pueden colmar la pretensión del hoy </w:t>
      </w:r>
      <w:r w:rsidR="000C7516" w:rsidRPr="00E13872">
        <w:rPr>
          <w:rFonts w:ascii="Palatino Linotype" w:eastAsia="Palatino Linotype" w:hAnsi="Palatino Linotype" w:cs="Palatino Linotype"/>
          <w:color w:val="000000" w:themeColor="text1"/>
        </w:rPr>
        <w:lastRenderedPageBreak/>
        <w:t>Recurrente, las mismas se encuentran en proceso de facturación, es decir, no obran en los archivos de la Unidad Administrativa</w:t>
      </w:r>
      <w:r w:rsidR="00EC5E5F" w:rsidRPr="00E13872">
        <w:rPr>
          <w:rFonts w:ascii="Palatino Linotype" w:eastAsia="Palatino Linotype" w:hAnsi="Palatino Linotype" w:cs="Palatino Linotype"/>
          <w:color w:val="000000" w:themeColor="text1"/>
        </w:rPr>
        <w:t>.</w:t>
      </w:r>
    </w:p>
    <w:p w:rsidR="000E33AF" w:rsidRPr="00E13872" w:rsidRDefault="000E33AF" w:rsidP="002C3557">
      <w:pPr>
        <w:spacing w:line="360" w:lineRule="auto"/>
        <w:jc w:val="both"/>
        <w:rPr>
          <w:rFonts w:ascii="Palatino Linotype" w:eastAsia="Palatino Linotype" w:hAnsi="Palatino Linotype" w:cs="Palatino Linotype"/>
          <w:color w:val="000000" w:themeColor="text1"/>
        </w:rPr>
      </w:pPr>
    </w:p>
    <w:p w:rsidR="004120C1" w:rsidRPr="00E13872" w:rsidRDefault="000E33AF" w:rsidP="002C355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En razón de lo anterior es importante precisar que de conformidad con el Manual de procedimientos de la Dirección de Administración vigente, la </w:t>
      </w:r>
      <w:r w:rsidRPr="00E13872">
        <w:rPr>
          <w:rFonts w:ascii="Palatino Linotype" w:eastAsia="Palatino Linotype" w:hAnsi="Palatino Linotype" w:cs="Palatino Linotype"/>
          <w:b/>
          <w:color w:val="000000" w:themeColor="text1"/>
        </w:rPr>
        <w:t>requisición</w:t>
      </w:r>
      <w:r w:rsidRPr="00E13872">
        <w:rPr>
          <w:rFonts w:ascii="Palatino Linotype" w:eastAsia="Palatino Linotype" w:hAnsi="Palatino Linotype" w:cs="Palatino Linotype"/>
          <w:color w:val="000000" w:themeColor="text1"/>
        </w:rPr>
        <w:t xml:space="preserve"> es la “Solicitud de compra de productos o servicios para una unidad administrativa y la cual se dirige a la Dirección de Administración.”</w:t>
      </w:r>
      <w:r w:rsidR="004120C1" w:rsidRPr="00E13872">
        <w:rPr>
          <w:rFonts w:ascii="Palatino Linotype" w:eastAsia="Palatino Linotype" w:hAnsi="Palatino Linotype" w:cs="Palatino Linotype"/>
          <w:color w:val="000000" w:themeColor="text1"/>
        </w:rPr>
        <w:t>, en este sentido y toda vez que el Sujeto Obligado modificó su respuesta inicial al remitir a través de informe justificado 27 solicitudes de requisición mismas que muestran distintos datos, entre ellos los referentes al área solicitante, fecha, cantidad y descripción de artículos. Comentarios de uso y aplicación, nombre y firma de recibido y costo, firmas y sellos de diversos servidores públicos que solicitan y autorizan tal requisición, tal como se muestra en la siguiente imagen:</w:t>
      </w:r>
    </w:p>
    <w:p w:rsidR="004120C1" w:rsidRPr="00E13872" w:rsidRDefault="004120C1" w:rsidP="002C3557">
      <w:pPr>
        <w:spacing w:line="360" w:lineRule="auto"/>
        <w:jc w:val="both"/>
        <w:rPr>
          <w:rFonts w:ascii="Palatino Linotype" w:eastAsia="Palatino Linotype" w:hAnsi="Palatino Linotype" w:cs="Palatino Linotype"/>
          <w:color w:val="000000" w:themeColor="text1"/>
        </w:rPr>
      </w:pPr>
    </w:p>
    <w:p w:rsidR="004120C1" w:rsidRPr="00E13872" w:rsidRDefault="004120C1" w:rsidP="002C3557">
      <w:pPr>
        <w:spacing w:line="360" w:lineRule="auto"/>
        <w:jc w:val="center"/>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noProof/>
          <w:color w:val="000000" w:themeColor="text1"/>
          <w:lang w:val="es-MX" w:eastAsia="es-MX"/>
        </w:rPr>
        <w:drawing>
          <wp:inline distT="0" distB="0" distL="0" distR="0" wp14:anchorId="0DD0C58F" wp14:editId="09AE672A">
            <wp:extent cx="3229610" cy="2734747"/>
            <wp:effectExtent l="152400" t="152400" r="370840" b="3708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41785" cy="2745057"/>
                    </a:xfrm>
                    <a:prstGeom prst="rect">
                      <a:avLst/>
                    </a:prstGeom>
                    <a:ln>
                      <a:noFill/>
                    </a:ln>
                    <a:effectLst>
                      <a:outerShdw blurRad="292100" dist="139700" dir="2700000" algn="tl" rotWithShape="0">
                        <a:srgbClr val="333333">
                          <a:alpha val="65000"/>
                        </a:srgbClr>
                      </a:outerShdw>
                    </a:effectLst>
                  </pic:spPr>
                </pic:pic>
              </a:graphicData>
            </a:graphic>
          </wp:inline>
        </w:drawing>
      </w:r>
    </w:p>
    <w:p w:rsidR="004120C1" w:rsidRPr="00E13872" w:rsidRDefault="004120C1" w:rsidP="002C355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lastRenderedPageBreak/>
        <w:t xml:space="preserve">De lo expuesto, se presume que al haber existido un pronunciamiento por parte del </w:t>
      </w:r>
      <w:r w:rsidRPr="00E13872">
        <w:rPr>
          <w:rFonts w:ascii="Palatino Linotype" w:eastAsia="Palatino Linotype" w:hAnsi="Palatino Linotype" w:cs="Palatino Linotype"/>
          <w:b/>
          <w:color w:val="000000" w:themeColor="text1"/>
        </w:rPr>
        <w:t>SUJETO OBLIGADO</w:t>
      </w:r>
      <w:r w:rsidRPr="00E13872">
        <w:rPr>
          <w:rFonts w:ascii="Palatino Linotype" w:eastAsia="Palatino Linotype" w:hAnsi="Palatino Linotype" w:cs="Palatino Linotype"/>
          <w:color w:val="000000" w:themeColor="text1"/>
        </w:rPr>
        <w:t xml:space="preserve">, a través de la unidad administrativa competente, </w:t>
      </w:r>
      <w:r w:rsidRPr="00E13872">
        <w:rPr>
          <w:rFonts w:ascii="Palatino Linotype" w:eastAsia="Palatino Linotype" w:hAnsi="Palatino Linotype" w:cs="Palatino Linotype"/>
          <w:b/>
          <w:color w:val="000000" w:themeColor="text1"/>
        </w:rPr>
        <w:t>se dio atención parcial a las manifestaciones vertidas en el recurso de revisión</w:t>
      </w:r>
      <w:r w:rsidRPr="00E13872">
        <w:rPr>
          <w:rFonts w:ascii="Palatino Linotype" w:eastAsia="Palatino Linotype" w:hAnsi="Palatino Linotype" w:cs="Palatino Linotype"/>
          <w:color w:val="000000" w:themeColor="text1"/>
        </w:rPr>
        <w:t xml:space="preserve">, este Instituto no está facultado para manifestarse sobre la veracidad, pues no existe precepto legal alguno en la Ley de la materia que lo faculte para que, vía recurso de revisión, pueda pronunciarse al respecto, por lo que </w:t>
      </w:r>
      <w:r w:rsidRPr="00E13872">
        <w:rPr>
          <w:rFonts w:ascii="Palatino Linotype" w:eastAsia="Palatino Linotype" w:hAnsi="Palatino Linotype" w:cs="Palatino Linotype"/>
          <w:b/>
          <w:color w:val="000000" w:themeColor="text1"/>
        </w:rPr>
        <w:t>el punto de solicitud referido se tiene por atendido</w:t>
      </w:r>
      <w:r w:rsidRPr="00E13872">
        <w:rPr>
          <w:rFonts w:ascii="Palatino Linotype" w:eastAsia="Palatino Linotype" w:hAnsi="Palatino Linotype" w:cs="Palatino Linotype"/>
          <w:color w:val="000000" w:themeColor="text1"/>
        </w:rPr>
        <w:t>.</w:t>
      </w:r>
    </w:p>
    <w:p w:rsidR="00376BA1" w:rsidRPr="00E13872" w:rsidRDefault="00376BA1" w:rsidP="002C3557">
      <w:pPr>
        <w:spacing w:line="360" w:lineRule="auto"/>
        <w:jc w:val="both"/>
        <w:rPr>
          <w:rFonts w:ascii="Palatino Linotype" w:eastAsia="Palatino Linotype" w:hAnsi="Palatino Linotype" w:cs="Palatino Linotype"/>
          <w:color w:val="000000" w:themeColor="text1"/>
        </w:rPr>
      </w:pPr>
    </w:p>
    <w:p w:rsidR="00D23B3D" w:rsidRPr="00E13872" w:rsidRDefault="00376BA1" w:rsidP="002C3557">
      <w:pPr>
        <w:numPr>
          <w:ilvl w:val="0"/>
          <w:numId w:val="2"/>
        </w:numPr>
        <w:spacing w:line="360" w:lineRule="auto"/>
        <w:ind w:left="0" w:firstLine="0"/>
        <w:jc w:val="both"/>
        <w:rPr>
          <w:rFonts w:ascii="Palatino Linotype" w:eastAsia="Palatino Linotype" w:hAnsi="Palatino Linotype" w:cs="Palatino Linotype"/>
          <w:color w:val="000000" w:themeColor="text1"/>
          <w:u w:val="single"/>
        </w:rPr>
      </w:pPr>
      <w:r w:rsidRPr="00E13872">
        <w:rPr>
          <w:rFonts w:ascii="Palatino Linotype" w:eastAsia="Palatino Linotype" w:hAnsi="Palatino Linotype" w:cs="Palatino Linotype"/>
          <w:color w:val="000000" w:themeColor="text1"/>
        </w:rPr>
        <w:t xml:space="preserve">Ahora bien, es importante señalar que respecto del punto de solicitud </w:t>
      </w:r>
      <w:r w:rsidRPr="00E13872">
        <w:rPr>
          <w:rFonts w:ascii="Palatino Linotype" w:eastAsia="Palatino Linotype" w:hAnsi="Palatino Linotype" w:cs="Palatino Linotype"/>
          <w:i/>
          <w:color w:val="000000" w:themeColor="text1"/>
          <w:u w:val="single"/>
        </w:rPr>
        <w:t>documentos que comprueben las compras de enero 2025</w:t>
      </w:r>
      <w:r w:rsidR="00D23B3D" w:rsidRPr="00E13872">
        <w:rPr>
          <w:rFonts w:ascii="Palatino Linotype" w:eastAsia="Palatino Linotype" w:hAnsi="Palatino Linotype" w:cs="Palatino Linotype"/>
          <w:color w:val="000000" w:themeColor="text1"/>
        </w:rPr>
        <w:t>, la Dirección de Administración cuenta con un Departamento de Recursos Materiales, mismo que a su vez cuenta con una Unidad de Compras y Suministros y una Unidad de Facturas y Registros.</w:t>
      </w:r>
    </w:p>
    <w:p w:rsidR="00D23B3D" w:rsidRPr="00E13872" w:rsidRDefault="00D23B3D" w:rsidP="002C3557">
      <w:pPr>
        <w:spacing w:line="360" w:lineRule="auto"/>
        <w:jc w:val="both"/>
        <w:rPr>
          <w:rFonts w:ascii="Palatino Linotype" w:eastAsia="Palatino Linotype" w:hAnsi="Palatino Linotype" w:cs="Palatino Linotype"/>
          <w:color w:val="000000" w:themeColor="text1"/>
          <w:u w:val="single"/>
        </w:rPr>
      </w:pPr>
    </w:p>
    <w:p w:rsidR="00D23B3D" w:rsidRPr="00E13872" w:rsidRDefault="003C3E11" w:rsidP="002C3557">
      <w:pPr>
        <w:numPr>
          <w:ilvl w:val="0"/>
          <w:numId w:val="2"/>
        </w:numPr>
        <w:spacing w:line="360" w:lineRule="auto"/>
        <w:ind w:left="0" w:firstLine="0"/>
        <w:jc w:val="both"/>
        <w:rPr>
          <w:rFonts w:ascii="Palatino Linotype" w:eastAsia="Palatino Linotype" w:hAnsi="Palatino Linotype" w:cs="Palatino Linotype"/>
          <w:color w:val="000000" w:themeColor="text1"/>
          <w:u w:val="single"/>
        </w:rPr>
      </w:pPr>
      <w:r w:rsidRPr="00E13872">
        <w:rPr>
          <w:rFonts w:ascii="Palatino Linotype" w:eastAsia="Palatino Linotype" w:hAnsi="Palatino Linotype" w:cs="Palatino Linotype"/>
          <w:color w:val="000000" w:themeColor="text1"/>
        </w:rPr>
        <w:t>De conformidad con el Manual de Organización de la Dirección de Administración, l</w:t>
      </w:r>
      <w:r w:rsidR="00D23B3D" w:rsidRPr="00E13872">
        <w:rPr>
          <w:rFonts w:ascii="Palatino Linotype" w:eastAsia="Palatino Linotype" w:hAnsi="Palatino Linotype" w:cs="Palatino Linotype"/>
          <w:color w:val="000000" w:themeColor="text1"/>
        </w:rPr>
        <w:t xml:space="preserve">a Unidad de Compras y Suministros es la encargada de </w:t>
      </w:r>
      <w:r w:rsidRPr="00E13872">
        <w:rPr>
          <w:rFonts w:ascii="Palatino Linotype" w:eastAsia="Palatino Linotype" w:hAnsi="Palatino Linotype" w:cs="Palatino Linotype"/>
          <w:color w:val="000000" w:themeColor="text1"/>
        </w:rPr>
        <w:t>c</w:t>
      </w:r>
      <w:r w:rsidR="00D23B3D" w:rsidRPr="00E13872">
        <w:rPr>
          <w:rFonts w:ascii="Palatino Linotype" w:eastAsia="Palatino Linotype" w:hAnsi="Palatino Linotype" w:cs="Palatino Linotype"/>
          <w:color w:val="000000" w:themeColor="text1"/>
        </w:rPr>
        <w:t>oordinar la recepción de solicitudes de bienes y servicios de las diferentes unidades administrativas para iniciar el trámite correspondiente y organizar los suministros e integración del expediente respectivo para su remisión a Tesorería Municip</w:t>
      </w:r>
      <w:r w:rsidRPr="00E13872">
        <w:rPr>
          <w:rFonts w:ascii="Palatino Linotype" w:eastAsia="Palatino Linotype" w:hAnsi="Palatino Linotype" w:cs="Palatino Linotype"/>
          <w:color w:val="000000" w:themeColor="text1"/>
        </w:rPr>
        <w:t xml:space="preserve">al, dentro de sus funciones están las de realizar la compra y proceder a realizar la entrega de los bienes y/o servicios contratados al área solicitante, asegurándose que los mismos cumplan con las especificaciones establecidas; y </w:t>
      </w:r>
      <w:r w:rsidR="005458C4" w:rsidRPr="00E13872">
        <w:rPr>
          <w:rFonts w:ascii="Palatino Linotype" w:eastAsia="Palatino Linotype" w:hAnsi="Palatino Linotype" w:cs="Palatino Linotype"/>
          <w:color w:val="000000" w:themeColor="text1"/>
        </w:rPr>
        <w:t>r</w:t>
      </w:r>
      <w:r w:rsidRPr="00E13872">
        <w:rPr>
          <w:rFonts w:ascii="Palatino Linotype" w:eastAsia="Palatino Linotype" w:hAnsi="Palatino Linotype" w:cs="Palatino Linotype"/>
          <w:color w:val="000000" w:themeColor="text1"/>
        </w:rPr>
        <w:t>ealizar la integración del expediente de compra, para su debida remisión para pago a Tesorería Municipal</w:t>
      </w:r>
      <w:r w:rsidR="005458C4" w:rsidRPr="00E13872">
        <w:rPr>
          <w:rFonts w:ascii="Palatino Linotype" w:eastAsia="Palatino Linotype" w:hAnsi="Palatino Linotype" w:cs="Palatino Linotype"/>
          <w:color w:val="000000" w:themeColor="text1"/>
        </w:rPr>
        <w:t>.</w:t>
      </w:r>
    </w:p>
    <w:p w:rsidR="005458C4" w:rsidRPr="00E13872" w:rsidRDefault="005458C4" w:rsidP="002C3557">
      <w:pPr>
        <w:spacing w:line="360" w:lineRule="auto"/>
        <w:jc w:val="both"/>
        <w:rPr>
          <w:rFonts w:ascii="Palatino Linotype" w:eastAsia="Palatino Linotype" w:hAnsi="Palatino Linotype" w:cs="Palatino Linotype"/>
          <w:color w:val="000000" w:themeColor="text1"/>
          <w:u w:val="single"/>
        </w:rPr>
      </w:pPr>
    </w:p>
    <w:p w:rsidR="005458C4" w:rsidRPr="00E13872" w:rsidRDefault="005458C4" w:rsidP="002C3557">
      <w:pPr>
        <w:numPr>
          <w:ilvl w:val="0"/>
          <w:numId w:val="2"/>
        </w:numPr>
        <w:spacing w:line="360" w:lineRule="auto"/>
        <w:ind w:left="0" w:firstLine="0"/>
        <w:jc w:val="both"/>
        <w:rPr>
          <w:rFonts w:ascii="Palatino Linotype" w:eastAsia="Palatino Linotype" w:hAnsi="Palatino Linotype" w:cs="Palatino Linotype"/>
          <w:color w:val="000000" w:themeColor="text1"/>
          <w:u w:val="single"/>
        </w:rPr>
      </w:pPr>
      <w:r w:rsidRPr="00E13872">
        <w:rPr>
          <w:rFonts w:ascii="Palatino Linotype" w:eastAsia="Palatino Linotype" w:hAnsi="Palatino Linotype" w:cs="Palatino Linotype"/>
          <w:color w:val="000000" w:themeColor="text1"/>
        </w:rPr>
        <w:t xml:space="preserve">La Unidad de Facturas y Registros es la encargada de Revisar y validar que las facturas entregadas por los proveedores y prestadores de servicios cumplan con los </w:t>
      </w:r>
      <w:r w:rsidRPr="00E13872">
        <w:rPr>
          <w:rFonts w:ascii="Palatino Linotype" w:eastAsia="Palatino Linotype" w:hAnsi="Palatino Linotype" w:cs="Palatino Linotype"/>
          <w:color w:val="000000" w:themeColor="text1"/>
        </w:rPr>
        <w:lastRenderedPageBreak/>
        <w:t>requisitos establecidos por la normatividad aplicable, y dentro de sus funciones se encuentran las de recibir, revisar y validar las facturas que entreguen los proveedores; solicitar a los proveedores, prestadores de servicio y arrendadores, el Certificado Fiscal Digital por Internet (CFDI’s) debidamente validado por el área usuaria, (facturas validadas, pólizas, suficiencias presupuestales, evidencias, soporte documental) para ingresar a la Tesorería Municipal; y elaborar órdenes de pago de los bienes y servicios suministrados y remitirlos a la Tesorería Municipal para su respectiva programación.</w:t>
      </w:r>
    </w:p>
    <w:p w:rsidR="005458C4" w:rsidRPr="00E13872" w:rsidRDefault="005458C4" w:rsidP="002C3557">
      <w:pPr>
        <w:spacing w:line="360" w:lineRule="auto"/>
        <w:jc w:val="both"/>
        <w:rPr>
          <w:rFonts w:ascii="Palatino Linotype" w:eastAsia="Palatino Linotype" w:hAnsi="Palatino Linotype" w:cs="Palatino Linotype"/>
          <w:color w:val="000000" w:themeColor="text1"/>
          <w:u w:val="single"/>
        </w:rPr>
      </w:pPr>
    </w:p>
    <w:p w:rsidR="005458C4" w:rsidRPr="00E13872" w:rsidRDefault="005458C4" w:rsidP="002C3557">
      <w:pPr>
        <w:numPr>
          <w:ilvl w:val="0"/>
          <w:numId w:val="2"/>
        </w:numPr>
        <w:spacing w:line="360" w:lineRule="auto"/>
        <w:ind w:left="0" w:firstLine="0"/>
        <w:jc w:val="both"/>
        <w:rPr>
          <w:rFonts w:ascii="Palatino Linotype" w:eastAsia="Palatino Linotype" w:hAnsi="Palatino Linotype" w:cs="Palatino Linotype"/>
          <w:color w:val="000000" w:themeColor="text1"/>
          <w:u w:val="single"/>
        </w:rPr>
      </w:pPr>
      <w:r w:rsidRPr="00E13872">
        <w:rPr>
          <w:rFonts w:ascii="Palatino Linotype" w:eastAsia="Palatino Linotype" w:hAnsi="Palatino Linotype" w:cs="Palatino Linotype"/>
          <w:color w:val="000000" w:themeColor="text1"/>
        </w:rPr>
        <w:t xml:space="preserve">En razón de lo expuesto y contrario a lo manifestado por el Sujeto Obligado, a través de la </w:t>
      </w:r>
      <w:r w:rsidRPr="00E13872">
        <w:rPr>
          <w:rFonts w:ascii="Palatino Linotype" w:eastAsia="Palatino Linotype" w:hAnsi="Palatino Linotype" w:cs="Palatino Linotype"/>
          <w:b/>
          <w:color w:val="000000" w:themeColor="text1"/>
        </w:rPr>
        <w:t>Tesorería Municipal</w:t>
      </w:r>
      <w:r w:rsidRPr="00E13872">
        <w:rPr>
          <w:rFonts w:ascii="Palatino Linotype" w:eastAsia="Palatino Linotype" w:hAnsi="Palatino Linotype" w:cs="Palatino Linotype"/>
          <w:color w:val="000000" w:themeColor="text1"/>
        </w:rPr>
        <w:t xml:space="preserve">, ésta si es un área competente para poseer, generar y administrar la información requerida consistente en los documentos que acrediten los pagos realizados a proveedores por la compra de bienes, toda vez que de conformidad con el Manual de Organización de la Tesorería Municipal, la Subtesorería de </w:t>
      </w:r>
      <w:r w:rsidR="00E52BA5" w:rsidRPr="00E13872">
        <w:rPr>
          <w:rFonts w:ascii="Palatino Linotype" w:eastAsia="Palatino Linotype" w:hAnsi="Palatino Linotype" w:cs="Palatino Linotype"/>
          <w:color w:val="000000" w:themeColor="text1"/>
        </w:rPr>
        <w:t>Egresos</w:t>
      </w:r>
      <w:r w:rsidRPr="00E13872">
        <w:rPr>
          <w:rFonts w:ascii="Palatino Linotype" w:eastAsia="Palatino Linotype" w:hAnsi="Palatino Linotype" w:cs="Palatino Linotype"/>
          <w:color w:val="000000" w:themeColor="text1"/>
        </w:rPr>
        <w:t xml:space="preserve"> es el área encargada de </w:t>
      </w:r>
      <w:r w:rsidR="00E52BA5" w:rsidRPr="00E13872">
        <w:rPr>
          <w:rFonts w:ascii="Palatino Linotype" w:eastAsia="Palatino Linotype" w:hAnsi="Palatino Linotype" w:cs="Palatino Linotype"/>
          <w:color w:val="000000" w:themeColor="text1"/>
        </w:rPr>
        <w:t xml:space="preserve">coordinar y planear la integración, aplicación y distribución de los recursos financieros del Ayuntamiento, con base en el prepuesto autorizado a cada dependencia, controlando su adecuado ejercicio y establecimiento las medidas necesarias para la operación de los programas de inversión y gasto corriente; </w:t>
      </w:r>
      <w:r w:rsidR="00E52BA5" w:rsidRPr="00E13872">
        <w:rPr>
          <w:rFonts w:ascii="Palatino Linotype" w:eastAsia="Palatino Linotype" w:hAnsi="Palatino Linotype" w:cs="Palatino Linotype"/>
          <w:b/>
          <w:color w:val="000000" w:themeColor="text1"/>
        </w:rPr>
        <w:t xml:space="preserve">así como para el pago de las obligaciones contraídas con los proveedores de bienes y servicios, </w:t>
      </w:r>
      <w:r w:rsidR="00E52BA5" w:rsidRPr="00E13872">
        <w:rPr>
          <w:rFonts w:ascii="Palatino Linotype" w:eastAsia="Palatino Linotype" w:hAnsi="Palatino Linotype" w:cs="Palatino Linotype"/>
          <w:color w:val="000000" w:themeColor="text1"/>
        </w:rPr>
        <w:t xml:space="preserve"> y dentro de sus funciones tiene las de </w:t>
      </w:r>
      <w:r w:rsidR="00E52BA5" w:rsidRPr="00E13872">
        <w:rPr>
          <w:rFonts w:ascii="Palatino Linotype" w:eastAsia="Palatino Linotype" w:hAnsi="Palatino Linotype" w:cs="Palatino Linotype"/>
          <w:b/>
          <w:color w:val="000000" w:themeColor="text1"/>
        </w:rPr>
        <w:t>programar los pagos que se deben efectuar</w:t>
      </w:r>
      <w:r w:rsidR="00E52BA5" w:rsidRPr="00E13872">
        <w:rPr>
          <w:rFonts w:ascii="Palatino Linotype" w:eastAsia="Palatino Linotype" w:hAnsi="Palatino Linotype" w:cs="Palatino Linotype"/>
          <w:color w:val="000000" w:themeColor="text1"/>
        </w:rPr>
        <w:t xml:space="preserve"> y realizar el pago delas obligaciones contraídas con los proveedores de bienes y servicios.</w:t>
      </w:r>
    </w:p>
    <w:p w:rsidR="00A4171F" w:rsidRPr="00E13872" w:rsidRDefault="00A4171F" w:rsidP="002C3557">
      <w:pPr>
        <w:spacing w:line="360" w:lineRule="auto"/>
        <w:jc w:val="both"/>
        <w:rPr>
          <w:rFonts w:ascii="Palatino Linotype" w:eastAsia="Palatino Linotype" w:hAnsi="Palatino Linotype" w:cs="Palatino Linotype"/>
          <w:color w:val="000000" w:themeColor="text1"/>
          <w:u w:val="single"/>
        </w:rPr>
      </w:pPr>
    </w:p>
    <w:p w:rsidR="00A4171F" w:rsidRPr="00E13872" w:rsidRDefault="00A4171F" w:rsidP="002C3557">
      <w:pPr>
        <w:numPr>
          <w:ilvl w:val="0"/>
          <w:numId w:val="2"/>
        </w:numPr>
        <w:spacing w:line="360" w:lineRule="auto"/>
        <w:ind w:left="0" w:firstLine="0"/>
        <w:jc w:val="both"/>
        <w:rPr>
          <w:rFonts w:ascii="Palatino Linotype" w:hAnsi="Palatino Linotype" w:cs="Tahoma"/>
          <w:color w:val="000000" w:themeColor="text1"/>
        </w:rPr>
      </w:pPr>
      <w:r w:rsidRPr="00E13872">
        <w:rPr>
          <w:rFonts w:ascii="Palatino Linotype" w:eastAsia="Palatino Linotype" w:hAnsi="Palatino Linotype" w:cs="Palatino Linotype"/>
          <w:color w:val="000000" w:themeColor="text1"/>
        </w:rPr>
        <w:t xml:space="preserve">En este sentido es de referir que  </w:t>
      </w:r>
      <w:r w:rsidR="003E260A" w:rsidRPr="00E13872">
        <w:rPr>
          <w:rFonts w:ascii="Palatino Linotype" w:eastAsia="Palatino Linotype" w:hAnsi="Palatino Linotype" w:cs="Palatino Linotype"/>
          <w:color w:val="000000" w:themeColor="text1"/>
        </w:rPr>
        <w:t>e</w:t>
      </w:r>
      <w:r w:rsidRPr="00E13872">
        <w:rPr>
          <w:rFonts w:ascii="Palatino Linotype" w:hAnsi="Palatino Linotype" w:cs="Tahoma"/>
          <w:color w:val="000000" w:themeColor="text1"/>
        </w:rPr>
        <w:t>xisten distintos tipos de comprobantes de pago, como lo son de manera enunciativa rec</w:t>
      </w:r>
      <w:r w:rsidR="003E260A" w:rsidRPr="00E13872">
        <w:rPr>
          <w:rFonts w:ascii="Palatino Linotype" w:hAnsi="Palatino Linotype" w:cs="Tahoma"/>
          <w:color w:val="000000" w:themeColor="text1"/>
        </w:rPr>
        <w:t xml:space="preserve">ibos, tickets, notas, </w:t>
      </w:r>
      <w:r w:rsidRPr="00E13872">
        <w:rPr>
          <w:rFonts w:ascii="Palatino Linotype" w:hAnsi="Palatino Linotype" w:cs="Tahoma"/>
          <w:color w:val="000000" w:themeColor="text1"/>
        </w:rPr>
        <w:t xml:space="preserve">comprobantes de transferencias </w:t>
      </w:r>
      <w:r w:rsidRPr="00E13872">
        <w:rPr>
          <w:rFonts w:ascii="Palatino Linotype" w:hAnsi="Palatino Linotype" w:cs="Tahoma"/>
          <w:color w:val="000000" w:themeColor="text1"/>
        </w:rPr>
        <w:lastRenderedPageBreak/>
        <w:t>bancarias</w:t>
      </w:r>
      <w:r w:rsidR="003E260A" w:rsidRPr="00E13872">
        <w:rPr>
          <w:rFonts w:ascii="Palatino Linotype" w:hAnsi="Palatino Linotype" w:cs="Tahoma"/>
          <w:color w:val="000000" w:themeColor="text1"/>
        </w:rPr>
        <w:t xml:space="preserve"> y facturas, documentos de carácter mercantil que indican el pago por la compra de un bien o servicio.</w:t>
      </w:r>
    </w:p>
    <w:p w:rsidR="003E260A" w:rsidRPr="00E13872" w:rsidRDefault="003E260A" w:rsidP="002C3557">
      <w:pPr>
        <w:spacing w:line="360" w:lineRule="auto"/>
        <w:jc w:val="both"/>
        <w:rPr>
          <w:rFonts w:ascii="Palatino Linotype" w:hAnsi="Palatino Linotype" w:cs="Tahoma"/>
          <w:color w:val="000000" w:themeColor="text1"/>
        </w:rPr>
      </w:pPr>
    </w:p>
    <w:p w:rsidR="00A4171F" w:rsidRPr="00E13872" w:rsidRDefault="00A4171F" w:rsidP="002C3557">
      <w:pPr>
        <w:numPr>
          <w:ilvl w:val="0"/>
          <w:numId w:val="2"/>
        </w:numPr>
        <w:spacing w:line="360" w:lineRule="auto"/>
        <w:ind w:left="0" w:firstLine="0"/>
        <w:jc w:val="both"/>
        <w:rPr>
          <w:rFonts w:ascii="Palatino Linotype" w:hAnsi="Palatino Linotype" w:cs="Tahoma"/>
          <w:color w:val="000000" w:themeColor="text1"/>
        </w:rPr>
      </w:pPr>
      <w:r w:rsidRPr="00E13872">
        <w:rPr>
          <w:rFonts w:ascii="Palatino Linotype" w:eastAsia="Palatino Linotype" w:hAnsi="Palatino Linotype" w:cs="Palatino Linotype"/>
          <w:color w:val="000000" w:themeColor="text1"/>
        </w:rPr>
        <w:t>De lo expuesto anteriormente</w:t>
      </w:r>
      <w:r w:rsidRPr="00E13872">
        <w:rPr>
          <w:rFonts w:ascii="Palatino Linotype" w:hAnsi="Palatino Linotype" w:cs="Tahoma"/>
          <w:color w:val="000000" w:themeColor="text1"/>
        </w:rPr>
        <w:t xml:space="preserve">, resulta importante contextualizar que lo solicitado de manera enunciativa más no  limitativa se puede encontrar en la </w:t>
      </w:r>
      <w:r w:rsidRPr="00E13872">
        <w:rPr>
          <w:rFonts w:ascii="Palatino Linotype" w:hAnsi="Palatino Linotype" w:cs="Tahoma"/>
          <w:b/>
          <w:color w:val="000000" w:themeColor="text1"/>
        </w:rPr>
        <w:t>póliza de egreso y póliza de cheque</w:t>
      </w:r>
      <w:r w:rsidRPr="00E13872">
        <w:rPr>
          <w:rFonts w:ascii="Palatino Linotype" w:hAnsi="Palatino Linotype" w:cs="Tahoma"/>
          <w:color w:val="000000" w:themeColor="text1"/>
        </w:rPr>
        <w:t xml:space="preserve">, por lo que, se analiza lo siguiente. </w:t>
      </w:r>
    </w:p>
    <w:p w:rsidR="00A4171F" w:rsidRPr="00E13872" w:rsidRDefault="00A4171F" w:rsidP="002C3557">
      <w:pPr>
        <w:spacing w:line="360" w:lineRule="auto"/>
        <w:jc w:val="both"/>
        <w:rPr>
          <w:rFonts w:ascii="Palatino Linotype" w:hAnsi="Palatino Linotype" w:cs="Tahoma"/>
          <w:color w:val="000000" w:themeColor="text1"/>
        </w:rPr>
      </w:pPr>
    </w:p>
    <w:p w:rsidR="00A4171F" w:rsidRPr="00E13872" w:rsidRDefault="00A4171F" w:rsidP="002C3557">
      <w:pPr>
        <w:numPr>
          <w:ilvl w:val="0"/>
          <w:numId w:val="2"/>
        </w:numPr>
        <w:spacing w:line="360" w:lineRule="auto"/>
        <w:ind w:left="0" w:firstLine="0"/>
        <w:jc w:val="both"/>
        <w:rPr>
          <w:rFonts w:ascii="Palatino Linotype" w:hAnsi="Palatino Linotype" w:cs="Tahoma"/>
          <w:color w:val="000000" w:themeColor="text1"/>
        </w:rPr>
      </w:pPr>
      <w:r w:rsidRPr="00E13872">
        <w:rPr>
          <w:rFonts w:ascii="Palatino Linotype" w:hAnsi="Palatino Linotype" w:cs="Tahoma"/>
          <w:color w:val="000000" w:themeColor="text1"/>
        </w:rPr>
        <w:t xml:space="preserve">En ese contexto, es de referir que de conformidad con  los artículos 342, 343, 344 y 345 del Código </w:t>
      </w:r>
      <w:r w:rsidRPr="00E13872">
        <w:rPr>
          <w:rFonts w:ascii="Palatino Linotype" w:eastAsia="Palatino Linotype" w:hAnsi="Palatino Linotype" w:cs="Palatino Linotype"/>
          <w:color w:val="000000" w:themeColor="text1"/>
        </w:rPr>
        <w:t>Financiero</w:t>
      </w:r>
      <w:r w:rsidRPr="00E13872">
        <w:rPr>
          <w:rFonts w:ascii="Palatino Linotype" w:hAnsi="Palatino Linotype" w:cs="Tahoma"/>
          <w:color w:val="000000" w:themeColor="text1"/>
        </w:rPr>
        <w:t xml:space="preserve"> del Estado de México y Municipios, disponen el sistema y las políticas que deben seguirse para llevar el registro contable y presupuestal de las operaciones financieras, en los siguientes términos:</w:t>
      </w:r>
    </w:p>
    <w:p w:rsidR="00A4171F" w:rsidRPr="00E13872" w:rsidRDefault="00A4171F" w:rsidP="002C3557">
      <w:pPr>
        <w:jc w:val="both"/>
        <w:rPr>
          <w:rFonts w:ascii="Palatino Linotype" w:hAnsi="Palatino Linotype" w:cs="Tahoma"/>
          <w:i/>
          <w:color w:val="000000" w:themeColor="text1"/>
        </w:rPr>
      </w:pPr>
      <w:r w:rsidRPr="00E13872">
        <w:rPr>
          <w:rFonts w:ascii="Palatino Linotype" w:hAnsi="Palatino Linotype" w:cs="Tahoma"/>
          <w:b/>
          <w:i/>
          <w:color w:val="000000" w:themeColor="text1"/>
        </w:rPr>
        <w:t>Artículo 342.-</w:t>
      </w:r>
      <w:r w:rsidRPr="00E13872">
        <w:rPr>
          <w:rFonts w:ascii="Palatino Linotype" w:hAnsi="Palatino Linotype" w:cs="Tahoma"/>
          <w:i/>
          <w:color w:val="000000" w:themeColor="text1"/>
        </w:rPr>
        <w:t xml:space="preserve"> -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A4171F" w:rsidRPr="00E13872" w:rsidRDefault="00A4171F" w:rsidP="002C3557">
      <w:pPr>
        <w:jc w:val="both"/>
        <w:rPr>
          <w:rFonts w:ascii="Palatino Linotype" w:hAnsi="Palatino Linotype" w:cs="Tahoma"/>
          <w:i/>
          <w:color w:val="000000" w:themeColor="text1"/>
        </w:rPr>
      </w:pPr>
    </w:p>
    <w:p w:rsidR="00A4171F" w:rsidRPr="00E13872" w:rsidRDefault="00A4171F" w:rsidP="002C3557">
      <w:pPr>
        <w:jc w:val="both"/>
        <w:rPr>
          <w:rFonts w:ascii="Palatino Linotype" w:hAnsi="Palatino Linotype" w:cs="Tahoma"/>
          <w:i/>
          <w:color w:val="000000" w:themeColor="text1"/>
        </w:rPr>
      </w:pPr>
      <w:r w:rsidRPr="00E13872">
        <w:rPr>
          <w:rFonts w:ascii="Palatino Linotype" w:hAnsi="Palatino Linotype" w:cs="Tahoma"/>
          <w:b/>
          <w:i/>
          <w:color w:val="000000" w:themeColor="text1"/>
        </w:rPr>
        <w:t>En el caso de los municipios</w:t>
      </w:r>
      <w:r w:rsidRPr="00E13872">
        <w:rPr>
          <w:rFonts w:ascii="Palatino Linotype" w:hAnsi="Palatino Linotype" w:cs="Tahoma"/>
          <w:i/>
          <w:color w:val="000000" w:themeColor="text1"/>
        </w:rPr>
        <w:t>,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rsidR="00A4171F" w:rsidRPr="00E13872" w:rsidRDefault="00A4171F" w:rsidP="002C3557">
      <w:pPr>
        <w:jc w:val="both"/>
        <w:rPr>
          <w:rFonts w:ascii="Palatino Linotype" w:hAnsi="Palatino Linotype" w:cs="Tahoma"/>
          <w:i/>
          <w:color w:val="000000" w:themeColor="text1"/>
        </w:rPr>
      </w:pPr>
    </w:p>
    <w:p w:rsidR="00A4171F" w:rsidRPr="00E13872" w:rsidRDefault="00A4171F" w:rsidP="002C3557">
      <w:pPr>
        <w:jc w:val="both"/>
        <w:rPr>
          <w:rFonts w:ascii="Palatino Linotype" w:hAnsi="Palatino Linotype" w:cs="Tahoma"/>
          <w:i/>
          <w:color w:val="000000" w:themeColor="text1"/>
        </w:rPr>
      </w:pPr>
      <w:r w:rsidRPr="00E13872">
        <w:rPr>
          <w:rFonts w:ascii="Palatino Linotype" w:hAnsi="Palatino Linotype" w:cs="Tahoma"/>
          <w:b/>
          <w:i/>
          <w:color w:val="000000" w:themeColor="text1"/>
        </w:rPr>
        <w:t>Artículo 343.-</w:t>
      </w:r>
      <w:r w:rsidRPr="00E13872">
        <w:rPr>
          <w:rFonts w:ascii="Palatino Linotype" w:hAnsi="Palatino Linotype" w:cs="Tahoma"/>
          <w:i/>
          <w:color w:val="000000" w:themeColor="text1"/>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rsidR="00A4171F" w:rsidRPr="00E13872" w:rsidRDefault="00A4171F" w:rsidP="002C3557">
      <w:pPr>
        <w:jc w:val="both"/>
        <w:rPr>
          <w:rFonts w:ascii="Palatino Linotype" w:hAnsi="Palatino Linotype" w:cs="Tahoma"/>
          <w:i/>
          <w:color w:val="000000" w:themeColor="text1"/>
        </w:rPr>
      </w:pPr>
      <w:r w:rsidRPr="00E13872">
        <w:rPr>
          <w:rFonts w:ascii="Palatino Linotype" w:hAnsi="Palatino Linotype" w:cs="Tahoma"/>
          <w:i/>
          <w:color w:val="000000" w:themeColor="text1"/>
        </w:rPr>
        <w:t>El sistema de contabilidad sobre base acumulativa total, se sustentará en las normas emitidas por el Consejo Nacional de Armonización Contable.</w:t>
      </w:r>
    </w:p>
    <w:p w:rsidR="00A4171F" w:rsidRPr="00E13872" w:rsidRDefault="00A4171F" w:rsidP="002C3557">
      <w:pPr>
        <w:jc w:val="both"/>
        <w:rPr>
          <w:rFonts w:ascii="Palatino Linotype" w:hAnsi="Palatino Linotype" w:cs="Tahoma"/>
          <w:b/>
          <w:i/>
          <w:color w:val="000000" w:themeColor="text1"/>
        </w:rPr>
      </w:pPr>
    </w:p>
    <w:p w:rsidR="00A4171F" w:rsidRPr="00E13872" w:rsidRDefault="00A4171F" w:rsidP="002C3557">
      <w:pPr>
        <w:jc w:val="both"/>
        <w:rPr>
          <w:rFonts w:ascii="Palatino Linotype" w:hAnsi="Palatino Linotype" w:cs="Tahoma"/>
          <w:b/>
          <w:i/>
          <w:color w:val="000000" w:themeColor="text1"/>
        </w:rPr>
      </w:pPr>
      <w:r w:rsidRPr="00E13872">
        <w:rPr>
          <w:rFonts w:ascii="Palatino Linotype" w:hAnsi="Palatino Linotype" w:cs="Tahoma"/>
          <w:b/>
          <w:i/>
          <w:color w:val="000000" w:themeColor="text1"/>
        </w:rPr>
        <w:t>Artículo 344.- Los Entes Públicos, a través de cualquiera de sus unidades administrativas, de acuerdo con su naturaleza jurídica y según corresponda, registrarán contablemente el efecto patrimonial y presupuestal de las operaciones financieras que realicen</w:t>
      </w:r>
      <w:r w:rsidRPr="00E13872">
        <w:rPr>
          <w:rFonts w:ascii="Palatino Linotype" w:hAnsi="Palatino Linotype" w:cs="Tahoma"/>
          <w:i/>
          <w:color w:val="000000" w:themeColor="text1"/>
        </w:rPr>
        <w:t xml:space="preserve">, en el momento </w:t>
      </w:r>
      <w:r w:rsidRPr="00E13872">
        <w:rPr>
          <w:rFonts w:ascii="Palatino Linotype" w:hAnsi="Palatino Linotype" w:cs="Tahoma"/>
          <w:i/>
          <w:color w:val="000000" w:themeColor="text1"/>
        </w:rPr>
        <w:lastRenderedPageBreak/>
        <w:t>en que ocurran, con base en el sistema y políticas de registro establecidas, en el caso de los Municipios, se hará por la Tesorería.</w:t>
      </w:r>
    </w:p>
    <w:p w:rsidR="00A4171F" w:rsidRPr="00E13872" w:rsidRDefault="00A4171F" w:rsidP="002C3557">
      <w:pPr>
        <w:jc w:val="both"/>
        <w:rPr>
          <w:rFonts w:ascii="Palatino Linotype" w:hAnsi="Palatino Linotype" w:cs="Tahoma"/>
          <w:b/>
          <w:i/>
          <w:color w:val="000000" w:themeColor="text1"/>
        </w:rPr>
      </w:pPr>
    </w:p>
    <w:p w:rsidR="00A4171F" w:rsidRPr="00E13872" w:rsidRDefault="00A4171F" w:rsidP="002C3557">
      <w:pPr>
        <w:jc w:val="both"/>
        <w:rPr>
          <w:rFonts w:ascii="Palatino Linotype" w:hAnsi="Palatino Linotype" w:cs="Tahoma"/>
          <w:b/>
          <w:i/>
          <w:color w:val="000000" w:themeColor="text1"/>
        </w:rPr>
      </w:pPr>
      <w:r w:rsidRPr="00E13872">
        <w:rPr>
          <w:rFonts w:ascii="Palatino Linotype" w:hAnsi="Palatino Linotype" w:cs="Tahoma"/>
          <w:b/>
          <w:i/>
          <w:color w:val="000000" w:themeColor="text1"/>
        </w:rPr>
        <w:t xml:space="preserve">Todo registro contable y presupuestal deberá estar soportado con los documentos de registro, justificativos y comprobatorios originales, </w:t>
      </w:r>
      <w:r w:rsidRPr="00E13872">
        <w:rPr>
          <w:rFonts w:ascii="Palatino Linotype" w:hAnsi="Palatino Linotype" w:cs="Tahoma"/>
          <w:i/>
          <w:color w:val="000000" w:themeColor="text1"/>
        </w:rPr>
        <w:t xml:space="preserve">en copias certificadas o en medios electrónicos, según corresponda, los que deberán permanecer en custodia y conservación de los Entes Públicos ejecutores del gasto, a través de las unidades administrativas correspondientes de conformidad con las disposiciones aplicables y a disposición de los Órganos de Fiscalización locales y federales, de acuerdo a su naturaleza, así como de los órganos internos de control; por un término de 6 años, contados a partir del ejercicio presupuestal siguiente al que corresponda. En el caso de los Municipios, dicha obligación corresponderá a la Tesorería. </w:t>
      </w:r>
    </w:p>
    <w:p w:rsidR="00A4171F" w:rsidRPr="00E13872" w:rsidRDefault="00A4171F" w:rsidP="002C3557">
      <w:pPr>
        <w:jc w:val="both"/>
        <w:rPr>
          <w:rFonts w:ascii="Palatino Linotype" w:hAnsi="Palatino Linotype" w:cs="Tahoma"/>
          <w:i/>
          <w:color w:val="000000" w:themeColor="text1"/>
        </w:rPr>
      </w:pPr>
      <w:r w:rsidRPr="00E13872">
        <w:rPr>
          <w:rFonts w:ascii="Palatino Linotype" w:hAnsi="Palatino Linotype" w:cs="Tahoma"/>
          <w:i/>
          <w:color w:val="000000" w:themeColor="text1"/>
        </w:rPr>
        <w:t>…</w:t>
      </w:r>
    </w:p>
    <w:p w:rsidR="00A4171F" w:rsidRPr="00E13872" w:rsidRDefault="00A4171F" w:rsidP="002C3557">
      <w:pPr>
        <w:jc w:val="both"/>
        <w:rPr>
          <w:rFonts w:ascii="Palatino Linotype" w:hAnsi="Palatino Linotype" w:cs="Tahoma"/>
          <w:b/>
          <w:i/>
          <w:color w:val="000000" w:themeColor="text1"/>
        </w:rPr>
      </w:pPr>
    </w:p>
    <w:p w:rsidR="00A4171F" w:rsidRPr="00E13872" w:rsidRDefault="00A4171F" w:rsidP="002C3557">
      <w:pPr>
        <w:jc w:val="both"/>
        <w:rPr>
          <w:rFonts w:ascii="Palatino Linotype" w:hAnsi="Palatino Linotype" w:cs="Tahoma"/>
          <w:i/>
          <w:color w:val="000000" w:themeColor="text1"/>
        </w:rPr>
      </w:pPr>
      <w:r w:rsidRPr="00E13872">
        <w:rPr>
          <w:rFonts w:ascii="Palatino Linotype" w:hAnsi="Palatino Linotype" w:cs="Tahoma"/>
          <w:b/>
          <w:i/>
          <w:color w:val="000000" w:themeColor="text1"/>
        </w:rPr>
        <w:t>Artículo 345.-</w:t>
      </w:r>
      <w:r w:rsidRPr="00E13872">
        <w:rPr>
          <w:rFonts w:ascii="Palatino Linotype" w:hAnsi="Palatino Linotype" w:cs="Tahoma"/>
          <w:i/>
          <w:color w:val="000000" w:themeColor="text1"/>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w:t>
      </w:r>
    </w:p>
    <w:p w:rsidR="00A4171F" w:rsidRPr="00E13872" w:rsidRDefault="00A4171F" w:rsidP="002C3557">
      <w:pPr>
        <w:jc w:val="both"/>
        <w:rPr>
          <w:rFonts w:ascii="Palatino Linotype" w:hAnsi="Palatino Linotype" w:cs="Tahoma"/>
          <w:i/>
          <w:color w:val="000000" w:themeColor="text1"/>
        </w:rPr>
      </w:pPr>
    </w:p>
    <w:p w:rsidR="00A4171F" w:rsidRPr="00E13872" w:rsidRDefault="00A4171F" w:rsidP="002C3557">
      <w:pPr>
        <w:jc w:val="both"/>
        <w:rPr>
          <w:rFonts w:ascii="Palatino Linotype" w:hAnsi="Palatino Linotype" w:cs="Tahoma"/>
          <w:i/>
          <w:color w:val="000000" w:themeColor="text1"/>
        </w:rPr>
      </w:pPr>
      <w:r w:rsidRPr="00E13872">
        <w:rPr>
          <w:rFonts w:ascii="Palatino Linotype" w:hAnsi="Palatino Linotype" w:cs="Tahoma"/>
          <w:b/>
          <w:i/>
          <w:color w:val="000000" w:themeColor="text1"/>
        </w:rPr>
        <w:t>Los poderes Legislativo y Judicial, los Organismos Autónomos y las Entidades Públicas, de acuerdo con su naturaleza jurídica y según corresponda, deberán conservar la documentación contable del año en curso y la de ejercicios anteriores</w:t>
      </w:r>
      <w:r w:rsidRPr="00E13872">
        <w:rPr>
          <w:rFonts w:ascii="Palatino Linotype" w:hAnsi="Palatino Linotype" w:cs="Tahoma"/>
          <w:i/>
          <w:color w:val="000000" w:themeColor="text1"/>
        </w:rPr>
        <w:t>, cuyas cuentas públicas hayan sido revisadas y fiscalizadas, en sus propios Archivos Contables. Tratándose de los comprobantes fiscales digitales, estos deberán estar agregados en forma electrónica a cada póliza de registro contable.</w:t>
      </w:r>
    </w:p>
    <w:p w:rsidR="00A4171F" w:rsidRPr="00E13872" w:rsidRDefault="00A4171F" w:rsidP="002C3557">
      <w:pPr>
        <w:jc w:val="both"/>
        <w:rPr>
          <w:rFonts w:ascii="Palatino Linotype" w:hAnsi="Palatino Linotype" w:cs="Tahoma"/>
          <w:i/>
          <w:color w:val="000000" w:themeColor="text1"/>
        </w:rPr>
      </w:pPr>
    </w:p>
    <w:p w:rsidR="00A4171F" w:rsidRPr="00E13872" w:rsidRDefault="00A4171F" w:rsidP="002C3557">
      <w:pPr>
        <w:jc w:val="both"/>
        <w:rPr>
          <w:rFonts w:ascii="Palatino Linotype" w:hAnsi="Palatino Linotype" w:cs="Tahoma"/>
          <w:i/>
          <w:color w:val="000000" w:themeColor="text1"/>
        </w:rPr>
      </w:pPr>
      <w:r w:rsidRPr="00E13872">
        <w:rPr>
          <w:rFonts w:ascii="Palatino Linotype" w:hAnsi="Palatino Linotype" w:cs="Tahoma"/>
          <w:i/>
          <w:color w:val="000000" w:themeColor="text1"/>
        </w:rPr>
        <w:t>El plazo señalado en este artículo empezará a contar a partir de la publicación en el Periódico Oficial, del decreto correspondiente</w:t>
      </w:r>
      <w:r w:rsidRPr="00E13872">
        <w:rPr>
          <w:rFonts w:ascii="Palatino Linotype" w:hAnsi="Palatino Linotype" w:cs="Tahoma"/>
          <w:b/>
          <w:i/>
          <w:color w:val="000000" w:themeColor="text1"/>
        </w:rPr>
        <w:t xml:space="preserve"> </w:t>
      </w:r>
    </w:p>
    <w:p w:rsidR="00A4171F" w:rsidRPr="00E13872" w:rsidRDefault="00A4171F" w:rsidP="002C3557">
      <w:pPr>
        <w:spacing w:line="360" w:lineRule="auto"/>
        <w:jc w:val="both"/>
        <w:rPr>
          <w:rFonts w:ascii="Palatino Linotype" w:hAnsi="Palatino Linotype" w:cs="Tahoma"/>
          <w:i/>
          <w:color w:val="000000" w:themeColor="text1"/>
        </w:rPr>
      </w:pPr>
    </w:p>
    <w:p w:rsidR="00A4171F" w:rsidRPr="00E13872" w:rsidRDefault="00A4171F" w:rsidP="002C3557">
      <w:pPr>
        <w:numPr>
          <w:ilvl w:val="0"/>
          <w:numId w:val="2"/>
        </w:numPr>
        <w:spacing w:line="360" w:lineRule="auto"/>
        <w:ind w:left="0" w:firstLine="0"/>
        <w:jc w:val="both"/>
        <w:rPr>
          <w:rFonts w:ascii="Palatino Linotype" w:hAnsi="Palatino Linotype" w:cs="Tahoma"/>
          <w:color w:val="000000" w:themeColor="text1"/>
        </w:rPr>
      </w:pPr>
      <w:r w:rsidRPr="00E13872">
        <w:rPr>
          <w:rFonts w:ascii="Palatino Linotype" w:hAnsi="Palatino Linotype" w:cs="Tahoma"/>
          <w:color w:val="000000" w:themeColor="text1"/>
        </w:rPr>
        <w:t xml:space="preserve">De una </w:t>
      </w:r>
      <w:r w:rsidRPr="00E13872">
        <w:rPr>
          <w:rFonts w:ascii="Palatino Linotype" w:eastAsia="Palatino Linotype" w:hAnsi="Palatino Linotype" w:cs="Palatino Linotype"/>
          <w:color w:val="000000" w:themeColor="text1"/>
        </w:rPr>
        <w:t>interpretación</w:t>
      </w:r>
      <w:r w:rsidRPr="00E13872">
        <w:rPr>
          <w:rFonts w:ascii="Palatino Linotype" w:hAnsi="Palatino Linotype" w:cs="Tahoma"/>
          <w:color w:val="000000" w:themeColor="text1"/>
        </w:rPr>
        <w:t xml:space="preserve">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A4171F" w:rsidRPr="00E13872" w:rsidRDefault="00A4171F" w:rsidP="002C3557">
      <w:pPr>
        <w:numPr>
          <w:ilvl w:val="0"/>
          <w:numId w:val="2"/>
        </w:numPr>
        <w:spacing w:line="360" w:lineRule="auto"/>
        <w:ind w:left="0" w:firstLine="0"/>
        <w:jc w:val="both"/>
        <w:rPr>
          <w:rFonts w:ascii="Palatino Linotype" w:hAnsi="Palatino Linotype" w:cs="Tahoma"/>
          <w:color w:val="000000" w:themeColor="text1"/>
        </w:rPr>
      </w:pPr>
      <w:r w:rsidRPr="00E13872">
        <w:rPr>
          <w:rFonts w:ascii="Palatino Linotype" w:hAnsi="Palatino Linotype" w:cs="Tahoma"/>
          <w:color w:val="000000" w:themeColor="text1"/>
        </w:rPr>
        <w:lastRenderedPageBreak/>
        <w:t xml:space="preserve">Al respecto, si bien es cierto que el Código Financiero del Estado de México y Municipios establece la </w:t>
      </w:r>
      <w:r w:rsidRPr="00E13872">
        <w:rPr>
          <w:rFonts w:ascii="Palatino Linotype" w:eastAsia="Palatino Linotype" w:hAnsi="Palatino Linotype" w:cs="Palatino Linotype"/>
          <w:color w:val="000000" w:themeColor="text1"/>
        </w:rPr>
        <w:t>obligación</w:t>
      </w:r>
      <w:r w:rsidRPr="00E13872">
        <w:rPr>
          <w:rFonts w:ascii="Palatino Linotype" w:hAnsi="Palatino Linotype" w:cs="Tahoma"/>
          <w:color w:val="000000" w:themeColor="text1"/>
        </w:rPr>
        <w:t xml:space="preserve"> </w:t>
      </w:r>
      <w:r w:rsidR="003E260A" w:rsidRPr="00E13872">
        <w:rPr>
          <w:rFonts w:ascii="Palatino Linotype" w:hAnsi="Palatino Linotype" w:cs="Tahoma"/>
          <w:color w:val="000000" w:themeColor="text1"/>
        </w:rPr>
        <w:t>a los Municipios</w:t>
      </w:r>
      <w:r w:rsidRPr="00E13872">
        <w:rPr>
          <w:rFonts w:ascii="Palatino Linotype" w:hAnsi="Palatino Linotype" w:cs="Tahoma"/>
          <w:color w:val="000000" w:themeColor="text1"/>
        </w:rPr>
        <w:t xml:space="preserve"> para llevar los registros contables y presupuestales; también lo es que, dicho ordenamiento jurídico no establece que debemos entender por registro contable y presupuestal; sin embargo, el “</w:t>
      </w:r>
      <w:r w:rsidRPr="00E13872">
        <w:rPr>
          <w:rFonts w:ascii="Palatino Linotype" w:hAnsi="Palatino Linotype" w:cs="Tahoma"/>
          <w:i/>
          <w:color w:val="000000" w:themeColor="text1"/>
        </w:rPr>
        <w:t>Glosario de Términos para el Proceso de Planeación, Programación, Presupuestación y Evaluación en la Administración Pública”</w:t>
      </w:r>
      <w:r w:rsidRPr="00E13872">
        <w:rPr>
          <w:rFonts w:ascii="Palatino Linotype" w:hAnsi="Palatino Linotype" w:cs="Tahoma"/>
          <w:color w:val="000000" w:themeColor="text1"/>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rsidR="00A4171F" w:rsidRPr="00E13872" w:rsidRDefault="00A4171F" w:rsidP="002C3557">
      <w:pPr>
        <w:jc w:val="both"/>
        <w:rPr>
          <w:rFonts w:ascii="Palatino Linotype" w:hAnsi="Palatino Linotype" w:cs="Tahoma"/>
          <w:color w:val="000000" w:themeColor="text1"/>
        </w:rPr>
      </w:pPr>
    </w:p>
    <w:p w:rsidR="00A4171F" w:rsidRPr="00E13872" w:rsidRDefault="00A4171F" w:rsidP="002C3557">
      <w:pPr>
        <w:jc w:val="both"/>
        <w:rPr>
          <w:rFonts w:ascii="Palatino Linotype" w:hAnsi="Palatino Linotype" w:cs="Tahoma"/>
          <w:b/>
          <w:i/>
          <w:color w:val="000000" w:themeColor="text1"/>
        </w:rPr>
      </w:pPr>
      <w:r w:rsidRPr="00E13872">
        <w:rPr>
          <w:rFonts w:ascii="Palatino Linotype" w:hAnsi="Palatino Linotype" w:cs="Tahoma"/>
          <w:b/>
          <w:i/>
          <w:color w:val="000000" w:themeColor="text1"/>
        </w:rPr>
        <w:t xml:space="preserve">REGISTRO CONTABLE. </w:t>
      </w:r>
      <w:r w:rsidRPr="00E13872">
        <w:rPr>
          <w:rFonts w:ascii="Palatino Linotype" w:hAnsi="Palatino Linotype" w:cs="Tahoma"/>
          <w:i/>
          <w:color w:val="000000" w:themeColor="text1"/>
        </w:rPr>
        <w:t>Asiento que se realiza en los libros de contabilidad de las actividades relacionadas con el ingreso y egresos de un ente económico.</w:t>
      </w:r>
    </w:p>
    <w:p w:rsidR="00A4171F" w:rsidRPr="00E13872" w:rsidRDefault="00A4171F" w:rsidP="002C3557">
      <w:pPr>
        <w:jc w:val="both"/>
        <w:rPr>
          <w:rFonts w:ascii="Palatino Linotype" w:hAnsi="Palatino Linotype" w:cs="Tahoma"/>
          <w:i/>
          <w:color w:val="000000" w:themeColor="text1"/>
        </w:rPr>
      </w:pPr>
    </w:p>
    <w:p w:rsidR="00A4171F" w:rsidRPr="00E13872" w:rsidRDefault="00A4171F" w:rsidP="002C3557">
      <w:pPr>
        <w:jc w:val="both"/>
        <w:rPr>
          <w:rFonts w:ascii="Palatino Linotype" w:hAnsi="Palatino Linotype" w:cs="Tahoma"/>
          <w:i/>
          <w:color w:val="000000" w:themeColor="text1"/>
        </w:rPr>
      </w:pPr>
      <w:r w:rsidRPr="00E13872">
        <w:rPr>
          <w:rFonts w:ascii="Palatino Linotype" w:hAnsi="Palatino Linotype" w:cs="Tahoma"/>
          <w:b/>
          <w:i/>
          <w:color w:val="000000" w:themeColor="text1"/>
        </w:rPr>
        <w:t xml:space="preserve">REGISTRO PRESUPUESTARIO. </w:t>
      </w:r>
      <w:r w:rsidRPr="00E13872">
        <w:rPr>
          <w:rFonts w:ascii="Palatino Linotype" w:hAnsi="Palatino Linotype" w:cs="Tahoma"/>
          <w:i/>
          <w:color w:val="000000" w:themeColor="text1"/>
        </w:rPr>
        <w:t>Asiento contable de las erogaciones realizadas por las dependencias y entidades con relación a la asignación, modificación y ejercicio de los recursos presupuestarios que se les hayan autorizado.</w:t>
      </w:r>
    </w:p>
    <w:p w:rsidR="00A4171F" w:rsidRPr="00E13872" w:rsidRDefault="00A4171F" w:rsidP="002C3557">
      <w:pPr>
        <w:spacing w:line="360" w:lineRule="auto"/>
        <w:jc w:val="both"/>
        <w:rPr>
          <w:rFonts w:ascii="Palatino Linotype" w:hAnsi="Palatino Linotype" w:cs="Tahoma"/>
          <w:color w:val="000000" w:themeColor="text1"/>
        </w:rPr>
      </w:pPr>
    </w:p>
    <w:p w:rsidR="00A4171F" w:rsidRPr="00E13872" w:rsidRDefault="00A4171F" w:rsidP="002C3557">
      <w:pPr>
        <w:numPr>
          <w:ilvl w:val="0"/>
          <w:numId w:val="2"/>
        </w:numPr>
        <w:spacing w:line="360" w:lineRule="auto"/>
        <w:ind w:left="0" w:firstLine="0"/>
        <w:jc w:val="both"/>
        <w:rPr>
          <w:rFonts w:ascii="Palatino Linotype" w:hAnsi="Palatino Linotype" w:cs="Tahoma"/>
          <w:color w:val="000000" w:themeColor="text1"/>
        </w:rPr>
      </w:pPr>
      <w:r w:rsidRPr="00E13872">
        <w:rPr>
          <w:rFonts w:ascii="Palatino Linotype" w:hAnsi="Palatino Linotype" w:cs="Tahoma"/>
          <w:color w:val="000000" w:themeColor="text1"/>
        </w:rPr>
        <w:t xml:space="preserve">En este sentido, </w:t>
      </w:r>
      <w:r w:rsidRPr="00E13872">
        <w:rPr>
          <w:rFonts w:ascii="Palatino Linotype" w:eastAsia="Palatino Linotype" w:hAnsi="Palatino Linotype" w:cs="Palatino Linotype"/>
          <w:color w:val="000000" w:themeColor="text1"/>
        </w:rPr>
        <w:t>cabe</w:t>
      </w:r>
      <w:r w:rsidRPr="00E13872">
        <w:rPr>
          <w:rFonts w:ascii="Palatino Linotype" w:hAnsi="Palatino Linotype" w:cs="Tahoma"/>
          <w:color w:val="000000" w:themeColor="text1"/>
        </w:rPr>
        <w:t xml:space="preserve"> referir que la Ley de Fiscalización Superior del Estado de México prevé en su artículo 4 que los Poderes Públicos del Estado son considerados entes fiscalizables, tal como se observa a continuación:</w:t>
      </w:r>
    </w:p>
    <w:p w:rsidR="00A4171F" w:rsidRPr="00E13872" w:rsidRDefault="00A4171F" w:rsidP="002C3557">
      <w:pPr>
        <w:jc w:val="both"/>
        <w:rPr>
          <w:rFonts w:ascii="Palatino Linotype" w:hAnsi="Palatino Linotype" w:cs="Tahoma"/>
          <w:i/>
          <w:color w:val="000000" w:themeColor="text1"/>
        </w:rPr>
      </w:pPr>
      <w:r w:rsidRPr="00E13872">
        <w:rPr>
          <w:rFonts w:ascii="Palatino Linotype" w:hAnsi="Palatino Linotype" w:cs="Tahoma"/>
          <w:b/>
          <w:i/>
          <w:color w:val="000000" w:themeColor="text1"/>
        </w:rPr>
        <w:t>Artículo 4.</w:t>
      </w:r>
      <w:r w:rsidRPr="00E13872">
        <w:rPr>
          <w:rFonts w:ascii="Palatino Linotype" w:hAnsi="Palatino Linotype" w:cs="Tahoma"/>
          <w:i/>
          <w:color w:val="000000" w:themeColor="text1"/>
        </w:rPr>
        <w:t xml:space="preserve"> Son sujetos de fiscalización:</w:t>
      </w:r>
    </w:p>
    <w:p w:rsidR="00A4171F" w:rsidRPr="00E13872" w:rsidRDefault="00A4171F" w:rsidP="002C3557">
      <w:pPr>
        <w:jc w:val="both"/>
        <w:rPr>
          <w:rFonts w:ascii="Palatino Linotype" w:hAnsi="Palatino Linotype" w:cs="Tahoma"/>
          <w:i/>
          <w:color w:val="000000" w:themeColor="text1"/>
        </w:rPr>
      </w:pPr>
      <w:r w:rsidRPr="00E13872">
        <w:rPr>
          <w:rFonts w:ascii="Palatino Linotype" w:hAnsi="Palatino Linotype" w:cs="Tahoma"/>
          <w:i/>
          <w:color w:val="000000" w:themeColor="text1"/>
        </w:rPr>
        <w:t>I. Los Poderes Públicos del Estado;</w:t>
      </w:r>
    </w:p>
    <w:p w:rsidR="00A4171F" w:rsidRPr="00E13872" w:rsidRDefault="009D34A4" w:rsidP="002C3557">
      <w:pPr>
        <w:jc w:val="both"/>
        <w:rPr>
          <w:rFonts w:ascii="Palatino Linotype" w:hAnsi="Palatino Linotype" w:cs="Tahoma"/>
          <w:b/>
          <w:i/>
          <w:color w:val="000000" w:themeColor="text1"/>
        </w:rPr>
      </w:pPr>
      <w:r w:rsidRPr="00E13872">
        <w:rPr>
          <w:rFonts w:ascii="Palatino Linotype" w:hAnsi="Palatino Linotype" w:cs="Tahoma"/>
          <w:b/>
          <w:i/>
          <w:color w:val="000000" w:themeColor="text1"/>
        </w:rPr>
        <w:t>II. Los municipios del Estado de México;</w:t>
      </w:r>
    </w:p>
    <w:p w:rsidR="00A4171F" w:rsidRPr="00E13872" w:rsidRDefault="00A4171F" w:rsidP="002C3557">
      <w:pPr>
        <w:jc w:val="both"/>
        <w:rPr>
          <w:rFonts w:ascii="Palatino Linotype" w:hAnsi="Palatino Linotype" w:cs="Tahoma"/>
          <w:color w:val="000000" w:themeColor="text1"/>
        </w:rPr>
      </w:pPr>
      <w:r w:rsidRPr="00E13872">
        <w:rPr>
          <w:rFonts w:ascii="Palatino Linotype" w:hAnsi="Palatino Linotype" w:cs="Tahoma"/>
          <w:color w:val="000000" w:themeColor="text1"/>
        </w:rPr>
        <w:t xml:space="preserve">Asimismo, el ordenamiento legal referido señala en su artículo 8, fracción XI lo siguiente: </w:t>
      </w:r>
    </w:p>
    <w:p w:rsidR="00A4171F" w:rsidRPr="00E13872" w:rsidRDefault="00A4171F" w:rsidP="002C3557">
      <w:pPr>
        <w:jc w:val="both"/>
        <w:rPr>
          <w:rFonts w:ascii="Palatino Linotype" w:hAnsi="Palatino Linotype" w:cs="Tahoma"/>
          <w:color w:val="000000" w:themeColor="text1"/>
        </w:rPr>
      </w:pPr>
    </w:p>
    <w:p w:rsidR="00A4171F" w:rsidRPr="00E13872" w:rsidRDefault="00A4171F" w:rsidP="002C3557">
      <w:pPr>
        <w:jc w:val="both"/>
        <w:rPr>
          <w:rFonts w:ascii="Palatino Linotype" w:hAnsi="Palatino Linotype" w:cs="Tahoma"/>
          <w:i/>
          <w:color w:val="000000" w:themeColor="text1"/>
        </w:rPr>
      </w:pPr>
      <w:r w:rsidRPr="00E13872">
        <w:rPr>
          <w:rFonts w:ascii="Palatino Linotype" w:hAnsi="Palatino Linotype" w:cs="Tahoma"/>
          <w:i/>
          <w:color w:val="000000" w:themeColor="text1"/>
        </w:rPr>
        <w:t>Artículo 8. El Órgano Superior tendrá las siguientes atribuciones:</w:t>
      </w:r>
    </w:p>
    <w:p w:rsidR="00A4171F" w:rsidRPr="00E13872" w:rsidRDefault="00A4171F" w:rsidP="002C3557">
      <w:pPr>
        <w:jc w:val="both"/>
        <w:rPr>
          <w:rFonts w:ascii="Palatino Linotype" w:hAnsi="Palatino Linotype" w:cs="Tahoma"/>
          <w:i/>
          <w:color w:val="000000" w:themeColor="text1"/>
        </w:rPr>
      </w:pPr>
      <w:r w:rsidRPr="00E13872">
        <w:rPr>
          <w:rFonts w:ascii="Palatino Linotype" w:hAnsi="Palatino Linotype" w:cs="Tahoma"/>
          <w:i/>
          <w:color w:val="000000" w:themeColor="text1"/>
        </w:rPr>
        <w:t>…</w:t>
      </w:r>
    </w:p>
    <w:p w:rsidR="00A4171F" w:rsidRPr="00E13872" w:rsidRDefault="00A4171F" w:rsidP="002C3557">
      <w:pPr>
        <w:jc w:val="both"/>
        <w:rPr>
          <w:rFonts w:ascii="Palatino Linotype" w:hAnsi="Palatino Linotype" w:cs="Tahoma"/>
          <w:i/>
          <w:color w:val="000000" w:themeColor="text1"/>
        </w:rPr>
      </w:pPr>
      <w:r w:rsidRPr="00E13872">
        <w:rPr>
          <w:rFonts w:ascii="Palatino Linotype" w:hAnsi="Palatino Linotype" w:cs="Tahoma"/>
          <w:i/>
          <w:color w:val="000000" w:themeColor="text1"/>
        </w:rPr>
        <w:t xml:space="preserve">XI. </w:t>
      </w:r>
      <w:r w:rsidRPr="00E13872">
        <w:rPr>
          <w:rFonts w:ascii="Palatino Linotype" w:hAnsi="Palatino Linotype" w:cs="Tahoma"/>
          <w:b/>
          <w:i/>
          <w:color w:val="000000" w:themeColor="text1"/>
        </w:rPr>
        <w:t>Establecer los lineamientos, criterios, procedimientos, métodos y sistemas para las acciones de control y evaluación, necesarios para la fiscalización de las cuentas públicas y los informes trimestrales</w:t>
      </w:r>
      <w:r w:rsidRPr="00E13872">
        <w:rPr>
          <w:rFonts w:ascii="Palatino Linotype" w:hAnsi="Palatino Linotype" w:cs="Tahoma"/>
          <w:i/>
          <w:color w:val="000000" w:themeColor="text1"/>
        </w:rPr>
        <w:t xml:space="preserve">…” </w:t>
      </w:r>
    </w:p>
    <w:p w:rsidR="00A4171F" w:rsidRPr="00E13872" w:rsidRDefault="00A4171F" w:rsidP="002C3557">
      <w:pPr>
        <w:numPr>
          <w:ilvl w:val="0"/>
          <w:numId w:val="2"/>
        </w:numPr>
        <w:spacing w:line="360" w:lineRule="auto"/>
        <w:ind w:left="0" w:firstLine="0"/>
        <w:jc w:val="both"/>
        <w:rPr>
          <w:rFonts w:ascii="Palatino Linotype" w:eastAsia="Calibri" w:hAnsi="Palatino Linotype"/>
          <w:bCs/>
          <w:color w:val="000000" w:themeColor="text1"/>
          <w:lang w:val="es-ES"/>
        </w:rPr>
      </w:pPr>
      <w:r w:rsidRPr="00E13872">
        <w:rPr>
          <w:rFonts w:ascii="Palatino Linotype" w:hAnsi="Palatino Linotype" w:cs="Tahoma"/>
          <w:color w:val="000000" w:themeColor="text1"/>
        </w:rPr>
        <w:lastRenderedPageBreak/>
        <w:t>De</w:t>
      </w:r>
      <w:r w:rsidRPr="00E13872">
        <w:rPr>
          <w:rFonts w:ascii="Palatino Linotype" w:eastAsia="Calibri" w:hAnsi="Palatino Linotype"/>
          <w:color w:val="000000" w:themeColor="text1"/>
          <w:lang w:val="es-ES"/>
        </w:rPr>
        <w:t xml:space="preserve"> la normatividad previamente plasmada, se desprende primeramente que el</w:t>
      </w:r>
      <w:r w:rsidRPr="00E13872">
        <w:rPr>
          <w:rFonts w:ascii="Palatino Linotype" w:eastAsia="Calibri" w:hAnsi="Palatino Linotype"/>
          <w:bCs/>
          <w:color w:val="000000" w:themeColor="text1"/>
          <w:lang w:val="es-ES"/>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rsidR="00A4171F" w:rsidRPr="00E13872" w:rsidRDefault="00A4171F" w:rsidP="002C3557">
      <w:pPr>
        <w:tabs>
          <w:tab w:val="left" w:pos="284"/>
        </w:tabs>
        <w:spacing w:before="240" w:after="240" w:line="360" w:lineRule="auto"/>
        <w:contextualSpacing/>
        <w:jc w:val="both"/>
        <w:rPr>
          <w:rFonts w:ascii="Palatino Linotype" w:eastAsia="Calibri" w:hAnsi="Palatino Linotype"/>
          <w:color w:val="000000" w:themeColor="text1"/>
          <w:lang w:val="es-ES"/>
        </w:rPr>
      </w:pPr>
    </w:p>
    <w:p w:rsidR="00A4171F" w:rsidRPr="00E13872" w:rsidRDefault="00A4171F" w:rsidP="002C355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En ese orden de ideas, es oportuno referir </w:t>
      </w:r>
      <w:r w:rsidR="009D34A4" w:rsidRPr="00E13872">
        <w:rPr>
          <w:rFonts w:ascii="Palatino Linotype" w:eastAsia="Palatino Linotype" w:hAnsi="Palatino Linotype" w:cs="Palatino Linotype"/>
          <w:color w:val="000000" w:themeColor="text1"/>
        </w:rPr>
        <w:t>que en relación a los Informes Trimestral </w:t>
      </w:r>
      <w:r w:rsidR="009D34A4" w:rsidRPr="00E13872">
        <w:rPr>
          <w:rFonts w:ascii="Palatino Linotype" w:eastAsia="Palatino Linotype" w:hAnsi="Palatino Linotype" w:cs="Palatino Linotype"/>
          <w:b/>
          <w:bCs/>
          <w:color w:val="000000" w:themeColor="text1"/>
        </w:rPr>
        <w:t>Municipales</w:t>
      </w:r>
      <w:r w:rsidR="009D34A4" w:rsidRPr="00E13872">
        <w:rPr>
          <w:rFonts w:ascii="Palatino Linotype" w:eastAsia="Palatino Linotype" w:hAnsi="Palatino Linotype" w:cs="Palatino Linotype"/>
          <w:color w:val="000000" w:themeColor="text1"/>
        </w:rPr>
        <w:t> Ejercicio Fiscal 2025, del Órgano Superior de Fiscalización del Estado de México (OSFEM),</w:t>
      </w:r>
      <w:r w:rsidR="007D22DE" w:rsidRPr="00E13872">
        <w:rPr>
          <w:rFonts w:ascii="Palatino Linotype" w:eastAsia="Palatino Linotype" w:hAnsi="Palatino Linotype" w:cs="Palatino Linotype"/>
          <w:color w:val="000000" w:themeColor="text1"/>
        </w:rPr>
        <w:t xml:space="preserve"> consultable en el link </w:t>
      </w:r>
      <w:hyperlink r:id="rId10" w:history="1">
        <w:r w:rsidR="007D22DE" w:rsidRPr="00E13872">
          <w:rPr>
            <w:rStyle w:val="Hipervnculo"/>
            <w:rFonts w:ascii="Palatino Linotype" w:eastAsia="Palatino Linotype" w:hAnsi="Palatino Linotype" w:cs="Palatino Linotype"/>
            <w:color w:val="000000" w:themeColor="text1"/>
          </w:rPr>
          <w:t>https://www.osfem.gob.mx/entidades/documentos_apoyo.html</w:t>
        </w:r>
      </w:hyperlink>
      <w:r w:rsidR="007D22DE" w:rsidRPr="00E13872">
        <w:rPr>
          <w:rFonts w:ascii="Palatino Linotype" w:eastAsia="Palatino Linotype" w:hAnsi="Palatino Linotype" w:cs="Palatino Linotype"/>
          <w:color w:val="000000" w:themeColor="text1"/>
        </w:rPr>
        <w:t xml:space="preserve"> </w:t>
      </w:r>
      <w:r w:rsidR="009D34A4" w:rsidRPr="00E13872">
        <w:rPr>
          <w:rFonts w:ascii="Palatino Linotype" w:eastAsia="Palatino Linotype" w:hAnsi="Palatino Linotype" w:cs="Palatino Linotype"/>
          <w:color w:val="000000" w:themeColor="text1"/>
        </w:rPr>
        <w:t xml:space="preserve"> en el </w:t>
      </w:r>
      <w:r w:rsidR="007D22DE" w:rsidRPr="00E13872">
        <w:rPr>
          <w:rFonts w:ascii="Palatino Linotype" w:eastAsia="Palatino Linotype" w:hAnsi="Palatino Linotype" w:cs="Palatino Linotype"/>
          <w:color w:val="000000" w:themeColor="text1"/>
        </w:rPr>
        <w:t>“</w:t>
      </w:r>
      <w:r w:rsidRPr="00E13872">
        <w:rPr>
          <w:rFonts w:ascii="Palatino Linotype" w:eastAsia="Palatino Linotype" w:hAnsi="Palatino Linotype" w:cs="Palatino Linotype"/>
          <w:color w:val="000000" w:themeColor="text1"/>
        </w:rPr>
        <w:t>Instructivo del Módulo</w:t>
      </w:r>
      <w:r w:rsidR="007D22DE" w:rsidRPr="00E13872">
        <w:rPr>
          <w:rFonts w:ascii="Palatino Linotype" w:eastAsia="Palatino Linotype" w:hAnsi="Palatino Linotype" w:cs="Palatino Linotype"/>
          <w:color w:val="000000" w:themeColor="text1"/>
        </w:rPr>
        <w:t xml:space="preserve"> 1</w:t>
      </w:r>
      <w:r w:rsidRPr="00E13872">
        <w:rPr>
          <w:rFonts w:ascii="Palatino Linotype" w:eastAsia="Palatino Linotype" w:hAnsi="Palatino Linotype" w:cs="Palatino Linotype"/>
          <w:color w:val="000000" w:themeColor="text1"/>
        </w:rPr>
        <w:t xml:space="preserve"> </w:t>
      </w:r>
      <w:r w:rsidR="007D22DE" w:rsidRPr="00E13872">
        <w:rPr>
          <w:rFonts w:ascii="Palatino Linotype" w:eastAsia="Palatino Linotype" w:hAnsi="Palatino Linotype" w:cs="Palatino Linotype"/>
          <w:color w:val="000000" w:themeColor="text1"/>
        </w:rPr>
        <w:t>de Información Contable y Financiera”</w:t>
      </w:r>
      <w:r w:rsidRPr="00E13872">
        <w:rPr>
          <w:rFonts w:ascii="Palatino Linotype" w:eastAsia="Palatino Linotype" w:hAnsi="Palatino Linotype" w:cs="Palatino Linotype"/>
          <w:color w:val="000000" w:themeColor="text1"/>
        </w:rPr>
        <w:t xml:space="preserve">, en su apartado denominado </w:t>
      </w:r>
      <w:r w:rsidRPr="00E13872">
        <w:rPr>
          <w:rFonts w:ascii="Palatino Linotype" w:eastAsia="Palatino Linotype" w:hAnsi="Palatino Linotype" w:cs="Palatino Linotype"/>
          <w:b/>
          <w:color w:val="000000" w:themeColor="text1"/>
        </w:rPr>
        <w:t>“</w:t>
      </w:r>
      <w:r w:rsidR="007D22DE" w:rsidRPr="00E13872">
        <w:rPr>
          <w:rFonts w:ascii="Palatino Linotype" w:eastAsia="Palatino Linotype" w:hAnsi="Palatino Linotype" w:cs="Palatino Linotype"/>
          <w:b/>
          <w:color w:val="000000" w:themeColor="text1"/>
        </w:rPr>
        <w:t>31. Pólizas de Egresos con los documentos comprobatorios</w:t>
      </w:r>
      <w:r w:rsidRPr="00E13872">
        <w:rPr>
          <w:rFonts w:ascii="Palatino Linotype" w:eastAsia="Palatino Linotype" w:hAnsi="Palatino Linotype" w:cs="Palatino Linotype"/>
          <w:b/>
          <w:color w:val="000000" w:themeColor="text1"/>
        </w:rPr>
        <w:t xml:space="preserve">”, </w:t>
      </w:r>
      <w:r w:rsidRPr="00E13872">
        <w:rPr>
          <w:rFonts w:ascii="Palatino Linotype" w:eastAsia="Palatino Linotype" w:hAnsi="Palatino Linotype" w:cs="Palatino Linotype"/>
          <w:color w:val="000000" w:themeColor="text1"/>
        </w:rPr>
        <w:t xml:space="preserve"> </w:t>
      </w:r>
      <w:r w:rsidR="007D22DE" w:rsidRPr="00E13872">
        <w:rPr>
          <w:rFonts w:ascii="Palatino Linotype" w:eastAsia="Palatino Linotype" w:hAnsi="Palatino Linotype" w:cs="Palatino Linotype"/>
          <w:color w:val="000000" w:themeColor="text1"/>
        </w:rPr>
        <w:t>Este tipo de póliza refleja cualquier operación contable en la que se produzca una salida de efectivo o erogaciones, a través de transferencias bancarias electrónicas. No obstante, si dicha erogación se realiza a través de un cheque bancario, la póliza contable será una póliza de cheque</w:t>
      </w:r>
      <w:r w:rsidRPr="00E13872">
        <w:rPr>
          <w:rFonts w:ascii="Palatino Linotype" w:eastAsia="Palatino Linotype" w:hAnsi="Palatino Linotype" w:cs="Palatino Linotype"/>
          <w:color w:val="000000" w:themeColor="text1"/>
        </w:rPr>
        <w:t xml:space="preserve">. </w:t>
      </w:r>
      <w:r w:rsidRPr="00E13872">
        <w:rPr>
          <w:rFonts w:ascii="Palatino Linotype" w:eastAsia="Palatino Linotype" w:hAnsi="Palatino Linotype" w:cs="Palatino Linotype"/>
          <w:b/>
          <w:color w:val="000000" w:themeColor="text1"/>
          <w:u w:val="single"/>
        </w:rPr>
        <w:t>Las pólizas de egresos</w:t>
      </w:r>
      <w:r w:rsidRPr="00E13872">
        <w:rPr>
          <w:rFonts w:ascii="Palatino Linotype" w:eastAsia="Palatino Linotype" w:hAnsi="Palatino Linotype" w:cs="Palatino Linotype"/>
          <w:color w:val="000000" w:themeColor="text1"/>
        </w:rPr>
        <w:t xml:space="preserve"> deberán ser las que emita su sistema y </w:t>
      </w:r>
      <w:r w:rsidRPr="00E13872">
        <w:rPr>
          <w:rFonts w:ascii="Palatino Linotype" w:eastAsia="Palatino Linotype" w:hAnsi="Palatino Linotype" w:cs="Palatino Linotype"/>
          <w:b/>
          <w:color w:val="000000" w:themeColor="text1"/>
          <w:u w:val="single"/>
        </w:rPr>
        <w:t>deberán estar soportadas por toda la documentación comprobatoria que justifique el egreso</w:t>
      </w:r>
      <w:r w:rsidRPr="00E13872">
        <w:rPr>
          <w:rFonts w:ascii="Palatino Linotype" w:eastAsia="Palatino Linotype" w:hAnsi="Palatino Linotype" w:cs="Palatino Linotype"/>
          <w:color w:val="000000" w:themeColor="text1"/>
        </w:rPr>
        <w:t>, las cuales deberán coincidir con las presentadas en el Diario General de Pólizas de cada uno de los meses que corresponda.</w:t>
      </w:r>
      <w:r w:rsidR="00671AEB" w:rsidRPr="00E13872">
        <w:rPr>
          <w:rFonts w:ascii="Palatino Linotype" w:eastAsia="Palatino Linotype" w:hAnsi="Palatino Linotype" w:cs="Palatino Linotype"/>
          <w:color w:val="000000" w:themeColor="text1"/>
        </w:rPr>
        <w:t xml:space="preserve"> A modo de ilustración se adjunta imagen del formato de la póliza de egresos.</w:t>
      </w:r>
    </w:p>
    <w:p w:rsidR="00671AEB" w:rsidRPr="00E13872" w:rsidRDefault="00671AEB" w:rsidP="002C355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671AEB" w:rsidRPr="00E13872" w:rsidRDefault="00671AEB" w:rsidP="002C3557">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noProof/>
          <w:color w:val="000000" w:themeColor="text1"/>
          <w:lang w:val="es-MX" w:eastAsia="es-MX"/>
        </w:rPr>
        <w:lastRenderedPageBreak/>
        <w:drawing>
          <wp:inline distT="0" distB="0" distL="0" distR="0" wp14:anchorId="78E48E74" wp14:editId="6A601BD5">
            <wp:extent cx="3773263" cy="3244215"/>
            <wp:effectExtent l="152400" t="152400" r="360680" b="3562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83033" cy="3252615"/>
                    </a:xfrm>
                    <a:prstGeom prst="rect">
                      <a:avLst/>
                    </a:prstGeom>
                    <a:ln>
                      <a:noFill/>
                    </a:ln>
                    <a:effectLst>
                      <a:outerShdw blurRad="292100" dist="139700" dir="2700000" algn="tl" rotWithShape="0">
                        <a:srgbClr val="333333">
                          <a:alpha val="65000"/>
                        </a:srgbClr>
                      </a:outerShdw>
                    </a:effectLst>
                  </pic:spPr>
                </pic:pic>
              </a:graphicData>
            </a:graphic>
          </wp:inline>
        </w:drawing>
      </w:r>
    </w:p>
    <w:p w:rsidR="00A4171F" w:rsidRPr="00E13872" w:rsidRDefault="00A4171F" w:rsidP="002C355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671AEB" w:rsidRPr="00E13872" w:rsidRDefault="00A4171F" w:rsidP="002C355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b/>
          <w:color w:val="000000" w:themeColor="text1"/>
        </w:rPr>
        <w:t>“</w:t>
      </w:r>
      <w:r w:rsidR="007D22DE" w:rsidRPr="00E13872">
        <w:rPr>
          <w:rFonts w:ascii="Palatino Linotype" w:eastAsia="Palatino Linotype" w:hAnsi="Palatino Linotype" w:cs="Palatino Linotype"/>
          <w:b/>
          <w:color w:val="000000" w:themeColor="text1"/>
        </w:rPr>
        <w:t>33. Pólizas de Cheques con los documentos comprobatorios</w:t>
      </w:r>
      <w:r w:rsidRPr="00E13872">
        <w:rPr>
          <w:rFonts w:ascii="Palatino Linotype" w:eastAsia="Palatino Linotype" w:hAnsi="Palatino Linotype" w:cs="Palatino Linotype"/>
          <w:b/>
          <w:color w:val="000000" w:themeColor="text1"/>
        </w:rPr>
        <w:t>”</w:t>
      </w:r>
      <w:r w:rsidRPr="00E13872">
        <w:rPr>
          <w:rFonts w:ascii="Palatino Linotype" w:eastAsia="Palatino Linotype" w:hAnsi="Palatino Linotype" w:cs="Palatino Linotype"/>
          <w:color w:val="000000" w:themeColor="text1"/>
        </w:rPr>
        <w:t xml:space="preserve"> Este tipo de póliza se utiliza en caso de erogaciones realizadas a través de un cheque. </w:t>
      </w:r>
      <w:r w:rsidRPr="00E13872">
        <w:rPr>
          <w:rFonts w:ascii="Palatino Linotype" w:eastAsia="Palatino Linotype" w:hAnsi="Palatino Linotype" w:cs="Palatino Linotype"/>
          <w:b/>
          <w:color w:val="000000" w:themeColor="text1"/>
          <w:u w:val="single"/>
        </w:rPr>
        <w:t>Las pólizas de cheque deberán</w:t>
      </w:r>
      <w:r w:rsidRPr="00E13872">
        <w:rPr>
          <w:rFonts w:ascii="Palatino Linotype" w:eastAsia="Palatino Linotype" w:hAnsi="Palatino Linotype" w:cs="Palatino Linotype"/>
          <w:color w:val="000000" w:themeColor="text1"/>
        </w:rPr>
        <w:t xml:space="preserve"> ser las que emita su sistema y </w:t>
      </w:r>
      <w:r w:rsidRPr="00E13872">
        <w:rPr>
          <w:rFonts w:ascii="Palatino Linotype" w:eastAsia="Palatino Linotype" w:hAnsi="Palatino Linotype" w:cs="Palatino Linotype"/>
          <w:b/>
          <w:color w:val="000000" w:themeColor="text1"/>
          <w:u w:val="single"/>
        </w:rPr>
        <w:t>deberán estar soportadas por toda la documentación comprobatoria que justifique la erogación</w:t>
      </w:r>
      <w:r w:rsidRPr="00E13872">
        <w:rPr>
          <w:rFonts w:ascii="Palatino Linotype" w:eastAsia="Palatino Linotype" w:hAnsi="Palatino Linotype" w:cs="Palatino Linotype"/>
          <w:color w:val="000000" w:themeColor="text1"/>
        </w:rPr>
        <w:t>, las cuales deberán coincidir con las presentadas en el Diario General de Pólizas de cada uno de los meses que corresponda.</w:t>
      </w:r>
      <w:r w:rsidR="00671AEB" w:rsidRPr="00E13872">
        <w:rPr>
          <w:rFonts w:ascii="Palatino Linotype" w:eastAsia="Palatino Linotype" w:hAnsi="Palatino Linotype" w:cs="Palatino Linotype"/>
          <w:color w:val="000000" w:themeColor="text1"/>
        </w:rPr>
        <w:t xml:space="preserve"> A modo de ilustración se adjunta imagen del formato de la póliza de cheques.</w:t>
      </w:r>
    </w:p>
    <w:p w:rsidR="00A4171F" w:rsidRPr="00E13872" w:rsidRDefault="00A4171F" w:rsidP="002C3557">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A4171F" w:rsidRPr="00E13872" w:rsidRDefault="00671AEB" w:rsidP="002C3557">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E13872">
        <w:rPr>
          <w:rFonts w:ascii="Palatino Linotype" w:eastAsia="Palatino Linotype" w:hAnsi="Palatino Linotype" w:cs="Palatino Linotype"/>
          <w:b/>
          <w:noProof/>
          <w:color w:val="000000" w:themeColor="text1"/>
          <w:lang w:val="es-MX" w:eastAsia="es-MX"/>
        </w:rPr>
        <w:lastRenderedPageBreak/>
        <w:drawing>
          <wp:inline distT="0" distB="0" distL="0" distR="0" wp14:anchorId="0DF84415" wp14:editId="0F2AD07A">
            <wp:extent cx="3692820" cy="3068320"/>
            <wp:effectExtent l="152400" t="152400" r="365125" b="3606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06231" cy="3079463"/>
                    </a:xfrm>
                    <a:prstGeom prst="rect">
                      <a:avLst/>
                    </a:prstGeom>
                    <a:ln>
                      <a:noFill/>
                    </a:ln>
                    <a:effectLst>
                      <a:outerShdw blurRad="292100" dist="139700" dir="2700000" algn="tl" rotWithShape="0">
                        <a:srgbClr val="333333">
                          <a:alpha val="65000"/>
                        </a:srgbClr>
                      </a:outerShdw>
                    </a:effectLst>
                  </pic:spPr>
                </pic:pic>
              </a:graphicData>
            </a:graphic>
          </wp:inline>
        </w:drawing>
      </w:r>
    </w:p>
    <w:p w:rsidR="00A4171F" w:rsidRPr="00E13872" w:rsidRDefault="00A4171F" w:rsidP="002C355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Como se puedo observar, </w:t>
      </w:r>
      <w:r w:rsidRPr="00E13872">
        <w:rPr>
          <w:rFonts w:ascii="Palatino Linotype" w:eastAsia="Palatino Linotype" w:hAnsi="Palatino Linotype" w:cs="Palatino Linotype"/>
          <w:b/>
          <w:color w:val="000000" w:themeColor="text1"/>
        </w:rPr>
        <w:t>las pólizas de egresos y las pólizas de cheques, de manera enunciativa mas no limitativa pueden colmar la pretensión del Recurrente</w:t>
      </w:r>
      <w:r w:rsidRPr="00E13872">
        <w:rPr>
          <w:rFonts w:ascii="Palatino Linotype" w:eastAsia="Palatino Linotype" w:hAnsi="Palatino Linotype" w:cs="Palatino Linotype"/>
          <w:color w:val="000000" w:themeColor="text1"/>
        </w:rPr>
        <w:t>, pues contiene la información solicitada; asimismo es de referir que estos formatos se generan de manera mensual, como lo disponen los Lineamientos, fechas de capacitación y calendarización para la integración y presentación de los informes trimestrales estatales y municipales del ejercicio fiscal 2025, de las entidades fiscalizables del Estado de México</w:t>
      </w:r>
      <w:r w:rsidR="00A522DD" w:rsidRPr="00E13872">
        <w:rPr>
          <w:rFonts w:ascii="Palatino Linotype" w:eastAsia="Palatino Linotype" w:hAnsi="Palatino Linotype" w:cs="Palatino Linotype"/>
          <w:color w:val="000000" w:themeColor="text1"/>
        </w:rPr>
        <w:t xml:space="preserve">, consultables en el siguiente link </w:t>
      </w:r>
      <w:hyperlink r:id="rId13" w:history="1">
        <w:r w:rsidR="00A522DD" w:rsidRPr="00E13872">
          <w:rPr>
            <w:rStyle w:val="Hipervnculo"/>
            <w:rFonts w:ascii="Palatino Linotype" w:eastAsia="Palatino Linotype" w:hAnsi="Palatino Linotype" w:cs="Palatino Linotype"/>
            <w:color w:val="000000" w:themeColor="text1"/>
          </w:rPr>
          <w:t>https://legislacion.edomex.gob.mx/sites/legislacion.edomex.gob.mx/files/files/pdf/gct/2025/abril/abr011/abr011a.pdf</w:t>
        </w:r>
      </w:hyperlink>
      <w:r w:rsidR="00A522DD" w:rsidRPr="00E13872">
        <w:rPr>
          <w:rFonts w:ascii="Palatino Linotype" w:eastAsia="Palatino Linotype" w:hAnsi="Palatino Linotype" w:cs="Palatino Linotype"/>
          <w:color w:val="000000" w:themeColor="text1"/>
        </w:rPr>
        <w:t xml:space="preserve"> </w:t>
      </w:r>
      <w:r w:rsidRPr="00E13872">
        <w:rPr>
          <w:rFonts w:ascii="Palatino Linotype" w:eastAsia="Palatino Linotype" w:hAnsi="Palatino Linotype" w:cs="Palatino Linotype"/>
          <w:color w:val="000000" w:themeColor="text1"/>
        </w:rPr>
        <w:t>, tal como se muestra a continuación:</w:t>
      </w:r>
    </w:p>
    <w:p w:rsidR="00A4171F" w:rsidRPr="00E13872" w:rsidRDefault="00A4171F" w:rsidP="002C3557">
      <w:pPr>
        <w:pBdr>
          <w:top w:val="nil"/>
          <w:left w:val="nil"/>
          <w:bottom w:val="nil"/>
          <w:right w:val="nil"/>
          <w:between w:val="nil"/>
        </w:pBdr>
        <w:rPr>
          <w:rFonts w:ascii="Palatino Linotype" w:eastAsia="Palatino Linotype" w:hAnsi="Palatino Linotype" w:cs="Palatino Linotype"/>
          <w:color w:val="000000" w:themeColor="text1"/>
        </w:rPr>
      </w:pPr>
    </w:p>
    <w:p w:rsidR="00A4171F" w:rsidRPr="00E13872" w:rsidRDefault="00A522DD" w:rsidP="002C3557">
      <w:pPr>
        <w:pBdr>
          <w:top w:val="nil"/>
          <w:left w:val="nil"/>
          <w:bottom w:val="nil"/>
          <w:right w:val="nil"/>
          <w:between w:val="nil"/>
        </w:pBdr>
        <w:jc w:val="center"/>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noProof/>
          <w:color w:val="000000" w:themeColor="text1"/>
          <w:lang w:val="es-MX" w:eastAsia="es-MX"/>
        </w:rPr>
        <w:lastRenderedPageBreak/>
        <w:drawing>
          <wp:inline distT="0" distB="0" distL="0" distR="0" wp14:anchorId="0E09E1EA" wp14:editId="01DDA245">
            <wp:extent cx="5267177" cy="2296292"/>
            <wp:effectExtent l="152400" t="152400" r="353060" b="3708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7299" cy="2300705"/>
                    </a:xfrm>
                    <a:prstGeom prst="rect">
                      <a:avLst/>
                    </a:prstGeom>
                    <a:ln>
                      <a:noFill/>
                    </a:ln>
                    <a:effectLst>
                      <a:outerShdw blurRad="292100" dist="139700" dir="2700000" algn="tl" rotWithShape="0">
                        <a:srgbClr val="333333">
                          <a:alpha val="65000"/>
                        </a:srgbClr>
                      </a:outerShdw>
                    </a:effectLst>
                  </pic:spPr>
                </pic:pic>
              </a:graphicData>
            </a:graphic>
          </wp:inline>
        </w:drawing>
      </w:r>
    </w:p>
    <w:p w:rsidR="00C13492" w:rsidRPr="00E13872" w:rsidRDefault="00C13492" w:rsidP="002C355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A4171F" w:rsidRPr="00E13872" w:rsidRDefault="00A522DD" w:rsidP="002C355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En razón de lo expuesto, l</w:t>
      </w:r>
      <w:r w:rsidR="007B54B4" w:rsidRPr="00E13872">
        <w:rPr>
          <w:rFonts w:ascii="Palatino Linotype" w:eastAsia="Palatino Linotype" w:hAnsi="Palatino Linotype" w:cs="Palatino Linotype"/>
          <w:color w:val="000000" w:themeColor="text1"/>
        </w:rPr>
        <w:t>os sujetos obligados deberán hacer pública toda aquella información relativa a los montos y las personas a quienes entreguen, por cualquier motivo, recursos públicos y en consecuencia, los servidores públicos deberán transparentar sus acciones así como garantizar y respetar el derecho de acceso a la información pública.</w:t>
      </w:r>
    </w:p>
    <w:p w:rsidR="003C3E11" w:rsidRPr="00E13872" w:rsidRDefault="003C3E11" w:rsidP="002C3557">
      <w:pPr>
        <w:spacing w:line="360" w:lineRule="auto"/>
        <w:jc w:val="both"/>
        <w:rPr>
          <w:rFonts w:ascii="Palatino Linotype" w:eastAsia="Palatino Linotype" w:hAnsi="Palatino Linotype" w:cs="Palatino Linotype"/>
          <w:color w:val="000000" w:themeColor="text1"/>
          <w:u w:val="single"/>
        </w:rPr>
      </w:pPr>
    </w:p>
    <w:p w:rsidR="007B54B4" w:rsidRPr="00E13872" w:rsidRDefault="007B54B4" w:rsidP="002C355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En este mismo sentido se tiene como obligación de transparencia común la de poner a disposición la información relativa a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rsidR="007B54B4" w:rsidRPr="00E13872" w:rsidRDefault="007B54B4" w:rsidP="002C355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B54B4" w:rsidRPr="00E13872" w:rsidRDefault="007B54B4" w:rsidP="002C3557">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Cs/>
          <w:color w:val="000000" w:themeColor="text1"/>
        </w:rPr>
      </w:pPr>
      <w:r w:rsidRPr="00E13872">
        <w:rPr>
          <w:rFonts w:ascii="Palatino Linotype" w:eastAsia="Palatino Linotype" w:hAnsi="Palatino Linotype" w:cs="Palatino Linotype"/>
          <w:color w:val="000000" w:themeColor="text1"/>
        </w:rPr>
        <w:t xml:space="preserve">En este sentido se deben señalar diversos datos de manera enunciativa mas no limitativa, que si bien corresponden a datos personales </w:t>
      </w:r>
      <w:r w:rsidRPr="00E13872">
        <w:rPr>
          <w:rFonts w:ascii="Palatino Linotype" w:eastAsia="Palatino Linotype" w:hAnsi="Palatino Linotype" w:cs="Palatino Linotype"/>
          <w:bCs/>
          <w:color w:val="000000" w:themeColor="text1"/>
        </w:rPr>
        <w:t xml:space="preserve">no actualizan la causal de </w:t>
      </w:r>
      <w:r w:rsidRPr="00E13872">
        <w:rPr>
          <w:rFonts w:ascii="Palatino Linotype" w:eastAsia="Palatino Linotype" w:hAnsi="Palatino Linotype" w:cs="Palatino Linotype"/>
          <w:bCs/>
          <w:color w:val="000000" w:themeColor="text1"/>
        </w:rPr>
        <w:lastRenderedPageBreak/>
        <w:t>clasificación establecida en el artículo 143, fracción I, de la Ley de Transparencia y Acceso a la Información Pública del Estado de México y Municipios.</w:t>
      </w:r>
    </w:p>
    <w:p w:rsidR="007B54B4" w:rsidRPr="00E13872" w:rsidRDefault="007B54B4" w:rsidP="002C3557">
      <w:pPr>
        <w:pBdr>
          <w:top w:val="nil"/>
          <w:left w:val="nil"/>
          <w:bottom w:val="nil"/>
          <w:right w:val="nil"/>
          <w:between w:val="nil"/>
        </w:pBdr>
        <w:spacing w:line="360" w:lineRule="auto"/>
        <w:jc w:val="both"/>
        <w:rPr>
          <w:rFonts w:ascii="Palatino Linotype" w:eastAsia="Palatino Linotype" w:hAnsi="Palatino Linotype" w:cs="Palatino Linotype"/>
          <w:bCs/>
          <w:color w:val="000000" w:themeColor="text1"/>
        </w:rPr>
      </w:pPr>
    </w:p>
    <w:p w:rsidR="007B54B4" w:rsidRPr="00E13872" w:rsidRDefault="007B54B4" w:rsidP="006A1BDE">
      <w:pPr>
        <w:pStyle w:val="Prrafodelista"/>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E13872">
        <w:rPr>
          <w:rFonts w:ascii="Palatino Linotype" w:hAnsi="Palatino Linotype"/>
          <w:b/>
          <w:color w:val="000000" w:themeColor="text1"/>
        </w:rPr>
        <w:t>Cuentas bancarias o clabes interbancarias</w:t>
      </w:r>
    </w:p>
    <w:p w:rsidR="007B54B4" w:rsidRPr="00E13872" w:rsidRDefault="007B54B4" w:rsidP="002C3557">
      <w:pPr>
        <w:numPr>
          <w:ilvl w:val="0"/>
          <w:numId w:val="2"/>
        </w:numPr>
        <w:spacing w:line="360" w:lineRule="auto"/>
        <w:ind w:left="0" w:firstLine="0"/>
        <w:jc w:val="both"/>
        <w:rPr>
          <w:rFonts w:ascii="Palatino Linotype" w:hAnsi="Palatino Linotype"/>
          <w:color w:val="000000" w:themeColor="text1"/>
        </w:rPr>
      </w:pPr>
      <w:r w:rsidRPr="00E13872">
        <w:rPr>
          <w:rFonts w:ascii="Palatino Linotype" w:eastAsia="Palatino Linotype" w:hAnsi="Palatino Linotype" w:cs="Palatino Linotype"/>
          <w:color w:val="000000" w:themeColor="text1"/>
        </w:rPr>
        <w:t xml:space="preserve">Resulta importante señalar que </w:t>
      </w:r>
      <w:r w:rsidRPr="00E13872">
        <w:rPr>
          <w:rFonts w:ascii="Palatino Linotype" w:hAnsi="Palatino Linotype"/>
          <w:color w:val="000000" w:themeColor="text1"/>
        </w:rPr>
        <w:t>tratándose de las cuentas bancarias o clabes interbancarias de los Sujetos Obligados ya que su publicidad cede a la rendición de cuentas al transparentar la forma en que son administrados los recursos públicos.</w:t>
      </w:r>
    </w:p>
    <w:p w:rsidR="007B54B4" w:rsidRPr="00E13872" w:rsidRDefault="007B54B4" w:rsidP="002C3557">
      <w:pPr>
        <w:spacing w:line="360" w:lineRule="auto"/>
        <w:jc w:val="both"/>
        <w:rPr>
          <w:rFonts w:ascii="Palatino Linotype" w:hAnsi="Palatino Linotype"/>
          <w:color w:val="000000" w:themeColor="text1"/>
        </w:rPr>
      </w:pPr>
    </w:p>
    <w:p w:rsidR="007B54B4" w:rsidRPr="00E13872" w:rsidRDefault="007B54B4" w:rsidP="002C3557">
      <w:pPr>
        <w:numPr>
          <w:ilvl w:val="0"/>
          <w:numId w:val="2"/>
        </w:numPr>
        <w:spacing w:line="360" w:lineRule="auto"/>
        <w:ind w:left="0" w:firstLine="0"/>
        <w:jc w:val="both"/>
        <w:rPr>
          <w:rFonts w:ascii="Palatino Linotype" w:hAnsi="Palatino Linotype"/>
          <w:color w:val="000000" w:themeColor="text1"/>
        </w:rPr>
      </w:pPr>
      <w:r w:rsidRPr="00E13872">
        <w:rPr>
          <w:rFonts w:ascii="Palatino Linotype" w:hAnsi="Palatino Linotype"/>
          <w:color w:val="000000" w:themeColor="text1"/>
        </w:rPr>
        <w:t>Lo argumentado encuentra sustento en los criterios orientadores 10/17 y 11/17 emitidos por el Instituto Nacional de Transparencia, Acceso a la Información y Protección de Datos Personales, INAI, que llevan por rubro y texto los siguientes:</w:t>
      </w:r>
    </w:p>
    <w:p w:rsidR="007B54B4" w:rsidRPr="00E13872" w:rsidRDefault="007B54B4" w:rsidP="002C3557">
      <w:pPr>
        <w:pStyle w:val="NormalWeb"/>
        <w:spacing w:before="240" w:beforeAutospacing="0" w:after="240" w:afterAutospacing="0"/>
        <w:jc w:val="both"/>
        <w:rPr>
          <w:rFonts w:ascii="Palatino Linotype" w:hAnsi="Palatino Linotype"/>
          <w:color w:val="000000" w:themeColor="text1"/>
        </w:rPr>
      </w:pPr>
      <w:r w:rsidRPr="00E13872">
        <w:rPr>
          <w:rFonts w:ascii="Palatino Linotype" w:hAnsi="Palatino Linotype"/>
          <w:b/>
          <w:bCs/>
          <w:i/>
          <w:iCs/>
          <w:color w:val="000000" w:themeColor="text1"/>
        </w:rPr>
        <w:t>“Cuentas bancarias y/o CLABE interbancaria de personas físicas y morales privadas.</w:t>
      </w:r>
      <w:r w:rsidRPr="00E13872">
        <w:rPr>
          <w:rFonts w:ascii="Palatino Linotype" w:hAnsi="Palatino Linotype"/>
          <w:i/>
          <w:iCs/>
          <w:color w:val="000000" w:themeColor="text1"/>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7B54B4" w:rsidRPr="00E13872" w:rsidRDefault="007B54B4" w:rsidP="002C3557">
      <w:pPr>
        <w:pStyle w:val="NormalWeb"/>
        <w:spacing w:before="240" w:beforeAutospacing="0" w:after="240" w:afterAutospacing="0"/>
        <w:jc w:val="both"/>
        <w:rPr>
          <w:rFonts w:ascii="Palatino Linotype" w:hAnsi="Palatino Linotype"/>
          <w:i/>
          <w:iCs/>
          <w:color w:val="000000" w:themeColor="text1"/>
        </w:rPr>
      </w:pPr>
      <w:r w:rsidRPr="00E13872">
        <w:rPr>
          <w:rFonts w:ascii="Palatino Linotype" w:hAnsi="Palatino Linotype"/>
          <w:b/>
          <w:bCs/>
          <w:i/>
          <w:iCs/>
          <w:color w:val="000000" w:themeColor="text1"/>
        </w:rPr>
        <w:t>Cuentas bancarias y/o CLABE interbancaria de sujetos obligados que reciben y/o transfieren recursos públicos, son información pública</w:t>
      </w:r>
      <w:r w:rsidRPr="00E13872">
        <w:rPr>
          <w:rFonts w:ascii="Palatino Linotype" w:hAnsi="Palatino Linotype"/>
          <w:i/>
          <w:iCs/>
          <w:color w:val="000000" w:themeColor="text1"/>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7B54B4" w:rsidRPr="00E13872" w:rsidRDefault="007B54B4" w:rsidP="002C3557">
      <w:pPr>
        <w:pStyle w:val="NormalWeb"/>
        <w:spacing w:before="0" w:beforeAutospacing="0" w:after="0" w:afterAutospacing="0"/>
        <w:jc w:val="both"/>
        <w:rPr>
          <w:rFonts w:ascii="Palatino Linotype" w:hAnsi="Palatino Linotype"/>
          <w:color w:val="000000" w:themeColor="text1"/>
        </w:rPr>
      </w:pPr>
    </w:p>
    <w:p w:rsidR="007B54B4" w:rsidRPr="00E13872" w:rsidRDefault="007B54B4" w:rsidP="006A1BDE">
      <w:pPr>
        <w:pStyle w:val="Prrafodelista"/>
        <w:numPr>
          <w:ilvl w:val="0"/>
          <w:numId w:val="7"/>
        </w:numPr>
        <w:spacing w:line="360" w:lineRule="auto"/>
        <w:ind w:left="0" w:firstLine="0"/>
        <w:jc w:val="both"/>
        <w:rPr>
          <w:rFonts w:ascii="Palatino Linotype" w:hAnsi="Palatino Linotype"/>
          <w:color w:val="000000" w:themeColor="text1"/>
        </w:rPr>
      </w:pPr>
      <w:r w:rsidRPr="00E13872">
        <w:rPr>
          <w:rFonts w:ascii="Palatino Linotype" w:hAnsi="Palatino Linotype"/>
          <w:b/>
          <w:bCs/>
          <w:color w:val="000000" w:themeColor="text1"/>
        </w:rPr>
        <w:t>Registro Federal de Contribuyentes (RFC)</w:t>
      </w:r>
    </w:p>
    <w:p w:rsidR="007B54B4" w:rsidRPr="00E13872" w:rsidRDefault="007B54B4" w:rsidP="002C3557">
      <w:pPr>
        <w:numPr>
          <w:ilvl w:val="0"/>
          <w:numId w:val="2"/>
        </w:numPr>
        <w:spacing w:line="360" w:lineRule="auto"/>
        <w:ind w:left="0" w:firstLine="0"/>
        <w:jc w:val="both"/>
        <w:rPr>
          <w:rFonts w:ascii="Palatino Linotype" w:hAnsi="Palatino Linotype"/>
          <w:color w:val="000000" w:themeColor="text1"/>
        </w:rPr>
      </w:pPr>
      <w:r w:rsidRPr="00E13872">
        <w:rPr>
          <w:rFonts w:ascii="Palatino Linotype" w:hAnsi="Palatino Linotype"/>
          <w:color w:val="000000" w:themeColor="text1"/>
        </w:rPr>
        <w:t xml:space="preserve">Por cuanto hace al </w:t>
      </w:r>
      <w:r w:rsidRPr="00E13872">
        <w:rPr>
          <w:rFonts w:ascii="Palatino Linotype" w:hAnsi="Palatino Linotype"/>
          <w:b/>
          <w:bCs/>
          <w:color w:val="000000" w:themeColor="text1"/>
        </w:rPr>
        <w:t xml:space="preserve">Registro Federal de Contribuyentes (RFC), </w:t>
      </w:r>
      <w:r w:rsidRPr="00E13872">
        <w:rPr>
          <w:rFonts w:ascii="Palatino Linotype" w:hAnsi="Palatino Linotype"/>
          <w:color w:val="000000" w:themeColor="text1"/>
        </w:rPr>
        <w:t xml:space="preserve">si bien este Instituto ha sostenido que el RFC y domicilio de las personas físicas debe ser testado por los Sujetos </w:t>
      </w:r>
      <w:r w:rsidRPr="00E13872">
        <w:rPr>
          <w:rFonts w:ascii="Palatino Linotype" w:hAnsi="Palatino Linotype"/>
          <w:color w:val="000000" w:themeColor="text1"/>
        </w:rPr>
        <w:lastRenderedPageBreak/>
        <w:t>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rsidR="007B54B4" w:rsidRPr="00E13872" w:rsidRDefault="007B54B4" w:rsidP="002C3557">
      <w:pPr>
        <w:spacing w:line="360" w:lineRule="auto"/>
        <w:jc w:val="both"/>
        <w:rPr>
          <w:rFonts w:ascii="Palatino Linotype" w:hAnsi="Palatino Linotype"/>
          <w:color w:val="000000" w:themeColor="text1"/>
        </w:rPr>
      </w:pPr>
    </w:p>
    <w:p w:rsidR="007B54B4" w:rsidRPr="00E13872" w:rsidRDefault="007B54B4" w:rsidP="002C3557">
      <w:pPr>
        <w:numPr>
          <w:ilvl w:val="0"/>
          <w:numId w:val="2"/>
        </w:numPr>
        <w:spacing w:line="360" w:lineRule="auto"/>
        <w:ind w:left="0" w:firstLine="0"/>
        <w:jc w:val="both"/>
        <w:rPr>
          <w:rFonts w:ascii="Palatino Linotype" w:hAnsi="Palatino Linotype"/>
          <w:color w:val="000000" w:themeColor="text1"/>
        </w:rPr>
      </w:pPr>
      <w:r w:rsidRPr="00E13872">
        <w:rPr>
          <w:rFonts w:ascii="Palatino Linotype" w:hAnsi="Palatino Linotype"/>
          <w:color w:val="000000" w:themeColor="text1"/>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7B54B4" w:rsidRPr="00E13872" w:rsidRDefault="007B54B4" w:rsidP="002C3557">
      <w:pPr>
        <w:spacing w:line="360" w:lineRule="auto"/>
        <w:jc w:val="both"/>
        <w:rPr>
          <w:rFonts w:ascii="Palatino Linotype" w:hAnsi="Palatino Linotype"/>
          <w:color w:val="000000" w:themeColor="text1"/>
        </w:rPr>
      </w:pPr>
    </w:p>
    <w:p w:rsidR="007B54B4" w:rsidRPr="00E13872" w:rsidRDefault="007B54B4" w:rsidP="002C3557">
      <w:pPr>
        <w:numPr>
          <w:ilvl w:val="0"/>
          <w:numId w:val="2"/>
        </w:numPr>
        <w:spacing w:line="360" w:lineRule="auto"/>
        <w:ind w:left="0" w:firstLine="0"/>
        <w:jc w:val="both"/>
        <w:rPr>
          <w:rFonts w:ascii="Palatino Linotype" w:hAnsi="Palatino Linotype"/>
          <w:color w:val="000000" w:themeColor="text1"/>
        </w:rPr>
      </w:pPr>
      <w:r w:rsidRPr="00E13872">
        <w:rPr>
          <w:rFonts w:ascii="Palatino Linotype" w:hAnsi="Palatino Linotype"/>
          <w:color w:val="000000" w:themeColor="text1"/>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rsidR="007B54B4" w:rsidRPr="00E13872" w:rsidRDefault="007B54B4" w:rsidP="002C3557">
      <w:pPr>
        <w:spacing w:line="360" w:lineRule="auto"/>
        <w:jc w:val="both"/>
        <w:rPr>
          <w:rFonts w:ascii="Palatino Linotype" w:hAnsi="Palatino Linotype"/>
          <w:color w:val="000000" w:themeColor="text1"/>
        </w:rPr>
      </w:pPr>
    </w:p>
    <w:p w:rsidR="007B54B4" w:rsidRPr="00E13872" w:rsidRDefault="007B54B4" w:rsidP="002C3557">
      <w:pPr>
        <w:numPr>
          <w:ilvl w:val="0"/>
          <w:numId w:val="2"/>
        </w:numPr>
        <w:spacing w:line="360" w:lineRule="auto"/>
        <w:ind w:left="0" w:firstLine="0"/>
        <w:jc w:val="both"/>
        <w:rPr>
          <w:rFonts w:ascii="Palatino Linotype" w:hAnsi="Palatino Linotype"/>
          <w:color w:val="000000" w:themeColor="text1"/>
        </w:rPr>
      </w:pPr>
      <w:r w:rsidRPr="00E13872">
        <w:rPr>
          <w:rFonts w:ascii="Palatino Linotype" w:hAnsi="Palatino Linotype"/>
          <w:color w:val="000000" w:themeColor="text1"/>
        </w:rPr>
        <w:t>Robustece lo anterior el criterio orientador 04/21 emitido por el Instituto Nacional de Transparencia, Acceso a la Información y Protección de Datos Personales, INAI, el cual refiere:</w:t>
      </w:r>
    </w:p>
    <w:p w:rsidR="007B54B4" w:rsidRPr="00E13872" w:rsidRDefault="007B54B4" w:rsidP="002C3557">
      <w:pPr>
        <w:pStyle w:val="NormalWeb"/>
        <w:tabs>
          <w:tab w:val="left" w:pos="7938"/>
        </w:tabs>
        <w:spacing w:before="120" w:beforeAutospacing="0" w:after="120" w:afterAutospacing="0"/>
        <w:jc w:val="both"/>
        <w:rPr>
          <w:rFonts w:ascii="Palatino Linotype" w:hAnsi="Palatino Linotype"/>
          <w:i/>
          <w:iCs/>
          <w:color w:val="000000" w:themeColor="text1"/>
        </w:rPr>
      </w:pPr>
      <w:r w:rsidRPr="00E13872">
        <w:rPr>
          <w:rFonts w:ascii="Palatino Linotype" w:hAnsi="Palatino Linotype"/>
          <w:b/>
          <w:bCs/>
          <w:i/>
          <w:iCs/>
          <w:color w:val="000000" w:themeColor="text1"/>
        </w:rPr>
        <w:t xml:space="preserve">“Registro Federal de Contribuyentes (RFC) de personas físicas proveedoras o contratistas. </w:t>
      </w:r>
      <w:r w:rsidRPr="00E13872">
        <w:rPr>
          <w:rFonts w:ascii="Palatino Linotype" w:hAnsi="Palatino Linotype"/>
          <w:i/>
          <w:iCs/>
          <w:color w:val="000000" w:themeColor="text1"/>
        </w:rPr>
        <w:t xml:space="preserve">El RFC de contratistas o proveedores de los sujetos obligados debe ser público, ya que al tratarse de personas con contrataciones públicas, su difusión favorece la transparencia con la que deben </w:t>
      </w:r>
      <w:r w:rsidRPr="00E13872">
        <w:rPr>
          <w:rFonts w:ascii="Palatino Linotype" w:hAnsi="Palatino Linotype"/>
          <w:i/>
          <w:iCs/>
          <w:color w:val="000000" w:themeColor="text1"/>
        </w:rPr>
        <w:lastRenderedPageBreak/>
        <w:t>administrarse los recursos públicos, en términos del artículo 134 de la Constitución Política de los Estados Unidos Mexicanos.”</w:t>
      </w:r>
    </w:p>
    <w:p w:rsidR="007B54B4" w:rsidRPr="00E13872" w:rsidRDefault="007B54B4" w:rsidP="002C3557">
      <w:pPr>
        <w:pStyle w:val="NormalWeb"/>
        <w:tabs>
          <w:tab w:val="left" w:pos="7938"/>
        </w:tabs>
        <w:spacing w:before="120" w:beforeAutospacing="0" w:after="120" w:afterAutospacing="0"/>
        <w:jc w:val="both"/>
        <w:rPr>
          <w:rFonts w:ascii="Palatino Linotype" w:hAnsi="Palatino Linotype"/>
          <w:color w:val="000000" w:themeColor="text1"/>
        </w:rPr>
      </w:pPr>
    </w:p>
    <w:p w:rsidR="007B54B4" w:rsidRPr="00E13872" w:rsidRDefault="007B54B4" w:rsidP="002C3557">
      <w:pPr>
        <w:numPr>
          <w:ilvl w:val="0"/>
          <w:numId w:val="2"/>
        </w:numPr>
        <w:spacing w:line="360" w:lineRule="auto"/>
        <w:ind w:left="0" w:firstLine="0"/>
        <w:jc w:val="both"/>
        <w:rPr>
          <w:rFonts w:ascii="Palatino Linotype" w:hAnsi="Palatino Linotype"/>
          <w:color w:val="000000" w:themeColor="text1"/>
        </w:rPr>
      </w:pPr>
      <w:r w:rsidRPr="00E13872">
        <w:rPr>
          <w:rFonts w:ascii="Palatino Linotype" w:hAnsi="Palatino Linotype"/>
          <w:color w:val="000000" w:themeColor="text1"/>
        </w:rPr>
        <w:t>Relacionado con lo anterior, el nombre de las personas físicas o los representantes legales de las personas morales,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rsidR="007B54B4" w:rsidRPr="00E13872" w:rsidRDefault="007B54B4" w:rsidP="002C3557">
      <w:pPr>
        <w:spacing w:line="360" w:lineRule="auto"/>
        <w:jc w:val="both"/>
        <w:rPr>
          <w:rFonts w:ascii="Palatino Linotype" w:hAnsi="Palatino Linotype"/>
          <w:color w:val="000000" w:themeColor="text1"/>
        </w:rPr>
      </w:pPr>
    </w:p>
    <w:p w:rsidR="007B54B4" w:rsidRPr="00E13872" w:rsidRDefault="007B54B4" w:rsidP="002C3557">
      <w:pPr>
        <w:numPr>
          <w:ilvl w:val="0"/>
          <w:numId w:val="2"/>
        </w:numPr>
        <w:spacing w:line="360" w:lineRule="auto"/>
        <w:ind w:left="0" w:firstLine="0"/>
        <w:jc w:val="both"/>
        <w:rPr>
          <w:rFonts w:ascii="Palatino Linotype" w:hAnsi="Palatino Linotype"/>
          <w:color w:val="000000" w:themeColor="text1"/>
        </w:rPr>
      </w:pPr>
      <w:r w:rsidRPr="00E13872">
        <w:rPr>
          <w:rFonts w:ascii="Palatino Linotype" w:hAnsi="Palatino Linotype"/>
          <w:color w:val="000000" w:themeColor="text1"/>
        </w:rPr>
        <w:t>Asimismo, resulta aplicable el contenido del criterio de interpretación 01/19 emitido por el Instituto Nacional de Transparencia, Acceso a la Información, y Protección de Datos Personales, INAI, que lleva por rubro y texto los siguientes:</w:t>
      </w:r>
    </w:p>
    <w:p w:rsidR="007B54B4" w:rsidRPr="00E13872" w:rsidRDefault="007B54B4" w:rsidP="002C3557">
      <w:pPr>
        <w:pStyle w:val="NormalWeb"/>
        <w:spacing w:before="0" w:beforeAutospacing="0" w:after="0" w:afterAutospacing="0"/>
        <w:jc w:val="both"/>
        <w:rPr>
          <w:rFonts w:ascii="Palatino Linotype" w:hAnsi="Palatino Linotype"/>
          <w:i/>
          <w:iCs/>
          <w:color w:val="000000" w:themeColor="text1"/>
        </w:rPr>
      </w:pPr>
      <w:r w:rsidRPr="00E13872">
        <w:rPr>
          <w:rFonts w:ascii="Palatino Linotype" w:hAnsi="Palatino Linotype"/>
          <w:b/>
          <w:bCs/>
          <w:i/>
          <w:iCs/>
          <w:color w:val="000000" w:themeColor="text1"/>
        </w:rPr>
        <w:t>“Datos de identificación del representante o apoderado legal.</w:t>
      </w:r>
      <w:r w:rsidRPr="00E13872">
        <w:rPr>
          <w:rFonts w:ascii="Palatino Linotype" w:hAnsi="Palatino Linotype"/>
          <w:i/>
          <w:iCs/>
          <w:color w:val="000000" w:themeColor="text1"/>
        </w:rPr>
        <w:t xml:space="preserve"> </w:t>
      </w:r>
      <w:r w:rsidRPr="00E13872">
        <w:rPr>
          <w:rFonts w:ascii="Palatino Linotype" w:hAnsi="Palatino Linotype"/>
          <w:b/>
          <w:bCs/>
          <w:i/>
          <w:iCs/>
          <w:color w:val="000000" w:themeColor="text1"/>
        </w:rPr>
        <w:t xml:space="preserve">Naturaleza jurídica. </w:t>
      </w:r>
      <w:r w:rsidRPr="00E13872">
        <w:rPr>
          <w:rFonts w:ascii="Palatino Linotype" w:hAnsi="Palatino Linotype"/>
          <w:i/>
          <w:iCs/>
          <w:color w:val="000000" w:themeColor="text1"/>
        </w:rPr>
        <w:t xml:space="preserve">El nombre, la firma y la rúbrica de una persona física, que actúe como representante o apoderado legal de un tercero que haya celebrado un acto jurídico, con algún sujeto obligado, </w:t>
      </w:r>
      <w:r w:rsidRPr="00E13872">
        <w:rPr>
          <w:rFonts w:ascii="Palatino Linotype" w:hAnsi="Palatino Linotype"/>
          <w:b/>
          <w:bCs/>
          <w:i/>
          <w:iCs/>
          <w:color w:val="000000" w:themeColor="text1"/>
        </w:rPr>
        <w:t>es información pública, en razón de que tales datos fueron proporcionados con el objeto de expresar el consentimiento obligacional del tercero y otorgar validez a dicho instrumento jurídico</w:t>
      </w:r>
      <w:r w:rsidRPr="00E13872">
        <w:rPr>
          <w:rFonts w:ascii="Palatino Linotype" w:hAnsi="Palatino Linotype"/>
          <w:i/>
          <w:iCs/>
          <w:color w:val="000000" w:themeColor="text1"/>
        </w:rPr>
        <w:t>.”</w:t>
      </w:r>
    </w:p>
    <w:p w:rsidR="007B54B4" w:rsidRDefault="007B54B4" w:rsidP="002C3557">
      <w:pPr>
        <w:shd w:val="clear" w:color="auto" w:fill="FFFFFF" w:themeFill="background1"/>
        <w:spacing w:line="360" w:lineRule="auto"/>
        <w:jc w:val="both"/>
        <w:rPr>
          <w:rFonts w:ascii="Palatino Linotype" w:hAnsi="Palatino Linotype"/>
          <w:b/>
          <w:bCs/>
          <w:color w:val="000000" w:themeColor="text1"/>
        </w:rPr>
      </w:pPr>
    </w:p>
    <w:p w:rsidR="006A1BDE" w:rsidRDefault="006A1BDE" w:rsidP="002C3557">
      <w:pPr>
        <w:shd w:val="clear" w:color="auto" w:fill="FFFFFF" w:themeFill="background1"/>
        <w:spacing w:line="360" w:lineRule="auto"/>
        <w:jc w:val="both"/>
        <w:rPr>
          <w:rFonts w:ascii="Palatino Linotype" w:hAnsi="Palatino Linotype"/>
          <w:b/>
          <w:bCs/>
          <w:color w:val="000000" w:themeColor="text1"/>
        </w:rPr>
      </w:pPr>
    </w:p>
    <w:p w:rsidR="006A1BDE" w:rsidRPr="00E13872" w:rsidRDefault="006A1BDE" w:rsidP="002C3557">
      <w:pPr>
        <w:shd w:val="clear" w:color="auto" w:fill="FFFFFF" w:themeFill="background1"/>
        <w:spacing w:line="360" w:lineRule="auto"/>
        <w:jc w:val="both"/>
        <w:rPr>
          <w:rFonts w:ascii="Palatino Linotype" w:hAnsi="Palatino Linotype"/>
          <w:b/>
          <w:bCs/>
          <w:color w:val="000000" w:themeColor="text1"/>
        </w:rPr>
      </w:pPr>
    </w:p>
    <w:p w:rsidR="007B54B4" w:rsidRPr="00E13872" w:rsidRDefault="007B54B4" w:rsidP="006A1BDE">
      <w:pPr>
        <w:pStyle w:val="Prrafodelista"/>
        <w:numPr>
          <w:ilvl w:val="0"/>
          <w:numId w:val="7"/>
        </w:numPr>
        <w:shd w:val="clear" w:color="auto" w:fill="FFFFFF" w:themeFill="background1"/>
        <w:spacing w:line="360" w:lineRule="auto"/>
        <w:ind w:left="0" w:firstLine="0"/>
        <w:jc w:val="both"/>
        <w:rPr>
          <w:rFonts w:ascii="Palatino Linotype" w:hAnsi="Palatino Linotype" w:cs="Tahoma"/>
          <w:b/>
          <w:color w:val="000000" w:themeColor="text1"/>
          <w:lang w:eastAsia="es-MX"/>
        </w:rPr>
      </w:pPr>
      <w:r w:rsidRPr="00E13872">
        <w:rPr>
          <w:rFonts w:ascii="Palatino Linotype" w:hAnsi="Palatino Linotype" w:cs="Tahoma"/>
          <w:b/>
          <w:color w:val="000000" w:themeColor="text1"/>
          <w:lang w:eastAsia="es-MX"/>
        </w:rPr>
        <w:lastRenderedPageBreak/>
        <w:t>Domicilio Fiscal o legal (proveedor persona física o moral)</w:t>
      </w:r>
    </w:p>
    <w:p w:rsidR="007B54B4" w:rsidRPr="00E13872" w:rsidRDefault="007B54B4" w:rsidP="002C3557">
      <w:pPr>
        <w:numPr>
          <w:ilvl w:val="0"/>
          <w:numId w:val="2"/>
        </w:numPr>
        <w:spacing w:line="360" w:lineRule="auto"/>
        <w:ind w:left="0" w:firstLine="0"/>
        <w:jc w:val="both"/>
        <w:rPr>
          <w:rFonts w:ascii="Palatino Linotype" w:hAnsi="Palatino Linotype" w:cs="Tahoma"/>
          <w:color w:val="000000" w:themeColor="text1"/>
          <w:lang w:val="es-ES"/>
        </w:rPr>
      </w:pPr>
      <w:r w:rsidRPr="00E13872">
        <w:rPr>
          <w:rFonts w:ascii="Palatino Linotype" w:eastAsia="Palatino Linotype" w:hAnsi="Palatino Linotype" w:cs="Palatino Linotype"/>
          <w:color w:val="000000" w:themeColor="text1"/>
        </w:rPr>
        <w:t>De</w:t>
      </w:r>
      <w:r w:rsidRPr="00E13872">
        <w:rPr>
          <w:rFonts w:ascii="Palatino Linotype" w:hAnsi="Palatino Linotype" w:cs="Tahoma"/>
          <w:color w:val="000000" w:themeColor="text1"/>
          <w:lang w:val="es-ES"/>
        </w:rPr>
        <w:t xml:space="preserv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w:t>
      </w:r>
    </w:p>
    <w:p w:rsidR="007B54B4" w:rsidRPr="00E13872" w:rsidRDefault="007B54B4" w:rsidP="002C3557">
      <w:pPr>
        <w:shd w:val="clear" w:color="auto" w:fill="FFFFFF" w:themeFill="background1"/>
        <w:spacing w:before="240" w:after="240" w:line="360" w:lineRule="auto"/>
        <w:jc w:val="both"/>
        <w:rPr>
          <w:rFonts w:ascii="Palatino Linotype" w:eastAsia="Calibri" w:hAnsi="Palatino Linotype" w:cs="Tahoma"/>
          <w:bCs/>
          <w:iCs/>
          <w:color w:val="000000" w:themeColor="text1"/>
          <w:lang w:val="es-ES"/>
        </w:rPr>
      </w:pPr>
      <w:r w:rsidRPr="00E13872">
        <w:rPr>
          <w:rFonts w:ascii="Palatino Linotype" w:eastAsia="Calibri" w:hAnsi="Palatino Linotype" w:cs="Tahoma"/>
          <w:bCs/>
          <w:iCs/>
          <w:color w:val="000000" w:themeColor="text1"/>
          <w:lang w:val="es-ES"/>
        </w:rPr>
        <w:t>Además, respecto al domicilio fiscal, resulta necesario traer el artículo 22 del Código Financiero del Estado de México y Municipios, que establece:</w:t>
      </w:r>
    </w:p>
    <w:p w:rsidR="007B54B4" w:rsidRPr="00E13872" w:rsidRDefault="007B54B4" w:rsidP="002C3557">
      <w:pPr>
        <w:shd w:val="clear" w:color="auto" w:fill="FFFFFF" w:themeFill="background1"/>
        <w:jc w:val="both"/>
        <w:rPr>
          <w:rFonts w:ascii="Palatino Linotype" w:eastAsia="Calibri" w:hAnsi="Palatino Linotype" w:cs="Tahoma"/>
          <w:b/>
          <w:bCs/>
          <w:i/>
          <w:iCs/>
          <w:color w:val="000000" w:themeColor="text1"/>
        </w:rPr>
      </w:pPr>
      <w:r w:rsidRPr="00E13872">
        <w:rPr>
          <w:rFonts w:ascii="Palatino Linotype" w:eastAsia="Calibri" w:hAnsi="Palatino Linotype" w:cs="Tahoma"/>
          <w:b/>
          <w:bCs/>
          <w:i/>
          <w:iCs/>
          <w:color w:val="000000" w:themeColor="text1"/>
        </w:rPr>
        <w:t xml:space="preserve">Artículo 22.- Se considera domicilio fiscal de las personas físicas y jurídicas colectivas: </w:t>
      </w:r>
    </w:p>
    <w:p w:rsidR="007B54B4" w:rsidRPr="00E13872" w:rsidRDefault="007B54B4" w:rsidP="002C3557">
      <w:pPr>
        <w:shd w:val="clear" w:color="auto" w:fill="FFFFFF" w:themeFill="background1"/>
        <w:jc w:val="both"/>
        <w:rPr>
          <w:rFonts w:ascii="Palatino Linotype" w:eastAsia="Calibri" w:hAnsi="Palatino Linotype" w:cs="Tahoma"/>
          <w:bCs/>
          <w:i/>
          <w:iCs/>
          <w:color w:val="000000" w:themeColor="text1"/>
        </w:rPr>
      </w:pPr>
    </w:p>
    <w:p w:rsidR="007B54B4" w:rsidRPr="00E13872" w:rsidRDefault="007B54B4" w:rsidP="002C3557">
      <w:pPr>
        <w:shd w:val="clear" w:color="auto" w:fill="FFFFFF" w:themeFill="background1"/>
        <w:jc w:val="both"/>
        <w:rPr>
          <w:rFonts w:ascii="Palatino Linotype" w:eastAsia="Calibri" w:hAnsi="Palatino Linotype" w:cs="Tahoma"/>
          <w:bCs/>
          <w:i/>
          <w:iCs/>
          <w:color w:val="000000" w:themeColor="text1"/>
        </w:rPr>
      </w:pPr>
      <w:r w:rsidRPr="00E13872">
        <w:rPr>
          <w:rFonts w:ascii="Palatino Linotype" w:eastAsia="Calibri" w:hAnsi="Palatino Linotype" w:cs="Tahoma"/>
          <w:bCs/>
          <w:i/>
          <w:iCs/>
          <w:color w:val="000000" w:themeColor="text1"/>
        </w:rPr>
        <w:t xml:space="preserve">I. El lugar o establecimiento donde se realicen actividades que generen obligaciones fiscales. </w:t>
      </w:r>
    </w:p>
    <w:p w:rsidR="007B54B4" w:rsidRPr="00E13872" w:rsidRDefault="007B54B4" w:rsidP="002C3557">
      <w:pPr>
        <w:shd w:val="clear" w:color="auto" w:fill="FFFFFF" w:themeFill="background1"/>
        <w:jc w:val="both"/>
        <w:rPr>
          <w:rFonts w:ascii="Palatino Linotype" w:eastAsia="Calibri" w:hAnsi="Palatino Linotype" w:cs="Tahoma"/>
          <w:bCs/>
          <w:i/>
          <w:iCs/>
          <w:color w:val="000000" w:themeColor="text1"/>
        </w:rPr>
      </w:pPr>
    </w:p>
    <w:p w:rsidR="007B54B4" w:rsidRPr="00E13872" w:rsidRDefault="007B54B4" w:rsidP="002C3557">
      <w:pPr>
        <w:shd w:val="clear" w:color="auto" w:fill="FFFFFF" w:themeFill="background1"/>
        <w:jc w:val="both"/>
        <w:rPr>
          <w:rFonts w:ascii="Palatino Linotype" w:eastAsia="Calibri" w:hAnsi="Palatino Linotype" w:cs="Tahoma"/>
          <w:bCs/>
          <w:i/>
          <w:iCs/>
          <w:color w:val="000000" w:themeColor="text1"/>
        </w:rPr>
      </w:pPr>
      <w:r w:rsidRPr="00E13872">
        <w:rPr>
          <w:rFonts w:ascii="Palatino Linotype" w:eastAsia="Calibri" w:hAnsi="Palatino Linotype" w:cs="Tahoma"/>
          <w:bCs/>
          <w:i/>
          <w:iCs/>
          <w:color w:val="000000" w:themeColor="text1"/>
        </w:rPr>
        <w:t xml:space="preserve">II. El lugar o establecimiento en que se realice el hecho generador de la obligación fiscal, cuando las actividades no se realicen en forma habitual. </w:t>
      </w:r>
    </w:p>
    <w:p w:rsidR="007B54B4" w:rsidRPr="00E13872" w:rsidRDefault="007B54B4" w:rsidP="002C3557">
      <w:pPr>
        <w:shd w:val="clear" w:color="auto" w:fill="FFFFFF" w:themeFill="background1"/>
        <w:jc w:val="both"/>
        <w:rPr>
          <w:rFonts w:ascii="Palatino Linotype" w:eastAsia="Calibri" w:hAnsi="Palatino Linotype" w:cs="Tahoma"/>
          <w:bCs/>
          <w:i/>
          <w:iCs/>
          <w:color w:val="000000" w:themeColor="text1"/>
        </w:rPr>
      </w:pPr>
    </w:p>
    <w:p w:rsidR="007B54B4" w:rsidRPr="00E13872" w:rsidRDefault="007B54B4" w:rsidP="002C3557">
      <w:pPr>
        <w:shd w:val="clear" w:color="auto" w:fill="FFFFFF" w:themeFill="background1"/>
        <w:jc w:val="both"/>
        <w:rPr>
          <w:rFonts w:ascii="Palatino Linotype" w:eastAsia="Calibri" w:hAnsi="Palatino Linotype" w:cs="Tahoma"/>
          <w:bCs/>
          <w:i/>
          <w:iCs/>
          <w:color w:val="000000" w:themeColor="text1"/>
        </w:rPr>
      </w:pPr>
      <w:r w:rsidRPr="00E13872">
        <w:rPr>
          <w:rFonts w:ascii="Palatino Linotype" w:eastAsia="Calibri" w:hAnsi="Palatino Linotype" w:cs="Tahoma"/>
          <w:bCs/>
          <w:i/>
          <w:iCs/>
          <w:color w:val="000000" w:themeColor="text1"/>
        </w:rPr>
        <w:t xml:space="preserve">III. El inmueble en el que residan en el territorio del Estado de México, cuando realicen sus actividades en la vía pública, en puestos fijos y semifijos; </w:t>
      </w:r>
    </w:p>
    <w:p w:rsidR="007B54B4" w:rsidRPr="00E13872" w:rsidRDefault="007B54B4" w:rsidP="002C3557">
      <w:pPr>
        <w:shd w:val="clear" w:color="auto" w:fill="FFFFFF" w:themeFill="background1"/>
        <w:jc w:val="both"/>
        <w:rPr>
          <w:rFonts w:ascii="Palatino Linotype" w:eastAsia="Calibri" w:hAnsi="Palatino Linotype" w:cs="Tahoma"/>
          <w:bCs/>
          <w:i/>
          <w:iCs/>
          <w:color w:val="000000" w:themeColor="text1"/>
        </w:rPr>
      </w:pPr>
    </w:p>
    <w:p w:rsidR="007B54B4" w:rsidRPr="00E13872" w:rsidRDefault="007B54B4" w:rsidP="002C3557">
      <w:pPr>
        <w:shd w:val="clear" w:color="auto" w:fill="FFFFFF" w:themeFill="background1"/>
        <w:jc w:val="both"/>
        <w:rPr>
          <w:rFonts w:ascii="Palatino Linotype" w:eastAsia="Calibri" w:hAnsi="Palatino Linotype" w:cs="Tahoma"/>
          <w:bCs/>
          <w:i/>
          <w:iCs/>
          <w:color w:val="000000" w:themeColor="text1"/>
        </w:rPr>
      </w:pPr>
      <w:r w:rsidRPr="00E13872">
        <w:rPr>
          <w:rFonts w:ascii="Palatino Linotype" w:eastAsia="Calibri" w:hAnsi="Palatino Linotype" w:cs="Tahoma"/>
          <w:bCs/>
          <w:i/>
          <w:iCs/>
          <w:color w:val="000000" w:themeColor="text1"/>
        </w:rPr>
        <w:t xml:space="preserve">IV. La residencia que identifique la autoridad fiscal, cuando exista certeza de que es el único lugar posible de localización del contribuyente. </w:t>
      </w:r>
    </w:p>
    <w:p w:rsidR="007B54B4" w:rsidRPr="00E13872" w:rsidRDefault="007B54B4" w:rsidP="002C3557">
      <w:pPr>
        <w:shd w:val="clear" w:color="auto" w:fill="FFFFFF" w:themeFill="background1"/>
        <w:jc w:val="both"/>
        <w:rPr>
          <w:rFonts w:ascii="Palatino Linotype" w:eastAsia="Calibri" w:hAnsi="Palatino Linotype" w:cs="Tahoma"/>
          <w:bCs/>
          <w:i/>
          <w:iCs/>
          <w:color w:val="000000" w:themeColor="text1"/>
        </w:rPr>
      </w:pPr>
    </w:p>
    <w:p w:rsidR="007B54B4" w:rsidRPr="00E13872" w:rsidRDefault="007B54B4" w:rsidP="002C3557">
      <w:pPr>
        <w:shd w:val="clear" w:color="auto" w:fill="FFFFFF" w:themeFill="background1"/>
        <w:jc w:val="both"/>
        <w:rPr>
          <w:rFonts w:ascii="Palatino Linotype" w:eastAsia="Calibri" w:hAnsi="Palatino Linotype" w:cs="Tahoma"/>
          <w:bCs/>
          <w:i/>
          <w:iCs/>
          <w:color w:val="000000" w:themeColor="text1"/>
        </w:rPr>
      </w:pPr>
      <w:r w:rsidRPr="00E13872">
        <w:rPr>
          <w:rFonts w:ascii="Palatino Linotype" w:eastAsia="Calibri" w:hAnsi="Palatino Linotype" w:cs="Tahoma"/>
          <w:bCs/>
          <w:i/>
          <w:iCs/>
          <w:color w:val="000000" w:themeColor="text1"/>
        </w:rPr>
        <w:t>V. Aquel que señalen a las entidades financieras o sociedades cooperativas de ahorro y préstamo, cuando sean usuarios de los servicios que presten estas, siempre que los contribuyentes no hayan manifestado alguno de los domicilios citados en las fracciones anteriores o no hayan sido localizados en los mismos.</w:t>
      </w:r>
    </w:p>
    <w:p w:rsidR="007B54B4" w:rsidRPr="00E13872" w:rsidRDefault="007B54B4" w:rsidP="002C3557">
      <w:pPr>
        <w:shd w:val="clear" w:color="auto" w:fill="FFFFFF" w:themeFill="background1"/>
        <w:jc w:val="both"/>
        <w:rPr>
          <w:rFonts w:ascii="Palatino Linotype" w:eastAsia="Calibri" w:hAnsi="Palatino Linotype" w:cs="Tahoma"/>
          <w:bCs/>
          <w:i/>
          <w:iCs/>
          <w:color w:val="000000" w:themeColor="text1"/>
        </w:rPr>
      </w:pPr>
      <w:r w:rsidRPr="00E13872">
        <w:rPr>
          <w:rFonts w:ascii="Palatino Linotype" w:eastAsia="Calibri" w:hAnsi="Palatino Linotype" w:cs="Tahoma"/>
          <w:bCs/>
          <w:i/>
          <w:iCs/>
          <w:color w:val="000000" w:themeColor="text1"/>
        </w:rPr>
        <w:t>…</w:t>
      </w:r>
    </w:p>
    <w:p w:rsidR="007B54B4" w:rsidRPr="00E13872" w:rsidRDefault="007B54B4" w:rsidP="002C3557">
      <w:pPr>
        <w:jc w:val="both"/>
        <w:rPr>
          <w:rFonts w:ascii="Palatino Linotype" w:eastAsia="Calibri" w:hAnsi="Palatino Linotype" w:cs="Tahoma"/>
          <w:bCs/>
          <w:iCs/>
          <w:color w:val="000000" w:themeColor="text1"/>
          <w:lang w:val="es-ES"/>
        </w:rPr>
      </w:pPr>
    </w:p>
    <w:p w:rsidR="007B54B4" w:rsidRPr="00E13872" w:rsidRDefault="007B54B4" w:rsidP="006A1BDE">
      <w:pPr>
        <w:pStyle w:val="Prrafodelista"/>
        <w:numPr>
          <w:ilvl w:val="0"/>
          <w:numId w:val="7"/>
        </w:numPr>
        <w:spacing w:line="360" w:lineRule="auto"/>
        <w:ind w:left="0" w:firstLine="0"/>
        <w:jc w:val="both"/>
        <w:rPr>
          <w:rFonts w:ascii="Palatino Linotype" w:eastAsia="Calibri" w:hAnsi="Palatino Linotype" w:cs="Tahoma"/>
          <w:b/>
          <w:bCs/>
          <w:color w:val="000000" w:themeColor="text1"/>
        </w:rPr>
      </w:pPr>
      <w:r w:rsidRPr="00E13872">
        <w:rPr>
          <w:rFonts w:ascii="Palatino Linotype" w:eastAsia="Calibri" w:hAnsi="Palatino Linotype" w:cs="Tahoma"/>
          <w:b/>
          <w:bCs/>
          <w:color w:val="000000" w:themeColor="text1"/>
        </w:rPr>
        <w:t>Número telefónico</w:t>
      </w:r>
    </w:p>
    <w:p w:rsidR="007B54B4" w:rsidRPr="00E13872" w:rsidRDefault="007B54B4" w:rsidP="002C3557">
      <w:pPr>
        <w:numPr>
          <w:ilvl w:val="0"/>
          <w:numId w:val="2"/>
        </w:numPr>
        <w:spacing w:line="360" w:lineRule="auto"/>
        <w:ind w:left="0" w:firstLine="0"/>
        <w:jc w:val="both"/>
        <w:rPr>
          <w:rFonts w:ascii="Palatino Linotype" w:eastAsia="Calibri" w:hAnsi="Palatino Linotype" w:cs="Tahoma"/>
          <w:bCs/>
          <w:color w:val="000000" w:themeColor="text1"/>
        </w:rPr>
      </w:pPr>
      <w:r w:rsidRPr="00E13872">
        <w:rPr>
          <w:rFonts w:ascii="Palatino Linotype" w:eastAsia="Calibri" w:hAnsi="Palatino Linotype" w:cs="Tahoma"/>
          <w:b/>
          <w:bCs/>
          <w:color w:val="000000" w:themeColor="text1"/>
        </w:rPr>
        <w:t>Un</w:t>
      </w:r>
      <w:r w:rsidRPr="00E13872">
        <w:rPr>
          <w:rFonts w:ascii="Palatino Linotype" w:eastAsia="Calibri" w:hAnsi="Palatino Linotype" w:cs="Tahoma"/>
          <w:bCs/>
          <w:color w:val="000000" w:themeColor="text1"/>
        </w:rPr>
        <w:t> </w:t>
      </w:r>
      <w:r w:rsidRPr="00E13872">
        <w:rPr>
          <w:rFonts w:ascii="Palatino Linotype" w:eastAsia="Calibri" w:hAnsi="Palatino Linotype" w:cs="Tahoma"/>
          <w:b/>
          <w:bCs/>
          <w:color w:val="000000" w:themeColor="text1"/>
        </w:rPr>
        <w:t>número de teléfono</w:t>
      </w:r>
      <w:r w:rsidRPr="00E13872">
        <w:rPr>
          <w:rFonts w:ascii="Palatino Linotype" w:eastAsia="Calibri" w:hAnsi="Palatino Linotype" w:cs="Tahoma"/>
          <w:bCs/>
          <w:color w:val="000000" w:themeColor="text1"/>
        </w:rPr>
        <w:t> es una secuencia de </w:t>
      </w:r>
      <w:r w:rsidRPr="00E13872">
        <w:rPr>
          <w:rStyle w:val="Hipervnculo"/>
          <w:rFonts w:ascii="Palatino Linotype" w:eastAsia="Calibri" w:hAnsi="Palatino Linotype" w:cs="Tahoma"/>
          <w:bCs/>
          <w:color w:val="000000" w:themeColor="text1"/>
          <w:u w:val="none"/>
        </w:rPr>
        <w:t>dígitos</w:t>
      </w:r>
      <w:r w:rsidRPr="00E13872">
        <w:rPr>
          <w:rFonts w:ascii="Palatino Linotype" w:eastAsia="Calibri" w:hAnsi="Palatino Linotype" w:cs="Tahoma"/>
          <w:bCs/>
          <w:color w:val="000000" w:themeColor="text1"/>
        </w:rPr>
        <w:t> utilizada para identificar una </w:t>
      </w:r>
      <w:r w:rsidRPr="00E13872">
        <w:rPr>
          <w:rStyle w:val="Hipervnculo"/>
          <w:rFonts w:ascii="Palatino Linotype" w:eastAsia="Calibri" w:hAnsi="Palatino Linotype" w:cs="Tahoma"/>
          <w:bCs/>
          <w:color w:val="000000" w:themeColor="text1"/>
          <w:u w:val="none"/>
        </w:rPr>
        <w:t>línea telefónica</w:t>
      </w:r>
      <w:r w:rsidRPr="00E13872">
        <w:rPr>
          <w:rFonts w:ascii="Palatino Linotype" w:eastAsia="Calibri" w:hAnsi="Palatino Linotype" w:cs="Tahoma"/>
          <w:bCs/>
          <w:color w:val="000000" w:themeColor="text1"/>
        </w:rPr>
        <w:t> dentro de una </w:t>
      </w:r>
      <w:r w:rsidRPr="00E13872">
        <w:rPr>
          <w:rStyle w:val="Hipervnculo"/>
          <w:rFonts w:ascii="Palatino Linotype" w:eastAsia="Calibri" w:hAnsi="Palatino Linotype" w:cs="Tahoma"/>
          <w:bCs/>
          <w:color w:val="000000" w:themeColor="text1"/>
          <w:u w:val="none"/>
        </w:rPr>
        <w:t>Red Telefónica Conmutada</w:t>
      </w:r>
      <w:r w:rsidRPr="00E13872">
        <w:rPr>
          <w:rFonts w:ascii="Palatino Linotype" w:eastAsia="Calibri" w:hAnsi="Palatino Linotype" w:cs="Tahoma"/>
          <w:bCs/>
          <w:color w:val="000000" w:themeColor="text1"/>
        </w:rPr>
        <w:t xml:space="preserve">, el número contiene la </w:t>
      </w:r>
      <w:r w:rsidRPr="00E13872">
        <w:rPr>
          <w:rFonts w:ascii="Palatino Linotype" w:eastAsia="Calibri" w:hAnsi="Palatino Linotype" w:cs="Tahoma"/>
          <w:bCs/>
          <w:color w:val="000000" w:themeColor="text1"/>
        </w:rPr>
        <w:lastRenderedPageBreak/>
        <w:t>información necesaria para identificar el punto final de la llamada. Los números de teléfono están a menudo asignados a líneas que tienen conectados dispositivos distintos de un </w:t>
      </w:r>
      <w:r w:rsidRPr="00E13872">
        <w:rPr>
          <w:rStyle w:val="Hipervnculo"/>
          <w:rFonts w:ascii="Palatino Linotype" w:eastAsia="Calibri" w:hAnsi="Palatino Linotype" w:cs="Tahoma"/>
          <w:bCs/>
          <w:color w:val="000000" w:themeColor="text1"/>
          <w:u w:val="none"/>
        </w:rPr>
        <w:t>teléfono</w:t>
      </w:r>
      <w:r w:rsidRPr="00E13872">
        <w:rPr>
          <w:rFonts w:ascii="Palatino Linotype" w:eastAsia="Calibri" w:hAnsi="Palatino Linotype" w:cs="Tahoma"/>
          <w:bCs/>
          <w:color w:val="000000" w:themeColor="text1"/>
        </w:rPr>
        <w:t>, tales como </w:t>
      </w:r>
      <w:r w:rsidRPr="00E13872">
        <w:rPr>
          <w:rStyle w:val="Hipervnculo"/>
          <w:rFonts w:ascii="Palatino Linotype" w:eastAsia="Calibri" w:hAnsi="Palatino Linotype" w:cs="Tahoma"/>
          <w:bCs/>
          <w:color w:val="000000" w:themeColor="text1"/>
          <w:u w:val="none"/>
        </w:rPr>
        <w:t>faxes</w:t>
      </w:r>
      <w:r w:rsidRPr="00E13872">
        <w:rPr>
          <w:rFonts w:ascii="Palatino Linotype" w:eastAsia="Calibri" w:hAnsi="Palatino Linotype" w:cs="Tahoma"/>
          <w:bCs/>
          <w:color w:val="000000" w:themeColor="text1"/>
        </w:rPr>
        <w:t> y </w:t>
      </w:r>
      <w:r w:rsidRPr="00E13872">
        <w:rPr>
          <w:rStyle w:val="Hipervnculo"/>
          <w:rFonts w:ascii="Palatino Linotype" w:eastAsia="Calibri" w:hAnsi="Palatino Linotype" w:cs="Tahoma"/>
          <w:bCs/>
          <w:color w:val="000000" w:themeColor="text1"/>
          <w:u w:val="none"/>
        </w:rPr>
        <w:t>módems</w:t>
      </w:r>
      <w:r w:rsidRPr="00E13872">
        <w:rPr>
          <w:rFonts w:ascii="Palatino Linotype" w:eastAsia="Calibri" w:hAnsi="Palatino Linotype" w:cs="Tahoma"/>
          <w:bCs/>
          <w:color w:val="000000" w:themeColor="text1"/>
        </w:rPr>
        <w:t>. Cada uno de esos </w:t>
      </w:r>
      <w:r w:rsidRPr="00E13872">
        <w:rPr>
          <w:rStyle w:val="Hipervnculo"/>
          <w:rFonts w:ascii="Palatino Linotype" w:eastAsia="Calibri" w:hAnsi="Palatino Linotype" w:cs="Tahoma"/>
          <w:bCs/>
          <w:color w:val="000000" w:themeColor="text1"/>
          <w:u w:val="none"/>
        </w:rPr>
        <w:t>puntos de terminación de red</w:t>
      </w:r>
      <w:r w:rsidRPr="00E13872">
        <w:rPr>
          <w:rFonts w:ascii="Palatino Linotype" w:eastAsia="Calibri" w:hAnsi="Palatino Linotype" w:cs="Tahoma"/>
          <w:bCs/>
          <w:color w:val="000000" w:themeColor="text1"/>
        </w:rPr>
        <w:t> deben de tener un número único en la red para poder realizar una </w:t>
      </w:r>
      <w:r w:rsidRPr="00E13872">
        <w:rPr>
          <w:rStyle w:val="Hipervnculo"/>
          <w:rFonts w:ascii="Palatino Linotype" w:eastAsia="Calibri" w:hAnsi="Palatino Linotype" w:cs="Tahoma"/>
          <w:bCs/>
          <w:color w:val="000000" w:themeColor="text1"/>
          <w:u w:val="none"/>
        </w:rPr>
        <w:t>llamada telefónica</w:t>
      </w:r>
      <w:r w:rsidRPr="00E13872">
        <w:rPr>
          <w:rFonts w:ascii="Palatino Linotype" w:eastAsia="Calibri" w:hAnsi="Palatino Linotype" w:cs="Tahoma"/>
          <w:bCs/>
          <w:color w:val="000000" w:themeColor="text1"/>
        </w:rPr>
        <w:t>.</w:t>
      </w:r>
    </w:p>
    <w:p w:rsidR="007B54B4" w:rsidRPr="00E13872" w:rsidRDefault="007B54B4" w:rsidP="002C3557">
      <w:pPr>
        <w:spacing w:line="360" w:lineRule="auto"/>
        <w:jc w:val="both"/>
        <w:rPr>
          <w:rFonts w:ascii="Palatino Linotype" w:eastAsia="Calibri" w:hAnsi="Palatino Linotype" w:cs="Tahoma"/>
          <w:bCs/>
          <w:color w:val="000000" w:themeColor="text1"/>
        </w:rPr>
      </w:pPr>
    </w:p>
    <w:p w:rsidR="007B54B4" w:rsidRPr="00E13872" w:rsidRDefault="007B54B4" w:rsidP="006A1BDE">
      <w:pPr>
        <w:pStyle w:val="Prrafodelista"/>
        <w:numPr>
          <w:ilvl w:val="0"/>
          <w:numId w:val="7"/>
        </w:numPr>
        <w:spacing w:line="360" w:lineRule="auto"/>
        <w:ind w:left="0" w:firstLine="0"/>
        <w:jc w:val="both"/>
        <w:rPr>
          <w:rFonts w:ascii="Palatino Linotype" w:hAnsi="Palatino Linotype" w:cs="Tahoma"/>
          <w:color w:val="000000" w:themeColor="text1"/>
        </w:rPr>
      </w:pPr>
      <w:r w:rsidRPr="00E13872">
        <w:rPr>
          <w:rFonts w:ascii="Palatino Linotype" w:hAnsi="Palatino Linotype" w:cs="Tahoma"/>
          <w:b/>
          <w:color w:val="000000" w:themeColor="text1"/>
        </w:rPr>
        <w:t>Correo electrónico</w:t>
      </w:r>
    </w:p>
    <w:p w:rsidR="007B54B4" w:rsidRPr="00E13872" w:rsidRDefault="007B54B4" w:rsidP="002C3557">
      <w:pPr>
        <w:numPr>
          <w:ilvl w:val="0"/>
          <w:numId w:val="2"/>
        </w:numPr>
        <w:spacing w:line="360" w:lineRule="auto"/>
        <w:ind w:left="0" w:firstLine="0"/>
        <w:jc w:val="both"/>
        <w:rPr>
          <w:rFonts w:ascii="Palatino Linotype" w:eastAsia="Calibri" w:hAnsi="Palatino Linotype" w:cs="Tahoma"/>
          <w:bCs/>
          <w:color w:val="000000" w:themeColor="text1"/>
          <w:lang w:eastAsia="en-US"/>
        </w:rPr>
      </w:pPr>
      <w:r w:rsidRPr="00E13872">
        <w:rPr>
          <w:rFonts w:ascii="Palatino Linotype" w:eastAsia="Calibri" w:hAnsi="Palatino Linotype" w:cs="Tahoma"/>
          <w:bCs/>
          <w:color w:val="000000" w:themeColor="text1"/>
        </w:rPr>
        <w:t>El</w:t>
      </w:r>
      <w:r w:rsidRPr="00E13872">
        <w:rPr>
          <w:rFonts w:ascii="Palatino Linotype" w:eastAsia="Calibri" w:hAnsi="Palatino Linotype" w:cs="Tahoma"/>
          <w:bCs/>
          <w:color w:val="000000" w:themeColor="text1"/>
          <w:lang w:eastAsia="en-US"/>
        </w:rPr>
        <w:t xml:space="preserve"> </w:t>
      </w:r>
      <w:r w:rsidRPr="00E13872">
        <w:rPr>
          <w:rFonts w:ascii="Palatino Linotype" w:eastAsia="Calibri" w:hAnsi="Palatino Linotype" w:cs="Tahoma"/>
          <w:b/>
          <w:bCs/>
          <w:color w:val="000000" w:themeColor="text1"/>
          <w:lang w:eastAsia="en-US"/>
        </w:rPr>
        <w:t>correo electrónico</w:t>
      </w:r>
      <w:r w:rsidRPr="00E13872">
        <w:rPr>
          <w:rFonts w:ascii="Palatino Linotype" w:eastAsia="Calibri" w:hAnsi="Palatino Linotype" w:cs="Tahoma"/>
          <w:bCs/>
          <w:color w:val="000000" w:themeColor="text1"/>
          <w:lang w:eastAsia="en-US"/>
        </w:rPr>
        <w:t xml:space="preserve"> es un sistema de transmisión de mensajes a través de internet.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rsidR="007B54B4" w:rsidRPr="00E13872" w:rsidRDefault="007B54B4" w:rsidP="002C3557">
      <w:pPr>
        <w:spacing w:line="360" w:lineRule="auto"/>
        <w:jc w:val="both"/>
        <w:rPr>
          <w:rFonts w:ascii="Palatino Linotype" w:eastAsia="Calibri" w:hAnsi="Palatino Linotype" w:cs="Tahoma"/>
          <w:bCs/>
          <w:color w:val="000000" w:themeColor="text1"/>
          <w:lang w:eastAsia="en-US"/>
        </w:rPr>
      </w:pPr>
    </w:p>
    <w:p w:rsidR="007B54B4" w:rsidRPr="00E13872" w:rsidRDefault="007B54B4" w:rsidP="002C3557">
      <w:pPr>
        <w:spacing w:line="360" w:lineRule="auto"/>
        <w:jc w:val="both"/>
        <w:rPr>
          <w:rFonts w:ascii="Palatino Linotype" w:hAnsi="Palatino Linotype"/>
          <w:color w:val="000000" w:themeColor="text1"/>
        </w:rPr>
      </w:pPr>
    </w:p>
    <w:p w:rsidR="007B54B4" w:rsidRPr="00E13872" w:rsidRDefault="007B54B4" w:rsidP="002C3557">
      <w:pPr>
        <w:numPr>
          <w:ilvl w:val="0"/>
          <w:numId w:val="2"/>
        </w:numPr>
        <w:spacing w:line="360" w:lineRule="auto"/>
        <w:ind w:left="0" w:firstLine="0"/>
        <w:jc w:val="both"/>
        <w:rPr>
          <w:rFonts w:ascii="Palatino Linotype" w:eastAsia="Calibri" w:hAnsi="Palatino Linotype" w:cs="Tahoma"/>
          <w:bCs/>
          <w:color w:val="000000" w:themeColor="text1"/>
        </w:rPr>
      </w:pPr>
      <w:r w:rsidRPr="00E13872">
        <w:rPr>
          <w:rFonts w:ascii="Palatino Linotype" w:eastAsia="Calibri" w:hAnsi="Palatino Linotype" w:cs="Tahoma"/>
          <w:bCs/>
          <w:color w:val="000000" w:themeColor="text1"/>
        </w:rPr>
        <w:t xml:space="preserve">Al respecto debe mencionarse que </w:t>
      </w:r>
      <w:r w:rsidRPr="00E13872">
        <w:rPr>
          <w:rFonts w:ascii="Palatino Linotype" w:eastAsia="Calibri" w:hAnsi="Palatino Linotype" w:cs="Tahoma"/>
          <w:bCs/>
          <w:iCs/>
          <w:color w:val="000000" w:themeColor="text1"/>
          <w:lang w:val="es-ES"/>
        </w:rPr>
        <w:t xml:space="preserve">conforme a lo establecido en los criterios números 16, 18 y 19 de </w:t>
      </w:r>
      <w:r w:rsidRPr="00E13872">
        <w:rPr>
          <w:rFonts w:ascii="Palatino Linotype" w:eastAsia="Calibri" w:hAnsi="Palatino Linotype" w:cs="Tahoma"/>
          <w:bCs/>
          <w:color w:val="000000" w:themeColor="text1"/>
        </w:rPr>
        <w:t xml:space="preserve">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correspondiente a la fracción XXXII. “Padrón de proveedores y contratistas” de la Ley General de Transparencia, artículo 70, </w:t>
      </w:r>
      <w:r w:rsidRPr="00E13872">
        <w:rPr>
          <w:rFonts w:ascii="Palatino Linotype" w:eastAsia="Calibri" w:hAnsi="Palatino Linotype" w:cs="Tahoma"/>
          <w:b/>
          <w:bCs/>
          <w:color w:val="000000" w:themeColor="text1"/>
        </w:rPr>
        <w:t>el domicilio fiscal, y datos de contacto como teléfono y correo electrónico de los proveedores y contratistas, es un dato que debe ser público, motivo por el cual no es procedente que se realice su clasificación como confidencial.</w:t>
      </w:r>
    </w:p>
    <w:p w:rsidR="007B54B4" w:rsidRPr="00E13872" w:rsidRDefault="007B54B4" w:rsidP="002C3557">
      <w:pPr>
        <w:spacing w:line="360" w:lineRule="auto"/>
        <w:jc w:val="both"/>
        <w:rPr>
          <w:rFonts w:ascii="Palatino Linotype" w:eastAsia="Calibri" w:hAnsi="Palatino Linotype" w:cs="Tahoma"/>
          <w:bCs/>
          <w:iCs/>
          <w:color w:val="000000" w:themeColor="text1"/>
          <w:lang w:val="es-ES"/>
        </w:rPr>
      </w:pPr>
    </w:p>
    <w:p w:rsidR="007B54B4" w:rsidRPr="00E13872" w:rsidRDefault="007B54B4" w:rsidP="002C3557">
      <w:pPr>
        <w:numPr>
          <w:ilvl w:val="0"/>
          <w:numId w:val="2"/>
        </w:numPr>
        <w:spacing w:line="360" w:lineRule="auto"/>
        <w:ind w:left="0" w:firstLine="0"/>
        <w:jc w:val="both"/>
        <w:rPr>
          <w:rFonts w:ascii="Palatino Linotype" w:eastAsia="Calibri" w:hAnsi="Palatino Linotype" w:cs="Tahoma"/>
          <w:bCs/>
          <w:iCs/>
          <w:color w:val="000000" w:themeColor="text1"/>
          <w:lang w:val="es-ES"/>
        </w:rPr>
      </w:pPr>
      <w:r w:rsidRPr="00E13872">
        <w:rPr>
          <w:rFonts w:ascii="Palatino Linotype" w:eastAsia="Calibri" w:hAnsi="Palatino Linotype" w:cs="Tahoma"/>
          <w:bCs/>
          <w:color w:val="000000" w:themeColor="text1"/>
          <w:lang w:val="es-ES" w:eastAsia="en-US"/>
        </w:rPr>
        <w:lastRenderedPageBreak/>
        <w:t>En este mismo orden de ideas, cuando las personas tienen una relación comercial, laboral, de servicios, trámites o del tipo que sea, necesariamente por un tema de interés público, debe cederse un poco de privacidad, de tal forma que las personas en general puedan verificar el debido desempeño de los servidores públicos, la aplicación de la ley y el ejercicio de recursos públicos, en donde únicamente se privilegie la publicidad de los datos esenciales para la transparencia y rendición de cuentas, sin afectar la vida privada de las personas.</w:t>
      </w:r>
    </w:p>
    <w:p w:rsidR="007B54B4" w:rsidRPr="00E13872" w:rsidRDefault="007B54B4" w:rsidP="002C3557">
      <w:pPr>
        <w:shd w:val="clear" w:color="auto" w:fill="FFFFFF" w:themeFill="background1"/>
        <w:spacing w:line="360" w:lineRule="auto"/>
        <w:jc w:val="both"/>
        <w:rPr>
          <w:rFonts w:ascii="Palatino Linotype" w:eastAsia="Calibri" w:hAnsi="Palatino Linotype" w:cs="Tahoma"/>
          <w:bCs/>
          <w:iCs/>
          <w:color w:val="000000" w:themeColor="text1"/>
          <w:lang w:val="es-ES"/>
        </w:rPr>
      </w:pPr>
    </w:p>
    <w:p w:rsidR="007B54B4" w:rsidRPr="00E13872" w:rsidRDefault="007B54B4" w:rsidP="002C3557">
      <w:pPr>
        <w:numPr>
          <w:ilvl w:val="0"/>
          <w:numId w:val="2"/>
        </w:numPr>
        <w:spacing w:line="360" w:lineRule="auto"/>
        <w:ind w:left="0" w:firstLine="0"/>
        <w:jc w:val="both"/>
        <w:rPr>
          <w:rFonts w:ascii="Palatino Linotype" w:eastAsia="Calibri" w:hAnsi="Palatino Linotype" w:cs="Tahoma"/>
          <w:bCs/>
          <w:iCs/>
          <w:color w:val="000000" w:themeColor="text1"/>
          <w:lang w:val="es-ES"/>
        </w:rPr>
      </w:pPr>
      <w:r w:rsidRPr="00E13872">
        <w:rPr>
          <w:rFonts w:ascii="Palatino Linotype" w:eastAsia="Calibri" w:hAnsi="Palatino Linotype" w:cs="Tahoma"/>
          <w:bCs/>
          <w:iCs/>
          <w:color w:val="000000" w:themeColor="text1"/>
          <w:lang w:val="es-ES"/>
        </w:rPr>
        <w:t>De tal suerte que</w:t>
      </w:r>
      <w:r w:rsidRPr="00E13872">
        <w:rPr>
          <w:rFonts w:ascii="Palatino Linotype" w:eastAsia="Calibri" w:hAnsi="Palatino Linotype" w:cs="Tahoma"/>
          <w:b/>
          <w:bCs/>
          <w:iCs/>
          <w:color w:val="000000" w:themeColor="text1"/>
          <w:lang w:val="es-ES"/>
        </w:rPr>
        <w:t>, tratándose de proveedores (personas físicas o jurídico colectivas), el domicilio fiscal, número telefónico y correo electrónico no son datos susceptibles de clasificarse como confidenciales</w:t>
      </w:r>
      <w:r w:rsidRPr="00E13872">
        <w:rPr>
          <w:rFonts w:ascii="Palatino Linotype" w:eastAsia="Calibri" w:hAnsi="Palatino Linotype" w:cs="Tahoma"/>
          <w:bCs/>
          <w:iCs/>
          <w:color w:val="000000" w:themeColor="text1"/>
          <w:lang w:val="es-ES"/>
        </w:rPr>
        <w:t>, es decir, no se actualiza lo establecido en el artículo 143, fracción I de la Ley de Transparencia y Acceso a la Información Pública del Estado de México y Municipios.</w:t>
      </w:r>
    </w:p>
    <w:p w:rsidR="00D406E6" w:rsidRPr="00E13872" w:rsidRDefault="00D406E6" w:rsidP="002C3557">
      <w:pPr>
        <w:spacing w:line="360" w:lineRule="auto"/>
        <w:jc w:val="both"/>
        <w:rPr>
          <w:rFonts w:ascii="Palatino Linotype" w:eastAsia="Calibri" w:hAnsi="Palatino Linotype" w:cs="Tahoma"/>
          <w:bCs/>
          <w:iCs/>
          <w:color w:val="000000" w:themeColor="text1"/>
          <w:lang w:val="es-ES"/>
        </w:rPr>
      </w:pPr>
    </w:p>
    <w:p w:rsidR="00D406E6" w:rsidRPr="00E13872" w:rsidRDefault="00D406E6" w:rsidP="002C355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MS Mincho" w:hAnsi="Palatino Linotype" w:cstheme="majorBidi"/>
          <w:color w:val="000000" w:themeColor="text1"/>
        </w:rPr>
        <w:t>Bajo</w:t>
      </w:r>
      <w:r w:rsidRPr="00E13872">
        <w:rPr>
          <w:rFonts w:ascii="Palatino Linotype" w:eastAsia="Palatino Linotype" w:hAnsi="Palatino Linotype" w:cs="Palatino Linotype"/>
          <w:color w:val="000000" w:themeColor="text1"/>
        </w:rPr>
        <w:t xml:space="preserve"> ese contexto, se considera que de manera enunciativa más no limitativa, el Sujeto Obligado deberá hacer una </w:t>
      </w:r>
      <w:r w:rsidRPr="00E13872">
        <w:rPr>
          <w:rFonts w:ascii="Palatino Linotype" w:eastAsia="Palatino Linotype" w:hAnsi="Palatino Linotype" w:cs="Palatino Linotype"/>
          <w:b/>
          <w:color w:val="000000" w:themeColor="text1"/>
        </w:rPr>
        <w:t>nueva búsqueda exhaustiva</w:t>
      </w:r>
      <w:r w:rsidRPr="00E13872">
        <w:rPr>
          <w:rFonts w:ascii="Palatino Linotype" w:eastAsia="Palatino Linotype" w:hAnsi="Palatino Linotype" w:cs="Palatino Linotype"/>
          <w:color w:val="000000" w:themeColor="text1"/>
        </w:rPr>
        <w:t xml:space="preserve"> de la información por el servidor público habilitado de la </w:t>
      </w:r>
      <w:r w:rsidRPr="00E13872">
        <w:rPr>
          <w:rFonts w:ascii="Palatino Linotype" w:eastAsia="Palatino Linotype" w:hAnsi="Palatino Linotype" w:cs="Palatino Linotype"/>
          <w:b/>
          <w:color w:val="000000" w:themeColor="text1"/>
        </w:rPr>
        <w:t xml:space="preserve">Tesorería Municipal, </w:t>
      </w:r>
      <w:r w:rsidRPr="00E13872">
        <w:rPr>
          <w:rFonts w:ascii="Palatino Linotype" w:eastAsia="Palatino Linotype" w:hAnsi="Palatino Linotype" w:cs="Palatino Linotype"/>
          <w:color w:val="000000" w:themeColor="text1"/>
        </w:rPr>
        <w:t xml:space="preserve">pues se presume que la información debe existir ya que se refiere a facultades, competencias y funciones que los ordenamientos jurídicos aplicables otorgan al Sujeto Obligado; por lo tanto </w:t>
      </w:r>
      <w:r w:rsidRPr="00E13872">
        <w:rPr>
          <w:rFonts w:ascii="Palatino Linotype" w:eastAsia="Palatino Linotype" w:hAnsi="Palatino Linotype" w:cs="Palatino Linotype"/>
          <w:b/>
          <w:color w:val="000000" w:themeColor="text1"/>
        </w:rPr>
        <w:t>deberá realizar una nueva búsqueda con la finalidad de entregar la información que resulta de interés para</w:t>
      </w:r>
      <w:r w:rsidRPr="00E13872">
        <w:rPr>
          <w:rFonts w:ascii="Palatino Linotype" w:eastAsia="Palatino Linotype" w:hAnsi="Palatino Linotype" w:cs="Palatino Linotype"/>
          <w:color w:val="000000" w:themeColor="text1"/>
        </w:rPr>
        <w:t xml:space="preserve"> </w:t>
      </w:r>
      <w:r w:rsidRPr="00E13872">
        <w:rPr>
          <w:rFonts w:ascii="Palatino Linotype" w:eastAsia="Palatino Linotype" w:hAnsi="Palatino Linotype" w:cs="Palatino Linotype"/>
          <w:b/>
          <w:color w:val="000000" w:themeColor="text1"/>
        </w:rPr>
        <w:t>EL RECURRENTE</w:t>
      </w:r>
      <w:r w:rsidRPr="00E13872">
        <w:rPr>
          <w:rFonts w:ascii="Palatino Linotype" w:eastAsia="Palatino Linotype" w:hAnsi="Palatino Linotype" w:cs="Palatino Linotype"/>
          <w:color w:val="000000" w:themeColor="text1"/>
        </w:rPr>
        <w:t>, con la finalidad de dar certeza que se realizó una correcta búsqueda de la información requerida.</w:t>
      </w:r>
    </w:p>
    <w:p w:rsidR="00D406E6" w:rsidRPr="00E13872" w:rsidRDefault="00D406E6" w:rsidP="002C3557">
      <w:pPr>
        <w:spacing w:line="360" w:lineRule="auto"/>
        <w:jc w:val="both"/>
        <w:rPr>
          <w:rFonts w:ascii="Palatino Linotype" w:eastAsia="Palatino Linotype" w:hAnsi="Palatino Linotype" w:cs="Palatino Linotype"/>
          <w:color w:val="000000" w:themeColor="text1"/>
        </w:rPr>
      </w:pPr>
    </w:p>
    <w:p w:rsidR="00D406E6" w:rsidRPr="00E13872" w:rsidRDefault="00D406E6" w:rsidP="002C355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lastRenderedPageBreak/>
        <w:t>Resultando aplicable el Criterio orientador 02/17 emitido por el Pleno del Instituto Nacional de Transparencia y Acceso a la Información y Protección de Datos Personales, de título y texto siguientes:</w:t>
      </w:r>
    </w:p>
    <w:p w:rsidR="00D406E6" w:rsidRPr="00E13872" w:rsidRDefault="00D406E6" w:rsidP="002C3557">
      <w:pPr>
        <w:pBdr>
          <w:top w:val="nil"/>
          <w:left w:val="nil"/>
          <w:bottom w:val="nil"/>
          <w:right w:val="nil"/>
          <w:between w:val="nil"/>
        </w:pBdr>
        <w:jc w:val="both"/>
        <w:rPr>
          <w:rFonts w:ascii="Palatino Linotype" w:eastAsia="Palatino Linotype" w:hAnsi="Palatino Linotype" w:cs="Palatino Linotype"/>
          <w:i/>
          <w:color w:val="000000" w:themeColor="text1"/>
        </w:rPr>
      </w:pPr>
      <w:r w:rsidRPr="00E13872">
        <w:rPr>
          <w:rFonts w:ascii="Palatino Linotype" w:eastAsia="Palatino Linotype" w:hAnsi="Palatino Linotype" w:cs="Palatino Linotype"/>
          <w:b/>
          <w:i/>
          <w:color w:val="000000" w:themeColor="text1"/>
        </w:rPr>
        <w:t xml:space="preserve"> “Congruencia y exhaustividad. Sus alcances para garantizar el derecho de acceso a la información. </w:t>
      </w:r>
      <w:r w:rsidRPr="00E13872">
        <w:rPr>
          <w:rFonts w:ascii="Palatino Linotype" w:eastAsia="Palatino Linotype" w:hAnsi="Palatino Linotype" w:cs="Palatino Linotype"/>
          <w:i/>
          <w:color w:val="000000" w:themeColor="text1"/>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E13872">
        <w:rPr>
          <w:rFonts w:ascii="Palatino Linotype" w:eastAsia="Palatino Linotype" w:hAnsi="Palatino Linotype" w:cs="Palatino Linotype"/>
          <w:b/>
          <w:i/>
          <w:color w:val="000000" w:themeColor="text1"/>
        </w:rPr>
        <w:t>la congruencia implica que exista concordancia entre el requerimiento formulado por el particular y la respuesta proporcionada por el sujeto obligado</w:t>
      </w:r>
      <w:r w:rsidRPr="00E13872">
        <w:rPr>
          <w:rFonts w:ascii="Palatino Linotype" w:eastAsia="Palatino Linotype" w:hAnsi="Palatino Linotype" w:cs="Palatino Linotype"/>
          <w:i/>
          <w:color w:val="000000" w:themeColor="text1"/>
        </w:rPr>
        <w:t xml:space="preserve">; mientras que </w:t>
      </w:r>
      <w:r w:rsidRPr="00E13872">
        <w:rPr>
          <w:rFonts w:ascii="Palatino Linotype" w:eastAsia="Palatino Linotype" w:hAnsi="Palatino Linotype" w:cs="Palatino Linotype"/>
          <w:b/>
          <w:i/>
          <w:color w:val="000000" w:themeColor="text1"/>
        </w:rPr>
        <w:t>la exhaustividad significa que dicha respuesta se refiera expresamente a cada uno de los puntos solicitados</w:t>
      </w:r>
      <w:r w:rsidRPr="00E13872">
        <w:rPr>
          <w:rFonts w:ascii="Palatino Linotype" w:eastAsia="Palatino Linotype" w:hAnsi="Palatino Linotype" w:cs="Palatino Linotype"/>
          <w:i/>
          <w:color w:val="000000" w:themeColor="text1"/>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D406E6" w:rsidRPr="00E13872" w:rsidRDefault="00D406E6" w:rsidP="002C3557">
      <w:pPr>
        <w:pBdr>
          <w:top w:val="nil"/>
          <w:left w:val="nil"/>
          <w:bottom w:val="nil"/>
          <w:right w:val="nil"/>
          <w:between w:val="nil"/>
        </w:pBdr>
        <w:jc w:val="both"/>
        <w:rPr>
          <w:rFonts w:ascii="Palatino Linotype" w:eastAsia="Palatino Linotype" w:hAnsi="Palatino Linotype" w:cs="Palatino Linotype"/>
          <w:i/>
          <w:color w:val="000000" w:themeColor="text1"/>
        </w:rPr>
      </w:pPr>
    </w:p>
    <w:p w:rsidR="00D406E6" w:rsidRPr="00E13872" w:rsidRDefault="00D406E6" w:rsidP="002C3557">
      <w:pPr>
        <w:pBdr>
          <w:top w:val="nil"/>
          <w:left w:val="nil"/>
          <w:bottom w:val="nil"/>
          <w:right w:val="nil"/>
          <w:between w:val="nil"/>
        </w:pBdr>
        <w:jc w:val="both"/>
        <w:rPr>
          <w:rFonts w:ascii="Palatino Linotype" w:eastAsia="Palatino Linotype" w:hAnsi="Palatino Linotype" w:cs="Palatino Linotype"/>
          <w:i/>
          <w:color w:val="000000" w:themeColor="text1"/>
        </w:rPr>
      </w:pPr>
    </w:p>
    <w:p w:rsidR="00D406E6" w:rsidRPr="00E13872" w:rsidRDefault="00D406E6" w:rsidP="002C355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Por lo anterior, este Organismo Garante, con la finalidad de garantizar el derecho humano de acceso a la información de la parte </w:t>
      </w:r>
      <w:r w:rsidRPr="00E13872">
        <w:rPr>
          <w:rFonts w:ascii="Palatino Linotype" w:eastAsia="Palatino Linotype" w:hAnsi="Palatino Linotype" w:cs="Palatino Linotype"/>
          <w:b/>
          <w:color w:val="000000" w:themeColor="text1"/>
        </w:rPr>
        <w:t>Recurrente,</w:t>
      </w:r>
      <w:r w:rsidRPr="00E13872">
        <w:rPr>
          <w:rFonts w:ascii="Palatino Linotype" w:eastAsia="Palatino Linotype" w:hAnsi="Palatino Linotype" w:cs="Palatino Linotype"/>
          <w:color w:val="000000" w:themeColor="text1"/>
        </w:rPr>
        <w:t xml:space="preserve"> y a fin de reparar el agravio causado ante la omisión en que incurriera el </w:t>
      </w:r>
      <w:r w:rsidRPr="00E13872">
        <w:rPr>
          <w:rFonts w:ascii="Palatino Linotype" w:eastAsia="Palatino Linotype" w:hAnsi="Palatino Linotype" w:cs="Palatino Linotype"/>
          <w:b/>
          <w:color w:val="000000" w:themeColor="text1"/>
        </w:rPr>
        <w:t>Sujeto Obligado</w:t>
      </w:r>
      <w:r w:rsidRPr="00E13872">
        <w:rPr>
          <w:rFonts w:ascii="Palatino Linotype" w:eastAsia="Palatino Linotype" w:hAnsi="Palatino Linotype" w:cs="Palatino Linotype"/>
          <w:color w:val="000000" w:themeColor="text1"/>
        </w:rPr>
        <w:t xml:space="preserve">, ya que, como se señaló, su respuesta careció de los principios de congruencia y exhaustividad, por las consideraciones ya expuestas, </w:t>
      </w:r>
      <w:r w:rsidRPr="00E13872">
        <w:rPr>
          <w:rFonts w:ascii="Palatino Linotype" w:eastAsia="Palatino Linotype" w:hAnsi="Palatino Linotype" w:cs="Palatino Linotype"/>
          <w:b/>
          <w:color w:val="000000" w:themeColor="text1"/>
        </w:rPr>
        <w:t>se estima procedente ordenar que, previa búsqueda exhaustiva y razonable, en las unidades administrativas competentes, se haga entrega del soporte documental en el que conste la información que es del interés del particular.</w:t>
      </w:r>
    </w:p>
    <w:p w:rsidR="007B54B4" w:rsidRPr="00E13872" w:rsidRDefault="007B54B4" w:rsidP="002C355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B54B4" w:rsidRPr="00E13872" w:rsidRDefault="007B54B4" w:rsidP="002C3557">
      <w:pPr>
        <w:numPr>
          <w:ilvl w:val="0"/>
          <w:numId w:val="2"/>
        </w:numPr>
        <w:spacing w:line="360" w:lineRule="auto"/>
        <w:ind w:left="0" w:firstLine="0"/>
        <w:jc w:val="both"/>
        <w:rPr>
          <w:rFonts w:ascii="Palatino Linotype" w:eastAsia="Palatino Linotype" w:hAnsi="Palatino Linotype" w:cs="Palatino Linotype"/>
          <w:b/>
          <w:color w:val="000000" w:themeColor="text1"/>
        </w:rPr>
      </w:pPr>
      <w:r w:rsidRPr="00E13872">
        <w:rPr>
          <w:rFonts w:ascii="Palatino Linotype" w:eastAsia="Palatino Linotype" w:hAnsi="Palatino Linotype" w:cs="Palatino Linotype"/>
          <w:color w:val="000000" w:themeColor="text1"/>
        </w:rPr>
        <w:t xml:space="preserve"> De lo expuesto, es viable </w:t>
      </w:r>
      <w:r w:rsidRPr="00E13872">
        <w:rPr>
          <w:rFonts w:ascii="Palatino Linotype" w:eastAsia="Palatino Linotype" w:hAnsi="Palatino Linotype" w:cs="Palatino Linotype"/>
          <w:b/>
          <w:color w:val="000000" w:themeColor="text1"/>
        </w:rPr>
        <w:t>ORDENAR</w:t>
      </w:r>
      <w:r w:rsidRPr="00E13872">
        <w:rPr>
          <w:rFonts w:ascii="Palatino Linotype" w:eastAsia="Palatino Linotype" w:hAnsi="Palatino Linotype" w:cs="Palatino Linotype"/>
          <w:color w:val="000000" w:themeColor="text1"/>
        </w:rPr>
        <w:t xml:space="preserve"> al Sujeto Obligado que haga entrega vía Sistema de Acceso a la Información Mexiquense </w:t>
      </w:r>
      <w:r w:rsidRPr="00E13872">
        <w:rPr>
          <w:rFonts w:ascii="Palatino Linotype" w:eastAsia="Palatino Linotype" w:hAnsi="Palatino Linotype" w:cs="Palatino Linotype"/>
          <w:b/>
          <w:color w:val="000000" w:themeColor="text1"/>
        </w:rPr>
        <w:t>(SAIMEX),</w:t>
      </w:r>
      <w:r w:rsidRPr="00E13872">
        <w:rPr>
          <w:rFonts w:ascii="Palatino Linotype" w:eastAsia="Palatino Linotype" w:hAnsi="Palatino Linotype" w:cs="Palatino Linotype"/>
          <w:color w:val="000000" w:themeColor="text1"/>
        </w:rPr>
        <w:t xml:space="preserve"> </w:t>
      </w:r>
      <w:r w:rsidR="00D406E6" w:rsidRPr="00E13872">
        <w:rPr>
          <w:rFonts w:ascii="Palatino Linotype" w:eastAsia="Palatino Linotype" w:hAnsi="Palatino Linotype" w:cs="Palatino Linotype"/>
          <w:color w:val="000000" w:themeColor="text1"/>
        </w:rPr>
        <w:t xml:space="preserve">previa búsqueda exhaustiva y razonable, </w:t>
      </w:r>
      <w:r w:rsidRPr="00E13872">
        <w:rPr>
          <w:rFonts w:ascii="Palatino Linotype" w:eastAsia="Palatino Linotype" w:hAnsi="Palatino Linotype" w:cs="Palatino Linotype"/>
          <w:color w:val="000000" w:themeColor="text1"/>
        </w:rPr>
        <w:t xml:space="preserve">de ser el caso en versión pública, </w:t>
      </w:r>
      <w:r w:rsidR="00D406E6" w:rsidRPr="00E13872">
        <w:rPr>
          <w:rFonts w:ascii="Palatino Linotype" w:eastAsia="Palatino Linotype" w:hAnsi="Palatino Linotype" w:cs="Palatino Linotype"/>
          <w:b/>
          <w:i/>
          <w:color w:val="000000" w:themeColor="text1"/>
        </w:rPr>
        <w:t>los</w:t>
      </w:r>
      <w:r w:rsidR="00D406E6" w:rsidRPr="00E13872">
        <w:rPr>
          <w:rFonts w:ascii="Palatino Linotype" w:eastAsia="Palatino Linotype" w:hAnsi="Palatino Linotype" w:cs="Palatino Linotype"/>
          <w:b/>
          <w:color w:val="000000" w:themeColor="text1"/>
        </w:rPr>
        <w:t xml:space="preserve"> c</w:t>
      </w:r>
      <w:r w:rsidRPr="00E13872">
        <w:rPr>
          <w:rFonts w:ascii="Palatino Linotype" w:eastAsia="Palatino Linotype" w:hAnsi="Palatino Linotype" w:cs="Palatino Linotype"/>
          <w:b/>
          <w:i/>
          <w:color w:val="000000" w:themeColor="text1"/>
        </w:rPr>
        <w:t xml:space="preserve">omprobantes de los pagos </w:t>
      </w:r>
      <w:r w:rsidR="00D406E6" w:rsidRPr="00E13872">
        <w:rPr>
          <w:rFonts w:ascii="Palatino Linotype" w:eastAsia="Palatino Linotype" w:hAnsi="Palatino Linotype" w:cs="Palatino Linotype"/>
          <w:b/>
          <w:i/>
          <w:color w:val="000000" w:themeColor="text1"/>
        </w:rPr>
        <w:t xml:space="preserve">realizados a las requisiciones remitidas en </w:t>
      </w:r>
      <w:r w:rsidR="00E41F6C" w:rsidRPr="00E13872">
        <w:rPr>
          <w:rFonts w:ascii="Palatino Linotype" w:eastAsia="Palatino Linotype" w:hAnsi="Palatino Linotype" w:cs="Palatino Linotype"/>
          <w:b/>
          <w:i/>
          <w:color w:val="000000" w:themeColor="text1"/>
        </w:rPr>
        <w:t>informe justificado</w:t>
      </w:r>
      <w:r w:rsidR="00D406E6" w:rsidRPr="00E13872">
        <w:rPr>
          <w:rFonts w:ascii="Palatino Linotype" w:eastAsia="Palatino Linotype" w:hAnsi="Palatino Linotype" w:cs="Palatino Linotype"/>
          <w:b/>
          <w:i/>
          <w:color w:val="000000" w:themeColor="text1"/>
        </w:rPr>
        <w:t>.</w:t>
      </w:r>
    </w:p>
    <w:p w:rsidR="007B54B4" w:rsidRPr="00E13872" w:rsidRDefault="007B54B4" w:rsidP="002C3557">
      <w:pPr>
        <w:keepNext/>
        <w:keepLines/>
        <w:spacing w:after="160" w:line="360" w:lineRule="auto"/>
        <w:rPr>
          <w:rFonts w:ascii="Palatino Linotype" w:eastAsia="Palatino Linotype" w:hAnsi="Palatino Linotype" w:cs="Palatino Linotype"/>
          <w:b/>
          <w:color w:val="000000" w:themeColor="text1"/>
        </w:rPr>
      </w:pPr>
      <w:r w:rsidRPr="00E13872">
        <w:rPr>
          <w:rFonts w:ascii="Palatino Linotype" w:eastAsia="Palatino Linotype" w:hAnsi="Palatino Linotype" w:cs="Palatino Linotype"/>
          <w:b/>
          <w:color w:val="000000" w:themeColor="text1"/>
        </w:rPr>
        <w:lastRenderedPageBreak/>
        <w:t>QUINTO. De la versión pública.</w:t>
      </w:r>
    </w:p>
    <w:p w:rsidR="007B54B4" w:rsidRPr="00E13872" w:rsidRDefault="007B54B4" w:rsidP="006A1BDE">
      <w:pPr>
        <w:keepNext/>
        <w:keepLines/>
        <w:numPr>
          <w:ilvl w:val="0"/>
          <w:numId w:val="3"/>
        </w:numPr>
        <w:tabs>
          <w:tab w:val="left" w:pos="284"/>
        </w:tabs>
        <w:spacing w:after="160" w:line="360" w:lineRule="auto"/>
        <w:ind w:left="0" w:firstLine="0"/>
        <w:rPr>
          <w:rFonts w:ascii="Palatino Linotype" w:eastAsia="Palatino Linotype" w:hAnsi="Palatino Linotype" w:cs="Palatino Linotype"/>
          <w:b/>
          <w:color w:val="000000" w:themeColor="text1"/>
        </w:rPr>
      </w:pPr>
      <w:r w:rsidRPr="00E13872">
        <w:rPr>
          <w:rFonts w:ascii="Palatino Linotype" w:eastAsia="Palatino Linotype" w:hAnsi="Palatino Linotype" w:cs="Palatino Linotype"/>
          <w:b/>
          <w:color w:val="000000" w:themeColor="text1"/>
        </w:rPr>
        <w:t xml:space="preserve">Nociones generales. </w:t>
      </w:r>
    </w:p>
    <w:p w:rsidR="007B54B4" w:rsidRPr="00E13872" w:rsidRDefault="007B54B4" w:rsidP="002C355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Debe destacarse que, si debido a la naturaleza de la información solicitada</w:t>
      </w:r>
      <w:r w:rsidRPr="00E13872">
        <w:rPr>
          <w:rFonts w:ascii="Palatino Linotype" w:eastAsia="Palatino Linotype" w:hAnsi="Palatino Linotype" w:cs="Palatino Linotype"/>
          <w:b/>
          <w:color w:val="000000" w:themeColor="text1"/>
        </w:rPr>
        <w:t xml:space="preserve">, </w:t>
      </w:r>
      <w:r w:rsidRPr="00E13872">
        <w:rPr>
          <w:rFonts w:ascii="Palatino Linotype" w:eastAsia="Palatino Linotype" w:hAnsi="Palatino Linotype" w:cs="Palatino Linotype"/>
          <w:color w:val="000000" w:themeColor="text1"/>
        </w:rPr>
        <w:t xml:space="preserve">eventualmente pudieran obrar datos personales susceptibles de protegerse, el </w:t>
      </w:r>
      <w:r w:rsidRPr="00E13872">
        <w:rPr>
          <w:rFonts w:ascii="Palatino Linotype" w:eastAsia="Palatino Linotype" w:hAnsi="Palatino Linotype" w:cs="Palatino Linotype"/>
          <w:b/>
          <w:color w:val="000000" w:themeColor="text1"/>
        </w:rPr>
        <w:t xml:space="preserve">SUJETO OBLIGADO </w:t>
      </w:r>
      <w:r w:rsidRPr="00E13872">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7B54B4" w:rsidRPr="00E13872" w:rsidRDefault="007B54B4" w:rsidP="002C3557">
      <w:pPr>
        <w:pBdr>
          <w:top w:val="nil"/>
          <w:left w:val="nil"/>
          <w:bottom w:val="nil"/>
          <w:right w:val="nil"/>
          <w:between w:val="nil"/>
        </w:pBdr>
        <w:tabs>
          <w:tab w:val="left" w:pos="0"/>
          <w:tab w:val="left" w:pos="284"/>
        </w:tabs>
        <w:spacing w:line="360" w:lineRule="auto"/>
        <w:jc w:val="both"/>
        <w:rPr>
          <w:rFonts w:ascii="Palatino Linotype" w:eastAsia="Palatino Linotype" w:hAnsi="Palatino Linotype" w:cs="Palatino Linotype"/>
          <w:color w:val="000000" w:themeColor="text1"/>
        </w:rPr>
      </w:pPr>
    </w:p>
    <w:p w:rsidR="007B54B4" w:rsidRPr="00E13872" w:rsidRDefault="007B54B4" w:rsidP="002C355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No pasa desapercibido para este Órgano Garante que los Sujetos Obligados</w:t>
      </w:r>
      <w:r w:rsidRPr="00E13872">
        <w:rPr>
          <w:rFonts w:ascii="Palatino Linotype" w:eastAsia="Palatino Linotype" w:hAnsi="Palatino Linotype" w:cs="Palatino Linotype"/>
          <w:b/>
          <w:color w:val="000000" w:themeColor="text1"/>
        </w:rPr>
        <w:t xml:space="preserve"> </w:t>
      </w:r>
      <w:r w:rsidRPr="00E13872">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7B54B4" w:rsidRPr="00E13872" w:rsidRDefault="007B54B4" w:rsidP="002C3557">
      <w:pPr>
        <w:tabs>
          <w:tab w:val="left" w:pos="284"/>
        </w:tabs>
        <w:spacing w:after="160" w:line="360" w:lineRule="auto"/>
        <w:jc w:val="both"/>
        <w:rPr>
          <w:rFonts w:ascii="Palatino Linotype" w:eastAsia="Palatino Linotype" w:hAnsi="Palatino Linotype" w:cs="Palatino Linotype"/>
          <w:color w:val="000000" w:themeColor="text1"/>
        </w:rPr>
      </w:pPr>
    </w:p>
    <w:tbl>
      <w:tblPr>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945"/>
      </w:tblGrid>
      <w:tr w:rsidR="002C3557" w:rsidRPr="00E13872" w:rsidTr="006A1BDE">
        <w:tc>
          <w:tcPr>
            <w:tcW w:w="2689" w:type="dxa"/>
          </w:tcPr>
          <w:p w:rsidR="007B54B4" w:rsidRPr="00E13872" w:rsidRDefault="007B54B4" w:rsidP="002C3557">
            <w:pPr>
              <w:tabs>
                <w:tab w:val="left" w:pos="284"/>
              </w:tabs>
              <w:spacing w:line="360" w:lineRule="auto"/>
              <w:rPr>
                <w:rFonts w:ascii="Palatino Linotype" w:eastAsia="Palatino Linotype" w:hAnsi="Palatino Linotype" w:cs="Palatino Linotype"/>
                <w:b/>
                <w:color w:val="000000" w:themeColor="text1"/>
              </w:rPr>
            </w:pPr>
            <w:r w:rsidRPr="00E13872">
              <w:rPr>
                <w:rFonts w:ascii="Palatino Linotype" w:eastAsia="Palatino Linotype" w:hAnsi="Palatino Linotype" w:cs="Palatino Linotype"/>
                <w:b/>
                <w:color w:val="000000" w:themeColor="text1"/>
              </w:rPr>
              <w:t>a) Requisitos previos.</w:t>
            </w:r>
          </w:p>
        </w:tc>
        <w:tc>
          <w:tcPr>
            <w:tcW w:w="6945" w:type="dxa"/>
          </w:tcPr>
          <w:p w:rsidR="007B54B4" w:rsidRPr="00E13872" w:rsidRDefault="007B54B4" w:rsidP="002C3557">
            <w:pPr>
              <w:tabs>
                <w:tab w:val="left" w:pos="284"/>
              </w:tabs>
              <w:spacing w:line="360" w:lineRule="auto"/>
              <w:jc w:val="both"/>
              <w:rPr>
                <w:rFonts w:ascii="Palatino Linotype" w:eastAsia="Palatino Linotype" w:hAnsi="Palatino Linotype" w:cs="Palatino Linotype"/>
                <w:b/>
                <w:color w:val="000000" w:themeColor="text1"/>
              </w:rPr>
            </w:pPr>
            <w:r w:rsidRPr="00E13872">
              <w:rPr>
                <w:rFonts w:ascii="Palatino Linotype" w:eastAsia="Palatino Linotype" w:hAnsi="Palatino Linotype" w:cs="Palatino Linotype"/>
                <w:b/>
                <w:color w:val="000000" w:themeColor="text1"/>
              </w:rPr>
              <w:t xml:space="preserve">Los artículos 100 y 122 de la Ley Estatal y de la Ley General, vigente a la fecha de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rsidR="007B54B4" w:rsidRPr="00E13872" w:rsidRDefault="007B54B4" w:rsidP="002C3557">
            <w:pPr>
              <w:tabs>
                <w:tab w:val="left" w:pos="284"/>
              </w:tabs>
              <w:spacing w:line="360" w:lineRule="auto"/>
              <w:jc w:val="both"/>
              <w:rPr>
                <w:rFonts w:ascii="Palatino Linotype" w:eastAsia="Palatino Linotype" w:hAnsi="Palatino Linotype" w:cs="Palatino Linotype"/>
                <w:b/>
                <w:color w:val="000000" w:themeColor="text1"/>
              </w:rPr>
            </w:pPr>
            <w:r w:rsidRPr="00E13872">
              <w:rPr>
                <w:rFonts w:ascii="Palatino Linotype" w:eastAsia="Palatino Linotype" w:hAnsi="Palatino Linotype" w:cs="Palatino Linotype"/>
                <w:b/>
                <w:color w:val="000000" w:themeColor="text1"/>
              </w:rPr>
              <w:t>Al hacerlo tienen que precisar de qué información se trata, señalando el supuesto de clasificación (confidencialidad o reserva).</w:t>
            </w:r>
          </w:p>
          <w:p w:rsidR="007B54B4" w:rsidRPr="00E13872" w:rsidRDefault="007B54B4" w:rsidP="002C3557">
            <w:pPr>
              <w:tabs>
                <w:tab w:val="left" w:pos="284"/>
              </w:tabs>
              <w:spacing w:line="360" w:lineRule="auto"/>
              <w:jc w:val="both"/>
              <w:rPr>
                <w:rFonts w:ascii="Palatino Linotype" w:eastAsia="Palatino Linotype" w:hAnsi="Palatino Linotype" w:cs="Palatino Linotype"/>
                <w:b/>
                <w:color w:val="000000" w:themeColor="text1"/>
              </w:rPr>
            </w:pPr>
            <w:r w:rsidRPr="00E13872">
              <w:rPr>
                <w:rFonts w:ascii="Palatino Linotype" w:eastAsia="Palatino Linotype" w:hAnsi="Palatino Linotype" w:cs="Palatino Linotype"/>
                <w:b/>
                <w:color w:val="000000" w:themeColor="text1"/>
              </w:rPr>
              <w:lastRenderedPageBreak/>
              <w:t>Además, se debe señalar el procedimiento, de los tres que establecen los artículos 132 y 106 de la Ley Estatal y General, respectivamente.</w:t>
            </w:r>
          </w:p>
          <w:p w:rsidR="007B54B4" w:rsidRPr="00E13872" w:rsidRDefault="007B54B4" w:rsidP="002C3557">
            <w:pPr>
              <w:tabs>
                <w:tab w:val="left" w:pos="284"/>
              </w:tabs>
              <w:spacing w:line="360" w:lineRule="auto"/>
              <w:jc w:val="both"/>
              <w:rPr>
                <w:rFonts w:ascii="Palatino Linotype" w:eastAsia="Palatino Linotype" w:hAnsi="Palatino Linotype" w:cs="Palatino Linotype"/>
                <w:b/>
                <w:color w:val="000000" w:themeColor="text1"/>
              </w:rPr>
            </w:pPr>
            <w:r w:rsidRPr="00E13872">
              <w:rPr>
                <w:rFonts w:ascii="Palatino Linotype" w:eastAsia="Palatino Linotype" w:hAnsi="Palatino Linotype" w:cs="Palatino Linotype"/>
                <w:b/>
                <w:color w:val="000000" w:themeColor="text1"/>
              </w:rPr>
              <w:t xml:space="preserve">El último de estos requisitos previos consiste en que no se pueden emitir acuerdos de carácter general ni particular, esto es, </w:t>
            </w:r>
            <w:r w:rsidRPr="00E13872">
              <w:rPr>
                <w:rFonts w:ascii="Palatino Linotype" w:eastAsia="Palatino Linotype" w:hAnsi="Palatino Linotype" w:cs="Palatino Linotype"/>
                <w:b/>
                <w:color w:val="000000" w:themeColor="text1"/>
                <w:u w:val="single"/>
              </w:rPr>
              <w:t>no se puede hacer un acuerdo para clasificar de manera general todos los documentos de un expediente o área, sin</w:t>
            </w:r>
            <w:r w:rsidRPr="00E13872">
              <w:rPr>
                <w:rFonts w:ascii="Palatino Linotype" w:eastAsia="Palatino Linotype" w:hAnsi="Palatino Linotype" w:cs="Palatino Linotype"/>
                <w:b/>
                <w:color w:val="000000" w:themeColor="text1"/>
              </w:rPr>
              <w:t xml:space="preserve"> individualizar su análisis y tampoco se puede hacer un acuerdo por cada dato que se vaya a clasificar dentro de un documento con diez datos, por ejemplo, susceptibles de ser clasificados.</w:t>
            </w:r>
          </w:p>
        </w:tc>
      </w:tr>
      <w:tr w:rsidR="002C3557" w:rsidRPr="00E13872" w:rsidTr="006A1BDE">
        <w:tc>
          <w:tcPr>
            <w:tcW w:w="2689" w:type="dxa"/>
          </w:tcPr>
          <w:p w:rsidR="007B54B4" w:rsidRPr="00E13872" w:rsidRDefault="007B54B4" w:rsidP="002C3557">
            <w:pPr>
              <w:tabs>
                <w:tab w:val="left" w:pos="284"/>
              </w:tabs>
              <w:spacing w:line="360" w:lineRule="auto"/>
              <w:rPr>
                <w:rFonts w:ascii="Palatino Linotype" w:eastAsia="Palatino Linotype" w:hAnsi="Palatino Linotype" w:cs="Palatino Linotype"/>
                <w:b/>
                <w:color w:val="000000" w:themeColor="text1"/>
              </w:rPr>
            </w:pPr>
            <w:r w:rsidRPr="00E13872">
              <w:rPr>
                <w:rFonts w:ascii="Palatino Linotype" w:eastAsia="Palatino Linotype" w:hAnsi="Palatino Linotype" w:cs="Palatino Linotype"/>
                <w:b/>
                <w:color w:val="000000" w:themeColor="text1"/>
              </w:rPr>
              <w:lastRenderedPageBreak/>
              <w:t>b) Supuestos de clasificación.</w:t>
            </w:r>
          </w:p>
        </w:tc>
        <w:tc>
          <w:tcPr>
            <w:tcW w:w="6945" w:type="dxa"/>
          </w:tcPr>
          <w:p w:rsidR="007B54B4" w:rsidRPr="00E13872" w:rsidRDefault="007B54B4" w:rsidP="002C3557">
            <w:pPr>
              <w:tabs>
                <w:tab w:val="left" w:pos="284"/>
              </w:tabs>
              <w:spacing w:line="360" w:lineRule="auto"/>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7B54B4" w:rsidRPr="00E13872" w:rsidRDefault="007B54B4" w:rsidP="002C3557">
            <w:pPr>
              <w:tabs>
                <w:tab w:val="left" w:pos="284"/>
              </w:tabs>
              <w:spacing w:line="360" w:lineRule="auto"/>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Los artículos 116 y 143 de la Ley Estatal y de la Ley General, vigente a la fecha de la solicitud de información, respectivamente, señalan los supuestos para que la información pueda ser clasificada como confidencial. Mientras que los artículos 105 y 130 de la Ley Estatal y de la Ley General, vigente a la fecha de la solicitud de información, respectivamente, señalan que la aplicación de estos supuestos debe realizarse de manera restrictiva y limitada, por lo que debe acreditarse que se cumple con esta condición y no se pueden ampliar las </w:t>
            </w:r>
            <w:r w:rsidRPr="00E13872">
              <w:rPr>
                <w:rFonts w:ascii="Palatino Linotype" w:eastAsia="Palatino Linotype" w:hAnsi="Palatino Linotype" w:cs="Palatino Linotype"/>
                <w:color w:val="000000" w:themeColor="text1"/>
              </w:rPr>
              <w:lastRenderedPageBreak/>
              <w:t>excepciones o supuestos de clasificación aduciendo analogía o mayoría de razón.</w:t>
            </w:r>
          </w:p>
          <w:p w:rsidR="007B54B4" w:rsidRPr="00E13872" w:rsidRDefault="007B54B4" w:rsidP="002C3557">
            <w:pPr>
              <w:tabs>
                <w:tab w:val="left" w:pos="284"/>
              </w:tabs>
              <w:spacing w:line="360" w:lineRule="auto"/>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El </w:t>
            </w:r>
            <w:r w:rsidRPr="00E13872">
              <w:rPr>
                <w:rFonts w:ascii="Palatino Linotype" w:eastAsia="Palatino Linotype" w:hAnsi="Palatino Linotype" w:cs="Palatino Linotype"/>
                <w:b/>
                <w:color w:val="000000" w:themeColor="text1"/>
              </w:rPr>
              <w:t>Sujeto Obligado</w:t>
            </w:r>
            <w:r w:rsidRPr="00E13872">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C3557" w:rsidRPr="00E13872" w:rsidTr="006A1BDE">
        <w:tc>
          <w:tcPr>
            <w:tcW w:w="2689" w:type="dxa"/>
          </w:tcPr>
          <w:p w:rsidR="007B54B4" w:rsidRPr="00E13872" w:rsidRDefault="007B54B4" w:rsidP="002C3557">
            <w:pPr>
              <w:tabs>
                <w:tab w:val="left" w:pos="284"/>
              </w:tabs>
              <w:spacing w:line="360" w:lineRule="auto"/>
              <w:rPr>
                <w:rFonts w:ascii="Palatino Linotype" w:eastAsia="Palatino Linotype" w:hAnsi="Palatino Linotype" w:cs="Palatino Linotype"/>
                <w:b/>
                <w:color w:val="000000" w:themeColor="text1"/>
              </w:rPr>
            </w:pPr>
            <w:r w:rsidRPr="00E13872">
              <w:rPr>
                <w:rFonts w:ascii="Palatino Linotype" w:eastAsia="Palatino Linotype" w:hAnsi="Palatino Linotype" w:cs="Palatino Linotype"/>
                <w:b/>
                <w:color w:val="000000" w:themeColor="text1"/>
              </w:rPr>
              <w:lastRenderedPageBreak/>
              <w:t>c) Formalidades para emitir el acuerdo de clasificación.</w:t>
            </w:r>
          </w:p>
        </w:tc>
        <w:tc>
          <w:tcPr>
            <w:tcW w:w="6945" w:type="dxa"/>
          </w:tcPr>
          <w:p w:rsidR="007B54B4" w:rsidRPr="00E13872" w:rsidRDefault="007B54B4" w:rsidP="002C3557">
            <w:pPr>
              <w:tabs>
                <w:tab w:val="left" w:pos="284"/>
              </w:tabs>
              <w:spacing w:line="360" w:lineRule="auto"/>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7B54B4" w:rsidRPr="00E13872" w:rsidRDefault="007B54B4" w:rsidP="002C3557">
            <w:pPr>
              <w:tabs>
                <w:tab w:val="left" w:pos="284"/>
              </w:tabs>
              <w:spacing w:line="360" w:lineRule="auto"/>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Es necesario que </w:t>
            </w:r>
            <w:r w:rsidRPr="00E13872">
              <w:rPr>
                <w:rFonts w:ascii="Palatino Linotype" w:eastAsia="Palatino Linotype" w:hAnsi="Palatino Linotype" w:cs="Palatino Linotype"/>
                <w:b/>
                <w:color w:val="000000" w:themeColor="text1"/>
                <w:u w:val="single"/>
              </w:rPr>
              <w:t>el acto reúna con los requisitos elementales</w:t>
            </w:r>
            <w:r w:rsidRPr="00E13872">
              <w:rPr>
                <w:rFonts w:ascii="Palatino Linotype" w:eastAsia="Palatino Linotype" w:hAnsi="Palatino Linotype" w:cs="Palatino Linotype"/>
                <w:color w:val="000000" w:themeColor="text1"/>
              </w:rPr>
              <w:t>, entre ellos, que la autoridad que va a emitir el acto de autoridad sea la legalmente facultada para ello.</w:t>
            </w:r>
          </w:p>
          <w:p w:rsidR="007B54B4" w:rsidRPr="00E13872" w:rsidRDefault="007B54B4" w:rsidP="002C3557">
            <w:pPr>
              <w:tabs>
                <w:tab w:val="left" w:pos="284"/>
              </w:tabs>
              <w:spacing w:line="360" w:lineRule="auto"/>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C3557" w:rsidRPr="00E13872" w:rsidTr="006A1BDE">
        <w:tc>
          <w:tcPr>
            <w:tcW w:w="2689" w:type="dxa"/>
          </w:tcPr>
          <w:p w:rsidR="007B54B4" w:rsidRPr="00E13872" w:rsidRDefault="007B54B4" w:rsidP="002C3557">
            <w:pPr>
              <w:tabs>
                <w:tab w:val="left" w:pos="284"/>
              </w:tabs>
              <w:spacing w:line="360" w:lineRule="auto"/>
              <w:rPr>
                <w:rFonts w:ascii="Palatino Linotype" w:eastAsia="Palatino Linotype" w:hAnsi="Palatino Linotype" w:cs="Palatino Linotype"/>
                <w:b/>
                <w:color w:val="000000" w:themeColor="text1"/>
              </w:rPr>
            </w:pPr>
          </w:p>
          <w:p w:rsidR="007B54B4" w:rsidRPr="00E13872" w:rsidRDefault="007B54B4" w:rsidP="002C3557">
            <w:pPr>
              <w:tabs>
                <w:tab w:val="left" w:pos="284"/>
              </w:tabs>
              <w:spacing w:line="360" w:lineRule="auto"/>
              <w:jc w:val="both"/>
              <w:rPr>
                <w:rFonts w:ascii="Palatino Linotype" w:eastAsia="Palatino Linotype" w:hAnsi="Palatino Linotype" w:cs="Palatino Linotype"/>
                <w:b/>
                <w:color w:val="000000" w:themeColor="text1"/>
              </w:rPr>
            </w:pPr>
            <w:r w:rsidRPr="00E13872">
              <w:rPr>
                <w:rFonts w:ascii="Palatino Linotype" w:eastAsia="Palatino Linotype" w:hAnsi="Palatino Linotype" w:cs="Palatino Linotype"/>
                <w:b/>
                <w:color w:val="000000" w:themeColor="text1"/>
              </w:rPr>
              <w:t xml:space="preserve">d) Requisitos de fondo del acuerdo de clasificación. </w:t>
            </w:r>
          </w:p>
        </w:tc>
        <w:tc>
          <w:tcPr>
            <w:tcW w:w="6945" w:type="dxa"/>
          </w:tcPr>
          <w:p w:rsidR="007B54B4" w:rsidRPr="00E13872" w:rsidRDefault="007B54B4" w:rsidP="002C3557">
            <w:pPr>
              <w:tabs>
                <w:tab w:val="left" w:pos="284"/>
              </w:tabs>
              <w:spacing w:line="360" w:lineRule="auto"/>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E13872">
              <w:rPr>
                <w:rFonts w:ascii="Palatino Linotype" w:eastAsia="Palatino Linotype" w:hAnsi="Palatino Linotype" w:cs="Palatino Linotype"/>
                <w:b/>
                <w:color w:val="000000" w:themeColor="text1"/>
              </w:rPr>
              <w:t>Sujetos Obligados</w:t>
            </w:r>
            <w:r w:rsidRPr="00E13872">
              <w:rPr>
                <w:rFonts w:ascii="Palatino Linotype" w:eastAsia="Palatino Linotype" w:hAnsi="Palatino Linotype" w:cs="Palatino Linotype"/>
                <w:color w:val="000000" w:themeColor="text1"/>
              </w:rPr>
              <w:t xml:space="preserve">, por lo que deberán fundar y motivar debidamente la clasificación. </w:t>
            </w:r>
          </w:p>
          <w:p w:rsidR="007B54B4" w:rsidRPr="00E13872" w:rsidRDefault="007B54B4" w:rsidP="002C3557">
            <w:pPr>
              <w:tabs>
                <w:tab w:val="left" w:pos="284"/>
              </w:tabs>
              <w:spacing w:line="360" w:lineRule="auto"/>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De lo anterior, se desprende que para una correcta </w:t>
            </w:r>
            <w:r w:rsidRPr="00E13872">
              <w:rPr>
                <w:rFonts w:ascii="Palatino Linotype" w:eastAsia="Palatino Linotype" w:hAnsi="Palatino Linotype" w:cs="Palatino Linotype"/>
                <w:b/>
                <w:color w:val="000000" w:themeColor="text1"/>
              </w:rPr>
              <w:t>clasificación total o parcial</w:t>
            </w:r>
            <w:r w:rsidRPr="00E13872">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7B54B4" w:rsidRPr="00E13872" w:rsidRDefault="007B54B4" w:rsidP="002C3557">
            <w:pPr>
              <w:tabs>
                <w:tab w:val="left" w:pos="284"/>
              </w:tabs>
              <w:spacing w:line="360" w:lineRule="auto"/>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7B54B4" w:rsidRPr="00E13872" w:rsidRDefault="007B54B4" w:rsidP="002C3557">
            <w:pPr>
              <w:tabs>
                <w:tab w:val="left" w:pos="284"/>
              </w:tabs>
              <w:spacing w:line="360" w:lineRule="auto"/>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En ese mismo sentido, el numeral trigésimo tercero fracción V de los Lineamientos Generales, precisa que para motivar la </w:t>
            </w:r>
            <w:r w:rsidRPr="00E13872">
              <w:rPr>
                <w:rFonts w:ascii="Palatino Linotype" w:eastAsia="Palatino Linotype" w:hAnsi="Palatino Linotype" w:cs="Palatino Linotype"/>
                <w:color w:val="000000" w:themeColor="text1"/>
              </w:rPr>
              <w:lastRenderedPageBreak/>
              <w:t>clasificación se deben acreditar las circunstancias de tiempo, modo y lugar.</w:t>
            </w:r>
          </w:p>
          <w:p w:rsidR="007B54B4" w:rsidRPr="00E13872" w:rsidRDefault="007B54B4" w:rsidP="002C3557">
            <w:pPr>
              <w:tabs>
                <w:tab w:val="left" w:pos="284"/>
              </w:tabs>
              <w:spacing w:line="360" w:lineRule="auto"/>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Ahora bien, </w:t>
            </w:r>
            <w:r w:rsidRPr="00E13872">
              <w:rPr>
                <w:rFonts w:ascii="Palatino Linotype" w:eastAsia="Palatino Linotype" w:hAnsi="Palatino Linotype" w:cs="Palatino Linotype"/>
                <w:b/>
                <w:color w:val="000000" w:themeColor="text1"/>
                <w:u w:val="single"/>
              </w:rPr>
              <w:t>para cada caso además de fundar y motivar</w:t>
            </w:r>
            <w:r w:rsidRPr="00E13872">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7B54B4" w:rsidRPr="00E13872" w:rsidTr="006A1BDE">
        <w:tc>
          <w:tcPr>
            <w:tcW w:w="2689" w:type="dxa"/>
          </w:tcPr>
          <w:p w:rsidR="007B54B4" w:rsidRPr="00E13872" w:rsidRDefault="007B54B4" w:rsidP="002C3557">
            <w:pPr>
              <w:tabs>
                <w:tab w:val="left" w:pos="284"/>
              </w:tabs>
              <w:spacing w:line="360" w:lineRule="auto"/>
              <w:jc w:val="both"/>
              <w:rPr>
                <w:rFonts w:ascii="Palatino Linotype" w:eastAsia="Palatino Linotype" w:hAnsi="Palatino Linotype" w:cs="Palatino Linotype"/>
                <w:b/>
                <w:color w:val="000000" w:themeColor="text1"/>
              </w:rPr>
            </w:pPr>
            <w:r w:rsidRPr="00E13872">
              <w:rPr>
                <w:rFonts w:ascii="Palatino Linotype" w:eastAsia="Palatino Linotype" w:hAnsi="Palatino Linotype" w:cs="Palatino Linotype"/>
                <w:b/>
                <w:color w:val="000000" w:themeColor="text1"/>
              </w:rPr>
              <w:lastRenderedPageBreak/>
              <w:t xml:space="preserve">e) Condiciones especiales de la clasificación de la información como confidencial. </w:t>
            </w:r>
          </w:p>
        </w:tc>
        <w:tc>
          <w:tcPr>
            <w:tcW w:w="6945" w:type="dxa"/>
          </w:tcPr>
          <w:p w:rsidR="007B54B4" w:rsidRPr="00E13872" w:rsidRDefault="007B54B4" w:rsidP="002C3557">
            <w:pPr>
              <w:tabs>
                <w:tab w:val="left" w:pos="284"/>
              </w:tabs>
              <w:spacing w:line="360" w:lineRule="auto"/>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Los artículos 148 y 120 de la Ley Estatal y de la Ley General, vigente a la fecha de la solicitud de información, respectivamente, establecen que aun tratándose de datos personales, se podrán proporcionar, incluso sin solicitar el consentimiento de su titular. </w:t>
            </w:r>
          </w:p>
          <w:p w:rsidR="007B54B4" w:rsidRPr="00E13872" w:rsidRDefault="007B54B4" w:rsidP="002C3557">
            <w:pPr>
              <w:tabs>
                <w:tab w:val="left" w:pos="284"/>
              </w:tabs>
              <w:spacing w:line="360" w:lineRule="auto"/>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7B54B4" w:rsidRPr="00E13872" w:rsidRDefault="007B54B4" w:rsidP="002C3557">
            <w:pPr>
              <w:tabs>
                <w:tab w:val="left" w:pos="284"/>
              </w:tabs>
              <w:spacing w:line="360" w:lineRule="auto"/>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Pero si la información que se pretende clasificar como confidencial no se encuentra en los supuestos de los artículos señalados y es posible, se deberá consultar al titular de los datos si permite o no el acceso. De no ser posible, la realización </w:t>
            </w:r>
            <w:r w:rsidRPr="00E13872">
              <w:rPr>
                <w:rFonts w:ascii="Palatino Linotype" w:eastAsia="Palatino Linotype" w:hAnsi="Palatino Linotype" w:cs="Palatino Linotype"/>
                <w:color w:val="000000" w:themeColor="text1"/>
              </w:rPr>
              <w:lastRenderedPageBreak/>
              <w:t>de la consulta, procede, fundando y motivando, la clasificación.</w:t>
            </w:r>
          </w:p>
        </w:tc>
      </w:tr>
    </w:tbl>
    <w:p w:rsidR="007B54B4" w:rsidRPr="00E13872" w:rsidRDefault="007B54B4" w:rsidP="002C355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B54B4" w:rsidRPr="00E13872" w:rsidRDefault="007B54B4" w:rsidP="002C355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En ese sentido, el </w:t>
      </w:r>
      <w:r w:rsidRPr="00E13872">
        <w:rPr>
          <w:rFonts w:ascii="Palatino Linotype" w:eastAsia="Palatino Linotype" w:hAnsi="Palatino Linotype" w:cs="Palatino Linotype"/>
          <w:b/>
          <w:color w:val="000000" w:themeColor="text1"/>
        </w:rPr>
        <w:t>SUJETO OBLIGADO</w:t>
      </w:r>
      <w:r w:rsidRPr="00E13872">
        <w:rPr>
          <w:rFonts w:ascii="Palatino Linotype" w:eastAsia="Palatino Linotype" w:hAnsi="Palatino Linotype" w:cs="Palatino Linotype"/>
          <w:color w:val="000000" w:themeColor="text1"/>
        </w:rPr>
        <w:t xml:space="preserve"> deberá de emitir el Acuerdo del Comité de Transparencia, mediante el cual de manera fundada y motivada establezca las razones que llevaron al Sujeto Obligado a testar, suprimir o eliminar datos de dicho soporte </w:t>
      </w:r>
      <w:r w:rsidRPr="00E13872">
        <w:rPr>
          <w:rFonts w:ascii="Palatino Linotype" w:hAnsi="Palatino Linotype"/>
          <w:color w:val="000000" w:themeColor="text1"/>
        </w:rPr>
        <w:t>documental</w:t>
      </w:r>
      <w:r w:rsidRPr="00E13872">
        <w:rPr>
          <w:rFonts w:ascii="Palatino Linotype" w:eastAsia="Palatino Linotype" w:hAnsi="Palatino Linotype" w:cs="Palatino Linotype"/>
          <w:color w:val="000000" w:themeColor="text1"/>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7B54B4" w:rsidRPr="00E13872" w:rsidRDefault="007B54B4" w:rsidP="002C3557">
      <w:pPr>
        <w:tabs>
          <w:tab w:val="left" w:pos="284"/>
        </w:tabs>
        <w:spacing w:line="360" w:lineRule="auto"/>
        <w:jc w:val="both"/>
        <w:rPr>
          <w:rFonts w:ascii="Palatino Linotype" w:eastAsia="Palatino Linotype" w:hAnsi="Palatino Linotype" w:cs="Palatino Linotype"/>
          <w:color w:val="000000" w:themeColor="text1"/>
        </w:rPr>
      </w:pPr>
    </w:p>
    <w:p w:rsidR="007B54B4" w:rsidRPr="00E13872" w:rsidRDefault="007B54B4" w:rsidP="002C355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Derivado de lo establecido en párrafos anteriores, si el </w:t>
      </w:r>
      <w:r w:rsidRPr="00E13872">
        <w:rPr>
          <w:rFonts w:ascii="Palatino Linotype" w:eastAsia="Palatino Linotype" w:hAnsi="Palatino Linotype" w:cs="Palatino Linotype"/>
          <w:b/>
          <w:color w:val="000000" w:themeColor="text1"/>
        </w:rPr>
        <w:t>SUJETO OBLIGADO</w:t>
      </w:r>
      <w:r w:rsidRPr="00E13872">
        <w:rPr>
          <w:rFonts w:ascii="Palatino Linotype" w:eastAsia="Palatino Linotype" w:hAnsi="Palatino Linotype" w:cs="Palatino Linotype"/>
          <w:color w:val="000000" w:themeColor="text1"/>
        </w:rPr>
        <w:t xml:space="preserve"> incumple con estas formalidades y entrega la información sin proteger los datos personales o testando datos considerados como públicos incumple con lo que estipulan las disposiciones legales establecidas, asimismo que si entrega un documento testado sin el debido acuerdo de clasificación.</w:t>
      </w:r>
    </w:p>
    <w:p w:rsidR="007B54B4" w:rsidRPr="00E13872" w:rsidRDefault="007B54B4" w:rsidP="002C3557">
      <w:pPr>
        <w:rPr>
          <w:rFonts w:ascii="Palatino Linotype" w:eastAsia="Palatino Linotype" w:hAnsi="Palatino Linotype" w:cs="Palatino Linotype"/>
          <w:color w:val="000000" w:themeColor="text1"/>
        </w:rPr>
      </w:pPr>
    </w:p>
    <w:p w:rsidR="007B54B4" w:rsidRDefault="007B54B4" w:rsidP="002C3557">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color w:val="000000" w:themeColor="text1"/>
        </w:rPr>
        <w:t xml:space="preserve">Con fundamento en lo prescrito en los artículos </w:t>
      </w:r>
      <w:r w:rsidR="00D954BA" w:rsidRPr="00E13872">
        <w:rPr>
          <w:rFonts w:ascii="Palatino Linotype" w:eastAsia="Palatino Linotype" w:hAnsi="Palatino Linotype" w:cs="Palatino Linotype"/>
          <w:color w:val="000000" w:themeColor="text1"/>
        </w:rPr>
        <w:t>5</w:t>
      </w:r>
      <w:r w:rsidRPr="00E13872">
        <w:rPr>
          <w:rFonts w:ascii="Palatino Linotype" w:eastAsia="Palatino Linotype" w:hAnsi="Palatino Linotype" w:cs="Palatino Linotype"/>
          <w:color w:val="000000" w:themeColor="text1"/>
        </w:rPr>
        <w:t xml:space="preserve">, </w:t>
      </w:r>
      <w:r w:rsidRPr="00E13872">
        <w:rPr>
          <w:rFonts w:ascii="Palatino Linotype" w:eastAsia="Palatino Linotype" w:hAnsi="Palatino Linotype" w:cs="Palatino Linotype"/>
          <w:color w:val="000000" w:themeColor="text1"/>
          <w:lang w:val="es-MX"/>
        </w:rPr>
        <w:t>párrafos trigésimo séptimo, trigésimo octavo y trigésimo noveno fracciones IV y V, de la Constitución Política del Estado Libre y Soberano de México</w:t>
      </w:r>
      <w:r w:rsidRPr="00E13872">
        <w:rPr>
          <w:rFonts w:ascii="Palatino Linotype" w:eastAsia="Palatino Linotype" w:hAnsi="Palatino Linotype" w:cs="Palatino Linotype"/>
          <w:color w:val="000000" w:themeColor="text1"/>
        </w:rPr>
        <w:t>; 2, fracción II; 29, 36 fracciones I y II; 176, 178, 179, 181 y 185 de la Ley de Transparencia y Acceso a la Información Pública del Estado de México y Municipios, este Pleno:</w:t>
      </w:r>
      <w:r w:rsidR="006A1BDE">
        <w:rPr>
          <w:rFonts w:ascii="Palatino Linotype" w:eastAsia="Palatino Linotype" w:hAnsi="Palatino Linotype" w:cs="Palatino Linotype"/>
          <w:color w:val="000000" w:themeColor="text1"/>
        </w:rPr>
        <w:t>------------------------------------------------------------------------------------------</w:t>
      </w:r>
    </w:p>
    <w:p w:rsidR="006A1BDE" w:rsidRDefault="006A1BDE" w:rsidP="006A1BDE">
      <w:pPr>
        <w:pStyle w:val="Prrafodelista"/>
        <w:rPr>
          <w:rFonts w:ascii="Palatino Linotype" w:eastAsia="Palatino Linotype" w:hAnsi="Palatino Linotype" w:cs="Palatino Linotype"/>
          <w:color w:val="000000" w:themeColor="text1"/>
        </w:rPr>
      </w:pPr>
    </w:p>
    <w:p w:rsidR="006A1BDE" w:rsidRPr="00E13872" w:rsidRDefault="006A1BDE" w:rsidP="006A1BDE">
      <w:pPr>
        <w:spacing w:line="360" w:lineRule="auto"/>
        <w:jc w:val="both"/>
        <w:rPr>
          <w:rFonts w:ascii="Palatino Linotype" w:eastAsia="Palatino Linotype" w:hAnsi="Palatino Linotype" w:cs="Palatino Linotype"/>
          <w:color w:val="000000" w:themeColor="text1"/>
        </w:rPr>
      </w:pPr>
    </w:p>
    <w:p w:rsidR="007B54B4" w:rsidRPr="00E13872" w:rsidRDefault="007B54B4" w:rsidP="002C3557">
      <w:pPr>
        <w:rPr>
          <w:rFonts w:ascii="Palatino Linotype" w:eastAsia="Palatino Linotype" w:hAnsi="Palatino Linotype" w:cs="Palatino Linotype"/>
          <w:color w:val="000000" w:themeColor="text1"/>
        </w:rPr>
      </w:pPr>
    </w:p>
    <w:p w:rsidR="007B54B4" w:rsidRPr="00E13872" w:rsidRDefault="007B54B4" w:rsidP="002C3557">
      <w:pPr>
        <w:spacing w:line="360" w:lineRule="auto"/>
        <w:jc w:val="center"/>
        <w:rPr>
          <w:rFonts w:ascii="Palatino Linotype" w:eastAsia="Palatino Linotype" w:hAnsi="Palatino Linotype" w:cs="Palatino Linotype"/>
          <w:b/>
          <w:color w:val="000000" w:themeColor="text1"/>
        </w:rPr>
      </w:pPr>
      <w:r w:rsidRPr="00E13872">
        <w:rPr>
          <w:rFonts w:ascii="Palatino Linotype" w:eastAsia="Palatino Linotype" w:hAnsi="Palatino Linotype" w:cs="Palatino Linotype"/>
          <w:b/>
          <w:color w:val="000000" w:themeColor="text1"/>
        </w:rPr>
        <w:t>R E S U E L V E</w:t>
      </w:r>
    </w:p>
    <w:p w:rsidR="007B54B4" w:rsidRPr="00E13872" w:rsidRDefault="007B54B4" w:rsidP="002C3557">
      <w:pPr>
        <w:spacing w:line="360" w:lineRule="auto"/>
        <w:jc w:val="center"/>
        <w:rPr>
          <w:rFonts w:ascii="Palatino Linotype" w:eastAsia="Palatino Linotype" w:hAnsi="Palatino Linotype" w:cs="Palatino Linotype"/>
          <w:b/>
          <w:color w:val="000000" w:themeColor="text1"/>
        </w:rPr>
      </w:pPr>
    </w:p>
    <w:p w:rsidR="007B54B4" w:rsidRPr="00E13872" w:rsidRDefault="007B54B4" w:rsidP="002C3557">
      <w:pPr>
        <w:spacing w:line="360" w:lineRule="auto"/>
        <w:jc w:val="both"/>
        <w:rPr>
          <w:rFonts w:ascii="Palatino Linotype" w:eastAsia="Palatino Linotype" w:hAnsi="Palatino Linotype" w:cs="Palatino Linotype"/>
          <w:b/>
          <w:color w:val="000000" w:themeColor="text1"/>
        </w:rPr>
      </w:pPr>
      <w:r w:rsidRPr="00E13872">
        <w:rPr>
          <w:rFonts w:ascii="Palatino Linotype" w:eastAsia="Palatino Linotype" w:hAnsi="Palatino Linotype" w:cs="Palatino Linotype"/>
          <w:b/>
          <w:color w:val="000000" w:themeColor="text1"/>
        </w:rPr>
        <w:t>PRIMERO</w:t>
      </w:r>
      <w:r w:rsidRPr="00E13872">
        <w:rPr>
          <w:rFonts w:ascii="Palatino Linotype" w:eastAsia="Palatino Linotype" w:hAnsi="Palatino Linotype" w:cs="Palatino Linotype"/>
          <w:color w:val="000000" w:themeColor="text1"/>
        </w:rPr>
        <w:t xml:space="preserve">. Resultan </w:t>
      </w:r>
      <w:r w:rsidRPr="00E13872">
        <w:rPr>
          <w:rFonts w:ascii="Palatino Linotype" w:eastAsia="Palatino Linotype" w:hAnsi="Palatino Linotype" w:cs="Palatino Linotype"/>
          <w:b/>
          <w:color w:val="000000" w:themeColor="text1"/>
        </w:rPr>
        <w:t>FUNDADAS</w:t>
      </w:r>
      <w:r w:rsidRPr="00E13872">
        <w:rPr>
          <w:rFonts w:ascii="Palatino Linotype" w:eastAsia="Palatino Linotype" w:hAnsi="Palatino Linotype" w:cs="Palatino Linotype"/>
          <w:color w:val="000000" w:themeColor="text1"/>
        </w:rPr>
        <w:t xml:space="preserve"> las razones o motivos de inconformidad hechos valer en </w:t>
      </w:r>
      <w:r w:rsidR="00860B7E" w:rsidRPr="00E13872">
        <w:rPr>
          <w:rFonts w:ascii="Palatino Linotype" w:eastAsia="Palatino Linotype" w:hAnsi="Palatino Linotype" w:cs="Palatino Linotype"/>
          <w:color w:val="000000" w:themeColor="text1"/>
        </w:rPr>
        <w:t>el</w:t>
      </w:r>
      <w:r w:rsidRPr="00E13872">
        <w:rPr>
          <w:rFonts w:ascii="Palatino Linotype" w:eastAsia="Palatino Linotype" w:hAnsi="Palatino Linotype" w:cs="Palatino Linotype"/>
          <w:color w:val="000000" w:themeColor="text1"/>
        </w:rPr>
        <w:t xml:space="preserve"> </w:t>
      </w:r>
      <w:r w:rsidR="00860B7E" w:rsidRPr="00E13872">
        <w:rPr>
          <w:rFonts w:ascii="Palatino Linotype" w:eastAsia="Palatino Linotype" w:hAnsi="Palatino Linotype" w:cs="Palatino Linotype"/>
          <w:color w:val="000000" w:themeColor="text1"/>
        </w:rPr>
        <w:t xml:space="preserve">Recurso </w:t>
      </w:r>
      <w:r w:rsidRPr="00E13872">
        <w:rPr>
          <w:rFonts w:ascii="Palatino Linotype" w:eastAsia="Palatino Linotype" w:hAnsi="Palatino Linotype" w:cs="Palatino Linotype"/>
          <w:color w:val="000000" w:themeColor="text1"/>
        </w:rPr>
        <w:t xml:space="preserve">de </w:t>
      </w:r>
      <w:r w:rsidR="00860B7E" w:rsidRPr="00E13872">
        <w:rPr>
          <w:rFonts w:ascii="Palatino Linotype" w:eastAsia="Palatino Linotype" w:hAnsi="Palatino Linotype" w:cs="Palatino Linotype"/>
          <w:color w:val="000000" w:themeColor="text1"/>
        </w:rPr>
        <w:t xml:space="preserve">Revisión </w:t>
      </w:r>
      <w:r w:rsidR="00860B7E" w:rsidRPr="00E13872">
        <w:rPr>
          <w:rFonts w:ascii="Palatino Linotype" w:eastAsia="Palatino Linotype" w:hAnsi="Palatino Linotype" w:cs="Palatino Linotype"/>
          <w:b/>
          <w:color w:val="000000" w:themeColor="text1"/>
        </w:rPr>
        <w:t>03098</w:t>
      </w:r>
      <w:r w:rsidRPr="00E13872">
        <w:rPr>
          <w:rFonts w:ascii="Palatino Linotype" w:eastAsia="Palatino Linotype" w:hAnsi="Palatino Linotype" w:cs="Palatino Linotype"/>
          <w:b/>
          <w:color w:val="000000" w:themeColor="text1"/>
        </w:rPr>
        <w:t>/INFOEM/IP/RR/2025</w:t>
      </w:r>
      <w:r w:rsidRPr="00E13872">
        <w:rPr>
          <w:rFonts w:ascii="Palatino Linotype" w:eastAsia="Palatino Linotype" w:hAnsi="Palatino Linotype" w:cs="Palatino Linotype"/>
          <w:color w:val="000000" w:themeColor="text1"/>
        </w:rPr>
        <w:t>,</w:t>
      </w:r>
      <w:r w:rsidRPr="00E13872">
        <w:rPr>
          <w:rFonts w:ascii="Palatino Linotype" w:eastAsia="Palatino Linotype" w:hAnsi="Palatino Linotype" w:cs="Palatino Linotype"/>
          <w:b/>
          <w:color w:val="000000" w:themeColor="text1"/>
        </w:rPr>
        <w:t xml:space="preserve"> </w:t>
      </w:r>
      <w:r w:rsidRPr="00E13872">
        <w:rPr>
          <w:rFonts w:ascii="Palatino Linotype" w:eastAsia="Palatino Linotype" w:hAnsi="Palatino Linotype" w:cs="Palatino Linotype"/>
          <w:color w:val="000000" w:themeColor="text1"/>
        </w:rPr>
        <w:t>en términos de</w:t>
      </w:r>
      <w:r w:rsidR="00860B7E" w:rsidRPr="00E13872">
        <w:rPr>
          <w:rFonts w:ascii="Palatino Linotype" w:eastAsia="Palatino Linotype" w:hAnsi="Palatino Linotype" w:cs="Palatino Linotype"/>
          <w:color w:val="000000" w:themeColor="text1"/>
        </w:rPr>
        <w:t xml:space="preserve">l </w:t>
      </w:r>
      <w:r w:rsidRPr="00E13872">
        <w:rPr>
          <w:rFonts w:ascii="Palatino Linotype" w:eastAsia="Palatino Linotype" w:hAnsi="Palatino Linotype" w:cs="Palatino Linotype"/>
          <w:b/>
          <w:color w:val="000000" w:themeColor="text1"/>
        </w:rPr>
        <w:t>C</w:t>
      </w:r>
      <w:r w:rsidR="00860B7E" w:rsidRPr="00E13872">
        <w:rPr>
          <w:rFonts w:ascii="Palatino Linotype" w:eastAsia="Palatino Linotype" w:hAnsi="Palatino Linotype" w:cs="Palatino Linotype"/>
          <w:b/>
          <w:color w:val="000000" w:themeColor="text1"/>
        </w:rPr>
        <w:t xml:space="preserve">onsiderando </w:t>
      </w:r>
      <w:r w:rsidRPr="00E13872">
        <w:rPr>
          <w:rFonts w:ascii="Palatino Linotype" w:eastAsia="Palatino Linotype" w:hAnsi="Palatino Linotype" w:cs="Palatino Linotype"/>
          <w:b/>
          <w:color w:val="000000" w:themeColor="text1"/>
        </w:rPr>
        <w:t xml:space="preserve"> CUARTO </w:t>
      </w:r>
      <w:r w:rsidRPr="00E13872">
        <w:rPr>
          <w:rFonts w:ascii="Palatino Linotype" w:eastAsia="Palatino Linotype" w:hAnsi="Palatino Linotype" w:cs="Palatino Linotype"/>
          <w:color w:val="000000" w:themeColor="text1"/>
        </w:rPr>
        <w:t>de la presente resolución</w:t>
      </w:r>
      <w:r w:rsidRPr="00E13872">
        <w:rPr>
          <w:rFonts w:ascii="Palatino Linotype" w:eastAsia="Palatino Linotype" w:hAnsi="Palatino Linotype" w:cs="Palatino Linotype"/>
          <w:b/>
          <w:color w:val="000000" w:themeColor="text1"/>
        </w:rPr>
        <w:t>.</w:t>
      </w:r>
    </w:p>
    <w:p w:rsidR="007B54B4" w:rsidRPr="00E13872" w:rsidRDefault="007B54B4" w:rsidP="002C3557">
      <w:pPr>
        <w:spacing w:line="360" w:lineRule="auto"/>
        <w:jc w:val="both"/>
        <w:rPr>
          <w:rFonts w:ascii="Palatino Linotype" w:eastAsia="Palatino Linotype" w:hAnsi="Palatino Linotype" w:cs="Palatino Linotype"/>
          <w:b/>
          <w:color w:val="000000" w:themeColor="text1"/>
        </w:rPr>
      </w:pPr>
    </w:p>
    <w:p w:rsidR="007B54B4" w:rsidRPr="00E13872" w:rsidRDefault="007B54B4" w:rsidP="002C3557">
      <w:pPr>
        <w:spacing w:line="360" w:lineRule="auto"/>
        <w:jc w:val="both"/>
        <w:rPr>
          <w:rFonts w:ascii="Palatino Linotype" w:eastAsia="Palatino Linotype" w:hAnsi="Palatino Linotype" w:cs="Palatino Linotype"/>
          <w:color w:val="000000" w:themeColor="text1"/>
        </w:rPr>
      </w:pPr>
      <w:bookmarkStart w:id="7" w:name="_heading=h.1ksv4uv" w:colFirst="0" w:colLast="0"/>
      <w:bookmarkEnd w:id="7"/>
      <w:r w:rsidRPr="00E13872">
        <w:rPr>
          <w:rFonts w:ascii="Palatino Linotype" w:eastAsia="Palatino Linotype" w:hAnsi="Palatino Linotype" w:cs="Palatino Linotype"/>
          <w:b/>
          <w:color w:val="000000" w:themeColor="text1"/>
        </w:rPr>
        <w:t>SEGUNDO.</w:t>
      </w:r>
      <w:r w:rsidRPr="00E13872">
        <w:rPr>
          <w:rFonts w:ascii="Palatino Linotype" w:eastAsia="Palatino Linotype" w:hAnsi="Palatino Linotype" w:cs="Palatino Linotype"/>
          <w:color w:val="000000" w:themeColor="text1"/>
        </w:rPr>
        <w:t xml:space="preserve"> Se </w:t>
      </w:r>
      <w:r w:rsidR="00E41F6C" w:rsidRPr="00E13872">
        <w:rPr>
          <w:rFonts w:ascii="Palatino Linotype" w:eastAsia="Palatino Linotype" w:hAnsi="Palatino Linotype" w:cs="Palatino Linotype"/>
          <w:b/>
          <w:color w:val="000000" w:themeColor="text1"/>
        </w:rPr>
        <w:t>REVOCA</w:t>
      </w:r>
      <w:r w:rsidRPr="00E13872">
        <w:rPr>
          <w:rFonts w:ascii="Palatino Linotype" w:eastAsia="Palatino Linotype" w:hAnsi="Palatino Linotype" w:cs="Palatino Linotype"/>
          <w:b/>
          <w:color w:val="000000" w:themeColor="text1"/>
        </w:rPr>
        <w:t xml:space="preserve"> </w:t>
      </w:r>
      <w:r w:rsidR="00E41F6C" w:rsidRPr="00E13872">
        <w:rPr>
          <w:rFonts w:ascii="Palatino Linotype" w:eastAsia="Palatino Linotype" w:hAnsi="Palatino Linotype" w:cs="Palatino Linotype"/>
          <w:color w:val="000000" w:themeColor="text1"/>
        </w:rPr>
        <w:t>la respuesta emitida</w:t>
      </w:r>
      <w:r w:rsidRPr="00E13872">
        <w:rPr>
          <w:rFonts w:ascii="Palatino Linotype" w:eastAsia="Palatino Linotype" w:hAnsi="Palatino Linotype" w:cs="Palatino Linotype"/>
          <w:color w:val="000000" w:themeColor="text1"/>
        </w:rPr>
        <w:t xml:space="preserve"> por el </w:t>
      </w:r>
      <w:r w:rsidR="00E41F6C" w:rsidRPr="00E13872">
        <w:rPr>
          <w:rFonts w:ascii="Palatino Linotype" w:eastAsia="Palatino Linotype" w:hAnsi="Palatino Linotype" w:cs="Palatino Linotype"/>
          <w:b/>
          <w:color w:val="000000" w:themeColor="text1"/>
        </w:rPr>
        <w:t>Ayuntamiento de Atlacomulco</w:t>
      </w:r>
      <w:r w:rsidR="00E41F6C" w:rsidRPr="00E13872">
        <w:rPr>
          <w:rFonts w:ascii="Palatino Linotype" w:eastAsia="Palatino Linotype" w:hAnsi="Palatino Linotype" w:cs="Palatino Linotype"/>
          <w:color w:val="000000" w:themeColor="text1"/>
        </w:rPr>
        <w:t xml:space="preserve"> </w:t>
      </w:r>
      <w:r w:rsidRPr="00E13872">
        <w:rPr>
          <w:rFonts w:ascii="Palatino Linotype" w:eastAsia="Palatino Linotype" w:hAnsi="Palatino Linotype" w:cs="Palatino Linotype"/>
          <w:color w:val="000000" w:themeColor="text1"/>
        </w:rPr>
        <w:t xml:space="preserve">y se </w:t>
      </w:r>
      <w:r w:rsidRPr="00E13872">
        <w:rPr>
          <w:rFonts w:ascii="Palatino Linotype" w:eastAsia="Palatino Linotype" w:hAnsi="Palatino Linotype" w:cs="Palatino Linotype"/>
          <w:b/>
          <w:color w:val="000000" w:themeColor="text1"/>
        </w:rPr>
        <w:t>ORDENA</w:t>
      </w:r>
      <w:r w:rsidRPr="00E13872">
        <w:rPr>
          <w:rFonts w:ascii="Palatino Linotype" w:eastAsia="Palatino Linotype" w:hAnsi="Palatino Linotype" w:cs="Palatino Linotype"/>
          <w:color w:val="000000" w:themeColor="text1"/>
        </w:rPr>
        <w:t xml:space="preserve"> entregar, vía Sistema de Acceso a la Información Mexiquense </w:t>
      </w:r>
      <w:r w:rsidRPr="00E13872">
        <w:rPr>
          <w:rFonts w:ascii="Palatino Linotype" w:eastAsia="Palatino Linotype" w:hAnsi="Palatino Linotype" w:cs="Palatino Linotype"/>
          <w:b/>
          <w:color w:val="000000" w:themeColor="text1"/>
        </w:rPr>
        <w:t>(SAIMEX),</w:t>
      </w:r>
      <w:r w:rsidRPr="00E13872">
        <w:rPr>
          <w:rFonts w:ascii="Palatino Linotype" w:eastAsia="Palatino Linotype" w:hAnsi="Palatino Linotype" w:cs="Palatino Linotype"/>
          <w:color w:val="000000" w:themeColor="text1"/>
        </w:rPr>
        <w:t xml:space="preserve"> </w:t>
      </w:r>
      <w:r w:rsidR="00E41F6C" w:rsidRPr="00E13872">
        <w:rPr>
          <w:rFonts w:ascii="Palatino Linotype" w:eastAsia="Palatino Linotype" w:hAnsi="Palatino Linotype" w:cs="Palatino Linotype"/>
          <w:color w:val="000000" w:themeColor="text1"/>
        </w:rPr>
        <w:t xml:space="preserve">previa búsqueda exhaustiva y razonable, </w:t>
      </w:r>
      <w:r w:rsidRPr="00E13872">
        <w:rPr>
          <w:rFonts w:ascii="Palatino Linotype" w:eastAsia="Palatino Linotype" w:hAnsi="Palatino Linotype" w:cs="Palatino Linotype"/>
          <w:color w:val="000000" w:themeColor="text1"/>
        </w:rPr>
        <w:t>de ser el caso en versión pública, la siguiente información:</w:t>
      </w:r>
    </w:p>
    <w:p w:rsidR="007B54B4" w:rsidRPr="00E13872" w:rsidRDefault="007B54B4" w:rsidP="002C3557">
      <w:pPr>
        <w:spacing w:line="360" w:lineRule="auto"/>
        <w:jc w:val="both"/>
        <w:rPr>
          <w:rFonts w:ascii="Palatino Linotype" w:eastAsia="Palatino Linotype" w:hAnsi="Palatino Linotype" w:cs="Palatino Linotype"/>
          <w:color w:val="000000" w:themeColor="text1"/>
        </w:rPr>
      </w:pPr>
    </w:p>
    <w:p w:rsidR="00E41F6C" w:rsidRPr="00E13872" w:rsidRDefault="00A71DF3" w:rsidP="006A1BDE">
      <w:pPr>
        <w:pStyle w:val="Prrafodelista"/>
        <w:numPr>
          <w:ilvl w:val="0"/>
          <w:numId w:val="9"/>
        </w:numPr>
        <w:ind w:left="0" w:firstLine="0"/>
        <w:rPr>
          <w:rFonts w:ascii="Palatino Linotype" w:eastAsia="Palatino Linotype" w:hAnsi="Palatino Linotype" w:cs="Palatino Linotype"/>
          <w:b/>
          <w:color w:val="000000" w:themeColor="text1"/>
        </w:rPr>
      </w:pPr>
      <w:r w:rsidRPr="00E13872">
        <w:rPr>
          <w:rFonts w:ascii="Palatino Linotype" w:eastAsia="Palatino Linotype" w:hAnsi="Palatino Linotype" w:cs="Palatino Linotype"/>
          <w:b/>
          <w:color w:val="000000" w:themeColor="text1"/>
        </w:rPr>
        <w:t xml:space="preserve">Los </w:t>
      </w:r>
      <w:r w:rsidR="00E41F6C" w:rsidRPr="00E13872">
        <w:rPr>
          <w:rFonts w:ascii="Palatino Linotype" w:eastAsia="Palatino Linotype" w:hAnsi="Palatino Linotype" w:cs="Palatino Linotype"/>
          <w:b/>
          <w:color w:val="000000" w:themeColor="text1"/>
        </w:rPr>
        <w:t>comprobantes de los pagos realizados a las requisiciones remitidas en informe justificado.</w:t>
      </w:r>
    </w:p>
    <w:p w:rsidR="007B54B4" w:rsidRPr="00E13872" w:rsidRDefault="007B54B4" w:rsidP="002C3557">
      <w:pPr>
        <w:pStyle w:val="Prrafodelista"/>
        <w:spacing w:line="360" w:lineRule="auto"/>
        <w:ind w:left="0"/>
        <w:jc w:val="both"/>
        <w:rPr>
          <w:rFonts w:ascii="Palatino Linotype" w:eastAsia="Palatino Linotype" w:hAnsi="Palatino Linotype" w:cs="Palatino Linotype"/>
          <w:b/>
          <w:color w:val="000000" w:themeColor="text1"/>
        </w:rPr>
      </w:pPr>
    </w:p>
    <w:p w:rsidR="007B54B4" w:rsidRPr="00E13872" w:rsidRDefault="007B54B4" w:rsidP="002C3557">
      <w:pPr>
        <w:tabs>
          <w:tab w:val="left" w:pos="8080"/>
        </w:tabs>
        <w:spacing w:line="360" w:lineRule="auto"/>
        <w:jc w:val="both"/>
        <w:rPr>
          <w:rFonts w:ascii="Palatino Linotype" w:eastAsia="Calibri" w:hAnsi="Palatino Linotype" w:cs="Arial"/>
          <w:b/>
          <w:color w:val="000000" w:themeColor="text1"/>
        </w:rPr>
      </w:pPr>
      <w:r w:rsidRPr="00E13872">
        <w:rPr>
          <w:rFonts w:ascii="Palatino Linotype" w:eastAsia="Calibri" w:hAnsi="Palatino Linotype" w:cs="Arial"/>
          <w:color w:val="000000" w:themeColor="text1"/>
        </w:rPr>
        <w:t xml:space="preserve">Para efectos de lo anterior; en su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E13872">
        <w:rPr>
          <w:rFonts w:ascii="Palatino Linotype" w:eastAsia="Calibri" w:hAnsi="Palatino Linotype" w:cs="Arial"/>
          <w:b/>
          <w:color w:val="000000" w:themeColor="text1"/>
        </w:rPr>
        <w:t>RECURRENTE.</w:t>
      </w:r>
    </w:p>
    <w:p w:rsidR="00D2445C" w:rsidRPr="00E13872" w:rsidRDefault="00D2445C" w:rsidP="002C3557">
      <w:pPr>
        <w:spacing w:line="360" w:lineRule="auto"/>
        <w:jc w:val="both"/>
        <w:rPr>
          <w:rFonts w:ascii="Palatino Linotype" w:eastAsia="Palatino Linotype" w:hAnsi="Palatino Linotype" w:cs="Palatino Linotype"/>
          <w:b/>
          <w:color w:val="000000" w:themeColor="text1"/>
        </w:rPr>
      </w:pPr>
    </w:p>
    <w:p w:rsidR="002B7A1B" w:rsidRPr="00E13872" w:rsidRDefault="006E679E" w:rsidP="002C3557">
      <w:pPr>
        <w:spacing w:line="360" w:lineRule="auto"/>
        <w:jc w:val="both"/>
        <w:rPr>
          <w:rFonts w:ascii="Palatino Linotype" w:eastAsia="Palatino Linotype" w:hAnsi="Palatino Linotype" w:cs="Palatino Linotype"/>
          <w:color w:val="000000" w:themeColor="text1"/>
        </w:rPr>
      </w:pPr>
      <w:r w:rsidRPr="00E13872">
        <w:rPr>
          <w:rFonts w:ascii="Palatino Linotype" w:eastAsia="Palatino Linotype" w:hAnsi="Palatino Linotype" w:cs="Palatino Linotype"/>
          <w:b/>
          <w:color w:val="000000" w:themeColor="text1"/>
        </w:rPr>
        <w:t>TERCERO</w:t>
      </w:r>
      <w:r w:rsidR="002B7A1B" w:rsidRPr="00E13872">
        <w:rPr>
          <w:rFonts w:ascii="Palatino Linotype" w:eastAsia="Palatino Linotype" w:hAnsi="Palatino Linotype" w:cs="Palatino Linotype"/>
          <w:b/>
          <w:color w:val="000000" w:themeColor="text1"/>
        </w:rPr>
        <w:t>. NOTIFÍQUESE</w:t>
      </w:r>
      <w:r w:rsidR="002B7A1B" w:rsidRPr="00E13872">
        <w:rPr>
          <w:rFonts w:ascii="Palatino Linotype" w:eastAsia="Palatino Linotype" w:hAnsi="Palatino Linotype" w:cs="Palatino Linotype"/>
          <w:color w:val="000000" w:themeColor="text1"/>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002B7A1B" w:rsidRPr="00E13872">
        <w:rPr>
          <w:rFonts w:ascii="Palatino Linotype" w:eastAsia="Palatino Linotype" w:hAnsi="Palatino Linotype" w:cs="Palatino Linotype"/>
          <w:b/>
          <w:color w:val="000000" w:themeColor="text1"/>
        </w:rPr>
        <w:t xml:space="preserve">dé cumplimiento a lo ordenado dentro del plazo </w:t>
      </w:r>
      <w:r w:rsidR="002B7A1B" w:rsidRPr="00E13872">
        <w:rPr>
          <w:rFonts w:ascii="Palatino Linotype" w:eastAsia="Palatino Linotype" w:hAnsi="Palatino Linotype" w:cs="Palatino Linotype"/>
          <w:color w:val="000000" w:themeColor="text1"/>
        </w:rPr>
        <w:t>de</w:t>
      </w:r>
      <w:r w:rsidR="002B7A1B" w:rsidRPr="00E13872">
        <w:rPr>
          <w:rFonts w:ascii="Palatino Linotype" w:eastAsia="Palatino Linotype" w:hAnsi="Palatino Linotype" w:cs="Palatino Linotype"/>
          <w:b/>
          <w:color w:val="000000" w:themeColor="text1"/>
        </w:rPr>
        <w:t xml:space="preserve"> diez </w:t>
      </w:r>
      <w:r w:rsidR="002B7A1B" w:rsidRPr="00E13872">
        <w:rPr>
          <w:rFonts w:ascii="Palatino Linotype" w:eastAsia="Palatino Linotype" w:hAnsi="Palatino Linotype" w:cs="Palatino Linotype"/>
          <w:b/>
          <w:color w:val="000000" w:themeColor="text1"/>
        </w:rPr>
        <w:lastRenderedPageBreak/>
        <w:t xml:space="preserve">días hábiles, </w:t>
      </w:r>
      <w:r w:rsidR="002B7A1B" w:rsidRPr="00E13872">
        <w:rPr>
          <w:rFonts w:ascii="Palatino Linotype" w:eastAsia="Palatino Linotype" w:hAnsi="Palatino Linotype" w:cs="Palatino Linotype"/>
          <w:color w:val="000000" w:themeColor="text1"/>
        </w:rPr>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2B7A1B" w:rsidRPr="00E13872" w:rsidRDefault="002B7A1B" w:rsidP="002C3557">
      <w:pPr>
        <w:spacing w:line="360" w:lineRule="auto"/>
        <w:jc w:val="both"/>
        <w:rPr>
          <w:rFonts w:ascii="Palatino Linotype" w:eastAsia="Palatino Linotype" w:hAnsi="Palatino Linotype" w:cs="Palatino Linotype"/>
          <w:color w:val="000000" w:themeColor="text1"/>
        </w:rPr>
      </w:pPr>
    </w:p>
    <w:p w:rsidR="002B7A1B" w:rsidRPr="00E13872" w:rsidRDefault="006E679E" w:rsidP="002C3557">
      <w:pPr>
        <w:spacing w:line="360" w:lineRule="auto"/>
        <w:jc w:val="both"/>
        <w:rPr>
          <w:rFonts w:ascii="Palatino Linotype" w:eastAsia="Palatino Linotype" w:hAnsi="Palatino Linotype" w:cs="Palatino Linotype"/>
          <w:color w:val="000000" w:themeColor="text1"/>
        </w:rPr>
      </w:pPr>
      <w:bookmarkStart w:id="8" w:name="_heading=h.3rdcrjn" w:colFirst="0" w:colLast="0"/>
      <w:bookmarkEnd w:id="8"/>
      <w:r w:rsidRPr="00E13872">
        <w:rPr>
          <w:rFonts w:ascii="Palatino Linotype" w:eastAsia="Palatino Linotype" w:hAnsi="Palatino Linotype" w:cs="Palatino Linotype"/>
          <w:b/>
          <w:color w:val="000000" w:themeColor="text1"/>
        </w:rPr>
        <w:t>CUARTO</w:t>
      </w:r>
      <w:r w:rsidR="002B7A1B" w:rsidRPr="00E13872">
        <w:rPr>
          <w:rFonts w:ascii="Palatino Linotype" w:eastAsia="Palatino Linotype" w:hAnsi="Palatino Linotype" w:cs="Palatino Linotype"/>
          <w:b/>
          <w:color w:val="000000" w:themeColor="text1"/>
        </w:rPr>
        <w:t xml:space="preserve">. </w:t>
      </w:r>
      <w:r w:rsidR="002B7A1B" w:rsidRPr="00E13872">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002B7A1B" w:rsidRPr="00E13872">
        <w:rPr>
          <w:rFonts w:ascii="Palatino Linotype" w:eastAsia="Palatino Linotype" w:hAnsi="Palatino Linotype" w:cs="Palatino Linotype"/>
          <w:b/>
          <w:color w:val="000000" w:themeColor="text1"/>
        </w:rPr>
        <w:t>SUJETO OBLIGADO</w:t>
      </w:r>
      <w:r w:rsidR="002B7A1B" w:rsidRPr="00E13872">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177B12" w:rsidRPr="00E13872" w:rsidRDefault="00177B12" w:rsidP="002C3557">
      <w:pPr>
        <w:spacing w:line="360" w:lineRule="auto"/>
        <w:jc w:val="both"/>
        <w:rPr>
          <w:rFonts w:ascii="Palatino Linotype" w:eastAsiaTheme="minorHAnsi" w:hAnsi="Palatino Linotype" w:cs="Arial"/>
          <w:color w:val="000000" w:themeColor="text1"/>
          <w:lang w:eastAsia="en-US"/>
        </w:rPr>
      </w:pPr>
    </w:p>
    <w:p w:rsidR="002C3557" w:rsidRPr="00E13872" w:rsidRDefault="006E679E" w:rsidP="002C3557">
      <w:pPr>
        <w:spacing w:line="360" w:lineRule="auto"/>
        <w:contextualSpacing/>
        <w:jc w:val="both"/>
        <w:rPr>
          <w:rFonts w:ascii="Palatino Linotype" w:hAnsi="Palatino Linotype" w:cs="Arial"/>
          <w:color w:val="000000" w:themeColor="text1"/>
          <w:lang w:eastAsia="en-US"/>
        </w:rPr>
      </w:pPr>
      <w:r w:rsidRPr="00E13872">
        <w:rPr>
          <w:rFonts w:ascii="Palatino Linotype" w:hAnsi="Palatino Linotype" w:cs="Arial"/>
          <w:b/>
          <w:bCs/>
          <w:color w:val="000000" w:themeColor="text1"/>
          <w:lang w:eastAsia="en-US"/>
        </w:rPr>
        <w:t>QUINTO</w:t>
      </w:r>
      <w:r w:rsidR="00177B12" w:rsidRPr="00E13872">
        <w:rPr>
          <w:rFonts w:ascii="Palatino Linotype" w:hAnsi="Palatino Linotype" w:cs="Arial"/>
          <w:b/>
          <w:bCs/>
          <w:color w:val="000000" w:themeColor="text1"/>
          <w:lang w:eastAsia="en-US"/>
        </w:rPr>
        <w:t>. NOTIFÍQUESE</w:t>
      </w:r>
      <w:r w:rsidR="00177B12" w:rsidRPr="00E13872">
        <w:rPr>
          <w:rFonts w:ascii="Palatino Linotype" w:hAnsi="Palatino Linotype" w:cs="Arial"/>
          <w:color w:val="000000" w:themeColor="text1"/>
          <w:lang w:eastAsia="en-US"/>
        </w:rPr>
        <w:t xml:space="preserve"> la presente resolución a la parte </w:t>
      </w:r>
      <w:r w:rsidR="00177B12" w:rsidRPr="00E13872">
        <w:rPr>
          <w:rFonts w:ascii="Palatino Linotype" w:hAnsi="Palatino Linotype" w:cs="Arial"/>
          <w:b/>
          <w:bCs/>
          <w:color w:val="000000" w:themeColor="text1"/>
          <w:lang w:eastAsia="en-US"/>
        </w:rPr>
        <w:t>Recurrente</w:t>
      </w:r>
      <w:r w:rsidR="00177B12" w:rsidRPr="00E13872">
        <w:rPr>
          <w:rFonts w:ascii="Palatino Linotype" w:eastAsia="Calibri" w:hAnsi="Palatino Linotype"/>
          <w:color w:val="000000" w:themeColor="text1"/>
          <w:lang w:eastAsia="es-MX"/>
        </w:rPr>
        <w:t xml:space="preserve"> </w:t>
      </w:r>
      <w:r w:rsidR="00177B12" w:rsidRPr="00E13872">
        <w:rPr>
          <w:rFonts w:ascii="Palatino Linotype" w:hAnsi="Palatino Linotype" w:cs="Arial"/>
          <w:color w:val="000000" w:themeColor="text1"/>
          <w:lang w:eastAsia="en-US"/>
        </w:rPr>
        <w:t xml:space="preserve">a través del Sistema de Acceso a la Información Mexiquense </w:t>
      </w:r>
      <w:r w:rsidR="00177B12" w:rsidRPr="00E13872">
        <w:rPr>
          <w:rFonts w:ascii="Palatino Linotype" w:hAnsi="Palatino Linotype" w:cs="Arial"/>
          <w:b/>
          <w:bCs/>
          <w:color w:val="000000" w:themeColor="text1"/>
          <w:lang w:eastAsia="en-US"/>
        </w:rPr>
        <w:t>(SAIMEX)</w:t>
      </w:r>
      <w:r w:rsidR="00177B12" w:rsidRPr="00E13872">
        <w:rPr>
          <w:rFonts w:ascii="Palatino Linotype" w:hAnsi="Palatino Linotype" w:cs="Arial"/>
          <w:color w:val="000000" w:themeColor="text1"/>
          <w:lang w:eastAsia="en-US"/>
        </w:rPr>
        <w:t xml:space="preserve"> </w:t>
      </w:r>
    </w:p>
    <w:p w:rsidR="002C3557" w:rsidRPr="00E13872" w:rsidRDefault="002C3557" w:rsidP="002C3557">
      <w:pPr>
        <w:spacing w:line="360" w:lineRule="auto"/>
        <w:contextualSpacing/>
        <w:jc w:val="both"/>
        <w:rPr>
          <w:rFonts w:ascii="Palatino Linotype" w:hAnsi="Palatino Linotype" w:cs="Arial"/>
          <w:color w:val="000000" w:themeColor="text1"/>
          <w:lang w:eastAsia="en-US"/>
        </w:rPr>
      </w:pPr>
    </w:p>
    <w:p w:rsidR="00177B12" w:rsidRPr="00E13872" w:rsidRDefault="002C3557" w:rsidP="002C3557">
      <w:pPr>
        <w:spacing w:line="360" w:lineRule="auto"/>
        <w:contextualSpacing/>
        <w:jc w:val="both"/>
        <w:rPr>
          <w:rFonts w:ascii="Palatino Linotype" w:hAnsi="Palatino Linotype" w:cs="Arial"/>
          <w:color w:val="000000" w:themeColor="text1"/>
          <w:lang w:eastAsia="en-US"/>
        </w:rPr>
      </w:pPr>
      <w:r w:rsidRPr="00E13872">
        <w:rPr>
          <w:rFonts w:ascii="Palatino Linotype" w:hAnsi="Palatino Linotype" w:cs="Arial"/>
          <w:b/>
          <w:color w:val="000000" w:themeColor="text1"/>
          <w:lang w:eastAsia="en-US"/>
        </w:rPr>
        <w:t xml:space="preserve">SEXTO. </w:t>
      </w:r>
      <w:r w:rsidRPr="00E13872">
        <w:rPr>
          <w:rFonts w:ascii="Palatino Linotype" w:hAnsi="Palatino Linotype" w:cs="Arial"/>
          <w:color w:val="000000" w:themeColor="text1"/>
          <w:lang w:eastAsia="en-US"/>
        </w:rPr>
        <w:t>H</w:t>
      </w:r>
      <w:r w:rsidR="00177B12" w:rsidRPr="00E13872">
        <w:rPr>
          <w:rFonts w:ascii="Palatino Linotype" w:hAnsi="Palatino Linotype" w:cs="Arial"/>
          <w:color w:val="000000" w:themeColor="text1"/>
          <w:lang w:eastAsia="en-US"/>
        </w:rPr>
        <w:t>ágase</w:t>
      </w:r>
      <w:r w:rsidRPr="00E13872">
        <w:rPr>
          <w:rFonts w:ascii="Palatino Linotype" w:hAnsi="Palatino Linotype" w:cs="Arial"/>
          <w:color w:val="000000" w:themeColor="text1"/>
          <w:lang w:eastAsia="en-US"/>
        </w:rPr>
        <w:t xml:space="preserve"> </w:t>
      </w:r>
      <w:r w:rsidR="00177B12" w:rsidRPr="00E13872">
        <w:rPr>
          <w:rFonts w:ascii="Palatino Linotype" w:hAnsi="Palatino Linotype" w:cs="Arial"/>
          <w:color w:val="000000" w:themeColor="text1"/>
          <w:lang w:eastAsia="en-US"/>
        </w:rPr>
        <w:t xml:space="preserve">de su conocimiento </w:t>
      </w:r>
      <w:r w:rsidRPr="00E13872">
        <w:rPr>
          <w:rFonts w:ascii="Palatino Linotype" w:hAnsi="Palatino Linotype" w:cs="Arial"/>
          <w:color w:val="000000" w:themeColor="text1"/>
          <w:lang w:eastAsia="en-US"/>
        </w:rPr>
        <w:t xml:space="preserve">a la parte </w:t>
      </w:r>
      <w:r w:rsidRPr="00E13872">
        <w:rPr>
          <w:rFonts w:ascii="Palatino Linotype" w:hAnsi="Palatino Linotype" w:cs="Arial"/>
          <w:b/>
          <w:color w:val="000000" w:themeColor="text1"/>
          <w:lang w:eastAsia="en-US"/>
        </w:rPr>
        <w:t>Recurrente</w:t>
      </w:r>
      <w:r w:rsidRPr="00E13872">
        <w:rPr>
          <w:rFonts w:ascii="Palatino Linotype" w:hAnsi="Palatino Linotype" w:cs="Arial"/>
          <w:color w:val="000000" w:themeColor="text1"/>
          <w:lang w:eastAsia="en-US"/>
        </w:rPr>
        <w:t xml:space="preserve"> </w:t>
      </w:r>
      <w:r w:rsidR="00177B12" w:rsidRPr="00E13872">
        <w:rPr>
          <w:rFonts w:ascii="Palatino Linotype" w:hAnsi="Palatino Linotype" w:cs="Arial"/>
          <w:color w:val="000000" w:themeColor="text1"/>
          <w:lang w:eastAsia="en-US"/>
        </w:rPr>
        <w:t>que, en caso de considerar que la misma le causa algún perjuicio, podrá promover el Juicio de Amparo en los términos de las leyes aplicables, de acuerdo con lo estipulado por el artículo 196 de la Ley de Transparencia y Acceso a la Información Pública del Estado de México y Municipios.</w:t>
      </w:r>
    </w:p>
    <w:p w:rsidR="000E67B2" w:rsidRPr="00E13872" w:rsidRDefault="000E67B2" w:rsidP="002C3557">
      <w:pPr>
        <w:spacing w:line="360" w:lineRule="auto"/>
        <w:jc w:val="both"/>
        <w:rPr>
          <w:rFonts w:ascii="Palatino Linotype" w:eastAsia="Palatino Linotype" w:hAnsi="Palatino Linotype" w:cs="Palatino Linotype"/>
          <w:b/>
          <w:color w:val="000000" w:themeColor="text1"/>
        </w:rPr>
      </w:pPr>
    </w:p>
    <w:p w:rsidR="002C3557" w:rsidRDefault="00E13872" w:rsidP="002C3557">
      <w:pPr>
        <w:spacing w:line="360" w:lineRule="auto"/>
        <w:ind w:right="49"/>
        <w:jc w:val="both"/>
        <w:rPr>
          <w:rFonts w:ascii="Palatino Linotype" w:eastAsia="Palatino Linotype" w:hAnsi="Palatino Linotype" w:cs="Palatino Linotype"/>
        </w:rPr>
      </w:pPr>
      <w:r w:rsidRPr="00E13872">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rsidRPr="00E13872">
        <w:rPr>
          <w:rFonts w:ascii="Palatino Linotype" w:hAnsi="Palatino Linotype"/>
        </w:rPr>
        <w:lastRenderedPageBreak/>
        <w:t>NORIEGA Y GUADALUPE RAMÍREZ PEÑA; EN LA VIGÉSIMA SÉPTIMA SESIÓN ORDINARIA, CELEBRADA EL SEIS (06) DE AGOSTO DE DOS MIL VEINTICINCO, ANTE EL SECRETARIO TÉCNICO DEL PLENO ALEXIS TAPIA RAMÍREZ</w:t>
      </w:r>
      <w:r w:rsidR="002C3557" w:rsidRPr="00E13872">
        <w:rPr>
          <w:rFonts w:ascii="Palatino Linotype" w:eastAsia="Palatino Linotype" w:hAnsi="Palatino Linotype" w:cs="Palatino Linotype"/>
        </w:rPr>
        <w:t>.</w:t>
      </w:r>
    </w:p>
    <w:p w:rsidR="006A1BDE" w:rsidRDefault="006A1BDE" w:rsidP="002C3557">
      <w:pPr>
        <w:spacing w:line="360" w:lineRule="auto"/>
        <w:ind w:right="49"/>
        <w:jc w:val="both"/>
        <w:rPr>
          <w:rFonts w:ascii="Palatino Linotype" w:eastAsia="Palatino Linotype" w:hAnsi="Palatino Linotype" w:cs="Palatino Linotype"/>
        </w:rPr>
      </w:pPr>
    </w:p>
    <w:p w:rsidR="006A1BDE" w:rsidRDefault="006A1BDE" w:rsidP="002C3557">
      <w:pPr>
        <w:spacing w:line="360" w:lineRule="auto"/>
        <w:ind w:right="49"/>
        <w:jc w:val="both"/>
        <w:rPr>
          <w:rFonts w:ascii="Palatino Linotype" w:eastAsia="Palatino Linotype" w:hAnsi="Palatino Linotype" w:cs="Palatino Linotype"/>
        </w:rPr>
      </w:pPr>
    </w:p>
    <w:p w:rsidR="006A1BDE" w:rsidRDefault="006A1BDE" w:rsidP="002C3557">
      <w:pPr>
        <w:spacing w:line="360" w:lineRule="auto"/>
        <w:ind w:right="49"/>
        <w:jc w:val="both"/>
        <w:rPr>
          <w:rFonts w:ascii="Palatino Linotype" w:eastAsia="Palatino Linotype" w:hAnsi="Palatino Linotype" w:cs="Palatino Linotype"/>
        </w:rPr>
      </w:pPr>
    </w:p>
    <w:p w:rsidR="006A1BDE" w:rsidRPr="00155CC2" w:rsidRDefault="006A1BDE" w:rsidP="002C3557">
      <w:pPr>
        <w:spacing w:line="360" w:lineRule="auto"/>
        <w:ind w:right="49"/>
        <w:jc w:val="both"/>
        <w:rPr>
          <w:rFonts w:ascii="Palatino Linotype" w:eastAsia="Palatino Linotype" w:hAnsi="Palatino Linotype" w:cs="Palatino Linotype"/>
        </w:rPr>
      </w:pPr>
    </w:p>
    <w:p w:rsidR="00F60C53" w:rsidRPr="002C3557" w:rsidRDefault="00F60C53" w:rsidP="002C3557">
      <w:pPr>
        <w:spacing w:before="240" w:after="240" w:line="360" w:lineRule="auto"/>
        <w:jc w:val="both"/>
        <w:rPr>
          <w:rFonts w:ascii="Palatino Linotype" w:eastAsia="Palatino Linotype" w:hAnsi="Palatino Linotype" w:cs="Palatino Linotype"/>
          <w:color w:val="000000" w:themeColor="text1"/>
        </w:rPr>
      </w:pPr>
    </w:p>
    <w:p w:rsidR="002C3557" w:rsidRDefault="002C3557" w:rsidP="002C3557">
      <w:pPr>
        <w:rPr>
          <w:rFonts w:ascii="Palatino Linotype" w:eastAsia="Palatino Linotype" w:hAnsi="Palatino Linotype" w:cs="Palatino Linotype"/>
          <w:color w:val="000000" w:themeColor="text1"/>
        </w:rPr>
      </w:pPr>
    </w:p>
    <w:p w:rsidR="002C3557" w:rsidRPr="002C3557" w:rsidRDefault="002C3557" w:rsidP="002C3557">
      <w:pPr>
        <w:rPr>
          <w:rFonts w:ascii="Palatino Linotype" w:eastAsia="Palatino Linotype" w:hAnsi="Palatino Linotype" w:cs="Palatino Linotype"/>
        </w:rPr>
      </w:pPr>
    </w:p>
    <w:p w:rsidR="002C3557" w:rsidRPr="002C3557" w:rsidRDefault="002C3557" w:rsidP="002C3557">
      <w:pPr>
        <w:rPr>
          <w:rFonts w:ascii="Palatino Linotype" w:eastAsia="Palatino Linotype" w:hAnsi="Palatino Linotype" w:cs="Palatino Linotype"/>
        </w:rPr>
      </w:pPr>
    </w:p>
    <w:p w:rsidR="002C3557" w:rsidRPr="002C3557" w:rsidRDefault="002C3557" w:rsidP="002C3557">
      <w:pPr>
        <w:rPr>
          <w:rFonts w:ascii="Palatino Linotype" w:eastAsia="Palatino Linotype" w:hAnsi="Palatino Linotype" w:cs="Palatino Linotype"/>
        </w:rPr>
      </w:pPr>
    </w:p>
    <w:p w:rsidR="002C3557" w:rsidRPr="002C3557" w:rsidRDefault="002C3557" w:rsidP="002C3557">
      <w:pPr>
        <w:rPr>
          <w:rFonts w:ascii="Palatino Linotype" w:eastAsia="Palatino Linotype" w:hAnsi="Palatino Linotype" w:cs="Palatino Linotype"/>
        </w:rPr>
      </w:pPr>
    </w:p>
    <w:p w:rsidR="002C3557" w:rsidRPr="002C3557" w:rsidRDefault="002C3557" w:rsidP="002C3557">
      <w:pPr>
        <w:rPr>
          <w:rFonts w:ascii="Palatino Linotype" w:eastAsia="Palatino Linotype" w:hAnsi="Palatino Linotype" w:cs="Palatino Linotype"/>
        </w:rPr>
      </w:pPr>
    </w:p>
    <w:p w:rsidR="002C3557" w:rsidRPr="002C3557" w:rsidRDefault="002C3557" w:rsidP="002C3557">
      <w:pPr>
        <w:rPr>
          <w:rFonts w:ascii="Palatino Linotype" w:eastAsia="Palatino Linotype" w:hAnsi="Palatino Linotype" w:cs="Palatino Linotype"/>
        </w:rPr>
      </w:pPr>
    </w:p>
    <w:p w:rsidR="002C3557" w:rsidRPr="002C3557" w:rsidRDefault="002C3557" w:rsidP="002C3557">
      <w:pPr>
        <w:rPr>
          <w:rFonts w:ascii="Palatino Linotype" w:eastAsia="Palatino Linotype" w:hAnsi="Palatino Linotype" w:cs="Palatino Linotype"/>
        </w:rPr>
      </w:pPr>
    </w:p>
    <w:p w:rsidR="002C3557" w:rsidRPr="002C3557" w:rsidRDefault="002C3557" w:rsidP="002C3557">
      <w:pPr>
        <w:rPr>
          <w:rFonts w:ascii="Palatino Linotype" w:eastAsia="Palatino Linotype" w:hAnsi="Palatino Linotype" w:cs="Palatino Linotype"/>
        </w:rPr>
      </w:pPr>
    </w:p>
    <w:p w:rsidR="002C3557" w:rsidRPr="002C3557" w:rsidRDefault="002C3557" w:rsidP="002C3557">
      <w:pPr>
        <w:rPr>
          <w:rFonts w:ascii="Palatino Linotype" w:eastAsia="Palatino Linotype" w:hAnsi="Palatino Linotype" w:cs="Palatino Linotype"/>
        </w:rPr>
      </w:pPr>
    </w:p>
    <w:p w:rsidR="002C3557" w:rsidRPr="002C3557" w:rsidRDefault="002C3557" w:rsidP="002C3557">
      <w:pPr>
        <w:rPr>
          <w:rFonts w:ascii="Palatino Linotype" w:eastAsia="Palatino Linotype" w:hAnsi="Palatino Linotype" w:cs="Palatino Linotype"/>
        </w:rPr>
      </w:pPr>
    </w:p>
    <w:p w:rsidR="002C3557" w:rsidRPr="002C3557" w:rsidRDefault="002C3557" w:rsidP="002C3557">
      <w:pPr>
        <w:rPr>
          <w:rFonts w:ascii="Palatino Linotype" w:eastAsia="Palatino Linotype" w:hAnsi="Palatino Linotype" w:cs="Palatino Linotype"/>
        </w:rPr>
      </w:pPr>
    </w:p>
    <w:p w:rsidR="002C3557" w:rsidRPr="002C3557" w:rsidRDefault="002C3557" w:rsidP="002C3557">
      <w:pPr>
        <w:rPr>
          <w:rFonts w:ascii="Palatino Linotype" w:eastAsia="Palatino Linotype" w:hAnsi="Palatino Linotype" w:cs="Palatino Linotype"/>
        </w:rPr>
      </w:pPr>
    </w:p>
    <w:p w:rsidR="002C3557" w:rsidRPr="002C3557" w:rsidRDefault="002C3557" w:rsidP="002C3557">
      <w:pPr>
        <w:rPr>
          <w:rFonts w:ascii="Palatino Linotype" w:eastAsia="Palatino Linotype" w:hAnsi="Palatino Linotype" w:cs="Palatino Linotype"/>
        </w:rPr>
      </w:pPr>
    </w:p>
    <w:p w:rsidR="002C3557" w:rsidRPr="002C3557" w:rsidRDefault="002C3557" w:rsidP="002C3557">
      <w:pPr>
        <w:rPr>
          <w:rFonts w:ascii="Palatino Linotype" w:eastAsia="Palatino Linotype" w:hAnsi="Palatino Linotype" w:cs="Palatino Linotype"/>
        </w:rPr>
      </w:pPr>
    </w:p>
    <w:p w:rsidR="002C3557" w:rsidRPr="002C3557" w:rsidRDefault="002C3557" w:rsidP="002C3557">
      <w:pPr>
        <w:rPr>
          <w:rFonts w:ascii="Palatino Linotype" w:eastAsia="Palatino Linotype" w:hAnsi="Palatino Linotype" w:cs="Palatino Linotype"/>
        </w:rPr>
      </w:pPr>
    </w:p>
    <w:p w:rsidR="002C3557" w:rsidRPr="002C3557" w:rsidRDefault="002C3557" w:rsidP="002C3557">
      <w:pPr>
        <w:rPr>
          <w:rFonts w:ascii="Palatino Linotype" w:eastAsia="Palatino Linotype" w:hAnsi="Palatino Linotype" w:cs="Palatino Linotype"/>
        </w:rPr>
      </w:pPr>
    </w:p>
    <w:p w:rsidR="002C3557" w:rsidRPr="002C3557" w:rsidRDefault="002C3557" w:rsidP="002C3557">
      <w:pPr>
        <w:rPr>
          <w:rFonts w:ascii="Palatino Linotype" w:eastAsia="Palatino Linotype" w:hAnsi="Palatino Linotype" w:cs="Palatino Linotype"/>
        </w:rPr>
      </w:pPr>
    </w:p>
    <w:p w:rsidR="002C3557" w:rsidRPr="002C3557" w:rsidRDefault="002C3557" w:rsidP="002C3557">
      <w:pPr>
        <w:rPr>
          <w:rFonts w:ascii="Palatino Linotype" w:eastAsia="Palatino Linotype" w:hAnsi="Palatino Linotype" w:cs="Palatino Linotype"/>
        </w:rPr>
      </w:pPr>
    </w:p>
    <w:p w:rsidR="002C3557" w:rsidRPr="002C3557" w:rsidRDefault="002C3557" w:rsidP="002C3557">
      <w:pPr>
        <w:rPr>
          <w:rFonts w:ascii="Palatino Linotype" w:eastAsia="Palatino Linotype" w:hAnsi="Palatino Linotype" w:cs="Palatino Linotype"/>
        </w:rPr>
      </w:pPr>
    </w:p>
    <w:p w:rsidR="002C3557" w:rsidRPr="002C3557" w:rsidRDefault="002C3557" w:rsidP="002C3557">
      <w:pPr>
        <w:rPr>
          <w:rFonts w:ascii="Palatino Linotype" w:eastAsia="Palatino Linotype" w:hAnsi="Palatino Linotype" w:cs="Palatino Linotype"/>
        </w:rPr>
      </w:pPr>
    </w:p>
    <w:p w:rsidR="002C3557" w:rsidRPr="002C3557" w:rsidRDefault="002C3557" w:rsidP="002C3557">
      <w:pPr>
        <w:rPr>
          <w:rFonts w:ascii="Palatino Linotype" w:eastAsia="Palatino Linotype" w:hAnsi="Palatino Linotype" w:cs="Palatino Linotype"/>
        </w:rPr>
      </w:pPr>
    </w:p>
    <w:p w:rsidR="002C3557" w:rsidRPr="002C3557" w:rsidRDefault="002C3557" w:rsidP="002C3557">
      <w:pPr>
        <w:rPr>
          <w:rFonts w:ascii="Palatino Linotype" w:eastAsia="Palatino Linotype" w:hAnsi="Palatino Linotype" w:cs="Palatino Linotype"/>
        </w:rPr>
      </w:pPr>
    </w:p>
    <w:p w:rsidR="002C3557" w:rsidRPr="002C3557" w:rsidRDefault="002C3557" w:rsidP="002C3557">
      <w:pPr>
        <w:rPr>
          <w:rFonts w:ascii="Palatino Linotype" w:eastAsia="Palatino Linotype" w:hAnsi="Palatino Linotype" w:cs="Palatino Linotype"/>
        </w:rPr>
      </w:pPr>
    </w:p>
    <w:p w:rsidR="002C3557" w:rsidRPr="002C3557" w:rsidRDefault="002C3557" w:rsidP="002C3557">
      <w:pPr>
        <w:rPr>
          <w:rFonts w:ascii="Palatino Linotype" w:eastAsia="Palatino Linotype" w:hAnsi="Palatino Linotype" w:cs="Palatino Linotype"/>
        </w:rPr>
      </w:pPr>
    </w:p>
    <w:p w:rsidR="002C3557" w:rsidRPr="002C3557" w:rsidRDefault="002C3557" w:rsidP="002C3557">
      <w:pPr>
        <w:rPr>
          <w:rFonts w:ascii="Palatino Linotype" w:eastAsia="Palatino Linotype" w:hAnsi="Palatino Linotype" w:cs="Palatino Linotype"/>
        </w:rPr>
      </w:pPr>
    </w:p>
    <w:p w:rsidR="002C3557" w:rsidRPr="002C3557" w:rsidRDefault="002C3557" w:rsidP="002C3557">
      <w:pPr>
        <w:rPr>
          <w:rFonts w:ascii="Palatino Linotype" w:eastAsia="Palatino Linotype" w:hAnsi="Palatino Linotype" w:cs="Palatino Linotype"/>
        </w:rPr>
      </w:pPr>
    </w:p>
    <w:p w:rsidR="002C3557" w:rsidRDefault="002C3557" w:rsidP="002C3557">
      <w:pPr>
        <w:rPr>
          <w:rFonts w:ascii="Palatino Linotype" w:eastAsia="Palatino Linotype" w:hAnsi="Palatino Linotype" w:cs="Palatino Linotype"/>
        </w:rPr>
      </w:pPr>
    </w:p>
    <w:p w:rsidR="0072148B" w:rsidRPr="002C3557" w:rsidRDefault="002C3557" w:rsidP="002C3557">
      <w:pPr>
        <w:tabs>
          <w:tab w:val="left" w:pos="5100"/>
        </w:tabs>
        <w:rPr>
          <w:rFonts w:ascii="Palatino Linotype" w:eastAsia="Palatino Linotype" w:hAnsi="Palatino Linotype" w:cs="Palatino Linotype"/>
          <w:color w:val="000000" w:themeColor="text1"/>
        </w:rPr>
      </w:pPr>
      <w:r>
        <w:rPr>
          <w:rFonts w:ascii="Palatino Linotype" w:eastAsia="Palatino Linotype" w:hAnsi="Palatino Linotype" w:cs="Palatino Linotype"/>
        </w:rPr>
        <w:tab/>
      </w:r>
      <w:bookmarkStart w:id="9" w:name="_heading=h.lnxbz9" w:colFirst="0" w:colLast="0"/>
      <w:bookmarkEnd w:id="9"/>
    </w:p>
    <w:sectPr w:rsidR="0072148B" w:rsidRPr="002C3557" w:rsidSect="006A1BDE">
      <w:headerReference w:type="even" r:id="rId15"/>
      <w:headerReference w:type="default" r:id="rId16"/>
      <w:footerReference w:type="default" r:id="rId17"/>
      <w:headerReference w:type="first" r:id="rId18"/>
      <w:footerReference w:type="first" r:id="rId19"/>
      <w:pgSz w:w="12240" w:h="15840"/>
      <w:pgMar w:top="2268" w:right="900"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AD5" w:rsidRDefault="00A93AD5">
      <w:r>
        <w:separator/>
      </w:r>
    </w:p>
  </w:endnote>
  <w:endnote w:type="continuationSeparator" w:id="0">
    <w:p w:rsidR="00A93AD5" w:rsidRDefault="00A93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4A4" w:rsidRDefault="009D34A4">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6A1BDE">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6A1BDE">
      <w:rPr>
        <w:rFonts w:ascii="Palatino Linotype" w:eastAsia="Palatino Linotype" w:hAnsi="Palatino Linotype" w:cs="Palatino Linotype"/>
        <w:noProof/>
        <w:color w:val="000000"/>
        <w:sz w:val="20"/>
        <w:szCs w:val="20"/>
      </w:rPr>
      <w:t>38</w:t>
    </w:r>
    <w:r>
      <w:rPr>
        <w:rFonts w:ascii="Palatino Linotype" w:eastAsia="Palatino Linotype" w:hAnsi="Palatino Linotype" w:cs="Palatino Linotype"/>
        <w:color w:val="000000"/>
        <w:sz w:val="20"/>
        <w:szCs w:val="20"/>
      </w:rPr>
      <w:fldChar w:fldCharType="end"/>
    </w:r>
  </w:p>
  <w:p w:rsidR="009D34A4" w:rsidRDefault="009D34A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4A4" w:rsidRDefault="009D34A4">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6A1BDE">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6A1BDE">
      <w:rPr>
        <w:rFonts w:ascii="Palatino Linotype" w:eastAsia="Palatino Linotype" w:hAnsi="Palatino Linotype" w:cs="Palatino Linotype"/>
        <w:noProof/>
        <w:color w:val="000000"/>
        <w:sz w:val="20"/>
        <w:szCs w:val="20"/>
      </w:rPr>
      <w:t>38</w:t>
    </w:r>
    <w:r>
      <w:rPr>
        <w:rFonts w:ascii="Palatino Linotype" w:eastAsia="Palatino Linotype" w:hAnsi="Palatino Linotype" w:cs="Palatino Linotype"/>
        <w:color w:val="000000"/>
        <w:sz w:val="20"/>
        <w:szCs w:val="20"/>
      </w:rPr>
      <w:fldChar w:fldCharType="end"/>
    </w:r>
  </w:p>
  <w:p w:rsidR="009D34A4" w:rsidRDefault="009D34A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AD5" w:rsidRDefault="00A93AD5">
      <w:r>
        <w:separator/>
      </w:r>
    </w:p>
  </w:footnote>
  <w:footnote w:type="continuationSeparator" w:id="0">
    <w:p w:rsidR="00A93AD5" w:rsidRDefault="00A93A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4A4" w:rsidRDefault="00A93AD5">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6945" w:type="dxa"/>
      <w:tblInd w:w="3544" w:type="dxa"/>
      <w:tblLayout w:type="fixed"/>
      <w:tblLook w:val="0400" w:firstRow="0" w:lastRow="0" w:firstColumn="0" w:lastColumn="0" w:noHBand="0" w:noVBand="1"/>
    </w:tblPr>
    <w:tblGrid>
      <w:gridCol w:w="2693"/>
      <w:gridCol w:w="4252"/>
    </w:tblGrid>
    <w:tr w:rsidR="009D34A4" w:rsidTr="006A1BDE">
      <w:trPr>
        <w:trHeight w:val="227"/>
      </w:trPr>
      <w:tc>
        <w:tcPr>
          <w:tcW w:w="2693" w:type="dxa"/>
        </w:tcPr>
        <w:p w:rsidR="009D34A4" w:rsidRPr="002C3557" w:rsidRDefault="009D34A4" w:rsidP="002C3557">
          <w:pPr>
            <w:jc w:val="right"/>
            <w:rPr>
              <w:rFonts w:ascii="Palatino Linotype" w:eastAsia="Palatino Linotype" w:hAnsi="Palatino Linotype" w:cs="Palatino Linotype"/>
              <w:b/>
            </w:rPr>
          </w:pPr>
          <w:r w:rsidRPr="002C3557">
            <w:rPr>
              <w:rFonts w:ascii="Palatino Linotype" w:eastAsia="Palatino Linotype" w:hAnsi="Palatino Linotype" w:cs="Palatino Linotype"/>
              <w:b/>
            </w:rPr>
            <w:t>Recurso de Revisión:</w:t>
          </w:r>
        </w:p>
      </w:tc>
      <w:tc>
        <w:tcPr>
          <w:tcW w:w="4252" w:type="dxa"/>
        </w:tcPr>
        <w:p w:rsidR="009D34A4" w:rsidRPr="002C3557" w:rsidRDefault="009D34A4" w:rsidP="002C3557">
          <w:pPr>
            <w:pBdr>
              <w:top w:val="nil"/>
              <w:left w:val="nil"/>
              <w:bottom w:val="nil"/>
              <w:right w:val="nil"/>
              <w:between w:val="nil"/>
            </w:pBdr>
            <w:tabs>
              <w:tab w:val="right" w:pos="8838"/>
            </w:tabs>
            <w:ind w:right="-1285"/>
            <w:rPr>
              <w:rFonts w:ascii="Palatino Linotype" w:eastAsia="Palatino Linotype" w:hAnsi="Palatino Linotype" w:cs="Palatino Linotype"/>
              <w:color w:val="000000"/>
              <w:highlight w:val="green"/>
            </w:rPr>
          </w:pPr>
          <w:r w:rsidRPr="002C3557">
            <w:rPr>
              <w:rFonts w:ascii="Palatino Linotype" w:eastAsia="Palatino Linotype" w:hAnsi="Palatino Linotype" w:cs="Palatino Linotype"/>
              <w:color w:val="000000"/>
            </w:rPr>
            <w:t>03098/INFOEM/IP/RR/2025</w:t>
          </w:r>
        </w:p>
      </w:tc>
    </w:tr>
    <w:tr w:rsidR="009D34A4" w:rsidTr="006A1BDE">
      <w:trPr>
        <w:trHeight w:val="342"/>
      </w:trPr>
      <w:tc>
        <w:tcPr>
          <w:tcW w:w="2693" w:type="dxa"/>
        </w:tcPr>
        <w:p w:rsidR="009D34A4" w:rsidRPr="002C3557" w:rsidRDefault="009D34A4" w:rsidP="002C3557">
          <w:pPr>
            <w:jc w:val="right"/>
            <w:rPr>
              <w:rFonts w:ascii="Palatino Linotype" w:eastAsia="Palatino Linotype" w:hAnsi="Palatino Linotype" w:cs="Palatino Linotype"/>
              <w:b/>
            </w:rPr>
          </w:pPr>
          <w:r w:rsidRPr="002C3557">
            <w:rPr>
              <w:rFonts w:ascii="Palatino Linotype" w:eastAsia="Palatino Linotype" w:hAnsi="Palatino Linotype" w:cs="Palatino Linotype"/>
              <w:b/>
            </w:rPr>
            <w:t>Sujeto Obligado:</w:t>
          </w:r>
        </w:p>
      </w:tc>
      <w:tc>
        <w:tcPr>
          <w:tcW w:w="4252" w:type="dxa"/>
        </w:tcPr>
        <w:p w:rsidR="009D34A4" w:rsidRPr="002C3557" w:rsidRDefault="009D34A4" w:rsidP="002C3557">
          <w:pPr>
            <w:pBdr>
              <w:top w:val="nil"/>
              <w:left w:val="nil"/>
              <w:bottom w:val="nil"/>
              <w:right w:val="nil"/>
              <w:between w:val="nil"/>
            </w:pBdr>
            <w:tabs>
              <w:tab w:val="right" w:pos="8838"/>
            </w:tabs>
            <w:jc w:val="both"/>
            <w:rPr>
              <w:rFonts w:ascii="Palatino Linotype" w:eastAsia="Palatino Linotype" w:hAnsi="Palatino Linotype" w:cs="Palatino Linotype"/>
              <w:color w:val="000000"/>
              <w:highlight w:val="green"/>
            </w:rPr>
          </w:pPr>
          <w:r w:rsidRPr="002C3557">
            <w:rPr>
              <w:rFonts w:ascii="Palatino Linotype" w:eastAsia="Palatino Linotype" w:hAnsi="Palatino Linotype" w:cs="Palatino Linotype"/>
              <w:color w:val="000000"/>
            </w:rPr>
            <w:t>Ayuntamiento de Atlacomulco</w:t>
          </w:r>
        </w:p>
      </w:tc>
    </w:tr>
    <w:tr w:rsidR="009D34A4" w:rsidTr="006A1BDE">
      <w:trPr>
        <w:trHeight w:val="342"/>
      </w:trPr>
      <w:tc>
        <w:tcPr>
          <w:tcW w:w="2693" w:type="dxa"/>
        </w:tcPr>
        <w:p w:rsidR="009D34A4" w:rsidRPr="002C3557" w:rsidRDefault="009D34A4" w:rsidP="002C3557">
          <w:pPr>
            <w:jc w:val="right"/>
            <w:rPr>
              <w:rFonts w:ascii="Palatino Linotype" w:eastAsia="Palatino Linotype" w:hAnsi="Palatino Linotype" w:cs="Palatino Linotype"/>
              <w:b/>
            </w:rPr>
          </w:pPr>
          <w:r w:rsidRPr="002C3557">
            <w:rPr>
              <w:rFonts w:ascii="Palatino Linotype" w:eastAsia="Palatino Linotype" w:hAnsi="Palatino Linotype" w:cs="Palatino Linotype"/>
              <w:b/>
            </w:rPr>
            <w:t>Comisionada Ponente:</w:t>
          </w:r>
        </w:p>
      </w:tc>
      <w:tc>
        <w:tcPr>
          <w:tcW w:w="4252" w:type="dxa"/>
        </w:tcPr>
        <w:p w:rsidR="009D34A4" w:rsidRPr="002C3557" w:rsidRDefault="009D34A4" w:rsidP="002C3557">
          <w:pPr>
            <w:pBdr>
              <w:top w:val="nil"/>
              <w:left w:val="nil"/>
              <w:bottom w:val="nil"/>
              <w:right w:val="nil"/>
              <w:between w:val="nil"/>
            </w:pBdr>
            <w:tabs>
              <w:tab w:val="right" w:pos="8838"/>
            </w:tabs>
            <w:ind w:right="-1285"/>
            <w:rPr>
              <w:rFonts w:ascii="Palatino Linotype" w:eastAsia="Palatino Linotype" w:hAnsi="Palatino Linotype" w:cs="Palatino Linotype"/>
              <w:color w:val="000000"/>
            </w:rPr>
          </w:pPr>
          <w:r w:rsidRPr="002C3557">
            <w:rPr>
              <w:rFonts w:ascii="Palatino Linotype" w:eastAsia="Palatino Linotype" w:hAnsi="Palatino Linotype" w:cs="Palatino Linotype"/>
              <w:color w:val="000000"/>
            </w:rPr>
            <w:t>María del Rosario Mejía Ayala</w:t>
          </w:r>
        </w:p>
      </w:tc>
    </w:tr>
  </w:tbl>
  <w:p w:rsidR="009D34A4" w:rsidRDefault="00A93AD5">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56.5pt;margin-top:-123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6945" w:type="dxa"/>
      <w:tblInd w:w="3686" w:type="dxa"/>
      <w:tblLayout w:type="fixed"/>
      <w:tblLook w:val="0400" w:firstRow="0" w:lastRow="0" w:firstColumn="0" w:lastColumn="0" w:noHBand="0" w:noVBand="1"/>
    </w:tblPr>
    <w:tblGrid>
      <w:gridCol w:w="2693"/>
      <w:gridCol w:w="4252"/>
    </w:tblGrid>
    <w:tr w:rsidR="009D34A4" w:rsidTr="006A1BDE">
      <w:trPr>
        <w:trHeight w:val="227"/>
      </w:trPr>
      <w:tc>
        <w:tcPr>
          <w:tcW w:w="2693" w:type="dxa"/>
        </w:tcPr>
        <w:p w:rsidR="009D34A4" w:rsidRPr="002C3557" w:rsidRDefault="009D34A4" w:rsidP="002C3557">
          <w:pPr>
            <w:jc w:val="right"/>
            <w:rPr>
              <w:rFonts w:ascii="Palatino Linotype" w:eastAsia="Palatino Linotype" w:hAnsi="Palatino Linotype" w:cs="Palatino Linotype"/>
              <w:b/>
            </w:rPr>
          </w:pPr>
          <w:r w:rsidRPr="002C3557">
            <w:rPr>
              <w:rFonts w:ascii="Palatino Linotype" w:eastAsia="Palatino Linotype" w:hAnsi="Palatino Linotype" w:cs="Palatino Linotype"/>
              <w:b/>
            </w:rPr>
            <w:t>Recurso de Revisión:</w:t>
          </w:r>
        </w:p>
      </w:tc>
      <w:tc>
        <w:tcPr>
          <w:tcW w:w="4252" w:type="dxa"/>
        </w:tcPr>
        <w:p w:rsidR="009D34A4" w:rsidRPr="002C3557" w:rsidRDefault="009D34A4" w:rsidP="002C3557">
          <w:pPr>
            <w:pBdr>
              <w:top w:val="nil"/>
              <w:left w:val="nil"/>
              <w:bottom w:val="nil"/>
              <w:right w:val="nil"/>
              <w:between w:val="nil"/>
            </w:pBdr>
            <w:tabs>
              <w:tab w:val="right" w:pos="8838"/>
            </w:tabs>
            <w:ind w:right="-1285"/>
            <w:rPr>
              <w:rFonts w:ascii="Palatino Linotype" w:eastAsia="Palatino Linotype" w:hAnsi="Palatino Linotype" w:cs="Palatino Linotype"/>
              <w:color w:val="000000"/>
              <w:highlight w:val="green"/>
            </w:rPr>
          </w:pPr>
          <w:r w:rsidRPr="002C3557">
            <w:rPr>
              <w:rFonts w:ascii="Palatino Linotype" w:eastAsia="Palatino Linotype" w:hAnsi="Palatino Linotype" w:cs="Palatino Linotype"/>
              <w:color w:val="000000"/>
            </w:rPr>
            <w:t>03098/INFOEM/IP/RR/2025</w:t>
          </w:r>
        </w:p>
      </w:tc>
    </w:tr>
    <w:tr w:rsidR="009D34A4" w:rsidTr="006A1BDE">
      <w:trPr>
        <w:trHeight w:val="242"/>
      </w:trPr>
      <w:tc>
        <w:tcPr>
          <w:tcW w:w="2693" w:type="dxa"/>
        </w:tcPr>
        <w:p w:rsidR="009D34A4" w:rsidRPr="002C3557" w:rsidRDefault="009D34A4" w:rsidP="002C3557">
          <w:pPr>
            <w:jc w:val="right"/>
            <w:rPr>
              <w:rFonts w:ascii="Palatino Linotype" w:eastAsia="Palatino Linotype" w:hAnsi="Palatino Linotype" w:cs="Palatino Linotype"/>
              <w:b/>
            </w:rPr>
          </w:pPr>
          <w:r w:rsidRPr="002C3557">
            <w:rPr>
              <w:rFonts w:ascii="Palatino Linotype" w:eastAsia="Palatino Linotype" w:hAnsi="Palatino Linotype" w:cs="Palatino Linotype"/>
              <w:b/>
            </w:rPr>
            <w:t>Recurrente:</w:t>
          </w:r>
        </w:p>
      </w:tc>
      <w:tc>
        <w:tcPr>
          <w:tcW w:w="4252" w:type="dxa"/>
        </w:tcPr>
        <w:p w:rsidR="009D34A4" w:rsidRPr="002C3557" w:rsidRDefault="009D34A4" w:rsidP="002C3557">
          <w:pPr>
            <w:pBdr>
              <w:top w:val="nil"/>
              <w:left w:val="nil"/>
              <w:bottom w:val="nil"/>
              <w:right w:val="nil"/>
              <w:between w:val="nil"/>
            </w:pBdr>
            <w:tabs>
              <w:tab w:val="right" w:pos="8838"/>
              <w:tab w:val="left" w:pos="521"/>
            </w:tabs>
            <w:rPr>
              <w:rFonts w:ascii="Palatino Linotype" w:eastAsia="Palatino Linotype" w:hAnsi="Palatino Linotype" w:cs="Palatino Linotype"/>
              <w:color w:val="000000"/>
              <w:highlight w:val="green"/>
            </w:rPr>
          </w:pPr>
        </w:p>
      </w:tc>
    </w:tr>
    <w:tr w:rsidR="009D34A4" w:rsidTr="006A1BDE">
      <w:trPr>
        <w:trHeight w:val="342"/>
      </w:trPr>
      <w:tc>
        <w:tcPr>
          <w:tcW w:w="2693" w:type="dxa"/>
        </w:tcPr>
        <w:p w:rsidR="009D34A4" w:rsidRPr="002C3557" w:rsidRDefault="009D34A4" w:rsidP="002C3557">
          <w:pPr>
            <w:jc w:val="right"/>
            <w:rPr>
              <w:rFonts w:ascii="Palatino Linotype" w:eastAsia="Palatino Linotype" w:hAnsi="Palatino Linotype" w:cs="Palatino Linotype"/>
              <w:b/>
            </w:rPr>
          </w:pPr>
          <w:r w:rsidRPr="002C3557">
            <w:rPr>
              <w:rFonts w:ascii="Palatino Linotype" w:eastAsia="Palatino Linotype" w:hAnsi="Palatino Linotype" w:cs="Palatino Linotype"/>
              <w:b/>
            </w:rPr>
            <w:t>Sujeto Obligado:</w:t>
          </w:r>
        </w:p>
      </w:tc>
      <w:tc>
        <w:tcPr>
          <w:tcW w:w="4252" w:type="dxa"/>
        </w:tcPr>
        <w:p w:rsidR="009D34A4" w:rsidRPr="002C3557" w:rsidRDefault="009D34A4" w:rsidP="002C3557">
          <w:pPr>
            <w:pBdr>
              <w:top w:val="nil"/>
              <w:left w:val="nil"/>
              <w:bottom w:val="nil"/>
              <w:right w:val="nil"/>
              <w:between w:val="nil"/>
            </w:pBdr>
            <w:tabs>
              <w:tab w:val="right" w:pos="8838"/>
            </w:tabs>
            <w:jc w:val="both"/>
            <w:rPr>
              <w:rFonts w:ascii="Palatino Linotype" w:eastAsia="Palatino Linotype" w:hAnsi="Palatino Linotype" w:cs="Palatino Linotype"/>
              <w:color w:val="000000"/>
              <w:highlight w:val="green"/>
            </w:rPr>
          </w:pPr>
          <w:r w:rsidRPr="002C3557">
            <w:rPr>
              <w:rFonts w:ascii="Palatino Linotype" w:eastAsia="Palatino Linotype" w:hAnsi="Palatino Linotype" w:cs="Palatino Linotype"/>
              <w:color w:val="000000"/>
            </w:rPr>
            <w:t>Ayuntamiento de Atlacomulco</w:t>
          </w:r>
        </w:p>
      </w:tc>
    </w:tr>
    <w:tr w:rsidR="009D34A4" w:rsidTr="006A1BDE">
      <w:trPr>
        <w:trHeight w:val="342"/>
      </w:trPr>
      <w:tc>
        <w:tcPr>
          <w:tcW w:w="2693" w:type="dxa"/>
        </w:tcPr>
        <w:p w:rsidR="009D34A4" w:rsidRPr="002C3557" w:rsidRDefault="009D34A4" w:rsidP="002C3557">
          <w:pPr>
            <w:jc w:val="right"/>
            <w:rPr>
              <w:rFonts w:ascii="Palatino Linotype" w:eastAsia="Palatino Linotype" w:hAnsi="Palatino Linotype" w:cs="Palatino Linotype"/>
              <w:b/>
            </w:rPr>
          </w:pPr>
          <w:r w:rsidRPr="002C3557">
            <w:rPr>
              <w:rFonts w:ascii="Palatino Linotype" w:eastAsia="Palatino Linotype" w:hAnsi="Palatino Linotype" w:cs="Palatino Linotype"/>
              <w:b/>
            </w:rPr>
            <w:t>Comisionada Ponente:</w:t>
          </w:r>
        </w:p>
      </w:tc>
      <w:tc>
        <w:tcPr>
          <w:tcW w:w="4252" w:type="dxa"/>
        </w:tcPr>
        <w:p w:rsidR="009D34A4" w:rsidRPr="002C3557" w:rsidRDefault="009D34A4" w:rsidP="002C3557">
          <w:pPr>
            <w:pBdr>
              <w:top w:val="nil"/>
              <w:left w:val="nil"/>
              <w:bottom w:val="nil"/>
              <w:right w:val="nil"/>
              <w:between w:val="nil"/>
            </w:pBdr>
            <w:tabs>
              <w:tab w:val="right" w:pos="8838"/>
            </w:tabs>
            <w:ind w:right="-1285"/>
            <w:rPr>
              <w:rFonts w:ascii="Palatino Linotype" w:eastAsia="Palatino Linotype" w:hAnsi="Palatino Linotype" w:cs="Palatino Linotype"/>
              <w:color w:val="000000"/>
            </w:rPr>
          </w:pPr>
          <w:r w:rsidRPr="002C3557">
            <w:rPr>
              <w:rFonts w:ascii="Palatino Linotype" w:eastAsia="Palatino Linotype" w:hAnsi="Palatino Linotype" w:cs="Palatino Linotype"/>
              <w:color w:val="000000"/>
            </w:rPr>
            <w:t>María del Rosario Mejía Ayala</w:t>
          </w:r>
        </w:p>
      </w:tc>
    </w:tr>
  </w:tbl>
  <w:p w:rsidR="009D34A4" w:rsidRDefault="00A93AD5">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05pt;margin-top:-122.65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F426A"/>
    <w:multiLevelType w:val="hybridMultilevel"/>
    <w:tmpl w:val="1D361E2A"/>
    <w:lvl w:ilvl="0" w:tplc="080A0011">
      <w:start w:val="1"/>
      <w:numFmt w:val="decimal"/>
      <w:lvlText w:val="%1)"/>
      <w:lvlJc w:val="left"/>
      <w:pPr>
        <w:ind w:left="2215" w:hanging="360"/>
      </w:pPr>
    </w:lvl>
    <w:lvl w:ilvl="1" w:tplc="080A0019" w:tentative="1">
      <w:start w:val="1"/>
      <w:numFmt w:val="lowerLetter"/>
      <w:lvlText w:val="%2."/>
      <w:lvlJc w:val="left"/>
      <w:pPr>
        <w:ind w:left="2935" w:hanging="360"/>
      </w:pPr>
    </w:lvl>
    <w:lvl w:ilvl="2" w:tplc="080A001B" w:tentative="1">
      <w:start w:val="1"/>
      <w:numFmt w:val="lowerRoman"/>
      <w:lvlText w:val="%3."/>
      <w:lvlJc w:val="right"/>
      <w:pPr>
        <w:ind w:left="3655" w:hanging="180"/>
      </w:pPr>
    </w:lvl>
    <w:lvl w:ilvl="3" w:tplc="080A000F" w:tentative="1">
      <w:start w:val="1"/>
      <w:numFmt w:val="decimal"/>
      <w:lvlText w:val="%4."/>
      <w:lvlJc w:val="left"/>
      <w:pPr>
        <w:ind w:left="4375" w:hanging="360"/>
      </w:pPr>
    </w:lvl>
    <w:lvl w:ilvl="4" w:tplc="080A0019" w:tentative="1">
      <w:start w:val="1"/>
      <w:numFmt w:val="lowerLetter"/>
      <w:lvlText w:val="%5."/>
      <w:lvlJc w:val="left"/>
      <w:pPr>
        <w:ind w:left="5095" w:hanging="360"/>
      </w:pPr>
    </w:lvl>
    <w:lvl w:ilvl="5" w:tplc="080A001B" w:tentative="1">
      <w:start w:val="1"/>
      <w:numFmt w:val="lowerRoman"/>
      <w:lvlText w:val="%6."/>
      <w:lvlJc w:val="right"/>
      <w:pPr>
        <w:ind w:left="5815" w:hanging="180"/>
      </w:pPr>
    </w:lvl>
    <w:lvl w:ilvl="6" w:tplc="080A000F" w:tentative="1">
      <w:start w:val="1"/>
      <w:numFmt w:val="decimal"/>
      <w:lvlText w:val="%7."/>
      <w:lvlJc w:val="left"/>
      <w:pPr>
        <w:ind w:left="6535" w:hanging="360"/>
      </w:pPr>
    </w:lvl>
    <w:lvl w:ilvl="7" w:tplc="080A0019" w:tentative="1">
      <w:start w:val="1"/>
      <w:numFmt w:val="lowerLetter"/>
      <w:lvlText w:val="%8."/>
      <w:lvlJc w:val="left"/>
      <w:pPr>
        <w:ind w:left="7255" w:hanging="360"/>
      </w:pPr>
    </w:lvl>
    <w:lvl w:ilvl="8" w:tplc="080A001B" w:tentative="1">
      <w:start w:val="1"/>
      <w:numFmt w:val="lowerRoman"/>
      <w:lvlText w:val="%9."/>
      <w:lvlJc w:val="right"/>
      <w:pPr>
        <w:ind w:left="7975" w:hanging="180"/>
      </w:pPr>
    </w:lvl>
  </w:abstractNum>
  <w:abstractNum w:abstractNumId="1" w15:restartNumberingAfterBreak="0">
    <w:nsid w:val="084D2117"/>
    <w:multiLevelType w:val="hybridMultilevel"/>
    <w:tmpl w:val="442E2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D37064"/>
    <w:multiLevelType w:val="multilevel"/>
    <w:tmpl w:val="EB2A359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BD037EF"/>
    <w:multiLevelType w:val="hybridMultilevel"/>
    <w:tmpl w:val="D44C1A2A"/>
    <w:lvl w:ilvl="0" w:tplc="080A0011">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4DDB0696"/>
    <w:multiLevelType w:val="multilevel"/>
    <w:tmpl w:val="93F0CB9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5" w15:restartNumberingAfterBreak="0">
    <w:nsid w:val="54AE63F6"/>
    <w:multiLevelType w:val="multilevel"/>
    <w:tmpl w:val="363E5CA0"/>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6" w15:restartNumberingAfterBreak="0">
    <w:nsid w:val="5DBE099A"/>
    <w:multiLevelType w:val="multilevel"/>
    <w:tmpl w:val="FD4250DA"/>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E064666"/>
    <w:multiLevelType w:val="hybridMultilevel"/>
    <w:tmpl w:val="78469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3A5CCA"/>
    <w:multiLevelType w:val="hybridMultilevel"/>
    <w:tmpl w:val="FD66F3DC"/>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9" w15:restartNumberingAfterBreak="0">
    <w:nsid w:val="7C435A25"/>
    <w:multiLevelType w:val="multilevel"/>
    <w:tmpl w:val="C006424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9"/>
  </w:num>
  <w:num w:numId="3">
    <w:abstractNumId w:val="2"/>
  </w:num>
  <w:num w:numId="4">
    <w:abstractNumId w:val="5"/>
  </w:num>
  <w:num w:numId="5">
    <w:abstractNumId w:val="6"/>
  </w:num>
  <w:num w:numId="6">
    <w:abstractNumId w:val="3"/>
  </w:num>
  <w:num w:numId="7">
    <w:abstractNumId w:val="7"/>
  </w:num>
  <w:num w:numId="8">
    <w:abstractNumId w:val="8"/>
  </w:num>
  <w:num w:numId="9">
    <w:abstractNumId w:val="0"/>
  </w:num>
  <w:num w:numId="1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48B"/>
    <w:rsid w:val="00000566"/>
    <w:rsid w:val="00003DD9"/>
    <w:rsid w:val="00023F89"/>
    <w:rsid w:val="00024F93"/>
    <w:rsid w:val="00036F07"/>
    <w:rsid w:val="00037080"/>
    <w:rsid w:val="00037694"/>
    <w:rsid w:val="00043971"/>
    <w:rsid w:val="00062045"/>
    <w:rsid w:val="00062444"/>
    <w:rsid w:val="00063E78"/>
    <w:rsid w:val="00070275"/>
    <w:rsid w:val="00070E1F"/>
    <w:rsid w:val="00071483"/>
    <w:rsid w:val="000746C9"/>
    <w:rsid w:val="00077434"/>
    <w:rsid w:val="000779D3"/>
    <w:rsid w:val="00084793"/>
    <w:rsid w:val="0008616B"/>
    <w:rsid w:val="000930BF"/>
    <w:rsid w:val="000A0F74"/>
    <w:rsid w:val="000A61EB"/>
    <w:rsid w:val="000B55B4"/>
    <w:rsid w:val="000B5E74"/>
    <w:rsid w:val="000B756F"/>
    <w:rsid w:val="000C7516"/>
    <w:rsid w:val="000D3698"/>
    <w:rsid w:val="000D4D94"/>
    <w:rsid w:val="000D50F3"/>
    <w:rsid w:val="000E2661"/>
    <w:rsid w:val="000E33AF"/>
    <w:rsid w:val="000E36B6"/>
    <w:rsid w:val="000E67B2"/>
    <w:rsid w:val="000E6B02"/>
    <w:rsid w:val="000F113E"/>
    <w:rsid w:val="000F1D57"/>
    <w:rsid w:val="000F6F52"/>
    <w:rsid w:val="00102F1F"/>
    <w:rsid w:val="00105C13"/>
    <w:rsid w:val="00106553"/>
    <w:rsid w:val="0012052F"/>
    <w:rsid w:val="00127517"/>
    <w:rsid w:val="00133E64"/>
    <w:rsid w:val="00135433"/>
    <w:rsid w:val="00146910"/>
    <w:rsid w:val="00146A65"/>
    <w:rsid w:val="0016082D"/>
    <w:rsid w:val="00161EAC"/>
    <w:rsid w:val="00172272"/>
    <w:rsid w:val="001765AF"/>
    <w:rsid w:val="00177B12"/>
    <w:rsid w:val="00181C24"/>
    <w:rsid w:val="001834E9"/>
    <w:rsid w:val="00186184"/>
    <w:rsid w:val="001863AD"/>
    <w:rsid w:val="00186FCA"/>
    <w:rsid w:val="00192B2A"/>
    <w:rsid w:val="001961CD"/>
    <w:rsid w:val="00196AA0"/>
    <w:rsid w:val="00196D9E"/>
    <w:rsid w:val="00196E7B"/>
    <w:rsid w:val="001A030B"/>
    <w:rsid w:val="001A6DF5"/>
    <w:rsid w:val="001A78A1"/>
    <w:rsid w:val="001B1A41"/>
    <w:rsid w:val="001B631F"/>
    <w:rsid w:val="001C0342"/>
    <w:rsid w:val="001C2CB6"/>
    <w:rsid w:val="001C3FA6"/>
    <w:rsid w:val="001C5729"/>
    <w:rsid w:val="001D3B8D"/>
    <w:rsid w:val="001D457E"/>
    <w:rsid w:val="001D6B14"/>
    <w:rsid w:val="001E2CB9"/>
    <w:rsid w:val="001E51E4"/>
    <w:rsid w:val="001F159B"/>
    <w:rsid w:val="00201F7E"/>
    <w:rsid w:val="00205368"/>
    <w:rsid w:val="002061C6"/>
    <w:rsid w:val="00207157"/>
    <w:rsid w:val="002109CD"/>
    <w:rsid w:val="002148D1"/>
    <w:rsid w:val="00214CB0"/>
    <w:rsid w:val="00216DCC"/>
    <w:rsid w:val="00223B24"/>
    <w:rsid w:val="002252B8"/>
    <w:rsid w:val="00250902"/>
    <w:rsid w:val="002510AE"/>
    <w:rsid w:val="002629BB"/>
    <w:rsid w:val="00262AEA"/>
    <w:rsid w:val="00270929"/>
    <w:rsid w:val="0027567B"/>
    <w:rsid w:val="00275AB0"/>
    <w:rsid w:val="00284285"/>
    <w:rsid w:val="002859D5"/>
    <w:rsid w:val="002907AD"/>
    <w:rsid w:val="00296C6B"/>
    <w:rsid w:val="00297A5F"/>
    <w:rsid w:val="002A534D"/>
    <w:rsid w:val="002B3B48"/>
    <w:rsid w:val="002B7A1B"/>
    <w:rsid w:val="002B7EE9"/>
    <w:rsid w:val="002C3557"/>
    <w:rsid w:val="002C4BEC"/>
    <w:rsid w:val="002C7303"/>
    <w:rsid w:val="002E64A7"/>
    <w:rsid w:val="00301118"/>
    <w:rsid w:val="0031031B"/>
    <w:rsid w:val="00320425"/>
    <w:rsid w:val="0032392F"/>
    <w:rsid w:val="003246CC"/>
    <w:rsid w:val="0033057E"/>
    <w:rsid w:val="00331DE1"/>
    <w:rsid w:val="0033402D"/>
    <w:rsid w:val="003400CB"/>
    <w:rsid w:val="003410F3"/>
    <w:rsid w:val="00343DB0"/>
    <w:rsid w:val="00351275"/>
    <w:rsid w:val="0036122E"/>
    <w:rsid w:val="00361441"/>
    <w:rsid w:val="003644DE"/>
    <w:rsid w:val="00367B8C"/>
    <w:rsid w:val="00376BA1"/>
    <w:rsid w:val="00380D59"/>
    <w:rsid w:val="00385C23"/>
    <w:rsid w:val="003948C1"/>
    <w:rsid w:val="003A2338"/>
    <w:rsid w:val="003A3C35"/>
    <w:rsid w:val="003A3F37"/>
    <w:rsid w:val="003A61B2"/>
    <w:rsid w:val="003A7307"/>
    <w:rsid w:val="003B2862"/>
    <w:rsid w:val="003B4C8D"/>
    <w:rsid w:val="003B699F"/>
    <w:rsid w:val="003C3E11"/>
    <w:rsid w:val="003C44EF"/>
    <w:rsid w:val="003C51F5"/>
    <w:rsid w:val="003D0E31"/>
    <w:rsid w:val="003D2D85"/>
    <w:rsid w:val="003D691E"/>
    <w:rsid w:val="003D6A3E"/>
    <w:rsid w:val="003E0A43"/>
    <w:rsid w:val="003E0A73"/>
    <w:rsid w:val="003E1C35"/>
    <w:rsid w:val="003E260A"/>
    <w:rsid w:val="003E2B2A"/>
    <w:rsid w:val="003E4B8C"/>
    <w:rsid w:val="003E5DF4"/>
    <w:rsid w:val="003E664D"/>
    <w:rsid w:val="003E6CA4"/>
    <w:rsid w:val="003F3AC4"/>
    <w:rsid w:val="003F56B1"/>
    <w:rsid w:val="00406CBB"/>
    <w:rsid w:val="004120C1"/>
    <w:rsid w:val="004175C9"/>
    <w:rsid w:val="004216D4"/>
    <w:rsid w:val="00425B35"/>
    <w:rsid w:val="00434E54"/>
    <w:rsid w:val="00442770"/>
    <w:rsid w:val="00450E28"/>
    <w:rsid w:val="00451CF4"/>
    <w:rsid w:val="00453D56"/>
    <w:rsid w:val="00454070"/>
    <w:rsid w:val="00455525"/>
    <w:rsid w:val="00457703"/>
    <w:rsid w:val="004602F0"/>
    <w:rsid w:val="00463EAE"/>
    <w:rsid w:val="0046784D"/>
    <w:rsid w:val="00471C55"/>
    <w:rsid w:val="00481C72"/>
    <w:rsid w:val="00481FAC"/>
    <w:rsid w:val="0048201A"/>
    <w:rsid w:val="00491452"/>
    <w:rsid w:val="004927E8"/>
    <w:rsid w:val="00492829"/>
    <w:rsid w:val="0049478E"/>
    <w:rsid w:val="00497FA0"/>
    <w:rsid w:val="004A4399"/>
    <w:rsid w:val="004C5179"/>
    <w:rsid w:val="004D0388"/>
    <w:rsid w:val="004E0AFD"/>
    <w:rsid w:val="004E302F"/>
    <w:rsid w:val="004F1783"/>
    <w:rsid w:val="005074CD"/>
    <w:rsid w:val="00520653"/>
    <w:rsid w:val="00526EF7"/>
    <w:rsid w:val="00543175"/>
    <w:rsid w:val="005449F3"/>
    <w:rsid w:val="005458C4"/>
    <w:rsid w:val="0054767D"/>
    <w:rsid w:val="005519B5"/>
    <w:rsid w:val="00555394"/>
    <w:rsid w:val="005565B6"/>
    <w:rsid w:val="00562370"/>
    <w:rsid w:val="00563F40"/>
    <w:rsid w:val="0056710D"/>
    <w:rsid w:val="0057044D"/>
    <w:rsid w:val="00574F14"/>
    <w:rsid w:val="00576BC2"/>
    <w:rsid w:val="005818AD"/>
    <w:rsid w:val="005828AB"/>
    <w:rsid w:val="00596DC5"/>
    <w:rsid w:val="005A26DE"/>
    <w:rsid w:val="005A3070"/>
    <w:rsid w:val="005A367B"/>
    <w:rsid w:val="005A4ED2"/>
    <w:rsid w:val="005B371F"/>
    <w:rsid w:val="005B56CD"/>
    <w:rsid w:val="005C4221"/>
    <w:rsid w:val="005C572F"/>
    <w:rsid w:val="005C6920"/>
    <w:rsid w:val="005D320F"/>
    <w:rsid w:val="005D7D28"/>
    <w:rsid w:val="005E58C9"/>
    <w:rsid w:val="005F7245"/>
    <w:rsid w:val="006023DE"/>
    <w:rsid w:val="00604A69"/>
    <w:rsid w:val="00620E99"/>
    <w:rsid w:val="00636A4F"/>
    <w:rsid w:val="00637C01"/>
    <w:rsid w:val="0065634A"/>
    <w:rsid w:val="00657958"/>
    <w:rsid w:val="00657988"/>
    <w:rsid w:val="0066225D"/>
    <w:rsid w:val="006664EC"/>
    <w:rsid w:val="00667B7C"/>
    <w:rsid w:val="00667C8E"/>
    <w:rsid w:val="00670285"/>
    <w:rsid w:val="00671AEB"/>
    <w:rsid w:val="006736CE"/>
    <w:rsid w:val="00675A48"/>
    <w:rsid w:val="006816FB"/>
    <w:rsid w:val="00691E11"/>
    <w:rsid w:val="00695347"/>
    <w:rsid w:val="00696CCE"/>
    <w:rsid w:val="00697A47"/>
    <w:rsid w:val="006A129D"/>
    <w:rsid w:val="006A1BDE"/>
    <w:rsid w:val="006A7954"/>
    <w:rsid w:val="006B0D8F"/>
    <w:rsid w:val="006B1694"/>
    <w:rsid w:val="006B652E"/>
    <w:rsid w:val="006C4541"/>
    <w:rsid w:val="006C4A35"/>
    <w:rsid w:val="006C72E8"/>
    <w:rsid w:val="006C7B25"/>
    <w:rsid w:val="006D1845"/>
    <w:rsid w:val="006D6E88"/>
    <w:rsid w:val="006E295A"/>
    <w:rsid w:val="006E390C"/>
    <w:rsid w:val="006E679E"/>
    <w:rsid w:val="006E7A01"/>
    <w:rsid w:val="006F49D1"/>
    <w:rsid w:val="00700C65"/>
    <w:rsid w:val="00711A66"/>
    <w:rsid w:val="00720581"/>
    <w:rsid w:val="0072148B"/>
    <w:rsid w:val="007266C3"/>
    <w:rsid w:val="00730E91"/>
    <w:rsid w:val="00734D78"/>
    <w:rsid w:val="0073534C"/>
    <w:rsid w:val="00737C44"/>
    <w:rsid w:val="007406BD"/>
    <w:rsid w:val="00742100"/>
    <w:rsid w:val="00746978"/>
    <w:rsid w:val="007469B8"/>
    <w:rsid w:val="00747BDB"/>
    <w:rsid w:val="00751BDC"/>
    <w:rsid w:val="00764743"/>
    <w:rsid w:val="00764DF2"/>
    <w:rsid w:val="00770DF7"/>
    <w:rsid w:val="007715D9"/>
    <w:rsid w:val="00774D62"/>
    <w:rsid w:val="00776874"/>
    <w:rsid w:val="00777FC2"/>
    <w:rsid w:val="00781A32"/>
    <w:rsid w:val="00790CE8"/>
    <w:rsid w:val="00790F20"/>
    <w:rsid w:val="00790F83"/>
    <w:rsid w:val="00792580"/>
    <w:rsid w:val="00796D30"/>
    <w:rsid w:val="0079778B"/>
    <w:rsid w:val="007A5006"/>
    <w:rsid w:val="007A5102"/>
    <w:rsid w:val="007B0ABA"/>
    <w:rsid w:val="007B0C35"/>
    <w:rsid w:val="007B4AEA"/>
    <w:rsid w:val="007B54B4"/>
    <w:rsid w:val="007B6C06"/>
    <w:rsid w:val="007B7C68"/>
    <w:rsid w:val="007C2BD4"/>
    <w:rsid w:val="007D083D"/>
    <w:rsid w:val="007D22DE"/>
    <w:rsid w:val="007D7476"/>
    <w:rsid w:val="007E27AA"/>
    <w:rsid w:val="007E48A5"/>
    <w:rsid w:val="007F1CC8"/>
    <w:rsid w:val="007F61D8"/>
    <w:rsid w:val="007F7250"/>
    <w:rsid w:val="008016DD"/>
    <w:rsid w:val="00802549"/>
    <w:rsid w:val="00805D21"/>
    <w:rsid w:val="00811CF8"/>
    <w:rsid w:val="00816B3B"/>
    <w:rsid w:val="00817B76"/>
    <w:rsid w:val="008238A5"/>
    <w:rsid w:val="0082506A"/>
    <w:rsid w:val="00825153"/>
    <w:rsid w:val="00835ACA"/>
    <w:rsid w:val="0084133A"/>
    <w:rsid w:val="00846BB7"/>
    <w:rsid w:val="00847C3A"/>
    <w:rsid w:val="0085755E"/>
    <w:rsid w:val="00860B7E"/>
    <w:rsid w:val="008664AA"/>
    <w:rsid w:val="00870C33"/>
    <w:rsid w:val="00874F2D"/>
    <w:rsid w:val="00876526"/>
    <w:rsid w:val="00891202"/>
    <w:rsid w:val="00893AEB"/>
    <w:rsid w:val="00895953"/>
    <w:rsid w:val="008A2D0D"/>
    <w:rsid w:val="008A643F"/>
    <w:rsid w:val="008B2146"/>
    <w:rsid w:val="008B7800"/>
    <w:rsid w:val="008C6196"/>
    <w:rsid w:val="008C6FAC"/>
    <w:rsid w:val="008C7F02"/>
    <w:rsid w:val="008D12E0"/>
    <w:rsid w:val="008D7A23"/>
    <w:rsid w:val="008E58F8"/>
    <w:rsid w:val="008E7B4E"/>
    <w:rsid w:val="008F19B5"/>
    <w:rsid w:val="008F4572"/>
    <w:rsid w:val="008F4A76"/>
    <w:rsid w:val="00901F04"/>
    <w:rsid w:val="009100D1"/>
    <w:rsid w:val="00923ACC"/>
    <w:rsid w:val="00923D1F"/>
    <w:rsid w:val="009314EF"/>
    <w:rsid w:val="00931ADB"/>
    <w:rsid w:val="00932276"/>
    <w:rsid w:val="00932B26"/>
    <w:rsid w:val="00936FC3"/>
    <w:rsid w:val="00937055"/>
    <w:rsid w:val="009628A8"/>
    <w:rsid w:val="0096318D"/>
    <w:rsid w:val="009643B5"/>
    <w:rsid w:val="00964BCE"/>
    <w:rsid w:val="00975EDC"/>
    <w:rsid w:val="009845A2"/>
    <w:rsid w:val="009858A5"/>
    <w:rsid w:val="00990A43"/>
    <w:rsid w:val="00993617"/>
    <w:rsid w:val="009951FB"/>
    <w:rsid w:val="00995B5D"/>
    <w:rsid w:val="0099608C"/>
    <w:rsid w:val="009965CB"/>
    <w:rsid w:val="009A0BC3"/>
    <w:rsid w:val="009A6040"/>
    <w:rsid w:val="009B18E2"/>
    <w:rsid w:val="009B2185"/>
    <w:rsid w:val="009C00EF"/>
    <w:rsid w:val="009C100E"/>
    <w:rsid w:val="009C3266"/>
    <w:rsid w:val="009D34A4"/>
    <w:rsid w:val="009E0019"/>
    <w:rsid w:val="009E7A2A"/>
    <w:rsid w:val="009F0BEC"/>
    <w:rsid w:val="009F1F9E"/>
    <w:rsid w:val="009F2579"/>
    <w:rsid w:val="009F2820"/>
    <w:rsid w:val="009F74E4"/>
    <w:rsid w:val="00A014FA"/>
    <w:rsid w:val="00A06C8F"/>
    <w:rsid w:val="00A077F4"/>
    <w:rsid w:val="00A07A67"/>
    <w:rsid w:val="00A10108"/>
    <w:rsid w:val="00A10ACB"/>
    <w:rsid w:val="00A122CB"/>
    <w:rsid w:val="00A14B95"/>
    <w:rsid w:val="00A151BF"/>
    <w:rsid w:val="00A20CDE"/>
    <w:rsid w:val="00A219ED"/>
    <w:rsid w:val="00A26CE8"/>
    <w:rsid w:val="00A27E7A"/>
    <w:rsid w:val="00A35890"/>
    <w:rsid w:val="00A4171F"/>
    <w:rsid w:val="00A42940"/>
    <w:rsid w:val="00A42B65"/>
    <w:rsid w:val="00A4570A"/>
    <w:rsid w:val="00A47D60"/>
    <w:rsid w:val="00A51761"/>
    <w:rsid w:val="00A51835"/>
    <w:rsid w:val="00A522DD"/>
    <w:rsid w:val="00A57814"/>
    <w:rsid w:val="00A674EF"/>
    <w:rsid w:val="00A70E02"/>
    <w:rsid w:val="00A71DF3"/>
    <w:rsid w:val="00A73069"/>
    <w:rsid w:val="00A76E9C"/>
    <w:rsid w:val="00A80919"/>
    <w:rsid w:val="00A84063"/>
    <w:rsid w:val="00A87A67"/>
    <w:rsid w:val="00A90A2C"/>
    <w:rsid w:val="00A93AD5"/>
    <w:rsid w:val="00A96F20"/>
    <w:rsid w:val="00AA0D5C"/>
    <w:rsid w:val="00AA194B"/>
    <w:rsid w:val="00AB1E49"/>
    <w:rsid w:val="00AB4BC1"/>
    <w:rsid w:val="00AB5259"/>
    <w:rsid w:val="00AB68A4"/>
    <w:rsid w:val="00AB71E5"/>
    <w:rsid w:val="00AC0B18"/>
    <w:rsid w:val="00AC39E5"/>
    <w:rsid w:val="00AD29E4"/>
    <w:rsid w:val="00AE0F0F"/>
    <w:rsid w:val="00AF7688"/>
    <w:rsid w:val="00B003F6"/>
    <w:rsid w:val="00B00835"/>
    <w:rsid w:val="00B00D79"/>
    <w:rsid w:val="00B01DBC"/>
    <w:rsid w:val="00B029E8"/>
    <w:rsid w:val="00B04D23"/>
    <w:rsid w:val="00B0554B"/>
    <w:rsid w:val="00B109AA"/>
    <w:rsid w:val="00B17B2F"/>
    <w:rsid w:val="00B24FDD"/>
    <w:rsid w:val="00B2612A"/>
    <w:rsid w:val="00B2791E"/>
    <w:rsid w:val="00B313B7"/>
    <w:rsid w:val="00B344DA"/>
    <w:rsid w:val="00B357D6"/>
    <w:rsid w:val="00B470BA"/>
    <w:rsid w:val="00B62228"/>
    <w:rsid w:val="00B626FF"/>
    <w:rsid w:val="00B6308B"/>
    <w:rsid w:val="00B65F2F"/>
    <w:rsid w:val="00B6629A"/>
    <w:rsid w:val="00B70D04"/>
    <w:rsid w:val="00B8552F"/>
    <w:rsid w:val="00B87828"/>
    <w:rsid w:val="00B90077"/>
    <w:rsid w:val="00B95873"/>
    <w:rsid w:val="00BA5045"/>
    <w:rsid w:val="00BA7C15"/>
    <w:rsid w:val="00BB0B24"/>
    <w:rsid w:val="00BB781C"/>
    <w:rsid w:val="00BC0C17"/>
    <w:rsid w:val="00BC0CD7"/>
    <w:rsid w:val="00BC669B"/>
    <w:rsid w:val="00BD021C"/>
    <w:rsid w:val="00BD6DC1"/>
    <w:rsid w:val="00BE02BC"/>
    <w:rsid w:val="00BE4972"/>
    <w:rsid w:val="00BE61BC"/>
    <w:rsid w:val="00C0184D"/>
    <w:rsid w:val="00C07F1D"/>
    <w:rsid w:val="00C1016B"/>
    <w:rsid w:val="00C13492"/>
    <w:rsid w:val="00C17AAF"/>
    <w:rsid w:val="00C26DB4"/>
    <w:rsid w:val="00C338BE"/>
    <w:rsid w:val="00C40725"/>
    <w:rsid w:val="00C41029"/>
    <w:rsid w:val="00C41343"/>
    <w:rsid w:val="00C4426F"/>
    <w:rsid w:val="00C461B3"/>
    <w:rsid w:val="00C4747A"/>
    <w:rsid w:val="00C4759D"/>
    <w:rsid w:val="00C51275"/>
    <w:rsid w:val="00C5331D"/>
    <w:rsid w:val="00C54F37"/>
    <w:rsid w:val="00C56704"/>
    <w:rsid w:val="00C65E7F"/>
    <w:rsid w:val="00C734E1"/>
    <w:rsid w:val="00C84B99"/>
    <w:rsid w:val="00C84C75"/>
    <w:rsid w:val="00C93740"/>
    <w:rsid w:val="00CB48D8"/>
    <w:rsid w:val="00CC4FCD"/>
    <w:rsid w:val="00CC675C"/>
    <w:rsid w:val="00CC75D5"/>
    <w:rsid w:val="00CD26C9"/>
    <w:rsid w:val="00CD3D3E"/>
    <w:rsid w:val="00CD7976"/>
    <w:rsid w:val="00CE2DDA"/>
    <w:rsid w:val="00CE719F"/>
    <w:rsid w:val="00CF0E68"/>
    <w:rsid w:val="00CF270D"/>
    <w:rsid w:val="00D03862"/>
    <w:rsid w:val="00D0590D"/>
    <w:rsid w:val="00D11C04"/>
    <w:rsid w:val="00D23B3D"/>
    <w:rsid w:val="00D2445C"/>
    <w:rsid w:val="00D30A12"/>
    <w:rsid w:val="00D406E6"/>
    <w:rsid w:val="00D42289"/>
    <w:rsid w:val="00D4443C"/>
    <w:rsid w:val="00D445F8"/>
    <w:rsid w:val="00D47A7F"/>
    <w:rsid w:val="00D50CF8"/>
    <w:rsid w:val="00D51BED"/>
    <w:rsid w:val="00D533FA"/>
    <w:rsid w:val="00D57868"/>
    <w:rsid w:val="00D61638"/>
    <w:rsid w:val="00D61F2E"/>
    <w:rsid w:val="00D650A9"/>
    <w:rsid w:val="00D677EA"/>
    <w:rsid w:val="00D72719"/>
    <w:rsid w:val="00D85006"/>
    <w:rsid w:val="00D954BA"/>
    <w:rsid w:val="00DA2545"/>
    <w:rsid w:val="00DA42B1"/>
    <w:rsid w:val="00DB09D6"/>
    <w:rsid w:val="00DB69D1"/>
    <w:rsid w:val="00DC2361"/>
    <w:rsid w:val="00DC7996"/>
    <w:rsid w:val="00DD463E"/>
    <w:rsid w:val="00DE25F8"/>
    <w:rsid w:val="00DF0D6F"/>
    <w:rsid w:val="00DF3E1F"/>
    <w:rsid w:val="00E031A9"/>
    <w:rsid w:val="00E06511"/>
    <w:rsid w:val="00E10CC5"/>
    <w:rsid w:val="00E13872"/>
    <w:rsid w:val="00E216B6"/>
    <w:rsid w:val="00E2183F"/>
    <w:rsid w:val="00E222E3"/>
    <w:rsid w:val="00E24CA2"/>
    <w:rsid w:val="00E30A06"/>
    <w:rsid w:val="00E36700"/>
    <w:rsid w:val="00E41F6C"/>
    <w:rsid w:val="00E44A9E"/>
    <w:rsid w:val="00E52BA5"/>
    <w:rsid w:val="00E5636D"/>
    <w:rsid w:val="00E62CF4"/>
    <w:rsid w:val="00E67AF7"/>
    <w:rsid w:val="00E7220B"/>
    <w:rsid w:val="00E775D3"/>
    <w:rsid w:val="00E77884"/>
    <w:rsid w:val="00E832FF"/>
    <w:rsid w:val="00E871B6"/>
    <w:rsid w:val="00E87D3E"/>
    <w:rsid w:val="00E91B7B"/>
    <w:rsid w:val="00E933B9"/>
    <w:rsid w:val="00EA5953"/>
    <w:rsid w:val="00EC5C49"/>
    <w:rsid w:val="00EC5E5F"/>
    <w:rsid w:val="00ED4A10"/>
    <w:rsid w:val="00ED51BB"/>
    <w:rsid w:val="00EE1146"/>
    <w:rsid w:val="00EE4241"/>
    <w:rsid w:val="00EE75AA"/>
    <w:rsid w:val="00EF110B"/>
    <w:rsid w:val="00EF430C"/>
    <w:rsid w:val="00F01203"/>
    <w:rsid w:val="00F018DF"/>
    <w:rsid w:val="00F11E00"/>
    <w:rsid w:val="00F124E2"/>
    <w:rsid w:val="00F26E84"/>
    <w:rsid w:val="00F27EE0"/>
    <w:rsid w:val="00F34A9A"/>
    <w:rsid w:val="00F35035"/>
    <w:rsid w:val="00F37DE2"/>
    <w:rsid w:val="00F43CFE"/>
    <w:rsid w:val="00F4507F"/>
    <w:rsid w:val="00F4697B"/>
    <w:rsid w:val="00F560FB"/>
    <w:rsid w:val="00F60C53"/>
    <w:rsid w:val="00F63D02"/>
    <w:rsid w:val="00F66203"/>
    <w:rsid w:val="00F75447"/>
    <w:rsid w:val="00F85306"/>
    <w:rsid w:val="00F91042"/>
    <w:rsid w:val="00F92AD0"/>
    <w:rsid w:val="00FA533D"/>
    <w:rsid w:val="00FA778F"/>
    <w:rsid w:val="00FB4887"/>
    <w:rsid w:val="00FB50A1"/>
    <w:rsid w:val="00FB778E"/>
    <w:rsid w:val="00FC0B1F"/>
    <w:rsid w:val="00FC0C33"/>
    <w:rsid w:val="00FC17E4"/>
    <w:rsid w:val="00FC2A51"/>
    <w:rsid w:val="00FC679B"/>
    <w:rsid w:val="00FC70E7"/>
    <w:rsid w:val="00FD141C"/>
    <w:rsid w:val="00FD5BA7"/>
    <w:rsid w:val="00FE1EB8"/>
    <w:rsid w:val="00FE3BF2"/>
    <w:rsid w:val="00FE3CEA"/>
    <w:rsid w:val="00FE77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7108E3B-DCDF-436C-A5E3-2B995D29D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61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5"/>
      </w:numPr>
      <w:contextualSpacing/>
    </w:pPr>
    <w:rPr>
      <w:rFonts w:ascii="Times New Roman" w:eastAsia="Times New Roman" w:hAnsi="Times New Roman" w:cs="Times New Roman"/>
      <w:sz w:val="20"/>
      <w:szCs w:val="20"/>
    </w:r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paragraph" w:styleId="NormalWeb">
    <w:name w:val="Normal (Web)"/>
    <w:basedOn w:val="Normal"/>
    <w:uiPriority w:val="99"/>
    <w:rsid w:val="003400CB"/>
    <w:pPr>
      <w:spacing w:before="100" w:beforeAutospacing="1" w:after="100" w:afterAutospacing="1"/>
    </w:pPr>
    <w:rPr>
      <w:rFonts w:ascii="Times New Roman" w:eastAsia="Times New Roman" w:hAnsi="Times New Roman" w:cs="Times New Roman"/>
      <w:lang w:val="es-ES" w:eastAsia="es-MX"/>
    </w:rPr>
  </w:style>
  <w:style w:type="paragraph" w:customStyle="1" w:styleId="Citas">
    <w:name w:val="Citas"/>
    <w:basedOn w:val="Normal"/>
    <w:qFormat/>
    <w:rsid w:val="00177B12"/>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infoemcitas">
    <w:name w:val="infoem citas"/>
    <w:basedOn w:val="Normal"/>
    <w:qFormat/>
    <w:rsid w:val="00177B12"/>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character" w:styleId="Refdecomentario">
    <w:name w:val="annotation reference"/>
    <w:basedOn w:val="Fuentedeprrafopredeter"/>
    <w:uiPriority w:val="99"/>
    <w:semiHidden/>
    <w:unhideWhenUsed/>
    <w:rsid w:val="00E52BA5"/>
    <w:rPr>
      <w:sz w:val="16"/>
      <w:szCs w:val="16"/>
    </w:rPr>
  </w:style>
  <w:style w:type="paragraph" w:styleId="Textocomentario">
    <w:name w:val="annotation text"/>
    <w:basedOn w:val="Normal"/>
    <w:link w:val="TextocomentarioCar"/>
    <w:uiPriority w:val="99"/>
    <w:semiHidden/>
    <w:unhideWhenUsed/>
    <w:rsid w:val="00E52BA5"/>
    <w:rPr>
      <w:sz w:val="20"/>
      <w:szCs w:val="20"/>
    </w:rPr>
  </w:style>
  <w:style w:type="character" w:customStyle="1" w:styleId="TextocomentarioCar">
    <w:name w:val="Texto comentario Car"/>
    <w:basedOn w:val="Fuentedeprrafopredeter"/>
    <w:link w:val="Textocomentario"/>
    <w:uiPriority w:val="99"/>
    <w:semiHidden/>
    <w:rsid w:val="00E52BA5"/>
    <w:rPr>
      <w:rFonts w:eastAsiaTheme="minorEastAsia"/>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E52BA5"/>
    <w:rPr>
      <w:b/>
      <w:bCs/>
    </w:rPr>
  </w:style>
  <w:style w:type="character" w:customStyle="1" w:styleId="AsuntodelcomentarioCar">
    <w:name w:val="Asunto del comentario Car"/>
    <w:basedOn w:val="TextocomentarioCar"/>
    <w:link w:val="Asuntodelcomentario"/>
    <w:uiPriority w:val="99"/>
    <w:semiHidden/>
    <w:rsid w:val="00E52BA5"/>
    <w:rPr>
      <w:rFonts w:eastAsiaTheme="minorEastAsia"/>
      <w:b/>
      <w:bCs/>
      <w:sz w:val="20"/>
      <w:szCs w:val="20"/>
      <w:lang w:eastAsia="es-ES"/>
    </w:rPr>
  </w:style>
  <w:style w:type="paragraph" w:styleId="Textodeglobo">
    <w:name w:val="Balloon Text"/>
    <w:basedOn w:val="Normal"/>
    <w:link w:val="TextodegloboCar"/>
    <w:uiPriority w:val="99"/>
    <w:semiHidden/>
    <w:unhideWhenUsed/>
    <w:rsid w:val="00E52BA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2BA5"/>
    <w:rPr>
      <w:rFonts w:ascii="Segoe UI" w:eastAsiaTheme="minorEastAsia"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80819">
      <w:bodyDiv w:val="1"/>
      <w:marLeft w:val="0"/>
      <w:marRight w:val="0"/>
      <w:marTop w:val="0"/>
      <w:marBottom w:val="0"/>
      <w:divBdr>
        <w:top w:val="none" w:sz="0" w:space="0" w:color="auto"/>
        <w:left w:val="none" w:sz="0" w:space="0" w:color="auto"/>
        <w:bottom w:val="none" w:sz="0" w:space="0" w:color="auto"/>
        <w:right w:val="none" w:sz="0" w:space="0" w:color="auto"/>
      </w:divBdr>
    </w:div>
    <w:div w:id="80419268">
      <w:bodyDiv w:val="1"/>
      <w:marLeft w:val="0"/>
      <w:marRight w:val="0"/>
      <w:marTop w:val="0"/>
      <w:marBottom w:val="0"/>
      <w:divBdr>
        <w:top w:val="none" w:sz="0" w:space="0" w:color="auto"/>
        <w:left w:val="none" w:sz="0" w:space="0" w:color="auto"/>
        <w:bottom w:val="none" w:sz="0" w:space="0" w:color="auto"/>
        <w:right w:val="none" w:sz="0" w:space="0" w:color="auto"/>
      </w:divBdr>
    </w:div>
    <w:div w:id="123819763">
      <w:bodyDiv w:val="1"/>
      <w:marLeft w:val="0"/>
      <w:marRight w:val="0"/>
      <w:marTop w:val="0"/>
      <w:marBottom w:val="0"/>
      <w:divBdr>
        <w:top w:val="none" w:sz="0" w:space="0" w:color="auto"/>
        <w:left w:val="none" w:sz="0" w:space="0" w:color="auto"/>
        <w:bottom w:val="none" w:sz="0" w:space="0" w:color="auto"/>
        <w:right w:val="none" w:sz="0" w:space="0" w:color="auto"/>
      </w:divBdr>
    </w:div>
    <w:div w:id="168832834">
      <w:bodyDiv w:val="1"/>
      <w:marLeft w:val="0"/>
      <w:marRight w:val="0"/>
      <w:marTop w:val="0"/>
      <w:marBottom w:val="0"/>
      <w:divBdr>
        <w:top w:val="none" w:sz="0" w:space="0" w:color="auto"/>
        <w:left w:val="none" w:sz="0" w:space="0" w:color="auto"/>
        <w:bottom w:val="none" w:sz="0" w:space="0" w:color="auto"/>
        <w:right w:val="none" w:sz="0" w:space="0" w:color="auto"/>
      </w:divBdr>
    </w:div>
    <w:div w:id="232934045">
      <w:bodyDiv w:val="1"/>
      <w:marLeft w:val="0"/>
      <w:marRight w:val="0"/>
      <w:marTop w:val="0"/>
      <w:marBottom w:val="0"/>
      <w:divBdr>
        <w:top w:val="none" w:sz="0" w:space="0" w:color="auto"/>
        <w:left w:val="none" w:sz="0" w:space="0" w:color="auto"/>
        <w:bottom w:val="none" w:sz="0" w:space="0" w:color="auto"/>
        <w:right w:val="none" w:sz="0" w:space="0" w:color="auto"/>
      </w:divBdr>
    </w:div>
    <w:div w:id="331568645">
      <w:bodyDiv w:val="1"/>
      <w:marLeft w:val="0"/>
      <w:marRight w:val="0"/>
      <w:marTop w:val="0"/>
      <w:marBottom w:val="0"/>
      <w:divBdr>
        <w:top w:val="none" w:sz="0" w:space="0" w:color="auto"/>
        <w:left w:val="none" w:sz="0" w:space="0" w:color="auto"/>
        <w:bottom w:val="none" w:sz="0" w:space="0" w:color="auto"/>
        <w:right w:val="none" w:sz="0" w:space="0" w:color="auto"/>
      </w:divBdr>
    </w:div>
    <w:div w:id="425460048">
      <w:bodyDiv w:val="1"/>
      <w:marLeft w:val="0"/>
      <w:marRight w:val="0"/>
      <w:marTop w:val="0"/>
      <w:marBottom w:val="0"/>
      <w:divBdr>
        <w:top w:val="none" w:sz="0" w:space="0" w:color="auto"/>
        <w:left w:val="none" w:sz="0" w:space="0" w:color="auto"/>
        <w:bottom w:val="none" w:sz="0" w:space="0" w:color="auto"/>
        <w:right w:val="none" w:sz="0" w:space="0" w:color="auto"/>
      </w:divBdr>
    </w:div>
    <w:div w:id="503976130">
      <w:bodyDiv w:val="1"/>
      <w:marLeft w:val="0"/>
      <w:marRight w:val="0"/>
      <w:marTop w:val="0"/>
      <w:marBottom w:val="0"/>
      <w:divBdr>
        <w:top w:val="none" w:sz="0" w:space="0" w:color="auto"/>
        <w:left w:val="none" w:sz="0" w:space="0" w:color="auto"/>
        <w:bottom w:val="none" w:sz="0" w:space="0" w:color="auto"/>
        <w:right w:val="none" w:sz="0" w:space="0" w:color="auto"/>
      </w:divBdr>
    </w:div>
    <w:div w:id="517547659">
      <w:bodyDiv w:val="1"/>
      <w:marLeft w:val="0"/>
      <w:marRight w:val="0"/>
      <w:marTop w:val="0"/>
      <w:marBottom w:val="0"/>
      <w:divBdr>
        <w:top w:val="none" w:sz="0" w:space="0" w:color="auto"/>
        <w:left w:val="none" w:sz="0" w:space="0" w:color="auto"/>
        <w:bottom w:val="none" w:sz="0" w:space="0" w:color="auto"/>
        <w:right w:val="none" w:sz="0" w:space="0" w:color="auto"/>
      </w:divBdr>
    </w:div>
    <w:div w:id="583421812">
      <w:bodyDiv w:val="1"/>
      <w:marLeft w:val="0"/>
      <w:marRight w:val="0"/>
      <w:marTop w:val="0"/>
      <w:marBottom w:val="0"/>
      <w:divBdr>
        <w:top w:val="none" w:sz="0" w:space="0" w:color="auto"/>
        <w:left w:val="none" w:sz="0" w:space="0" w:color="auto"/>
        <w:bottom w:val="none" w:sz="0" w:space="0" w:color="auto"/>
        <w:right w:val="none" w:sz="0" w:space="0" w:color="auto"/>
      </w:divBdr>
    </w:div>
    <w:div w:id="592861123">
      <w:bodyDiv w:val="1"/>
      <w:marLeft w:val="0"/>
      <w:marRight w:val="0"/>
      <w:marTop w:val="0"/>
      <w:marBottom w:val="0"/>
      <w:divBdr>
        <w:top w:val="none" w:sz="0" w:space="0" w:color="auto"/>
        <w:left w:val="none" w:sz="0" w:space="0" w:color="auto"/>
        <w:bottom w:val="none" w:sz="0" w:space="0" w:color="auto"/>
        <w:right w:val="none" w:sz="0" w:space="0" w:color="auto"/>
      </w:divBdr>
    </w:div>
    <w:div w:id="648704814">
      <w:bodyDiv w:val="1"/>
      <w:marLeft w:val="0"/>
      <w:marRight w:val="0"/>
      <w:marTop w:val="0"/>
      <w:marBottom w:val="0"/>
      <w:divBdr>
        <w:top w:val="none" w:sz="0" w:space="0" w:color="auto"/>
        <w:left w:val="none" w:sz="0" w:space="0" w:color="auto"/>
        <w:bottom w:val="none" w:sz="0" w:space="0" w:color="auto"/>
        <w:right w:val="none" w:sz="0" w:space="0" w:color="auto"/>
      </w:divBdr>
    </w:div>
    <w:div w:id="859199394">
      <w:bodyDiv w:val="1"/>
      <w:marLeft w:val="0"/>
      <w:marRight w:val="0"/>
      <w:marTop w:val="0"/>
      <w:marBottom w:val="0"/>
      <w:divBdr>
        <w:top w:val="none" w:sz="0" w:space="0" w:color="auto"/>
        <w:left w:val="none" w:sz="0" w:space="0" w:color="auto"/>
        <w:bottom w:val="none" w:sz="0" w:space="0" w:color="auto"/>
        <w:right w:val="none" w:sz="0" w:space="0" w:color="auto"/>
      </w:divBdr>
    </w:div>
    <w:div w:id="859439885">
      <w:bodyDiv w:val="1"/>
      <w:marLeft w:val="0"/>
      <w:marRight w:val="0"/>
      <w:marTop w:val="0"/>
      <w:marBottom w:val="0"/>
      <w:divBdr>
        <w:top w:val="none" w:sz="0" w:space="0" w:color="auto"/>
        <w:left w:val="none" w:sz="0" w:space="0" w:color="auto"/>
        <w:bottom w:val="none" w:sz="0" w:space="0" w:color="auto"/>
        <w:right w:val="none" w:sz="0" w:space="0" w:color="auto"/>
      </w:divBdr>
    </w:div>
    <w:div w:id="987321501">
      <w:bodyDiv w:val="1"/>
      <w:marLeft w:val="0"/>
      <w:marRight w:val="0"/>
      <w:marTop w:val="0"/>
      <w:marBottom w:val="0"/>
      <w:divBdr>
        <w:top w:val="none" w:sz="0" w:space="0" w:color="auto"/>
        <w:left w:val="none" w:sz="0" w:space="0" w:color="auto"/>
        <w:bottom w:val="none" w:sz="0" w:space="0" w:color="auto"/>
        <w:right w:val="none" w:sz="0" w:space="0" w:color="auto"/>
      </w:divBdr>
    </w:div>
    <w:div w:id="1087464418">
      <w:bodyDiv w:val="1"/>
      <w:marLeft w:val="0"/>
      <w:marRight w:val="0"/>
      <w:marTop w:val="0"/>
      <w:marBottom w:val="0"/>
      <w:divBdr>
        <w:top w:val="none" w:sz="0" w:space="0" w:color="auto"/>
        <w:left w:val="none" w:sz="0" w:space="0" w:color="auto"/>
        <w:bottom w:val="none" w:sz="0" w:space="0" w:color="auto"/>
        <w:right w:val="none" w:sz="0" w:space="0" w:color="auto"/>
      </w:divBdr>
    </w:div>
    <w:div w:id="1185628853">
      <w:bodyDiv w:val="1"/>
      <w:marLeft w:val="0"/>
      <w:marRight w:val="0"/>
      <w:marTop w:val="0"/>
      <w:marBottom w:val="0"/>
      <w:divBdr>
        <w:top w:val="none" w:sz="0" w:space="0" w:color="auto"/>
        <w:left w:val="none" w:sz="0" w:space="0" w:color="auto"/>
        <w:bottom w:val="none" w:sz="0" w:space="0" w:color="auto"/>
        <w:right w:val="none" w:sz="0" w:space="0" w:color="auto"/>
      </w:divBdr>
    </w:div>
    <w:div w:id="1191071638">
      <w:bodyDiv w:val="1"/>
      <w:marLeft w:val="0"/>
      <w:marRight w:val="0"/>
      <w:marTop w:val="0"/>
      <w:marBottom w:val="0"/>
      <w:divBdr>
        <w:top w:val="none" w:sz="0" w:space="0" w:color="auto"/>
        <w:left w:val="none" w:sz="0" w:space="0" w:color="auto"/>
        <w:bottom w:val="none" w:sz="0" w:space="0" w:color="auto"/>
        <w:right w:val="none" w:sz="0" w:space="0" w:color="auto"/>
      </w:divBdr>
    </w:div>
    <w:div w:id="1196848918">
      <w:bodyDiv w:val="1"/>
      <w:marLeft w:val="0"/>
      <w:marRight w:val="0"/>
      <w:marTop w:val="0"/>
      <w:marBottom w:val="0"/>
      <w:divBdr>
        <w:top w:val="none" w:sz="0" w:space="0" w:color="auto"/>
        <w:left w:val="none" w:sz="0" w:space="0" w:color="auto"/>
        <w:bottom w:val="none" w:sz="0" w:space="0" w:color="auto"/>
        <w:right w:val="none" w:sz="0" w:space="0" w:color="auto"/>
      </w:divBdr>
    </w:div>
    <w:div w:id="1327856558">
      <w:bodyDiv w:val="1"/>
      <w:marLeft w:val="0"/>
      <w:marRight w:val="0"/>
      <w:marTop w:val="0"/>
      <w:marBottom w:val="0"/>
      <w:divBdr>
        <w:top w:val="none" w:sz="0" w:space="0" w:color="auto"/>
        <w:left w:val="none" w:sz="0" w:space="0" w:color="auto"/>
        <w:bottom w:val="none" w:sz="0" w:space="0" w:color="auto"/>
        <w:right w:val="none" w:sz="0" w:space="0" w:color="auto"/>
      </w:divBdr>
    </w:div>
    <w:div w:id="1415542958">
      <w:bodyDiv w:val="1"/>
      <w:marLeft w:val="0"/>
      <w:marRight w:val="0"/>
      <w:marTop w:val="0"/>
      <w:marBottom w:val="0"/>
      <w:divBdr>
        <w:top w:val="none" w:sz="0" w:space="0" w:color="auto"/>
        <w:left w:val="none" w:sz="0" w:space="0" w:color="auto"/>
        <w:bottom w:val="none" w:sz="0" w:space="0" w:color="auto"/>
        <w:right w:val="none" w:sz="0" w:space="0" w:color="auto"/>
      </w:divBdr>
    </w:div>
    <w:div w:id="1453404204">
      <w:bodyDiv w:val="1"/>
      <w:marLeft w:val="0"/>
      <w:marRight w:val="0"/>
      <w:marTop w:val="0"/>
      <w:marBottom w:val="0"/>
      <w:divBdr>
        <w:top w:val="none" w:sz="0" w:space="0" w:color="auto"/>
        <w:left w:val="none" w:sz="0" w:space="0" w:color="auto"/>
        <w:bottom w:val="none" w:sz="0" w:space="0" w:color="auto"/>
        <w:right w:val="none" w:sz="0" w:space="0" w:color="auto"/>
      </w:divBdr>
    </w:div>
    <w:div w:id="1488979749">
      <w:bodyDiv w:val="1"/>
      <w:marLeft w:val="0"/>
      <w:marRight w:val="0"/>
      <w:marTop w:val="0"/>
      <w:marBottom w:val="0"/>
      <w:divBdr>
        <w:top w:val="none" w:sz="0" w:space="0" w:color="auto"/>
        <w:left w:val="none" w:sz="0" w:space="0" w:color="auto"/>
        <w:bottom w:val="none" w:sz="0" w:space="0" w:color="auto"/>
        <w:right w:val="none" w:sz="0" w:space="0" w:color="auto"/>
      </w:divBdr>
      <w:divsChild>
        <w:div w:id="563566447">
          <w:marLeft w:val="0"/>
          <w:marRight w:val="0"/>
          <w:marTop w:val="0"/>
          <w:marBottom w:val="0"/>
          <w:divBdr>
            <w:top w:val="none" w:sz="0" w:space="0" w:color="auto"/>
            <w:left w:val="none" w:sz="0" w:space="0" w:color="auto"/>
            <w:bottom w:val="none" w:sz="0" w:space="0" w:color="auto"/>
            <w:right w:val="none" w:sz="0" w:space="0" w:color="auto"/>
          </w:divBdr>
        </w:div>
      </w:divsChild>
    </w:div>
    <w:div w:id="1536767983">
      <w:bodyDiv w:val="1"/>
      <w:marLeft w:val="0"/>
      <w:marRight w:val="0"/>
      <w:marTop w:val="0"/>
      <w:marBottom w:val="0"/>
      <w:divBdr>
        <w:top w:val="none" w:sz="0" w:space="0" w:color="auto"/>
        <w:left w:val="none" w:sz="0" w:space="0" w:color="auto"/>
        <w:bottom w:val="none" w:sz="0" w:space="0" w:color="auto"/>
        <w:right w:val="none" w:sz="0" w:space="0" w:color="auto"/>
      </w:divBdr>
    </w:div>
    <w:div w:id="1660965254">
      <w:bodyDiv w:val="1"/>
      <w:marLeft w:val="0"/>
      <w:marRight w:val="0"/>
      <w:marTop w:val="0"/>
      <w:marBottom w:val="0"/>
      <w:divBdr>
        <w:top w:val="none" w:sz="0" w:space="0" w:color="auto"/>
        <w:left w:val="none" w:sz="0" w:space="0" w:color="auto"/>
        <w:bottom w:val="none" w:sz="0" w:space="0" w:color="auto"/>
        <w:right w:val="none" w:sz="0" w:space="0" w:color="auto"/>
      </w:divBdr>
    </w:div>
    <w:div w:id="1665669498">
      <w:bodyDiv w:val="1"/>
      <w:marLeft w:val="0"/>
      <w:marRight w:val="0"/>
      <w:marTop w:val="0"/>
      <w:marBottom w:val="0"/>
      <w:divBdr>
        <w:top w:val="none" w:sz="0" w:space="0" w:color="auto"/>
        <w:left w:val="none" w:sz="0" w:space="0" w:color="auto"/>
        <w:bottom w:val="none" w:sz="0" w:space="0" w:color="auto"/>
        <w:right w:val="none" w:sz="0" w:space="0" w:color="auto"/>
      </w:divBdr>
    </w:div>
    <w:div w:id="1889299643">
      <w:bodyDiv w:val="1"/>
      <w:marLeft w:val="0"/>
      <w:marRight w:val="0"/>
      <w:marTop w:val="0"/>
      <w:marBottom w:val="0"/>
      <w:divBdr>
        <w:top w:val="none" w:sz="0" w:space="0" w:color="auto"/>
        <w:left w:val="none" w:sz="0" w:space="0" w:color="auto"/>
        <w:bottom w:val="none" w:sz="0" w:space="0" w:color="auto"/>
        <w:right w:val="none" w:sz="0" w:space="0" w:color="auto"/>
      </w:divBdr>
    </w:div>
    <w:div w:id="1930504290">
      <w:bodyDiv w:val="1"/>
      <w:marLeft w:val="0"/>
      <w:marRight w:val="0"/>
      <w:marTop w:val="0"/>
      <w:marBottom w:val="0"/>
      <w:divBdr>
        <w:top w:val="none" w:sz="0" w:space="0" w:color="auto"/>
        <w:left w:val="none" w:sz="0" w:space="0" w:color="auto"/>
        <w:bottom w:val="none" w:sz="0" w:space="0" w:color="auto"/>
        <w:right w:val="none" w:sz="0" w:space="0" w:color="auto"/>
      </w:divBdr>
    </w:div>
    <w:div w:id="2110468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egislacion.edomex.gob.mx/sites/legislacion.edomex.gob.mx/files/files/pdf/gct/2025/abril/abr011/abr011a.pdf"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osfem.gob.mx/entidades/documentos_apoyo.html"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BTIpGKhTGD+DXTKB1IvvqaoPdw==">CgMxLjAyCGguZ2pkZ3hzMgloLjMwajB6bGwyCWguMWZvYjl0ZTIJaC4zem55c2g3MgloLjJldDkycDAyCGgudHlqY3d0MgloLjNkeTZ2a20yCWguMXQzaDVzZjIJaC4xN2RwOHZ1MgloLjRkMzRvZzgyCGgubG54Yno5OAByITFIbWx2UkM2RWRnR0ZXOElOcjRSOXZRNzNiM0dFR3RFRw==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7342439-9A17-4E8D-8E8A-E0F7FFC26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38</Pages>
  <Words>8947</Words>
  <Characters>49211</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58042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51</cp:revision>
  <cp:lastPrinted>2025-08-08T16:31:00Z</cp:lastPrinted>
  <dcterms:created xsi:type="dcterms:W3CDTF">2025-07-16T14:42:00Z</dcterms:created>
  <dcterms:modified xsi:type="dcterms:W3CDTF">2025-08-11T18:06:00Z</dcterms:modified>
</cp:coreProperties>
</file>