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D3995" w14:textId="77777777" w:rsidR="00F227D9" w:rsidRDefault="00F227D9" w:rsidP="00061188">
      <w:pPr>
        <w:pStyle w:val="TtulodeTDC"/>
        <w:spacing w:before="0" w:line="360" w:lineRule="auto"/>
        <w:jc w:val="center"/>
        <w:rPr>
          <w:rFonts w:ascii="Palatino Linotype" w:eastAsia="Palatino Linotype" w:hAnsi="Palatino Linotype" w:cs="Palatino Linotype"/>
          <w:color w:val="000000" w:themeColor="text1"/>
          <w:sz w:val="22"/>
          <w:szCs w:val="22"/>
          <w:lang w:val="es-ES"/>
        </w:rPr>
      </w:pPr>
      <w:bookmarkStart w:id="0" w:name="_GoBack"/>
      <w:bookmarkEnd w:id="0"/>
    </w:p>
    <w:sdt>
      <w:sdtPr>
        <w:rPr>
          <w:rFonts w:ascii="Palatino Linotype" w:eastAsia="Palatino Linotype" w:hAnsi="Palatino Linotype" w:cs="Palatino Linotype"/>
          <w:color w:val="000000" w:themeColor="text1"/>
          <w:sz w:val="22"/>
          <w:szCs w:val="22"/>
          <w:lang w:val="es-ES"/>
        </w:rPr>
        <w:id w:val="-1656061214"/>
        <w:docPartObj>
          <w:docPartGallery w:val="Table of Contents"/>
          <w:docPartUnique/>
        </w:docPartObj>
      </w:sdtPr>
      <w:sdtEndPr>
        <w:rPr>
          <w:b/>
          <w:bCs/>
        </w:rPr>
      </w:sdtEndPr>
      <w:sdtContent>
        <w:p w14:paraId="4C48F925" w14:textId="6DC0E63A" w:rsidR="00B81B55" w:rsidRPr="00A81186" w:rsidRDefault="00B81B55" w:rsidP="00061188">
          <w:pPr>
            <w:pStyle w:val="TtulodeTDC"/>
            <w:spacing w:before="0" w:line="360" w:lineRule="auto"/>
            <w:jc w:val="center"/>
            <w:rPr>
              <w:rFonts w:ascii="Palatino Linotype" w:hAnsi="Palatino Linotype"/>
              <w:color w:val="auto"/>
              <w:sz w:val="22"/>
              <w:szCs w:val="22"/>
            </w:rPr>
          </w:pPr>
          <w:r w:rsidRPr="00A81186">
            <w:rPr>
              <w:rFonts w:ascii="Palatino Linotype" w:hAnsi="Palatino Linotype"/>
              <w:color w:val="auto"/>
              <w:sz w:val="22"/>
              <w:szCs w:val="22"/>
              <w:lang w:val="es-ES"/>
            </w:rPr>
            <w:t>RESOLUCIÓN DEL RECURSO DE REVISIÓN 00</w:t>
          </w:r>
          <w:r w:rsidR="001046B6" w:rsidRPr="00A81186">
            <w:rPr>
              <w:rFonts w:ascii="Palatino Linotype" w:hAnsi="Palatino Linotype"/>
              <w:color w:val="auto"/>
              <w:sz w:val="22"/>
              <w:szCs w:val="22"/>
              <w:lang w:val="es-ES"/>
            </w:rPr>
            <w:t>671</w:t>
          </w:r>
          <w:r w:rsidRPr="00A81186">
            <w:rPr>
              <w:rFonts w:ascii="Palatino Linotype" w:hAnsi="Palatino Linotype"/>
              <w:color w:val="auto"/>
              <w:sz w:val="22"/>
              <w:szCs w:val="22"/>
              <w:lang w:val="es-ES"/>
            </w:rPr>
            <w:t>/INFOEM/IP/RR/2025</w:t>
          </w:r>
        </w:p>
        <w:p w14:paraId="46793BDC" w14:textId="3EBAE28D" w:rsidR="00A81186" w:rsidRPr="00A81186" w:rsidRDefault="00B81B55">
          <w:pPr>
            <w:pStyle w:val="TDC1"/>
            <w:tabs>
              <w:tab w:val="right" w:leader="dot" w:pos="8921"/>
            </w:tabs>
            <w:rPr>
              <w:rFonts w:asciiTheme="minorHAnsi" w:eastAsiaTheme="minorEastAsia" w:hAnsiTheme="minorHAnsi" w:cstheme="minorBidi"/>
              <w:noProof/>
              <w:color w:val="auto"/>
              <w:kern w:val="2"/>
              <w:sz w:val="24"/>
              <w:szCs w:val="24"/>
              <w14:ligatures w14:val="standardContextual"/>
            </w:rPr>
          </w:pPr>
          <w:r w:rsidRPr="00A81186">
            <w:fldChar w:fldCharType="begin"/>
          </w:r>
          <w:r w:rsidRPr="00A81186">
            <w:instrText xml:space="preserve"> TOC \o "1-3" \h \z \u </w:instrText>
          </w:r>
          <w:r w:rsidRPr="00A81186">
            <w:fldChar w:fldCharType="separate"/>
          </w:r>
          <w:hyperlink w:anchor="_Toc190952936" w:history="1">
            <w:r w:rsidR="00A81186" w:rsidRPr="00A81186">
              <w:rPr>
                <w:rStyle w:val="Hipervnculo"/>
                <w:noProof/>
              </w:rPr>
              <w:t>A N T E C E D E N T E S</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_Toc190952936 \h </w:instrText>
            </w:r>
            <w:r w:rsidR="00A81186" w:rsidRPr="00A81186">
              <w:rPr>
                <w:noProof/>
                <w:webHidden/>
              </w:rPr>
            </w:r>
            <w:r w:rsidR="00A81186" w:rsidRPr="00A81186">
              <w:rPr>
                <w:noProof/>
                <w:webHidden/>
              </w:rPr>
              <w:fldChar w:fldCharType="separate"/>
            </w:r>
            <w:r w:rsidR="008F1B8A">
              <w:rPr>
                <w:noProof/>
                <w:webHidden/>
              </w:rPr>
              <w:t>2</w:t>
            </w:r>
            <w:r w:rsidR="00A81186" w:rsidRPr="00A81186">
              <w:rPr>
                <w:noProof/>
                <w:webHidden/>
              </w:rPr>
              <w:fldChar w:fldCharType="end"/>
            </w:r>
          </w:hyperlink>
        </w:p>
        <w:p w14:paraId="33FA4A0E" w14:textId="5368562E"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37" w:history="1">
            <w:r w:rsidR="00A81186" w:rsidRPr="00A81186">
              <w:rPr>
                <w:rStyle w:val="Hipervnculo"/>
                <w:noProof/>
                <w:lang w:eastAsia="es-ES"/>
              </w:rPr>
              <w:t>I. Presentación de la solicitud de información</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_Toc190952937 \h </w:instrText>
            </w:r>
            <w:r w:rsidR="00A81186" w:rsidRPr="00A81186">
              <w:rPr>
                <w:noProof/>
                <w:webHidden/>
              </w:rPr>
            </w:r>
            <w:r w:rsidR="00A81186" w:rsidRPr="00A81186">
              <w:rPr>
                <w:noProof/>
                <w:webHidden/>
              </w:rPr>
              <w:fldChar w:fldCharType="separate"/>
            </w:r>
            <w:r w:rsidR="008F1B8A">
              <w:rPr>
                <w:noProof/>
                <w:webHidden/>
              </w:rPr>
              <w:t>2</w:t>
            </w:r>
            <w:r w:rsidR="00A81186" w:rsidRPr="00A81186">
              <w:rPr>
                <w:noProof/>
                <w:webHidden/>
              </w:rPr>
              <w:fldChar w:fldCharType="end"/>
            </w:r>
          </w:hyperlink>
        </w:p>
        <w:p w14:paraId="23F7BA7A" w14:textId="4D6B924A"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38" w:history="1">
            <w:r w:rsidR="00A81186" w:rsidRPr="00A81186">
              <w:rPr>
                <w:rStyle w:val="Hipervnculo"/>
                <w:noProof/>
              </w:rPr>
              <w:t>II. Requerimiento de aclaración a la solicitud de acceso a la información</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_Toc190952938 \h </w:instrText>
            </w:r>
            <w:r w:rsidR="00A81186" w:rsidRPr="00A81186">
              <w:rPr>
                <w:noProof/>
                <w:webHidden/>
              </w:rPr>
            </w:r>
            <w:r w:rsidR="00A81186" w:rsidRPr="00A81186">
              <w:rPr>
                <w:noProof/>
                <w:webHidden/>
              </w:rPr>
              <w:fldChar w:fldCharType="separate"/>
            </w:r>
            <w:r w:rsidR="008F1B8A">
              <w:rPr>
                <w:noProof/>
                <w:webHidden/>
              </w:rPr>
              <w:t>3</w:t>
            </w:r>
            <w:r w:rsidR="00A81186" w:rsidRPr="00A81186">
              <w:rPr>
                <w:noProof/>
                <w:webHidden/>
              </w:rPr>
              <w:fldChar w:fldCharType="end"/>
            </w:r>
          </w:hyperlink>
        </w:p>
        <w:p w14:paraId="71B9A76B" w14:textId="7BFE4099"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39" w:history="1">
            <w:r w:rsidR="00A81186" w:rsidRPr="00A81186">
              <w:rPr>
                <w:rStyle w:val="Hipervnculo"/>
                <w:noProof/>
              </w:rPr>
              <w:t xml:space="preserve">III. </w:t>
            </w:r>
            <w:r w:rsidR="00A81186" w:rsidRPr="00A81186">
              <w:rPr>
                <w:rStyle w:val="Hipervnculo"/>
                <w:rFonts w:cs="Segoe UI"/>
                <w:noProof/>
              </w:rPr>
              <w:t>Contestación al requerimiento de aclaración</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_Toc190952939 \h </w:instrText>
            </w:r>
            <w:r w:rsidR="00A81186" w:rsidRPr="00A81186">
              <w:rPr>
                <w:noProof/>
                <w:webHidden/>
              </w:rPr>
            </w:r>
            <w:r w:rsidR="00A81186" w:rsidRPr="00A81186">
              <w:rPr>
                <w:noProof/>
                <w:webHidden/>
              </w:rPr>
              <w:fldChar w:fldCharType="separate"/>
            </w:r>
            <w:r w:rsidR="008F1B8A">
              <w:rPr>
                <w:noProof/>
                <w:webHidden/>
              </w:rPr>
              <w:t>3</w:t>
            </w:r>
            <w:r w:rsidR="00A81186" w:rsidRPr="00A81186">
              <w:rPr>
                <w:noProof/>
                <w:webHidden/>
              </w:rPr>
              <w:fldChar w:fldCharType="end"/>
            </w:r>
          </w:hyperlink>
        </w:p>
        <w:p w14:paraId="7A58B08C" w14:textId="7D5B10B7"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0" w:history="1">
            <w:r w:rsidR="00A81186" w:rsidRPr="00A81186">
              <w:rPr>
                <w:rStyle w:val="Hipervnculo"/>
                <w:noProof/>
              </w:rPr>
              <w:t>IV. Prórroga para atender la solicitud de información</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_Toc190952940 \h </w:instrText>
            </w:r>
            <w:r w:rsidR="00A81186" w:rsidRPr="00A81186">
              <w:rPr>
                <w:noProof/>
                <w:webHidden/>
              </w:rPr>
            </w:r>
            <w:r w:rsidR="00A81186" w:rsidRPr="00A81186">
              <w:rPr>
                <w:noProof/>
                <w:webHidden/>
              </w:rPr>
              <w:fldChar w:fldCharType="separate"/>
            </w:r>
            <w:r w:rsidR="008F1B8A">
              <w:rPr>
                <w:noProof/>
                <w:webHidden/>
              </w:rPr>
              <w:t>4</w:t>
            </w:r>
            <w:r w:rsidR="00A81186" w:rsidRPr="00A81186">
              <w:rPr>
                <w:noProof/>
                <w:webHidden/>
              </w:rPr>
              <w:fldChar w:fldCharType="end"/>
            </w:r>
          </w:hyperlink>
        </w:p>
        <w:p w14:paraId="3779F4A7" w14:textId="2E4F1D9D"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1" w:history="1">
            <w:r w:rsidR="00A81186" w:rsidRPr="00A81186">
              <w:rPr>
                <w:rStyle w:val="Hipervnculo"/>
                <w:noProof/>
              </w:rPr>
              <w:t>V. Respuesta del Sujeto Obligado</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_Toc190952941 \h </w:instrText>
            </w:r>
            <w:r w:rsidR="00A81186" w:rsidRPr="00A81186">
              <w:rPr>
                <w:noProof/>
                <w:webHidden/>
              </w:rPr>
            </w:r>
            <w:r w:rsidR="00A81186" w:rsidRPr="00A81186">
              <w:rPr>
                <w:noProof/>
                <w:webHidden/>
              </w:rPr>
              <w:fldChar w:fldCharType="separate"/>
            </w:r>
            <w:r w:rsidR="008F1B8A">
              <w:rPr>
                <w:noProof/>
                <w:webHidden/>
              </w:rPr>
              <w:t>4</w:t>
            </w:r>
            <w:r w:rsidR="00A81186" w:rsidRPr="00A81186">
              <w:rPr>
                <w:noProof/>
                <w:webHidden/>
              </w:rPr>
              <w:fldChar w:fldCharType="end"/>
            </w:r>
          </w:hyperlink>
        </w:p>
        <w:p w14:paraId="5CAB8601" w14:textId="5386B30D"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2" w:history="1">
            <w:r w:rsidR="00A81186" w:rsidRPr="00A81186">
              <w:rPr>
                <w:rStyle w:val="Hipervnculo"/>
                <w:noProof/>
              </w:rPr>
              <w:t>VI. Interposición del Recurso de Revisión</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_Toc190952942 \h </w:instrText>
            </w:r>
            <w:r w:rsidR="00A81186" w:rsidRPr="00A81186">
              <w:rPr>
                <w:noProof/>
                <w:webHidden/>
              </w:rPr>
            </w:r>
            <w:r w:rsidR="00A81186" w:rsidRPr="00A81186">
              <w:rPr>
                <w:noProof/>
                <w:webHidden/>
              </w:rPr>
              <w:fldChar w:fldCharType="separate"/>
            </w:r>
            <w:r w:rsidR="008F1B8A">
              <w:rPr>
                <w:noProof/>
                <w:webHidden/>
              </w:rPr>
              <w:t>5</w:t>
            </w:r>
            <w:r w:rsidR="00A81186" w:rsidRPr="00A81186">
              <w:rPr>
                <w:noProof/>
                <w:webHidden/>
              </w:rPr>
              <w:fldChar w:fldCharType="end"/>
            </w:r>
          </w:hyperlink>
        </w:p>
        <w:p w14:paraId="3B40BE50" w14:textId="00A9EE88"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3" w:history="1">
            <w:r w:rsidR="00A81186" w:rsidRPr="00A81186">
              <w:rPr>
                <w:rStyle w:val="Hipervnculo"/>
                <w:noProof/>
              </w:rPr>
              <w:t>VII. Trámite del Recurso de Revisión ante este Instituto</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_Toc190952943 \h </w:instrText>
            </w:r>
            <w:r w:rsidR="00A81186" w:rsidRPr="00A81186">
              <w:rPr>
                <w:noProof/>
                <w:webHidden/>
              </w:rPr>
            </w:r>
            <w:r w:rsidR="00A81186" w:rsidRPr="00A81186">
              <w:rPr>
                <w:noProof/>
                <w:webHidden/>
              </w:rPr>
              <w:fldChar w:fldCharType="separate"/>
            </w:r>
            <w:r w:rsidR="008F1B8A">
              <w:rPr>
                <w:noProof/>
                <w:webHidden/>
              </w:rPr>
              <w:t>6</w:t>
            </w:r>
            <w:r w:rsidR="00A81186" w:rsidRPr="00A81186">
              <w:rPr>
                <w:noProof/>
                <w:webHidden/>
              </w:rPr>
              <w:fldChar w:fldCharType="end"/>
            </w:r>
          </w:hyperlink>
        </w:p>
        <w:p w14:paraId="3DD1D6C2" w14:textId="166DA430" w:rsidR="00A81186" w:rsidRPr="00A81186" w:rsidRDefault="001527B6">
          <w:pPr>
            <w:pStyle w:val="TDC1"/>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4" w:history="1">
            <w:r w:rsidR="00A81186" w:rsidRPr="00A81186">
              <w:rPr>
                <w:rStyle w:val="Hipervnculo"/>
                <w:noProof/>
              </w:rPr>
              <w:t>C O N S I D E R A N D O S</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_Toc190952944 \h </w:instrText>
            </w:r>
            <w:r w:rsidR="00A81186" w:rsidRPr="00A81186">
              <w:rPr>
                <w:noProof/>
                <w:webHidden/>
              </w:rPr>
            </w:r>
            <w:r w:rsidR="00A81186" w:rsidRPr="00A81186">
              <w:rPr>
                <w:noProof/>
                <w:webHidden/>
              </w:rPr>
              <w:fldChar w:fldCharType="separate"/>
            </w:r>
            <w:r w:rsidR="008F1B8A">
              <w:rPr>
                <w:noProof/>
                <w:webHidden/>
              </w:rPr>
              <w:t>7</w:t>
            </w:r>
            <w:r w:rsidR="00A81186" w:rsidRPr="00A81186">
              <w:rPr>
                <w:noProof/>
                <w:webHidden/>
              </w:rPr>
              <w:fldChar w:fldCharType="end"/>
            </w:r>
          </w:hyperlink>
        </w:p>
        <w:p w14:paraId="3628A632" w14:textId="046B2BED"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5" w:history="1">
            <w:r w:rsidR="00A81186" w:rsidRPr="00A81186">
              <w:rPr>
                <w:rStyle w:val="Hipervnculo"/>
                <w:noProof/>
              </w:rPr>
              <w:t>PRIMERO. Competencia</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_Toc190952945 \h </w:instrText>
            </w:r>
            <w:r w:rsidR="00A81186" w:rsidRPr="00A81186">
              <w:rPr>
                <w:noProof/>
                <w:webHidden/>
              </w:rPr>
            </w:r>
            <w:r w:rsidR="00A81186" w:rsidRPr="00A81186">
              <w:rPr>
                <w:noProof/>
                <w:webHidden/>
              </w:rPr>
              <w:fldChar w:fldCharType="separate"/>
            </w:r>
            <w:r w:rsidR="008F1B8A">
              <w:rPr>
                <w:noProof/>
                <w:webHidden/>
              </w:rPr>
              <w:t>7</w:t>
            </w:r>
            <w:r w:rsidR="00A81186" w:rsidRPr="00A81186">
              <w:rPr>
                <w:noProof/>
                <w:webHidden/>
              </w:rPr>
              <w:fldChar w:fldCharType="end"/>
            </w:r>
          </w:hyperlink>
        </w:p>
        <w:p w14:paraId="507C9E36" w14:textId="075B82D0"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6" w:history="1">
            <w:r w:rsidR="00A81186" w:rsidRPr="00A81186">
              <w:rPr>
                <w:rStyle w:val="Hipervnculo"/>
                <w:noProof/>
              </w:rPr>
              <w:t>SEGUNDO. Causales de improcedencia</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_Toc190952946 \h </w:instrText>
            </w:r>
            <w:r w:rsidR="00A81186" w:rsidRPr="00A81186">
              <w:rPr>
                <w:noProof/>
                <w:webHidden/>
              </w:rPr>
            </w:r>
            <w:r w:rsidR="00A81186" w:rsidRPr="00A81186">
              <w:rPr>
                <w:noProof/>
                <w:webHidden/>
              </w:rPr>
              <w:fldChar w:fldCharType="separate"/>
            </w:r>
            <w:r w:rsidR="008F1B8A">
              <w:rPr>
                <w:noProof/>
                <w:webHidden/>
              </w:rPr>
              <w:t>8</w:t>
            </w:r>
            <w:r w:rsidR="00A81186" w:rsidRPr="00A81186">
              <w:rPr>
                <w:noProof/>
                <w:webHidden/>
              </w:rPr>
              <w:fldChar w:fldCharType="end"/>
            </w:r>
          </w:hyperlink>
        </w:p>
        <w:p w14:paraId="57CE537C" w14:textId="7B814641"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7" w:history="1">
            <w:r w:rsidR="00A81186" w:rsidRPr="00A81186">
              <w:rPr>
                <w:rStyle w:val="Hipervnculo"/>
                <w:noProof/>
              </w:rPr>
              <w:t>TERCERO. Causales de sobreseimiento</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_Toc190952947 \h </w:instrText>
            </w:r>
            <w:r w:rsidR="00A81186" w:rsidRPr="00A81186">
              <w:rPr>
                <w:noProof/>
                <w:webHidden/>
              </w:rPr>
            </w:r>
            <w:r w:rsidR="00A81186" w:rsidRPr="00A81186">
              <w:rPr>
                <w:noProof/>
                <w:webHidden/>
              </w:rPr>
              <w:fldChar w:fldCharType="separate"/>
            </w:r>
            <w:r w:rsidR="008F1B8A">
              <w:rPr>
                <w:noProof/>
                <w:webHidden/>
              </w:rPr>
              <w:t>9</w:t>
            </w:r>
            <w:r w:rsidR="00A81186" w:rsidRPr="00A81186">
              <w:rPr>
                <w:noProof/>
                <w:webHidden/>
              </w:rPr>
              <w:fldChar w:fldCharType="end"/>
            </w:r>
          </w:hyperlink>
        </w:p>
        <w:p w14:paraId="21659C08" w14:textId="1F1F4C54" w:rsidR="00A81186" w:rsidRPr="00A81186" w:rsidRDefault="001527B6">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8" w:history="1">
            <w:r w:rsidR="00A81186" w:rsidRPr="00A81186">
              <w:rPr>
                <w:rStyle w:val="Hipervnculo"/>
                <w:noProof/>
              </w:rPr>
              <w:t>CUARTO. Decisión</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_Toc190952948 \h </w:instrText>
            </w:r>
            <w:r w:rsidR="00A81186" w:rsidRPr="00A81186">
              <w:rPr>
                <w:noProof/>
                <w:webHidden/>
              </w:rPr>
            </w:r>
            <w:r w:rsidR="00A81186" w:rsidRPr="00A81186">
              <w:rPr>
                <w:noProof/>
                <w:webHidden/>
              </w:rPr>
              <w:fldChar w:fldCharType="separate"/>
            </w:r>
            <w:r w:rsidR="008F1B8A">
              <w:rPr>
                <w:noProof/>
                <w:webHidden/>
              </w:rPr>
              <w:t>12</w:t>
            </w:r>
            <w:r w:rsidR="00A81186" w:rsidRPr="00A81186">
              <w:rPr>
                <w:noProof/>
                <w:webHidden/>
              </w:rPr>
              <w:fldChar w:fldCharType="end"/>
            </w:r>
          </w:hyperlink>
        </w:p>
        <w:p w14:paraId="521FAC88" w14:textId="781E581F" w:rsidR="00A81186" w:rsidRPr="00A81186" w:rsidRDefault="001527B6">
          <w:pPr>
            <w:pStyle w:val="TDC1"/>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0952949" w:history="1">
            <w:r w:rsidR="00A81186" w:rsidRPr="00A81186">
              <w:rPr>
                <w:rStyle w:val="Hipervnculo"/>
                <w:noProof/>
              </w:rPr>
              <w:t>R E S U E L V E</w:t>
            </w:r>
            <w:r w:rsidR="00A81186" w:rsidRPr="00A81186">
              <w:rPr>
                <w:noProof/>
                <w:webHidden/>
              </w:rPr>
              <w:tab/>
            </w:r>
            <w:r w:rsidR="00A81186" w:rsidRPr="00A81186">
              <w:rPr>
                <w:noProof/>
                <w:webHidden/>
              </w:rPr>
              <w:fldChar w:fldCharType="begin"/>
            </w:r>
            <w:r w:rsidR="00A81186" w:rsidRPr="00A81186">
              <w:rPr>
                <w:noProof/>
                <w:webHidden/>
              </w:rPr>
              <w:instrText xml:space="preserve"> PAGEREF _Toc190952949 \h </w:instrText>
            </w:r>
            <w:r w:rsidR="00A81186" w:rsidRPr="00A81186">
              <w:rPr>
                <w:noProof/>
                <w:webHidden/>
              </w:rPr>
            </w:r>
            <w:r w:rsidR="00A81186" w:rsidRPr="00A81186">
              <w:rPr>
                <w:noProof/>
                <w:webHidden/>
              </w:rPr>
              <w:fldChar w:fldCharType="separate"/>
            </w:r>
            <w:r w:rsidR="008F1B8A">
              <w:rPr>
                <w:noProof/>
                <w:webHidden/>
              </w:rPr>
              <w:t>12</w:t>
            </w:r>
            <w:r w:rsidR="00A81186" w:rsidRPr="00A81186">
              <w:rPr>
                <w:noProof/>
                <w:webHidden/>
              </w:rPr>
              <w:fldChar w:fldCharType="end"/>
            </w:r>
          </w:hyperlink>
        </w:p>
        <w:p w14:paraId="268ADA35" w14:textId="242ABE24" w:rsidR="00B81B55" w:rsidRPr="00A81186" w:rsidRDefault="00B81B55" w:rsidP="00061188">
          <w:r w:rsidRPr="00A81186">
            <w:rPr>
              <w:b/>
              <w:bCs/>
              <w:lang w:val="es-ES"/>
            </w:rPr>
            <w:fldChar w:fldCharType="end"/>
          </w:r>
        </w:p>
      </w:sdtContent>
    </w:sdt>
    <w:p w14:paraId="75DF5858" w14:textId="77777777" w:rsidR="004C465F" w:rsidRPr="00A81186" w:rsidRDefault="004C465F" w:rsidP="00061188">
      <w:pPr>
        <w:tabs>
          <w:tab w:val="left" w:pos="8931"/>
        </w:tabs>
      </w:pPr>
    </w:p>
    <w:p w14:paraId="0AEABBF9" w14:textId="77777777" w:rsidR="00B81B55" w:rsidRPr="00A81186" w:rsidRDefault="00B81B55" w:rsidP="00061188">
      <w:pPr>
        <w:tabs>
          <w:tab w:val="left" w:pos="8931"/>
        </w:tabs>
      </w:pPr>
    </w:p>
    <w:p w14:paraId="4EC18E9F" w14:textId="77777777" w:rsidR="00B81B55" w:rsidRPr="00A81186" w:rsidRDefault="00B81B55" w:rsidP="00061188">
      <w:pPr>
        <w:tabs>
          <w:tab w:val="left" w:pos="8931"/>
        </w:tabs>
      </w:pPr>
    </w:p>
    <w:p w14:paraId="17F3111C" w14:textId="77777777" w:rsidR="00B81B55" w:rsidRPr="00A81186" w:rsidRDefault="00B81B55" w:rsidP="00061188">
      <w:pPr>
        <w:tabs>
          <w:tab w:val="left" w:pos="8931"/>
        </w:tabs>
      </w:pPr>
    </w:p>
    <w:p w14:paraId="65249F86" w14:textId="77777777" w:rsidR="00B81B55" w:rsidRPr="00A81186" w:rsidRDefault="00B81B55" w:rsidP="00061188">
      <w:pPr>
        <w:tabs>
          <w:tab w:val="left" w:pos="8931"/>
        </w:tabs>
      </w:pPr>
    </w:p>
    <w:p w14:paraId="21E161D4" w14:textId="77777777" w:rsidR="00477F76" w:rsidRPr="00A81186" w:rsidRDefault="00477F76" w:rsidP="00061188">
      <w:pPr>
        <w:tabs>
          <w:tab w:val="left" w:pos="8931"/>
        </w:tabs>
      </w:pPr>
    </w:p>
    <w:p w14:paraId="7AA2DD16" w14:textId="77777777" w:rsidR="00E83872" w:rsidRPr="00A81186" w:rsidRDefault="00E83872" w:rsidP="00061188">
      <w:pPr>
        <w:tabs>
          <w:tab w:val="left" w:pos="8931"/>
        </w:tabs>
      </w:pPr>
    </w:p>
    <w:p w14:paraId="3FB7EB5E" w14:textId="466CB6AC" w:rsidR="005C690F" w:rsidRPr="00A81186" w:rsidRDefault="007D6307" w:rsidP="00061188">
      <w:pPr>
        <w:tabs>
          <w:tab w:val="left" w:pos="8931"/>
        </w:tabs>
      </w:pPr>
      <w:r w:rsidRPr="00A81186">
        <w:t xml:space="preserve">Resolución del Pleno del Instituto de Transparencia, Acceso a la Información Pública y Protección de Datos Personales del Estado de México y Municipios, con domicilio en Metepec, Estado de México, de </w:t>
      </w:r>
      <w:r w:rsidR="00EF0C39" w:rsidRPr="00A81186">
        <w:t xml:space="preserve">fecha </w:t>
      </w:r>
      <w:r w:rsidR="001046B6" w:rsidRPr="00A81186">
        <w:t>diecinueve de febrero</w:t>
      </w:r>
      <w:r w:rsidR="002F5AA8" w:rsidRPr="00A81186">
        <w:t xml:space="preserve"> </w:t>
      </w:r>
      <w:r w:rsidR="00945CB8" w:rsidRPr="00A81186">
        <w:t>de dos mil veintic</w:t>
      </w:r>
      <w:r w:rsidR="00B665DE" w:rsidRPr="00A81186">
        <w:t>inco</w:t>
      </w:r>
      <w:r w:rsidRPr="00A81186">
        <w:t xml:space="preserve">. </w:t>
      </w:r>
    </w:p>
    <w:p w14:paraId="0DCD3B82" w14:textId="77777777" w:rsidR="005C690F" w:rsidRPr="00A81186" w:rsidRDefault="005C690F" w:rsidP="00061188">
      <w:pPr>
        <w:rPr>
          <w:b/>
        </w:rPr>
      </w:pPr>
    </w:p>
    <w:p w14:paraId="1570B336" w14:textId="2476E0D0" w:rsidR="005C690F" w:rsidRPr="00A81186" w:rsidRDefault="007D6307" w:rsidP="00061188">
      <w:pPr>
        <w:rPr>
          <w:color w:val="0D0D0D"/>
        </w:rPr>
      </w:pPr>
      <w:r w:rsidRPr="00A81186">
        <w:rPr>
          <w:b/>
        </w:rPr>
        <w:t xml:space="preserve">VISTO </w:t>
      </w:r>
      <w:r w:rsidRPr="00A81186">
        <w:t xml:space="preserve">el expediente electrónico conformado con motivo del Recurso de Revisión </w:t>
      </w:r>
      <w:r w:rsidR="00026C6B" w:rsidRPr="00A81186">
        <w:t>0</w:t>
      </w:r>
      <w:r w:rsidR="00B665DE" w:rsidRPr="00A81186">
        <w:t>0</w:t>
      </w:r>
      <w:r w:rsidR="001046B6" w:rsidRPr="00A81186">
        <w:t>671</w:t>
      </w:r>
      <w:r w:rsidR="00026C6B" w:rsidRPr="00A81186">
        <w:t>/INFOEM/IP/RR/202</w:t>
      </w:r>
      <w:r w:rsidR="00B665DE" w:rsidRPr="00A81186">
        <w:t>5</w:t>
      </w:r>
      <w:r w:rsidRPr="00A81186">
        <w:t xml:space="preserve">, interpuesto por </w:t>
      </w:r>
      <w:r w:rsidR="00D906B2" w:rsidRPr="00A81186">
        <w:t>la persona</w:t>
      </w:r>
      <w:r w:rsidRPr="00A81186">
        <w:t xml:space="preserve"> </w:t>
      </w:r>
      <w:r w:rsidRPr="00A81186">
        <w:rPr>
          <w:color w:val="0D0D0D"/>
        </w:rPr>
        <w:t>Recurrente o Particular, en contra de la respuesta del Sujeto Obligado</w:t>
      </w:r>
      <w:r w:rsidR="00705FBB" w:rsidRPr="00A81186">
        <w:rPr>
          <w:color w:val="0D0D0D"/>
        </w:rPr>
        <w:t xml:space="preserve">, </w:t>
      </w:r>
      <w:r w:rsidR="001046B6" w:rsidRPr="00A81186">
        <w:rPr>
          <w:color w:val="0D0D0D"/>
        </w:rPr>
        <w:t>Ayuntamiento de Metepec</w:t>
      </w:r>
      <w:r w:rsidR="00EF0C39" w:rsidRPr="00A81186">
        <w:t>,</w:t>
      </w:r>
      <w:r w:rsidRPr="00A81186">
        <w:rPr>
          <w:color w:val="0D0D0D"/>
        </w:rPr>
        <w:t xml:space="preserve"> a la solicitud de acceso a la información pública</w:t>
      </w:r>
      <w:r w:rsidR="00800641" w:rsidRPr="00A81186">
        <w:rPr>
          <w:color w:val="0D0D0D"/>
        </w:rPr>
        <w:t xml:space="preserve"> </w:t>
      </w:r>
      <w:r w:rsidR="001046B6" w:rsidRPr="00A81186">
        <w:t>00774/METEPEC/IP/2024</w:t>
      </w:r>
      <w:r w:rsidRPr="00A81186">
        <w:rPr>
          <w:color w:val="000000"/>
        </w:rPr>
        <w:t xml:space="preserve">, </w:t>
      </w:r>
      <w:r w:rsidRPr="00A81186">
        <w:rPr>
          <w:color w:val="0D0D0D"/>
        </w:rPr>
        <w:t>se emite la presente Resolución, con base en los Antecedentes y Considerandos que se exponen a continuación:</w:t>
      </w:r>
    </w:p>
    <w:p w14:paraId="1F97CEF3" w14:textId="77777777" w:rsidR="005C690F" w:rsidRPr="00A81186" w:rsidRDefault="005C690F" w:rsidP="00061188">
      <w:pPr>
        <w:rPr>
          <w:b/>
        </w:rPr>
      </w:pPr>
    </w:p>
    <w:p w14:paraId="1DEAF9D3" w14:textId="24D35555" w:rsidR="005C690F" w:rsidRPr="00A81186" w:rsidRDefault="00CD6238" w:rsidP="00061188">
      <w:pPr>
        <w:pStyle w:val="Ttulo1"/>
        <w:spacing w:before="0" w:after="0"/>
        <w:jc w:val="center"/>
        <w:rPr>
          <w:sz w:val="22"/>
          <w:szCs w:val="22"/>
        </w:rPr>
      </w:pPr>
      <w:bookmarkStart w:id="1" w:name="_Toc190952936"/>
      <w:r w:rsidRPr="00A81186">
        <w:rPr>
          <w:sz w:val="22"/>
          <w:szCs w:val="22"/>
        </w:rPr>
        <w:t>A N T E C E D E N T E S</w:t>
      </w:r>
      <w:bookmarkEnd w:id="1"/>
    </w:p>
    <w:p w14:paraId="5A7EDA4F" w14:textId="77777777" w:rsidR="005C690F" w:rsidRPr="00A81186" w:rsidRDefault="005C690F" w:rsidP="00061188">
      <w:pPr>
        <w:jc w:val="center"/>
        <w:rPr>
          <w:b/>
        </w:rPr>
      </w:pPr>
    </w:p>
    <w:p w14:paraId="4930DAB9" w14:textId="77777777" w:rsidR="00E22EA8" w:rsidRPr="00A81186" w:rsidRDefault="00E22EA8" w:rsidP="00061188">
      <w:pPr>
        <w:pStyle w:val="Ttulo2"/>
        <w:rPr>
          <w:szCs w:val="22"/>
          <w:lang w:eastAsia="es-ES"/>
        </w:rPr>
      </w:pPr>
      <w:bookmarkStart w:id="2" w:name="_Toc190952937"/>
      <w:r w:rsidRPr="00A81186">
        <w:rPr>
          <w:szCs w:val="22"/>
          <w:lang w:eastAsia="es-ES"/>
        </w:rPr>
        <w:t>I. Presentación de la solicitud de información</w:t>
      </w:r>
      <w:bookmarkEnd w:id="2"/>
    </w:p>
    <w:p w14:paraId="7243DA53" w14:textId="77777777" w:rsidR="00E22EA8" w:rsidRPr="00A81186" w:rsidRDefault="00E22EA8" w:rsidP="00061188">
      <w:pPr>
        <w:tabs>
          <w:tab w:val="left" w:pos="567"/>
        </w:tabs>
        <w:rPr>
          <w:rFonts w:eastAsia="Times New Roman" w:cs="Tahoma"/>
          <w:lang w:eastAsia="es-ES"/>
        </w:rPr>
      </w:pPr>
    </w:p>
    <w:p w14:paraId="301B8A4E" w14:textId="1888B786" w:rsidR="00E22EA8" w:rsidRPr="00A81186" w:rsidRDefault="00D906B2" w:rsidP="00061188">
      <w:pPr>
        <w:rPr>
          <w:rFonts w:eastAsia="Times New Roman" w:cs="Tahoma"/>
          <w:lang w:eastAsia="es-ES"/>
        </w:rPr>
      </w:pPr>
      <w:r w:rsidRPr="00A81186">
        <w:rPr>
          <w:rFonts w:eastAsia="Times New Roman" w:cs="Tahoma"/>
          <w:lang w:eastAsia="es-ES"/>
        </w:rPr>
        <w:t>El</w:t>
      </w:r>
      <w:r w:rsidR="00D52EC1" w:rsidRPr="00A81186">
        <w:rPr>
          <w:rFonts w:eastAsia="Times New Roman" w:cs="Tahoma"/>
          <w:lang w:eastAsia="es-ES"/>
        </w:rPr>
        <w:t xml:space="preserve"> </w:t>
      </w:r>
      <w:r w:rsidR="001046B6" w:rsidRPr="00A81186">
        <w:rPr>
          <w:rFonts w:eastAsia="Times New Roman" w:cs="Tahoma"/>
          <w:lang w:eastAsia="es-ES"/>
        </w:rPr>
        <w:t>veintiocho de noviembre</w:t>
      </w:r>
      <w:r w:rsidR="002F5AA8" w:rsidRPr="00A81186">
        <w:rPr>
          <w:rFonts w:eastAsia="Times New Roman" w:cs="Tahoma"/>
          <w:lang w:eastAsia="es-ES"/>
        </w:rPr>
        <w:t xml:space="preserve"> </w:t>
      </w:r>
      <w:r w:rsidR="00E22EA8" w:rsidRPr="00A81186">
        <w:rPr>
          <w:rFonts w:eastAsia="Times New Roman" w:cs="Tahoma"/>
          <w:lang w:eastAsia="es-ES"/>
        </w:rPr>
        <w:t>de dos mil veinti</w:t>
      </w:r>
      <w:r w:rsidR="00BB6693" w:rsidRPr="00A81186">
        <w:rPr>
          <w:rFonts w:eastAsia="Times New Roman" w:cs="Tahoma"/>
          <w:lang w:eastAsia="es-ES"/>
        </w:rPr>
        <w:t>cuatro</w:t>
      </w:r>
      <w:r w:rsidR="00E22EA8" w:rsidRPr="00A81186">
        <w:rPr>
          <w:rFonts w:eastAsia="Times New Roman" w:cs="Tahoma"/>
          <w:lang w:eastAsia="es-ES"/>
        </w:rPr>
        <w:t xml:space="preserve">, </w:t>
      </w:r>
      <w:r w:rsidR="00061188" w:rsidRPr="00A81186">
        <w:rPr>
          <w:rFonts w:eastAsia="Times New Roman" w:cs="Tahoma"/>
          <w:lang w:eastAsia="es-ES"/>
        </w:rPr>
        <w:t>la persona Solicitante</w:t>
      </w:r>
      <w:r w:rsidR="00E22EA8" w:rsidRPr="00A81186">
        <w:rPr>
          <w:rFonts w:eastAsia="Times New Roman" w:cs="Tahoma"/>
          <w:lang w:eastAsia="es-ES"/>
        </w:rPr>
        <w:t xml:space="preserve"> presentó una solicitud de acceso a la información pública, a través del Sistema de Acceso a la Información Mexiquense (SAIMEX), ante</w:t>
      </w:r>
      <w:r w:rsidR="000B3C56" w:rsidRPr="00A81186">
        <w:rPr>
          <w:rFonts w:eastAsia="Times New Roman" w:cs="Tahoma"/>
          <w:lang w:eastAsia="es-ES"/>
        </w:rPr>
        <w:t xml:space="preserve"> </w:t>
      </w:r>
      <w:r w:rsidR="00DC175C" w:rsidRPr="00A81186">
        <w:rPr>
          <w:rFonts w:eastAsia="Times New Roman" w:cs="Tahoma"/>
          <w:lang w:eastAsia="es-ES"/>
        </w:rPr>
        <w:t>el</w:t>
      </w:r>
      <w:r w:rsidR="00DC175C" w:rsidRPr="00A81186">
        <w:t xml:space="preserve"> </w:t>
      </w:r>
      <w:r w:rsidR="001046B6" w:rsidRPr="00A81186">
        <w:t>Ayuntamiento de Metepec</w:t>
      </w:r>
      <w:r w:rsidR="00DC175C" w:rsidRPr="00A81186">
        <w:rPr>
          <w:rFonts w:eastAsia="Calibri" w:cs="Tahoma"/>
        </w:rPr>
        <w:t xml:space="preserve">, </w:t>
      </w:r>
      <w:r w:rsidR="00E22EA8" w:rsidRPr="00A81186">
        <w:rPr>
          <w:rFonts w:eastAsia="Calibri" w:cs="Tahoma"/>
        </w:rPr>
        <w:t xml:space="preserve">en los siguientes términos: </w:t>
      </w:r>
    </w:p>
    <w:p w14:paraId="2B959865" w14:textId="77777777" w:rsidR="00E22EA8" w:rsidRPr="00A81186" w:rsidRDefault="00E22EA8" w:rsidP="00061188">
      <w:pPr>
        <w:rPr>
          <w:rFonts w:eastAsia="Calibri" w:cs="Tahoma"/>
        </w:rPr>
      </w:pPr>
    </w:p>
    <w:p w14:paraId="25042E2A" w14:textId="28F2C99C" w:rsidR="00E22EA8" w:rsidRPr="00A81186" w:rsidRDefault="00125F26" w:rsidP="00061188">
      <w:pPr>
        <w:tabs>
          <w:tab w:val="left" w:pos="4667"/>
        </w:tabs>
        <w:ind w:left="567" w:right="567"/>
        <w:rPr>
          <w:rFonts w:eastAsia="Times New Roman" w:cs="Tahoma"/>
          <w:b/>
          <w:i/>
          <w:iCs/>
          <w:sz w:val="20"/>
          <w:szCs w:val="20"/>
          <w:lang w:eastAsia="es-ES"/>
        </w:rPr>
      </w:pPr>
      <w:r w:rsidRPr="00A81186">
        <w:rPr>
          <w:rFonts w:eastAsia="Times New Roman" w:cs="Tahoma"/>
          <w:b/>
          <w:i/>
          <w:iCs/>
          <w:sz w:val="20"/>
          <w:szCs w:val="20"/>
          <w:lang w:eastAsia="es-ES"/>
        </w:rPr>
        <w:t>“</w:t>
      </w:r>
      <w:r w:rsidR="00E22EA8" w:rsidRPr="00A81186">
        <w:rPr>
          <w:rFonts w:eastAsia="Times New Roman" w:cs="Tahoma"/>
          <w:b/>
          <w:i/>
          <w:iCs/>
          <w:sz w:val="20"/>
          <w:szCs w:val="20"/>
          <w:lang w:eastAsia="es-ES"/>
        </w:rPr>
        <w:t>DESCRIPCIÓN CLARA Y PRECISA DE LA INFORMACIÓN SOLICITADA.</w:t>
      </w:r>
    </w:p>
    <w:p w14:paraId="2C6BC213" w14:textId="1C23C9C9" w:rsidR="00E22EA8" w:rsidRPr="00A81186" w:rsidRDefault="001046B6" w:rsidP="00061188">
      <w:pPr>
        <w:tabs>
          <w:tab w:val="left" w:pos="4667"/>
        </w:tabs>
        <w:ind w:left="567" w:right="567"/>
        <w:rPr>
          <w:rFonts w:eastAsia="Times New Roman" w:cs="Tahoma"/>
          <w:bCs/>
          <w:i/>
          <w:iCs/>
          <w:sz w:val="20"/>
          <w:szCs w:val="20"/>
          <w:lang w:eastAsia="es-ES"/>
        </w:rPr>
      </w:pPr>
      <w:r w:rsidRPr="00A81186">
        <w:rPr>
          <w:i/>
          <w:iCs/>
          <w:sz w:val="20"/>
          <w:szCs w:val="20"/>
        </w:rPr>
        <w:t xml:space="preserve">SOLICITO EL COSTO Y EN SU CASO CONTRATOS DE SERVICIOS CONTRATADOS PARA EL DESARROLLO DE LA SESIÓN SOLEMNE DE CABILDO EN EL TEATRO QUIMERA EN DONDE EL PRESIDENTE MUNICIPAL, FERNANDO FLORES RENDIRÁ SU TERCER INFORME DE GOBIERNO EL 1 DE DICIEMBRE DEL PRESENTE </w:t>
      </w:r>
      <w:proofErr w:type="gramStart"/>
      <w:r w:rsidRPr="00A81186">
        <w:rPr>
          <w:i/>
          <w:iCs/>
          <w:sz w:val="20"/>
          <w:szCs w:val="20"/>
        </w:rPr>
        <w:t>AÑO .</w:t>
      </w:r>
      <w:r w:rsidR="00E22EA8" w:rsidRPr="00A81186">
        <w:rPr>
          <w:i/>
          <w:iCs/>
          <w:sz w:val="20"/>
          <w:szCs w:val="20"/>
        </w:rPr>
        <w:t>”</w:t>
      </w:r>
      <w:proofErr w:type="gramEnd"/>
      <w:r w:rsidR="00E22EA8" w:rsidRPr="00A81186">
        <w:rPr>
          <w:rFonts w:eastAsia="Times New Roman" w:cs="Tahoma"/>
          <w:bCs/>
          <w:i/>
          <w:iCs/>
          <w:sz w:val="18"/>
          <w:szCs w:val="18"/>
          <w:lang w:eastAsia="es-ES"/>
        </w:rPr>
        <w:t xml:space="preserve"> </w:t>
      </w:r>
      <w:r w:rsidR="00E22EA8" w:rsidRPr="00A81186">
        <w:rPr>
          <w:rFonts w:eastAsia="Times New Roman" w:cs="Tahoma"/>
          <w:bCs/>
          <w:i/>
          <w:iCs/>
          <w:sz w:val="20"/>
          <w:szCs w:val="20"/>
          <w:lang w:eastAsia="es-ES"/>
        </w:rPr>
        <w:t xml:space="preserve">(Sic) </w:t>
      </w:r>
    </w:p>
    <w:p w14:paraId="3D010AF3" w14:textId="77777777" w:rsidR="00E22EA8" w:rsidRPr="00A81186" w:rsidRDefault="00E22EA8" w:rsidP="00061188">
      <w:pPr>
        <w:tabs>
          <w:tab w:val="left" w:pos="4667"/>
        </w:tabs>
        <w:ind w:left="567" w:right="567"/>
        <w:rPr>
          <w:rFonts w:eastAsia="Times New Roman" w:cs="Tahoma"/>
          <w:b/>
          <w:bCs/>
          <w:i/>
          <w:iCs/>
          <w:sz w:val="20"/>
          <w:lang w:eastAsia="es-ES"/>
        </w:rPr>
      </w:pPr>
    </w:p>
    <w:p w14:paraId="6C0DE105" w14:textId="3FEE2196" w:rsidR="00E22EA8" w:rsidRPr="00A81186" w:rsidRDefault="00125F26" w:rsidP="00061188">
      <w:pPr>
        <w:tabs>
          <w:tab w:val="left" w:pos="4667"/>
        </w:tabs>
        <w:ind w:left="567" w:right="567"/>
        <w:rPr>
          <w:rFonts w:eastAsia="Times New Roman" w:cs="Tahoma"/>
          <w:b/>
          <w:bCs/>
          <w:i/>
          <w:iCs/>
          <w:sz w:val="20"/>
          <w:lang w:eastAsia="es-ES"/>
        </w:rPr>
      </w:pPr>
      <w:r w:rsidRPr="00A81186">
        <w:rPr>
          <w:rFonts w:eastAsia="Times New Roman" w:cs="Tahoma"/>
          <w:b/>
          <w:bCs/>
          <w:i/>
          <w:iCs/>
          <w:sz w:val="20"/>
          <w:lang w:eastAsia="es-ES"/>
        </w:rPr>
        <w:t>“</w:t>
      </w:r>
      <w:r w:rsidR="00E22EA8" w:rsidRPr="00A81186">
        <w:rPr>
          <w:rFonts w:eastAsia="Times New Roman" w:cs="Tahoma"/>
          <w:b/>
          <w:bCs/>
          <w:i/>
          <w:iCs/>
          <w:sz w:val="20"/>
          <w:lang w:eastAsia="es-ES"/>
        </w:rPr>
        <w:t>MODALIDAD DE ENTREGA</w:t>
      </w:r>
    </w:p>
    <w:p w14:paraId="1C572869" w14:textId="56B60435" w:rsidR="00061188" w:rsidRPr="00A81186" w:rsidRDefault="00BB6693" w:rsidP="00061188">
      <w:pPr>
        <w:ind w:left="567" w:right="567"/>
        <w:rPr>
          <w:rFonts w:eastAsia="Times New Roman" w:cs="Arial"/>
          <w:bCs/>
          <w:i/>
          <w:iCs/>
          <w:sz w:val="20"/>
          <w:lang w:eastAsia="es-ES"/>
        </w:rPr>
      </w:pPr>
      <w:r w:rsidRPr="00A81186">
        <w:rPr>
          <w:rFonts w:eastAsia="Times New Roman" w:cs="Arial"/>
          <w:bCs/>
          <w:i/>
          <w:iCs/>
          <w:sz w:val="20"/>
          <w:lang w:eastAsia="es-ES"/>
        </w:rPr>
        <w:lastRenderedPageBreak/>
        <w:t>A través del SAIMEX</w:t>
      </w:r>
      <w:r w:rsidR="00E22EA8" w:rsidRPr="00A81186">
        <w:rPr>
          <w:rFonts w:eastAsia="Times New Roman" w:cs="Arial"/>
          <w:bCs/>
          <w:i/>
          <w:iCs/>
          <w:sz w:val="20"/>
          <w:lang w:eastAsia="es-ES"/>
        </w:rPr>
        <w:t>”</w:t>
      </w:r>
    </w:p>
    <w:p w14:paraId="31F81814" w14:textId="77777777" w:rsidR="00061188" w:rsidRPr="00A81186" w:rsidRDefault="00061188" w:rsidP="00061188">
      <w:pPr>
        <w:ind w:left="567" w:right="567"/>
        <w:rPr>
          <w:rFonts w:eastAsia="Times New Roman" w:cs="Arial"/>
          <w:bCs/>
          <w:i/>
          <w:iCs/>
          <w:sz w:val="20"/>
          <w:lang w:eastAsia="es-ES"/>
        </w:rPr>
      </w:pPr>
    </w:p>
    <w:p w14:paraId="7D64FB44" w14:textId="7EC31059" w:rsidR="00061188" w:rsidRPr="00A81186" w:rsidRDefault="000B3C56" w:rsidP="00A81186">
      <w:pPr>
        <w:pStyle w:val="Ttulo2"/>
      </w:pPr>
      <w:bookmarkStart w:id="3" w:name="_Toc190952938"/>
      <w:r w:rsidRPr="00A81186">
        <w:t>I</w:t>
      </w:r>
      <w:r w:rsidR="00E22EA8" w:rsidRPr="00A81186">
        <w:t xml:space="preserve">I. </w:t>
      </w:r>
      <w:r w:rsidR="00061188" w:rsidRPr="00A81186">
        <w:t>Requerimiento de aclaración a la solicitud de acceso a la información</w:t>
      </w:r>
      <w:bookmarkEnd w:id="3"/>
      <w:r w:rsidR="00061188" w:rsidRPr="00A81186">
        <w:t> </w:t>
      </w:r>
    </w:p>
    <w:p w14:paraId="48983F12" w14:textId="77777777" w:rsidR="00061188" w:rsidRPr="00A81186" w:rsidRDefault="00061188" w:rsidP="00061188"/>
    <w:p w14:paraId="77BB4B90" w14:textId="6C145809" w:rsidR="00061188" w:rsidRPr="00A81186" w:rsidRDefault="00061188" w:rsidP="00061188">
      <w:pPr>
        <w:rPr>
          <w:rFonts w:cs="Segoe UI"/>
          <w:color w:val="auto"/>
        </w:rPr>
      </w:pPr>
      <w:r w:rsidRPr="00A81186">
        <w:t>El cinco de diciembre de dos mil veinticuatro, la Unidad de Transparencia del Sujeto Obligado, notificó al Particular, mediante el Sistema de Acceso a la Información Mexiquense (SAIMEX), un requerimiento de información adicional, a la solicitud de información previamente referida</w:t>
      </w:r>
      <w:r w:rsidRPr="00A81186">
        <w:rPr>
          <w:rStyle w:val="normaltextrun"/>
          <w:rFonts w:cs="Segoe UI"/>
        </w:rPr>
        <w:t>, en los términos similares siguientes:</w:t>
      </w:r>
      <w:r w:rsidRPr="00A81186">
        <w:rPr>
          <w:rStyle w:val="eop"/>
          <w:rFonts w:cs="Segoe UI"/>
        </w:rPr>
        <w:t> </w:t>
      </w:r>
    </w:p>
    <w:p w14:paraId="674EBDC9" w14:textId="77777777" w:rsidR="00061188" w:rsidRPr="00A81186" w:rsidRDefault="00061188" w:rsidP="00061188">
      <w:pPr>
        <w:pStyle w:val="paragraph"/>
        <w:spacing w:before="0" w:beforeAutospacing="0" w:after="0" w:afterAutospacing="0" w:line="360" w:lineRule="auto"/>
        <w:contextualSpacing/>
        <w:jc w:val="both"/>
        <w:textAlignment w:val="baseline"/>
        <w:rPr>
          <w:rFonts w:ascii="Palatino Linotype" w:hAnsi="Palatino Linotype" w:cs="Segoe UI"/>
          <w:sz w:val="18"/>
          <w:szCs w:val="18"/>
          <w:lang w:val="es-MX"/>
        </w:rPr>
      </w:pPr>
      <w:r w:rsidRPr="00A81186">
        <w:rPr>
          <w:rStyle w:val="eop"/>
          <w:rFonts w:ascii="Palatino Linotype" w:hAnsi="Palatino Linotype" w:cs="Segoe UI"/>
          <w:sz w:val="22"/>
          <w:szCs w:val="22"/>
          <w:lang w:val="es-MX"/>
        </w:rPr>
        <w:t> </w:t>
      </w:r>
    </w:p>
    <w:p w14:paraId="52D3A634" w14:textId="77777777" w:rsidR="00061188" w:rsidRPr="00A81186" w:rsidRDefault="00061188" w:rsidP="00061188">
      <w:pPr>
        <w:pStyle w:val="paragraph"/>
        <w:spacing w:before="0" w:beforeAutospacing="0" w:after="0" w:afterAutospacing="0" w:line="360" w:lineRule="auto"/>
        <w:ind w:left="555" w:right="555"/>
        <w:contextualSpacing/>
        <w:jc w:val="both"/>
        <w:textAlignment w:val="baseline"/>
        <w:rPr>
          <w:rFonts w:ascii="Palatino Linotype" w:hAnsi="Palatino Linotype" w:cs="Segoe UI"/>
          <w:sz w:val="18"/>
          <w:szCs w:val="18"/>
          <w:lang w:val="es-MX"/>
        </w:rPr>
      </w:pPr>
      <w:r w:rsidRPr="00A81186">
        <w:rPr>
          <w:rStyle w:val="normaltextrun"/>
          <w:rFonts w:ascii="Palatino Linotype" w:hAnsi="Palatino Linotype" w:cs="Segoe UI"/>
          <w:i/>
          <w:iCs/>
          <w:sz w:val="20"/>
          <w:szCs w:val="20"/>
          <w:lang w:val="es-MX"/>
        </w:rPr>
        <w:t>“…</w:t>
      </w:r>
      <w:r w:rsidRPr="00A81186">
        <w:rPr>
          <w:rStyle w:val="eop"/>
          <w:rFonts w:ascii="Palatino Linotype" w:hAnsi="Palatino Linotype" w:cs="Segoe UI"/>
          <w:sz w:val="20"/>
          <w:szCs w:val="20"/>
          <w:lang w:val="es-MX"/>
        </w:rPr>
        <w:t> </w:t>
      </w:r>
    </w:p>
    <w:p w14:paraId="0C1673D0" w14:textId="77777777" w:rsidR="00061188" w:rsidRPr="00A81186" w:rsidRDefault="00061188" w:rsidP="00061188">
      <w:pPr>
        <w:pStyle w:val="paragraph"/>
        <w:spacing w:line="360" w:lineRule="auto"/>
        <w:ind w:left="555" w:right="555"/>
        <w:contextualSpacing/>
        <w:textAlignment w:val="baseline"/>
        <w:rPr>
          <w:rFonts w:ascii="Palatino Linotype" w:hAnsi="Palatino Linotype"/>
          <w:i/>
          <w:iCs/>
          <w:color w:val="000000"/>
          <w:sz w:val="20"/>
          <w:szCs w:val="20"/>
          <w:lang w:val="es-MX"/>
        </w:rPr>
      </w:pPr>
      <w:r w:rsidRPr="00A81186">
        <w:rPr>
          <w:rFonts w:ascii="Palatino Linotype" w:hAnsi="Palatino Linotype"/>
          <w:i/>
          <w:iCs/>
          <w:color w:val="000000"/>
          <w:sz w:val="20"/>
          <w:szCs w:val="20"/>
          <w:lang w:val="es-MX"/>
        </w:rPr>
        <w:t xml:space="preserve">Con fundamento en el </w:t>
      </w:r>
      <w:proofErr w:type="spellStart"/>
      <w:proofErr w:type="gramStart"/>
      <w:r w:rsidRPr="00A81186">
        <w:rPr>
          <w:rFonts w:ascii="Palatino Linotype" w:hAnsi="Palatino Linotype"/>
          <w:i/>
          <w:iCs/>
          <w:color w:val="000000"/>
          <w:sz w:val="20"/>
          <w:szCs w:val="20"/>
          <w:lang w:val="es-MX"/>
        </w:rPr>
        <w:t>articulo</w:t>
      </w:r>
      <w:proofErr w:type="spellEnd"/>
      <w:proofErr w:type="gramEnd"/>
      <w:r w:rsidRPr="00A81186">
        <w:rPr>
          <w:rFonts w:ascii="Palatino Linotype" w:hAnsi="Palatino Linotype"/>
          <w:i/>
          <w:iCs/>
          <w:color w:val="000000"/>
          <w:sz w:val="20"/>
          <w:szCs w:val="20"/>
          <w:lang w:val="es-MX"/>
        </w:rPr>
        <w:t xml:space="preserve"> 159 de la Ley de Transparencia y Acceso a la Información Pública del Estado de México y Municipios, se le requiere para que dentro del plazo de diez días hábiles realice lo siguiente:</w:t>
      </w:r>
    </w:p>
    <w:p w14:paraId="18D996D5" w14:textId="77777777" w:rsidR="00061188" w:rsidRPr="00A81186" w:rsidRDefault="00061188" w:rsidP="00061188">
      <w:pPr>
        <w:pStyle w:val="paragraph"/>
        <w:spacing w:line="360" w:lineRule="auto"/>
        <w:ind w:left="555" w:right="555"/>
        <w:contextualSpacing/>
        <w:textAlignment w:val="baseline"/>
        <w:rPr>
          <w:rFonts w:ascii="Palatino Linotype" w:hAnsi="Palatino Linotype"/>
          <w:i/>
          <w:iCs/>
          <w:color w:val="000000"/>
          <w:sz w:val="20"/>
          <w:szCs w:val="20"/>
          <w:lang w:val="es-MX"/>
        </w:rPr>
      </w:pPr>
    </w:p>
    <w:p w14:paraId="5465BC97" w14:textId="77777777" w:rsidR="00061188" w:rsidRPr="00A81186" w:rsidRDefault="00061188" w:rsidP="00061188">
      <w:pPr>
        <w:pStyle w:val="paragraph"/>
        <w:spacing w:line="360" w:lineRule="auto"/>
        <w:ind w:left="555" w:right="555"/>
        <w:contextualSpacing/>
        <w:textAlignment w:val="baseline"/>
        <w:rPr>
          <w:rFonts w:ascii="Palatino Linotype" w:hAnsi="Palatino Linotype"/>
          <w:i/>
          <w:iCs/>
          <w:color w:val="000000"/>
          <w:sz w:val="20"/>
          <w:szCs w:val="20"/>
          <w:lang w:val="es-MX"/>
        </w:rPr>
      </w:pPr>
      <w:r w:rsidRPr="00A81186">
        <w:rPr>
          <w:rFonts w:ascii="Palatino Linotype" w:hAnsi="Palatino Linotype"/>
          <w:i/>
          <w:iCs/>
          <w:color w:val="000000"/>
          <w:sz w:val="20"/>
          <w:szCs w:val="20"/>
          <w:lang w:val="es-MX"/>
        </w:rPr>
        <w:t>A FIN DE DAR PUNTUAL ATENCIÓN A SU SOLICITUD, SE SOLICITA PRECISE SI REQUIERE COPIAS SIMPLES O CERTIFICADAS.</w:t>
      </w:r>
    </w:p>
    <w:p w14:paraId="2A6EAF1A" w14:textId="77777777" w:rsidR="00061188" w:rsidRPr="00A81186" w:rsidRDefault="00061188" w:rsidP="00061188">
      <w:pPr>
        <w:pStyle w:val="paragraph"/>
        <w:spacing w:line="360" w:lineRule="auto"/>
        <w:ind w:left="555" w:right="555"/>
        <w:contextualSpacing/>
        <w:textAlignment w:val="baseline"/>
        <w:rPr>
          <w:rFonts w:ascii="Palatino Linotype" w:hAnsi="Palatino Linotype"/>
          <w:i/>
          <w:iCs/>
          <w:color w:val="000000"/>
          <w:sz w:val="20"/>
          <w:szCs w:val="20"/>
          <w:lang w:val="es-MX"/>
        </w:rPr>
      </w:pPr>
    </w:p>
    <w:p w14:paraId="68D3C691" w14:textId="5E00D860" w:rsidR="00061188" w:rsidRPr="00A81186" w:rsidRDefault="00061188" w:rsidP="00061188">
      <w:pPr>
        <w:pStyle w:val="paragraph"/>
        <w:spacing w:before="0" w:beforeAutospacing="0" w:after="0" w:afterAutospacing="0" w:line="360" w:lineRule="auto"/>
        <w:ind w:left="555" w:right="555"/>
        <w:contextualSpacing/>
        <w:jc w:val="both"/>
        <w:textAlignment w:val="baseline"/>
        <w:rPr>
          <w:rFonts w:ascii="Palatino Linotype" w:hAnsi="Palatino Linotype"/>
          <w:i/>
          <w:iCs/>
          <w:color w:val="000000"/>
          <w:sz w:val="20"/>
          <w:szCs w:val="20"/>
          <w:lang w:val="es-MX"/>
        </w:rPr>
      </w:pPr>
      <w:r w:rsidRPr="00A81186">
        <w:rPr>
          <w:rFonts w:ascii="Palatino Linotype" w:hAnsi="Palatino Linotype"/>
          <w:i/>
          <w:iCs/>
          <w:color w:val="000000"/>
          <w:sz w:val="20"/>
          <w:szCs w:val="20"/>
          <w:lang w:val="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F2BC2B6" w14:textId="3567C3EA" w:rsidR="00061188" w:rsidRPr="00A81186" w:rsidRDefault="00061188" w:rsidP="00061188">
      <w:pPr>
        <w:pStyle w:val="paragraph"/>
        <w:spacing w:before="0" w:beforeAutospacing="0" w:after="0" w:afterAutospacing="0" w:line="360" w:lineRule="auto"/>
        <w:ind w:left="555" w:right="555"/>
        <w:contextualSpacing/>
        <w:jc w:val="both"/>
        <w:textAlignment w:val="baseline"/>
        <w:rPr>
          <w:rFonts w:ascii="Palatino Linotype" w:hAnsi="Palatino Linotype" w:cs="Segoe UI"/>
          <w:color w:val="auto"/>
          <w:sz w:val="18"/>
          <w:szCs w:val="18"/>
          <w:lang w:val="es-MX"/>
        </w:rPr>
      </w:pPr>
      <w:r w:rsidRPr="00A81186">
        <w:rPr>
          <w:rStyle w:val="normaltextrun"/>
          <w:rFonts w:ascii="Palatino Linotype" w:hAnsi="Palatino Linotype" w:cs="Segoe UI"/>
          <w:i/>
          <w:iCs/>
          <w:sz w:val="20"/>
          <w:szCs w:val="20"/>
          <w:lang w:val="es-MX"/>
        </w:rPr>
        <w:t>…” (Sic.)</w:t>
      </w:r>
      <w:r w:rsidRPr="00A81186">
        <w:rPr>
          <w:rStyle w:val="eop"/>
          <w:rFonts w:ascii="Palatino Linotype" w:hAnsi="Palatino Linotype" w:cs="Segoe UI"/>
          <w:sz w:val="20"/>
          <w:szCs w:val="20"/>
          <w:lang w:val="es-MX"/>
        </w:rPr>
        <w:t> </w:t>
      </w:r>
    </w:p>
    <w:p w14:paraId="2711099B" w14:textId="77777777" w:rsidR="00061188" w:rsidRPr="00A81186" w:rsidRDefault="00061188" w:rsidP="00061188"/>
    <w:p w14:paraId="09E01FAB" w14:textId="2CABDCBC" w:rsidR="00061188" w:rsidRPr="00A81186" w:rsidRDefault="00061188" w:rsidP="00061188">
      <w:pPr>
        <w:pStyle w:val="Ttulo2"/>
        <w:rPr>
          <w:szCs w:val="22"/>
        </w:rPr>
      </w:pPr>
      <w:bookmarkStart w:id="4" w:name="_Toc190952939"/>
      <w:r w:rsidRPr="00A81186">
        <w:rPr>
          <w:szCs w:val="22"/>
        </w:rPr>
        <w:t xml:space="preserve">III. </w:t>
      </w:r>
      <w:r w:rsidRPr="00A81186">
        <w:rPr>
          <w:rStyle w:val="normaltextrun"/>
          <w:rFonts w:cs="Segoe UI"/>
          <w:color w:val="auto"/>
        </w:rPr>
        <w:t>Contestación al requerimiento de aclaración</w:t>
      </w:r>
      <w:bookmarkEnd w:id="4"/>
      <w:r w:rsidRPr="00A81186">
        <w:rPr>
          <w:rStyle w:val="eop"/>
          <w:rFonts w:cs="Segoe UI"/>
          <w:color w:val="auto"/>
        </w:rPr>
        <w:t> </w:t>
      </w:r>
    </w:p>
    <w:p w14:paraId="034B4597" w14:textId="77777777" w:rsidR="00061188" w:rsidRPr="00A81186" w:rsidRDefault="00061188" w:rsidP="00061188"/>
    <w:p w14:paraId="5D23953E" w14:textId="7F8961D6" w:rsidR="00061188" w:rsidRPr="00A81186" w:rsidRDefault="00061188" w:rsidP="00061188">
      <w:pPr>
        <w:pStyle w:val="paragraph"/>
        <w:spacing w:before="0" w:beforeAutospacing="0" w:after="0" w:afterAutospacing="0" w:line="360" w:lineRule="auto"/>
        <w:contextualSpacing/>
        <w:jc w:val="both"/>
        <w:textAlignment w:val="baseline"/>
        <w:rPr>
          <w:rFonts w:ascii="Palatino Linotype" w:hAnsi="Palatino Linotype" w:cs="Segoe UI"/>
          <w:color w:val="auto"/>
          <w:sz w:val="18"/>
          <w:szCs w:val="18"/>
          <w:lang w:val="es-MX"/>
        </w:rPr>
      </w:pPr>
      <w:r w:rsidRPr="00A81186">
        <w:rPr>
          <w:rStyle w:val="normaltextrun"/>
          <w:rFonts w:ascii="Palatino Linotype" w:hAnsi="Palatino Linotype" w:cs="Segoe UI"/>
          <w:sz w:val="22"/>
          <w:szCs w:val="22"/>
          <w:lang w:val="es-MX"/>
        </w:rPr>
        <w:t>El cinco de diciembre de dos mil veinticuatro, la persona Solicitante respondió al requerimiento de aclaración referido, mediante el Sistema de Acceso a la Información Mexiquense (SAIMEX), en los términos siguientes:</w:t>
      </w:r>
      <w:r w:rsidRPr="00A81186">
        <w:rPr>
          <w:rStyle w:val="eop"/>
          <w:rFonts w:ascii="Palatino Linotype" w:hAnsi="Palatino Linotype" w:cs="Segoe UI"/>
          <w:sz w:val="22"/>
          <w:szCs w:val="22"/>
          <w:lang w:val="es-MX"/>
        </w:rPr>
        <w:t> </w:t>
      </w:r>
    </w:p>
    <w:p w14:paraId="39215C71" w14:textId="77777777" w:rsidR="00061188" w:rsidRPr="00A81186" w:rsidRDefault="00061188" w:rsidP="00061188">
      <w:pPr>
        <w:pStyle w:val="paragraph"/>
        <w:spacing w:before="0" w:beforeAutospacing="0" w:after="0" w:afterAutospacing="0" w:line="360" w:lineRule="auto"/>
        <w:contextualSpacing/>
        <w:jc w:val="both"/>
        <w:textAlignment w:val="baseline"/>
        <w:rPr>
          <w:rStyle w:val="eop"/>
          <w:sz w:val="22"/>
          <w:szCs w:val="22"/>
          <w:lang w:val="es-MX"/>
        </w:rPr>
      </w:pPr>
      <w:r w:rsidRPr="00A81186">
        <w:rPr>
          <w:rStyle w:val="eop"/>
          <w:rFonts w:ascii="Palatino Linotype" w:hAnsi="Palatino Linotype" w:cs="Segoe UI"/>
          <w:sz w:val="22"/>
          <w:szCs w:val="22"/>
          <w:lang w:val="es-MX"/>
        </w:rPr>
        <w:lastRenderedPageBreak/>
        <w:t> </w:t>
      </w:r>
    </w:p>
    <w:p w14:paraId="4FE42AA0" w14:textId="77777777" w:rsidR="00061188" w:rsidRPr="00A81186" w:rsidRDefault="00061188" w:rsidP="00061188">
      <w:pPr>
        <w:pStyle w:val="paragraph"/>
        <w:spacing w:before="0" w:beforeAutospacing="0" w:after="0" w:afterAutospacing="0" w:line="360" w:lineRule="auto"/>
        <w:ind w:left="555" w:right="555"/>
        <w:contextualSpacing/>
        <w:jc w:val="both"/>
        <w:textAlignment w:val="baseline"/>
        <w:rPr>
          <w:sz w:val="18"/>
          <w:szCs w:val="18"/>
          <w:lang w:val="es-MX"/>
        </w:rPr>
      </w:pPr>
      <w:r w:rsidRPr="00A81186">
        <w:rPr>
          <w:rStyle w:val="normaltextrun"/>
          <w:rFonts w:ascii="Palatino Linotype" w:hAnsi="Palatino Linotype" w:cs="Segoe UI"/>
          <w:b/>
          <w:bCs/>
          <w:i/>
          <w:iCs/>
          <w:sz w:val="20"/>
          <w:szCs w:val="20"/>
          <w:lang w:val="es-MX"/>
        </w:rPr>
        <w:t> “DATOS A COMPLETAR, CORREGIR, AMPLIAR O ACLARAR</w:t>
      </w:r>
      <w:r w:rsidRPr="00A81186">
        <w:rPr>
          <w:rStyle w:val="eop"/>
          <w:rFonts w:ascii="Palatino Linotype" w:hAnsi="Palatino Linotype" w:cs="Segoe UI"/>
          <w:sz w:val="20"/>
          <w:szCs w:val="20"/>
          <w:lang w:val="es-MX"/>
        </w:rPr>
        <w:t> </w:t>
      </w:r>
    </w:p>
    <w:p w14:paraId="09E9015C" w14:textId="77777777" w:rsidR="00061188" w:rsidRPr="00A81186" w:rsidRDefault="00061188" w:rsidP="00061188">
      <w:pPr>
        <w:pStyle w:val="paragraph"/>
        <w:ind w:left="555" w:right="555"/>
        <w:contextualSpacing/>
        <w:textAlignment w:val="baseline"/>
        <w:rPr>
          <w:rFonts w:ascii="Palatino Linotype" w:hAnsi="Palatino Linotype" w:cs="Segoe UI"/>
          <w:i/>
          <w:iCs/>
          <w:sz w:val="20"/>
          <w:szCs w:val="20"/>
          <w:lang w:val="es-MX"/>
        </w:rPr>
      </w:pPr>
    </w:p>
    <w:p w14:paraId="7F441237" w14:textId="58F8BF95" w:rsidR="00061188" w:rsidRPr="00A81186" w:rsidRDefault="00061188" w:rsidP="00061188">
      <w:pPr>
        <w:pStyle w:val="paragraph"/>
        <w:spacing w:before="0" w:beforeAutospacing="0" w:after="0" w:afterAutospacing="0" w:line="360" w:lineRule="auto"/>
        <w:ind w:left="555" w:right="555"/>
        <w:contextualSpacing/>
        <w:jc w:val="both"/>
        <w:textAlignment w:val="baseline"/>
        <w:rPr>
          <w:rFonts w:ascii="Palatino Linotype" w:hAnsi="Palatino Linotype" w:cs="Segoe UI"/>
          <w:sz w:val="18"/>
          <w:szCs w:val="18"/>
          <w:lang w:val="es-MX"/>
        </w:rPr>
      </w:pPr>
      <w:r w:rsidRPr="00A81186">
        <w:rPr>
          <w:rFonts w:ascii="Palatino Linotype" w:hAnsi="Palatino Linotype" w:cs="Segoe UI"/>
          <w:i/>
          <w:iCs/>
          <w:sz w:val="20"/>
          <w:szCs w:val="20"/>
          <w:lang w:val="es-MX"/>
        </w:rPr>
        <w:t>LA INFORMACIÓN FUE SOLICITADA VÍA SAIMEX. SALUDOS.</w:t>
      </w:r>
      <w:r w:rsidRPr="00A81186">
        <w:rPr>
          <w:rStyle w:val="normaltextrun"/>
          <w:rFonts w:ascii="Palatino Linotype" w:hAnsi="Palatino Linotype" w:cs="Segoe UI"/>
          <w:i/>
          <w:iCs/>
          <w:sz w:val="20"/>
          <w:szCs w:val="20"/>
          <w:lang w:val="es-MX"/>
        </w:rPr>
        <w:t>” (Sic.)</w:t>
      </w:r>
    </w:p>
    <w:p w14:paraId="000AC568" w14:textId="77777777" w:rsidR="00061188" w:rsidRPr="00A81186" w:rsidRDefault="00061188" w:rsidP="00061188"/>
    <w:p w14:paraId="7BF888FF" w14:textId="380249D3" w:rsidR="00061188" w:rsidRPr="00A81186" w:rsidRDefault="00061188" w:rsidP="00061188">
      <w:pPr>
        <w:pStyle w:val="Ttulo2"/>
      </w:pPr>
      <w:bookmarkStart w:id="5" w:name="_Toc190952940"/>
      <w:r w:rsidRPr="00A81186">
        <w:t xml:space="preserve">IV. </w:t>
      </w:r>
      <w:bookmarkStart w:id="6" w:name="_Toc189042481"/>
      <w:r w:rsidRPr="00A81186">
        <w:t>Prórroga para atender la solicitud de información</w:t>
      </w:r>
      <w:bookmarkEnd w:id="5"/>
      <w:bookmarkEnd w:id="6"/>
    </w:p>
    <w:p w14:paraId="08AC9B79" w14:textId="77777777" w:rsidR="00061188" w:rsidRPr="00A81186" w:rsidRDefault="00061188" w:rsidP="00061188">
      <w:pPr>
        <w:contextualSpacing/>
        <w:rPr>
          <w:rFonts w:eastAsia="Calibri" w:cs="Tahoma"/>
          <w:b/>
          <w:bCs/>
        </w:rPr>
      </w:pPr>
    </w:p>
    <w:p w14:paraId="60D515BF" w14:textId="701763CF" w:rsidR="00061188" w:rsidRPr="00A81186" w:rsidRDefault="00061188" w:rsidP="00061188">
      <w:pPr>
        <w:contextualSpacing/>
        <w:rPr>
          <w:rFonts w:eastAsia="Calibri" w:cs="Tahoma"/>
          <w:bCs/>
        </w:rPr>
      </w:pPr>
      <w:r w:rsidRPr="00A81186">
        <w:rPr>
          <w:rFonts w:eastAsia="Calibri" w:cs="Tahoma"/>
          <w:bCs/>
        </w:rPr>
        <w:t>El dieciséis de enero de dos mil veinticinco</w:t>
      </w:r>
      <w:r w:rsidRPr="00A81186">
        <w:rPr>
          <w:rFonts w:cs="Tahoma"/>
        </w:rPr>
        <w:t>, el Sujeto Obligado, a través del Sistema de Acceso a la Información Mexiquense (SAIMEX), notificó una prórroga, mediante la cual aprobó la ampliación de término para atender la solicitud de información</w:t>
      </w:r>
      <w:r w:rsidRPr="00A81186">
        <w:rPr>
          <w:rFonts w:eastAsia="Calibri" w:cs="Tahoma"/>
          <w:bCs/>
        </w:rPr>
        <w:t xml:space="preserve"> por el Comité de Transparencia del Ayuntamiento de Metepec.</w:t>
      </w:r>
    </w:p>
    <w:p w14:paraId="34BC1CF7" w14:textId="77777777" w:rsidR="00061188" w:rsidRPr="00A81186" w:rsidRDefault="00061188" w:rsidP="00061188">
      <w:pPr>
        <w:contextualSpacing/>
        <w:rPr>
          <w:rFonts w:eastAsiaTheme="minorHAnsi" w:cstheme="minorBidi"/>
        </w:rPr>
      </w:pPr>
    </w:p>
    <w:p w14:paraId="0A604AAC" w14:textId="33979703" w:rsidR="00E22EA8" w:rsidRPr="00A81186" w:rsidRDefault="00061188" w:rsidP="00061188">
      <w:pPr>
        <w:pStyle w:val="Ttulo2"/>
        <w:rPr>
          <w:szCs w:val="22"/>
        </w:rPr>
      </w:pPr>
      <w:bookmarkStart w:id="7" w:name="_Toc190952941"/>
      <w:r w:rsidRPr="00A81186">
        <w:rPr>
          <w:szCs w:val="22"/>
        </w:rPr>
        <w:t xml:space="preserve">V. </w:t>
      </w:r>
      <w:r w:rsidR="00E22EA8" w:rsidRPr="00A81186">
        <w:rPr>
          <w:szCs w:val="22"/>
        </w:rPr>
        <w:t>Respuesta del Sujeto Obligado</w:t>
      </w:r>
      <w:bookmarkEnd w:id="7"/>
    </w:p>
    <w:p w14:paraId="10CE94A9" w14:textId="77777777" w:rsidR="00C06004" w:rsidRPr="00A81186" w:rsidRDefault="00C06004" w:rsidP="00061188">
      <w:pPr>
        <w:autoSpaceDE w:val="0"/>
        <w:autoSpaceDN w:val="0"/>
        <w:adjustRightInd w:val="0"/>
        <w:rPr>
          <w:b/>
          <w:bCs/>
        </w:rPr>
      </w:pPr>
    </w:p>
    <w:p w14:paraId="67819200" w14:textId="77777777" w:rsidR="00955DC2" w:rsidRPr="00A81186" w:rsidRDefault="00011477" w:rsidP="00061188">
      <w:r w:rsidRPr="00A81186">
        <w:t xml:space="preserve">El </w:t>
      </w:r>
      <w:r w:rsidR="00061188" w:rsidRPr="00A81186">
        <w:t>veintisiete de enero de dos mil veinticinco</w:t>
      </w:r>
      <w:r w:rsidR="00E22EA8" w:rsidRPr="00A81186">
        <w:t xml:space="preserve">, el Sujeto Obligado notificó, a través del Sistema de Acceso a la Información Mexiquense (SAIMEX), la respuesta a la solicitud de acceso a la información pública, </w:t>
      </w:r>
      <w:r w:rsidR="004D1D8F" w:rsidRPr="00A81186">
        <w:t>a través de</w:t>
      </w:r>
      <w:r w:rsidR="00955DC2" w:rsidRPr="00A81186">
        <w:t xml:space="preserve"> </w:t>
      </w:r>
      <w:r w:rsidR="00B665DE" w:rsidRPr="00A81186">
        <w:t>l</w:t>
      </w:r>
      <w:r w:rsidR="00955DC2" w:rsidRPr="00A81186">
        <w:t>a digitalización de los siguientes documentos:</w:t>
      </w:r>
    </w:p>
    <w:p w14:paraId="15287FA9" w14:textId="77777777" w:rsidR="00955DC2" w:rsidRPr="00A81186" w:rsidRDefault="00955DC2" w:rsidP="00955DC2"/>
    <w:p w14:paraId="3564A25A" w14:textId="77777777" w:rsidR="00955DC2" w:rsidRPr="00A81186" w:rsidRDefault="00955DC2" w:rsidP="00955DC2">
      <w:r w:rsidRPr="00A81186">
        <w:t>i) O</w:t>
      </w:r>
      <w:r w:rsidR="0027645A" w:rsidRPr="00A81186">
        <w:t xml:space="preserve">ficio </w:t>
      </w:r>
      <w:r w:rsidRPr="00A81186">
        <w:t>número SA/SIT/0030/2024, del dieciocho de diciembre de dos mil veinticuatro, suscrito por el Secretario del Ayuntamiento y dirigido al Director de Transparencia y Gobierno Abierto, por medio del cual mencionó lo siguiente:</w:t>
      </w:r>
    </w:p>
    <w:p w14:paraId="70B5315B" w14:textId="77777777" w:rsidR="00955DC2" w:rsidRPr="00A81186" w:rsidRDefault="00955DC2" w:rsidP="00955DC2"/>
    <w:p w14:paraId="72336804" w14:textId="3390FA5B" w:rsidR="00955DC2" w:rsidRPr="00A81186" w:rsidRDefault="00955DC2" w:rsidP="00955DC2">
      <w:pPr>
        <w:ind w:left="567" w:right="567"/>
        <w:rPr>
          <w:i/>
          <w:iCs/>
          <w:sz w:val="20"/>
          <w:szCs w:val="20"/>
        </w:rPr>
      </w:pPr>
      <w:r w:rsidRPr="00A81186">
        <w:rPr>
          <w:i/>
          <w:iCs/>
          <w:sz w:val="20"/>
          <w:szCs w:val="20"/>
        </w:rPr>
        <w:t>“… después de haber realizado una búsqueda exhaustiva y razonable de la información dentro del archivo de este Servidor Público Habilitado, es dable informarle la incompetencia para conocer del presente ejercicio de acceso a la información pública, en virtud de que la naturaleza de la documentación, no forma parte de las atribuciones y obligaciones propias del Secretario del Ayuntamiento.</w:t>
      </w:r>
    </w:p>
    <w:p w14:paraId="6F9A985D" w14:textId="3AC04AEC" w:rsidR="00955DC2" w:rsidRPr="00A81186" w:rsidRDefault="00955DC2" w:rsidP="00955DC2">
      <w:pPr>
        <w:ind w:left="567" w:right="567"/>
        <w:rPr>
          <w:i/>
          <w:iCs/>
          <w:sz w:val="20"/>
          <w:szCs w:val="20"/>
        </w:rPr>
      </w:pPr>
      <w:r w:rsidRPr="00A81186">
        <w:rPr>
          <w:i/>
          <w:iCs/>
          <w:sz w:val="20"/>
          <w:szCs w:val="20"/>
        </w:rPr>
        <w:lastRenderedPageBreak/>
        <w:t>…”</w:t>
      </w:r>
    </w:p>
    <w:p w14:paraId="1929B4A0" w14:textId="436DACE5" w:rsidR="009C6628" w:rsidRPr="00A81186" w:rsidRDefault="00955DC2" w:rsidP="00061188">
      <w:r w:rsidRPr="00A81186">
        <w:t>ii) O</w:t>
      </w:r>
      <w:r w:rsidR="00061188" w:rsidRPr="00A81186">
        <w:t xml:space="preserve">ficio </w:t>
      </w:r>
      <w:r w:rsidRPr="00A81186">
        <w:t>número DA/0330/2025</w:t>
      </w:r>
      <w:r w:rsidR="0027645A" w:rsidRPr="00A81186">
        <w:t xml:space="preserve">, del </w:t>
      </w:r>
      <w:r w:rsidRPr="00A81186">
        <w:t>veintitrés de enero de dos mil veinticinco</w:t>
      </w:r>
      <w:r w:rsidR="0027645A" w:rsidRPr="00A81186">
        <w:t xml:space="preserve">, suscrito por </w:t>
      </w:r>
      <w:r w:rsidRPr="00A81186">
        <w:t xml:space="preserve">el Encargado de Despacho de la Dirección de Administración </w:t>
      </w:r>
      <w:r w:rsidR="0027645A" w:rsidRPr="00A81186">
        <w:t xml:space="preserve">y dirigido </w:t>
      </w:r>
      <w:r w:rsidRPr="00A81186">
        <w:t>al Director de Transparencia y Gobierno Abierto</w:t>
      </w:r>
      <w:r w:rsidR="0027645A" w:rsidRPr="00A81186">
        <w:t>, por medio del cual mencionó lo siguiente:</w:t>
      </w:r>
    </w:p>
    <w:p w14:paraId="6489444B" w14:textId="77777777" w:rsidR="0027645A" w:rsidRPr="00A81186" w:rsidRDefault="0027645A" w:rsidP="00061188"/>
    <w:p w14:paraId="0D56AD13" w14:textId="15E8DDEE" w:rsidR="0027645A" w:rsidRPr="00A81186" w:rsidRDefault="0027645A" w:rsidP="00061188">
      <w:pPr>
        <w:ind w:left="567" w:right="567"/>
        <w:rPr>
          <w:i/>
          <w:iCs/>
          <w:sz w:val="20"/>
          <w:szCs w:val="20"/>
        </w:rPr>
      </w:pPr>
      <w:r w:rsidRPr="00A81186">
        <w:rPr>
          <w:i/>
          <w:iCs/>
          <w:sz w:val="20"/>
          <w:szCs w:val="20"/>
        </w:rPr>
        <w:t>“…</w:t>
      </w:r>
    </w:p>
    <w:p w14:paraId="2EE4E774" w14:textId="0AEC1047" w:rsidR="00955DC2" w:rsidRPr="00A81186" w:rsidRDefault="00955DC2" w:rsidP="00061188">
      <w:pPr>
        <w:ind w:left="567" w:right="567"/>
        <w:rPr>
          <w:i/>
          <w:iCs/>
          <w:sz w:val="20"/>
          <w:szCs w:val="20"/>
        </w:rPr>
      </w:pPr>
      <w:r w:rsidRPr="00A81186">
        <w:rPr>
          <w:i/>
          <w:iCs/>
          <w:sz w:val="20"/>
          <w:szCs w:val="20"/>
        </w:rPr>
        <w:t>Al respecto, la Subdirección de Adquisiciones y Contratación de Servicios declara que, realizo la búsqueda minuciosa y exhaustiva en sus archivos físicos y electrónicos, acto seguido procede a notificar lo siguiente:</w:t>
      </w:r>
    </w:p>
    <w:p w14:paraId="35288DCA" w14:textId="77777777" w:rsidR="00955DC2" w:rsidRPr="00A81186" w:rsidRDefault="00955DC2" w:rsidP="00061188">
      <w:pPr>
        <w:ind w:left="567" w:right="567"/>
        <w:rPr>
          <w:i/>
          <w:iCs/>
          <w:sz w:val="20"/>
          <w:szCs w:val="20"/>
        </w:rPr>
      </w:pPr>
    </w:p>
    <w:p w14:paraId="408E5146" w14:textId="3DFB334E" w:rsidR="00955DC2" w:rsidRPr="00A81186" w:rsidRDefault="00955DC2" w:rsidP="00061188">
      <w:pPr>
        <w:ind w:left="567" w:right="567"/>
        <w:rPr>
          <w:i/>
          <w:iCs/>
          <w:sz w:val="20"/>
          <w:szCs w:val="20"/>
        </w:rPr>
      </w:pPr>
      <w:r w:rsidRPr="00A81186">
        <w:rPr>
          <w:i/>
          <w:iCs/>
          <w:sz w:val="20"/>
          <w:szCs w:val="20"/>
        </w:rPr>
        <w:t>No se localizó procedimiento adquisitivo alguno concerniente a “DESARROLLO DE LA SESIÓN SOLEMNE DE CABILDO EN EL TEATRO QUIMERA EN DONDE EL PRESIDENTE MUNICIPAL; FERNANDO FLORES RENDIRÁ SU TERCER INFORME DE GOBIERNO EL 1 DE DICIEMBRE DEL PRESENTE AÑO”. En consecuencia, se invoca lo previsto en el segundo párrafo del artículo 12 de la Ley de Transparencia y Acceso a la Información Pública del Estado de México y Municipios.</w:t>
      </w:r>
    </w:p>
    <w:p w14:paraId="3B725424" w14:textId="2873DC9A" w:rsidR="0027645A" w:rsidRPr="00A81186" w:rsidRDefault="0027645A" w:rsidP="00061188">
      <w:pPr>
        <w:ind w:left="567" w:right="567"/>
        <w:rPr>
          <w:i/>
          <w:iCs/>
          <w:sz w:val="20"/>
          <w:szCs w:val="20"/>
        </w:rPr>
      </w:pPr>
      <w:r w:rsidRPr="00A81186">
        <w:rPr>
          <w:i/>
          <w:iCs/>
          <w:sz w:val="20"/>
          <w:szCs w:val="20"/>
        </w:rPr>
        <w:t>…”</w:t>
      </w:r>
    </w:p>
    <w:p w14:paraId="322ED99D" w14:textId="1B471111" w:rsidR="00D25C63" w:rsidRPr="00A81186" w:rsidRDefault="00D25C63" w:rsidP="00061188"/>
    <w:p w14:paraId="7E7FBB31" w14:textId="210139CC" w:rsidR="00E22EA8" w:rsidRPr="00A81186" w:rsidRDefault="00061188" w:rsidP="00061188">
      <w:pPr>
        <w:pStyle w:val="Ttulo2"/>
        <w:rPr>
          <w:szCs w:val="22"/>
        </w:rPr>
      </w:pPr>
      <w:bookmarkStart w:id="8" w:name="_Toc190952942"/>
      <w:r w:rsidRPr="00A81186">
        <w:rPr>
          <w:szCs w:val="22"/>
        </w:rPr>
        <w:t>VI.</w:t>
      </w:r>
      <w:r w:rsidR="00E22EA8" w:rsidRPr="00A81186">
        <w:rPr>
          <w:szCs w:val="22"/>
        </w:rPr>
        <w:t xml:space="preserve"> Interposición del Recurso de Revisión</w:t>
      </w:r>
      <w:bookmarkEnd w:id="8"/>
    </w:p>
    <w:p w14:paraId="053D45CF" w14:textId="77777777" w:rsidR="00E22EA8" w:rsidRPr="00A81186" w:rsidRDefault="00E22EA8" w:rsidP="00061188">
      <w:pPr>
        <w:rPr>
          <w:b/>
        </w:rPr>
      </w:pPr>
    </w:p>
    <w:p w14:paraId="1AABC52F" w14:textId="6089615A" w:rsidR="00E22EA8" w:rsidRPr="00A81186" w:rsidRDefault="00083169" w:rsidP="00061188">
      <w:pPr>
        <w:rPr>
          <w:bCs/>
        </w:rPr>
      </w:pPr>
      <w:r w:rsidRPr="00A81186">
        <w:rPr>
          <w:bCs/>
        </w:rPr>
        <w:t xml:space="preserve">El </w:t>
      </w:r>
      <w:r w:rsidR="00CF3A81" w:rsidRPr="00A81186">
        <w:rPr>
          <w:bCs/>
        </w:rPr>
        <w:t>cinco de febrero</w:t>
      </w:r>
      <w:r w:rsidR="008932E1" w:rsidRPr="00A81186">
        <w:rPr>
          <w:bCs/>
        </w:rPr>
        <w:t xml:space="preserve"> </w:t>
      </w:r>
      <w:r w:rsidR="00E22EA8" w:rsidRPr="00A81186">
        <w:rPr>
          <w:bCs/>
        </w:rPr>
        <w:t>de dos mil veinti</w:t>
      </w:r>
      <w:r w:rsidR="009019A8" w:rsidRPr="00A81186">
        <w:rPr>
          <w:bCs/>
        </w:rPr>
        <w:t>c</w:t>
      </w:r>
      <w:r w:rsidR="00500073" w:rsidRPr="00A81186">
        <w:rPr>
          <w:bCs/>
        </w:rPr>
        <w:t>inco</w:t>
      </w:r>
      <w:r w:rsidR="00E22EA8" w:rsidRPr="00A81186">
        <w:rPr>
          <w:bCs/>
        </w:rPr>
        <w:t xml:space="preserve">, se recibió en este Instituto, a través del </w:t>
      </w:r>
      <w:r w:rsidR="00E22EA8" w:rsidRPr="00A81186">
        <w:rPr>
          <w:bCs/>
          <w:lang w:val="es-ES"/>
        </w:rPr>
        <w:t>Sistema de Acceso a la Información Mexiquense (SAIMEX)</w:t>
      </w:r>
      <w:r w:rsidR="00E22EA8" w:rsidRPr="00A81186">
        <w:rPr>
          <w:bCs/>
        </w:rPr>
        <w:t xml:space="preserve">, </w:t>
      </w:r>
      <w:r w:rsidR="009019A8" w:rsidRPr="00A81186">
        <w:rPr>
          <w:bCs/>
        </w:rPr>
        <w:t xml:space="preserve">el </w:t>
      </w:r>
      <w:r w:rsidR="00E22EA8" w:rsidRPr="00A81186">
        <w:rPr>
          <w:bCs/>
        </w:rPr>
        <w:t>Recurso de Revisión interpuesto por la p</w:t>
      </w:r>
      <w:r w:rsidRPr="00A81186">
        <w:rPr>
          <w:bCs/>
        </w:rPr>
        <w:t>ersona</w:t>
      </w:r>
      <w:r w:rsidR="00E22EA8" w:rsidRPr="00A81186">
        <w:rPr>
          <w:bCs/>
        </w:rPr>
        <w:t xml:space="preserve"> Recurrente, en contra de la respuesta por el Sujeto Obligado, a la solicitud de información</w:t>
      </w:r>
      <w:r w:rsidR="00500073" w:rsidRPr="00A81186">
        <w:t xml:space="preserve">, </w:t>
      </w:r>
      <w:r w:rsidR="00E22EA8" w:rsidRPr="00A81186">
        <w:rPr>
          <w:bCs/>
        </w:rPr>
        <w:t>en los siguientes términos:</w:t>
      </w:r>
    </w:p>
    <w:p w14:paraId="1A92F653" w14:textId="77777777" w:rsidR="004F5F11" w:rsidRPr="00A81186" w:rsidRDefault="004F5F11" w:rsidP="00061188"/>
    <w:p w14:paraId="1B2CCD45" w14:textId="4E8F7459" w:rsidR="00E22EA8" w:rsidRPr="00A81186" w:rsidRDefault="00E22EA8" w:rsidP="00061188">
      <w:pPr>
        <w:ind w:left="567" w:right="567"/>
        <w:rPr>
          <w:bCs/>
          <w:i/>
          <w:sz w:val="20"/>
          <w:szCs w:val="20"/>
        </w:rPr>
      </w:pPr>
      <w:r w:rsidRPr="00A81186">
        <w:rPr>
          <w:b/>
          <w:bCs/>
          <w:i/>
          <w:sz w:val="20"/>
          <w:szCs w:val="20"/>
        </w:rPr>
        <w:t>ACTO IMPUGNADO</w:t>
      </w:r>
    </w:p>
    <w:p w14:paraId="20CB87D1" w14:textId="19835D3D" w:rsidR="00E22EA8" w:rsidRPr="00A81186" w:rsidRDefault="00CF3A81" w:rsidP="00061188">
      <w:pPr>
        <w:ind w:left="567" w:right="567"/>
        <w:rPr>
          <w:i/>
          <w:sz w:val="20"/>
          <w:szCs w:val="20"/>
        </w:rPr>
      </w:pPr>
      <w:r w:rsidRPr="00A81186">
        <w:rPr>
          <w:i/>
          <w:iCs/>
          <w:sz w:val="20"/>
          <w:szCs w:val="20"/>
        </w:rPr>
        <w:t>LA RESPUESTA BRINDADA POR EL SUJETO OBLIGADO</w:t>
      </w:r>
      <w:r w:rsidR="0027645A" w:rsidRPr="00A81186">
        <w:rPr>
          <w:i/>
          <w:iCs/>
          <w:sz w:val="20"/>
          <w:szCs w:val="20"/>
        </w:rPr>
        <w:t>” (Sic.)</w:t>
      </w:r>
    </w:p>
    <w:p w14:paraId="3B2615CC" w14:textId="77777777" w:rsidR="00E22EA8" w:rsidRPr="00A81186" w:rsidRDefault="00E22EA8" w:rsidP="00061188">
      <w:pPr>
        <w:ind w:left="567" w:right="567"/>
        <w:rPr>
          <w:i/>
          <w:sz w:val="20"/>
          <w:szCs w:val="20"/>
        </w:rPr>
      </w:pPr>
    </w:p>
    <w:p w14:paraId="3F1F07C7" w14:textId="7DA6037E" w:rsidR="00E22EA8" w:rsidRPr="00A81186" w:rsidRDefault="00E22EA8" w:rsidP="00061188">
      <w:pPr>
        <w:ind w:left="567" w:right="567"/>
        <w:rPr>
          <w:b/>
          <w:i/>
          <w:sz w:val="20"/>
          <w:szCs w:val="20"/>
        </w:rPr>
      </w:pPr>
      <w:r w:rsidRPr="00A81186">
        <w:rPr>
          <w:b/>
          <w:i/>
          <w:sz w:val="20"/>
          <w:szCs w:val="20"/>
        </w:rPr>
        <w:t>RAZONES O MOTIVOS DE LA INCONFORMIDAD</w:t>
      </w:r>
    </w:p>
    <w:p w14:paraId="247A40E0" w14:textId="75E85C3B" w:rsidR="00E22EA8" w:rsidRPr="00A81186" w:rsidRDefault="00CF3A81" w:rsidP="00CF3A81">
      <w:pPr>
        <w:ind w:left="567" w:right="567"/>
        <w:rPr>
          <w:i/>
          <w:sz w:val="20"/>
          <w:szCs w:val="20"/>
        </w:rPr>
      </w:pPr>
      <w:r w:rsidRPr="00A81186">
        <w:rPr>
          <w:i/>
          <w:iCs/>
          <w:sz w:val="20"/>
          <w:szCs w:val="20"/>
        </w:rPr>
        <w:t>LA DIRECCIÓN DE ADMINISTRACIÓN SEÑALA QUE NO LOCALIZÓ PROCEDIMIENTO ADQUISITIVO ALGUNO, SIN EMBARGO, HUBO SONIDO, PANTALLAS Y EFECTOS. SOLICITO SE RINDA CUENTAS DE LOS DOCUMENTOS Y MONTOS EROGADOS POR TAL CONCEPTO.</w:t>
      </w:r>
      <w:r w:rsidR="00E22EA8" w:rsidRPr="00A81186">
        <w:rPr>
          <w:i/>
          <w:iCs/>
          <w:sz w:val="20"/>
          <w:szCs w:val="20"/>
        </w:rPr>
        <w:t>”</w:t>
      </w:r>
      <w:r w:rsidR="00E22EA8" w:rsidRPr="00A81186">
        <w:rPr>
          <w:i/>
          <w:sz w:val="18"/>
          <w:szCs w:val="18"/>
        </w:rPr>
        <w:t xml:space="preserve"> </w:t>
      </w:r>
      <w:r w:rsidR="0027645A" w:rsidRPr="00A81186">
        <w:rPr>
          <w:i/>
          <w:iCs/>
          <w:sz w:val="20"/>
          <w:szCs w:val="20"/>
        </w:rPr>
        <w:t>(Sic.)</w:t>
      </w:r>
    </w:p>
    <w:p w14:paraId="01179437" w14:textId="77777777" w:rsidR="00E22EA8" w:rsidRPr="00A81186" w:rsidRDefault="00E22EA8" w:rsidP="00061188"/>
    <w:p w14:paraId="009DB65C" w14:textId="2FC1E0B8" w:rsidR="00E22EA8" w:rsidRPr="00A81186" w:rsidRDefault="00E22EA8" w:rsidP="00061188">
      <w:pPr>
        <w:pStyle w:val="Ttulo2"/>
        <w:rPr>
          <w:szCs w:val="22"/>
        </w:rPr>
      </w:pPr>
      <w:bookmarkStart w:id="9" w:name="_Toc190952943"/>
      <w:r w:rsidRPr="00A81186">
        <w:rPr>
          <w:szCs w:val="22"/>
        </w:rPr>
        <w:t>V</w:t>
      </w:r>
      <w:r w:rsidR="00061188" w:rsidRPr="00A81186">
        <w:rPr>
          <w:szCs w:val="22"/>
        </w:rPr>
        <w:t>II</w:t>
      </w:r>
      <w:r w:rsidRPr="00A81186">
        <w:rPr>
          <w:szCs w:val="22"/>
        </w:rPr>
        <w:t>. Trámite del Recurso de Revisión ante este Instituto</w:t>
      </w:r>
      <w:bookmarkEnd w:id="9"/>
    </w:p>
    <w:p w14:paraId="5C9B63F8" w14:textId="77777777" w:rsidR="009B2DAB" w:rsidRPr="00A81186" w:rsidRDefault="009B2DAB" w:rsidP="00061188">
      <w:pPr>
        <w:rPr>
          <w:b/>
          <w:bCs/>
        </w:rPr>
      </w:pPr>
    </w:p>
    <w:p w14:paraId="173768ED" w14:textId="045E6093" w:rsidR="00E22EA8" w:rsidRPr="00A81186" w:rsidRDefault="00E22EA8" w:rsidP="00061188">
      <w:pPr>
        <w:rPr>
          <w:bCs/>
        </w:rPr>
      </w:pPr>
      <w:r w:rsidRPr="00A81186">
        <w:rPr>
          <w:b/>
          <w:bCs/>
        </w:rPr>
        <w:t>a) Turno del Medio de Impugnación.</w:t>
      </w:r>
      <w:r w:rsidR="000A706F" w:rsidRPr="00A81186">
        <w:rPr>
          <w:bCs/>
        </w:rPr>
        <w:t xml:space="preserve"> El</w:t>
      </w:r>
      <w:r w:rsidR="009019A8" w:rsidRPr="00A81186">
        <w:rPr>
          <w:bCs/>
        </w:rPr>
        <w:t xml:space="preserve"> </w:t>
      </w:r>
      <w:r w:rsidR="00CF3A81" w:rsidRPr="00A81186">
        <w:rPr>
          <w:bCs/>
        </w:rPr>
        <w:t>cinco de febrero</w:t>
      </w:r>
      <w:r w:rsidR="009019A8" w:rsidRPr="00A81186">
        <w:rPr>
          <w:bCs/>
        </w:rPr>
        <w:t xml:space="preserve"> de dos mil veintic</w:t>
      </w:r>
      <w:r w:rsidR="007A7732" w:rsidRPr="00A81186">
        <w:rPr>
          <w:bCs/>
        </w:rPr>
        <w:t>inco</w:t>
      </w:r>
      <w:r w:rsidRPr="00A81186">
        <w:rPr>
          <w:bCs/>
        </w:rPr>
        <w:t xml:space="preserve">, el </w:t>
      </w:r>
      <w:r w:rsidRPr="00A81186">
        <w:rPr>
          <w:lang w:val="es-ES"/>
        </w:rPr>
        <w:t>Sistema de Acceso a la Información Mexiquense (SAIMEX),</w:t>
      </w:r>
      <w:r w:rsidRPr="00A81186">
        <w:rPr>
          <w:bCs/>
        </w:rPr>
        <w:t xml:space="preserve"> asignó el número de expediente </w:t>
      </w:r>
      <w:r w:rsidR="00A753B3" w:rsidRPr="00A81186">
        <w:rPr>
          <w:b/>
          <w:bCs/>
        </w:rPr>
        <w:t>0</w:t>
      </w:r>
      <w:r w:rsidR="007A7732" w:rsidRPr="00A81186">
        <w:rPr>
          <w:b/>
          <w:bCs/>
        </w:rPr>
        <w:t>0</w:t>
      </w:r>
      <w:r w:rsidR="001046B6" w:rsidRPr="00A81186">
        <w:rPr>
          <w:b/>
          <w:bCs/>
        </w:rPr>
        <w:t>671</w:t>
      </w:r>
      <w:r w:rsidR="00A753B3" w:rsidRPr="00A81186">
        <w:rPr>
          <w:b/>
          <w:bCs/>
        </w:rPr>
        <w:t>/INFOEM/IP/RR/202</w:t>
      </w:r>
      <w:r w:rsidR="007A7732" w:rsidRPr="00A81186">
        <w:rPr>
          <w:b/>
          <w:bCs/>
        </w:rPr>
        <w:t>5</w:t>
      </w:r>
      <w:r w:rsidRPr="00A81186">
        <w:rPr>
          <w:bCs/>
        </w:rPr>
        <w:t xml:space="preserve">, al medio de impugnación que nos ocupa, con base en el sistema aprobado por el Pleno de este </w:t>
      </w:r>
      <w:r w:rsidR="00B65BCA" w:rsidRPr="00A81186">
        <w:rPr>
          <w:bCs/>
        </w:rPr>
        <w:t>Organismo</w:t>
      </w:r>
      <w:r w:rsidRPr="00A81186">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A81186" w:rsidRDefault="005914EE" w:rsidP="00061188">
      <w:pPr>
        <w:rPr>
          <w:b/>
          <w:bCs/>
        </w:rPr>
      </w:pPr>
    </w:p>
    <w:p w14:paraId="61891480" w14:textId="0BC32C01" w:rsidR="00E22EA8" w:rsidRPr="00A81186" w:rsidRDefault="00E22EA8" w:rsidP="00061188">
      <w:r w:rsidRPr="00A81186">
        <w:rPr>
          <w:b/>
          <w:bCs/>
        </w:rPr>
        <w:t>b) Admisión del Recurso de Revisión</w:t>
      </w:r>
      <w:r w:rsidRPr="00A81186">
        <w:rPr>
          <w:b/>
          <w:bCs/>
          <w:lang w:val="es-ES_tradnl"/>
        </w:rPr>
        <w:t xml:space="preserve">. </w:t>
      </w:r>
      <w:r w:rsidRPr="00A81186">
        <w:rPr>
          <w:bCs/>
          <w:lang w:val="es-ES_tradnl"/>
        </w:rPr>
        <w:t xml:space="preserve">El </w:t>
      </w:r>
      <w:r w:rsidR="00CF3A81" w:rsidRPr="00A81186">
        <w:rPr>
          <w:bCs/>
          <w:lang w:val="es-ES_tradnl"/>
        </w:rPr>
        <w:t>siete de febrero</w:t>
      </w:r>
      <w:r w:rsidR="009019A8" w:rsidRPr="00A81186">
        <w:rPr>
          <w:bCs/>
          <w:lang w:val="es-ES_tradnl"/>
        </w:rPr>
        <w:t xml:space="preserve"> de dos mil veintic</w:t>
      </w:r>
      <w:r w:rsidR="007A7732" w:rsidRPr="00A81186">
        <w:rPr>
          <w:bCs/>
          <w:lang w:val="es-ES_tradnl"/>
        </w:rPr>
        <w:t>inco</w:t>
      </w:r>
      <w:r w:rsidRPr="00A81186">
        <w:rPr>
          <w:bCs/>
          <w:lang w:val="es-ES_tradnl"/>
        </w:rPr>
        <w:t xml:space="preserve">, se acordó la admisión del Recurso de Revisión interpuesto por </w:t>
      </w:r>
      <w:r w:rsidR="00261B92" w:rsidRPr="00A81186">
        <w:rPr>
          <w:bCs/>
          <w:lang w:val="es-ES_tradnl"/>
        </w:rPr>
        <w:t>la persona</w:t>
      </w:r>
      <w:r w:rsidRPr="00A81186">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A81186">
        <w:rPr>
          <w:bCs/>
          <w:lang w:val="es-ES_tradnl"/>
        </w:rPr>
        <w:t>el</w:t>
      </w:r>
      <w:r w:rsidR="000A706F" w:rsidRPr="00A81186">
        <w:rPr>
          <w:bCs/>
          <w:lang w:val="es-ES_tradnl"/>
        </w:rPr>
        <w:t xml:space="preserve"> mismo día</w:t>
      </w:r>
      <w:r w:rsidRPr="00A81186">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A81186" w:rsidRDefault="00E22EA8" w:rsidP="00061188">
      <w:pPr>
        <w:rPr>
          <w:rFonts w:cs="Tahoma"/>
          <w:lang w:val="es-ES_tradnl"/>
        </w:rPr>
      </w:pPr>
    </w:p>
    <w:p w14:paraId="5A5D4D2E" w14:textId="77777777" w:rsidR="007A7732" w:rsidRPr="00A81186" w:rsidRDefault="00E10780" w:rsidP="00061188">
      <w:pPr>
        <w:rPr>
          <w:noProof/>
        </w:rPr>
      </w:pPr>
      <w:r w:rsidRPr="00A81186">
        <w:rPr>
          <w:b/>
        </w:rPr>
        <w:t>c</w:t>
      </w:r>
      <w:r w:rsidR="00F933B4" w:rsidRPr="00A81186">
        <w:rPr>
          <w:b/>
        </w:rPr>
        <w:t>) Informe Justificado</w:t>
      </w:r>
      <w:r w:rsidR="007A7732" w:rsidRPr="00A81186">
        <w:rPr>
          <w:b/>
        </w:rPr>
        <w:t xml:space="preserve"> </w:t>
      </w:r>
      <w:r w:rsidR="007A7732" w:rsidRPr="00A81186">
        <w:rPr>
          <w:rFonts w:cs="Tahoma"/>
          <w:b/>
          <w:lang w:val="es-ES_tradnl"/>
        </w:rPr>
        <w:t xml:space="preserve">o Manifestaciones. </w:t>
      </w:r>
      <w:r w:rsidR="007A7732" w:rsidRPr="00A81186">
        <w:rPr>
          <w:rFonts w:cs="Tahoma"/>
          <w:bCs/>
          <w:lang w:val="es-ES_tradnl"/>
        </w:rPr>
        <w:t>Las partes fueron omisas en emitir manifestaciones o alegatos</w:t>
      </w:r>
      <w:r w:rsidR="007A7732" w:rsidRPr="00A81186">
        <w:rPr>
          <w:noProof/>
        </w:rPr>
        <w:t>.</w:t>
      </w:r>
    </w:p>
    <w:p w14:paraId="58013731" w14:textId="77777777" w:rsidR="0058767A" w:rsidRPr="00A81186" w:rsidRDefault="0058767A" w:rsidP="00061188"/>
    <w:p w14:paraId="30D8852C" w14:textId="77777777" w:rsidR="00CF3A81" w:rsidRPr="00A81186" w:rsidRDefault="00CF3A81" w:rsidP="00061188"/>
    <w:p w14:paraId="3A91A60C" w14:textId="1CD2D274" w:rsidR="00477F76" w:rsidRPr="00A81186" w:rsidRDefault="00477F76" w:rsidP="00061188">
      <w:pPr>
        <w:rPr>
          <w:rFonts w:cs="Tahoma"/>
          <w:bCs/>
          <w:i/>
          <w:iCs/>
        </w:rPr>
      </w:pPr>
      <w:r w:rsidRPr="00A81186">
        <w:rPr>
          <w:rFonts w:cs="Tahoma"/>
          <w:b/>
        </w:rPr>
        <w:t xml:space="preserve">d) Recurso de Revisión Desistido. </w:t>
      </w:r>
      <w:r w:rsidRPr="00A81186">
        <w:rPr>
          <w:rFonts w:cs="Tahoma"/>
          <w:bCs/>
        </w:rPr>
        <w:t xml:space="preserve">El </w:t>
      </w:r>
      <w:r w:rsidR="00CF3A81" w:rsidRPr="00A81186">
        <w:rPr>
          <w:rFonts w:cs="Tahoma"/>
          <w:bCs/>
        </w:rPr>
        <w:t>siete de febrero</w:t>
      </w:r>
      <w:r w:rsidRPr="00A81186">
        <w:rPr>
          <w:rFonts w:cs="Tahoma"/>
          <w:bCs/>
        </w:rPr>
        <w:t xml:space="preserve"> de dos mil veinticinco, </w:t>
      </w:r>
      <w:r w:rsidR="00CF3A81" w:rsidRPr="00A81186">
        <w:rPr>
          <w:rFonts w:cs="Tahoma"/>
          <w:bCs/>
        </w:rPr>
        <w:t>la persona</w:t>
      </w:r>
      <w:r w:rsidRPr="00A81186">
        <w:rPr>
          <w:rFonts w:cs="Tahoma"/>
          <w:bCs/>
        </w:rPr>
        <w:t xml:space="preserve"> Recurrente, a través del Sistema de Acceso a la Información Mexiquense (SAIMEX), se desistió del Recurso de Revisión</w:t>
      </w:r>
      <w:r w:rsidR="00CF3A81" w:rsidRPr="00A81186">
        <w:rPr>
          <w:rFonts w:cs="Tahoma"/>
          <w:bCs/>
        </w:rPr>
        <w:t>.</w:t>
      </w:r>
    </w:p>
    <w:p w14:paraId="7E1812AA" w14:textId="77777777" w:rsidR="00CF3A81" w:rsidRPr="00A81186" w:rsidRDefault="00CF3A81" w:rsidP="00061188">
      <w:pPr>
        <w:rPr>
          <w:rFonts w:cs="Tahoma"/>
          <w:bCs/>
          <w:i/>
          <w:iCs/>
        </w:rPr>
      </w:pPr>
    </w:p>
    <w:p w14:paraId="73AC64D0" w14:textId="6E8EC140" w:rsidR="00E22EA8" w:rsidRPr="00A81186" w:rsidRDefault="00680F20" w:rsidP="00061188">
      <w:pPr>
        <w:rPr>
          <w:lang w:val="es-ES"/>
        </w:rPr>
      </w:pPr>
      <w:r w:rsidRPr="00A81186">
        <w:rPr>
          <w:rFonts w:eastAsia="Times New Roman" w:cs="Tahoma"/>
          <w:b/>
          <w:szCs w:val="24"/>
          <w:lang w:eastAsia="es-ES"/>
        </w:rPr>
        <w:t>e</w:t>
      </w:r>
      <w:r w:rsidR="00E22EA8" w:rsidRPr="00A81186">
        <w:rPr>
          <w:rFonts w:eastAsia="Times New Roman" w:cs="Tahoma"/>
          <w:b/>
          <w:szCs w:val="24"/>
          <w:lang w:eastAsia="es-ES"/>
        </w:rPr>
        <w:t>) Cierre de instrucción.</w:t>
      </w:r>
      <w:r w:rsidR="00E22EA8" w:rsidRPr="00A81186">
        <w:rPr>
          <w:rFonts w:eastAsia="Times New Roman" w:cs="Tahoma"/>
          <w:szCs w:val="24"/>
          <w:lang w:eastAsia="es-ES"/>
        </w:rPr>
        <w:t xml:space="preserve"> El </w:t>
      </w:r>
      <w:r w:rsidR="00CF3A81" w:rsidRPr="00A81186">
        <w:rPr>
          <w:rFonts w:eastAsia="Times New Roman" w:cs="Tahoma"/>
          <w:szCs w:val="24"/>
          <w:lang w:eastAsia="es-ES"/>
        </w:rPr>
        <w:t>once de febrero</w:t>
      </w:r>
      <w:r w:rsidR="00E22EA8" w:rsidRPr="00A81186">
        <w:rPr>
          <w:rFonts w:eastAsia="Times New Roman" w:cs="Tahoma"/>
          <w:szCs w:val="24"/>
          <w:lang w:eastAsia="es-ES"/>
        </w:rPr>
        <w:t xml:space="preserve"> de dos mil veinti</w:t>
      </w:r>
      <w:r w:rsidR="001425CB" w:rsidRPr="00A81186">
        <w:rPr>
          <w:rFonts w:eastAsia="Times New Roman" w:cs="Tahoma"/>
          <w:szCs w:val="24"/>
          <w:lang w:eastAsia="es-ES"/>
        </w:rPr>
        <w:t>c</w:t>
      </w:r>
      <w:r w:rsidR="007A7732" w:rsidRPr="00A81186">
        <w:rPr>
          <w:rFonts w:eastAsia="Times New Roman" w:cs="Tahoma"/>
          <w:szCs w:val="24"/>
          <w:lang w:eastAsia="es-ES"/>
        </w:rPr>
        <w:t>inco</w:t>
      </w:r>
      <w:r w:rsidR="00E22EA8" w:rsidRPr="00A81186">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A81186">
        <w:rPr>
          <w:lang w:val="es-ES"/>
        </w:rPr>
        <w:t>acto que fue notificado a las partes, mediante el Sistema de Acceso a la Información Mexiquense (SAIMEX), el mismo día.</w:t>
      </w:r>
    </w:p>
    <w:p w14:paraId="5478C923" w14:textId="77777777" w:rsidR="00477F76" w:rsidRPr="00A81186" w:rsidRDefault="00477F76" w:rsidP="00061188">
      <w:pPr>
        <w:rPr>
          <w:lang w:val="es-ES"/>
        </w:rPr>
      </w:pPr>
    </w:p>
    <w:p w14:paraId="161AC563" w14:textId="77777777" w:rsidR="005C690F" w:rsidRPr="00A81186" w:rsidRDefault="007D6307" w:rsidP="00061188">
      <w:pPr>
        <w:rPr>
          <w:color w:val="000000"/>
        </w:rPr>
      </w:pPr>
      <w:r w:rsidRPr="00A81186">
        <w:rPr>
          <w:color w:val="000000"/>
        </w:rPr>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A81186" w:rsidRDefault="005C690F" w:rsidP="00061188">
      <w:pPr>
        <w:rPr>
          <w:b/>
          <w:color w:val="000000"/>
        </w:rPr>
      </w:pPr>
    </w:p>
    <w:p w14:paraId="250F6589" w14:textId="3F880C72" w:rsidR="005C690F" w:rsidRPr="00A81186" w:rsidRDefault="00CD6238" w:rsidP="00061188">
      <w:pPr>
        <w:pStyle w:val="Ttulo1"/>
        <w:spacing w:before="0" w:after="0"/>
        <w:jc w:val="center"/>
        <w:rPr>
          <w:sz w:val="22"/>
          <w:szCs w:val="22"/>
        </w:rPr>
      </w:pPr>
      <w:bookmarkStart w:id="10" w:name="_Toc190952944"/>
      <w:r w:rsidRPr="00A81186">
        <w:rPr>
          <w:sz w:val="22"/>
          <w:szCs w:val="22"/>
        </w:rPr>
        <w:t>C O N S I D E R A N D O S</w:t>
      </w:r>
      <w:bookmarkEnd w:id="10"/>
    </w:p>
    <w:p w14:paraId="5AB6ED71" w14:textId="77777777" w:rsidR="005C690F" w:rsidRPr="00A81186" w:rsidRDefault="005C690F" w:rsidP="00061188">
      <w:pPr>
        <w:jc w:val="center"/>
        <w:rPr>
          <w:b/>
          <w:color w:val="000000"/>
        </w:rPr>
      </w:pPr>
    </w:p>
    <w:p w14:paraId="36BFFC7E" w14:textId="2F0F17EA" w:rsidR="005C690F" w:rsidRPr="00A81186" w:rsidRDefault="007D6307" w:rsidP="00061188">
      <w:pPr>
        <w:pStyle w:val="Ttulo2"/>
        <w:rPr>
          <w:szCs w:val="22"/>
        </w:rPr>
      </w:pPr>
      <w:bookmarkStart w:id="11" w:name="_Toc190952945"/>
      <w:r w:rsidRPr="00A81186">
        <w:rPr>
          <w:szCs w:val="22"/>
        </w:rPr>
        <w:t xml:space="preserve">PRIMERO. </w:t>
      </w:r>
      <w:r w:rsidR="00CD6238" w:rsidRPr="00A81186">
        <w:rPr>
          <w:szCs w:val="22"/>
        </w:rPr>
        <w:t>Competencia</w:t>
      </w:r>
      <w:bookmarkEnd w:id="11"/>
    </w:p>
    <w:p w14:paraId="552342DA" w14:textId="77777777" w:rsidR="007A1ACB" w:rsidRPr="00A81186" w:rsidRDefault="007A1ACB" w:rsidP="00061188">
      <w:pPr>
        <w:rPr>
          <w:b/>
          <w:color w:val="000000"/>
        </w:rPr>
      </w:pPr>
    </w:p>
    <w:p w14:paraId="22812C39" w14:textId="05992586" w:rsidR="00C67C95" w:rsidRPr="00A81186" w:rsidRDefault="00C67C95" w:rsidP="00061188">
      <w:pPr>
        <w:contextualSpacing/>
        <w:rPr>
          <w:rFonts w:eastAsia="Times New Roman" w:cs="Tahoma"/>
          <w:bCs/>
          <w:lang w:eastAsia="es-ES"/>
        </w:rPr>
      </w:pPr>
      <w:bookmarkStart w:id="12" w:name="_heading=h.30j0zll" w:colFirst="0" w:colLast="0"/>
      <w:bookmarkStart w:id="13" w:name="_Hlk63334754"/>
      <w:bookmarkEnd w:id="12"/>
      <w:r w:rsidRPr="00A81186">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w:t>
      </w:r>
      <w:r w:rsidR="00261B92" w:rsidRPr="00A81186">
        <w:rPr>
          <w:rFonts w:eastAsia="Times New Roman" w:cs="Tahoma"/>
          <w:bCs/>
          <w:lang w:eastAsia="es-ES"/>
        </w:rPr>
        <w:t>ersona</w:t>
      </w:r>
      <w:r w:rsidRPr="00A81186">
        <w:rPr>
          <w:rFonts w:eastAsia="Times New Roman" w:cs="Tahoma"/>
          <w:bCs/>
          <w:lang w:eastAsia="es-ES"/>
        </w:rPr>
        <w:t xml:space="preserv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w:t>
      </w:r>
      <w:r w:rsidRPr="00A81186">
        <w:rPr>
          <w:rFonts w:eastAsia="Times New Roman" w:cs="Tahoma"/>
          <w:bCs/>
          <w:lang w:eastAsia="es-ES"/>
        </w:rPr>
        <w:lastRenderedPageBreak/>
        <w:t>Información Pública; 1°, 2°, fracciones II y IV; 13, 29, 36, fracciones I y II; 176, 178, 179, 181 párrafo tercero, 185, 188 y 189 de la Ley Transparencia y Acceso a la Información Pública del Estado de México y Municipios;</w:t>
      </w:r>
      <w:r w:rsidRPr="00A81186">
        <w:rPr>
          <w:rFonts w:eastAsia="Times New Roman" w:cs="Times New Roman"/>
          <w:bCs/>
          <w:lang w:eastAsia="es-ES"/>
        </w:rPr>
        <w:t xml:space="preserve"> 7°, </w:t>
      </w:r>
      <w:r w:rsidRPr="00A81186">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13"/>
    </w:p>
    <w:p w14:paraId="7D6F61F9" w14:textId="77777777" w:rsidR="00CF3A81" w:rsidRPr="00A81186" w:rsidRDefault="00CF3A81" w:rsidP="00061188">
      <w:pPr>
        <w:contextualSpacing/>
        <w:rPr>
          <w:rFonts w:eastAsia="Times New Roman" w:cs="Tahoma"/>
          <w:bCs/>
          <w:lang w:eastAsia="es-ES"/>
        </w:rPr>
      </w:pPr>
    </w:p>
    <w:p w14:paraId="46691DD5" w14:textId="10E366AA" w:rsidR="005C690F" w:rsidRPr="00A81186" w:rsidRDefault="007D6307" w:rsidP="00061188">
      <w:pPr>
        <w:pStyle w:val="Ttulo2"/>
        <w:rPr>
          <w:szCs w:val="22"/>
        </w:rPr>
      </w:pPr>
      <w:bookmarkStart w:id="14" w:name="_Toc190952946"/>
      <w:r w:rsidRPr="00A81186">
        <w:rPr>
          <w:szCs w:val="22"/>
        </w:rPr>
        <w:t>SEGUNDO. Causales de</w:t>
      </w:r>
      <w:r w:rsidR="00CD6238" w:rsidRPr="00A81186">
        <w:rPr>
          <w:szCs w:val="22"/>
        </w:rPr>
        <w:t xml:space="preserve"> improcedencia</w:t>
      </w:r>
      <w:bookmarkEnd w:id="14"/>
      <w:r w:rsidR="00CD6238" w:rsidRPr="00A81186">
        <w:rPr>
          <w:szCs w:val="22"/>
        </w:rPr>
        <w:t xml:space="preserve"> </w:t>
      </w:r>
    </w:p>
    <w:p w14:paraId="49AA4CDE" w14:textId="77777777" w:rsidR="005C690F" w:rsidRPr="00A81186" w:rsidRDefault="005C690F" w:rsidP="00061188">
      <w:pPr>
        <w:rPr>
          <w:color w:val="000000"/>
        </w:rPr>
      </w:pPr>
    </w:p>
    <w:p w14:paraId="2553CE58" w14:textId="77777777" w:rsidR="005C690F" w:rsidRPr="00A81186" w:rsidRDefault="007D6307" w:rsidP="00061188">
      <w:pPr>
        <w:rPr>
          <w:color w:val="000000"/>
        </w:rPr>
      </w:pPr>
      <w:r w:rsidRPr="00A81186">
        <w:rPr>
          <w:color w:val="000000"/>
        </w:rPr>
        <w:t xml:space="preserve">De las constancias que forma parte del Recurso de Revisión que se analiza, se advierte que previo al estudio del fondo de la </w:t>
      </w:r>
      <w:proofErr w:type="spellStart"/>
      <w:r w:rsidRPr="00A81186">
        <w:rPr>
          <w:i/>
          <w:color w:val="000000"/>
        </w:rPr>
        <w:t>litis</w:t>
      </w:r>
      <w:proofErr w:type="spellEnd"/>
      <w:r w:rsidRPr="00A81186">
        <w:rPr>
          <w:color w:val="000000"/>
        </w:rPr>
        <w:t>, es necesario estudiar las causales de improcedencia y sobreseimiento que se adviertan, para determinar lo que en Derecho proceda.</w:t>
      </w:r>
    </w:p>
    <w:p w14:paraId="35A30074" w14:textId="77777777" w:rsidR="009B2DAB" w:rsidRPr="00A81186" w:rsidRDefault="009B2DAB" w:rsidP="00061188">
      <w:pPr>
        <w:rPr>
          <w:color w:val="000000"/>
        </w:rPr>
      </w:pPr>
    </w:p>
    <w:p w14:paraId="3066DF0C" w14:textId="77777777" w:rsidR="005C690F" w:rsidRPr="00A81186" w:rsidRDefault="007D6307" w:rsidP="00061188">
      <w:pPr>
        <w:rPr>
          <w:b/>
        </w:rPr>
      </w:pPr>
      <w:r w:rsidRPr="00A81186">
        <w:rPr>
          <w:b/>
        </w:rPr>
        <w:t>Causales de improcedencia</w:t>
      </w:r>
    </w:p>
    <w:p w14:paraId="75878DC6" w14:textId="77777777" w:rsidR="005C690F" w:rsidRPr="00A81186" w:rsidRDefault="005C690F" w:rsidP="00061188"/>
    <w:p w14:paraId="6C56CA88" w14:textId="77777777" w:rsidR="005C690F" w:rsidRPr="00A81186" w:rsidRDefault="007D6307" w:rsidP="00061188">
      <w:pPr>
        <w:rPr>
          <w:color w:val="000000"/>
        </w:rPr>
      </w:pPr>
      <w:r w:rsidRPr="00A81186">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A81186" w:rsidRDefault="005C690F" w:rsidP="00061188">
      <w:pPr>
        <w:rPr>
          <w:color w:val="000000"/>
        </w:rPr>
      </w:pPr>
    </w:p>
    <w:p w14:paraId="25E6CD22" w14:textId="77777777" w:rsidR="00CF3A81" w:rsidRPr="00A81186" w:rsidRDefault="007D6307" w:rsidP="00061188">
      <w:pPr>
        <w:rPr>
          <w:color w:val="000000"/>
        </w:rPr>
      </w:pPr>
      <w:r w:rsidRPr="00A81186">
        <w:rPr>
          <w:color w:val="000000"/>
        </w:rPr>
        <w:t>En el presente caso, </w:t>
      </w:r>
      <w:r w:rsidRPr="00A81186">
        <w:rPr>
          <w:b/>
          <w:color w:val="000000"/>
        </w:rPr>
        <w:t>no se actualiza ninguna de las causales de improcedencia</w:t>
      </w:r>
      <w:r w:rsidRPr="00A81186">
        <w:rPr>
          <w:color w:val="000000"/>
        </w:rPr>
        <w:t> establecidas en el ordenamiento jurídico previamente señalado, toda vez que: este Instituto no tiene conocimiento de que se encuentre en trámite algún medio de defensa presentado por la</w:t>
      </w:r>
      <w:r w:rsidR="00261B92" w:rsidRPr="00A81186">
        <w:rPr>
          <w:color w:val="000000"/>
        </w:rPr>
        <w:t xml:space="preserve"> </w:t>
      </w:r>
      <w:r w:rsidR="00261B92" w:rsidRPr="00A81186">
        <w:rPr>
          <w:color w:val="000000"/>
        </w:rPr>
        <w:lastRenderedPageBreak/>
        <w:t>persona</w:t>
      </w:r>
      <w:r w:rsidRPr="00A81186">
        <w:rPr>
          <w:color w:val="000000"/>
        </w:rPr>
        <w:t xml:space="preserve"> Recurrente ante otra instancia; no existió prevención alguna; la veracidad de la respuesta no formó parte del agravio; ni se realizó una consulta o ampliación a los alcances del requerimiento informativo.</w:t>
      </w:r>
      <w:r w:rsidR="0046342E" w:rsidRPr="00A81186">
        <w:rPr>
          <w:color w:val="000000"/>
        </w:rPr>
        <w:t xml:space="preserve"> </w:t>
      </w:r>
    </w:p>
    <w:p w14:paraId="3212AB22" w14:textId="77777777" w:rsidR="00CF3A81" w:rsidRPr="00A81186" w:rsidRDefault="00CF3A81" w:rsidP="00061188">
      <w:pPr>
        <w:rPr>
          <w:color w:val="000000"/>
        </w:rPr>
      </w:pPr>
    </w:p>
    <w:p w14:paraId="2BF1CF5B" w14:textId="61664329" w:rsidR="005C690F" w:rsidRPr="00A81186" w:rsidRDefault="00CF3A81" w:rsidP="00061188">
      <w:pPr>
        <w:rPr>
          <w:rFonts w:eastAsia="Times New Roman" w:cs="Tahoma"/>
          <w:bCs/>
          <w:color w:val="auto"/>
          <w:lang w:eastAsia="es-ES"/>
        </w:rPr>
      </w:pPr>
      <w:r w:rsidRPr="00A81186">
        <w:t>Además</w:t>
      </w:r>
      <w:r w:rsidR="007D6307" w:rsidRPr="00A81186">
        <w:t>, se actualiza la causal de procedencia del Recurso de Revisión señal</w:t>
      </w:r>
      <w:r w:rsidR="00261DF6" w:rsidRPr="00A81186">
        <w:t>ada en el artículo 179, fracci</w:t>
      </w:r>
      <w:r w:rsidR="00230B8F" w:rsidRPr="00A81186">
        <w:t xml:space="preserve">ón </w:t>
      </w:r>
      <w:r w:rsidRPr="00A81186">
        <w:t>III</w:t>
      </w:r>
      <w:r w:rsidR="007D6307" w:rsidRPr="00A81186">
        <w:t>, de la Ley en cita, pues la p</w:t>
      </w:r>
      <w:r w:rsidR="00261B92" w:rsidRPr="00A81186">
        <w:t>ersona</w:t>
      </w:r>
      <w:r w:rsidR="007D6307" w:rsidRPr="00A81186">
        <w:t xml:space="preserve"> Recurrente se inconformó </w:t>
      </w:r>
      <w:r w:rsidRPr="00A81186">
        <w:t>de la inexistencia de la información</w:t>
      </w:r>
      <w:r w:rsidR="007A7732" w:rsidRPr="00A81186">
        <w:rPr>
          <w:rFonts w:eastAsia="Times New Roman" w:cs="Tahoma"/>
          <w:bCs/>
          <w:color w:val="auto"/>
          <w:lang w:eastAsia="es-ES"/>
        </w:rPr>
        <w:t>.</w:t>
      </w:r>
    </w:p>
    <w:p w14:paraId="07C83BE4" w14:textId="77777777" w:rsidR="00CF3A81" w:rsidRPr="00A81186" w:rsidRDefault="00CF3A81" w:rsidP="00061188"/>
    <w:p w14:paraId="55FF691A" w14:textId="6B6AB709" w:rsidR="005C690F" w:rsidRPr="00A81186" w:rsidRDefault="00E83872" w:rsidP="00061188">
      <w:pPr>
        <w:pStyle w:val="Ttulo2"/>
        <w:rPr>
          <w:szCs w:val="22"/>
        </w:rPr>
      </w:pPr>
      <w:bookmarkStart w:id="15" w:name="_Toc190952947"/>
      <w:r w:rsidRPr="00A81186">
        <w:rPr>
          <w:szCs w:val="22"/>
        </w:rPr>
        <w:t xml:space="preserve">TERCERO. </w:t>
      </w:r>
      <w:r w:rsidR="007D6307" w:rsidRPr="00A81186">
        <w:rPr>
          <w:szCs w:val="22"/>
        </w:rPr>
        <w:t>Ca</w:t>
      </w:r>
      <w:r w:rsidR="00CD6238" w:rsidRPr="00A81186">
        <w:rPr>
          <w:szCs w:val="22"/>
        </w:rPr>
        <w:t>usales de sobreseimiento</w:t>
      </w:r>
      <w:bookmarkEnd w:id="15"/>
    </w:p>
    <w:p w14:paraId="2298FCB6" w14:textId="77777777" w:rsidR="00477F76" w:rsidRPr="00A81186" w:rsidRDefault="00477F76" w:rsidP="00061188">
      <w:pPr>
        <w:rPr>
          <w:b/>
          <w:color w:val="0D0D0D"/>
        </w:rPr>
      </w:pPr>
    </w:p>
    <w:p w14:paraId="5CE9D874" w14:textId="05437639" w:rsidR="00477F76" w:rsidRPr="00A81186" w:rsidRDefault="00477F76" w:rsidP="00061188">
      <w:pPr>
        <w:rPr>
          <w:rFonts w:cs="Tahoma"/>
        </w:rPr>
      </w:pPr>
      <w:r w:rsidRPr="00A81186">
        <w:rPr>
          <w:rFonts w:cs="Tahoma"/>
        </w:rPr>
        <w:t xml:space="preserve">Por ser de previo y especial pronunciamiento, este Instituto analiza si se actualiza alguna causal de sobreseimiento. </w:t>
      </w:r>
    </w:p>
    <w:p w14:paraId="146B24DB" w14:textId="77777777" w:rsidR="00477F76" w:rsidRPr="00A81186" w:rsidRDefault="00477F76" w:rsidP="00061188">
      <w:pPr>
        <w:rPr>
          <w:rFonts w:cs="Tahoma"/>
        </w:rPr>
      </w:pPr>
    </w:p>
    <w:p w14:paraId="1221BDE0" w14:textId="77777777" w:rsidR="00477F76" w:rsidRPr="00A81186" w:rsidRDefault="00477F76" w:rsidP="00061188">
      <w:pPr>
        <w:rPr>
          <w:rFonts w:eastAsia="Calibri" w:cs="Tahoma"/>
          <w:lang w:eastAsia="es-ES_tradnl"/>
        </w:rPr>
      </w:pPr>
      <w:r w:rsidRPr="00A81186">
        <w:rPr>
          <w:rFonts w:cs="Tahoma"/>
        </w:rPr>
        <w:t xml:space="preserve">El artículo 192 de la </w:t>
      </w:r>
      <w:r w:rsidRPr="00A81186">
        <w:rPr>
          <w:rFonts w:eastAsia="Calibri" w:cs="Tahoma"/>
          <w:bCs/>
          <w:color w:val="000000"/>
          <w:lang w:eastAsia="es-ES_tradnl"/>
        </w:rPr>
        <w:t xml:space="preserve">Ley Transparencia y Acceso a la Información Pública del Estado de México y Municipios, señala las causales por las cuales se puede sobreseer en todo o en parte el Recurso de Revisión; así, </w:t>
      </w:r>
      <w:r w:rsidRPr="00A81186">
        <w:rPr>
          <w:rFonts w:eastAsia="Calibri" w:cs="Tahoma"/>
          <w:lang w:eastAsia="es-ES_tradnl"/>
        </w:rPr>
        <w:t>del análisis realizado por este Instituto, se advierte que</w:t>
      </w:r>
      <w:r w:rsidRPr="00A81186">
        <w:rPr>
          <w:rFonts w:eastAsia="Calibri" w:cs="Tahoma"/>
          <w:b/>
          <w:lang w:eastAsia="es-ES_tradnl"/>
        </w:rPr>
        <w:t xml:space="preserve"> no se configuran las causales establecidas en las fracciones II, III, IV y V, </w:t>
      </w:r>
      <w:r w:rsidRPr="00A81186">
        <w:rPr>
          <w:rFonts w:eastAsia="Calibri" w:cs="Tahoma"/>
          <w:lang w:eastAsia="es-ES_tradnl"/>
        </w:rPr>
        <w:t>toda vez que no hay constancias en el expediente en que se actúa, de que el Recurrente haya fallecido, sobreviniera alguna causal de improcedencia, que el Sujeto Obligado hubiese modificado o revocado el acto impugnado o bien, haya quedado sin materia.</w:t>
      </w:r>
    </w:p>
    <w:p w14:paraId="337DE4C9" w14:textId="77777777" w:rsidR="00477F76" w:rsidRPr="00A81186" w:rsidRDefault="00477F76" w:rsidP="00061188">
      <w:pPr>
        <w:widowControl w:val="0"/>
        <w:rPr>
          <w:rFonts w:eastAsia="Calibri" w:cs="Tahoma"/>
          <w:lang w:eastAsia="es-ES_tradnl"/>
        </w:rPr>
      </w:pPr>
    </w:p>
    <w:p w14:paraId="7FBEC583" w14:textId="5C9555CD" w:rsidR="00477F76" w:rsidRPr="00A81186" w:rsidRDefault="00477F76" w:rsidP="00061188">
      <w:pPr>
        <w:rPr>
          <w:rFonts w:eastAsia="Calibri" w:cs="Tahoma"/>
          <w:noProof/>
          <w:color w:val="FF0000"/>
        </w:rPr>
      </w:pPr>
      <w:r w:rsidRPr="00A81186">
        <w:rPr>
          <w:rFonts w:cs="Tahoma"/>
        </w:rPr>
        <w:t xml:space="preserve">No obstante, por lo que hace a la hipótesis prevista en la fracción I, a saber, que el Solicitante se haya desistido del Medio de Impugnación, se colige que la persona Recurrente, realizó dicha acción de manera expresa en el presente Recurso de Revisión, a través del Sistema de Acceso a la Información Mexiquense (SAIMEX), el </w:t>
      </w:r>
      <w:r w:rsidR="00CF3A81" w:rsidRPr="00A81186">
        <w:rPr>
          <w:rFonts w:cs="Tahoma"/>
        </w:rPr>
        <w:t>siete de febrero</w:t>
      </w:r>
      <w:r w:rsidRPr="00A81186">
        <w:rPr>
          <w:rFonts w:cs="Tahoma"/>
        </w:rPr>
        <w:t xml:space="preserve"> de dos mil veinticinco,</w:t>
      </w:r>
      <w:r w:rsidRPr="00A81186">
        <w:rPr>
          <w:rFonts w:eastAsia="Calibri" w:cs="Tahoma"/>
          <w:lang w:eastAsia="es-ES_tradnl"/>
        </w:rPr>
        <w:t xml:space="preserve"> como se observa a continuación:</w:t>
      </w:r>
      <w:r w:rsidRPr="00A81186">
        <w:rPr>
          <w:rFonts w:eastAsia="Calibri" w:cs="Tahoma"/>
          <w:noProof/>
          <w:color w:val="FF0000"/>
        </w:rPr>
        <w:t xml:space="preserve">   </w:t>
      </w:r>
    </w:p>
    <w:p w14:paraId="54AC3244" w14:textId="77777777" w:rsidR="00477F76" w:rsidRPr="00A81186" w:rsidRDefault="00477F76" w:rsidP="00061188">
      <w:pPr>
        <w:rPr>
          <w:rFonts w:eastAsia="Calibri" w:cs="Tahoma"/>
          <w:lang w:eastAsia="es-ES_tradnl"/>
        </w:rPr>
      </w:pPr>
    </w:p>
    <w:p w14:paraId="6D114852" w14:textId="5D296701" w:rsidR="00477F76" w:rsidRPr="00A81186" w:rsidRDefault="00477F76" w:rsidP="00061188">
      <w:pPr>
        <w:jc w:val="center"/>
        <w:rPr>
          <w:rFonts w:eastAsia="Calibri" w:cs="Tahoma"/>
          <w:noProof/>
          <w:lang w:eastAsia="es-ES_tradnl"/>
        </w:rPr>
      </w:pPr>
      <w:r w:rsidRPr="00A81186">
        <w:rPr>
          <w:rFonts w:eastAsia="Calibri" w:cs="Tahoma"/>
          <w:noProof/>
        </w:rPr>
        <mc:AlternateContent>
          <mc:Choice Requires="wps">
            <w:drawing>
              <wp:anchor distT="0" distB="0" distL="114300" distR="114300" simplePos="0" relativeHeight="251659264" behindDoc="0" locked="0" layoutInCell="1" allowOverlap="1" wp14:anchorId="54BABBE7" wp14:editId="4F196B70">
                <wp:simplePos x="0" y="0"/>
                <wp:positionH relativeFrom="margin">
                  <wp:posOffset>1015364</wp:posOffset>
                </wp:positionH>
                <wp:positionV relativeFrom="paragraph">
                  <wp:posOffset>4209415</wp:posOffset>
                </wp:positionV>
                <wp:extent cx="3609975" cy="247650"/>
                <wp:effectExtent l="19050" t="19050" r="28575" b="19050"/>
                <wp:wrapNone/>
                <wp:docPr id="4" name="Rectángulo 4"/>
                <wp:cNvGraphicFramePr/>
                <a:graphic xmlns:a="http://schemas.openxmlformats.org/drawingml/2006/main">
                  <a:graphicData uri="http://schemas.microsoft.com/office/word/2010/wordprocessingShape">
                    <wps:wsp>
                      <wps:cNvSpPr/>
                      <wps:spPr>
                        <a:xfrm>
                          <a:off x="0" y="0"/>
                          <a:ext cx="3609975" cy="247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6C6B3A4" id="Rectángulo 4" o:spid="_x0000_s1026" style="position:absolute;margin-left:79.95pt;margin-top:331.45pt;width:284.2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" filled="f" strokecolor="black [3213]" strokeweight="2.25pt">
                <w10:wrap anchorx="margin"/>
              </v:rect>
            </w:pict>
          </mc:Fallback>
        </mc:AlternateContent>
      </w:r>
      <w:r w:rsidR="00CF3A81" w:rsidRPr="00A81186">
        <w:rPr>
          <w:rFonts w:eastAsia="Calibri" w:cs="Tahoma"/>
          <w:noProof/>
        </w:rPr>
        <w:drawing>
          <wp:inline distT="0" distB="0" distL="0" distR="0" wp14:anchorId="18616BBB" wp14:editId="6C6E9AA8">
            <wp:extent cx="3600953" cy="4467849"/>
            <wp:effectExtent l="0" t="0" r="0" b="9525"/>
            <wp:docPr id="804211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11142" name=""/>
                    <pic:cNvPicPr/>
                  </pic:nvPicPr>
                  <pic:blipFill>
                    <a:blip r:embed="rId9"/>
                    <a:stretch>
                      <a:fillRect/>
                    </a:stretch>
                  </pic:blipFill>
                  <pic:spPr>
                    <a:xfrm>
                      <a:off x="0" y="0"/>
                      <a:ext cx="3600953" cy="4467849"/>
                    </a:xfrm>
                    <a:prstGeom prst="rect">
                      <a:avLst/>
                    </a:prstGeom>
                  </pic:spPr>
                </pic:pic>
              </a:graphicData>
            </a:graphic>
          </wp:inline>
        </w:drawing>
      </w:r>
    </w:p>
    <w:p w14:paraId="0D8079C1" w14:textId="77777777" w:rsidR="00CF3A81" w:rsidRPr="00A81186" w:rsidRDefault="00CF3A81" w:rsidP="00061188">
      <w:pPr>
        <w:contextualSpacing/>
        <w:rPr>
          <w:rFonts w:eastAsia="Calibri" w:cs="Tahoma"/>
          <w:bCs/>
          <w:color w:val="000000"/>
          <w:lang w:eastAsia="es-ES_tradnl"/>
        </w:rPr>
      </w:pPr>
    </w:p>
    <w:p w14:paraId="4F73A04B" w14:textId="14CBA06E" w:rsidR="00477F76" w:rsidRPr="00A81186" w:rsidRDefault="00477F76" w:rsidP="00061188">
      <w:pPr>
        <w:contextualSpacing/>
        <w:rPr>
          <w:rFonts w:eastAsia="Calibri" w:cs="Tahoma"/>
          <w:b/>
          <w:bCs/>
          <w:lang w:eastAsia="en-US"/>
        </w:rPr>
      </w:pPr>
      <w:r w:rsidRPr="00A81186">
        <w:rPr>
          <w:rFonts w:eastAsia="Calibri" w:cs="Tahoma"/>
          <w:bCs/>
          <w:color w:val="000000"/>
          <w:lang w:eastAsia="es-ES_tradnl"/>
        </w:rPr>
        <w:t xml:space="preserve">De lo anterior, se aprecia que el Particular </w:t>
      </w:r>
      <w:r w:rsidRPr="00A81186">
        <w:rPr>
          <w:rFonts w:eastAsia="Calibri" w:cs="Tahoma"/>
          <w:b/>
          <w:bCs/>
          <w:color w:val="000000"/>
          <w:lang w:eastAsia="es-ES_tradnl"/>
        </w:rPr>
        <w:t>manifestó expresamente su voluntad de desistirse del Recurso de Revisión 00</w:t>
      </w:r>
      <w:r w:rsidR="001046B6" w:rsidRPr="00A81186">
        <w:rPr>
          <w:rFonts w:eastAsia="Calibri" w:cs="Tahoma"/>
          <w:b/>
          <w:bCs/>
          <w:color w:val="000000"/>
          <w:lang w:eastAsia="es-ES_tradnl"/>
        </w:rPr>
        <w:t>671</w:t>
      </w:r>
      <w:r w:rsidRPr="00A81186">
        <w:rPr>
          <w:rFonts w:eastAsia="Calibri" w:cs="Tahoma"/>
          <w:b/>
          <w:bCs/>
          <w:color w:val="000000"/>
          <w:lang w:eastAsia="es-ES_tradnl"/>
        </w:rPr>
        <w:t>/INFOEM/IP/RR/2025</w:t>
      </w:r>
      <w:r w:rsidRPr="00A81186">
        <w:rPr>
          <w:rFonts w:eastAsia="Calibri" w:cs="Tahoma"/>
          <w:b/>
          <w:bCs/>
          <w:lang w:eastAsia="en-US"/>
        </w:rPr>
        <w:t xml:space="preserve">, al seleccionar dicho paso, por medio del Sistema de Acceso a la Información Mexiquense (SAIMEX), </w:t>
      </w:r>
      <w:r w:rsidRPr="00A81186">
        <w:rPr>
          <w:rFonts w:eastAsia="Calibri" w:cs="Tahoma"/>
          <w:lang w:eastAsia="es-ES_tradnl"/>
        </w:rPr>
        <w:t>por lo que, se estima que se actualiza el supuesto previsto en el artículo 192, fracción I, de la Ley de la materia; además, resulta aplicable la Jurisprudencia número 1a./J. 65/2005, Semanario Judicial de la Federación y su Gaceta, Novena Época, Tomo XXII, julio de dos mil cinco, página ciento sesenta y uno, que establece lo siguiente:</w:t>
      </w:r>
    </w:p>
    <w:p w14:paraId="21D94F97" w14:textId="77777777" w:rsidR="00477F76" w:rsidRPr="00A81186" w:rsidRDefault="00477F76" w:rsidP="00061188">
      <w:pPr>
        <w:contextualSpacing/>
        <w:rPr>
          <w:rFonts w:eastAsia="Calibri" w:cs="Tahoma"/>
          <w:lang w:eastAsia="es-ES_tradnl"/>
        </w:rPr>
      </w:pPr>
    </w:p>
    <w:p w14:paraId="7D47EB79" w14:textId="77777777" w:rsidR="00CF3A81" w:rsidRPr="00A81186" w:rsidRDefault="00CF3A81" w:rsidP="00061188">
      <w:pPr>
        <w:contextualSpacing/>
        <w:rPr>
          <w:rFonts w:eastAsia="Calibri" w:cs="Tahoma"/>
          <w:lang w:eastAsia="es-ES_tradnl"/>
        </w:rPr>
      </w:pPr>
    </w:p>
    <w:p w14:paraId="28CF0E60" w14:textId="77777777" w:rsidR="00477F76" w:rsidRPr="00A81186" w:rsidRDefault="00477F76" w:rsidP="00061188">
      <w:pPr>
        <w:ind w:left="567" w:right="567"/>
        <w:rPr>
          <w:rFonts w:eastAsia="Calibri" w:cs="Tahoma"/>
          <w:i/>
          <w:sz w:val="20"/>
          <w:szCs w:val="20"/>
          <w:lang w:val="es-ES" w:eastAsia="es-ES_tradnl"/>
        </w:rPr>
      </w:pPr>
      <w:r w:rsidRPr="00A81186">
        <w:rPr>
          <w:rFonts w:eastAsia="Calibri" w:cs="Tahoma"/>
          <w:i/>
          <w:sz w:val="20"/>
          <w:szCs w:val="20"/>
          <w:lang w:val="es-ES" w:eastAsia="es-ES_tradnl"/>
        </w:rPr>
        <w:t>“</w:t>
      </w:r>
      <w:r w:rsidRPr="00A81186">
        <w:rPr>
          <w:rFonts w:eastAsia="Calibri" w:cs="Tahoma"/>
          <w:b/>
          <w:i/>
          <w:sz w:val="20"/>
          <w:szCs w:val="20"/>
          <w:lang w:val="es-ES" w:eastAsia="es-ES_tradnl"/>
        </w:rPr>
        <w:t>DESISTIMIENTO DE LA INSTANCIA. SURTE EFECTOS DESDE EL MOMENTO EN QUE SE PRESENTA EL ESCRITO CORRESPONDIENTE.</w:t>
      </w:r>
      <w:r w:rsidRPr="00A81186">
        <w:rPr>
          <w:rFonts w:eastAsia="Calibri" w:cs="Tahoma"/>
          <w:i/>
          <w:sz w:val="20"/>
          <w:szCs w:val="20"/>
          <w:lang w:val="es-ES" w:eastAsia="es-ES_tradnl"/>
        </w:rPr>
        <w:t xml:space="preserve"> </w:t>
      </w:r>
    </w:p>
    <w:p w14:paraId="557E0D28" w14:textId="77777777" w:rsidR="00CF3A81" w:rsidRPr="00A81186" w:rsidRDefault="00CF3A81" w:rsidP="00061188">
      <w:pPr>
        <w:ind w:left="567" w:right="567"/>
        <w:rPr>
          <w:rFonts w:eastAsia="Calibri" w:cs="Tahoma"/>
          <w:i/>
          <w:sz w:val="20"/>
          <w:szCs w:val="20"/>
          <w:lang w:val="es-ES" w:eastAsia="es-ES_tradnl"/>
        </w:rPr>
      </w:pPr>
    </w:p>
    <w:p w14:paraId="5810F155" w14:textId="77777777" w:rsidR="00477F76" w:rsidRPr="00A81186" w:rsidRDefault="00477F76" w:rsidP="00061188">
      <w:pPr>
        <w:ind w:left="567" w:right="567"/>
        <w:rPr>
          <w:rFonts w:eastAsia="Calibri" w:cs="Tahoma"/>
          <w:i/>
          <w:sz w:val="20"/>
          <w:szCs w:val="20"/>
          <w:lang w:val="es-ES" w:eastAsia="es-ES_tradnl"/>
        </w:rPr>
      </w:pPr>
      <w:r w:rsidRPr="00A81186">
        <w:rPr>
          <w:rFonts w:eastAsia="Calibri" w:cs="Tahoma"/>
          <w:i/>
          <w:sz w:val="20"/>
          <w:szCs w:val="20"/>
          <w:lang w:val="es-ES" w:eastAsia="es-ES_tradnl"/>
        </w:rPr>
        <w:t>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1D073B53" w14:textId="77777777" w:rsidR="00477F76" w:rsidRPr="00A81186" w:rsidRDefault="00477F76" w:rsidP="00061188">
      <w:pPr>
        <w:rPr>
          <w:rFonts w:cs="Tahoma"/>
        </w:rPr>
      </w:pPr>
    </w:p>
    <w:p w14:paraId="397B92C7" w14:textId="37776674" w:rsidR="00477F76" w:rsidRPr="00A81186" w:rsidRDefault="00477F76" w:rsidP="00061188">
      <w:pPr>
        <w:rPr>
          <w:rFonts w:cs="Tahoma"/>
        </w:rPr>
      </w:pPr>
      <w:r w:rsidRPr="00A81186">
        <w:rPr>
          <w:rFonts w:cs="Tahoma"/>
        </w:rPr>
        <w:t>Así, se puede colegir que cuando la persona Recurrente presente un escrito de desistimiento, le hace saber a este Instituto la intención de destruir los efectos jurídicos generados con el Recurso de Revisión, situación que genera el efecto de que las cosas vuelvan al estado que tenía la solicitud de información antes de la presentación del Medio de Impugnación y por lo cual, desaparece cualquier efecto jurídico que pudiera haberse generado con este, es decir, todos los derechos y obligaciones de las partes</w:t>
      </w:r>
      <w:r w:rsidR="00CF3A81" w:rsidRPr="00A81186">
        <w:rPr>
          <w:rFonts w:cs="Tahoma"/>
        </w:rPr>
        <w:t>; por lo que, se actualiza el supuesto establecido, en la fracción I, del artículo 192, de la Ley de Transparencia y Acceso a la Información Pública del Estado de México y Municipios.</w:t>
      </w:r>
    </w:p>
    <w:p w14:paraId="20F64B47" w14:textId="77777777" w:rsidR="00CF3A81" w:rsidRPr="00A81186" w:rsidRDefault="00CF3A81" w:rsidP="00061188">
      <w:pPr>
        <w:rPr>
          <w:rFonts w:cs="Tahoma"/>
        </w:rPr>
      </w:pPr>
    </w:p>
    <w:p w14:paraId="5CCCD170" w14:textId="77777777" w:rsidR="00CF3A81" w:rsidRPr="00A81186" w:rsidRDefault="00CF3A81" w:rsidP="00061188">
      <w:pPr>
        <w:rPr>
          <w:rFonts w:cs="Tahoma"/>
        </w:rPr>
      </w:pPr>
    </w:p>
    <w:p w14:paraId="68BD7FF3" w14:textId="77777777" w:rsidR="00477F76" w:rsidRPr="00A81186" w:rsidRDefault="00477F76" w:rsidP="00061188">
      <w:pPr>
        <w:pStyle w:val="Ttulo2"/>
        <w:rPr>
          <w:szCs w:val="22"/>
        </w:rPr>
      </w:pPr>
      <w:bookmarkStart w:id="16" w:name="_Toc190952948"/>
      <w:r w:rsidRPr="00A81186">
        <w:rPr>
          <w:szCs w:val="22"/>
        </w:rPr>
        <w:t>CUARTO. Decisión</w:t>
      </w:r>
      <w:bookmarkEnd w:id="16"/>
    </w:p>
    <w:p w14:paraId="48E27A4C" w14:textId="77777777" w:rsidR="00477F76" w:rsidRPr="00A81186" w:rsidRDefault="00477F76" w:rsidP="00061188">
      <w:pPr>
        <w:rPr>
          <w:rFonts w:cs="Tahoma"/>
          <w:b/>
          <w:bCs/>
        </w:rPr>
      </w:pPr>
    </w:p>
    <w:p w14:paraId="337A9A77" w14:textId="2BC8C443" w:rsidR="00477F76" w:rsidRPr="00A81186" w:rsidRDefault="00477F76" w:rsidP="00061188">
      <w:pPr>
        <w:widowControl w:val="0"/>
        <w:rPr>
          <w:rFonts w:cs="Tahoma"/>
        </w:rPr>
      </w:pPr>
      <w:r w:rsidRPr="00A81186">
        <w:rPr>
          <w:rFonts w:eastAsia="Calibri" w:cs="Tahoma"/>
          <w:lang w:eastAsia="en-US"/>
        </w:rPr>
        <w:t>Así, toda vez que este Instituto constató que el Recurrente se desistió por la vía idónea para realizar dicha acción, a saber, por el Sistema de Acceso a la Información Mexiquense (SAIMEX)</w:t>
      </w:r>
      <w:r w:rsidRPr="00A81186">
        <w:rPr>
          <w:rFonts w:cs="Tahoma"/>
        </w:rPr>
        <w:t xml:space="preserve">, resulta procedente </w:t>
      </w:r>
      <w:r w:rsidRPr="00A81186">
        <w:rPr>
          <w:rFonts w:cs="Tahoma"/>
          <w:b/>
        </w:rPr>
        <w:t xml:space="preserve">SOBRESEER </w:t>
      </w:r>
      <w:r w:rsidRPr="00A81186">
        <w:rPr>
          <w:rFonts w:cs="Tahoma"/>
        </w:rPr>
        <w:t>el Recurso de Revisión con número 00</w:t>
      </w:r>
      <w:r w:rsidR="001046B6" w:rsidRPr="00A81186">
        <w:rPr>
          <w:rFonts w:cs="Tahoma"/>
        </w:rPr>
        <w:t>671</w:t>
      </w:r>
      <w:r w:rsidRPr="00A81186">
        <w:rPr>
          <w:rFonts w:cs="Tahoma"/>
        </w:rPr>
        <w:t>/INFOEM/IP/RR/2025</w:t>
      </w:r>
      <w:r w:rsidRPr="00A81186">
        <w:rPr>
          <w:rFonts w:eastAsia="Calibri" w:cs="Tahoma"/>
          <w:b/>
          <w:bCs/>
          <w:lang w:eastAsia="en-US"/>
        </w:rPr>
        <w:t xml:space="preserve">, </w:t>
      </w:r>
      <w:r w:rsidRPr="00A81186">
        <w:rPr>
          <w:rFonts w:cs="Tahoma"/>
        </w:rPr>
        <w:t>al actualizarse el supuesto previsto en el artículo 192, fracción I, de la Ley de Transparencia y Acceso a la Información Pública del Estado de México y Municipios, en relación con el 186, fracción I de ese ordenamiento legal.</w:t>
      </w:r>
    </w:p>
    <w:p w14:paraId="01848D71" w14:textId="77777777" w:rsidR="00477F76" w:rsidRPr="00A81186" w:rsidRDefault="00477F76" w:rsidP="00061188">
      <w:pPr>
        <w:rPr>
          <w:rFonts w:eastAsia="Calibri" w:cs="Tahoma"/>
          <w:b/>
          <w:bCs/>
          <w:iCs/>
          <w:lang w:val="es-ES" w:eastAsia="en-US"/>
        </w:rPr>
      </w:pPr>
    </w:p>
    <w:p w14:paraId="5532E318" w14:textId="77777777" w:rsidR="00477F76" w:rsidRPr="00A81186" w:rsidRDefault="00477F76" w:rsidP="00061188">
      <w:pPr>
        <w:rPr>
          <w:rFonts w:eastAsia="Calibri" w:cs="Tahoma"/>
          <w:b/>
          <w:bCs/>
          <w:iCs/>
          <w:lang w:val="es-ES" w:eastAsia="en-US"/>
        </w:rPr>
      </w:pPr>
      <w:r w:rsidRPr="00A81186">
        <w:rPr>
          <w:rFonts w:eastAsia="Calibri" w:cs="Tahoma"/>
          <w:b/>
          <w:bCs/>
          <w:iCs/>
          <w:lang w:val="es-ES" w:eastAsia="en-US"/>
        </w:rPr>
        <w:t>Términos de la Resolución para conocimiento del Particular</w:t>
      </w:r>
    </w:p>
    <w:p w14:paraId="1C3EEEA8" w14:textId="77777777" w:rsidR="00477F76" w:rsidRPr="00A81186" w:rsidRDefault="00477F76" w:rsidP="00061188">
      <w:pPr>
        <w:rPr>
          <w:rFonts w:eastAsia="Calibri" w:cs="Tahoma"/>
          <w:b/>
          <w:bCs/>
          <w:iCs/>
          <w:lang w:val="es-ES" w:eastAsia="en-US"/>
        </w:rPr>
      </w:pPr>
    </w:p>
    <w:p w14:paraId="3556674B" w14:textId="24156F1C" w:rsidR="00477F76" w:rsidRPr="00A81186" w:rsidRDefault="00477F76" w:rsidP="00061188">
      <w:pPr>
        <w:rPr>
          <w:rFonts w:eastAsia="Calibri" w:cs="Tahoma"/>
          <w:bCs/>
          <w:iCs/>
          <w:lang w:eastAsia="en-US"/>
        </w:rPr>
      </w:pPr>
      <w:r w:rsidRPr="00A81186">
        <w:rPr>
          <w:rFonts w:eastAsia="Calibri" w:cs="Tahoma"/>
          <w:bCs/>
          <w:iCs/>
          <w:lang w:eastAsia="en-US"/>
        </w:rPr>
        <w:t xml:space="preserve">Se le hace del conocimiento a la persona Recurrente que, en el presente caso, al desistirse del Medio de Impugnación, se actualiza la causal de sobreseimiento, establecida en el artículo 192, fracción I, de la Ley de Transparencia y Acceso a la Información Pública del Estado de México y Municipios. </w:t>
      </w:r>
    </w:p>
    <w:p w14:paraId="4EC56DEE" w14:textId="77777777" w:rsidR="00477F76" w:rsidRPr="00A81186" w:rsidRDefault="00477F76" w:rsidP="00061188">
      <w:pPr>
        <w:rPr>
          <w:rFonts w:eastAsia="Calibri" w:cs="Tahoma"/>
          <w:bCs/>
          <w:iCs/>
          <w:lang w:eastAsia="en-US"/>
        </w:rPr>
      </w:pPr>
    </w:p>
    <w:p w14:paraId="07171A75" w14:textId="77777777" w:rsidR="00477F76" w:rsidRPr="00A81186" w:rsidRDefault="00477F76" w:rsidP="00061188">
      <w:pPr>
        <w:rPr>
          <w:rFonts w:eastAsia="Calibri" w:cs="Tahoma"/>
          <w:color w:val="000000"/>
          <w:szCs w:val="24"/>
          <w:lang w:val="es-ES"/>
        </w:rPr>
      </w:pPr>
      <w:r w:rsidRPr="00A81186">
        <w:rPr>
          <w:rFonts w:eastAsia="Calibri" w:cs="Tahoma"/>
          <w:color w:val="000000"/>
          <w:szCs w:val="24"/>
          <w:lang w:val="es-ES"/>
        </w:rPr>
        <w:t>Finalmente,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692CEA43" w14:textId="77777777" w:rsidR="001D1D98" w:rsidRPr="00A81186" w:rsidRDefault="001D1D98" w:rsidP="00061188">
      <w:pPr>
        <w:contextualSpacing/>
        <w:rPr>
          <w:rFonts w:eastAsia="Calibri"/>
        </w:rPr>
      </w:pPr>
    </w:p>
    <w:p w14:paraId="7B240532" w14:textId="77777777" w:rsidR="001D1D98" w:rsidRPr="00A81186" w:rsidRDefault="001D1D98" w:rsidP="00061188">
      <w:pPr>
        <w:contextualSpacing/>
        <w:rPr>
          <w:rFonts w:eastAsia="Calibri"/>
        </w:rPr>
      </w:pPr>
      <w:r w:rsidRPr="00A81186">
        <w:rPr>
          <w:rFonts w:eastAsia="Calibri"/>
        </w:rPr>
        <w:t>Por lo expuesto y fundado, este Pleno:</w:t>
      </w:r>
    </w:p>
    <w:p w14:paraId="3B709CB9" w14:textId="77777777" w:rsidR="00CF3A81" w:rsidRPr="00A81186" w:rsidRDefault="00CF3A81" w:rsidP="00061188">
      <w:pPr>
        <w:contextualSpacing/>
        <w:rPr>
          <w:rFonts w:eastAsia="Calibri"/>
        </w:rPr>
      </w:pPr>
    </w:p>
    <w:p w14:paraId="7E257BB9" w14:textId="77777777" w:rsidR="001D1D98" w:rsidRPr="00A81186" w:rsidRDefault="001D1D98" w:rsidP="00061188">
      <w:pPr>
        <w:pStyle w:val="Ttulo1"/>
        <w:spacing w:before="0" w:after="0"/>
        <w:jc w:val="center"/>
        <w:rPr>
          <w:sz w:val="22"/>
          <w:szCs w:val="22"/>
        </w:rPr>
      </w:pPr>
      <w:bookmarkStart w:id="17" w:name="_Toc190952949"/>
      <w:r w:rsidRPr="00A81186">
        <w:rPr>
          <w:sz w:val="22"/>
          <w:szCs w:val="22"/>
        </w:rPr>
        <w:t>R E S U E L V E</w:t>
      </w:r>
      <w:bookmarkEnd w:id="17"/>
    </w:p>
    <w:p w14:paraId="7F085E71" w14:textId="77777777" w:rsidR="001D1D98" w:rsidRPr="00A81186" w:rsidRDefault="001D1D98" w:rsidP="00061188">
      <w:pPr>
        <w:contextualSpacing/>
        <w:rPr>
          <w:rFonts w:eastAsia="Calibri"/>
        </w:rPr>
      </w:pPr>
    </w:p>
    <w:p w14:paraId="61AB6A8F" w14:textId="77777777" w:rsidR="00CF3A81" w:rsidRPr="00A81186" w:rsidRDefault="00CF3A81" w:rsidP="00061188">
      <w:pPr>
        <w:contextualSpacing/>
        <w:rPr>
          <w:rFonts w:eastAsia="Calibri"/>
        </w:rPr>
      </w:pPr>
    </w:p>
    <w:p w14:paraId="612FA0A0" w14:textId="2DE5CAA2" w:rsidR="00477F76" w:rsidRPr="00A81186" w:rsidRDefault="00477F76" w:rsidP="00061188">
      <w:pPr>
        <w:rPr>
          <w:rFonts w:cs="Arial"/>
          <w:lang w:val="es-ES"/>
        </w:rPr>
      </w:pPr>
      <w:r w:rsidRPr="00A81186">
        <w:rPr>
          <w:rFonts w:cs="Arial"/>
          <w:b/>
          <w:bCs/>
          <w:lang w:val="es-ES"/>
        </w:rPr>
        <w:t xml:space="preserve">PRIMERO. </w:t>
      </w:r>
      <w:r w:rsidRPr="00A81186">
        <w:rPr>
          <w:rFonts w:cs="Arial"/>
          <w:bCs/>
          <w:lang w:val="es-ES"/>
        </w:rPr>
        <w:t xml:space="preserve">Se </w:t>
      </w:r>
      <w:r w:rsidRPr="00A81186">
        <w:rPr>
          <w:rFonts w:cs="Arial"/>
          <w:b/>
          <w:bCs/>
          <w:lang w:val="es-ES"/>
        </w:rPr>
        <w:t xml:space="preserve">SOBRESEE </w:t>
      </w:r>
      <w:r w:rsidRPr="00A81186">
        <w:rPr>
          <w:rFonts w:cs="Arial"/>
          <w:bCs/>
          <w:lang w:val="es-ES"/>
        </w:rPr>
        <w:t xml:space="preserve">el Recurso de Revisión número </w:t>
      </w:r>
      <w:r w:rsidRPr="00A81186">
        <w:rPr>
          <w:rFonts w:eastAsia="Calibri" w:cs="Tahoma"/>
          <w:lang w:eastAsia="en-US"/>
        </w:rPr>
        <w:t>00</w:t>
      </w:r>
      <w:r w:rsidR="001046B6" w:rsidRPr="00A81186">
        <w:rPr>
          <w:rFonts w:eastAsia="Calibri" w:cs="Tahoma"/>
          <w:lang w:eastAsia="en-US"/>
        </w:rPr>
        <w:t>671</w:t>
      </w:r>
      <w:r w:rsidRPr="00A81186">
        <w:rPr>
          <w:rFonts w:eastAsia="Calibri" w:cs="Tahoma"/>
          <w:lang w:eastAsia="en-US"/>
        </w:rPr>
        <w:t>/INFOEM/IP/RR/2025</w:t>
      </w:r>
      <w:r w:rsidRPr="00A81186">
        <w:rPr>
          <w:rFonts w:cs="Arial"/>
          <w:lang w:val="es-ES"/>
        </w:rPr>
        <w:t>, en términos del artículo 192, fracción I, de la Ley de Transparencia y Acceso a la Información Pública del Estado de México y Municipios, por haberse desistido expresamente el Recurrente, de conformidad con lo establecido en el Considerando TERCERO y CUARTO de la presente Resolución.</w:t>
      </w:r>
    </w:p>
    <w:p w14:paraId="7B31F48F" w14:textId="77777777" w:rsidR="00477F76" w:rsidRPr="00A81186" w:rsidRDefault="00477F76" w:rsidP="00061188">
      <w:pPr>
        <w:rPr>
          <w:rFonts w:cs="Arial"/>
          <w:bCs/>
          <w:lang w:val="es-ES"/>
        </w:rPr>
      </w:pPr>
    </w:p>
    <w:p w14:paraId="46801B5E" w14:textId="77777777" w:rsidR="00477F76" w:rsidRPr="00A81186" w:rsidRDefault="00477F76" w:rsidP="00061188">
      <w:pPr>
        <w:rPr>
          <w:rFonts w:cs="Arial"/>
          <w:b/>
          <w:bCs/>
          <w:lang w:val="es-ES"/>
        </w:rPr>
      </w:pPr>
      <w:r w:rsidRPr="00A81186">
        <w:rPr>
          <w:rFonts w:cs="Arial"/>
          <w:b/>
          <w:bCs/>
          <w:lang w:val="es-ES"/>
        </w:rPr>
        <w:t>SEGUNDO.</w:t>
      </w:r>
      <w:r w:rsidRPr="00A81186">
        <w:rPr>
          <w:rFonts w:cs="Arial"/>
          <w:bCs/>
          <w:lang w:val="es-ES"/>
        </w:rPr>
        <w:t xml:space="preserve"> </w:t>
      </w:r>
      <w:r w:rsidRPr="00A81186">
        <w:rPr>
          <w:rFonts w:cs="Arial"/>
          <w:b/>
          <w:bCs/>
          <w:lang w:val="es-ES"/>
        </w:rPr>
        <w:t xml:space="preserve">NOTIFÍQUESE POR SAIMEX </w:t>
      </w:r>
      <w:r w:rsidRPr="00A81186">
        <w:rPr>
          <w:rFonts w:cs="Arial"/>
          <w:bCs/>
          <w:lang w:val="es-ES"/>
        </w:rPr>
        <w:t>la presente resolución</w:t>
      </w:r>
      <w:r w:rsidRPr="00A81186">
        <w:rPr>
          <w:rFonts w:cs="Arial"/>
          <w:b/>
          <w:bCs/>
          <w:lang w:val="es-ES"/>
        </w:rPr>
        <w:t xml:space="preserve"> </w:t>
      </w:r>
      <w:r w:rsidRPr="00A81186">
        <w:rPr>
          <w:rFonts w:cs="Arial"/>
          <w:bCs/>
          <w:lang w:val="es-ES"/>
        </w:rPr>
        <w:t>al Titular de la Unidad de Transparencia del Sujeto Obligado.</w:t>
      </w:r>
    </w:p>
    <w:p w14:paraId="3BA6C415" w14:textId="77777777" w:rsidR="00477F76" w:rsidRPr="00A81186" w:rsidRDefault="00477F76" w:rsidP="00061188">
      <w:pPr>
        <w:rPr>
          <w:rFonts w:cs="Arial"/>
          <w:b/>
          <w:bCs/>
          <w:lang w:val="es-ES"/>
        </w:rPr>
      </w:pPr>
    </w:p>
    <w:p w14:paraId="07BD38CB" w14:textId="247BEDBC" w:rsidR="00477F76" w:rsidRPr="00A81186" w:rsidRDefault="00477F76" w:rsidP="00061188">
      <w:pPr>
        <w:ind w:right="-93"/>
        <w:rPr>
          <w:rFonts w:cs="Tahoma"/>
        </w:rPr>
      </w:pPr>
      <w:r w:rsidRPr="00A81186">
        <w:rPr>
          <w:rFonts w:cs="Arial"/>
          <w:b/>
          <w:bCs/>
          <w:lang w:val="es-ES"/>
        </w:rPr>
        <w:t>TERCERO.</w:t>
      </w:r>
      <w:r w:rsidRPr="00A81186">
        <w:rPr>
          <w:rFonts w:cs="Arial"/>
          <w:bCs/>
          <w:lang w:val="es-ES"/>
        </w:rPr>
        <w:t xml:space="preserve"> </w:t>
      </w:r>
      <w:r w:rsidRPr="00A81186">
        <w:rPr>
          <w:rFonts w:cs="Tahoma"/>
          <w:b/>
        </w:rPr>
        <w:t>NOTIFÍQUESE POR SAIMEX</w:t>
      </w:r>
      <w:r w:rsidRPr="00A81186">
        <w:rPr>
          <w:rFonts w:cs="Tahoma"/>
        </w:rPr>
        <w:t xml:space="preserve"> a la persona Recurrente la presente Resolución</w:t>
      </w:r>
      <w:r w:rsidRPr="00A81186">
        <w:rPr>
          <w:rFonts w:eastAsia="Calibri" w:cs="Tahoma"/>
          <w:bCs/>
          <w:color w:val="000000"/>
          <w:lang w:val="es-ES" w:eastAsia="en-US"/>
        </w:rPr>
        <w:t>,</w:t>
      </w:r>
      <w:r w:rsidRPr="00A81186">
        <w:rPr>
          <w:rFonts w:cs="Tahoma"/>
        </w:rPr>
        <w:t xml:space="preserve"> asimismo, se hace de su conocimiento que de conformidad con lo establecido en el artículo 196 de la Ley de Transparencia y Acceso a la Información Pública del Estado de México y Municipios, podrá promover el Municipios, podrá promover el Juicio de Amparo en los términos de las leyes aplicables.</w:t>
      </w:r>
    </w:p>
    <w:p w14:paraId="1EE97B33" w14:textId="77777777" w:rsidR="001D1D98" w:rsidRPr="00A81186" w:rsidRDefault="001D1D98" w:rsidP="00061188"/>
    <w:p w14:paraId="7FC456C3" w14:textId="36080C88" w:rsidR="00023BBD" w:rsidRPr="00061188" w:rsidRDefault="00023BBD" w:rsidP="00061188">
      <w:pPr>
        <w:contextualSpacing/>
        <w:rPr>
          <w:rFonts w:cs="Tahoma"/>
          <w:b/>
          <w:bCs/>
        </w:rPr>
      </w:pPr>
      <w:r w:rsidRPr="00A81186">
        <w:rPr>
          <w:rFonts w:eastAsia="Calibri" w:cs="Tahoma"/>
          <w:bCs/>
        </w:rPr>
        <w:t>ASÍ LO RESUELVE, POR </w:t>
      </w:r>
      <w:r w:rsidRPr="00A81186">
        <w:rPr>
          <w:rFonts w:eastAsia="Calibri" w:cs="Tahoma"/>
          <w:b/>
          <w:bCs/>
        </w:rPr>
        <w:t>UNANIMIDAD</w:t>
      </w:r>
      <w:r w:rsidRPr="00A81186">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F3A81" w:rsidRPr="00A81186">
        <w:rPr>
          <w:rFonts w:eastAsia="Calibri" w:cs="Tahoma"/>
          <w:bCs/>
        </w:rPr>
        <w:t>SEXTA</w:t>
      </w:r>
      <w:r w:rsidRPr="00A81186">
        <w:rPr>
          <w:rFonts w:eastAsia="Calibri" w:cs="Tahoma"/>
          <w:bCs/>
        </w:rPr>
        <w:t xml:space="preserve"> SESIÓN ORDINARIA, CELEBRADA EL </w:t>
      </w:r>
      <w:r w:rsidR="00CF3A81" w:rsidRPr="00A81186">
        <w:rPr>
          <w:rFonts w:eastAsia="Calibri" w:cs="Tahoma"/>
          <w:bCs/>
        </w:rPr>
        <w:t>DIECINUEVE DE FEBRERO</w:t>
      </w:r>
      <w:r w:rsidR="009644CD" w:rsidRPr="00A81186">
        <w:rPr>
          <w:rFonts w:eastAsia="Calibri" w:cs="Tahoma"/>
          <w:bCs/>
        </w:rPr>
        <w:t xml:space="preserve"> </w:t>
      </w:r>
      <w:r w:rsidRPr="00A81186">
        <w:rPr>
          <w:rFonts w:eastAsia="Calibri" w:cs="Tahoma"/>
          <w:bCs/>
        </w:rPr>
        <w:t>DE DOS MIL VEINTIC</w:t>
      </w:r>
      <w:r w:rsidR="009644CD" w:rsidRPr="00A81186">
        <w:rPr>
          <w:rFonts w:eastAsia="Calibri" w:cs="Tahoma"/>
          <w:bCs/>
        </w:rPr>
        <w:t>INCO</w:t>
      </w:r>
      <w:r w:rsidRPr="00A81186">
        <w:rPr>
          <w:rFonts w:eastAsia="Calibri" w:cs="Tahoma"/>
          <w:bCs/>
        </w:rPr>
        <w:t>, ANTE EL SECRETARIO TÉCNICO DEL PLENO, ALEXIS TAPIA RAMÍREZ.</w:t>
      </w:r>
    </w:p>
    <w:p w14:paraId="74E8DB3F" w14:textId="77777777" w:rsidR="00C556AB" w:rsidRPr="00061188" w:rsidRDefault="00C556AB" w:rsidP="00061188"/>
    <w:p w14:paraId="1A555613" w14:textId="77777777" w:rsidR="00023BBD" w:rsidRPr="00061188" w:rsidRDefault="00023BBD" w:rsidP="00061188"/>
    <w:p w14:paraId="2DB71CAF" w14:textId="49BEE08C" w:rsidR="001D4F21" w:rsidRPr="00061188" w:rsidRDefault="001D4F21" w:rsidP="00061188">
      <w:pPr>
        <w:rPr>
          <w:color w:val="000000"/>
        </w:rPr>
      </w:pPr>
    </w:p>
    <w:p w14:paraId="38B4EF2E" w14:textId="77777777" w:rsidR="001D4F21" w:rsidRPr="00061188" w:rsidRDefault="001D4F21" w:rsidP="00061188">
      <w:pPr>
        <w:rPr>
          <w:color w:val="000000"/>
        </w:rPr>
      </w:pPr>
    </w:p>
    <w:p w14:paraId="4201A0A0" w14:textId="77777777" w:rsidR="00E864E9" w:rsidRPr="00061188" w:rsidRDefault="00E864E9" w:rsidP="00061188">
      <w:pPr>
        <w:tabs>
          <w:tab w:val="right" w:pos="8931"/>
        </w:tabs>
      </w:pPr>
    </w:p>
    <w:p w14:paraId="543728D1" w14:textId="77777777" w:rsidR="00E864E9" w:rsidRPr="00061188" w:rsidRDefault="00E864E9" w:rsidP="00061188">
      <w:pPr>
        <w:tabs>
          <w:tab w:val="right" w:pos="8931"/>
        </w:tabs>
      </w:pPr>
    </w:p>
    <w:p w14:paraId="0E4439D0" w14:textId="5248D3C9" w:rsidR="007B58B9" w:rsidRPr="00061188" w:rsidRDefault="007B58B9" w:rsidP="00061188"/>
    <w:p w14:paraId="26916C77" w14:textId="77777777" w:rsidR="00A37EDE" w:rsidRPr="00061188" w:rsidRDefault="00A37EDE" w:rsidP="00061188"/>
    <w:sectPr w:rsidR="00A37EDE" w:rsidRPr="00061188" w:rsidSect="000B49C4">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FA05D" w14:textId="77777777" w:rsidR="001527B6" w:rsidRDefault="001527B6">
      <w:pPr>
        <w:spacing w:line="240" w:lineRule="auto"/>
      </w:pPr>
      <w:r>
        <w:separator/>
      </w:r>
    </w:p>
  </w:endnote>
  <w:endnote w:type="continuationSeparator" w:id="0">
    <w:p w14:paraId="0229BE82" w14:textId="77777777" w:rsidR="001527B6" w:rsidRDefault="00152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384E94" w:rsidRDefault="00384E94">
    <w:pPr>
      <w:pBdr>
        <w:top w:val="nil"/>
        <w:left w:val="nil"/>
        <w:bottom w:val="nil"/>
        <w:right w:val="nil"/>
        <w:between w:val="nil"/>
      </w:pBdr>
      <w:tabs>
        <w:tab w:val="center" w:pos="4419"/>
        <w:tab w:val="right" w:pos="8838"/>
      </w:tabs>
      <w:spacing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8F1B8A">
      <w:rPr>
        <w:b/>
        <w:color w:val="000000"/>
        <w:sz w:val="24"/>
        <w:szCs w:val="24"/>
      </w:rPr>
      <w:fldChar w:fldCharType="separate"/>
    </w:r>
    <w:r w:rsidR="008F1B8A">
      <w:rPr>
        <w:b/>
        <w:noProof/>
        <w:color w:val="000000"/>
        <w:sz w:val="24"/>
        <w:szCs w:val="24"/>
      </w:rPr>
      <w:t>14</w:t>
    </w:r>
    <w:r>
      <w:rPr>
        <w:b/>
        <w:color w:val="000000"/>
        <w:sz w:val="24"/>
        <w:szCs w:val="24"/>
      </w:rPr>
      <w:fldChar w:fldCharType="end"/>
    </w:r>
  </w:p>
  <w:p w14:paraId="7EB9860B" w14:textId="77777777" w:rsidR="00384E94" w:rsidRDefault="00384E94">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384E94" w:rsidRDefault="00384E94">
    <w:pPr>
      <w:pBdr>
        <w:top w:val="nil"/>
        <w:left w:val="nil"/>
        <w:bottom w:val="nil"/>
        <w:right w:val="nil"/>
        <w:between w:val="nil"/>
      </w:pBdr>
      <w:tabs>
        <w:tab w:val="center" w:pos="4419"/>
        <w:tab w:val="right" w:pos="8838"/>
      </w:tabs>
      <w:spacing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F1B8A">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F1B8A">
      <w:rPr>
        <w:b/>
        <w:noProof/>
        <w:color w:val="000000"/>
        <w:sz w:val="24"/>
        <w:szCs w:val="24"/>
      </w:rPr>
      <w:t>14</w:t>
    </w:r>
    <w:r>
      <w:rPr>
        <w:b/>
        <w:color w:val="000000"/>
        <w:sz w:val="24"/>
        <w:szCs w:val="24"/>
      </w:rPr>
      <w:fldChar w:fldCharType="end"/>
    </w:r>
  </w:p>
  <w:p w14:paraId="0D7FA8D9" w14:textId="77777777" w:rsidR="00384E94" w:rsidRDefault="00384E94">
    <w:pPr>
      <w:pBdr>
        <w:top w:val="nil"/>
        <w:left w:val="nil"/>
        <w:bottom w:val="nil"/>
        <w:right w:val="nil"/>
        <w:between w:val="nil"/>
      </w:pBdr>
      <w:tabs>
        <w:tab w:val="center" w:pos="4419"/>
        <w:tab w:val="right" w:pos="8838"/>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384E94" w:rsidRDefault="00384E94">
    <w:pPr>
      <w:pBdr>
        <w:top w:val="nil"/>
        <w:left w:val="nil"/>
        <w:bottom w:val="nil"/>
        <w:right w:val="nil"/>
        <w:between w:val="nil"/>
      </w:pBdr>
      <w:tabs>
        <w:tab w:val="center" w:pos="4419"/>
        <w:tab w:val="right" w:pos="8838"/>
      </w:tabs>
      <w:spacing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F1B8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F1B8A">
      <w:rPr>
        <w:b/>
        <w:noProof/>
        <w:color w:val="000000"/>
        <w:sz w:val="24"/>
        <w:szCs w:val="24"/>
      </w:rPr>
      <w:t>14</w:t>
    </w:r>
    <w:r>
      <w:rPr>
        <w:b/>
        <w:color w:val="000000"/>
        <w:sz w:val="24"/>
        <w:szCs w:val="24"/>
      </w:rPr>
      <w:fldChar w:fldCharType="end"/>
    </w:r>
  </w:p>
  <w:p w14:paraId="6796AF5F" w14:textId="77777777" w:rsidR="00384E94" w:rsidRDefault="00384E94">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053A5" w14:textId="77777777" w:rsidR="001527B6" w:rsidRDefault="001527B6">
      <w:pPr>
        <w:spacing w:line="240" w:lineRule="auto"/>
      </w:pPr>
      <w:r>
        <w:separator/>
      </w:r>
    </w:p>
  </w:footnote>
  <w:footnote w:type="continuationSeparator" w:id="0">
    <w:p w14:paraId="28E385B7" w14:textId="77777777" w:rsidR="001527B6" w:rsidRDefault="001527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384E94" w:rsidRDefault="00384E94">
    <w:pPr>
      <w:widowControl w:val="0"/>
      <w:pBdr>
        <w:top w:val="nil"/>
        <w:left w:val="nil"/>
        <w:bottom w:val="nil"/>
        <w:right w:val="nil"/>
        <w:between w:val="nil"/>
      </w:pBdr>
      <w:spacing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84E94" w14:paraId="10C29E94" w14:textId="77777777">
      <w:trPr>
        <w:trHeight w:val="132"/>
      </w:trPr>
      <w:tc>
        <w:tcPr>
          <w:tcW w:w="2691" w:type="dxa"/>
        </w:tcPr>
        <w:p w14:paraId="7D85A4B8" w14:textId="77777777" w:rsidR="00384E94" w:rsidRDefault="00384E94">
          <w:pPr>
            <w:tabs>
              <w:tab w:val="right" w:pos="8838"/>
            </w:tabs>
            <w:ind w:right="-105"/>
            <w:rPr>
              <w:b/>
            </w:rPr>
          </w:pPr>
          <w:r>
            <w:rPr>
              <w:b/>
            </w:rPr>
            <w:t>Recurso de Revisión:</w:t>
          </w:r>
        </w:p>
      </w:tc>
      <w:tc>
        <w:tcPr>
          <w:tcW w:w="3405" w:type="dxa"/>
        </w:tcPr>
        <w:p w14:paraId="0B0D1A9D" w14:textId="77777777" w:rsidR="00384E94" w:rsidRDefault="00384E94">
          <w:pPr>
            <w:tabs>
              <w:tab w:val="right" w:pos="8838"/>
            </w:tabs>
            <w:ind w:left="-28" w:right="-32"/>
          </w:pPr>
          <w:r>
            <w:t>03846/INFOEM/IP/RR/2020</w:t>
          </w:r>
        </w:p>
      </w:tc>
    </w:tr>
    <w:tr w:rsidR="00384E94" w14:paraId="2F47AC72" w14:textId="77777777">
      <w:trPr>
        <w:trHeight w:val="261"/>
      </w:trPr>
      <w:tc>
        <w:tcPr>
          <w:tcW w:w="2691" w:type="dxa"/>
        </w:tcPr>
        <w:p w14:paraId="154A4752" w14:textId="77777777" w:rsidR="00384E94" w:rsidRDefault="00384E94">
          <w:pPr>
            <w:tabs>
              <w:tab w:val="right" w:pos="8838"/>
            </w:tabs>
            <w:ind w:right="-105"/>
            <w:rPr>
              <w:b/>
            </w:rPr>
          </w:pPr>
          <w:r>
            <w:rPr>
              <w:b/>
            </w:rPr>
            <w:t>Sujeto Obligado:</w:t>
          </w:r>
        </w:p>
      </w:tc>
      <w:tc>
        <w:tcPr>
          <w:tcW w:w="3405" w:type="dxa"/>
        </w:tcPr>
        <w:p w14:paraId="5D9EC711" w14:textId="77777777" w:rsidR="00384E94" w:rsidRDefault="00384E94">
          <w:pPr>
            <w:tabs>
              <w:tab w:val="right" w:pos="8838"/>
            </w:tabs>
            <w:ind w:right="-32"/>
          </w:pPr>
          <w:r>
            <w:t xml:space="preserve">Ayuntamiento de </w:t>
          </w:r>
          <w:proofErr w:type="spellStart"/>
          <w:r>
            <w:t>Temascalcingo</w:t>
          </w:r>
          <w:proofErr w:type="spellEnd"/>
        </w:p>
      </w:tc>
    </w:tr>
    <w:tr w:rsidR="00384E94" w14:paraId="11FBB450" w14:textId="77777777">
      <w:trPr>
        <w:trHeight w:val="261"/>
      </w:trPr>
      <w:tc>
        <w:tcPr>
          <w:tcW w:w="2691" w:type="dxa"/>
        </w:tcPr>
        <w:p w14:paraId="6BAF6003" w14:textId="77777777" w:rsidR="00384E94" w:rsidRDefault="00384E94">
          <w:pPr>
            <w:tabs>
              <w:tab w:val="right" w:pos="8838"/>
            </w:tabs>
            <w:ind w:right="-105"/>
            <w:rPr>
              <w:b/>
            </w:rPr>
          </w:pPr>
          <w:r>
            <w:rPr>
              <w:b/>
            </w:rPr>
            <w:t>Comisionado Ponente:</w:t>
          </w:r>
        </w:p>
      </w:tc>
      <w:tc>
        <w:tcPr>
          <w:tcW w:w="3405" w:type="dxa"/>
        </w:tcPr>
        <w:p w14:paraId="420341AF" w14:textId="77777777" w:rsidR="00384E94" w:rsidRDefault="00384E94">
          <w:pPr>
            <w:tabs>
              <w:tab w:val="right" w:pos="8838"/>
            </w:tabs>
            <w:ind w:right="-32"/>
            <w:rPr>
              <w:b/>
            </w:rPr>
          </w:pPr>
          <w:r>
            <w:t>Luis Gustavo Parra Noriega</w:t>
          </w:r>
        </w:p>
      </w:tc>
    </w:tr>
  </w:tbl>
  <w:p w14:paraId="00411D75" w14:textId="77777777" w:rsidR="00384E94" w:rsidRDefault="001527B6">
    <w:pPr>
      <w:pBdr>
        <w:top w:val="nil"/>
        <w:left w:val="nil"/>
        <w:bottom w:val="nil"/>
        <w:right w:val="nil"/>
        <w:between w:val="nil"/>
      </w:pBdr>
      <w:tabs>
        <w:tab w:val="center" w:pos="4419"/>
        <w:tab w:val="right" w:pos="8838"/>
      </w:tabs>
      <w:spacing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384E94" w:rsidRDefault="001527B6">
    <w:pPr>
      <w:widowControl w:val="0"/>
      <w:pBdr>
        <w:top w:val="nil"/>
        <w:left w:val="nil"/>
        <w:bottom w:val="nil"/>
        <w:right w:val="nil"/>
        <w:between w:val="nil"/>
      </w:pBdr>
      <w:spacing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384E94" w14:paraId="40D5D5A3" w14:textId="77777777" w:rsidTr="00B665DE">
      <w:trPr>
        <w:trHeight w:val="138"/>
      </w:trPr>
      <w:tc>
        <w:tcPr>
          <w:tcW w:w="2693" w:type="dxa"/>
          <w:vAlign w:val="center"/>
        </w:tcPr>
        <w:p w14:paraId="43377EBE" w14:textId="77777777" w:rsidR="00384E94" w:rsidRDefault="00384E94" w:rsidP="00061188">
          <w:pPr>
            <w:tabs>
              <w:tab w:val="right" w:pos="8838"/>
            </w:tabs>
            <w:spacing w:line="240" w:lineRule="auto"/>
            <w:ind w:left="-108" w:right="-105"/>
            <w:jc w:val="left"/>
            <w:rPr>
              <w:b/>
            </w:rPr>
          </w:pPr>
        </w:p>
        <w:p w14:paraId="2B728F54" w14:textId="77777777" w:rsidR="00061188" w:rsidRDefault="00061188" w:rsidP="00061188">
          <w:pPr>
            <w:tabs>
              <w:tab w:val="right" w:pos="8838"/>
            </w:tabs>
            <w:spacing w:line="240" w:lineRule="auto"/>
            <w:ind w:left="-108" w:right="-105"/>
            <w:jc w:val="left"/>
            <w:rPr>
              <w:b/>
            </w:rPr>
          </w:pPr>
        </w:p>
        <w:p w14:paraId="1DB5C8D0" w14:textId="73B96C09" w:rsidR="00384E94" w:rsidRDefault="00384E94" w:rsidP="00061188">
          <w:pPr>
            <w:tabs>
              <w:tab w:val="right" w:pos="8838"/>
            </w:tabs>
            <w:spacing w:line="240" w:lineRule="auto"/>
            <w:ind w:left="-108" w:right="-105"/>
            <w:jc w:val="left"/>
            <w:rPr>
              <w:b/>
            </w:rPr>
          </w:pPr>
          <w:r>
            <w:rPr>
              <w:b/>
            </w:rPr>
            <w:t>Recurso de Revisión:</w:t>
          </w:r>
        </w:p>
      </w:tc>
      <w:tc>
        <w:tcPr>
          <w:tcW w:w="3969" w:type="dxa"/>
        </w:tcPr>
        <w:p w14:paraId="5BCC69C4" w14:textId="77777777" w:rsidR="00384E94" w:rsidRPr="00EF0C39" w:rsidRDefault="00384E94" w:rsidP="00061188">
          <w:pPr>
            <w:tabs>
              <w:tab w:val="right" w:pos="8838"/>
            </w:tabs>
            <w:spacing w:line="240" w:lineRule="auto"/>
            <w:ind w:right="57"/>
          </w:pPr>
        </w:p>
        <w:p w14:paraId="1AE232B7" w14:textId="77777777" w:rsidR="00061188" w:rsidRDefault="00061188" w:rsidP="00061188">
          <w:pPr>
            <w:tabs>
              <w:tab w:val="right" w:pos="8838"/>
            </w:tabs>
            <w:spacing w:line="240" w:lineRule="auto"/>
            <w:ind w:right="57"/>
          </w:pPr>
        </w:p>
        <w:p w14:paraId="61E59D71" w14:textId="64F15F4E" w:rsidR="00384E94" w:rsidRPr="00EF0C39" w:rsidRDefault="007B4717" w:rsidP="00061188">
          <w:pPr>
            <w:tabs>
              <w:tab w:val="right" w:pos="8838"/>
            </w:tabs>
            <w:spacing w:line="240" w:lineRule="auto"/>
            <w:ind w:right="57"/>
          </w:pPr>
          <w:r>
            <w:t>0</w:t>
          </w:r>
          <w:r w:rsidR="00B665DE">
            <w:t>0</w:t>
          </w:r>
          <w:r w:rsidR="001046B6">
            <w:t>671</w:t>
          </w:r>
          <w:r w:rsidR="00026C6B" w:rsidRPr="00026C6B">
            <w:t>/INFOEM/IP/RR/202</w:t>
          </w:r>
          <w:r w:rsidR="00B665DE">
            <w:t>5</w:t>
          </w:r>
        </w:p>
      </w:tc>
    </w:tr>
    <w:tr w:rsidR="00384E94" w14:paraId="7A281F30" w14:textId="77777777" w:rsidTr="00B665DE">
      <w:trPr>
        <w:trHeight w:val="273"/>
      </w:trPr>
      <w:tc>
        <w:tcPr>
          <w:tcW w:w="2693" w:type="dxa"/>
        </w:tcPr>
        <w:p w14:paraId="6671A308" w14:textId="77777777" w:rsidR="00384E94" w:rsidRDefault="00384E94" w:rsidP="00061188">
          <w:pPr>
            <w:tabs>
              <w:tab w:val="right" w:pos="8838"/>
            </w:tabs>
            <w:spacing w:line="240" w:lineRule="auto"/>
            <w:ind w:left="-108" w:right="-105"/>
            <w:rPr>
              <w:b/>
            </w:rPr>
          </w:pPr>
          <w:r>
            <w:rPr>
              <w:b/>
            </w:rPr>
            <w:t>Sujeto Obligado:</w:t>
          </w:r>
        </w:p>
      </w:tc>
      <w:tc>
        <w:tcPr>
          <w:tcW w:w="3969" w:type="dxa"/>
        </w:tcPr>
        <w:p w14:paraId="30885B6D" w14:textId="2C2F0631" w:rsidR="00384E94" w:rsidRPr="00EF0C39" w:rsidRDefault="001046B6" w:rsidP="00061188">
          <w:pPr>
            <w:tabs>
              <w:tab w:val="right" w:pos="8838"/>
            </w:tabs>
            <w:spacing w:line="240" w:lineRule="auto"/>
            <w:ind w:right="180"/>
          </w:pPr>
          <w:r>
            <w:t>Ayuntamiento de Metepec</w:t>
          </w:r>
        </w:p>
      </w:tc>
    </w:tr>
    <w:tr w:rsidR="00384E94" w14:paraId="00C22F2F" w14:textId="77777777" w:rsidTr="00B665DE">
      <w:trPr>
        <w:trHeight w:val="273"/>
      </w:trPr>
      <w:tc>
        <w:tcPr>
          <w:tcW w:w="2693" w:type="dxa"/>
        </w:tcPr>
        <w:p w14:paraId="70417649" w14:textId="77777777" w:rsidR="00384E94" w:rsidRDefault="00384E94" w:rsidP="00061188">
          <w:pPr>
            <w:tabs>
              <w:tab w:val="right" w:pos="8838"/>
            </w:tabs>
            <w:spacing w:line="240" w:lineRule="auto"/>
            <w:ind w:left="-108" w:right="-105"/>
            <w:rPr>
              <w:b/>
            </w:rPr>
          </w:pPr>
          <w:r>
            <w:rPr>
              <w:b/>
            </w:rPr>
            <w:t>Comisionado Ponente:</w:t>
          </w:r>
        </w:p>
      </w:tc>
      <w:tc>
        <w:tcPr>
          <w:tcW w:w="3969" w:type="dxa"/>
        </w:tcPr>
        <w:p w14:paraId="5E6EB38B" w14:textId="77777777" w:rsidR="00384E94" w:rsidRPr="00EF0C39" w:rsidRDefault="00384E94" w:rsidP="00061188">
          <w:pPr>
            <w:tabs>
              <w:tab w:val="right" w:pos="8838"/>
            </w:tabs>
            <w:spacing w:line="240" w:lineRule="auto"/>
            <w:ind w:right="-170"/>
          </w:pPr>
          <w:r w:rsidRPr="00EF0C39">
            <w:t>Luis Gustavo Parra Noriega</w:t>
          </w:r>
        </w:p>
        <w:p w14:paraId="1A63C67B" w14:textId="77777777" w:rsidR="00384E94" w:rsidRPr="00EF0C39" w:rsidRDefault="00384E94" w:rsidP="00061188">
          <w:pPr>
            <w:tabs>
              <w:tab w:val="right" w:pos="8838"/>
            </w:tabs>
            <w:spacing w:line="240" w:lineRule="auto"/>
            <w:ind w:right="-170"/>
            <w:rPr>
              <w:b/>
            </w:rPr>
          </w:pPr>
        </w:p>
      </w:tc>
    </w:tr>
  </w:tbl>
  <w:p w14:paraId="3498D107" w14:textId="7E17876C" w:rsidR="00384E94" w:rsidRDefault="00384E94" w:rsidP="008C266D">
    <w:pPr>
      <w:pBdr>
        <w:top w:val="nil"/>
        <w:left w:val="nil"/>
        <w:bottom w:val="nil"/>
        <w:right w:val="nil"/>
        <w:between w:val="nil"/>
      </w:pBdr>
      <w:tabs>
        <w:tab w:val="center" w:pos="4419"/>
        <w:tab w:val="right" w:pos="8838"/>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65532A35" w:rsidR="00384E94" w:rsidRDefault="001527B6">
    <w:pPr>
      <w:widowControl w:val="0"/>
      <w:pBdr>
        <w:top w:val="nil"/>
        <w:left w:val="nil"/>
        <w:bottom w:val="nil"/>
        <w:right w:val="nil"/>
        <w:between w:val="nil"/>
      </w:pBdr>
      <w:spacing w:line="276" w:lineRule="auto"/>
      <w:jc w:val="left"/>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margin-left:-85.35pt;margin-top:-125.75pt;width:663.5pt;height:12in;z-index:-251658752;mso-wrap-edited:f;mso-width-percent:0;mso-height-percent:0;mso-position-horizontal-relative:margin;mso-position-vertical-relative:margin;mso-width-percent:0;mso-height-percent:0">
          <v:imagedata r:id="rId1" o:title="image5"/>
          <w10:wrap anchorx="margin" anchory="margin"/>
        </v:shape>
      </w:pict>
    </w:r>
  </w:p>
  <w:tbl>
    <w:tblPr>
      <w:tblStyle w:val="1"/>
      <w:tblW w:w="6379"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828"/>
    </w:tblGrid>
    <w:tr w:rsidR="00384E94" w14:paraId="6B3232BD" w14:textId="77777777" w:rsidTr="00CF5CCC">
      <w:trPr>
        <w:trHeight w:val="132"/>
      </w:trPr>
      <w:tc>
        <w:tcPr>
          <w:tcW w:w="2551" w:type="dxa"/>
        </w:tcPr>
        <w:p w14:paraId="14172B49" w14:textId="77777777" w:rsidR="00061188" w:rsidRDefault="00061188" w:rsidP="00061188">
          <w:pPr>
            <w:tabs>
              <w:tab w:val="right" w:pos="8838"/>
            </w:tabs>
            <w:spacing w:line="240" w:lineRule="auto"/>
            <w:ind w:right="-105"/>
            <w:rPr>
              <w:b/>
            </w:rPr>
          </w:pPr>
        </w:p>
        <w:p w14:paraId="38F16E2F" w14:textId="5D51542D" w:rsidR="00384E94" w:rsidRDefault="00384E94" w:rsidP="00061188">
          <w:pPr>
            <w:tabs>
              <w:tab w:val="right" w:pos="8838"/>
            </w:tabs>
            <w:spacing w:line="240" w:lineRule="auto"/>
            <w:ind w:right="-105"/>
            <w:rPr>
              <w:b/>
            </w:rPr>
          </w:pPr>
          <w:r>
            <w:rPr>
              <w:b/>
            </w:rPr>
            <w:t>Recurso de Revisión:</w:t>
          </w:r>
        </w:p>
      </w:tc>
      <w:tc>
        <w:tcPr>
          <w:tcW w:w="3828" w:type="dxa"/>
        </w:tcPr>
        <w:p w14:paraId="6C946F2A" w14:textId="77777777" w:rsidR="00061188" w:rsidRDefault="00061188" w:rsidP="00061188">
          <w:pPr>
            <w:spacing w:line="240" w:lineRule="auto"/>
          </w:pPr>
        </w:p>
        <w:p w14:paraId="211CDC0A" w14:textId="57E44E15" w:rsidR="00384E94" w:rsidRPr="00026C6B" w:rsidRDefault="00026C6B" w:rsidP="00061188">
          <w:pPr>
            <w:spacing w:line="240" w:lineRule="auto"/>
          </w:pPr>
          <w:r w:rsidRPr="00026C6B">
            <w:t>0</w:t>
          </w:r>
          <w:r w:rsidR="00B665DE">
            <w:t>0</w:t>
          </w:r>
          <w:r w:rsidR="001046B6">
            <w:t>671</w:t>
          </w:r>
          <w:r w:rsidRPr="00026C6B">
            <w:t>/INFOEM/IP/RR/202</w:t>
          </w:r>
          <w:r w:rsidR="00B665DE">
            <w:t>5</w:t>
          </w:r>
        </w:p>
      </w:tc>
    </w:tr>
    <w:tr w:rsidR="00384E94" w14:paraId="6AA3CC58" w14:textId="77777777" w:rsidTr="00CF5CCC">
      <w:trPr>
        <w:trHeight w:val="132"/>
      </w:trPr>
      <w:tc>
        <w:tcPr>
          <w:tcW w:w="2551" w:type="dxa"/>
          <w:shd w:val="clear" w:color="auto" w:fill="auto"/>
        </w:tcPr>
        <w:p w14:paraId="7FD164F5" w14:textId="77777777" w:rsidR="00384E94" w:rsidRDefault="00384E94" w:rsidP="00061188">
          <w:pPr>
            <w:tabs>
              <w:tab w:val="left" w:pos="1875"/>
            </w:tabs>
            <w:spacing w:line="240" w:lineRule="auto"/>
            <w:ind w:right="-105"/>
            <w:rPr>
              <w:b/>
            </w:rPr>
          </w:pPr>
          <w:r>
            <w:rPr>
              <w:b/>
            </w:rPr>
            <w:t>Recurrente:</w:t>
          </w:r>
          <w:r>
            <w:rPr>
              <w:b/>
            </w:rPr>
            <w:tab/>
          </w:r>
        </w:p>
      </w:tc>
      <w:tc>
        <w:tcPr>
          <w:tcW w:w="3828" w:type="dxa"/>
          <w:shd w:val="clear" w:color="auto" w:fill="auto"/>
        </w:tcPr>
        <w:p w14:paraId="1F1B0537" w14:textId="13FD9C51" w:rsidR="00384E94" w:rsidRPr="00EF0C39" w:rsidRDefault="00384E94" w:rsidP="00061188">
          <w:pPr>
            <w:tabs>
              <w:tab w:val="right" w:pos="8838"/>
            </w:tabs>
            <w:spacing w:line="240" w:lineRule="auto"/>
            <w:ind w:right="-111"/>
          </w:pPr>
        </w:p>
      </w:tc>
    </w:tr>
    <w:tr w:rsidR="00384E94" w14:paraId="5113CAA6" w14:textId="77777777" w:rsidTr="00CF5CCC">
      <w:trPr>
        <w:trHeight w:val="261"/>
      </w:trPr>
      <w:tc>
        <w:tcPr>
          <w:tcW w:w="2551" w:type="dxa"/>
        </w:tcPr>
        <w:p w14:paraId="28E3431B" w14:textId="77777777" w:rsidR="00384E94" w:rsidRDefault="00384E94" w:rsidP="00061188">
          <w:pPr>
            <w:tabs>
              <w:tab w:val="right" w:pos="8838"/>
            </w:tabs>
            <w:spacing w:line="240" w:lineRule="auto"/>
            <w:ind w:right="-105"/>
            <w:rPr>
              <w:b/>
            </w:rPr>
          </w:pPr>
          <w:r>
            <w:rPr>
              <w:b/>
            </w:rPr>
            <w:t>Sujeto Obligado:</w:t>
          </w:r>
        </w:p>
      </w:tc>
      <w:tc>
        <w:tcPr>
          <w:tcW w:w="3828" w:type="dxa"/>
        </w:tcPr>
        <w:p w14:paraId="3192354E" w14:textId="4FE7AD1B" w:rsidR="00384E94" w:rsidRPr="00026C6B" w:rsidRDefault="001046B6" w:rsidP="00061188">
          <w:pPr>
            <w:spacing w:line="240" w:lineRule="auto"/>
          </w:pPr>
          <w:r>
            <w:t>Ayuntamiento de Metepec</w:t>
          </w:r>
        </w:p>
      </w:tc>
    </w:tr>
    <w:tr w:rsidR="00384E94" w14:paraId="5D4C2A35" w14:textId="77777777" w:rsidTr="00CF5CCC">
      <w:trPr>
        <w:trHeight w:val="261"/>
      </w:trPr>
      <w:tc>
        <w:tcPr>
          <w:tcW w:w="2551" w:type="dxa"/>
        </w:tcPr>
        <w:p w14:paraId="7F522FEC" w14:textId="77777777" w:rsidR="00384E94" w:rsidRDefault="00384E94" w:rsidP="00061188">
          <w:pPr>
            <w:tabs>
              <w:tab w:val="right" w:pos="8838"/>
            </w:tabs>
            <w:spacing w:line="240" w:lineRule="auto"/>
            <w:ind w:right="-105"/>
            <w:rPr>
              <w:b/>
            </w:rPr>
          </w:pPr>
          <w:r>
            <w:rPr>
              <w:b/>
            </w:rPr>
            <w:t>Comisionado Ponente:</w:t>
          </w:r>
        </w:p>
      </w:tc>
      <w:tc>
        <w:tcPr>
          <w:tcW w:w="3828" w:type="dxa"/>
        </w:tcPr>
        <w:p w14:paraId="0F0566F9" w14:textId="77777777" w:rsidR="00384E94" w:rsidRPr="00EF0C39" w:rsidRDefault="00384E94" w:rsidP="00061188">
          <w:pPr>
            <w:tabs>
              <w:tab w:val="right" w:pos="8838"/>
            </w:tabs>
            <w:spacing w:line="240" w:lineRule="auto"/>
            <w:ind w:right="-32"/>
            <w:rPr>
              <w:b/>
            </w:rPr>
          </w:pPr>
          <w:r w:rsidRPr="00EF0C39">
            <w:t>Luis Gustavo Parra Noriega</w:t>
          </w:r>
        </w:p>
      </w:tc>
    </w:tr>
  </w:tbl>
  <w:p w14:paraId="4DFC2598" w14:textId="6E98571F" w:rsidR="00384E94" w:rsidRDefault="00384E94">
    <w:pPr>
      <w:pBdr>
        <w:top w:val="nil"/>
        <w:left w:val="nil"/>
        <w:bottom w:val="nil"/>
        <w:right w:val="nil"/>
        <w:between w:val="nil"/>
      </w:pBdr>
      <w:tabs>
        <w:tab w:val="center" w:pos="4419"/>
        <w:tab w:val="right" w:pos="8838"/>
        <w:tab w:val="left" w:pos="5812"/>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C3A4812"/>
    <w:multiLevelType w:val="hybridMultilevel"/>
    <w:tmpl w:val="459829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C07C1B"/>
    <w:multiLevelType w:val="hybridMultilevel"/>
    <w:tmpl w:val="B1C0A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9"/>
  </w:num>
  <w:num w:numId="4">
    <w:abstractNumId w:val="26"/>
  </w:num>
  <w:num w:numId="5">
    <w:abstractNumId w:val="32"/>
  </w:num>
  <w:num w:numId="6">
    <w:abstractNumId w:val="7"/>
  </w:num>
  <w:num w:numId="7">
    <w:abstractNumId w:val="36"/>
  </w:num>
  <w:num w:numId="8">
    <w:abstractNumId w:val="8"/>
  </w:num>
  <w:num w:numId="9">
    <w:abstractNumId w:val="2"/>
  </w:num>
  <w:num w:numId="10">
    <w:abstractNumId w:val="19"/>
  </w:num>
  <w:num w:numId="11">
    <w:abstractNumId w:val="2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9"/>
  </w:num>
  <w:num w:numId="23">
    <w:abstractNumId w:val="3"/>
  </w:num>
  <w:num w:numId="24">
    <w:abstractNumId w:val="10"/>
  </w:num>
  <w:num w:numId="25">
    <w:abstractNumId w:val="1"/>
  </w:num>
  <w:num w:numId="26">
    <w:abstractNumId w:val="14"/>
  </w:num>
  <w:num w:numId="27">
    <w:abstractNumId w:val="30"/>
  </w:num>
  <w:num w:numId="28">
    <w:abstractNumId w:val="5"/>
  </w:num>
  <w:num w:numId="29">
    <w:abstractNumId w:val="22"/>
  </w:num>
  <w:num w:numId="30">
    <w:abstractNumId w:val="33"/>
  </w:num>
  <w:num w:numId="31">
    <w:abstractNumId w:val="17"/>
  </w:num>
  <w:num w:numId="32">
    <w:abstractNumId w:val="13"/>
  </w:num>
  <w:num w:numId="33">
    <w:abstractNumId w:val="31"/>
  </w:num>
  <w:num w:numId="34">
    <w:abstractNumId w:val="12"/>
  </w:num>
  <w:num w:numId="35">
    <w:abstractNumId w:val="20"/>
  </w:num>
  <w:num w:numId="36">
    <w:abstractNumId w:val="6"/>
  </w:num>
  <w:num w:numId="37">
    <w:abstractNumId w:val="21"/>
  </w:num>
  <w:num w:numId="3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637C"/>
    <w:rsid w:val="00006A45"/>
    <w:rsid w:val="00007215"/>
    <w:rsid w:val="0001108B"/>
    <w:rsid w:val="00011477"/>
    <w:rsid w:val="00011608"/>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45098"/>
    <w:rsid w:val="00050E2E"/>
    <w:rsid w:val="000602BA"/>
    <w:rsid w:val="00061123"/>
    <w:rsid w:val="00061188"/>
    <w:rsid w:val="000709AA"/>
    <w:rsid w:val="00072AB8"/>
    <w:rsid w:val="000735F0"/>
    <w:rsid w:val="00075996"/>
    <w:rsid w:val="00075A71"/>
    <w:rsid w:val="00075CAF"/>
    <w:rsid w:val="00077547"/>
    <w:rsid w:val="00081D01"/>
    <w:rsid w:val="0008295C"/>
    <w:rsid w:val="00082B5B"/>
    <w:rsid w:val="00083169"/>
    <w:rsid w:val="00085356"/>
    <w:rsid w:val="000866B0"/>
    <w:rsid w:val="00087074"/>
    <w:rsid w:val="00087EDB"/>
    <w:rsid w:val="0009167E"/>
    <w:rsid w:val="00092501"/>
    <w:rsid w:val="000946F3"/>
    <w:rsid w:val="00095FB6"/>
    <w:rsid w:val="00096C21"/>
    <w:rsid w:val="00096CFE"/>
    <w:rsid w:val="00097C52"/>
    <w:rsid w:val="000A2EA2"/>
    <w:rsid w:val="000A3910"/>
    <w:rsid w:val="000A5B44"/>
    <w:rsid w:val="000A6D06"/>
    <w:rsid w:val="000A706F"/>
    <w:rsid w:val="000B2470"/>
    <w:rsid w:val="000B3514"/>
    <w:rsid w:val="000B3C56"/>
    <w:rsid w:val="000B4503"/>
    <w:rsid w:val="000B49C4"/>
    <w:rsid w:val="000C0CBE"/>
    <w:rsid w:val="000C10A2"/>
    <w:rsid w:val="000C2E16"/>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46B6"/>
    <w:rsid w:val="001055EA"/>
    <w:rsid w:val="001061B1"/>
    <w:rsid w:val="001065C6"/>
    <w:rsid w:val="001135C1"/>
    <w:rsid w:val="00115992"/>
    <w:rsid w:val="00116C35"/>
    <w:rsid w:val="00122ED0"/>
    <w:rsid w:val="00122FBD"/>
    <w:rsid w:val="00123FD7"/>
    <w:rsid w:val="00124AF7"/>
    <w:rsid w:val="00125905"/>
    <w:rsid w:val="00125F26"/>
    <w:rsid w:val="0012618B"/>
    <w:rsid w:val="00126AD3"/>
    <w:rsid w:val="001325F3"/>
    <w:rsid w:val="00132F29"/>
    <w:rsid w:val="00134465"/>
    <w:rsid w:val="00135F4E"/>
    <w:rsid w:val="001418BD"/>
    <w:rsid w:val="00141BAD"/>
    <w:rsid w:val="001425CB"/>
    <w:rsid w:val="001434E7"/>
    <w:rsid w:val="001479C0"/>
    <w:rsid w:val="001502AB"/>
    <w:rsid w:val="001507E8"/>
    <w:rsid w:val="001527B6"/>
    <w:rsid w:val="00153139"/>
    <w:rsid w:val="001548D6"/>
    <w:rsid w:val="001558BD"/>
    <w:rsid w:val="00155BD1"/>
    <w:rsid w:val="001566D4"/>
    <w:rsid w:val="0016373E"/>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B6F"/>
    <w:rsid w:val="001B34AA"/>
    <w:rsid w:val="001B7EFB"/>
    <w:rsid w:val="001C638A"/>
    <w:rsid w:val="001D1635"/>
    <w:rsid w:val="001D1D98"/>
    <w:rsid w:val="001D24CD"/>
    <w:rsid w:val="001D3FB9"/>
    <w:rsid w:val="001D4F21"/>
    <w:rsid w:val="001D5DBE"/>
    <w:rsid w:val="001D7D0E"/>
    <w:rsid w:val="001E4284"/>
    <w:rsid w:val="001E4ECA"/>
    <w:rsid w:val="001E6077"/>
    <w:rsid w:val="001F285F"/>
    <w:rsid w:val="001F6FD5"/>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265B"/>
    <w:rsid w:val="00273A4E"/>
    <w:rsid w:val="00274745"/>
    <w:rsid w:val="0027645A"/>
    <w:rsid w:val="00280625"/>
    <w:rsid w:val="00280CF8"/>
    <w:rsid w:val="00282176"/>
    <w:rsid w:val="002822A3"/>
    <w:rsid w:val="00287374"/>
    <w:rsid w:val="0029130B"/>
    <w:rsid w:val="00291318"/>
    <w:rsid w:val="0029310D"/>
    <w:rsid w:val="00293A22"/>
    <w:rsid w:val="00294C03"/>
    <w:rsid w:val="00295482"/>
    <w:rsid w:val="0029784D"/>
    <w:rsid w:val="002A02CD"/>
    <w:rsid w:val="002A5DEB"/>
    <w:rsid w:val="002B5A2D"/>
    <w:rsid w:val="002B772B"/>
    <w:rsid w:val="002C0C3A"/>
    <w:rsid w:val="002C4A39"/>
    <w:rsid w:val="002C7C43"/>
    <w:rsid w:val="002D2107"/>
    <w:rsid w:val="002D2619"/>
    <w:rsid w:val="002D2A77"/>
    <w:rsid w:val="002E2627"/>
    <w:rsid w:val="002E34B7"/>
    <w:rsid w:val="002E5C60"/>
    <w:rsid w:val="002E6125"/>
    <w:rsid w:val="002F0526"/>
    <w:rsid w:val="002F08A1"/>
    <w:rsid w:val="002F44A5"/>
    <w:rsid w:val="002F5845"/>
    <w:rsid w:val="002F5AA8"/>
    <w:rsid w:val="002F5CFB"/>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3468"/>
    <w:rsid w:val="0033681E"/>
    <w:rsid w:val="00336E20"/>
    <w:rsid w:val="00341669"/>
    <w:rsid w:val="00342465"/>
    <w:rsid w:val="00342746"/>
    <w:rsid w:val="00345E3B"/>
    <w:rsid w:val="00353296"/>
    <w:rsid w:val="0035368D"/>
    <w:rsid w:val="00354255"/>
    <w:rsid w:val="00356E1B"/>
    <w:rsid w:val="003577B3"/>
    <w:rsid w:val="003602C9"/>
    <w:rsid w:val="0036042F"/>
    <w:rsid w:val="0036120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163"/>
    <w:rsid w:val="003D1DC8"/>
    <w:rsid w:val="003D25DC"/>
    <w:rsid w:val="003D35DB"/>
    <w:rsid w:val="003D6C3F"/>
    <w:rsid w:val="003E1C9F"/>
    <w:rsid w:val="003E20C8"/>
    <w:rsid w:val="003E33FE"/>
    <w:rsid w:val="003E540A"/>
    <w:rsid w:val="003F0A87"/>
    <w:rsid w:val="003F1D74"/>
    <w:rsid w:val="003F2BF4"/>
    <w:rsid w:val="003F4C6D"/>
    <w:rsid w:val="003F5F91"/>
    <w:rsid w:val="003F6C55"/>
    <w:rsid w:val="0041096D"/>
    <w:rsid w:val="0041242C"/>
    <w:rsid w:val="00420209"/>
    <w:rsid w:val="004214D5"/>
    <w:rsid w:val="00422311"/>
    <w:rsid w:val="004326F9"/>
    <w:rsid w:val="004352C6"/>
    <w:rsid w:val="00436F80"/>
    <w:rsid w:val="0044017B"/>
    <w:rsid w:val="00442432"/>
    <w:rsid w:val="0044320C"/>
    <w:rsid w:val="0044451C"/>
    <w:rsid w:val="00446CA3"/>
    <w:rsid w:val="0045046D"/>
    <w:rsid w:val="00455EA5"/>
    <w:rsid w:val="00456B23"/>
    <w:rsid w:val="00461DF2"/>
    <w:rsid w:val="0046342E"/>
    <w:rsid w:val="004649E0"/>
    <w:rsid w:val="00471E99"/>
    <w:rsid w:val="004721AA"/>
    <w:rsid w:val="00473151"/>
    <w:rsid w:val="00474793"/>
    <w:rsid w:val="00474E5D"/>
    <w:rsid w:val="00475E62"/>
    <w:rsid w:val="00477F76"/>
    <w:rsid w:val="0048099D"/>
    <w:rsid w:val="00481F23"/>
    <w:rsid w:val="00483320"/>
    <w:rsid w:val="00484E27"/>
    <w:rsid w:val="0049788F"/>
    <w:rsid w:val="004A10E6"/>
    <w:rsid w:val="004B0C65"/>
    <w:rsid w:val="004B27E7"/>
    <w:rsid w:val="004B33EF"/>
    <w:rsid w:val="004B58D3"/>
    <w:rsid w:val="004B7343"/>
    <w:rsid w:val="004B73FB"/>
    <w:rsid w:val="004C21E6"/>
    <w:rsid w:val="004C4032"/>
    <w:rsid w:val="004C465F"/>
    <w:rsid w:val="004C6321"/>
    <w:rsid w:val="004D1D8F"/>
    <w:rsid w:val="004D243B"/>
    <w:rsid w:val="004D63D9"/>
    <w:rsid w:val="004E0AD6"/>
    <w:rsid w:val="004E22FF"/>
    <w:rsid w:val="004E47CC"/>
    <w:rsid w:val="004F0490"/>
    <w:rsid w:val="004F56D3"/>
    <w:rsid w:val="004F59FB"/>
    <w:rsid w:val="004F5F11"/>
    <w:rsid w:val="004F76F4"/>
    <w:rsid w:val="004F7F19"/>
    <w:rsid w:val="00500073"/>
    <w:rsid w:val="00500B4F"/>
    <w:rsid w:val="005018D0"/>
    <w:rsid w:val="00506126"/>
    <w:rsid w:val="0051107B"/>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4FF5"/>
    <w:rsid w:val="00545D04"/>
    <w:rsid w:val="00550C0B"/>
    <w:rsid w:val="005520E3"/>
    <w:rsid w:val="00552C67"/>
    <w:rsid w:val="0055553A"/>
    <w:rsid w:val="005569DD"/>
    <w:rsid w:val="00562D89"/>
    <w:rsid w:val="0056443F"/>
    <w:rsid w:val="00565646"/>
    <w:rsid w:val="005726B5"/>
    <w:rsid w:val="00572946"/>
    <w:rsid w:val="005732F8"/>
    <w:rsid w:val="00580345"/>
    <w:rsid w:val="005816DE"/>
    <w:rsid w:val="00582FC0"/>
    <w:rsid w:val="00585C29"/>
    <w:rsid w:val="0058767A"/>
    <w:rsid w:val="00590FB7"/>
    <w:rsid w:val="005914EE"/>
    <w:rsid w:val="00597DF0"/>
    <w:rsid w:val="005A0A77"/>
    <w:rsid w:val="005A39F4"/>
    <w:rsid w:val="005A4B6B"/>
    <w:rsid w:val="005A79D9"/>
    <w:rsid w:val="005A7C36"/>
    <w:rsid w:val="005B21C9"/>
    <w:rsid w:val="005B6BFA"/>
    <w:rsid w:val="005C20B7"/>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3FD6"/>
    <w:rsid w:val="005F4B93"/>
    <w:rsid w:val="005F5498"/>
    <w:rsid w:val="005F773E"/>
    <w:rsid w:val="005F785A"/>
    <w:rsid w:val="005F7F07"/>
    <w:rsid w:val="00600A20"/>
    <w:rsid w:val="00602E5C"/>
    <w:rsid w:val="006033D0"/>
    <w:rsid w:val="006037C1"/>
    <w:rsid w:val="006059DA"/>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4067B"/>
    <w:rsid w:val="006418B3"/>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9A1"/>
    <w:rsid w:val="00674E18"/>
    <w:rsid w:val="00680F20"/>
    <w:rsid w:val="00684E69"/>
    <w:rsid w:val="00687BCB"/>
    <w:rsid w:val="00690202"/>
    <w:rsid w:val="0069037C"/>
    <w:rsid w:val="00692CEE"/>
    <w:rsid w:val="00694971"/>
    <w:rsid w:val="0069657C"/>
    <w:rsid w:val="006A0CDD"/>
    <w:rsid w:val="006A44FF"/>
    <w:rsid w:val="006B083B"/>
    <w:rsid w:val="006B3839"/>
    <w:rsid w:val="006B4C0B"/>
    <w:rsid w:val="006C0BD7"/>
    <w:rsid w:val="006C245A"/>
    <w:rsid w:val="006C25E4"/>
    <w:rsid w:val="006C3470"/>
    <w:rsid w:val="006C43E9"/>
    <w:rsid w:val="006C6EBC"/>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4C8D"/>
    <w:rsid w:val="00775391"/>
    <w:rsid w:val="0077760E"/>
    <w:rsid w:val="00781F61"/>
    <w:rsid w:val="00782D16"/>
    <w:rsid w:val="00783335"/>
    <w:rsid w:val="00784CEA"/>
    <w:rsid w:val="00792220"/>
    <w:rsid w:val="00796030"/>
    <w:rsid w:val="007962A6"/>
    <w:rsid w:val="00796712"/>
    <w:rsid w:val="007A0BC3"/>
    <w:rsid w:val="007A1ACB"/>
    <w:rsid w:val="007A2872"/>
    <w:rsid w:val="007A3334"/>
    <w:rsid w:val="007A540E"/>
    <w:rsid w:val="007A6A27"/>
    <w:rsid w:val="007A7732"/>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3735"/>
    <w:rsid w:val="007D6307"/>
    <w:rsid w:val="007D74CA"/>
    <w:rsid w:val="007E0603"/>
    <w:rsid w:val="007E1EF5"/>
    <w:rsid w:val="007E25E4"/>
    <w:rsid w:val="007E64DE"/>
    <w:rsid w:val="007E6532"/>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6D9"/>
    <w:rsid w:val="008441D0"/>
    <w:rsid w:val="00850BF6"/>
    <w:rsid w:val="0085268F"/>
    <w:rsid w:val="00853828"/>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573"/>
    <w:rsid w:val="008A1908"/>
    <w:rsid w:val="008A233A"/>
    <w:rsid w:val="008A460F"/>
    <w:rsid w:val="008A60AE"/>
    <w:rsid w:val="008B21BC"/>
    <w:rsid w:val="008B270A"/>
    <w:rsid w:val="008B4F8C"/>
    <w:rsid w:val="008B7D4E"/>
    <w:rsid w:val="008C1F18"/>
    <w:rsid w:val="008C266D"/>
    <w:rsid w:val="008C37E8"/>
    <w:rsid w:val="008C40B1"/>
    <w:rsid w:val="008D28E1"/>
    <w:rsid w:val="008D3B3F"/>
    <w:rsid w:val="008D43A8"/>
    <w:rsid w:val="008D46FC"/>
    <w:rsid w:val="008D58F4"/>
    <w:rsid w:val="008D7C22"/>
    <w:rsid w:val="008E0D53"/>
    <w:rsid w:val="008E7959"/>
    <w:rsid w:val="008F0749"/>
    <w:rsid w:val="008F1B8A"/>
    <w:rsid w:val="008F4E82"/>
    <w:rsid w:val="008F5A51"/>
    <w:rsid w:val="00900916"/>
    <w:rsid w:val="009019A8"/>
    <w:rsid w:val="0090431D"/>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571A"/>
    <w:rsid w:val="00955DC2"/>
    <w:rsid w:val="00956E0E"/>
    <w:rsid w:val="00960DEA"/>
    <w:rsid w:val="00960E46"/>
    <w:rsid w:val="00963E6F"/>
    <w:rsid w:val="009643D0"/>
    <w:rsid w:val="009644CD"/>
    <w:rsid w:val="00965741"/>
    <w:rsid w:val="00966BF0"/>
    <w:rsid w:val="00970B0D"/>
    <w:rsid w:val="009739BA"/>
    <w:rsid w:val="009742B1"/>
    <w:rsid w:val="0097583D"/>
    <w:rsid w:val="00983208"/>
    <w:rsid w:val="00983A37"/>
    <w:rsid w:val="00983F77"/>
    <w:rsid w:val="00986D91"/>
    <w:rsid w:val="00992901"/>
    <w:rsid w:val="009948FA"/>
    <w:rsid w:val="00996BDA"/>
    <w:rsid w:val="009973CB"/>
    <w:rsid w:val="009A5A8E"/>
    <w:rsid w:val="009B1B0E"/>
    <w:rsid w:val="009B1CE1"/>
    <w:rsid w:val="009B2613"/>
    <w:rsid w:val="009B2DAB"/>
    <w:rsid w:val="009B3CF8"/>
    <w:rsid w:val="009B614F"/>
    <w:rsid w:val="009C04AF"/>
    <w:rsid w:val="009C11B4"/>
    <w:rsid w:val="009C1F1B"/>
    <w:rsid w:val="009C3A1D"/>
    <w:rsid w:val="009C3C89"/>
    <w:rsid w:val="009C6467"/>
    <w:rsid w:val="009C6628"/>
    <w:rsid w:val="009C7407"/>
    <w:rsid w:val="009D07C4"/>
    <w:rsid w:val="009D41AB"/>
    <w:rsid w:val="009D4333"/>
    <w:rsid w:val="009D443C"/>
    <w:rsid w:val="009D4BA7"/>
    <w:rsid w:val="009D7D07"/>
    <w:rsid w:val="009E03A4"/>
    <w:rsid w:val="009E0F24"/>
    <w:rsid w:val="009E29E8"/>
    <w:rsid w:val="009E2E2A"/>
    <w:rsid w:val="009E4128"/>
    <w:rsid w:val="009F3790"/>
    <w:rsid w:val="009F6813"/>
    <w:rsid w:val="00A03F8F"/>
    <w:rsid w:val="00A042BC"/>
    <w:rsid w:val="00A045F2"/>
    <w:rsid w:val="00A071E9"/>
    <w:rsid w:val="00A1369B"/>
    <w:rsid w:val="00A16D8E"/>
    <w:rsid w:val="00A20875"/>
    <w:rsid w:val="00A244C7"/>
    <w:rsid w:val="00A33F9B"/>
    <w:rsid w:val="00A361DB"/>
    <w:rsid w:val="00A36DDE"/>
    <w:rsid w:val="00A36E65"/>
    <w:rsid w:val="00A37EDE"/>
    <w:rsid w:val="00A41A9E"/>
    <w:rsid w:val="00A43BA2"/>
    <w:rsid w:val="00A45EE8"/>
    <w:rsid w:val="00A462A9"/>
    <w:rsid w:val="00A51D86"/>
    <w:rsid w:val="00A52408"/>
    <w:rsid w:val="00A538A9"/>
    <w:rsid w:val="00A54AEE"/>
    <w:rsid w:val="00A56228"/>
    <w:rsid w:val="00A5791F"/>
    <w:rsid w:val="00A60BDF"/>
    <w:rsid w:val="00A620E2"/>
    <w:rsid w:val="00A63444"/>
    <w:rsid w:val="00A63E30"/>
    <w:rsid w:val="00A6488A"/>
    <w:rsid w:val="00A660B5"/>
    <w:rsid w:val="00A73E9A"/>
    <w:rsid w:val="00A753B3"/>
    <w:rsid w:val="00A75C5D"/>
    <w:rsid w:val="00A805B7"/>
    <w:rsid w:val="00A81186"/>
    <w:rsid w:val="00A8342D"/>
    <w:rsid w:val="00A84E9B"/>
    <w:rsid w:val="00A85D07"/>
    <w:rsid w:val="00A915DD"/>
    <w:rsid w:val="00A9286C"/>
    <w:rsid w:val="00A94490"/>
    <w:rsid w:val="00A95E07"/>
    <w:rsid w:val="00AA21E0"/>
    <w:rsid w:val="00AA345B"/>
    <w:rsid w:val="00AA6BA1"/>
    <w:rsid w:val="00AB0BA1"/>
    <w:rsid w:val="00AB1C9F"/>
    <w:rsid w:val="00AB328F"/>
    <w:rsid w:val="00AB3DE7"/>
    <w:rsid w:val="00AB4F34"/>
    <w:rsid w:val="00AB51A8"/>
    <w:rsid w:val="00AB63D8"/>
    <w:rsid w:val="00AB6E2A"/>
    <w:rsid w:val="00AC0AE0"/>
    <w:rsid w:val="00AC45E1"/>
    <w:rsid w:val="00AC4EC9"/>
    <w:rsid w:val="00AC5D01"/>
    <w:rsid w:val="00AC70CA"/>
    <w:rsid w:val="00AC7111"/>
    <w:rsid w:val="00AD3E0D"/>
    <w:rsid w:val="00AD468B"/>
    <w:rsid w:val="00AD7954"/>
    <w:rsid w:val="00AE23FB"/>
    <w:rsid w:val="00AE256C"/>
    <w:rsid w:val="00AE5058"/>
    <w:rsid w:val="00AF1785"/>
    <w:rsid w:val="00AF4BF2"/>
    <w:rsid w:val="00AF4DA4"/>
    <w:rsid w:val="00AF7546"/>
    <w:rsid w:val="00B00C4E"/>
    <w:rsid w:val="00B02796"/>
    <w:rsid w:val="00B02A3F"/>
    <w:rsid w:val="00B04A35"/>
    <w:rsid w:val="00B04BE1"/>
    <w:rsid w:val="00B050D9"/>
    <w:rsid w:val="00B056AA"/>
    <w:rsid w:val="00B123FB"/>
    <w:rsid w:val="00B1247F"/>
    <w:rsid w:val="00B22A17"/>
    <w:rsid w:val="00B22B9F"/>
    <w:rsid w:val="00B22F78"/>
    <w:rsid w:val="00B27131"/>
    <w:rsid w:val="00B32689"/>
    <w:rsid w:val="00B331EC"/>
    <w:rsid w:val="00B35F83"/>
    <w:rsid w:val="00B36A30"/>
    <w:rsid w:val="00B42F31"/>
    <w:rsid w:val="00B43D92"/>
    <w:rsid w:val="00B44403"/>
    <w:rsid w:val="00B51050"/>
    <w:rsid w:val="00B52CAD"/>
    <w:rsid w:val="00B53EAF"/>
    <w:rsid w:val="00B65BCA"/>
    <w:rsid w:val="00B6639B"/>
    <w:rsid w:val="00B665DE"/>
    <w:rsid w:val="00B66F84"/>
    <w:rsid w:val="00B675A3"/>
    <w:rsid w:val="00B7570D"/>
    <w:rsid w:val="00B809DD"/>
    <w:rsid w:val="00B81B55"/>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5AD6"/>
    <w:rsid w:val="00BF7541"/>
    <w:rsid w:val="00BF7869"/>
    <w:rsid w:val="00C01302"/>
    <w:rsid w:val="00C05F73"/>
    <w:rsid w:val="00C06004"/>
    <w:rsid w:val="00C06389"/>
    <w:rsid w:val="00C11279"/>
    <w:rsid w:val="00C12B98"/>
    <w:rsid w:val="00C13A67"/>
    <w:rsid w:val="00C13CD5"/>
    <w:rsid w:val="00C157A7"/>
    <w:rsid w:val="00C15818"/>
    <w:rsid w:val="00C218B8"/>
    <w:rsid w:val="00C26633"/>
    <w:rsid w:val="00C335A8"/>
    <w:rsid w:val="00C34810"/>
    <w:rsid w:val="00C362E2"/>
    <w:rsid w:val="00C409B6"/>
    <w:rsid w:val="00C40CD5"/>
    <w:rsid w:val="00C40DD3"/>
    <w:rsid w:val="00C42A8E"/>
    <w:rsid w:val="00C44308"/>
    <w:rsid w:val="00C46A25"/>
    <w:rsid w:val="00C47E88"/>
    <w:rsid w:val="00C500A8"/>
    <w:rsid w:val="00C51B7F"/>
    <w:rsid w:val="00C529B0"/>
    <w:rsid w:val="00C53D9F"/>
    <w:rsid w:val="00C540CA"/>
    <w:rsid w:val="00C556AB"/>
    <w:rsid w:val="00C60D14"/>
    <w:rsid w:val="00C64E46"/>
    <w:rsid w:val="00C650CF"/>
    <w:rsid w:val="00C65690"/>
    <w:rsid w:val="00C66F2D"/>
    <w:rsid w:val="00C67C95"/>
    <w:rsid w:val="00C67CE6"/>
    <w:rsid w:val="00C7208B"/>
    <w:rsid w:val="00C737F2"/>
    <w:rsid w:val="00C74467"/>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2248"/>
    <w:rsid w:val="00CC29B3"/>
    <w:rsid w:val="00CC2EA8"/>
    <w:rsid w:val="00CC2FEF"/>
    <w:rsid w:val="00CC5500"/>
    <w:rsid w:val="00CC5A63"/>
    <w:rsid w:val="00CC6E4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3A81"/>
    <w:rsid w:val="00CF4EFF"/>
    <w:rsid w:val="00CF55B7"/>
    <w:rsid w:val="00CF5CCC"/>
    <w:rsid w:val="00CF6B54"/>
    <w:rsid w:val="00CF723E"/>
    <w:rsid w:val="00D02831"/>
    <w:rsid w:val="00D04C47"/>
    <w:rsid w:val="00D0542E"/>
    <w:rsid w:val="00D07E4B"/>
    <w:rsid w:val="00D11903"/>
    <w:rsid w:val="00D13CEA"/>
    <w:rsid w:val="00D13F20"/>
    <w:rsid w:val="00D144B1"/>
    <w:rsid w:val="00D15014"/>
    <w:rsid w:val="00D15AA1"/>
    <w:rsid w:val="00D164BC"/>
    <w:rsid w:val="00D203E4"/>
    <w:rsid w:val="00D23481"/>
    <w:rsid w:val="00D25C63"/>
    <w:rsid w:val="00D279F0"/>
    <w:rsid w:val="00D3496C"/>
    <w:rsid w:val="00D36A13"/>
    <w:rsid w:val="00D36A9F"/>
    <w:rsid w:val="00D36B69"/>
    <w:rsid w:val="00D371A4"/>
    <w:rsid w:val="00D42E23"/>
    <w:rsid w:val="00D4524F"/>
    <w:rsid w:val="00D466A8"/>
    <w:rsid w:val="00D46B8D"/>
    <w:rsid w:val="00D46E14"/>
    <w:rsid w:val="00D51004"/>
    <w:rsid w:val="00D52EC1"/>
    <w:rsid w:val="00D579E6"/>
    <w:rsid w:val="00D61FF9"/>
    <w:rsid w:val="00D62480"/>
    <w:rsid w:val="00D629E3"/>
    <w:rsid w:val="00D64273"/>
    <w:rsid w:val="00D64C4F"/>
    <w:rsid w:val="00D70766"/>
    <w:rsid w:val="00D7252C"/>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175C"/>
    <w:rsid w:val="00DC69D9"/>
    <w:rsid w:val="00DC7C06"/>
    <w:rsid w:val="00DC7E08"/>
    <w:rsid w:val="00DD0CD5"/>
    <w:rsid w:val="00DD1932"/>
    <w:rsid w:val="00DD2423"/>
    <w:rsid w:val="00DD4191"/>
    <w:rsid w:val="00DD732B"/>
    <w:rsid w:val="00DD7A9E"/>
    <w:rsid w:val="00DE00CB"/>
    <w:rsid w:val="00DE02CA"/>
    <w:rsid w:val="00DE224D"/>
    <w:rsid w:val="00DF43D9"/>
    <w:rsid w:val="00DF7F84"/>
    <w:rsid w:val="00E022A1"/>
    <w:rsid w:val="00E0245B"/>
    <w:rsid w:val="00E02A52"/>
    <w:rsid w:val="00E0447A"/>
    <w:rsid w:val="00E052B8"/>
    <w:rsid w:val="00E10780"/>
    <w:rsid w:val="00E134FA"/>
    <w:rsid w:val="00E1458A"/>
    <w:rsid w:val="00E1471E"/>
    <w:rsid w:val="00E22006"/>
    <w:rsid w:val="00E22EA8"/>
    <w:rsid w:val="00E23058"/>
    <w:rsid w:val="00E25D40"/>
    <w:rsid w:val="00E319EF"/>
    <w:rsid w:val="00E31CB8"/>
    <w:rsid w:val="00E332FF"/>
    <w:rsid w:val="00E354BF"/>
    <w:rsid w:val="00E40395"/>
    <w:rsid w:val="00E40CA6"/>
    <w:rsid w:val="00E41747"/>
    <w:rsid w:val="00E44D06"/>
    <w:rsid w:val="00E46240"/>
    <w:rsid w:val="00E54144"/>
    <w:rsid w:val="00E547F7"/>
    <w:rsid w:val="00E57404"/>
    <w:rsid w:val="00E57A6E"/>
    <w:rsid w:val="00E64BEF"/>
    <w:rsid w:val="00E65E81"/>
    <w:rsid w:val="00E66BEB"/>
    <w:rsid w:val="00E67A3A"/>
    <w:rsid w:val="00E71771"/>
    <w:rsid w:val="00E73985"/>
    <w:rsid w:val="00E7452D"/>
    <w:rsid w:val="00E81B7C"/>
    <w:rsid w:val="00E83872"/>
    <w:rsid w:val="00E85AC5"/>
    <w:rsid w:val="00E864E9"/>
    <w:rsid w:val="00E909E3"/>
    <w:rsid w:val="00E91D41"/>
    <w:rsid w:val="00E9742F"/>
    <w:rsid w:val="00E97EE9"/>
    <w:rsid w:val="00EA372C"/>
    <w:rsid w:val="00EB020F"/>
    <w:rsid w:val="00EB33A4"/>
    <w:rsid w:val="00EB6216"/>
    <w:rsid w:val="00EB6CF0"/>
    <w:rsid w:val="00EC1274"/>
    <w:rsid w:val="00EC285A"/>
    <w:rsid w:val="00EC3047"/>
    <w:rsid w:val="00EC6576"/>
    <w:rsid w:val="00ED3627"/>
    <w:rsid w:val="00ED37B8"/>
    <w:rsid w:val="00ED3C94"/>
    <w:rsid w:val="00ED5B5F"/>
    <w:rsid w:val="00ED67BB"/>
    <w:rsid w:val="00EE1B70"/>
    <w:rsid w:val="00EE2B1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27D9"/>
    <w:rsid w:val="00F26C65"/>
    <w:rsid w:val="00F30141"/>
    <w:rsid w:val="00F316B5"/>
    <w:rsid w:val="00F43789"/>
    <w:rsid w:val="00F46EC3"/>
    <w:rsid w:val="00F50072"/>
    <w:rsid w:val="00F507C6"/>
    <w:rsid w:val="00F51CCB"/>
    <w:rsid w:val="00F51D19"/>
    <w:rsid w:val="00F530A8"/>
    <w:rsid w:val="00F550A0"/>
    <w:rsid w:val="00F56168"/>
    <w:rsid w:val="00F62018"/>
    <w:rsid w:val="00F62E83"/>
    <w:rsid w:val="00F65096"/>
    <w:rsid w:val="00F65D8D"/>
    <w:rsid w:val="00F70A24"/>
    <w:rsid w:val="00F71565"/>
    <w:rsid w:val="00F7237E"/>
    <w:rsid w:val="00F73D29"/>
    <w:rsid w:val="00F80790"/>
    <w:rsid w:val="00F85EF8"/>
    <w:rsid w:val="00F8751F"/>
    <w:rsid w:val="00F8788F"/>
    <w:rsid w:val="00F87926"/>
    <w:rsid w:val="00F908B7"/>
    <w:rsid w:val="00F91851"/>
    <w:rsid w:val="00F92D45"/>
    <w:rsid w:val="00F933B4"/>
    <w:rsid w:val="00F936DE"/>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0D4"/>
    <w:rsid w:val="00FD5141"/>
    <w:rsid w:val="00FD5CCF"/>
    <w:rsid w:val="00FE62B8"/>
    <w:rsid w:val="00FE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188"/>
    <w:pPr>
      <w:spacing w:after="0" w:line="360"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rsid w:val="00061188"/>
    <w:pPr>
      <w:keepNext/>
      <w:keepLines/>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UnresolvedMention">
    <w:name w:val="Unresolved Mention"/>
    <w:basedOn w:val="Fuentedeprrafopredeter"/>
    <w:uiPriority w:val="99"/>
    <w:semiHidden/>
    <w:unhideWhenUsed/>
    <w:rsid w:val="00DB277C"/>
    <w:rPr>
      <w:color w:val="605E5C"/>
      <w:shd w:val="clear" w:color="auto" w:fill="E1DFDD"/>
    </w:rPr>
  </w:style>
  <w:style w:type="paragraph" w:styleId="NormalWeb">
    <w:name w:val="Normal (Web)"/>
    <w:basedOn w:val="Normal"/>
    <w:uiPriority w:val="99"/>
    <w:semiHidden/>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B81B55"/>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B81B55"/>
    <w:pPr>
      <w:spacing w:after="100"/>
    </w:pPr>
  </w:style>
  <w:style w:type="paragraph" w:styleId="TDC2">
    <w:name w:val="toc 2"/>
    <w:basedOn w:val="Normal"/>
    <w:next w:val="Normal"/>
    <w:autoRedefine/>
    <w:uiPriority w:val="39"/>
    <w:unhideWhenUsed/>
    <w:rsid w:val="00B81B55"/>
    <w:pPr>
      <w:spacing w:after="100"/>
      <w:ind w:left="220"/>
    </w:pPr>
  </w:style>
  <w:style w:type="character" w:customStyle="1" w:styleId="eop">
    <w:name w:val="eop"/>
    <w:basedOn w:val="Fuentedeprrafopredeter"/>
    <w:rsid w:val="0006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34472903">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08936848">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72456957">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15265295">
      <w:bodyDiv w:val="1"/>
      <w:marLeft w:val="0"/>
      <w:marRight w:val="0"/>
      <w:marTop w:val="0"/>
      <w:marBottom w:val="0"/>
      <w:divBdr>
        <w:top w:val="none" w:sz="0" w:space="0" w:color="auto"/>
        <w:left w:val="none" w:sz="0" w:space="0" w:color="auto"/>
        <w:bottom w:val="none" w:sz="0" w:space="0" w:color="auto"/>
        <w:right w:val="none" w:sz="0" w:space="0" w:color="auto"/>
      </w:divBdr>
    </w:div>
    <w:div w:id="58545703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591740328">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38283253">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558765">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14920693">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30132283">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29556800">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66282265">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9785428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3857295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44596636">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085057815">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16099268">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9F6CFF-32DA-470E-A71C-1E61EE0F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2875</Words>
  <Characters>15816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2025-02-21T16:25:00Z</cp:lastPrinted>
  <dcterms:created xsi:type="dcterms:W3CDTF">2025-02-21T16:25:00Z</dcterms:created>
  <dcterms:modified xsi:type="dcterms:W3CDTF">2025-02-21T16:26:00Z</dcterms:modified>
</cp:coreProperties>
</file>