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CA75"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B9447D">
        <w:rPr>
          <w:rFonts w:ascii="Palatino Linotype" w:eastAsia="Palatino Linotype" w:hAnsi="Palatino Linotype" w:cs="Palatino Linotype"/>
          <w:b/>
        </w:rPr>
        <w:t>veintiséis de marzo de dos mil veinticuatro</w:t>
      </w:r>
      <w:r w:rsidRPr="00B9447D">
        <w:rPr>
          <w:rFonts w:ascii="Palatino Linotype" w:eastAsia="Palatino Linotype" w:hAnsi="Palatino Linotype" w:cs="Palatino Linotype"/>
        </w:rPr>
        <w:t>.</w:t>
      </w:r>
    </w:p>
    <w:p w14:paraId="6596BD73" w14:textId="77777777" w:rsidR="00E10EB6" w:rsidRPr="00B9447D" w:rsidRDefault="00E10EB6">
      <w:pPr>
        <w:spacing w:after="0" w:line="360" w:lineRule="auto"/>
        <w:ind w:right="-112"/>
        <w:jc w:val="both"/>
        <w:rPr>
          <w:rFonts w:ascii="Palatino Linotype" w:eastAsia="Palatino Linotype" w:hAnsi="Palatino Linotype" w:cs="Palatino Linotype"/>
        </w:rPr>
      </w:pPr>
      <w:bookmarkStart w:id="0" w:name="_heading=h.30j0zll" w:colFirst="0" w:colLast="0"/>
      <w:bookmarkEnd w:id="0"/>
    </w:p>
    <w:p w14:paraId="62EEC189" w14:textId="77777777" w:rsidR="00E10EB6" w:rsidRPr="00B9447D" w:rsidRDefault="00C023E0">
      <w:pPr>
        <w:spacing w:after="0" w:line="360" w:lineRule="auto"/>
        <w:ind w:right="-112"/>
        <w:jc w:val="both"/>
        <w:rPr>
          <w:rFonts w:ascii="Palatino Linotype" w:eastAsia="Palatino Linotype" w:hAnsi="Palatino Linotype" w:cs="Palatino Linotype"/>
          <w:b/>
        </w:rPr>
      </w:pPr>
      <w:r w:rsidRPr="00B9447D">
        <w:rPr>
          <w:rFonts w:ascii="Palatino Linotype" w:eastAsia="Palatino Linotype" w:hAnsi="Palatino Linotype" w:cs="Palatino Linotype"/>
          <w:b/>
        </w:rPr>
        <w:t xml:space="preserve">VISTOS </w:t>
      </w:r>
      <w:r w:rsidRPr="00B9447D">
        <w:rPr>
          <w:rFonts w:ascii="Palatino Linotype" w:eastAsia="Palatino Linotype" w:hAnsi="Palatino Linotype" w:cs="Palatino Linotype"/>
        </w:rPr>
        <w:t xml:space="preserve">los expedientes relativos a los recursos de revisión </w:t>
      </w:r>
      <w:r w:rsidRPr="00B9447D">
        <w:rPr>
          <w:rFonts w:ascii="Palatino Linotype" w:eastAsia="Palatino Linotype" w:hAnsi="Palatino Linotype" w:cs="Palatino Linotype"/>
          <w:b/>
        </w:rPr>
        <w:t>01069/INFOEM/IP/RR/2025, 01070/INFOEM/IP/RR/2025, 01073/INFOEM/IP/RR/2025, 01075/INFOEM/IP/RR/2025, 01076/INFOEM/IP/RR/2025, 01077/INFOEM/IP/RR/2025, 01078/INFOEM/IP/RR/2025, 01079/INFOEM/IP/RR/2025, 01081/INFOEM/IP/RR/2025, 01082/INFOEM/IP/RR/2025, 01083/INFOEM/IP/RR/2025, 01084/INFOEM/IP/RR/2025, 01085/INFOEM/IP/RR/2025, 01086/INFOEM/IP/RR/2025, 01087/INFOEM/IP/RR/2025, 01088/INFOEM/IP/RR/2025, 01089/INFOEM/IP/RR/2025, 01090/INFOEM/IP/RR/2025, 01091/INFOEM/IP/RR/20250, 1092/INFOEM/IP/RR/2025        y  01093/INFOEM/IP/RR/2025 acumulados,</w:t>
      </w:r>
      <w:r w:rsidRPr="00B9447D">
        <w:rPr>
          <w:rFonts w:ascii="Palatino Linotype" w:eastAsia="Palatino Linotype" w:hAnsi="Palatino Linotype" w:cs="Palatino Linotype"/>
        </w:rPr>
        <w:t xml:space="preserve"> interpuestos por</w:t>
      </w:r>
      <w:r w:rsidRPr="00B9447D">
        <w:rPr>
          <w:rFonts w:ascii="Palatino Linotype" w:eastAsia="Palatino Linotype" w:hAnsi="Palatino Linotype" w:cs="Palatino Linotype"/>
          <w:b/>
        </w:rPr>
        <w:t xml:space="preserve"> un particular que no proporcionó nombre o seudónimo, </w:t>
      </w:r>
      <w:r w:rsidRPr="00B9447D">
        <w:rPr>
          <w:rFonts w:ascii="Palatino Linotype" w:eastAsia="Palatino Linotype" w:hAnsi="Palatino Linotype" w:cs="Palatino Linotype"/>
        </w:rPr>
        <w:t xml:space="preserve">en lo sucesivo la parte </w:t>
      </w:r>
      <w:r w:rsidRPr="00B9447D">
        <w:rPr>
          <w:rFonts w:ascii="Palatino Linotype" w:eastAsia="Palatino Linotype" w:hAnsi="Palatino Linotype" w:cs="Palatino Linotype"/>
          <w:b/>
        </w:rPr>
        <w:t>Recurrente</w:t>
      </w:r>
      <w:r w:rsidRPr="00B9447D">
        <w:rPr>
          <w:rFonts w:ascii="Palatino Linotype" w:eastAsia="Palatino Linotype" w:hAnsi="Palatino Linotype" w:cs="Palatino Linotype"/>
        </w:rPr>
        <w:t>, en contra de las respuesta a sus solicitudes de información con números de folio</w:t>
      </w:r>
      <w:r w:rsidRPr="00B9447D">
        <w:rPr>
          <w:rFonts w:ascii="Palatino Linotype" w:eastAsia="Palatino Linotype" w:hAnsi="Palatino Linotype" w:cs="Palatino Linotype"/>
          <w:b/>
        </w:rPr>
        <w:t xml:space="preserve">  00001/IXTASAL/IP/2025, 00003/IXTASAL/IP/2025, 00344/IXTASAL/IP/2025, 00345/IXTASAL/IP/2025, 00346/IXTASAL/IP/2025, 00348/IXTASAL/IP/2025, 00349/IXTASAL/IP/2025, 00357/IXTASAL/IP/2025, 00427/IXTASAL/IP/2025, 00433/IXTASAL/IP/2025, 00432/IXTASAL/IP/2025, 00431/IXTASAL/IP/2025, 00430/IXTASAL/IP/2025, 00444/IXTASAL/IP/2025, 00452/IXTASAL/IP/2025, 00453/IXTASAL/IP/2025, 00454/IXTASAL/IP/2025, 00463/IXTASAL/IP/2025, 00461/IXTASAL/IP/2025, 00459/IXTASAL/IP/2025 y 00457/IXTASAL/IP/2025 </w:t>
      </w:r>
      <w:r w:rsidRPr="00B9447D">
        <w:rPr>
          <w:rFonts w:ascii="Palatino Linotype" w:eastAsia="Palatino Linotype" w:hAnsi="Palatino Linotype" w:cs="Palatino Linotype"/>
        </w:rPr>
        <w:t>respectivamente, por parte del</w:t>
      </w:r>
      <w:r w:rsidRPr="00B9447D">
        <w:t xml:space="preserve"> </w:t>
      </w:r>
      <w:r w:rsidRPr="00B9447D">
        <w:rPr>
          <w:rFonts w:ascii="Palatino Linotype" w:eastAsia="Palatino Linotype" w:hAnsi="Palatino Linotype" w:cs="Palatino Linotype"/>
          <w:b/>
        </w:rPr>
        <w:t xml:space="preserve">Ayuntamiento de Ixtapan de la Sal, </w:t>
      </w:r>
      <w:r w:rsidRPr="00B9447D">
        <w:rPr>
          <w:rFonts w:ascii="Palatino Linotype" w:eastAsia="Palatino Linotype" w:hAnsi="Palatino Linotype" w:cs="Palatino Linotype"/>
        </w:rPr>
        <w:t xml:space="preserve">en lo sucesivo el </w:t>
      </w:r>
      <w:r w:rsidRPr="00B9447D">
        <w:rPr>
          <w:rFonts w:ascii="Palatino Linotype" w:eastAsia="Palatino Linotype" w:hAnsi="Palatino Linotype" w:cs="Palatino Linotype"/>
          <w:b/>
        </w:rPr>
        <w:t xml:space="preserve">Sujeto Obligado; </w:t>
      </w:r>
      <w:r w:rsidRPr="00B9447D">
        <w:rPr>
          <w:rFonts w:ascii="Palatino Linotype" w:eastAsia="Palatino Linotype" w:hAnsi="Palatino Linotype" w:cs="Palatino Linotype"/>
        </w:rPr>
        <w:t xml:space="preserve">se procede a dictar la presente resolución, con base en lo siguiente. </w:t>
      </w:r>
    </w:p>
    <w:p w14:paraId="7C83A006" w14:textId="77777777" w:rsidR="00E10EB6" w:rsidRPr="00B9447D" w:rsidRDefault="00E10EB6">
      <w:pPr>
        <w:spacing w:after="0" w:line="360" w:lineRule="auto"/>
        <w:ind w:right="-112"/>
        <w:jc w:val="both"/>
        <w:rPr>
          <w:rFonts w:ascii="Palatino Linotype" w:eastAsia="Palatino Linotype" w:hAnsi="Palatino Linotype" w:cs="Palatino Linotype"/>
        </w:rPr>
      </w:pPr>
    </w:p>
    <w:p w14:paraId="609EFEAA" w14:textId="77777777" w:rsidR="00E10EB6" w:rsidRPr="00B9447D" w:rsidRDefault="00E10EB6">
      <w:pPr>
        <w:spacing w:after="0" w:line="360" w:lineRule="auto"/>
        <w:ind w:right="-112"/>
        <w:jc w:val="both"/>
        <w:rPr>
          <w:rFonts w:ascii="Palatino Linotype" w:eastAsia="Palatino Linotype" w:hAnsi="Palatino Linotype" w:cs="Palatino Linotype"/>
        </w:rPr>
      </w:pPr>
    </w:p>
    <w:p w14:paraId="4E9C9C98" w14:textId="77777777" w:rsidR="00E10EB6" w:rsidRPr="00B9447D" w:rsidRDefault="00C023E0">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B9447D">
        <w:rPr>
          <w:rFonts w:ascii="Palatino Linotype" w:eastAsia="Palatino Linotype" w:hAnsi="Palatino Linotype" w:cs="Palatino Linotype"/>
          <w:b/>
        </w:rPr>
        <w:lastRenderedPageBreak/>
        <w:t>I. A N T E C E D E N T E S:</w:t>
      </w:r>
    </w:p>
    <w:p w14:paraId="69304F14" w14:textId="77777777" w:rsidR="00E10EB6" w:rsidRPr="00B9447D" w:rsidRDefault="00E10EB6">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7D56A6A0" w14:textId="77777777" w:rsidR="00E10EB6" w:rsidRPr="00B9447D" w:rsidRDefault="00C023E0">
      <w:pPr>
        <w:numPr>
          <w:ilvl w:val="0"/>
          <w:numId w:val="2"/>
        </w:numPr>
        <w:pBdr>
          <w:top w:val="nil"/>
          <w:left w:val="nil"/>
          <w:bottom w:val="nil"/>
          <w:right w:val="nil"/>
          <w:between w:val="nil"/>
        </w:pBdr>
        <w:tabs>
          <w:tab w:val="left" w:pos="567"/>
        </w:tabs>
        <w:spacing w:after="0" w:line="360" w:lineRule="auto"/>
        <w:ind w:left="0" w:firstLine="0"/>
        <w:jc w:val="both"/>
        <w:rPr>
          <w:rFonts w:ascii="Palatino Linotype" w:eastAsia="Palatino Linotype" w:hAnsi="Palatino Linotype" w:cs="Palatino Linotype"/>
        </w:rPr>
      </w:pPr>
      <w:bookmarkStart w:id="1" w:name="_heading=h.2et92p0" w:colFirst="0" w:colLast="0"/>
      <w:bookmarkEnd w:id="1"/>
      <w:r w:rsidRPr="00B9447D">
        <w:rPr>
          <w:rFonts w:ascii="Palatino Linotype" w:eastAsia="Palatino Linotype" w:hAnsi="Palatino Linotype" w:cs="Palatino Linotype"/>
          <w:b/>
        </w:rPr>
        <w:t>Solicitudes de acceso a la información.</w:t>
      </w:r>
      <w:r w:rsidRPr="00B9447D">
        <w:rPr>
          <w:rFonts w:ascii="Palatino Linotype" w:eastAsia="Palatino Linotype" w:hAnsi="Palatino Linotype" w:cs="Palatino Linotype"/>
        </w:rPr>
        <w:t xml:space="preserve"> Con fechas </w:t>
      </w:r>
      <w:r w:rsidRPr="00B9447D">
        <w:rPr>
          <w:rFonts w:ascii="Palatino Linotype" w:eastAsia="Palatino Linotype" w:hAnsi="Palatino Linotype" w:cs="Palatino Linotype"/>
          <w:b/>
        </w:rPr>
        <w:t xml:space="preserve">diecisiete de enero de dos mil veinticinco, </w:t>
      </w:r>
      <w:r w:rsidRPr="00B9447D">
        <w:rPr>
          <w:rFonts w:ascii="Palatino Linotype" w:eastAsia="Palatino Linotype" w:hAnsi="Palatino Linotype" w:cs="Palatino Linotype"/>
        </w:rPr>
        <w:t>la persona solicitante</w:t>
      </w:r>
      <w:r w:rsidRPr="00B9447D">
        <w:rPr>
          <w:rFonts w:ascii="Palatino Linotype" w:eastAsia="Palatino Linotype" w:hAnsi="Palatino Linotype" w:cs="Palatino Linotype"/>
          <w:b/>
        </w:rPr>
        <w:t xml:space="preserve"> </w:t>
      </w:r>
      <w:r w:rsidRPr="00B9447D">
        <w:rPr>
          <w:rFonts w:ascii="Palatino Linotype" w:eastAsia="Palatino Linotype" w:hAnsi="Palatino Linotype" w:cs="Palatino Linotype"/>
        </w:rPr>
        <w:t xml:space="preserve">presentó, a través del Sistema de Acceso a la Información Mexiquense, en lo subsecuente </w:t>
      </w:r>
      <w:r w:rsidRPr="00B9447D">
        <w:rPr>
          <w:rFonts w:ascii="Palatino Linotype" w:eastAsia="Palatino Linotype" w:hAnsi="Palatino Linotype" w:cs="Palatino Linotype"/>
          <w:b/>
        </w:rPr>
        <w:t xml:space="preserve">SAIMEX, </w:t>
      </w:r>
      <w:r w:rsidRPr="00B9447D">
        <w:rPr>
          <w:rFonts w:ascii="Palatino Linotype" w:eastAsia="Palatino Linotype" w:hAnsi="Palatino Linotype" w:cs="Palatino Linotype"/>
        </w:rPr>
        <w:t xml:space="preserve">ante el </w:t>
      </w:r>
      <w:r w:rsidRPr="00B9447D">
        <w:rPr>
          <w:rFonts w:ascii="Palatino Linotype" w:eastAsia="Palatino Linotype" w:hAnsi="Palatino Linotype" w:cs="Palatino Linotype"/>
          <w:b/>
        </w:rPr>
        <w:t>Sujeto Obligado</w:t>
      </w:r>
      <w:r w:rsidRPr="00B9447D">
        <w:rPr>
          <w:rFonts w:ascii="Palatino Linotype" w:eastAsia="Palatino Linotype" w:hAnsi="Palatino Linotype" w:cs="Palatino Linotype"/>
        </w:rPr>
        <w:t>, las solicitudes de acceso a la información pública, mediante las cuales requirió la información siguiente:</w:t>
      </w:r>
    </w:p>
    <w:p w14:paraId="00434BB4" w14:textId="77777777" w:rsidR="00E10EB6" w:rsidRPr="00B9447D" w:rsidRDefault="00E10EB6">
      <w:pPr>
        <w:pBdr>
          <w:top w:val="nil"/>
          <w:left w:val="nil"/>
          <w:bottom w:val="nil"/>
          <w:right w:val="nil"/>
          <w:between w:val="nil"/>
        </w:pBdr>
        <w:tabs>
          <w:tab w:val="left" w:pos="567"/>
        </w:tabs>
        <w:spacing w:after="0" w:line="360" w:lineRule="auto"/>
        <w:jc w:val="center"/>
        <w:rPr>
          <w:rFonts w:ascii="Palatino Linotype" w:eastAsia="Palatino Linotype" w:hAnsi="Palatino Linotype" w:cs="Palatino Linotype"/>
        </w:rPr>
      </w:pPr>
    </w:p>
    <w:tbl>
      <w:tblPr>
        <w:tblStyle w:val="afa"/>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1"/>
      </w:tblGrid>
      <w:tr w:rsidR="006C5F3A" w:rsidRPr="00B9447D" w14:paraId="09A56CC1" w14:textId="77777777">
        <w:tc>
          <w:tcPr>
            <w:tcW w:w="3114" w:type="dxa"/>
            <w:shd w:val="clear" w:color="auto" w:fill="D0CECE"/>
          </w:tcPr>
          <w:p w14:paraId="30BBEA5E" w14:textId="77777777" w:rsidR="00E10EB6" w:rsidRPr="00B9447D" w:rsidRDefault="00C023E0">
            <w:pPr>
              <w:tabs>
                <w:tab w:val="right" w:pos="2898"/>
              </w:tabs>
              <w:jc w:val="center"/>
              <w:rPr>
                <w:rFonts w:ascii="Palatino Linotype" w:eastAsia="Palatino Linotype" w:hAnsi="Palatino Linotype" w:cs="Palatino Linotype"/>
                <w:b/>
                <w:sz w:val="20"/>
                <w:szCs w:val="20"/>
              </w:rPr>
            </w:pPr>
            <w:r w:rsidRPr="00B9447D">
              <w:rPr>
                <w:rFonts w:ascii="Palatino Linotype" w:eastAsia="Palatino Linotype" w:hAnsi="Palatino Linotype" w:cs="Palatino Linotype"/>
                <w:b/>
                <w:sz w:val="20"/>
                <w:szCs w:val="20"/>
              </w:rPr>
              <w:t>Recurso de Revisión</w:t>
            </w:r>
          </w:p>
        </w:tc>
        <w:tc>
          <w:tcPr>
            <w:tcW w:w="5941" w:type="dxa"/>
            <w:shd w:val="clear" w:color="auto" w:fill="D0CECE"/>
          </w:tcPr>
          <w:p w14:paraId="341AF7E9" w14:textId="77777777" w:rsidR="00E10EB6" w:rsidRPr="00B9447D" w:rsidRDefault="00C023E0">
            <w:pPr>
              <w:jc w:val="center"/>
              <w:rPr>
                <w:rFonts w:ascii="Palatino Linotype" w:eastAsia="Palatino Linotype" w:hAnsi="Palatino Linotype" w:cs="Palatino Linotype"/>
                <w:b/>
                <w:sz w:val="20"/>
                <w:szCs w:val="20"/>
              </w:rPr>
            </w:pPr>
            <w:r w:rsidRPr="00B9447D">
              <w:rPr>
                <w:rFonts w:ascii="Palatino Linotype" w:eastAsia="Palatino Linotype" w:hAnsi="Palatino Linotype" w:cs="Palatino Linotype"/>
                <w:b/>
                <w:sz w:val="20"/>
                <w:szCs w:val="20"/>
              </w:rPr>
              <w:t>Solicitud de información</w:t>
            </w:r>
          </w:p>
        </w:tc>
      </w:tr>
      <w:tr w:rsidR="006C5F3A" w:rsidRPr="00B9447D" w14:paraId="7CAF4654" w14:textId="77777777">
        <w:tc>
          <w:tcPr>
            <w:tcW w:w="3114" w:type="dxa"/>
          </w:tcPr>
          <w:p w14:paraId="2A49EA0D" w14:textId="77777777" w:rsidR="00E10EB6" w:rsidRPr="00B9447D" w:rsidRDefault="00C023E0">
            <w:pPr>
              <w:tabs>
                <w:tab w:val="right" w:pos="2898"/>
              </w:tabs>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01069/INFOEM/IP/RR/2025</w:t>
            </w:r>
            <w:r w:rsidRPr="00B9447D">
              <w:rPr>
                <w:rFonts w:ascii="Palatino Linotype" w:eastAsia="Palatino Linotype" w:hAnsi="Palatino Linotype" w:cs="Palatino Linotype"/>
                <w:sz w:val="20"/>
                <w:szCs w:val="20"/>
              </w:rPr>
              <w:tab/>
            </w:r>
          </w:p>
        </w:tc>
        <w:tc>
          <w:tcPr>
            <w:tcW w:w="5941" w:type="dxa"/>
          </w:tcPr>
          <w:p w14:paraId="70A4C891"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Requiero lo oficios enviados y recibidos por secretaria del ayuntamiento durante el primer semestre 2022 mismos que se enviaron a presidencia</w:t>
            </w:r>
          </w:p>
        </w:tc>
      </w:tr>
      <w:tr w:rsidR="006C5F3A" w:rsidRPr="00B9447D" w14:paraId="4A494878" w14:textId="77777777">
        <w:tc>
          <w:tcPr>
            <w:tcW w:w="3114" w:type="dxa"/>
          </w:tcPr>
          <w:p w14:paraId="6B29F4D5"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01070/INFOEM/IP/RR/2025</w:t>
            </w:r>
          </w:p>
        </w:tc>
        <w:tc>
          <w:tcPr>
            <w:tcW w:w="5941" w:type="dxa"/>
          </w:tcPr>
          <w:p w14:paraId="43A2740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Requiero lo oficios enviados y recibidos por secretaria del ayuntamiento durante el primer semestre 2024 mismos que se enviaron a presidencia</w:t>
            </w:r>
          </w:p>
        </w:tc>
      </w:tr>
      <w:tr w:rsidR="006C5F3A" w:rsidRPr="00B9447D" w14:paraId="710732D4" w14:textId="77777777">
        <w:tc>
          <w:tcPr>
            <w:tcW w:w="3114" w:type="dxa"/>
          </w:tcPr>
          <w:p w14:paraId="786DF1F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01073/INFOEM/IP/RR/2025</w:t>
            </w:r>
          </w:p>
        </w:tc>
        <w:tc>
          <w:tcPr>
            <w:tcW w:w="5941" w:type="dxa"/>
          </w:tcPr>
          <w:p w14:paraId="2CE890C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enero y febrero 2022</w:t>
            </w:r>
          </w:p>
        </w:tc>
      </w:tr>
      <w:tr w:rsidR="006C5F3A" w:rsidRPr="00B9447D" w14:paraId="4FED6C48" w14:textId="77777777">
        <w:tc>
          <w:tcPr>
            <w:tcW w:w="3114" w:type="dxa"/>
          </w:tcPr>
          <w:p w14:paraId="3C35D79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01075/INFOEM/IP/RR/2025</w:t>
            </w:r>
          </w:p>
        </w:tc>
        <w:tc>
          <w:tcPr>
            <w:tcW w:w="5941" w:type="dxa"/>
          </w:tcPr>
          <w:p w14:paraId="789D91C0"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enero y febrero 2023</w:t>
            </w:r>
          </w:p>
        </w:tc>
      </w:tr>
      <w:tr w:rsidR="006C5F3A" w:rsidRPr="00B9447D" w14:paraId="4DC00C1A" w14:textId="77777777">
        <w:tc>
          <w:tcPr>
            <w:tcW w:w="3114" w:type="dxa"/>
          </w:tcPr>
          <w:p w14:paraId="625FF7F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01076/INFOEM/IP/RR/2025</w:t>
            </w:r>
          </w:p>
        </w:tc>
        <w:tc>
          <w:tcPr>
            <w:tcW w:w="5941" w:type="dxa"/>
          </w:tcPr>
          <w:p w14:paraId="16B8E1E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enero y febrero 2024</w:t>
            </w:r>
          </w:p>
        </w:tc>
      </w:tr>
      <w:tr w:rsidR="006C5F3A" w:rsidRPr="00B9447D" w14:paraId="56C33A24" w14:textId="77777777">
        <w:tc>
          <w:tcPr>
            <w:tcW w:w="3114" w:type="dxa"/>
          </w:tcPr>
          <w:p w14:paraId="5B9D147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01077/INFOEM/IP/RR/2025</w:t>
            </w:r>
          </w:p>
        </w:tc>
        <w:tc>
          <w:tcPr>
            <w:tcW w:w="5941" w:type="dxa"/>
          </w:tcPr>
          <w:p w14:paraId="3426FCF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marzo y abril 2023</w:t>
            </w:r>
          </w:p>
        </w:tc>
      </w:tr>
      <w:tr w:rsidR="006C5F3A" w:rsidRPr="00B9447D" w14:paraId="661C0B19" w14:textId="77777777">
        <w:tc>
          <w:tcPr>
            <w:tcW w:w="3114" w:type="dxa"/>
          </w:tcPr>
          <w:p w14:paraId="1A9A4994"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01078/INFOEM/IP/RR/2025</w:t>
            </w:r>
          </w:p>
        </w:tc>
        <w:tc>
          <w:tcPr>
            <w:tcW w:w="5941" w:type="dxa"/>
          </w:tcPr>
          <w:p w14:paraId="2C0565B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marzo y abril 2024</w:t>
            </w:r>
          </w:p>
        </w:tc>
      </w:tr>
      <w:tr w:rsidR="006C5F3A" w:rsidRPr="00B9447D" w14:paraId="4539D5BB" w14:textId="77777777">
        <w:tc>
          <w:tcPr>
            <w:tcW w:w="3114" w:type="dxa"/>
          </w:tcPr>
          <w:p w14:paraId="5CE2B451"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01079/INFOEM/IP/RR/2025</w:t>
            </w:r>
          </w:p>
        </w:tc>
        <w:tc>
          <w:tcPr>
            <w:tcW w:w="5941" w:type="dxa"/>
          </w:tcPr>
          <w:p w14:paraId="002C7965"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julio a agosto 2024</w:t>
            </w:r>
          </w:p>
        </w:tc>
      </w:tr>
      <w:tr w:rsidR="006C5F3A" w:rsidRPr="00B9447D" w14:paraId="22A8DF34" w14:textId="77777777">
        <w:tc>
          <w:tcPr>
            <w:tcW w:w="3114" w:type="dxa"/>
          </w:tcPr>
          <w:p w14:paraId="56C9500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01081/INFOEM/IP/RR/2025</w:t>
            </w:r>
          </w:p>
        </w:tc>
        <w:tc>
          <w:tcPr>
            <w:tcW w:w="5941" w:type="dxa"/>
          </w:tcPr>
          <w:p w14:paraId="0411319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enero y febrero 2022</w:t>
            </w:r>
          </w:p>
        </w:tc>
      </w:tr>
      <w:tr w:rsidR="006C5F3A" w:rsidRPr="00B9447D" w14:paraId="77F12C11" w14:textId="77777777">
        <w:tc>
          <w:tcPr>
            <w:tcW w:w="3114" w:type="dxa"/>
          </w:tcPr>
          <w:p w14:paraId="438783D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01082/INFOEM/IP/RR/2025</w:t>
            </w:r>
          </w:p>
        </w:tc>
        <w:tc>
          <w:tcPr>
            <w:tcW w:w="5941" w:type="dxa"/>
          </w:tcPr>
          <w:p w14:paraId="40D9A08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mayo a julio 2022</w:t>
            </w:r>
          </w:p>
        </w:tc>
      </w:tr>
      <w:tr w:rsidR="006C5F3A" w:rsidRPr="00B9447D" w14:paraId="05E540E4" w14:textId="77777777">
        <w:tc>
          <w:tcPr>
            <w:tcW w:w="3114" w:type="dxa"/>
          </w:tcPr>
          <w:p w14:paraId="7A348920"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01083/INFOEM/IP/RR/2025</w:t>
            </w:r>
          </w:p>
        </w:tc>
        <w:tc>
          <w:tcPr>
            <w:tcW w:w="5941" w:type="dxa"/>
          </w:tcPr>
          <w:p w14:paraId="4C7D81B1"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marzo y abril 2024</w:t>
            </w:r>
          </w:p>
        </w:tc>
      </w:tr>
      <w:tr w:rsidR="006C5F3A" w:rsidRPr="00B9447D" w14:paraId="44FF3771" w14:textId="77777777">
        <w:tc>
          <w:tcPr>
            <w:tcW w:w="3114" w:type="dxa"/>
          </w:tcPr>
          <w:p w14:paraId="46F7194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01084/INFOEM/IP/RR/2025</w:t>
            </w:r>
          </w:p>
        </w:tc>
        <w:tc>
          <w:tcPr>
            <w:tcW w:w="5941" w:type="dxa"/>
          </w:tcPr>
          <w:p w14:paraId="1091D0A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marzo y abril 2023</w:t>
            </w:r>
          </w:p>
        </w:tc>
      </w:tr>
      <w:tr w:rsidR="006C5F3A" w:rsidRPr="00B9447D" w14:paraId="7EA4C87B" w14:textId="77777777">
        <w:tc>
          <w:tcPr>
            <w:tcW w:w="3114" w:type="dxa"/>
          </w:tcPr>
          <w:p w14:paraId="0DFEC58B"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01085/INFOEM/IP/RR/2025</w:t>
            </w:r>
          </w:p>
        </w:tc>
        <w:tc>
          <w:tcPr>
            <w:tcW w:w="5941" w:type="dxa"/>
          </w:tcPr>
          <w:p w14:paraId="01ED10A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marzo y abril 2022</w:t>
            </w:r>
          </w:p>
        </w:tc>
      </w:tr>
      <w:tr w:rsidR="006C5F3A" w:rsidRPr="00B9447D" w14:paraId="2F49D732" w14:textId="77777777">
        <w:tc>
          <w:tcPr>
            <w:tcW w:w="3114" w:type="dxa"/>
          </w:tcPr>
          <w:p w14:paraId="12AC1385"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01086/INFOEM/IP/RR/2025</w:t>
            </w:r>
          </w:p>
        </w:tc>
        <w:tc>
          <w:tcPr>
            <w:tcW w:w="5941" w:type="dxa"/>
          </w:tcPr>
          <w:p w14:paraId="6E75910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noviembre a diciembre 2024</w:t>
            </w:r>
          </w:p>
        </w:tc>
      </w:tr>
      <w:tr w:rsidR="006C5F3A" w:rsidRPr="00B9447D" w14:paraId="784F3404" w14:textId="77777777">
        <w:tc>
          <w:tcPr>
            <w:tcW w:w="3114" w:type="dxa"/>
          </w:tcPr>
          <w:p w14:paraId="3ED1533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01087/INFOEM/IP/RR/2025</w:t>
            </w:r>
          </w:p>
        </w:tc>
        <w:tc>
          <w:tcPr>
            <w:tcW w:w="5941" w:type="dxa"/>
          </w:tcPr>
          <w:p w14:paraId="7F72F5D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enero a febrero 2024</w:t>
            </w:r>
          </w:p>
        </w:tc>
      </w:tr>
      <w:tr w:rsidR="006C5F3A" w:rsidRPr="00B9447D" w14:paraId="4650A25C" w14:textId="77777777">
        <w:tc>
          <w:tcPr>
            <w:tcW w:w="3114" w:type="dxa"/>
          </w:tcPr>
          <w:p w14:paraId="118B6CBA"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01088/INFOEM/IP/RR/2025</w:t>
            </w:r>
          </w:p>
        </w:tc>
        <w:tc>
          <w:tcPr>
            <w:tcW w:w="5941" w:type="dxa"/>
          </w:tcPr>
          <w:p w14:paraId="2CD6C50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marzo y abril 2022</w:t>
            </w:r>
          </w:p>
        </w:tc>
      </w:tr>
      <w:tr w:rsidR="006C5F3A" w:rsidRPr="00B9447D" w14:paraId="3850700D" w14:textId="77777777">
        <w:tc>
          <w:tcPr>
            <w:tcW w:w="3114" w:type="dxa"/>
          </w:tcPr>
          <w:p w14:paraId="1E718BF3"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01089/INFOEM/IP/RR/2025</w:t>
            </w:r>
          </w:p>
        </w:tc>
        <w:tc>
          <w:tcPr>
            <w:tcW w:w="5941" w:type="dxa"/>
          </w:tcPr>
          <w:p w14:paraId="0512ABAB"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marzo y abril 2023</w:t>
            </w:r>
          </w:p>
        </w:tc>
      </w:tr>
      <w:tr w:rsidR="006C5F3A" w:rsidRPr="00B9447D" w14:paraId="793F59B1" w14:textId="77777777">
        <w:tc>
          <w:tcPr>
            <w:tcW w:w="3114" w:type="dxa"/>
          </w:tcPr>
          <w:p w14:paraId="00E76DA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01090/INFOEM/IP/RR/2025</w:t>
            </w:r>
          </w:p>
        </w:tc>
        <w:tc>
          <w:tcPr>
            <w:tcW w:w="5941" w:type="dxa"/>
          </w:tcPr>
          <w:p w14:paraId="49666BB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septiembre a octubre 2023</w:t>
            </w:r>
          </w:p>
        </w:tc>
      </w:tr>
      <w:tr w:rsidR="006C5F3A" w:rsidRPr="00B9447D" w14:paraId="0DA10CF4" w14:textId="77777777">
        <w:tc>
          <w:tcPr>
            <w:tcW w:w="3114" w:type="dxa"/>
          </w:tcPr>
          <w:p w14:paraId="0E60DD8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01091/INFOEM/IP/RR/2025</w:t>
            </w:r>
          </w:p>
        </w:tc>
        <w:tc>
          <w:tcPr>
            <w:tcW w:w="5941" w:type="dxa"/>
          </w:tcPr>
          <w:p w14:paraId="351F5232" w14:textId="77777777" w:rsidR="00E10EB6" w:rsidRPr="00B9447D" w:rsidRDefault="00C023E0">
            <w:pPr>
              <w:tabs>
                <w:tab w:val="left" w:pos="910"/>
              </w:tabs>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julio a agosto 2024</w:t>
            </w:r>
          </w:p>
        </w:tc>
      </w:tr>
      <w:tr w:rsidR="006C5F3A" w:rsidRPr="00B9447D" w14:paraId="70F2A4A4" w14:textId="77777777">
        <w:tc>
          <w:tcPr>
            <w:tcW w:w="3114" w:type="dxa"/>
          </w:tcPr>
          <w:p w14:paraId="767A965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01092/INFOEM/IP/RR/2025</w:t>
            </w:r>
          </w:p>
        </w:tc>
        <w:tc>
          <w:tcPr>
            <w:tcW w:w="5941" w:type="dxa"/>
          </w:tcPr>
          <w:p w14:paraId="57E7C16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julio a agosto 2022</w:t>
            </w:r>
          </w:p>
        </w:tc>
      </w:tr>
      <w:tr w:rsidR="00E10EB6" w:rsidRPr="00B9447D" w14:paraId="48F3FEAF" w14:textId="77777777">
        <w:tc>
          <w:tcPr>
            <w:tcW w:w="3114" w:type="dxa"/>
          </w:tcPr>
          <w:p w14:paraId="27A311D4"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01093/INFOEM/IP/RR/2025</w:t>
            </w:r>
          </w:p>
        </w:tc>
        <w:tc>
          <w:tcPr>
            <w:tcW w:w="5941" w:type="dxa"/>
          </w:tcPr>
          <w:p w14:paraId="35EFBB5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mayo a junio 2023</w:t>
            </w:r>
          </w:p>
        </w:tc>
      </w:tr>
    </w:tbl>
    <w:p w14:paraId="537E4AE0" w14:textId="77777777" w:rsidR="00E10EB6" w:rsidRPr="00B9447D" w:rsidRDefault="00E10EB6">
      <w:pPr>
        <w:spacing w:after="0" w:line="360" w:lineRule="auto"/>
        <w:jc w:val="both"/>
        <w:rPr>
          <w:rFonts w:ascii="Palatino Linotype" w:eastAsia="Palatino Linotype" w:hAnsi="Palatino Linotype" w:cs="Palatino Linotype"/>
        </w:rPr>
      </w:pPr>
    </w:p>
    <w:p w14:paraId="2F0B6245" w14:textId="77777777" w:rsidR="00E10EB6" w:rsidRPr="00B9447D" w:rsidRDefault="00C023E0">
      <w:pPr>
        <w:spacing w:after="0" w:line="240" w:lineRule="auto"/>
        <w:ind w:right="560"/>
        <w:jc w:val="both"/>
        <w:rPr>
          <w:rFonts w:ascii="Palatino Linotype" w:eastAsia="Palatino Linotype" w:hAnsi="Palatino Linotype" w:cs="Palatino Linotype"/>
        </w:rPr>
      </w:pPr>
      <w:r w:rsidRPr="00B9447D">
        <w:rPr>
          <w:rFonts w:ascii="Palatino Linotype" w:eastAsia="Palatino Linotype" w:hAnsi="Palatino Linotype" w:cs="Palatino Linotype"/>
          <w:b/>
        </w:rPr>
        <w:t xml:space="preserve">Modalidad elegida para la entrega de la información: </w:t>
      </w:r>
      <w:r w:rsidRPr="00B9447D">
        <w:rPr>
          <w:rFonts w:ascii="Palatino Linotype" w:eastAsia="Palatino Linotype" w:hAnsi="Palatino Linotype" w:cs="Palatino Linotype"/>
        </w:rPr>
        <w:t>a través del SAIMEX.</w:t>
      </w:r>
    </w:p>
    <w:p w14:paraId="62C5C44F" w14:textId="77777777" w:rsidR="00E10EB6" w:rsidRPr="00B9447D" w:rsidRDefault="00E10EB6">
      <w:pPr>
        <w:spacing w:after="0" w:line="360" w:lineRule="auto"/>
        <w:jc w:val="both"/>
        <w:rPr>
          <w:rFonts w:ascii="Palatino Linotype" w:eastAsia="Palatino Linotype" w:hAnsi="Palatino Linotype" w:cs="Palatino Linotype"/>
          <w:b/>
        </w:rPr>
      </w:pPr>
    </w:p>
    <w:p w14:paraId="58090355" w14:textId="77777777" w:rsidR="00E10EB6" w:rsidRPr="00B9447D" w:rsidRDefault="00C023E0">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B9447D">
        <w:rPr>
          <w:rFonts w:ascii="Palatino Linotype" w:eastAsia="Palatino Linotype" w:hAnsi="Palatino Linotype" w:cs="Palatino Linotype"/>
          <w:b/>
        </w:rPr>
        <w:t xml:space="preserve">Respuestas. </w:t>
      </w:r>
      <w:r w:rsidRPr="00B9447D">
        <w:rPr>
          <w:rFonts w:ascii="Palatino Linotype" w:eastAsia="Palatino Linotype" w:hAnsi="Palatino Linotype" w:cs="Palatino Linotype"/>
        </w:rPr>
        <w:t xml:space="preserve">Con fecha </w:t>
      </w:r>
      <w:r w:rsidRPr="00B9447D">
        <w:rPr>
          <w:rFonts w:ascii="Palatino Linotype" w:eastAsia="Palatino Linotype" w:hAnsi="Palatino Linotype" w:cs="Palatino Linotype"/>
          <w:b/>
        </w:rPr>
        <w:t>veintitrés, veintiocho de enero, cuatro de febrero de dos mil veinticinco</w:t>
      </w:r>
      <w:r w:rsidRPr="00B9447D">
        <w:rPr>
          <w:rFonts w:ascii="Palatino Linotype" w:eastAsia="Palatino Linotype" w:hAnsi="Palatino Linotype" w:cs="Palatino Linotype"/>
        </w:rPr>
        <w:t xml:space="preserve">, el </w:t>
      </w:r>
      <w:r w:rsidRPr="00B9447D">
        <w:rPr>
          <w:rFonts w:ascii="Palatino Linotype" w:eastAsia="Palatino Linotype" w:hAnsi="Palatino Linotype" w:cs="Palatino Linotype"/>
          <w:b/>
        </w:rPr>
        <w:t xml:space="preserve">Sujeto Obligado </w:t>
      </w:r>
      <w:r w:rsidRPr="00B9447D">
        <w:rPr>
          <w:rFonts w:ascii="Palatino Linotype" w:eastAsia="Palatino Linotype" w:hAnsi="Palatino Linotype" w:cs="Palatino Linotype"/>
        </w:rPr>
        <w:t>envió sus respuestas a las solicitudes de acceso a la información a través de SAIMEX, sustancialmente en los términos siguientes:</w:t>
      </w:r>
    </w:p>
    <w:p w14:paraId="6CD1BEA6" w14:textId="77777777" w:rsidR="00E10EB6" w:rsidRPr="00B9447D" w:rsidRDefault="00E10EB6">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458BE04A" w14:textId="77777777" w:rsidR="00E10EB6" w:rsidRPr="00B9447D" w:rsidRDefault="00C023E0">
      <w:pPr>
        <w:pBdr>
          <w:top w:val="nil"/>
          <w:left w:val="nil"/>
          <w:bottom w:val="nil"/>
          <w:right w:val="nil"/>
          <w:between w:val="nil"/>
        </w:pBdr>
        <w:tabs>
          <w:tab w:val="left" w:pos="284"/>
        </w:tabs>
        <w:spacing w:after="0" w:line="240" w:lineRule="auto"/>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2845A2" w14:textId="77777777" w:rsidR="00E10EB6" w:rsidRPr="00B9447D" w:rsidRDefault="00E10EB6">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tbl>
      <w:tblPr>
        <w:tblStyle w:val="afb"/>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41"/>
      </w:tblGrid>
      <w:tr w:rsidR="006C5F3A" w:rsidRPr="00B9447D" w14:paraId="4C63F947" w14:textId="77777777">
        <w:tc>
          <w:tcPr>
            <w:tcW w:w="3114" w:type="dxa"/>
            <w:shd w:val="clear" w:color="auto" w:fill="D0CECE"/>
          </w:tcPr>
          <w:p w14:paraId="7E042E04" w14:textId="77777777" w:rsidR="00E10EB6" w:rsidRPr="00B9447D" w:rsidRDefault="00C023E0">
            <w:pPr>
              <w:jc w:val="center"/>
              <w:rPr>
                <w:rFonts w:ascii="Palatino Linotype" w:eastAsia="Palatino Linotype" w:hAnsi="Palatino Linotype" w:cs="Palatino Linotype"/>
                <w:b/>
                <w:sz w:val="20"/>
                <w:szCs w:val="20"/>
              </w:rPr>
            </w:pPr>
            <w:r w:rsidRPr="00B9447D">
              <w:rPr>
                <w:rFonts w:ascii="Palatino Linotype" w:eastAsia="Palatino Linotype" w:hAnsi="Palatino Linotype" w:cs="Palatino Linotype"/>
                <w:b/>
                <w:sz w:val="20"/>
                <w:szCs w:val="20"/>
              </w:rPr>
              <w:t>Recurso</w:t>
            </w:r>
          </w:p>
        </w:tc>
        <w:tc>
          <w:tcPr>
            <w:tcW w:w="5941" w:type="dxa"/>
            <w:shd w:val="clear" w:color="auto" w:fill="D0CECE"/>
          </w:tcPr>
          <w:p w14:paraId="01664B50" w14:textId="77777777" w:rsidR="00E10EB6" w:rsidRPr="00B9447D" w:rsidRDefault="00C023E0">
            <w:pPr>
              <w:jc w:val="center"/>
              <w:rPr>
                <w:rFonts w:ascii="Palatino Linotype" w:eastAsia="Palatino Linotype" w:hAnsi="Palatino Linotype" w:cs="Palatino Linotype"/>
                <w:b/>
                <w:sz w:val="20"/>
                <w:szCs w:val="20"/>
              </w:rPr>
            </w:pPr>
            <w:r w:rsidRPr="00B9447D">
              <w:rPr>
                <w:rFonts w:ascii="Palatino Linotype" w:eastAsia="Palatino Linotype" w:hAnsi="Palatino Linotype" w:cs="Palatino Linotype"/>
                <w:b/>
                <w:sz w:val="20"/>
                <w:szCs w:val="20"/>
              </w:rPr>
              <w:t>Respuesta</w:t>
            </w:r>
          </w:p>
        </w:tc>
      </w:tr>
      <w:tr w:rsidR="006C5F3A" w:rsidRPr="00B9447D" w14:paraId="10200FB4" w14:textId="77777777">
        <w:tc>
          <w:tcPr>
            <w:tcW w:w="3114" w:type="dxa"/>
          </w:tcPr>
          <w:p w14:paraId="325F01F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01069/INFOEM/IP/RR/2025</w:t>
            </w:r>
          </w:p>
        </w:tc>
        <w:tc>
          <w:tcPr>
            <w:tcW w:w="5941" w:type="dxa"/>
          </w:tcPr>
          <w:p w14:paraId="01DC537B"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-Oficio de fecha veinte de enero de dos </w:t>
            </w:r>
            <w:proofErr w:type="spellStart"/>
            <w:r w:rsidRPr="00B9447D">
              <w:rPr>
                <w:rFonts w:ascii="Palatino Linotype" w:eastAsia="Palatino Linotype" w:hAnsi="Palatino Linotype" w:cs="Palatino Linotype"/>
                <w:sz w:val="20"/>
                <w:szCs w:val="20"/>
              </w:rPr>
              <w:t>mik</w:t>
            </w:r>
            <w:proofErr w:type="spellEnd"/>
            <w:r w:rsidRPr="00B9447D">
              <w:rPr>
                <w:rFonts w:ascii="Palatino Linotype" w:eastAsia="Palatino Linotype" w:hAnsi="Palatino Linotype" w:cs="Palatino Linotype"/>
                <w:sz w:val="20"/>
                <w:szCs w:val="20"/>
              </w:rPr>
              <w:t xml:space="preserve"> veinticinco, signado por el Secretario del Ayuntamiento, mediante el cual informa que, se envía la información solicitada, la cual puede contener datos susceptibles de ser clasificados. </w:t>
            </w:r>
          </w:p>
          <w:p w14:paraId="7C7B3FD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 Setenta y tres oficios signados por el Secretario del Ayuntamiento. </w:t>
            </w:r>
          </w:p>
          <w:p w14:paraId="1F4E0B9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 Acta del Comité de Transparencia, mediante el cual se aprueba la versión pública. </w:t>
            </w:r>
          </w:p>
        </w:tc>
      </w:tr>
      <w:tr w:rsidR="006C5F3A" w:rsidRPr="00B9447D" w14:paraId="0091917E" w14:textId="77777777">
        <w:tc>
          <w:tcPr>
            <w:tcW w:w="3114" w:type="dxa"/>
          </w:tcPr>
          <w:p w14:paraId="3907306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01070/INFOEM/IP/RR/2025</w:t>
            </w:r>
          </w:p>
        </w:tc>
        <w:tc>
          <w:tcPr>
            <w:tcW w:w="5941" w:type="dxa"/>
          </w:tcPr>
          <w:p w14:paraId="63D99CBD"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veinte de enero de dos mil veinticinco, signado por el Secretario del Ayuntamiento, mediante el cual informa que, se envía la información solicitada, la cual puede contener datos susceptibles de ser clasificados.</w:t>
            </w:r>
          </w:p>
          <w:p w14:paraId="2E5EE204"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Cincuenta oficios signados por el Presidente Municipal</w:t>
            </w:r>
          </w:p>
          <w:p w14:paraId="091187C0"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3FA9EC4D" w14:textId="77777777">
        <w:tc>
          <w:tcPr>
            <w:tcW w:w="3114" w:type="dxa"/>
          </w:tcPr>
          <w:p w14:paraId="6B873FD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01073/INFOEM/IP/RR/2025</w:t>
            </w:r>
          </w:p>
        </w:tc>
        <w:tc>
          <w:tcPr>
            <w:tcW w:w="5941" w:type="dxa"/>
          </w:tcPr>
          <w:p w14:paraId="3EA96710"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veinte de enero de dos mil veinticinco, signado por el Secretario del Ayuntamiento, mediante el cual informa que, se envía la información solicitada, la cual puede contener datos susceptibles de ser clasificados.</w:t>
            </w:r>
          </w:p>
          <w:p w14:paraId="03E3A02A"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Ciento veintitrés oficios signados por el Presidente Municipal</w:t>
            </w:r>
          </w:p>
          <w:p w14:paraId="4E842C72"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617A8EE9" w14:textId="77777777">
        <w:tc>
          <w:tcPr>
            <w:tcW w:w="3114" w:type="dxa"/>
          </w:tcPr>
          <w:p w14:paraId="74DB2C7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01075/INFOEM/IP/RR/2025</w:t>
            </w:r>
          </w:p>
        </w:tc>
        <w:tc>
          <w:tcPr>
            <w:tcW w:w="5941" w:type="dxa"/>
          </w:tcPr>
          <w:p w14:paraId="17460A62"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veinticuatro de enero de dos mil veinticinco, signado por el Tesorero Municipal, mediante el cual informa que, se envía la información solicitada, la cual puede contener datos susceptibles de ser clasificados.</w:t>
            </w:r>
          </w:p>
          <w:p w14:paraId="7508FEC8"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Ochenta y seis oficios signados por el Presidente Municipal</w:t>
            </w:r>
          </w:p>
          <w:p w14:paraId="75232CCC"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708763AF" w14:textId="77777777">
        <w:tc>
          <w:tcPr>
            <w:tcW w:w="3114" w:type="dxa"/>
          </w:tcPr>
          <w:p w14:paraId="35C963C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01076/INFOEM/IP/RR/2025</w:t>
            </w:r>
          </w:p>
        </w:tc>
        <w:tc>
          <w:tcPr>
            <w:tcW w:w="5941" w:type="dxa"/>
          </w:tcPr>
          <w:p w14:paraId="0A0588B0"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veinticuatro de enero de dos mil veinticinco, signado por el Tesorero Municipal, mediante el cual informa que, se envía la información solicitada, la cual puede contener datos susceptibles de ser clasificados.</w:t>
            </w:r>
          </w:p>
          <w:p w14:paraId="11596EAE"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Ochenta y cuatro oficios signados por la Tesorería Municipal. </w:t>
            </w:r>
          </w:p>
          <w:p w14:paraId="2EF7B92B"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40928E52" w14:textId="77777777">
        <w:tc>
          <w:tcPr>
            <w:tcW w:w="3114" w:type="dxa"/>
          </w:tcPr>
          <w:p w14:paraId="15083234"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01077/INFOEM/IP/RR/2025</w:t>
            </w:r>
          </w:p>
        </w:tc>
        <w:tc>
          <w:tcPr>
            <w:tcW w:w="5941" w:type="dxa"/>
          </w:tcPr>
          <w:p w14:paraId="767AB1A8"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veinticuatro de enero de dos mil veinticinco, signado por la Tesorería Municipal, mediante el cual informa que, se envía la información solicitada, la cual puede contener datos susceptibles de ser clasificados.</w:t>
            </w:r>
          </w:p>
          <w:p w14:paraId="5BFE5FC8"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Ochenta y un oficios signados por la Tesorería Municipal. </w:t>
            </w:r>
          </w:p>
          <w:p w14:paraId="48AD6F45"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1D14C6EF" w14:textId="77777777">
        <w:tc>
          <w:tcPr>
            <w:tcW w:w="3114" w:type="dxa"/>
          </w:tcPr>
          <w:p w14:paraId="516ABAFA"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01078/INFOEM/IP/RR/2025</w:t>
            </w:r>
          </w:p>
        </w:tc>
        <w:tc>
          <w:tcPr>
            <w:tcW w:w="5941" w:type="dxa"/>
          </w:tcPr>
          <w:p w14:paraId="0693E4D6"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veinticuatro de enero de dos mil veinticinco, signado por la Tesorería Municipal, mediante el cual informa que, se envía la información solicitada, la cual puede contener datos susceptibles de ser clasificados.</w:t>
            </w:r>
          </w:p>
          <w:p w14:paraId="72BE9B50"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Sesenta y cinco oficios signados por la Tesorería Municipal. </w:t>
            </w:r>
          </w:p>
          <w:p w14:paraId="15594766"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6F5E76A8" w14:textId="77777777">
        <w:tc>
          <w:tcPr>
            <w:tcW w:w="3114" w:type="dxa"/>
          </w:tcPr>
          <w:p w14:paraId="41207F1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01079/INFOEM/IP/RR/2025</w:t>
            </w:r>
          </w:p>
        </w:tc>
        <w:tc>
          <w:tcPr>
            <w:tcW w:w="5941" w:type="dxa"/>
          </w:tcPr>
          <w:p w14:paraId="16B94F88"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veinticuatro de enero de dos mil veinticinco, signado por la Tesorería Municipal, mediante el cual informa que, se envía la información solicitada, la cual puede contener datos susceptibles de ser clasificados.</w:t>
            </w:r>
          </w:p>
          <w:p w14:paraId="5E2CDFA2"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Novena y un oficio signado por la Tesorería Municipal. </w:t>
            </w:r>
          </w:p>
          <w:p w14:paraId="7A8C31C6"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0B427083" w14:textId="77777777">
        <w:tc>
          <w:tcPr>
            <w:tcW w:w="3114" w:type="dxa"/>
          </w:tcPr>
          <w:p w14:paraId="15FB037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01081/INFOEM/IP/RR/2025</w:t>
            </w:r>
          </w:p>
        </w:tc>
        <w:tc>
          <w:tcPr>
            <w:tcW w:w="5941" w:type="dxa"/>
          </w:tcPr>
          <w:p w14:paraId="59BFDBFE"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veinticuatro de enero de dos mil veinticinco, signado por el Director de Desarrollo Económico, mediante el cual informa que, se envía la información solicitada, la cual puede contener datos susceptibles de ser clasificados.</w:t>
            </w:r>
          </w:p>
          <w:p w14:paraId="3067863A"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Sesenta y cinco oficios signados por el Director de Desarrollo Económico.</w:t>
            </w:r>
          </w:p>
          <w:p w14:paraId="0E952894"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44044554" w14:textId="77777777">
        <w:tc>
          <w:tcPr>
            <w:tcW w:w="3114" w:type="dxa"/>
          </w:tcPr>
          <w:p w14:paraId="0EE314A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01082/INFOEM/IP/RR/2025</w:t>
            </w:r>
          </w:p>
        </w:tc>
        <w:tc>
          <w:tcPr>
            <w:tcW w:w="5941" w:type="dxa"/>
          </w:tcPr>
          <w:p w14:paraId="389C13F3"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Oficio de fecha veinticuatro de enero de dos mil veinticinco, signado por el Director de Desarrollo </w:t>
            </w:r>
            <w:r w:rsidRPr="00B9447D">
              <w:rPr>
                <w:rFonts w:ascii="Palatino Linotype" w:eastAsia="Palatino Linotype" w:hAnsi="Palatino Linotype" w:cs="Palatino Linotype"/>
                <w:sz w:val="20"/>
                <w:szCs w:val="20"/>
              </w:rPr>
              <w:lastRenderedPageBreak/>
              <w:t>Económico, mediante el cual informa que, se envía la información solicitada, la cual puede contener datos susceptibles de ser clasificados.</w:t>
            </w:r>
          </w:p>
          <w:p w14:paraId="56B61D7A"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Noventa y Nueve oficios signados por el Director de Desarrollo Económico.</w:t>
            </w:r>
          </w:p>
          <w:p w14:paraId="2395C71C"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1C5172C1" w14:textId="77777777">
        <w:tc>
          <w:tcPr>
            <w:tcW w:w="3114" w:type="dxa"/>
          </w:tcPr>
          <w:p w14:paraId="72E47E4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01083/INFOEM/IP/RR/2025</w:t>
            </w:r>
          </w:p>
        </w:tc>
        <w:tc>
          <w:tcPr>
            <w:tcW w:w="5941" w:type="dxa"/>
          </w:tcPr>
          <w:p w14:paraId="42CD7708"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nueve de enero de dos mil veinticinco, signado por el Director de Desarrollo Económico, mediante el cual informa que, se envía la información solicitada, la cual puede contener datos susceptibles de ser clasificados.</w:t>
            </w:r>
          </w:p>
          <w:p w14:paraId="5F5C56E1"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Ochenta y seis oficios signados por el Director de Desarrollo Económico.</w:t>
            </w:r>
          </w:p>
          <w:p w14:paraId="747DE1EF"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3AB21EB1" w14:textId="77777777">
        <w:tc>
          <w:tcPr>
            <w:tcW w:w="3114" w:type="dxa"/>
          </w:tcPr>
          <w:p w14:paraId="7BAC235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01084/INFOEM/IP/RR/2025</w:t>
            </w:r>
          </w:p>
        </w:tc>
        <w:tc>
          <w:tcPr>
            <w:tcW w:w="5941" w:type="dxa"/>
          </w:tcPr>
          <w:p w14:paraId="15D58B0B"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nueve de enero de dos mil veinticinco, signado por el Director de Desarrollo Económico, mediante el cual informa que, se envía la información solicitada, la cual puede contener datos susceptibles de ser clasificados.</w:t>
            </w:r>
          </w:p>
          <w:p w14:paraId="3C43D9F9"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Ochenta y cuatro oficios signados por el Director de Desarrollo Económico.</w:t>
            </w:r>
          </w:p>
          <w:p w14:paraId="120DE90C"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3607C8DF" w14:textId="77777777">
        <w:tc>
          <w:tcPr>
            <w:tcW w:w="3114" w:type="dxa"/>
          </w:tcPr>
          <w:p w14:paraId="5E504204"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01085/INFOEM/IP/RR/2025</w:t>
            </w:r>
          </w:p>
        </w:tc>
        <w:tc>
          <w:tcPr>
            <w:tcW w:w="5941" w:type="dxa"/>
          </w:tcPr>
          <w:p w14:paraId="48018BDD"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nueve de enero de dos mil veinticinco, signado por el Director de Desarrollo Económico, mediante el cual informa que, se envía la información solicitada, la cual puede contener datos susceptibles de ser clasificados.</w:t>
            </w:r>
          </w:p>
          <w:p w14:paraId="7E5F7326"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Ochenta y dos oficios signados por el Director de Desarrollo Económico.</w:t>
            </w:r>
          </w:p>
          <w:p w14:paraId="2ED17F27"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1BAF4904" w14:textId="77777777">
        <w:tc>
          <w:tcPr>
            <w:tcW w:w="3114" w:type="dxa"/>
          </w:tcPr>
          <w:p w14:paraId="63B1D45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01086/INFOEM/IP/RR/2025</w:t>
            </w:r>
          </w:p>
        </w:tc>
        <w:tc>
          <w:tcPr>
            <w:tcW w:w="5941" w:type="dxa"/>
          </w:tcPr>
          <w:p w14:paraId="382C4328"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Oficio de fecha nueve de enero de dos mil veinticinco, signado por el Director de Desarrollo Económico, </w:t>
            </w:r>
            <w:r w:rsidRPr="00B9447D">
              <w:rPr>
                <w:rFonts w:ascii="Palatino Linotype" w:eastAsia="Palatino Linotype" w:hAnsi="Palatino Linotype" w:cs="Palatino Linotype"/>
                <w:sz w:val="20"/>
                <w:szCs w:val="20"/>
              </w:rPr>
              <w:lastRenderedPageBreak/>
              <w:t>mediante el cual informa que, se envía la información solicitada, la cual puede contener datos susceptibles de ser clasificados.</w:t>
            </w:r>
          </w:p>
          <w:p w14:paraId="151933CB"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Treinta y seis oficios signados por el Director de Desarrollo Económico.</w:t>
            </w:r>
          </w:p>
          <w:p w14:paraId="02E4B98F"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024069EA" w14:textId="77777777">
        <w:tc>
          <w:tcPr>
            <w:tcW w:w="3114" w:type="dxa"/>
          </w:tcPr>
          <w:p w14:paraId="2E90DC6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01087/INFOEM/IP/RR/2025</w:t>
            </w:r>
          </w:p>
        </w:tc>
        <w:tc>
          <w:tcPr>
            <w:tcW w:w="5941" w:type="dxa"/>
          </w:tcPr>
          <w:p w14:paraId="0664EE09"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trece de enero de dos mil veinticinco, signado por el Director de Gobernación y Reglamentación Municipal, mediante el cual informa que, se envía la información solicitada, la cual puede contener datos susceptibles de ser clasificados.</w:t>
            </w:r>
          </w:p>
          <w:p w14:paraId="690C77BB"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Diecisiete oficios signados por el Director de Gobernación y Reglamentación Municipal</w:t>
            </w:r>
          </w:p>
          <w:p w14:paraId="1E5A1E12"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5D86F2B3" w14:textId="77777777">
        <w:tc>
          <w:tcPr>
            <w:tcW w:w="3114" w:type="dxa"/>
          </w:tcPr>
          <w:p w14:paraId="7C2BF385"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01088/INFOEM/IP/RR/2025</w:t>
            </w:r>
          </w:p>
        </w:tc>
        <w:tc>
          <w:tcPr>
            <w:tcW w:w="5941" w:type="dxa"/>
          </w:tcPr>
          <w:p w14:paraId="3D2A3A64"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trece de enero de dos mil veinticinco, signado por el Director de Gobierno y Reglamentación Municipal, mediante el cual informa que, se envía la información solicitada, la cual puede contener datos susceptibles de ser clasificados.</w:t>
            </w:r>
          </w:p>
          <w:p w14:paraId="180EEFAA"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Diecinueve oficios signados por el Director de Gobernación y Reglamentación Municipal. </w:t>
            </w:r>
          </w:p>
          <w:p w14:paraId="100CFE5D"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3773C9FC" w14:textId="77777777">
        <w:tc>
          <w:tcPr>
            <w:tcW w:w="3114" w:type="dxa"/>
          </w:tcPr>
          <w:p w14:paraId="1D19B0B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01089/INFOEM/IP/RR/2025</w:t>
            </w:r>
          </w:p>
        </w:tc>
        <w:tc>
          <w:tcPr>
            <w:tcW w:w="5941" w:type="dxa"/>
          </w:tcPr>
          <w:p w14:paraId="7D9D47B3"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trece de enero de dos mil veinticinco, signado por el Director de Gobierno y Reglamentación Municipal, mediante el cual informa que, se envía la información solicitada, la cual puede contener datos susceptibles de ser clasificados.</w:t>
            </w:r>
          </w:p>
          <w:p w14:paraId="15D49B76"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Catorce oficios signados por el Director de Gobernación y Reglamentación Municipal. </w:t>
            </w:r>
          </w:p>
          <w:p w14:paraId="185CB40B"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6E9DBF45" w14:textId="77777777">
        <w:tc>
          <w:tcPr>
            <w:tcW w:w="3114" w:type="dxa"/>
          </w:tcPr>
          <w:p w14:paraId="7018A70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01090/INFOEM/IP/RR/2025</w:t>
            </w:r>
          </w:p>
        </w:tc>
        <w:tc>
          <w:tcPr>
            <w:tcW w:w="5941" w:type="dxa"/>
          </w:tcPr>
          <w:p w14:paraId="7CCCB99D"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Oficio de fecha trece de enero de dos mil veinticinco, signado por el Director de Gobierno y Reglamentación </w:t>
            </w:r>
            <w:r w:rsidRPr="00B9447D">
              <w:rPr>
                <w:rFonts w:ascii="Palatino Linotype" w:eastAsia="Palatino Linotype" w:hAnsi="Palatino Linotype" w:cs="Palatino Linotype"/>
                <w:sz w:val="20"/>
                <w:szCs w:val="20"/>
              </w:rPr>
              <w:lastRenderedPageBreak/>
              <w:t>Municipal, mediante el cual informa que, se envía la información solicitada, la cual puede contener datos susceptibles de ser clasificados.</w:t>
            </w:r>
          </w:p>
          <w:p w14:paraId="54F9C8D3"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Diecisiete oficios signados por el Director de Gobernación y Reglamentación Municipal. </w:t>
            </w:r>
          </w:p>
          <w:p w14:paraId="0D9A2C2F"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07ADFCDA" w14:textId="77777777">
        <w:tc>
          <w:tcPr>
            <w:tcW w:w="3114" w:type="dxa"/>
          </w:tcPr>
          <w:p w14:paraId="34BF9CB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01091/INFOEM/IP/RR/2025</w:t>
            </w:r>
          </w:p>
        </w:tc>
        <w:tc>
          <w:tcPr>
            <w:tcW w:w="5941" w:type="dxa"/>
          </w:tcPr>
          <w:p w14:paraId="35ED2DC5"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trece de enero de dos mil veinticinco, signado por el Director de Gobierno y Reglamentación Municipal, mediante el cual informa que, se envía la información solicitada, la cual puede contener datos susceptibles de ser clasificados.</w:t>
            </w:r>
          </w:p>
          <w:p w14:paraId="6701A4FF"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Veinte oficios signados por el Director de Gobernación y Reglamentación Municipal. </w:t>
            </w:r>
          </w:p>
          <w:p w14:paraId="4523C0F3"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6C5F3A" w:rsidRPr="00B9447D" w14:paraId="40207301" w14:textId="77777777">
        <w:tc>
          <w:tcPr>
            <w:tcW w:w="3114" w:type="dxa"/>
          </w:tcPr>
          <w:p w14:paraId="38C9F11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01092/INFOEM/IP/RR/2025</w:t>
            </w:r>
          </w:p>
        </w:tc>
        <w:tc>
          <w:tcPr>
            <w:tcW w:w="5941" w:type="dxa"/>
          </w:tcPr>
          <w:p w14:paraId="3633CF09"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trece de enero de dos mil veinticinco, signado por el Director de Gobierno y Reglamentación Municipal, mediante el cual informa que, se envía la información solicitada, la cual puede contener datos susceptibles de ser clasificados.</w:t>
            </w:r>
          </w:p>
          <w:p w14:paraId="7C9A5C84"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Diecisiete oficios signados por el Director de Gobernación y Reglamentación Municipal. </w:t>
            </w:r>
          </w:p>
          <w:p w14:paraId="48DC2266"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r w:rsidR="00E10EB6" w:rsidRPr="00B9447D" w14:paraId="4B13416F" w14:textId="77777777">
        <w:tc>
          <w:tcPr>
            <w:tcW w:w="3114" w:type="dxa"/>
          </w:tcPr>
          <w:p w14:paraId="37E8BFE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01093/INFOEM/IP/RR/2025</w:t>
            </w:r>
          </w:p>
        </w:tc>
        <w:tc>
          <w:tcPr>
            <w:tcW w:w="5941" w:type="dxa"/>
          </w:tcPr>
          <w:p w14:paraId="7718141B"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 de fecha trece de enero de dos mil veinticinco, signado por el Director de Gobierno y Reglamentación Municipal, mediante el cual informa que, se envía la información solicitada, la cual puede contener datos susceptibles de ser clasificados.</w:t>
            </w:r>
          </w:p>
          <w:p w14:paraId="71C8394E" w14:textId="77777777" w:rsidR="00E10EB6" w:rsidRPr="00B9447D" w:rsidRDefault="00C023E0">
            <w:pPr>
              <w:numPr>
                <w:ilvl w:val="0"/>
                <w:numId w:val="4"/>
              </w:numPr>
              <w:pBdr>
                <w:top w:val="nil"/>
                <w:left w:val="nil"/>
                <w:bottom w:val="nil"/>
                <w:right w:val="nil"/>
                <w:between w:val="nil"/>
              </w:pBdr>
              <w:spacing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Dieciséis oficios signados por el Director de Gobernación y Reglamentación Municipal. </w:t>
            </w:r>
          </w:p>
          <w:p w14:paraId="294B5BF3" w14:textId="77777777" w:rsidR="00E10EB6" w:rsidRPr="00B9447D" w:rsidRDefault="00C023E0">
            <w:pPr>
              <w:numPr>
                <w:ilvl w:val="0"/>
                <w:numId w:val="4"/>
              </w:numPr>
              <w:pBdr>
                <w:top w:val="nil"/>
                <w:left w:val="nil"/>
                <w:bottom w:val="nil"/>
                <w:right w:val="nil"/>
                <w:between w:val="nil"/>
              </w:pBdr>
              <w:spacing w:after="160" w:line="259" w:lineRule="auto"/>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Acta del Comité de Transparencia, mediante el cual se aprueba la versión pública.</w:t>
            </w:r>
          </w:p>
        </w:tc>
      </w:tr>
    </w:tbl>
    <w:p w14:paraId="3CC21617" w14:textId="77777777" w:rsidR="00E10EB6" w:rsidRPr="00B9447D" w:rsidRDefault="00E10EB6">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b/>
        </w:rPr>
      </w:pPr>
    </w:p>
    <w:p w14:paraId="7CD6573B" w14:textId="77777777" w:rsidR="00E10EB6" w:rsidRPr="00B9447D" w:rsidRDefault="00C023E0">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bookmarkStart w:id="2" w:name="_heading=h.gjdgxs" w:colFirst="0" w:colLast="0"/>
      <w:bookmarkEnd w:id="2"/>
      <w:r w:rsidRPr="00B9447D">
        <w:rPr>
          <w:rFonts w:ascii="Palatino Linotype" w:eastAsia="Palatino Linotype" w:hAnsi="Palatino Linotype" w:cs="Palatino Linotype"/>
          <w:b/>
        </w:rPr>
        <w:lastRenderedPageBreak/>
        <w:t xml:space="preserve">Interposición de los recursos de revisión. </w:t>
      </w:r>
      <w:r w:rsidRPr="00B9447D">
        <w:rPr>
          <w:rFonts w:ascii="Palatino Linotype" w:eastAsia="Palatino Linotype" w:hAnsi="Palatino Linotype" w:cs="Palatino Linotype"/>
        </w:rPr>
        <w:t xml:space="preserve">Inconforme la persona solicitante con las respuestas emitidas por el </w:t>
      </w:r>
      <w:r w:rsidRPr="00B9447D">
        <w:rPr>
          <w:rFonts w:ascii="Palatino Linotype" w:eastAsia="Palatino Linotype" w:hAnsi="Palatino Linotype" w:cs="Palatino Linotype"/>
          <w:b/>
        </w:rPr>
        <w:t xml:space="preserve">Sujeto Obligado </w:t>
      </w:r>
      <w:r w:rsidRPr="00B9447D">
        <w:rPr>
          <w:rFonts w:ascii="Palatino Linotype" w:eastAsia="Palatino Linotype" w:hAnsi="Palatino Linotype" w:cs="Palatino Linotype"/>
        </w:rPr>
        <w:t xml:space="preserve">a sus solicitudes, en fecha </w:t>
      </w:r>
      <w:r w:rsidRPr="00B9447D">
        <w:rPr>
          <w:rFonts w:ascii="Palatino Linotype" w:eastAsia="Palatino Linotype" w:hAnsi="Palatino Linotype" w:cs="Palatino Linotype"/>
          <w:b/>
        </w:rPr>
        <w:t>once de febrero de dos mil veinticinco</w:t>
      </w:r>
      <w:r w:rsidRPr="00B9447D">
        <w:rPr>
          <w:rFonts w:ascii="Palatino Linotype" w:eastAsia="Palatino Linotype" w:hAnsi="Palatino Linotype" w:cs="Palatino Linotype"/>
        </w:rPr>
        <w:t>, interpuso los recursos de revisión a través del SAIMEX, expresando lo siguiente:</w:t>
      </w:r>
    </w:p>
    <w:p w14:paraId="45DD5B55" w14:textId="77777777" w:rsidR="00E10EB6" w:rsidRPr="00B9447D" w:rsidRDefault="00E10EB6">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5805B11B" w14:textId="77777777" w:rsidR="00E10EB6" w:rsidRPr="00B9447D" w:rsidRDefault="00C023E0">
      <w:pPr>
        <w:pBdr>
          <w:top w:val="nil"/>
          <w:left w:val="nil"/>
          <w:bottom w:val="nil"/>
          <w:right w:val="nil"/>
          <w:between w:val="nil"/>
        </w:pBdr>
        <w:tabs>
          <w:tab w:val="left" w:pos="284"/>
        </w:tabs>
        <w:spacing w:after="0" w:line="360" w:lineRule="auto"/>
        <w:rPr>
          <w:rFonts w:ascii="Palatino Linotype" w:eastAsia="Palatino Linotype" w:hAnsi="Palatino Linotype" w:cs="Palatino Linotype"/>
          <w:i/>
        </w:rPr>
      </w:pPr>
      <w:r w:rsidRPr="00B9447D">
        <w:rPr>
          <w:rFonts w:ascii="Palatino Linotype" w:eastAsia="Palatino Linotype" w:hAnsi="Palatino Linotype" w:cs="Palatino Linotype"/>
          <w:b/>
        </w:rPr>
        <w:t>01069/INFOEM/IP/RR/2025 y 01070/INFOEM/IP/RR/2025:</w:t>
      </w:r>
      <w:r w:rsidRPr="00B9447D">
        <w:rPr>
          <w:rFonts w:ascii="Palatino Linotype" w:eastAsia="Palatino Linotype" w:hAnsi="Palatino Linotype" w:cs="Palatino Linotype"/>
          <w:i/>
        </w:rPr>
        <w:t xml:space="preserve"> “NO ENTREGAN LA INFORMACIÓN SOLICITADA”</w:t>
      </w:r>
    </w:p>
    <w:p w14:paraId="6D6841DB" w14:textId="77777777" w:rsidR="00E10EB6" w:rsidRPr="00B9447D" w:rsidRDefault="00E10EB6">
      <w:pPr>
        <w:pBdr>
          <w:top w:val="nil"/>
          <w:left w:val="nil"/>
          <w:bottom w:val="nil"/>
          <w:right w:val="nil"/>
          <w:between w:val="nil"/>
        </w:pBdr>
        <w:tabs>
          <w:tab w:val="left" w:pos="284"/>
        </w:tabs>
        <w:spacing w:after="0" w:line="360" w:lineRule="auto"/>
        <w:jc w:val="center"/>
        <w:rPr>
          <w:rFonts w:ascii="Palatino Linotype" w:eastAsia="Palatino Linotype" w:hAnsi="Palatino Linotype" w:cs="Palatino Linotype"/>
          <w:i/>
        </w:rPr>
      </w:pPr>
    </w:p>
    <w:p w14:paraId="53B361B9" w14:textId="77777777" w:rsidR="00E10EB6" w:rsidRPr="00B9447D" w:rsidRDefault="00C023E0">
      <w:pPr>
        <w:pBdr>
          <w:top w:val="nil"/>
          <w:left w:val="nil"/>
          <w:bottom w:val="nil"/>
          <w:right w:val="nil"/>
          <w:between w:val="nil"/>
        </w:pBdr>
        <w:tabs>
          <w:tab w:val="left" w:pos="284"/>
        </w:tabs>
        <w:spacing w:after="0" w:line="360" w:lineRule="auto"/>
        <w:rPr>
          <w:rFonts w:ascii="Palatino Linotype" w:eastAsia="Palatino Linotype" w:hAnsi="Palatino Linotype" w:cs="Palatino Linotype"/>
          <w:i/>
        </w:rPr>
      </w:pPr>
      <w:r w:rsidRPr="00B9447D">
        <w:rPr>
          <w:rFonts w:ascii="Palatino Linotype" w:eastAsia="Palatino Linotype" w:hAnsi="Palatino Linotype" w:cs="Palatino Linotype"/>
          <w:b/>
        </w:rPr>
        <w:t xml:space="preserve">01073/INFOEM/IP/RR/2025, 01075/INFOEM/IP/RR/2025, 01076/INFOEM/IP/RR/2025, 01077/INFOEM/IP/RR/2025, 01078/INFOEM/IP/RR/2025, 01079/INFOEM/IP/RR/2025, 01081/INFOEM/IP/RR/2025, 01082/INFOEM/IP/RR/2025, 01083/INFOEM/IP/RR/2025, 01084/INFOEM/IP/RR/2025, 01085/INFOEM/IP/RR/2025, 01086/INFOEM/IP/RR/2025, 01087/INFOEM/IP/RR/2025, 01088/INFOEM/IP/RR/2025, 01089/INFOEM/IP/RR/2025, 01090/INFOEM/IP/RR/2025, 01091/INFOEM/IP/RR/20250, 1092/INFOEM/IP/RR/2025        y 01093/INFOEM/IP/RR/2025: </w:t>
      </w:r>
      <w:r w:rsidRPr="00B9447D">
        <w:rPr>
          <w:rFonts w:ascii="Palatino Linotype" w:eastAsia="Palatino Linotype" w:hAnsi="Palatino Linotype" w:cs="Palatino Linotype"/>
          <w:i/>
        </w:rPr>
        <w:t xml:space="preserve"> “INFORMACIÓN INCOMPLETA”</w:t>
      </w:r>
    </w:p>
    <w:p w14:paraId="23B8D717" w14:textId="77777777" w:rsidR="00E10EB6" w:rsidRPr="00B9447D" w:rsidRDefault="00C023E0">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B9447D">
        <w:rPr>
          <w:rFonts w:ascii="Palatino Linotype" w:eastAsia="Palatino Linotype" w:hAnsi="Palatino Linotype" w:cs="Palatino Linotype"/>
          <w:b/>
        </w:rPr>
        <w:t>Turno.</w:t>
      </w:r>
      <w:r w:rsidRPr="00B9447D">
        <w:rPr>
          <w:rFonts w:ascii="Palatino Linotype" w:eastAsia="Palatino Linotype" w:hAnsi="Palatino Linotype" w:cs="Palatino Linotype"/>
        </w:rPr>
        <w:t xml:space="preserve"> De conformidad con el artículo 185 fracción I de la Ley Transparencia y Acceso a la Información Pública, los Recursos de Revisión </w:t>
      </w:r>
      <w:r w:rsidRPr="00B9447D">
        <w:rPr>
          <w:rFonts w:ascii="Palatino Linotype" w:eastAsia="Palatino Linotype" w:hAnsi="Palatino Linotype" w:cs="Palatino Linotype"/>
          <w:b/>
        </w:rPr>
        <w:t xml:space="preserve">01069/INFOEM/IP/RR/2025, 01079/INFOEM/IP/RR/2025, 01084/INFOEM/IP/RR/2025 y 01089/INFOEM/IP/RR/2025 </w:t>
      </w:r>
      <w:r w:rsidRPr="00B9447D">
        <w:rPr>
          <w:rFonts w:ascii="Palatino Linotype" w:eastAsia="Palatino Linotype" w:hAnsi="Palatino Linotype" w:cs="Palatino Linotype"/>
        </w:rPr>
        <w:t xml:space="preserve">fueron turnados a la Comisionada Guadalupe Ramírez Peña, los Recursos de Revisión </w:t>
      </w:r>
      <w:r w:rsidRPr="00B9447D">
        <w:rPr>
          <w:rFonts w:ascii="Palatino Linotype" w:eastAsia="Palatino Linotype" w:hAnsi="Palatino Linotype" w:cs="Palatino Linotype"/>
          <w:b/>
        </w:rPr>
        <w:t xml:space="preserve">01070/INFOEM/IP/RR/2025, 01075/INFOEM/IP/RR/2025, 01085/INFOEM/IP/RR/2025 y 01090/INFOEM/IP/RR/2025 </w:t>
      </w:r>
      <w:r w:rsidRPr="00B9447D">
        <w:rPr>
          <w:rFonts w:ascii="Palatino Linotype" w:eastAsia="Palatino Linotype" w:hAnsi="Palatino Linotype" w:cs="Palatino Linotype"/>
        </w:rPr>
        <w:t xml:space="preserve">al Comisionado Presidente José Martínez Vilchis, los Recursos de Revisión </w:t>
      </w:r>
      <w:r w:rsidRPr="00B9447D">
        <w:rPr>
          <w:rFonts w:ascii="Palatino Linotype" w:eastAsia="Palatino Linotype" w:hAnsi="Palatino Linotype" w:cs="Palatino Linotype"/>
          <w:b/>
        </w:rPr>
        <w:t xml:space="preserve">01073/INFOEM/IP/RR/2025, 01078/INFOEM/IP/RR/2025, 01083/INFOEM/IP/RR/2025, 01088/INFOEM/IP/RR/2025 y 01093/INFOEM/IP/RR/2025 </w:t>
      </w:r>
      <w:r w:rsidRPr="00B9447D">
        <w:rPr>
          <w:rFonts w:ascii="Palatino Linotype" w:eastAsia="Palatino Linotype" w:hAnsi="Palatino Linotype" w:cs="Palatino Linotype"/>
        </w:rPr>
        <w:t>a la Comisionada María del Rosario Mejía Ayala, los Recursos de Revisión</w:t>
      </w:r>
      <w:r w:rsidRPr="00B9447D">
        <w:rPr>
          <w:rFonts w:ascii="Palatino Linotype" w:eastAsia="Palatino Linotype" w:hAnsi="Palatino Linotype" w:cs="Palatino Linotype"/>
          <w:b/>
        </w:rPr>
        <w:t xml:space="preserve"> 01076/INFOEM/IP/RR/2025, 01081/INFOEM/IP/RR/2025, 01086/INFOEM/IP/RR/2025 y </w:t>
      </w:r>
      <w:r w:rsidRPr="00B9447D">
        <w:rPr>
          <w:rFonts w:ascii="Palatino Linotype" w:eastAsia="Palatino Linotype" w:hAnsi="Palatino Linotype" w:cs="Palatino Linotype"/>
          <w:b/>
        </w:rPr>
        <w:lastRenderedPageBreak/>
        <w:t xml:space="preserve">01091/INFOEM/IP/RR/20250 </w:t>
      </w:r>
      <w:r w:rsidRPr="00B9447D">
        <w:rPr>
          <w:rFonts w:ascii="Palatino Linotype" w:eastAsia="Palatino Linotype" w:hAnsi="Palatino Linotype" w:cs="Palatino Linotype"/>
        </w:rPr>
        <w:t xml:space="preserve">al Comisionado Luis Gustavo Parra Noriega y, los Recursos de Revisión </w:t>
      </w:r>
      <w:r w:rsidRPr="00B9447D">
        <w:rPr>
          <w:rFonts w:ascii="Palatino Linotype" w:eastAsia="Palatino Linotype" w:hAnsi="Palatino Linotype" w:cs="Palatino Linotype"/>
          <w:b/>
        </w:rPr>
        <w:t xml:space="preserve">01077/INFOEM/IP/RR/2025, 01082/INFOEM/IP/RR/2025, 01087/INFOEM/IP/RR/2025 y 1092/INFOEM/IP/RR/2025  </w:t>
      </w:r>
      <w:r w:rsidRPr="00B9447D">
        <w:rPr>
          <w:rFonts w:ascii="Palatino Linotype" w:eastAsia="Palatino Linotype" w:hAnsi="Palatino Linotype" w:cs="Palatino Linotype"/>
        </w:rPr>
        <w:t xml:space="preserve">a la Comisionada Sharon Cristina Morales Martínez. </w:t>
      </w:r>
      <w:r w:rsidRPr="00B9447D">
        <w:rPr>
          <w:rFonts w:ascii="Palatino Linotype" w:eastAsia="Palatino Linotype" w:hAnsi="Palatino Linotype" w:cs="Palatino Linotype"/>
          <w:b/>
        </w:rPr>
        <w:t xml:space="preserve">     </w:t>
      </w:r>
    </w:p>
    <w:p w14:paraId="052061E1" w14:textId="77777777" w:rsidR="00E10EB6" w:rsidRPr="00B9447D" w:rsidRDefault="00E10EB6">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4657A405" w14:textId="77777777" w:rsidR="00E10EB6" w:rsidRPr="00B9447D" w:rsidRDefault="00C023E0">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B9447D">
        <w:rPr>
          <w:rFonts w:ascii="Palatino Linotype" w:eastAsia="Palatino Linotype" w:hAnsi="Palatino Linotype" w:cs="Palatino Linotype"/>
          <w:b/>
        </w:rPr>
        <w:t xml:space="preserve"> Admisión de los Recursos de Revisión. </w:t>
      </w:r>
      <w:r w:rsidRPr="00B9447D">
        <w:rPr>
          <w:rFonts w:ascii="Palatino Linotype" w:eastAsia="Palatino Linotype" w:hAnsi="Palatino Linotype" w:cs="Palatino Linotype"/>
        </w:rPr>
        <w:t xml:space="preserve">En fecha </w:t>
      </w:r>
      <w:r w:rsidRPr="00B9447D">
        <w:rPr>
          <w:rFonts w:ascii="Palatino Linotype" w:eastAsia="Palatino Linotype" w:hAnsi="Palatino Linotype" w:cs="Palatino Linotype"/>
          <w:b/>
        </w:rPr>
        <w:t>doce, trece, catorce, diecis</w:t>
      </w:r>
      <w:r w:rsidRPr="00B9447D">
        <w:rPr>
          <w:rFonts w:ascii="Palatino Linotype" w:eastAsia="Palatino Linotype" w:hAnsi="Palatino Linotype" w:cs="Palatino Linotype"/>
        </w:rPr>
        <w:t>i</w:t>
      </w:r>
      <w:r w:rsidRPr="00B9447D">
        <w:rPr>
          <w:rFonts w:ascii="Palatino Linotype" w:eastAsia="Palatino Linotype" w:hAnsi="Palatino Linotype" w:cs="Palatino Linotype"/>
          <w:b/>
        </w:rPr>
        <w:t>ete de febrero de dos mil veinticinco</w:t>
      </w:r>
      <w:r w:rsidRPr="00B9447D">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 </w:t>
      </w:r>
      <w:r w:rsidRPr="00B9447D">
        <w:rPr>
          <w:rFonts w:ascii="Palatino Linotype" w:eastAsia="Palatino Linotype" w:hAnsi="Palatino Linotype" w:cs="Palatino Linotype"/>
          <w:b/>
        </w:rPr>
        <w:t>01069/INFOEM/IP/RR/2025, 01070/INFOEM/IP/RR/2025, 01073/INFOEM/IP/RR/2025, 01075/INFOEM/IP/RR/2025, 01076/INFOEM/IP/RR/2025, 01077/INFOEM/IP/RR/2025, 01078/INFOEM/IP/RR/2025, 01079/INFOEM/IP/RR/2025, 01081/INFOEM/IP/RR/2025, 01082/INFOEM/IP/RR/2025, 01083/INFOEM/IP/RR/2025, 01084/INFOEM/IP/RR/2025, 01085/INFOEM/IP/RR/2025, 01086/INFOEM/IP/RR/2025, 01087/INFOEM/IP/RR/2025, 01088/INFOEM/IP/RR/2025, 01089/INFOEM/IP/RR/2025, 01090/INFOEM/IP/RR/2025, 01091/INFOEM/IP/RR/20250, 1092/INFOEM/IP/RR/2025        y 01093/INFOEM/IP/RR/2025 acumulados.</w:t>
      </w:r>
    </w:p>
    <w:p w14:paraId="2B3C1EE5" w14:textId="77777777" w:rsidR="00E10EB6" w:rsidRPr="00B9447D" w:rsidRDefault="00E10EB6">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3C7A112E" w14:textId="77777777" w:rsidR="00E10EB6" w:rsidRPr="00B9447D" w:rsidRDefault="00C023E0">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B9447D">
        <w:rPr>
          <w:rFonts w:ascii="Palatino Linotype" w:eastAsia="Palatino Linotype" w:hAnsi="Palatino Linotype" w:cs="Palatino Linotype"/>
          <w:b/>
        </w:rPr>
        <w:t xml:space="preserve"> Manifestaciones. </w:t>
      </w:r>
      <w:r w:rsidRPr="00B9447D">
        <w:rPr>
          <w:rFonts w:ascii="Palatino Linotype" w:eastAsia="Palatino Linotype" w:hAnsi="Palatino Linotype" w:cs="Palatino Linotype"/>
        </w:rPr>
        <w:t>Las partes fueron omisas en rendir manifestaciones.</w:t>
      </w:r>
    </w:p>
    <w:p w14:paraId="31F1F152"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9C3A7F0" w14:textId="77777777" w:rsidR="00E10EB6" w:rsidRPr="00B9447D" w:rsidRDefault="00C023E0">
      <w:pPr>
        <w:numPr>
          <w:ilvl w:val="0"/>
          <w:numId w:val="2"/>
        </w:numPr>
        <w:pBdr>
          <w:top w:val="nil"/>
          <w:left w:val="nil"/>
          <w:bottom w:val="nil"/>
          <w:right w:val="nil"/>
          <w:between w:val="nil"/>
        </w:pBdr>
        <w:tabs>
          <w:tab w:val="left" w:pos="426"/>
        </w:tabs>
        <w:spacing w:after="0" w:line="360" w:lineRule="auto"/>
        <w:ind w:left="0" w:firstLine="0"/>
        <w:jc w:val="both"/>
        <w:rPr>
          <w:rFonts w:ascii="Palatino Linotype" w:eastAsia="Palatino Linotype" w:hAnsi="Palatino Linotype" w:cs="Palatino Linotype"/>
        </w:rPr>
      </w:pPr>
      <w:r w:rsidRPr="00B9447D">
        <w:rPr>
          <w:rFonts w:ascii="Palatino Linotype" w:eastAsia="Palatino Linotype" w:hAnsi="Palatino Linotype" w:cs="Palatino Linotype"/>
          <w:b/>
        </w:rPr>
        <w:t xml:space="preserve">Acumulación de los recursos de revisión. </w:t>
      </w:r>
      <w:r w:rsidRPr="00B9447D">
        <w:rPr>
          <w:rFonts w:ascii="Palatino Linotype" w:eastAsia="Palatino Linotype" w:hAnsi="Palatino Linotype" w:cs="Palatino Linotype"/>
        </w:rPr>
        <w:t xml:space="preserve">Al respecto cabe señalar, que el Pleno de este Instituto, en la </w:t>
      </w:r>
      <w:r w:rsidRPr="00B9447D">
        <w:rPr>
          <w:rFonts w:ascii="Palatino Linotype" w:eastAsia="Palatino Linotype" w:hAnsi="Palatino Linotype" w:cs="Palatino Linotype"/>
          <w:b/>
        </w:rPr>
        <w:t>Sexta Sesión</w:t>
      </w:r>
      <w:r w:rsidRPr="00B9447D">
        <w:rPr>
          <w:rFonts w:ascii="Palatino Linotype" w:eastAsia="Palatino Linotype" w:hAnsi="Palatino Linotype" w:cs="Palatino Linotype"/>
        </w:rPr>
        <w:t xml:space="preserve"> </w:t>
      </w:r>
      <w:r w:rsidRPr="00B9447D">
        <w:rPr>
          <w:rFonts w:ascii="Palatino Linotype" w:eastAsia="Palatino Linotype" w:hAnsi="Palatino Linotype" w:cs="Palatino Linotype"/>
          <w:b/>
        </w:rPr>
        <w:t>Ordinaria</w:t>
      </w:r>
      <w:r w:rsidRPr="00B9447D">
        <w:rPr>
          <w:rFonts w:ascii="Palatino Linotype" w:eastAsia="Palatino Linotype" w:hAnsi="Palatino Linotype" w:cs="Palatino Linotype"/>
        </w:rPr>
        <w:t xml:space="preserve"> de fecha </w:t>
      </w:r>
      <w:r w:rsidRPr="00B9447D">
        <w:rPr>
          <w:rFonts w:ascii="Palatino Linotype" w:eastAsia="Palatino Linotype" w:hAnsi="Palatino Linotype" w:cs="Palatino Linotype"/>
          <w:b/>
        </w:rPr>
        <w:t>diecinueve de febrero de dos mil veinticinco,</w:t>
      </w:r>
      <w:r w:rsidRPr="00B9447D">
        <w:rPr>
          <w:rFonts w:ascii="Palatino Linotype" w:eastAsia="Palatino Linotype" w:hAnsi="Palatino Linotype" w:cs="Palatino Linotype"/>
        </w:rPr>
        <w:t xml:space="preserve"> ordenó la acumulación de los expedientes citados, a efecto de que la </w:t>
      </w:r>
      <w:r w:rsidRPr="00B9447D">
        <w:rPr>
          <w:rFonts w:ascii="Palatino Linotype" w:eastAsia="Palatino Linotype" w:hAnsi="Palatino Linotype" w:cs="Palatino Linotype"/>
          <w:b/>
        </w:rPr>
        <w:t xml:space="preserve">Comisionada Guadalupe Ramírez Peña </w:t>
      </w:r>
      <w:r w:rsidRPr="00B9447D">
        <w:rPr>
          <w:rFonts w:ascii="Palatino Linotype" w:eastAsia="Palatino Linotype" w:hAnsi="Palatino Linotype" w:cs="Palatino Linotype"/>
        </w:rPr>
        <w:t xml:space="preserve">formulara y presentara el proyecto de resolución correspondiente, de conformidad con lo dispuesto en el artículo 18 del Código de Procedimientos Administrativos del Estado de México, de aplicación supletoria en términos del artículo 195 de la Ley de </w:t>
      </w:r>
      <w:r w:rsidRPr="00B9447D">
        <w:rPr>
          <w:rFonts w:ascii="Palatino Linotype" w:eastAsia="Palatino Linotype" w:hAnsi="Palatino Linotype" w:cs="Palatino Linotype"/>
        </w:rPr>
        <w:lastRenderedPageBreak/>
        <w:t>Transparencia y Acceso a la Información Pública del Estado de México y Municipios, que a la letra señalan:  </w:t>
      </w:r>
    </w:p>
    <w:p w14:paraId="520E7129" w14:textId="77777777" w:rsidR="00E10EB6" w:rsidRPr="00B9447D" w:rsidRDefault="00E10EB6">
      <w:pPr>
        <w:spacing w:after="0" w:line="360" w:lineRule="auto"/>
        <w:jc w:val="both"/>
      </w:pPr>
    </w:p>
    <w:p w14:paraId="0F181CF8" w14:textId="77777777" w:rsidR="00E10EB6" w:rsidRPr="00B9447D" w:rsidRDefault="00C023E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B9447D">
        <w:rPr>
          <w:rFonts w:ascii="Palatino Linotype" w:eastAsia="Palatino Linotype" w:hAnsi="Palatino Linotype" w:cs="Palatino Linotype"/>
          <w:b/>
          <w:i/>
        </w:rPr>
        <w:t>Código de Procedimientos Administrativos del Estado de México</w:t>
      </w:r>
    </w:p>
    <w:p w14:paraId="2B1C1F3A" w14:textId="77777777" w:rsidR="00E10EB6" w:rsidRPr="00B9447D" w:rsidRDefault="00C023E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B9447D">
        <w:rPr>
          <w:rFonts w:ascii="Palatino Linotype" w:eastAsia="Palatino Linotype" w:hAnsi="Palatino Linotype" w:cs="Palatino Linotype"/>
          <w:b/>
          <w:i/>
        </w:rPr>
        <w:t>“Artículo 18.-</w:t>
      </w:r>
      <w:r w:rsidRPr="00B9447D">
        <w:rPr>
          <w:rFonts w:ascii="Palatino Linotype" w:eastAsia="Palatino Linotype" w:hAnsi="Palatino Linotype" w:cs="Palatino Linotype"/>
          <w:i/>
        </w:rPr>
        <w:t xml:space="preserve"> </w:t>
      </w:r>
      <w:r w:rsidRPr="00B9447D">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B9447D">
        <w:rPr>
          <w:rFonts w:ascii="Palatino Linotype" w:eastAsia="Palatino Linotype" w:hAnsi="Palatino Linotype" w:cs="Palatino Linotype"/>
          <w:i/>
        </w:rPr>
        <w:t xml:space="preserve"> o a petición de parte, </w:t>
      </w:r>
      <w:r w:rsidRPr="00B9447D">
        <w:rPr>
          <w:rFonts w:ascii="Palatino Linotype" w:eastAsia="Palatino Linotype" w:hAnsi="Palatino Linotype" w:cs="Palatino Linotype"/>
          <w:b/>
          <w:i/>
        </w:rPr>
        <w:t>cuando las partes</w:t>
      </w:r>
      <w:r w:rsidRPr="00B9447D">
        <w:rPr>
          <w:rFonts w:ascii="Palatino Linotype" w:eastAsia="Palatino Linotype" w:hAnsi="Palatino Linotype" w:cs="Palatino Linotype"/>
          <w:i/>
        </w:rPr>
        <w:t xml:space="preserve"> o los actos administrativos sean iguales, se trate de actos conexos o </w:t>
      </w:r>
      <w:r w:rsidRPr="00B9447D">
        <w:rPr>
          <w:rFonts w:ascii="Palatino Linotype" w:eastAsia="Palatino Linotype" w:hAnsi="Palatino Linotype" w:cs="Palatino Linotype"/>
          <w:b/>
          <w:i/>
        </w:rPr>
        <w:t>resulte conveniente el trámite unificado de los asuntos, para evitar la emisión de resoluciones contradictorias</w:t>
      </w:r>
      <w:r w:rsidRPr="00B9447D">
        <w:rPr>
          <w:rFonts w:ascii="Palatino Linotype" w:eastAsia="Palatino Linotype" w:hAnsi="Palatino Linotype" w:cs="Palatino Linotype"/>
          <w:i/>
        </w:rPr>
        <w:t>. La misma regla se aplicará, en lo conducente, para la separación de los expedientes.”</w:t>
      </w:r>
    </w:p>
    <w:p w14:paraId="70E6B255" w14:textId="77777777" w:rsidR="00E10EB6" w:rsidRPr="00B9447D" w:rsidRDefault="00C023E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B9447D">
        <w:rPr>
          <w:rFonts w:ascii="Palatino Linotype" w:eastAsia="Palatino Linotype" w:hAnsi="Palatino Linotype" w:cs="Palatino Linotype"/>
          <w:b/>
          <w:i/>
        </w:rPr>
        <w:t>Ley de Transparencia y Acceso a la Información Pública del Estado de México y Municipios</w:t>
      </w:r>
    </w:p>
    <w:p w14:paraId="5D5464E8" w14:textId="77777777" w:rsidR="00E10EB6" w:rsidRPr="00B9447D" w:rsidRDefault="00C023E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B9447D">
        <w:rPr>
          <w:rFonts w:ascii="Palatino Linotype" w:eastAsia="Palatino Linotype" w:hAnsi="Palatino Linotype" w:cs="Palatino Linotype"/>
          <w:b/>
          <w:i/>
        </w:rPr>
        <w:t>“Artículo 195.-</w:t>
      </w:r>
      <w:r w:rsidRPr="00B9447D">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09B00634" w14:textId="77777777" w:rsidR="00E10EB6" w:rsidRPr="00B9447D" w:rsidRDefault="00E10EB6">
      <w:pPr>
        <w:spacing w:after="0" w:line="360" w:lineRule="auto"/>
        <w:ind w:right="49"/>
        <w:jc w:val="both"/>
        <w:rPr>
          <w:rFonts w:ascii="Palatino Linotype" w:eastAsia="Palatino Linotype" w:hAnsi="Palatino Linotype" w:cs="Palatino Linotype"/>
        </w:rPr>
      </w:pPr>
    </w:p>
    <w:p w14:paraId="40EABE46"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B9447D">
        <w:rPr>
          <w:rFonts w:ascii="Palatino Linotype" w:eastAsia="Palatino Linotype" w:hAnsi="Palatino Linotype" w:cs="Palatino Linotype"/>
          <w:b/>
        </w:rPr>
        <w:t>Recurrente</w:t>
      </w:r>
      <w:r w:rsidRPr="00B9447D">
        <w:rPr>
          <w:rFonts w:ascii="Palatino Linotype" w:eastAsia="Palatino Linotype" w:hAnsi="Palatino Linotype" w:cs="Palatino Linotype"/>
        </w:rPr>
        <w:t xml:space="preserve"> ante el mismo </w:t>
      </w:r>
      <w:r w:rsidRPr="00B9447D">
        <w:rPr>
          <w:rFonts w:ascii="Palatino Linotype" w:eastAsia="Palatino Linotype" w:hAnsi="Palatino Linotype" w:cs="Palatino Linotype"/>
          <w:b/>
        </w:rPr>
        <w:t>Sujeto Obligado</w:t>
      </w:r>
      <w:r w:rsidRPr="00B9447D">
        <w:rPr>
          <w:rFonts w:ascii="Palatino Linotype" w:eastAsia="Palatino Linotype" w:hAnsi="Palatino Linotype" w:cs="Palatino Linotype"/>
        </w:rPr>
        <w:t>, razón por la cual, la Comisionada Ponente consideró que resultaba conveniente su acumulación a efecto de que formulara y presentara el proyecto de resolución correspondiente.</w:t>
      </w:r>
    </w:p>
    <w:p w14:paraId="089264EA" w14:textId="77777777" w:rsidR="00E10EB6" w:rsidRPr="00B9447D" w:rsidRDefault="00E10EB6">
      <w:pPr>
        <w:spacing w:after="0" w:line="360" w:lineRule="auto"/>
        <w:ind w:right="49"/>
        <w:jc w:val="both"/>
        <w:rPr>
          <w:rFonts w:ascii="Palatino Linotype" w:eastAsia="Palatino Linotype" w:hAnsi="Palatino Linotype" w:cs="Palatino Linotype"/>
        </w:rPr>
      </w:pPr>
    </w:p>
    <w:p w14:paraId="7336248B" w14:textId="77777777" w:rsidR="00E10EB6" w:rsidRPr="00B9447D" w:rsidRDefault="00C023E0">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bookmarkStart w:id="3" w:name="_heading=h.mllp53sufioc" w:colFirst="0" w:colLast="0"/>
      <w:bookmarkEnd w:id="3"/>
      <w:r w:rsidRPr="00B9447D">
        <w:rPr>
          <w:rFonts w:ascii="Palatino Linotype" w:eastAsia="Palatino Linotype" w:hAnsi="Palatino Linotype" w:cs="Palatino Linotype"/>
          <w:b/>
        </w:rPr>
        <w:t>Cierre de instrucción</w:t>
      </w:r>
      <w:r w:rsidRPr="00B9447D">
        <w:rPr>
          <w:rFonts w:ascii="Palatino Linotype" w:eastAsia="Palatino Linotype" w:hAnsi="Palatino Linotype" w:cs="Palatino Linotype"/>
        </w:rPr>
        <w:t xml:space="preserve">. En fecha </w:t>
      </w:r>
      <w:r w:rsidRPr="00B9447D">
        <w:rPr>
          <w:rFonts w:ascii="Palatino Linotype" w:eastAsia="Palatino Linotype" w:hAnsi="Palatino Linotype" w:cs="Palatino Linotype"/>
          <w:b/>
        </w:rPr>
        <w:t>diecinueve de marzo de dos mil veinticinco</w:t>
      </w:r>
      <w:r w:rsidRPr="00B9447D">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F24E9E5" w14:textId="77777777" w:rsidR="00E10EB6" w:rsidRPr="00B9447D" w:rsidRDefault="00E10EB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62DEAB4"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lastRenderedPageBreak/>
        <w:t xml:space="preserve">Debido a que fueron debidamente sustanciados los expedientes electrónicos y no existe diligencia pendiente de desahogo, se emite la Resolución que conforme a Derecho proceda, de acuerdo con los siguientes: </w:t>
      </w:r>
    </w:p>
    <w:p w14:paraId="6A91E69C" w14:textId="77777777" w:rsidR="00E10EB6" w:rsidRPr="00B9447D" w:rsidRDefault="00E10EB6">
      <w:pPr>
        <w:spacing w:after="0" w:line="360" w:lineRule="auto"/>
        <w:ind w:right="49"/>
        <w:jc w:val="both"/>
        <w:rPr>
          <w:rFonts w:ascii="Palatino Linotype" w:eastAsia="Palatino Linotype" w:hAnsi="Palatino Linotype" w:cs="Palatino Linotype"/>
        </w:rPr>
      </w:pPr>
    </w:p>
    <w:p w14:paraId="7A48EC19" w14:textId="77777777" w:rsidR="00E10EB6" w:rsidRPr="00B9447D" w:rsidRDefault="00C023E0">
      <w:pPr>
        <w:spacing w:after="0" w:line="360" w:lineRule="auto"/>
        <w:ind w:right="49"/>
        <w:jc w:val="center"/>
        <w:rPr>
          <w:rFonts w:ascii="Palatino Linotype" w:eastAsia="Palatino Linotype" w:hAnsi="Palatino Linotype" w:cs="Palatino Linotype"/>
          <w:b/>
        </w:rPr>
      </w:pPr>
      <w:r w:rsidRPr="00B9447D">
        <w:rPr>
          <w:rFonts w:ascii="Palatino Linotype" w:eastAsia="Palatino Linotype" w:hAnsi="Palatino Linotype" w:cs="Palatino Linotype"/>
          <w:b/>
        </w:rPr>
        <w:t>II.</w:t>
      </w:r>
      <w:r w:rsidRPr="00B9447D">
        <w:rPr>
          <w:rFonts w:ascii="Palatino Linotype" w:eastAsia="Palatino Linotype" w:hAnsi="Palatino Linotype" w:cs="Palatino Linotype"/>
          <w:b/>
        </w:rPr>
        <w:tab/>
        <w:t>C O N S I D E R A N D O:</w:t>
      </w:r>
    </w:p>
    <w:p w14:paraId="5A967DD5" w14:textId="77777777" w:rsidR="00E10EB6" w:rsidRPr="00B9447D" w:rsidRDefault="00E10EB6">
      <w:pPr>
        <w:spacing w:after="0" w:line="360" w:lineRule="auto"/>
        <w:ind w:right="49"/>
        <w:jc w:val="both"/>
        <w:rPr>
          <w:rFonts w:ascii="Palatino Linotype" w:eastAsia="Palatino Linotype" w:hAnsi="Palatino Linotype" w:cs="Palatino Linotype"/>
        </w:rPr>
      </w:pPr>
    </w:p>
    <w:p w14:paraId="5A662CDE"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b/>
        </w:rPr>
        <w:t xml:space="preserve">Primero. Competencia. </w:t>
      </w:r>
      <w:r w:rsidRPr="00B9447D">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CD42E59"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b/>
        </w:rPr>
        <w:t>Segundo. Oportunidad y Procedibilidad del Recurso de Revisión.</w:t>
      </w:r>
      <w:r w:rsidRPr="00B9447D">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1302BCD0"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B9447D">
        <w:rPr>
          <w:rFonts w:ascii="Palatino Linotype" w:eastAsia="Palatino Linotype" w:hAnsi="Palatino Linotype" w:cs="Palatino Linotype"/>
          <w:b/>
        </w:rPr>
        <w:t>SUJETO OBLIGADO</w:t>
      </w:r>
      <w:r w:rsidRPr="00B9447D">
        <w:rPr>
          <w:rFonts w:ascii="Palatino Linotype" w:eastAsia="Palatino Linotype" w:hAnsi="Palatino Linotype" w:cs="Palatino Linotype"/>
        </w:rPr>
        <w:t xml:space="preserve"> remitió las respuestas a las solicitudes de información y los recursos de revisión fueron interpuestos por la parte </w:t>
      </w:r>
      <w:r w:rsidRPr="00B9447D">
        <w:rPr>
          <w:rFonts w:ascii="Palatino Linotype" w:eastAsia="Palatino Linotype" w:hAnsi="Palatino Linotype" w:cs="Palatino Linotype"/>
          <w:b/>
        </w:rPr>
        <w:t xml:space="preserve">RECURRENTE </w:t>
      </w:r>
      <w:r w:rsidRPr="00B9447D">
        <w:rPr>
          <w:rFonts w:ascii="Palatino Linotype" w:eastAsia="Palatino Linotype" w:hAnsi="Palatino Linotype" w:cs="Palatino Linotype"/>
        </w:rPr>
        <w:t>en los siguientes días:</w:t>
      </w:r>
    </w:p>
    <w:p w14:paraId="6B123F0B" w14:textId="77777777" w:rsidR="00E10EB6" w:rsidRPr="00B9447D" w:rsidRDefault="00E10EB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096DC7" w14:textId="77777777" w:rsidR="00E10EB6" w:rsidRPr="00B9447D" w:rsidRDefault="00C023E0">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El Sujeto Obligado emitió respuestas el </w:t>
      </w:r>
      <w:r w:rsidRPr="00B9447D">
        <w:rPr>
          <w:rFonts w:ascii="Palatino Linotype" w:eastAsia="Palatino Linotype" w:hAnsi="Palatino Linotype" w:cs="Palatino Linotype"/>
          <w:b/>
        </w:rPr>
        <w:t xml:space="preserve">veintitrés y veintiocho de enero, así como el cuatro de febrero de dos mil veinticinco </w:t>
      </w:r>
      <w:r w:rsidRPr="00B9447D">
        <w:rPr>
          <w:rFonts w:ascii="Palatino Linotype" w:eastAsia="Palatino Linotype" w:hAnsi="Palatino Linotype" w:cs="Palatino Linotype"/>
        </w:rPr>
        <w:t xml:space="preserve">y la parte Recurrente interpuso su recurso de revisión el </w:t>
      </w:r>
      <w:r w:rsidRPr="00B9447D">
        <w:rPr>
          <w:rFonts w:ascii="Palatino Linotype" w:eastAsia="Palatino Linotype" w:hAnsi="Palatino Linotype" w:cs="Palatino Linotype"/>
          <w:b/>
        </w:rPr>
        <w:t>once de febrero de dos mil veinticinco</w:t>
      </w:r>
      <w:r w:rsidRPr="00B9447D">
        <w:rPr>
          <w:rFonts w:ascii="Palatino Linotype" w:eastAsia="Palatino Linotype" w:hAnsi="Palatino Linotype" w:cs="Palatino Linotype"/>
        </w:rPr>
        <w:t xml:space="preserve"> esto es  al décimo segundo, noveno y quinto día hábil  siguiente en que tuvo conocimiento de la respuesta. </w:t>
      </w:r>
    </w:p>
    <w:p w14:paraId="22C52A9C" w14:textId="77777777" w:rsidR="00E10EB6" w:rsidRPr="00B9447D" w:rsidRDefault="00E10EB6">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10068CF"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B9447D">
        <w:rPr>
          <w:rFonts w:ascii="Palatino Linotype" w:eastAsia="Palatino Linotype" w:hAnsi="Palatino Linotype" w:cs="Palatino Linotype"/>
          <w:b/>
        </w:rPr>
        <w:t>SAIMEX</w:t>
      </w:r>
      <w:r w:rsidRPr="00B9447D">
        <w:rPr>
          <w:rFonts w:ascii="Palatino Linotype" w:eastAsia="Palatino Linotype" w:hAnsi="Palatino Linotype" w:cs="Palatino Linotype"/>
        </w:rPr>
        <w:t xml:space="preserve">.  </w:t>
      </w:r>
    </w:p>
    <w:p w14:paraId="07C18147" w14:textId="77777777" w:rsidR="00E10EB6" w:rsidRPr="00B9447D" w:rsidRDefault="00E10EB6">
      <w:pPr>
        <w:spacing w:after="0" w:line="360" w:lineRule="auto"/>
        <w:ind w:right="49"/>
        <w:jc w:val="both"/>
        <w:rPr>
          <w:rFonts w:ascii="Palatino Linotype" w:eastAsia="Palatino Linotype" w:hAnsi="Palatino Linotype" w:cs="Palatino Linotype"/>
        </w:rPr>
      </w:pPr>
    </w:p>
    <w:p w14:paraId="25893D7D"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Finalmente, resulta procedente la interposición de los recursos de revisión al rubro anotado, toda vez que se actualiza la hipótesis de procedencia prevista en el artículo 179, fracción I y V de la Ley de la materia, que a la letra dice:</w:t>
      </w:r>
    </w:p>
    <w:p w14:paraId="1D08A856" w14:textId="77777777" w:rsidR="00E10EB6" w:rsidRPr="00B9447D" w:rsidRDefault="00E10EB6">
      <w:pPr>
        <w:spacing w:after="0" w:line="360" w:lineRule="auto"/>
        <w:ind w:right="49"/>
        <w:jc w:val="both"/>
        <w:rPr>
          <w:rFonts w:ascii="Palatino Linotype" w:eastAsia="Palatino Linotype" w:hAnsi="Palatino Linotype" w:cs="Palatino Linotype"/>
        </w:rPr>
      </w:pPr>
    </w:p>
    <w:p w14:paraId="702EA4BF"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Artículo 179.</w:t>
      </w:r>
      <w:r w:rsidRPr="00B9447D">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873301B"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06094FA8"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I. La negativa de entrega a la información;</w:t>
      </w:r>
    </w:p>
    <w:p w14:paraId="2E419D53"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263D42F5"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V. La entrega de información incompleta;</w:t>
      </w:r>
    </w:p>
    <w:p w14:paraId="173E87A0"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54E5B7B3" w14:textId="77777777" w:rsidR="00E10EB6" w:rsidRPr="00B9447D" w:rsidRDefault="00E10EB6">
      <w:pPr>
        <w:spacing w:after="0" w:line="360" w:lineRule="auto"/>
        <w:ind w:right="49"/>
        <w:jc w:val="both"/>
        <w:rPr>
          <w:rFonts w:ascii="Palatino Linotype" w:eastAsia="Palatino Linotype" w:hAnsi="Palatino Linotype" w:cs="Palatino Linotype"/>
          <w:b/>
        </w:rPr>
      </w:pPr>
    </w:p>
    <w:p w14:paraId="0BC53F2C"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b/>
        </w:rPr>
        <w:t>Tercero. Materia de la revisión</w:t>
      </w:r>
      <w:r w:rsidRPr="00B9447D">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w:t>
      </w:r>
      <w:r w:rsidRPr="00B9447D">
        <w:rPr>
          <w:rFonts w:ascii="Palatino Linotype" w:eastAsia="Palatino Linotype" w:hAnsi="Palatino Linotype" w:cs="Palatino Linotype"/>
        </w:rPr>
        <w:lastRenderedPageBreak/>
        <w:t xml:space="preserve">Transparencia y Acceso a la Información se pronunciará será  determinar, si se actualiza la hipótesis prevista en la fracción I  y V del artículo 179 de la Ley en la materia. </w:t>
      </w:r>
    </w:p>
    <w:p w14:paraId="2915391A" w14:textId="77777777" w:rsidR="00E10EB6" w:rsidRPr="00B9447D" w:rsidRDefault="00E10EB6">
      <w:pPr>
        <w:spacing w:after="0" w:line="360" w:lineRule="auto"/>
        <w:ind w:right="49"/>
        <w:jc w:val="both"/>
        <w:rPr>
          <w:rFonts w:ascii="Palatino Linotype" w:eastAsia="Palatino Linotype" w:hAnsi="Palatino Linotype" w:cs="Palatino Linotype"/>
        </w:rPr>
      </w:pPr>
    </w:p>
    <w:p w14:paraId="2E3C642D"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b/>
        </w:rPr>
        <w:t>Cuarto.</w:t>
      </w:r>
      <w:r w:rsidRPr="00B9447D">
        <w:rPr>
          <w:rFonts w:ascii="Palatino Linotype" w:eastAsia="Palatino Linotype" w:hAnsi="Palatino Linotype" w:cs="Palatino Linotype"/>
        </w:rPr>
        <w:t xml:space="preserve"> </w:t>
      </w:r>
      <w:r w:rsidRPr="00B9447D">
        <w:rPr>
          <w:rFonts w:ascii="Palatino Linotype" w:eastAsia="Palatino Linotype" w:hAnsi="Palatino Linotype" w:cs="Palatino Linotype"/>
          <w:b/>
        </w:rPr>
        <w:t>Estudio de fondo del asunto.</w:t>
      </w:r>
      <w:r w:rsidRPr="00B9447D">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w:t>
      </w:r>
    </w:p>
    <w:p w14:paraId="5DDBE1FF" w14:textId="77777777" w:rsidR="00E10EB6" w:rsidRPr="00B9447D" w:rsidRDefault="00E10EB6">
      <w:pPr>
        <w:spacing w:after="0" w:line="360" w:lineRule="auto"/>
        <w:ind w:right="49"/>
        <w:jc w:val="both"/>
        <w:rPr>
          <w:rFonts w:ascii="Palatino Linotype" w:eastAsia="Palatino Linotype" w:hAnsi="Palatino Linotype" w:cs="Palatino Linotype"/>
        </w:rPr>
      </w:pPr>
    </w:p>
    <w:p w14:paraId="5779D0B2"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7482D6E" w14:textId="77777777" w:rsidR="00E10EB6" w:rsidRPr="00B9447D" w:rsidRDefault="00E10EB6">
      <w:pPr>
        <w:spacing w:after="0" w:line="360" w:lineRule="auto"/>
        <w:ind w:right="49"/>
        <w:jc w:val="both"/>
        <w:rPr>
          <w:rFonts w:ascii="Palatino Linotype" w:eastAsia="Palatino Linotype" w:hAnsi="Palatino Linotype" w:cs="Palatino Linotype"/>
        </w:rPr>
      </w:pPr>
    </w:p>
    <w:p w14:paraId="2703BCF7"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Artículo 4.</w:t>
      </w:r>
      <w:r w:rsidRPr="00B9447D">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57507B3"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B9447D">
        <w:rPr>
          <w:rFonts w:ascii="Palatino Linotype" w:eastAsia="Palatino Linotype" w:hAnsi="Palatino Linotype" w:cs="Palatino Linotype"/>
          <w:i/>
        </w:rPr>
        <w:lastRenderedPageBreak/>
        <w:t>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5B5522C"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81E03EE" w14:textId="77777777" w:rsidR="00E10EB6" w:rsidRPr="00B9447D" w:rsidRDefault="00E10EB6">
      <w:pPr>
        <w:spacing w:after="0" w:line="360" w:lineRule="auto"/>
        <w:ind w:left="567" w:right="560"/>
        <w:jc w:val="both"/>
        <w:rPr>
          <w:rFonts w:ascii="Palatino Linotype" w:eastAsia="Palatino Linotype" w:hAnsi="Palatino Linotype" w:cs="Palatino Linotype"/>
          <w:i/>
        </w:rPr>
      </w:pPr>
    </w:p>
    <w:p w14:paraId="52897FCD"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FF8BA1A" w14:textId="77777777" w:rsidR="00E10EB6" w:rsidRPr="00B9447D" w:rsidRDefault="00E10EB6">
      <w:pPr>
        <w:spacing w:after="0" w:line="360" w:lineRule="auto"/>
        <w:ind w:right="49"/>
        <w:jc w:val="both"/>
        <w:rPr>
          <w:rFonts w:ascii="Palatino Linotype" w:eastAsia="Palatino Linotype" w:hAnsi="Palatino Linotype" w:cs="Palatino Linotype"/>
        </w:rPr>
      </w:pPr>
    </w:p>
    <w:p w14:paraId="04088776"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Artículo 12.</w:t>
      </w:r>
      <w:r w:rsidRPr="00B9447D">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64171D6"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7B912E2" w14:textId="77777777" w:rsidR="00E10EB6" w:rsidRPr="00B9447D" w:rsidRDefault="00E10EB6">
      <w:pPr>
        <w:spacing w:after="0" w:line="360" w:lineRule="auto"/>
        <w:ind w:right="49"/>
        <w:jc w:val="both"/>
        <w:rPr>
          <w:rFonts w:ascii="Palatino Linotype" w:eastAsia="Palatino Linotype" w:hAnsi="Palatino Linotype" w:cs="Palatino Linotype"/>
        </w:rPr>
      </w:pPr>
    </w:p>
    <w:p w14:paraId="02163069"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w:t>
      </w:r>
      <w:r w:rsidRPr="00B9447D">
        <w:rPr>
          <w:rFonts w:ascii="Palatino Linotype" w:eastAsia="Palatino Linotype" w:hAnsi="Palatino Linotype" w:cs="Palatino Linotype"/>
        </w:rPr>
        <w:lastRenderedPageBreak/>
        <w:t>03/17 emitido por el entonces Instituto Nacional de Transparencia, Acceso a la Información Pública y Protección de Datos Personales, el cual señala lo siguiente:</w:t>
      </w:r>
    </w:p>
    <w:p w14:paraId="284BEA7D" w14:textId="77777777" w:rsidR="00E10EB6" w:rsidRPr="00B9447D" w:rsidRDefault="00E10EB6">
      <w:pPr>
        <w:spacing w:after="0" w:line="360" w:lineRule="auto"/>
        <w:ind w:right="49"/>
        <w:jc w:val="both"/>
        <w:rPr>
          <w:rFonts w:ascii="Palatino Linotype" w:eastAsia="Palatino Linotype" w:hAnsi="Palatino Linotype" w:cs="Palatino Linotype"/>
        </w:rPr>
      </w:pPr>
    </w:p>
    <w:p w14:paraId="036F75B0" w14:textId="77777777" w:rsidR="00E10EB6" w:rsidRPr="00B9447D" w:rsidRDefault="00C023E0">
      <w:pPr>
        <w:spacing w:after="0"/>
        <w:ind w:left="567" w:right="560"/>
        <w:jc w:val="both"/>
        <w:rPr>
          <w:rFonts w:ascii="Palatino Linotype" w:eastAsia="Palatino Linotype" w:hAnsi="Palatino Linotype" w:cs="Palatino Linotype"/>
          <w:b/>
          <w:i/>
        </w:rPr>
      </w:pPr>
      <w:r w:rsidRPr="00B9447D">
        <w:rPr>
          <w:rFonts w:ascii="Palatino Linotype" w:eastAsia="Palatino Linotype" w:hAnsi="Palatino Linotype" w:cs="Palatino Linotype"/>
          <w:b/>
          <w:i/>
        </w:rPr>
        <w:t>Criterio 03/17</w:t>
      </w:r>
    </w:p>
    <w:p w14:paraId="660294DC"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b/>
          <w:i/>
        </w:rPr>
        <w:t xml:space="preserve">“NO EXISTE OBLIGACIÓN DE ELABORAR DOCUMENTOS AD HOC PARA ATENDER LAS SOLICITUDES DE ACCESO A LA INFORMACIÓN. </w:t>
      </w:r>
      <w:r w:rsidRPr="00B9447D">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C15B768" w14:textId="77777777" w:rsidR="00E10EB6" w:rsidRPr="00B9447D" w:rsidRDefault="00E10EB6">
      <w:pPr>
        <w:spacing w:after="0" w:line="360" w:lineRule="auto"/>
        <w:ind w:left="567" w:right="560"/>
        <w:jc w:val="both"/>
        <w:rPr>
          <w:rFonts w:ascii="Palatino Linotype" w:eastAsia="Palatino Linotype" w:hAnsi="Palatino Linotype" w:cs="Palatino Linotype"/>
          <w:b/>
          <w:i/>
        </w:rPr>
      </w:pPr>
    </w:p>
    <w:p w14:paraId="3829D172"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54D2E3"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C2B2B73" w14:textId="77777777" w:rsidR="00E10EB6" w:rsidRPr="00B9447D" w:rsidRDefault="00E10EB6">
      <w:pPr>
        <w:spacing w:after="0" w:line="360" w:lineRule="auto"/>
        <w:ind w:right="49"/>
        <w:jc w:val="both"/>
        <w:rPr>
          <w:rFonts w:ascii="Palatino Linotype" w:eastAsia="Palatino Linotype" w:hAnsi="Palatino Linotype" w:cs="Palatino Linotype"/>
        </w:rPr>
      </w:pPr>
    </w:p>
    <w:p w14:paraId="2F2EC494"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0382786" w14:textId="77777777" w:rsidR="00E10EB6" w:rsidRPr="00B9447D" w:rsidRDefault="00E10EB6">
      <w:pPr>
        <w:spacing w:after="0" w:line="360" w:lineRule="auto"/>
        <w:ind w:right="49"/>
        <w:jc w:val="both"/>
        <w:rPr>
          <w:rFonts w:ascii="Palatino Linotype" w:eastAsia="Palatino Linotype" w:hAnsi="Palatino Linotype" w:cs="Palatino Linotype"/>
        </w:rPr>
      </w:pPr>
    </w:p>
    <w:p w14:paraId="75511DA3"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Artículo 3.</w:t>
      </w:r>
      <w:r w:rsidRPr="00B9447D">
        <w:rPr>
          <w:rFonts w:ascii="Palatino Linotype" w:eastAsia="Palatino Linotype" w:hAnsi="Palatino Linotype" w:cs="Palatino Linotype"/>
          <w:i/>
        </w:rPr>
        <w:t xml:space="preserve"> Para los efectos de la presente Ley se entenderá por:</w:t>
      </w:r>
    </w:p>
    <w:p w14:paraId="43EAEDE0"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26B4875D"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b/>
          <w:i/>
        </w:rPr>
        <w:t>XI. Documento:</w:t>
      </w:r>
      <w:r w:rsidRPr="00B9447D">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6B9BE38" w14:textId="77777777" w:rsidR="00E10EB6" w:rsidRPr="00B9447D" w:rsidRDefault="00E10EB6">
      <w:pPr>
        <w:spacing w:after="0" w:line="360" w:lineRule="auto"/>
        <w:ind w:right="49"/>
        <w:jc w:val="both"/>
        <w:rPr>
          <w:rFonts w:ascii="Palatino Linotype" w:eastAsia="Palatino Linotype" w:hAnsi="Palatino Linotype" w:cs="Palatino Linotype"/>
        </w:rPr>
      </w:pPr>
    </w:p>
    <w:p w14:paraId="4EC35677"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6D8F144" w14:textId="77777777" w:rsidR="00E10EB6" w:rsidRPr="00B9447D" w:rsidRDefault="00E10EB6">
      <w:pPr>
        <w:spacing w:after="0" w:line="360" w:lineRule="auto"/>
        <w:ind w:right="49"/>
        <w:jc w:val="both"/>
        <w:rPr>
          <w:rFonts w:ascii="Palatino Linotype" w:eastAsia="Palatino Linotype" w:hAnsi="Palatino Linotype" w:cs="Palatino Linotype"/>
        </w:rPr>
      </w:pPr>
    </w:p>
    <w:p w14:paraId="3BAC95F8" w14:textId="77777777" w:rsidR="00E10EB6" w:rsidRPr="00B9447D" w:rsidRDefault="00C023E0">
      <w:pPr>
        <w:spacing w:after="0"/>
        <w:ind w:left="567" w:right="560"/>
        <w:jc w:val="both"/>
        <w:rPr>
          <w:rFonts w:ascii="Palatino Linotype" w:eastAsia="Palatino Linotype" w:hAnsi="Palatino Linotype" w:cs="Palatino Linotype"/>
          <w:b/>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CRITERIO 0002-11</w:t>
      </w:r>
    </w:p>
    <w:p w14:paraId="670223E2"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9447D">
        <w:rPr>
          <w:rFonts w:ascii="Palatino Linotype" w:eastAsia="Palatino Linotype" w:hAnsi="Palatino Linotype" w:cs="Palatino Linotype"/>
          <w:i/>
        </w:rPr>
        <w:t xml:space="preserve"> De conformidad con los artículos antes </w:t>
      </w:r>
      <w:r w:rsidRPr="00B9447D">
        <w:rPr>
          <w:rFonts w:ascii="Palatino Linotype" w:eastAsia="Palatino Linotype" w:hAnsi="Palatino Linotype" w:cs="Palatino Linotype"/>
          <w:i/>
        </w:rPr>
        <w:lastRenderedPageBreak/>
        <w:t>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827784E"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En consecuencia el acceso a la información se refiere a que se cumplan cualquiera de los siguientes tres supuestos:</w:t>
      </w:r>
    </w:p>
    <w:p w14:paraId="7D3F350E"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1)</w:t>
      </w:r>
      <w:r w:rsidRPr="00B9447D">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7CE3496D"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2)</w:t>
      </w:r>
      <w:r w:rsidRPr="00B9447D">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3684D7CE" w14:textId="77777777" w:rsidR="00E10EB6" w:rsidRPr="00B9447D" w:rsidRDefault="00C023E0">
      <w:pPr>
        <w:spacing w:after="0"/>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157C165" w14:textId="77777777" w:rsidR="00E10EB6" w:rsidRPr="00B9447D" w:rsidRDefault="00E10EB6">
      <w:pPr>
        <w:spacing w:after="0" w:line="360" w:lineRule="auto"/>
        <w:ind w:right="49"/>
        <w:jc w:val="both"/>
        <w:rPr>
          <w:rFonts w:ascii="Palatino Linotype" w:eastAsia="Palatino Linotype" w:hAnsi="Palatino Linotype" w:cs="Palatino Linotype"/>
        </w:rPr>
      </w:pPr>
    </w:p>
    <w:p w14:paraId="3EA30513"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F068B63" w14:textId="77777777" w:rsidR="00E10EB6" w:rsidRPr="00B9447D" w:rsidRDefault="00E10EB6">
      <w:pPr>
        <w:spacing w:after="0" w:line="360" w:lineRule="auto"/>
        <w:ind w:right="49"/>
        <w:jc w:val="both"/>
        <w:rPr>
          <w:rFonts w:ascii="Palatino Linotype" w:eastAsia="Palatino Linotype" w:hAnsi="Palatino Linotype" w:cs="Palatino Linotype"/>
        </w:rPr>
      </w:pPr>
    </w:p>
    <w:p w14:paraId="091E1482" w14:textId="77777777" w:rsidR="00E10EB6" w:rsidRPr="00B9447D" w:rsidRDefault="00C023E0">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Ahora bien, es de recordar que la parte Recurrente solicitó la siguiente información:</w:t>
      </w:r>
    </w:p>
    <w:p w14:paraId="620573E6" w14:textId="77777777" w:rsidR="00E10EB6" w:rsidRPr="00B9447D" w:rsidRDefault="00C023E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B9447D">
        <w:rPr>
          <w:rFonts w:ascii="Palatino Linotype" w:eastAsia="Palatino Linotype" w:hAnsi="Palatino Linotype" w:cs="Palatino Linotype"/>
        </w:rPr>
        <w:t xml:space="preserve">Oficios enviados y recibidos por Secretaria del Ayuntamiento durante el primer semestre de los años 2022 y 2024 mismos que se enviaron a presidencia. </w:t>
      </w:r>
    </w:p>
    <w:p w14:paraId="063C32FF" w14:textId="77777777" w:rsidR="00E10EB6" w:rsidRPr="00B9447D" w:rsidRDefault="00C023E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Correspondencia enviada y recibida por la Tesorería Municipal, durante enero y febrero de los años 2022, 2023 y 2024.</w:t>
      </w:r>
    </w:p>
    <w:p w14:paraId="4E7D1E74" w14:textId="77777777" w:rsidR="00E10EB6" w:rsidRPr="00B9447D" w:rsidRDefault="00C023E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Correspondencia enviada y recibida por la Tesorería Municipal durante marzo y abril de los años 2023 y 2024. </w:t>
      </w:r>
    </w:p>
    <w:p w14:paraId="31061C5C" w14:textId="77777777" w:rsidR="00E10EB6" w:rsidRPr="00B9447D" w:rsidRDefault="00C023E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lastRenderedPageBreak/>
        <w:t xml:space="preserve">Correspondencia enviada y recibida por la Tesorería Municipal durante julio a agosto 2024. </w:t>
      </w:r>
    </w:p>
    <w:p w14:paraId="527AD58E" w14:textId="77777777" w:rsidR="00E10EB6" w:rsidRPr="00B9447D" w:rsidRDefault="00C023E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Oficios enviados y recibidos por la Dirección de Desarrollo Económico durante enero, febrero, marzo, abril, mayo, junio y julio del año 2022, marzo, abril, septiembre y octubre del año 2023, marzo, abril, julio, agosto, noviembre y diciembre del año 2024.</w:t>
      </w:r>
    </w:p>
    <w:p w14:paraId="4D5F8426" w14:textId="77777777" w:rsidR="00E10EB6" w:rsidRPr="00B9447D" w:rsidRDefault="00C023E0">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Oficios enviados y recibidos de la Dirección de Gobierno y Reglamentación durante el periodo de marzo, abril, julio y agosto del año 2022, marzo, abril, mayo y junio 2023, enero y febrero 2024.</w:t>
      </w:r>
    </w:p>
    <w:p w14:paraId="645D7E4B" w14:textId="77777777" w:rsidR="00E10EB6" w:rsidRPr="00B9447D" w:rsidRDefault="00E10EB6">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p>
    <w:p w14:paraId="71C2F0F0" w14:textId="77777777" w:rsidR="00E10EB6" w:rsidRPr="00B9447D" w:rsidRDefault="00C023E0">
      <w:p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En respuesta, el Sujeto Obligado remitió diversos oficios de conformidad con la temporalidad requerida por el Solicitante, no obstante, este se inconformó arguyendo medularmente la negativa de entrega de la información y la entrega de información incompleta. </w:t>
      </w:r>
    </w:p>
    <w:p w14:paraId="5EA22464"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D5AFE40" w14:textId="77777777" w:rsidR="00E10EB6" w:rsidRPr="00B9447D" w:rsidRDefault="00C023E0">
      <w:p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En  cada uno de los Recursos de Revisión, las partes fueron omisas en rendir manifestaciones. </w:t>
      </w:r>
    </w:p>
    <w:p w14:paraId="76D8A2A1"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FE40255" w14:textId="77777777" w:rsidR="00E10EB6" w:rsidRPr="00B9447D" w:rsidRDefault="00C023E0">
      <w:p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Dicho lo anterior, se procede a contextualizar la información solicitada, al tenor de lo siguiente: </w:t>
      </w:r>
    </w:p>
    <w:p w14:paraId="193A5CDC"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F091FA3"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C0FA780"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F99B9F0" w14:textId="77777777" w:rsidR="00E10EB6" w:rsidRPr="00B9447D" w:rsidRDefault="00C023E0">
      <w:pPr>
        <w:numPr>
          <w:ilvl w:val="0"/>
          <w:numId w:val="5"/>
        </w:numPr>
        <w:pBdr>
          <w:top w:val="nil"/>
          <w:left w:val="nil"/>
          <w:bottom w:val="nil"/>
          <w:right w:val="nil"/>
          <w:between w:val="nil"/>
        </w:pBdr>
        <w:spacing w:after="0" w:line="360" w:lineRule="auto"/>
        <w:ind w:right="134"/>
        <w:jc w:val="both"/>
        <w:rPr>
          <w:rFonts w:ascii="Palatino Linotype" w:eastAsia="Palatino Linotype" w:hAnsi="Palatino Linotype" w:cs="Palatino Linotype"/>
        </w:rPr>
      </w:pPr>
      <w:r w:rsidRPr="00B9447D">
        <w:rPr>
          <w:rFonts w:ascii="Palatino Linotype" w:eastAsia="Palatino Linotype" w:hAnsi="Palatino Linotype" w:cs="Palatino Linotype"/>
          <w:b/>
        </w:rPr>
        <w:t xml:space="preserve">De los oficios y la correspondencia. </w:t>
      </w:r>
    </w:p>
    <w:p w14:paraId="177ED6E6" w14:textId="77777777" w:rsidR="00E10EB6" w:rsidRPr="00B9447D" w:rsidRDefault="00E10EB6">
      <w:pPr>
        <w:spacing w:after="0" w:line="360" w:lineRule="auto"/>
        <w:ind w:right="134"/>
        <w:jc w:val="both"/>
        <w:rPr>
          <w:rFonts w:ascii="Palatino Linotype" w:eastAsia="Palatino Linotype" w:hAnsi="Palatino Linotype" w:cs="Palatino Linotype"/>
        </w:rPr>
      </w:pPr>
    </w:p>
    <w:p w14:paraId="7806FD8F"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Es, es de precisar que la palabra </w:t>
      </w:r>
      <w:r w:rsidRPr="00B9447D">
        <w:rPr>
          <w:rFonts w:ascii="Palatino Linotype" w:eastAsia="Palatino Linotype" w:hAnsi="Palatino Linotype" w:cs="Palatino Linotype"/>
          <w:i/>
        </w:rPr>
        <w:t>“oficio”,</w:t>
      </w:r>
      <w:r w:rsidRPr="00B9447D">
        <w:rPr>
          <w:rFonts w:ascii="Palatino Linotype" w:eastAsia="Palatino Linotype" w:hAnsi="Palatino Linotype" w:cs="Palatino Linotype"/>
        </w:rPr>
        <w:t xml:space="preserve"> es entendida como aquel documento que emite un organismo oficial, cuyo fin es comunicar una actuación administrativa, en cuanto hace a la </w:t>
      </w:r>
      <w:r w:rsidRPr="00B9447D">
        <w:rPr>
          <w:rFonts w:ascii="Palatino Linotype" w:eastAsia="Palatino Linotype" w:hAnsi="Palatino Linotype" w:cs="Palatino Linotype"/>
          <w:i/>
        </w:rPr>
        <w:t xml:space="preserve">“correspondencia” </w:t>
      </w:r>
      <w:r w:rsidRPr="00B9447D">
        <w:rPr>
          <w:rFonts w:ascii="Palatino Linotype" w:eastAsia="Palatino Linotype" w:hAnsi="Palatino Linotype" w:cs="Palatino Linotype"/>
        </w:rPr>
        <w:t xml:space="preserve">es la comunicación escrita que se intercambia entre dos o más personas, en lo que respecta a nuestra materia, se tiene que la Ley de Transparencia y Acceso a la </w:t>
      </w:r>
      <w:r w:rsidRPr="00B9447D">
        <w:rPr>
          <w:rFonts w:ascii="Palatino Linotype" w:eastAsia="Palatino Linotype" w:hAnsi="Palatino Linotype" w:cs="Palatino Linotype"/>
        </w:rPr>
        <w:lastRenderedPageBreak/>
        <w:t xml:space="preserve">Información Pública del Estado de México y Municipios, prevé en su artículo 3, fracción XI, lo siguiente: </w:t>
      </w:r>
    </w:p>
    <w:p w14:paraId="3F3A4625" w14:textId="77777777" w:rsidR="00E10EB6" w:rsidRPr="00B9447D" w:rsidRDefault="00E10EB6">
      <w:pPr>
        <w:spacing w:after="0" w:line="360" w:lineRule="auto"/>
        <w:ind w:right="49"/>
        <w:jc w:val="both"/>
        <w:rPr>
          <w:rFonts w:ascii="Palatino Linotype" w:eastAsia="Palatino Linotype" w:hAnsi="Palatino Linotype" w:cs="Palatino Linotype"/>
        </w:rPr>
      </w:pPr>
    </w:p>
    <w:p w14:paraId="39A1C233" w14:textId="77777777" w:rsidR="00E10EB6" w:rsidRPr="00B9447D" w:rsidRDefault="00C023E0">
      <w:pPr>
        <w:spacing w:after="0"/>
        <w:ind w:left="567" w:right="843"/>
        <w:jc w:val="both"/>
        <w:rPr>
          <w:rFonts w:ascii="Palatino Linotype" w:eastAsia="Palatino Linotype" w:hAnsi="Palatino Linotype" w:cs="Palatino Linotype"/>
          <w:i/>
        </w:rPr>
      </w:pPr>
      <w:r w:rsidRPr="00B9447D">
        <w:rPr>
          <w:rFonts w:ascii="Palatino Linotype" w:eastAsia="Palatino Linotype" w:hAnsi="Palatino Linotype" w:cs="Palatino Linotype"/>
          <w:b/>
          <w:i/>
        </w:rPr>
        <w:t>Artículo 3.</w:t>
      </w:r>
      <w:r w:rsidRPr="00B9447D">
        <w:rPr>
          <w:rFonts w:ascii="Palatino Linotype" w:eastAsia="Palatino Linotype" w:hAnsi="Palatino Linotype" w:cs="Palatino Linotype"/>
          <w:i/>
        </w:rPr>
        <w:t xml:space="preserve"> Para los efectos de la presente Ley se entenderá por:</w:t>
      </w:r>
    </w:p>
    <w:p w14:paraId="0DA3E051" w14:textId="77777777" w:rsidR="00E10EB6" w:rsidRPr="00B9447D" w:rsidRDefault="00C023E0">
      <w:pPr>
        <w:spacing w:after="0"/>
        <w:ind w:left="567" w:right="843"/>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62E14955" w14:textId="77777777" w:rsidR="00E10EB6" w:rsidRPr="00B9447D" w:rsidRDefault="00C023E0">
      <w:pPr>
        <w:spacing w:after="0"/>
        <w:ind w:left="567" w:right="843"/>
        <w:jc w:val="both"/>
        <w:rPr>
          <w:rFonts w:ascii="Palatino Linotype" w:eastAsia="Palatino Linotype" w:hAnsi="Palatino Linotype" w:cs="Palatino Linotype"/>
          <w:b/>
          <w:i/>
          <w:u w:val="single"/>
        </w:rPr>
      </w:pPr>
      <w:r w:rsidRPr="00B9447D">
        <w:rPr>
          <w:rFonts w:ascii="Palatino Linotype" w:eastAsia="Palatino Linotype" w:hAnsi="Palatino Linotype" w:cs="Palatino Linotype"/>
          <w:i/>
        </w:rPr>
        <w:t xml:space="preserve">XI. </w:t>
      </w:r>
      <w:r w:rsidRPr="00B9447D">
        <w:rPr>
          <w:rFonts w:ascii="Palatino Linotype" w:eastAsia="Palatino Linotype" w:hAnsi="Palatino Linotype" w:cs="Palatino Linotype"/>
          <w:b/>
          <w:i/>
        </w:rPr>
        <w:t>Documento:</w:t>
      </w:r>
      <w:r w:rsidRPr="00B9447D">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7C72DC6" w14:textId="77777777" w:rsidR="00E10EB6" w:rsidRPr="00B9447D" w:rsidRDefault="00C023E0">
      <w:pPr>
        <w:spacing w:after="0"/>
        <w:ind w:left="567" w:right="843"/>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2F33F459" w14:textId="77777777" w:rsidR="00E10EB6" w:rsidRPr="00B9447D" w:rsidRDefault="00E10EB6">
      <w:pPr>
        <w:spacing w:after="0"/>
        <w:ind w:left="567" w:right="843"/>
        <w:jc w:val="both"/>
        <w:rPr>
          <w:rFonts w:ascii="Palatino Linotype" w:eastAsia="Palatino Linotype" w:hAnsi="Palatino Linotype" w:cs="Palatino Linotype"/>
          <w:i/>
        </w:rPr>
      </w:pPr>
    </w:p>
    <w:p w14:paraId="7731D810" w14:textId="77777777" w:rsidR="00E10EB6" w:rsidRPr="00B9447D" w:rsidRDefault="00C023E0">
      <w:pPr>
        <w:spacing w:after="0" w:line="360" w:lineRule="auto"/>
        <w:ind w:right="49"/>
        <w:jc w:val="both"/>
        <w:rPr>
          <w:rFonts w:ascii="Palatino Linotype" w:eastAsia="Palatino Linotype" w:hAnsi="Palatino Linotype" w:cs="Palatino Linotype"/>
          <w:b/>
          <w:u w:val="single"/>
        </w:rPr>
      </w:pPr>
      <w:r w:rsidRPr="00B9447D">
        <w:rPr>
          <w:rFonts w:ascii="Palatino Linotype" w:eastAsia="Palatino Linotype" w:hAnsi="Palatino Linotype" w:cs="Palatino Linotype"/>
          <w:b/>
          <w:u w:val="single"/>
        </w:rPr>
        <w:t xml:space="preserve">Es así que se entiende como documento a cualquier registro que precise el ejercicio de las facultades, funciones y competencias de los sujetos obligados, sus servidores públicos e integrantes, sin importar su fuente o fecha de elaboración, entre los cuales se encuentran los “oficios y la correspondencia”. </w:t>
      </w:r>
    </w:p>
    <w:p w14:paraId="4E3AE6EE" w14:textId="77777777" w:rsidR="00E10EB6" w:rsidRPr="00B9447D" w:rsidRDefault="00E10EB6">
      <w:pPr>
        <w:spacing w:after="0" w:line="360" w:lineRule="auto"/>
        <w:ind w:right="49"/>
        <w:jc w:val="both"/>
        <w:rPr>
          <w:rFonts w:ascii="Palatino Linotype" w:eastAsia="Palatino Linotype" w:hAnsi="Palatino Linotype" w:cs="Palatino Linotype"/>
          <w:b/>
          <w:u w:val="single"/>
        </w:rPr>
      </w:pPr>
    </w:p>
    <w:p w14:paraId="44BA21E3"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Sujeto Obligado y, que, por ende, es de acceso público. </w:t>
      </w:r>
    </w:p>
    <w:p w14:paraId="33B2CABF"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D18CD96" w14:textId="77777777" w:rsidR="00E10EB6" w:rsidRPr="00B9447D" w:rsidRDefault="00C023E0">
      <w:p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Ahora bien, en el asunto que ahora nos ocupa, es de mencionar que la parte Recurrente solicitó información de la Secretaría del Ayuntamiento, Tesorería Municipal, Dirección de Desarrollo Económico y de la Dirección de Gobierno y Reglamentación, en ese sentido, es necesario </w:t>
      </w:r>
      <w:r w:rsidRPr="00B9447D">
        <w:rPr>
          <w:rFonts w:ascii="Palatino Linotype" w:eastAsia="Palatino Linotype" w:hAnsi="Palatino Linotype" w:cs="Palatino Linotype"/>
        </w:rPr>
        <w:lastRenderedPageBreak/>
        <w:t>precisar que de las constancias que obran en el expediente se logra vislumbrar que el Sujeto Obligad, turnó la solicitud de información a las unidades administrativas competentes,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6B93E947" w14:textId="77777777" w:rsidR="00E10EB6" w:rsidRPr="00B9447D" w:rsidRDefault="00E10EB6">
      <w:pPr>
        <w:spacing w:after="0" w:line="360" w:lineRule="auto"/>
        <w:ind w:right="560"/>
        <w:jc w:val="both"/>
        <w:rPr>
          <w:rFonts w:ascii="Palatino Linotype" w:eastAsia="Palatino Linotype" w:hAnsi="Palatino Linotype" w:cs="Palatino Linotype"/>
        </w:rPr>
      </w:pPr>
    </w:p>
    <w:p w14:paraId="24693750" w14:textId="77777777" w:rsidR="00E10EB6" w:rsidRPr="00B9447D" w:rsidRDefault="00C023E0">
      <w:pPr>
        <w:numPr>
          <w:ilvl w:val="3"/>
          <w:numId w:val="6"/>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9447D">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37BCEE7" w14:textId="77777777" w:rsidR="00E10EB6" w:rsidRPr="00B9447D" w:rsidRDefault="00E10EB6">
      <w:pPr>
        <w:spacing w:after="0" w:line="360" w:lineRule="auto"/>
        <w:ind w:left="567" w:right="560"/>
        <w:jc w:val="both"/>
        <w:rPr>
          <w:rFonts w:ascii="Palatino Linotype" w:eastAsia="Palatino Linotype" w:hAnsi="Palatino Linotype" w:cs="Palatino Linotype"/>
        </w:rPr>
      </w:pPr>
    </w:p>
    <w:p w14:paraId="6FBD61C3" w14:textId="77777777" w:rsidR="00E10EB6" w:rsidRPr="00B9447D" w:rsidRDefault="00C023E0">
      <w:pPr>
        <w:numPr>
          <w:ilvl w:val="3"/>
          <w:numId w:val="6"/>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9447D">
        <w:rPr>
          <w:rFonts w:ascii="Palatino Linotype" w:eastAsia="Palatino Linotype" w:hAnsi="Palatino Linotype" w:cs="Palatino Linotype"/>
        </w:rPr>
        <w:t>Los sujetos obligados otorgarán acceso a los documentos que se encuentren en sus archivos o que estén obligados a documentar de acuerdo con sus facultades, competencias o funciones, en el formato en que la solicitante manifieste, de entre aquellos formatos existentes.</w:t>
      </w:r>
    </w:p>
    <w:p w14:paraId="4F5C5AC5" w14:textId="77777777" w:rsidR="00E10EB6" w:rsidRPr="00B9447D" w:rsidRDefault="00E10EB6">
      <w:pPr>
        <w:spacing w:after="0" w:line="360" w:lineRule="auto"/>
        <w:ind w:right="49"/>
        <w:jc w:val="both"/>
        <w:rPr>
          <w:rFonts w:ascii="Palatino Linotype" w:eastAsia="Palatino Linotype" w:hAnsi="Palatino Linotype" w:cs="Palatino Linotype"/>
        </w:rPr>
      </w:pPr>
    </w:p>
    <w:p w14:paraId="251304D2"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65ACAA2E" w14:textId="77777777" w:rsidR="00E10EB6" w:rsidRPr="00B9447D" w:rsidRDefault="00E10EB6">
      <w:pPr>
        <w:spacing w:after="0" w:line="360" w:lineRule="auto"/>
        <w:ind w:right="49"/>
        <w:jc w:val="both"/>
        <w:rPr>
          <w:rFonts w:ascii="Palatino Linotype" w:eastAsia="Palatino Linotype" w:hAnsi="Palatino Linotype" w:cs="Palatino Linotype"/>
        </w:rPr>
      </w:pPr>
    </w:p>
    <w:p w14:paraId="2C0981E6"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Dicho esto, en cuanto hace a los asuntos que ahora nos ocupa, se realiza el siguiente cuadro de análisis: </w:t>
      </w:r>
    </w:p>
    <w:p w14:paraId="03C93092" w14:textId="77777777" w:rsidR="00E10EB6" w:rsidRPr="00B9447D" w:rsidRDefault="00E10EB6">
      <w:pPr>
        <w:spacing w:after="0" w:line="360" w:lineRule="auto"/>
        <w:ind w:right="49"/>
        <w:jc w:val="both"/>
        <w:rPr>
          <w:rFonts w:ascii="Palatino Linotype" w:eastAsia="Palatino Linotype" w:hAnsi="Palatino Linotype" w:cs="Palatino Linotype"/>
        </w:rPr>
      </w:pPr>
    </w:p>
    <w:tbl>
      <w:tblPr>
        <w:tblStyle w:val="afc"/>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2078"/>
        <w:gridCol w:w="2399"/>
        <w:gridCol w:w="1906"/>
      </w:tblGrid>
      <w:tr w:rsidR="006C5F3A" w:rsidRPr="00B9447D" w14:paraId="7DE9A8CB" w14:textId="77777777">
        <w:tc>
          <w:tcPr>
            <w:tcW w:w="2672" w:type="dxa"/>
            <w:shd w:val="clear" w:color="auto" w:fill="D0CECE"/>
          </w:tcPr>
          <w:p w14:paraId="5859069D" w14:textId="77777777" w:rsidR="00E10EB6" w:rsidRPr="00B9447D" w:rsidRDefault="00C023E0">
            <w:pPr>
              <w:tabs>
                <w:tab w:val="right" w:pos="2898"/>
              </w:tabs>
              <w:jc w:val="center"/>
              <w:rPr>
                <w:rFonts w:ascii="Palatino Linotype" w:eastAsia="Palatino Linotype" w:hAnsi="Palatino Linotype" w:cs="Palatino Linotype"/>
                <w:b/>
                <w:sz w:val="20"/>
                <w:szCs w:val="20"/>
              </w:rPr>
            </w:pPr>
            <w:r w:rsidRPr="00B9447D">
              <w:rPr>
                <w:rFonts w:ascii="Palatino Linotype" w:eastAsia="Palatino Linotype" w:hAnsi="Palatino Linotype" w:cs="Palatino Linotype"/>
                <w:b/>
                <w:sz w:val="20"/>
                <w:szCs w:val="20"/>
              </w:rPr>
              <w:t>Recurso de Revisión</w:t>
            </w:r>
          </w:p>
        </w:tc>
        <w:tc>
          <w:tcPr>
            <w:tcW w:w="2078" w:type="dxa"/>
            <w:shd w:val="clear" w:color="auto" w:fill="D0CECE"/>
          </w:tcPr>
          <w:p w14:paraId="6A5F8A00" w14:textId="77777777" w:rsidR="00E10EB6" w:rsidRPr="00B9447D" w:rsidRDefault="00C023E0">
            <w:pPr>
              <w:jc w:val="center"/>
              <w:rPr>
                <w:rFonts w:ascii="Palatino Linotype" w:eastAsia="Palatino Linotype" w:hAnsi="Palatino Linotype" w:cs="Palatino Linotype"/>
                <w:b/>
                <w:sz w:val="20"/>
                <w:szCs w:val="20"/>
              </w:rPr>
            </w:pPr>
            <w:r w:rsidRPr="00B9447D">
              <w:rPr>
                <w:rFonts w:ascii="Palatino Linotype" w:eastAsia="Palatino Linotype" w:hAnsi="Palatino Linotype" w:cs="Palatino Linotype"/>
                <w:b/>
                <w:sz w:val="20"/>
                <w:szCs w:val="20"/>
              </w:rPr>
              <w:t>Solicitud de información</w:t>
            </w:r>
          </w:p>
        </w:tc>
        <w:tc>
          <w:tcPr>
            <w:tcW w:w="2399" w:type="dxa"/>
            <w:shd w:val="clear" w:color="auto" w:fill="D0CECE"/>
          </w:tcPr>
          <w:p w14:paraId="6E3E2173" w14:textId="77777777" w:rsidR="00E10EB6" w:rsidRPr="00B9447D" w:rsidRDefault="00C023E0">
            <w:pPr>
              <w:jc w:val="center"/>
              <w:rPr>
                <w:rFonts w:ascii="Palatino Linotype" w:eastAsia="Palatino Linotype" w:hAnsi="Palatino Linotype" w:cs="Palatino Linotype"/>
                <w:b/>
                <w:sz w:val="20"/>
                <w:szCs w:val="20"/>
              </w:rPr>
            </w:pPr>
            <w:r w:rsidRPr="00B9447D">
              <w:rPr>
                <w:rFonts w:ascii="Palatino Linotype" w:eastAsia="Palatino Linotype" w:hAnsi="Palatino Linotype" w:cs="Palatino Linotype"/>
                <w:b/>
                <w:sz w:val="20"/>
                <w:szCs w:val="20"/>
              </w:rPr>
              <w:t xml:space="preserve">Análisis a la respuesta </w:t>
            </w:r>
          </w:p>
        </w:tc>
        <w:tc>
          <w:tcPr>
            <w:tcW w:w="1906" w:type="dxa"/>
            <w:shd w:val="clear" w:color="auto" w:fill="D0CECE"/>
          </w:tcPr>
          <w:p w14:paraId="609637DB" w14:textId="77777777" w:rsidR="00E10EB6" w:rsidRPr="00B9447D" w:rsidRDefault="00C023E0">
            <w:pPr>
              <w:jc w:val="center"/>
              <w:rPr>
                <w:rFonts w:ascii="Palatino Linotype" w:eastAsia="Palatino Linotype" w:hAnsi="Palatino Linotype" w:cs="Palatino Linotype"/>
                <w:b/>
                <w:sz w:val="20"/>
                <w:szCs w:val="20"/>
              </w:rPr>
            </w:pPr>
            <w:r w:rsidRPr="00B9447D">
              <w:rPr>
                <w:rFonts w:ascii="Palatino Linotype" w:eastAsia="Palatino Linotype" w:hAnsi="Palatino Linotype" w:cs="Palatino Linotype"/>
                <w:b/>
                <w:sz w:val="20"/>
                <w:szCs w:val="20"/>
              </w:rPr>
              <w:t>Observaciones</w:t>
            </w:r>
          </w:p>
        </w:tc>
      </w:tr>
      <w:tr w:rsidR="006C5F3A" w:rsidRPr="00B9447D" w14:paraId="44367120" w14:textId="77777777">
        <w:tc>
          <w:tcPr>
            <w:tcW w:w="2672" w:type="dxa"/>
          </w:tcPr>
          <w:p w14:paraId="07FD6498" w14:textId="77777777" w:rsidR="00E10EB6" w:rsidRPr="00B9447D" w:rsidRDefault="00C023E0">
            <w:pPr>
              <w:tabs>
                <w:tab w:val="right" w:pos="2898"/>
              </w:tabs>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01069/INFOEM/IP/RR/2025</w:t>
            </w:r>
            <w:r w:rsidRPr="00B9447D">
              <w:rPr>
                <w:rFonts w:ascii="Palatino Linotype" w:eastAsia="Palatino Linotype" w:hAnsi="Palatino Linotype" w:cs="Palatino Linotype"/>
                <w:sz w:val="20"/>
                <w:szCs w:val="20"/>
              </w:rPr>
              <w:tab/>
            </w:r>
          </w:p>
        </w:tc>
        <w:tc>
          <w:tcPr>
            <w:tcW w:w="2078" w:type="dxa"/>
          </w:tcPr>
          <w:p w14:paraId="1F08BD9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Requiero lo oficios enviados y recibidos por Secretaría del Ayuntamiento durante el primer semestre 2022 mismos que se enviaron a presidencia</w:t>
            </w:r>
          </w:p>
        </w:tc>
        <w:tc>
          <w:tcPr>
            <w:tcW w:w="2399" w:type="dxa"/>
          </w:tcPr>
          <w:p w14:paraId="2D5EF1D3"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en los oficios no se entregaron los números de folio 1, 2, 3, 4, 7, 8, 9, 17, 19, únicamente por mencionar algunas. </w:t>
            </w:r>
          </w:p>
          <w:p w14:paraId="2E6FF190" w14:textId="77777777" w:rsidR="00E10EB6" w:rsidRPr="00B9447D" w:rsidRDefault="00E10EB6">
            <w:pPr>
              <w:jc w:val="both"/>
              <w:rPr>
                <w:rFonts w:ascii="Palatino Linotype" w:eastAsia="Palatino Linotype" w:hAnsi="Palatino Linotype" w:cs="Palatino Linotype"/>
                <w:sz w:val="20"/>
                <w:szCs w:val="20"/>
              </w:rPr>
            </w:pPr>
          </w:p>
          <w:p w14:paraId="1792E6D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Asimismo, se hizo entrega de información que no corresponde con lo solicitado, pues se requirió información del primer semestre y proporcionaron oficios de septiembre. </w:t>
            </w:r>
          </w:p>
        </w:tc>
        <w:tc>
          <w:tcPr>
            <w:tcW w:w="1906" w:type="dxa"/>
          </w:tcPr>
          <w:p w14:paraId="79AEDBE2"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0DED8E6F" w14:textId="77777777">
        <w:tc>
          <w:tcPr>
            <w:tcW w:w="2672" w:type="dxa"/>
          </w:tcPr>
          <w:p w14:paraId="779EB48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01070/INFOEM/IP/RR/2025</w:t>
            </w:r>
          </w:p>
        </w:tc>
        <w:tc>
          <w:tcPr>
            <w:tcW w:w="2078" w:type="dxa"/>
          </w:tcPr>
          <w:p w14:paraId="1E81CD4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Requiero lo oficios enviados y recibidos por secretaria del ayuntamiento durante el primer semestre 2024 mismos que se enviaron a presidencia</w:t>
            </w:r>
          </w:p>
        </w:tc>
        <w:tc>
          <w:tcPr>
            <w:tcW w:w="2399" w:type="dxa"/>
          </w:tcPr>
          <w:p w14:paraId="74AD1C65"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Del análisis realizado, se advierte que no se entregó información completa, ya que, únicamente se entregó 1 oficio enviado por la Secretaría del Ayuntamiento con número de folio 35.</w:t>
            </w:r>
          </w:p>
          <w:p w14:paraId="30273558" w14:textId="77777777" w:rsidR="00E10EB6" w:rsidRPr="00B9447D" w:rsidRDefault="00E10EB6">
            <w:pPr>
              <w:jc w:val="both"/>
              <w:rPr>
                <w:rFonts w:ascii="Palatino Linotype" w:eastAsia="Palatino Linotype" w:hAnsi="Palatino Linotype" w:cs="Palatino Linotype"/>
                <w:sz w:val="20"/>
                <w:szCs w:val="20"/>
              </w:rPr>
            </w:pPr>
          </w:p>
          <w:p w14:paraId="6B36451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Aunado a que se solicitaron los oficios </w:t>
            </w:r>
            <w:r w:rsidRPr="00B9447D">
              <w:rPr>
                <w:rFonts w:ascii="Palatino Linotype" w:eastAsia="Palatino Linotype" w:hAnsi="Palatino Linotype" w:cs="Palatino Linotype"/>
                <w:b/>
                <w:sz w:val="20"/>
                <w:szCs w:val="20"/>
              </w:rPr>
              <w:t>enviados</w:t>
            </w:r>
            <w:r w:rsidRPr="00B9447D">
              <w:rPr>
                <w:rFonts w:ascii="Palatino Linotype" w:eastAsia="Palatino Linotype" w:hAnsi="Palatino Linotype" w:cs="Palatino Linotype"/>
                <w:sz w:val="20"/>
                <w:szCs w:val="20"/>
              </w:rPr>
              <w:t xml:space="preserve"> y recibidos durante el primer semestre del 2024, lo cual no nos permite tener certeza de que sean todos los enviados por esta unidad administrativa. </w:t>
            </w:r>
          </w:p>
          <w:p w14:paraId="1C0642B4" w14:textId="77777777" w:rsidR="00E10EB6" w:rsidRPr="00B9447D" w:rsidRDefault="00E10EB6">
            <w:pPr>
              <w:jc w:val="both"/>
              <w:rPr>
                <w:rFonts w:ascii="Palatino Linotype" w:eastAsia="Palatino Linotype" w:hAnsi="Palatino Linotype" w:cs="Palatino Linotype"/>
                <w:sz w:val="20"/>
                <w:szCs w:val="20"/>
              </w:rPr>
            </w:pPr>
          </w:p>
          <w:p w14:paraId="3739ACD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Asimismo, se advierte que se clasificó información relacionada con nombres de particulares, situación que se estudiará más adelante. </w:t>
            </w:r>
          </w:p>
        </w:tc>
        <w:tc>
          <w:tcPr>
            <w:tcW w:w="1906" w:type="dxa"/>
          </w:tcPr>
          <w:p w14:paraId="3AA959FA"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5BB63C58" w14:textId="77777777">
        <w:tc>
          <w:tcPr>
            <w:tcW w:w="2672" w:type="dxa"/>
          </w:tcPr>
          <w:p w14:paraId="6D7DFE2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01073/INFOEM/IP/RR/2025</w:t>
            </w:r>
          </w:p>
        </w:tc>
        <w:tc>
          <w:tcPr>
            <w:tcW w:w="2078" w:type="dxa"/>
          </w:tcPr>
          <w:p w14:paraId="158C297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enero y febrero 2022</w:t>
            </w:r>
          </w:p>
        </w:tc>
        <w:tc>
          <w:tcPr>
            <w:tcW w:w="2399" w:type="dxa"/>
          </w:tcPr>
          <w:p w14:paraId="3D1F611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por la Tesorería Municipal, se advierte que falta el 20, 21, 22, 23, 24, 25, 27, 28, 29, 30…por mencionar algunos. </w:t>
            </w:r>
          </w:p>
          <w:p w14:paraId="77DDA026" w14:textId="77777777" w:rsidR="00E10EB6" w:rsidRPr="00B9447D" w:rsidRDefault="00E10EB6">
            <w:pPr>
              <w:jc w:val="both"/>
              <w:rPr>
                <w:rFonts w:ascii="Palatino Linotype" w:eastAsia="Palatino Linotype" w:hAnsi="Palatino Linotype" w:cs="Palatino Linotype"/>
                <w:sz w:val="20"/>
                <w:szCs w:val="20"/>
              </w:rPr>
            </w:pPr>
          </w:p>
          <w:p w14:paraId="0C55D35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nombres de particulares y clave catastral situación que se estudiará más adelante.</w:t>
            </w:r>
          </w:p>
        </w:tc>
        <w:tc>
          <w:tcPr>
            <w:tcW w:w="1906" w:type="dxa"/>
          </w:tcPr>
          <w:p w14:paraId="539A2625"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4D6004BF" w14:textId="77777777">
        <w:tc>
          <w:tcPr>
            <w:tcW w:w="2672" w:type="dxa"/>
          </w:tcPr>
          <w:p w14:paraId="7935F32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01075/INFOEM/IP/RR/2025</w:t>
            </w:r>
          </w:p>
        </w:tc>
        <w:tc>
          <w:tcPr>
            <w:tcW w:w="2078" w:type="dxa"/>
          </w:tcPr>
          <w:p w14:paraId="25BF052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enero y febrero 2023</w:t>
            </w:r>
          </w:p>
        </w:tc>
        <w:tc>
          <w:tcPr>
            <w:tcW w:w="2399" w:type="dxa"/>
          </w:tcPr>
          <w:p w14:paraId="2C3664B1"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por la Tesorería Municipal, se advierte que falta el 2, del 4 al 34 y del 36 al 63, por mencionar algunos. </w:t>
            </w:r>
          </w:p>
          <w:p w14:paraId="3DC1AFDF" w14:textId="77777777" w:rsidR="00E10EB6" w:rsidRPr="00B9447D" w:rsidRDefault="00E10EB6">
            <w:pPr>
              <w:jc w:val="both"/>
              <w:rPr>
                <w:rFonts w:ascii="Palatino Linotype" w:eastAsia="Palatino Linotype" w:hAnsi="Palatino Linotype" w:cs="Palatino Linotype"/>
                <w:sz w:val="20"/>
                <w:szCs w:val="20"/>
              </w:rPr>
            </w:pPr>
          </w:p>
          <w:p w14:paraId="4A84C21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Asimismo, se advierte que se clasificó información relacionada </w:t>
            </w:r>
            <w:r w:rsidRPr="00B9447D">
              <w:rPr>
                <w:rFonts w:ascii="Palatino Linotype" w:eastAsia="Palatino Linotype" w:hAnsi="Palatino Linotype" w:cs="Palatino Linotype"/>
                <w:sz w:val="20"/>
                <w:szCs w:val="20"/>
              </w:rPr>
              <w:lastRenderedPageBreak/>
              <w:t>con nombres de particulares, clave catastral y demás información de la cual no se advierte el dato situación que se estudiará más adelante.</w:t>
            </w:r>
          </w:p>
        </w:tc>
        <w:tc>
          <w:tcPr>
            <w:tcW w:w="1906" w:type="dxa"/>
          </w:tcPr>
          <w:p w14:paraId="6217FD5F"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0CA65FA0" w14:textId="77777777">
        <w:tc>
          <w:tcPr>
            <w:tcW w:w="2672" w:type="dxa"/>
          </w:tcPr>
          <w:p w14:paraId="77A2E80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01076/INFOEM/IP/RR/2025</w:t>
            </w:r>
          </w:p>
        </w:tc>
        <w:tc>
          <w:tcPr>
            <w:tcW w:w="2078" w:type="dxa"/>
          </w:tcPr>
          <w:p w14:paraId="3FAD44AA"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enero y febrero 2024</w:t>
            </w:r>
          </w:p>
        </w:tc>
        <w:tc>
          <w:tcPr>
            <w:tcW w:w="2399" w:type="dxa"/>
          </w:tcPr>
          <w:p w14:paraId="7530170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por la Tesorería Municipal, se advierte que el primer oficio inicia con el número de folio 38, faltando números consecutivos como 39, 42, 43, 44, 45, 46, por mencionar algunos. </w:t>
            </w:r>
          </w:p>
          <w:p w14:paraId="50F06F9D" w14:textId="77777777" w:rsidR="00E10EB6" w:rsidRPr="00B9447D" w:rsidRDefault="00E10EB6">
            <w:pPr>
              <w:jc w:val="both"/>
              <w:rPr>
                <w:rFonts w:ascii="Palatino Linotype" w:eastAsia="Palatino Linotype" w:hAnsi="Palatino Linotype" w:cs="Palatino Linotype"/>
                <w:sz w:val="20"/>
                <w:szCs w:val="20"/>
              </w:rPr>
            </w:pPr>
          </w:p>
          <w:p w14:paraId="32F6AE7B"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nombres y números de teléfono de particulares, situación que se estudiará más adelante.</w:t>
            </w:r>
          </w:p>
        </w:tc>
        <w:tc>
          <w:tcPr>
            <w:tcW w:w="1906" w:type="dxa"/>
          </w:tcPr>
          <w:p w14:paraId="3C90735C"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6678F095" w14:textId="77777777">
        <w:tc>
          <w:tcPr>
            <w:tcW w:w="2672" w:type="dxa"/>
          </w:tcPr>
          <w:p w14:paraId="65AF3060"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01077/INFOEM/IP/RR/2025</w:t>
            </w:r>
          </w:p>
        </w:tc>
        <w:tc>
          <w:tcPr>
            <w:tcW w:w="2078" w:type="dxa"/>
          </w:tcPr>
          <w:p w14:paraId="0CDFB60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marzo y abril 2023</w:t>
            </w:r>
          </w:p>
        </w:tc>
        <w:tc>
          <w:tcPr>
            <w:tcW w:w="2399" w:type="dxa"/>
          </w:tcPr>
          <w:p w14:paraId="7D562A1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por la Tesorería Municipal, se advierte que faltan oficios con número de folio 38, del 39-68, 70, del </w:t>
            </w:r>
            <w:r w:rsidRPr="00B9447D">
              <w:rPr>
                <w:rFonts w:ascii="Palatino Linotype" w:eastAsia="Palatino Linotype" w:hAnsi="Palatino Linotype" w:cs="Palatino Linotype"/>
                <w:sz w:val="20"/>
                <w:szCs w:val="20"/>
              </w:rPr>
              <w:lastRenderedPageBreak/>
              <w:t xml:space="preserve">72 al 79, por mencionar algunos. </w:t>
            </w:r>
          </w:p>
          <w:p w14:paraId="6D9A8DFF" w14:textId="77777777" w:rsidR="00E10EB6" w:rsidRPr="00B9447D" w:rsidRDefault="00E10EB6">
            <w:pPr>
              <w:jc w:val="both"/>
              <w:rPr>
                <w:rFonts w:ascii="Palatino Linotype" w:eastAsia="Palatino Linotype" w:hAnsi="Palatino Linotype" w:cs="Palatino Linotype"/>
                <w:sz w:val="20"/>
                <w:szCs w:val="20"/>
              </w:rPr>
            </w:pPr>
          </w:p>
          <w:p w14:paraId="5D466C64"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números de teléfono de particulares, situación que se estudiará más adelante.</w:t>
            </w:r>
          </w:p>
        </w:tc>
        <w:tc>
          <w:tcPr>
            <w:tcW w:w="1906" w:type="dxa"/>
          </w:tcPr>
          <w:p w14:paraId="71B922CC"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449210CA" w14:textId="77777777">
        <w:tc>
          <w:tcPr>
            <w:tcW w:w="2672" w:type="dxa"/>
          </w:tcPr>
          <w:p w14:paraId="48B2635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01078/INFOEM/IP/RR/2025</w:t>
            </w:r>
          </w:p>
        </w:tc>
        <w:tc>
          <w:tcPr>
            <w:tcW w:w="2078" w:type="dxa"/>
          </w:tcPr>
          <w:p w14:paraId="7E9ABB73"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marzo y abril 2024</w:t>
            </w:r>
          </w:p>
        </w:tc>
        <w:tc>
          <w:tcPr>
            <w:tcW w:w="2399" w:type="dxa"/>
          </w:tcPr>
          <w:p w14:paraId="111634B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por la Tesorería Municipal, se advierte que faltan oficios con número de folio del 79-97, del 99 al 105, del 109 al 115, por mencionar algunos. </w:t>
            </w:r>
          </w:p>
          <w:p w14:paraId="1BF1601F" w14:textId="77777777" w:rsidR="00E10EB6" w:rsidRPr="00B9447D" w:rsidRDefault="00E10EB6">
            <w:pPr>
              <w:jc w:val="both"/>
              <w:rPr>
                <w:rFonts w:ascii="Palatino Linotype" w:eastAsia="Palatino Linotype" w:hAnsi="Palatino Linotype" w:cs="Palatino Linotype"/>
                <w:sz w:val="20"/>
                <w:szCs w:val="20"/>
              </w:rPr>
            </w:pPr>
          </w:p>
          <w:p w14:paraId="1601409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números de teléfono institucional –dato de naturaleza pública-, situación que se estudiará más adelante.</w:t>
            </w:r>
          </w:p>
        </w:tc>
        <w:tc>
          <w:tcPr>
            <w:tcW w:w="1906" w:type="dxa"/>
          </w:tcPr>
          <w:p w14:paraId="49184EC1"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71B96F27" w14:textId="77777777">
        <w:tc>
          <w:tcPr>
            <w:tcW w:w="2672" w:type="dxa"/>
          </w:tcPr>
          <w:p w14:paraId="329AE495"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01079/INFOEM/IP/RR/2025</w:t>
            </w:r>
          </w:p>
        </w:tc>
        <w:tc>
          <w:tcPr>
            <w:tcW w:w="2078" w:type="dxa"/>
          </w:tcPr>
          <w:p w14:paraId="7B4001B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Correspondencia enviada y recibida por la tesorería municipal, solamente durante julio a agosto 2024</w:t>
            </w:r>
          </w:p>
        </w:tc>
        <w:tc>
          <w:tcPr>
            <w:tcW w:w="2399" w:type="dxa"/>
          </w:tcPr>
          <w:p w14:paraId="618FB92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por la Tesorería Municipal, se advierte que faltan oficios con número de folio del 223-229, del 231 </w:t>
            </w:r>
            <w:r w:rsidRPr="00B9447D">
              <w:rPr>
                <w:rFonts w:ascii="Palatino Linotype" w:eastAsia="Palatino Linotype" w:hAnsi="Palatino Linotype" w:cs="Palatino Linotype"/>
                <w:sz w:val="20"/>
                <w:szCs w:val="20"/>
              </w:rPr>
              <w:lastRenderedPageBreak/>
              <w:t xml:space="preserve">al 235, del 238 al 240, del 242 al 245,, por mencionar algunos. </w:t>
            </w:r>
          </w:p>
          <w:p w14:paraId="61BEF2FE" w14:textId="77777777" w:rsidR="00E10EB6" w:rsidRPr="00B9447D" w:rsidRDefault="00E10EB6">
            <w:pPr>
              <w:jc w:val="both"/>
              <w:rPr>
                <w:rFonts w:ascii="Palatino Linotype" w:eastAsia="Palatino Linotype" w:hAnsi="Palatino Linotype" w:cs="Palatino Linotype"/>
                <w:sz w:val="20"/>
                <w:szCs w:val="20"/>
              </w:rPr>
            </w:pPr>
          </w:p>
          <w:p w14:paraId="757CF4B4"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números de teléfono de particulares, situación que se estudiará más adelante.</w:t>
            </w:r>
          </w:p>
        </w:tc>
        <w:tc>
          <w:tcPr>
            <w:tcW w:w="1906" w:type="dxa"/>
          </w:tcPr>
          <w:p w14:paraId="55C495F3"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122F15EF" w14:textId="77777777">
        <w:tc>
          <w:tcPr>
            <w:tcW w:w="2672" w:type="dxa"/>
          </w:tcPr>
          <w:p w14:paraId="71EA303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01081/INFOEM/IP/RR/2025</w:t>
            </w:r>
          </w:p>
        </w:tc>
        <w:tc>
          <w:tcPr>
            <w:tcW w:w="2078" w:type="dxa"/>
          </w:tcPr>
          <w:p w14:paraId="404984C7"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enero y febrero 2022</w:t>
            </w:r>
          </w:p>
        </w:tc>
        <w:tc>
          <w:tcPr>
            <w:tcW w:w="2399" w:type="dxa"/>
          </w:tcPr>
          <w:p w14:paraId="5F77A06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folio del a, 3 al 6, del 8 al 28, del 32 al 36, por mencionar algunos. </w:t>
            </w:r>
          </w:p>
          <w:p w14:paraId="0B528982" w14:textId="77777777" w:rsidR="00E10EB6" w:rsidRPr="00B9447D" w:rsidRDefault="00E10EB6">
            <w:pPr>
              <w:jc w:val="both"/>
              <w:rPr>
                <w:rFonts w:ascii="Palatino Linotype" w:eastAsia="Palatino Linotype" w:hAnsi="Palatino Linotype" w:cs="Palatino Linotype"/>
                <w:sz w:val="20"/>
                <w:szCs w:val="20"/>
              </w:rPr>
            </w:pPr>
          </w:p>
          <w:p w14:paraId="78720921"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números de teléfono de particulares, firma de servidores públicos, nombre de servidores públicos y de particulares y edad, situación que se estudiará más adelante.</w:t>
            </w:r>
          </w:p>
        </w:tc>
        <w:tc>
          <w:tcPr>
            <w:tcW w:w="1906" w:type="dxa"/>
          </w:tcPr>
          <w:p w14:paraId="49D52D13"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09BFA39D" w14:textId="77777777">
        <w:tc>
          <w:tcPr>
            <w:tcW w:w="2672" w:type="dxa"/>
          </w:tcPr>
          <w:p w14:paraId="3369381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01082/INFOEM/IP/RR/2025</w:t>
            </w:r>
          </w:p>
        </w:tc>
        <w:tc>
          <w:tcPr>
            <w:tcW w:w="2078" w:type="dxa"/>
          </w:tcPr>
          <w:p w14:paraId="669A4C2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mayo a julio 2022</w:t>
            </w:r>
          </w:p>
        </w:tc>
        <w:tc>
          <w:tcPr>
            <w:tcW w:w="2399" w:type="dxa"/>
          </w:tcPr>
          <w:p w14:paraId="486981E3"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w:t>
            </w:r>
            <w:r w:rsidRPr="00B9447D">
              <w:rPr>
                <w:rFonts w:ascii="Palatino Linotype" w:eastAsia="Palatino Linotype" w:hAnsi="Palatino Linotype" w:cs="Palatino Linotype"/>
                <w:sz w:val="20"/>
                <w:szCs w:val="20"/>
              </w:rPr>
              <w:lastRenderedPageBreak/>
              <w:t xml:space="preserve">oficios con número de folio del 153 al 155, del 114 al 116, del 118 al 125, por mencionar algunos. </w:t>
            </w:r>
          </w:p>
          <w:p w14:paraId="12A8C100" w14:textId="77777777" w:rsidR="00E10EB6" w:rsidRPr="00B9447D" w:rsidRDefault="00E10EB6">
            <w:pPr>
              <w:jc w:val="both"/>
              <w:rPr>
                <w:rFonts w:ascii="Palatino Linotype" w:eastAsia="Palatino Linotype" w:hAnsi="Palatino Linotype" w:cs="Palatino Linotype"/>
                <w:sz w:val="20"/>
                <w:szCs w:val="20"/>
              </w:rPr>
            </w:pPr>
          </w:p>
          <w:p w14:paraId="6F00E72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números de teléfono de particulares, firma de servidores públicos, nombre de servidores públicos y de particulares, situación que se estudiará más adelante.</w:t>
            </w:r>
          </w:p>
        </w:tc>
        <w:tc>
          <w:tcPr>
            <w:tcW w:w="1906" w:type="dxa"/>
          </w:tcPr>
          <w:p w14:paraId="10B1A2CF"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14414139" w14:textId="77777777">
        <w:tc>
          <w:tcPr>
            <w:tcW w:w="2672" w:type="dxa"/>
          </w:tcPr>
          <w:p w14:paraId="17F46B4B"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01083/INFOEM/IP/RR/2025</w:t>
            </w:r>
          </w:p>
        </w:tc>
        <w:tc>
          <w:tcPr>
            <w:tcW w:w="2078" w:type="dxa"/>
          </w:tcPr>
          <w:p w14:paraId="16C4EB00"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marzo y abril 2024</w:t>
            </w:r>
          </w:p>
        </w:tc>
        <w:tc>
          <w:tcPr>
            <w:tcW w:w="2399" w:type="dxa"/>
          </w:tcPr>
          <w:p w14:paraId="1B780EC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folio del 56, 57, 58, del 60 al 76, por mencionar algunos. </w:t>
            </w:r>
          </w:p>
          <w:p w14:paraId="67DCCA54" w14:textId="77777777" w:rsidR="00E10EB6" w:rsidRPr="00B9447D" w:rsidRDefault="00E10EB6">
            <w:pPr>
              <w:jc w:val="both"/>
              <w:rPr>
                <w:rFonts w:ascii="Palatino Linotype" w:eastAsia="Palatino Linotype" w:hAnsi="Palatino Linotype" w:cs="Palatino Linotype"/>
                <w:sz w:val="20"/>
                <w:szCs w:val="20"/>
              </w:rPr>
            </w:pPr>
          </w:p>
          <w:p w14:paraId="1C4ADC0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números de teléfono de particulares, firma de servidores públicos, nombre de servidores públicos y de particulares, situación que se estudiará más adelante.</w:t>
            </w:r>
          </w:p>
        </w:tc>
        <w:tc>
          <w:tcPr>
            <w:tcW w:w="1906" w:type="dxa"/>
          </w:tcPr>
          <w:p w14:paraId="7EE78E0B"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04A19CC0" w14:textId="77777777">
        <w:tc>
          <w:tcPr>
            <w:tcW w:w="2672" w:type="dxa"/>
          </w:tcPr>
          <w:p w14:paraId="266FD9B0"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01084/INFOEM/IP/RR/2025</w:t>
            </w:r>
          </w:p>
        </w:tc>
        <w:tc>
          <w:tcPr>
            <w:tcW w:w="2078" w:type="dxa"/>
          </w:tcPr>
          <w:p w14:paraId="2BFEEE5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Oficios enviados y recibidos por la </w:t>
            </w:r>
            <w:r w:rsidRPr="00B9447D">
              <w:rPr>
                <w:rFonts w:ascii="Palatino Linotype" w:eastAsia="Palatino Linotype" w:hAnsi="Palatino Linotype" w:cs="Palatino Linotype"/>
                <w:sz w:val="20"/>
                <w:szCs w:val="20"/>
              </w:rPr>
              <w:lastRenderedPageBreak/>
              <w:t>dirección de desarrollo económico durante marzo y abril 2023</w:t>
            </w:r>
          </w:p>
        </w:tc>
        <w:tc>
          <w:tcPr>
            <w:tcW w:w="2399" w:type="dxa"/>
          </w:tcPr>
          <w:p w14:paraId="6E0A11F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 xml:space="preserve">Del análisis realizado, se advierte que no se </w:t>
            </w:r>
            <w:r w:rsidRPr="00B9447D">
              <w:rPr>
                <w:rFonts w:ascii="Palatino Linotype" w:eastAsia="Palatino Linotype" w:hAnsi="Palatino Linotype" w:cs="Palatino Linotype"/>
                <w:sz w:val="20"/>
                <w:szCs w:val="20"/>
              </w:rPr>
              <w:lastRenderedPageBreak/>
              <w:t xml:space="preserve">entregó información completa, ya que, del número de folio de los oficios enviados se advierte que faltan oficios con número de folio 66, 68, 69, 70, 71, 72, del 74 al 84, por mencionar algunos. </w:t>
            </w:r>
          </w:p>
          <w:p w14:paraId="135FF777" w14:textId="77777777" w:rsidR="00E10EB6" w:rsidRPr="00B9447D" w:rsidRDefault="00E10EB6">
            <w:pPr>
              <w:jc w:val="both"/>
              <w:rPr>
                <w:rFonts w:ascii="Palatino Linotype" w:eastAsia="Palatino Linotype" w:hAnsi="Palatino Linotype" w:cs="Palatino Linotype"/>
                <w:sz w:val="20"/>
                <w:szCs w:val="20"/>
              </w:rPr>
            </w:pPr>
          </w:p>
          <w:p w14:paraId="63A555B0"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números de teléfono de particulares, firma de servidores públicos, nombre de servidores públicos y de particulares, situación que se estudiará más adelante.</w:t>
            </w:r>
          </w:p>
        </w:tc>
        <w:tc>
          <w:tcPr>
            <w:tcW w:w="1906" w:type="dxa"/>
          </w:tcPr>
          <w:p w14:paraId="58D52963"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1838EE4E" w14:textId="77777777">
        <w:tc>
          <w:tcPr>
            <w:tcW w:w="2672" w:type="dxa"/>
          </w:tcPr>
          <w:p w14:paraId="470726C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01085/INFOEM/IP/RR/2025</w:t>
            </w:r>
          </w:p>
        </w:tc>
        <w:tc>
          <w:tcPr>
            <w:tcW w:w="2078" w:type="dxa"/>
          </w:tcPr>
          <w:p w14:paraId="7868510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marzo y abril 2022</w:t>
            </w:r>
          </w:p>
        </w:tc>
        <w:tc>
          <w:tcPr>
            <w:tcW w:w="2399" w:type="dxa"/>
          </w:tcPr>
          <w:p w14:paraId="54F9491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folio 64 al 72, 74, 75, por mencionar algunos. </w:t>
            </w:r>
          </w:p>
          <w:p w14:paraId="7A76DA23" w14:textId="77777777" w:rsidR="00E10EB6" w:rsidRPr="00B9447D" w:rsidRDefault="00E10EB6">
            <w:pPr>
              <w:jc w:val="both"/>
              <w:rPr>
                <w:rFonts w:ascii="Palatino Linotype" w:eastAsia="Palatino Linotype" w:hAnsi="Palatino Linotype" w:cs="Palatino Linotype"/>
                <w:sz w:val="20"/>
                <w:szCs w:val="20"/>
              </w:rPr>
            </w:pPr>
          </w:p>
          <w:p w14:paraId="3C9B738A"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firma de servidores públicos, nombre de servidores públicos y de particulares, situación que se estudiará más adelante.</w:t>
            </w:r>
          </w:p>
        </w:tc>
        <w:tc>
          <w:tcPr>
            <w:tcW w:w="1906" w:type="dxa"/>
          </w:tcPr>
          <w:p w14:paraId="32AC54AB"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62BC9370" w14:textId="77777777">
        <w:tc>
          <w:tcPr>
            <w:tcW w:w="2672" w:type="dxa"/>
          </w:tcPr>
          <w:p w14:paraId="5B1AD311"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01086/INFOEM/IP/RR/2025</w:t>
            </w:r>
          </w:p>
        </w:tc>
        <w:tc>
          <w:tcPr>
            <w:tcW w:w="2078" w:type="dxa"/>
          </w:tcPr>
          <w:p w14:paraId="2F201DE0"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por la dirección de desarrollo económico durante noviembre a diciembre 2024</w:t>
            </w:r>
          </w:p>
        </w:tc>
        <w:tc>
          <w:tcPr>
            <w:tcW w:w="2399" w:type="dxa"/>
          </w:tcPr>
          <w:p w14:paraId="7E26E70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folio 141, 142, del 145 al 238, por mencionar algunos. </w:t>
            </w:r>
          </w:p>
          <w:p w14:paraId="3579CA6A" w14:textId="77777777" w:rsidR="00E10EB6" w:rsidRPr="00B9447D" w:rsidRDefault="00E10EB6">
            <w:pPr>
              <w:jc w:val="both"/>
              <w:rPr>
                <w:rFonts w:ascii="Palatino Linotype" w:eastAsia="Palatino Linotype" w:hAnsi="Palatino Linotype" w:cs="Palatino Linotype"/>
                <w:sz w:val="20"/>
                <w:szCs w:val="20"/>
              </w:rPr>
            </w:pPr>
          </w:p>
          <w:p w14:paraId="1C571A74"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denominación social de locales comerciales y nombre de titulares de licencia de funcionamiento, situación que se estudiará más adelante.</w:t>
            </w:r>
          </w:p>
        </w:tc>
        <w:tc>
          <w:tcPr>
            <w:tcW w:w="1906" w:type="dxa"/>
          </w:tcPr>
          <w:p w14:paraId="549E94BA"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5E3B4CC7" w14:textId="77777777">
        <w:tc>
          <w:tcPr>
            <w:tcW w:w="2672" w:type="dxa"/>
          </w:tcPr>
          <w:p w14:paraId="777110CB"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01087/INFOEM/IP/RR/2025</w:t>
            </w:r>
          </w:p>
        </w:tc>
        <w:tc>
          <w:tcPr>
            <w:tcW w:w="2078" w:type="dxa"/>
          </w:tcPr>
          <w:p w14:paraId="479E252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enero a febrero 2024</w:t>
            </w:r>
          </w:p>
        </w:tc>
        <w:tc>
          <w:tcPr>
            <w:tcW w:w="2399" w:type="dxa"/>
          </w:tcPr>
          <w:p w14:paraId="1904D25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folio 45, 46, 47, por mencionar algunos. </w:t>
            </w:r>
          </w:p>
          <w:p w14:paraId="690626C6" w14:textId="77777777" w:rsidR="00E10EB6" w:rsidRPr="00B9447D" w:rsidRDefault="00E10EB6">
            <w:pPr>
              <w:jc w:val="both"/>
              <w:rPr>
                <w:rFonts w:ascii="Palatino Linotype" w:eastAsia="Palatino Linotype" w:hAnsi="Palatino Linotype" w:cs="Palatino Linotype"/>
                <w:sz w:val="20"/>
                <w:szCs w:val="20"/>
              </w:rPr>
            </w:pPr>
          </w:p>
          <w:p w14:paraId="2C0A6B99"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Asimismo, se advierte que se clasificó información relacionada con denominación social de locales comerciales y nombre de titulares de licencia de funcionamiento, </w:t>
            </w:r>
            <w:r w:rsidRPr="00B9447D">
              <w:rPr>
                <w:rFonts w:ascii="Palatino Linotype" w:eastAsia="Palatino Linotype" w:hAnsi="Palatino Linotype" w:cs="Palatino Linotype"/>
                <w:sz w:val="20"/>
                <w:szCs w:val="20"/>
              </w:rPr>
              <w:lastRenderedPageBreak/>
              <w:t>situación que se estudiará más adelante.</w:t>
            </w:r>
          </w:p>
        </w:tc>
        <w:tc>
          <w:tcPr>
            <w:tcW w:w="1906" w:type="dxa"/>
          </w:tcPr>
          <w:p w14:paraId="26CE951D"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2625330D" w14:textId="77777777">
        <w:tc>
          <w:tcPr>
            <w:tcW w:w="2672" w:type="dxa"/>
          </w:tcPr>
          <w:p w14:paraId="23FD66E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01088/INFOEM/IP/RR/2025</w:t>
            </w:r>
          </w:p>
        </w:tc>
        <w:tc>
          <w:tcPr>
            <w:tcW w:w="2078" w:type="dxa"/>
          </w:tcPr>
          <w:p w14:paraId="4B627CDF"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marzo y abril 2022</w:t>
            </w:r>
          </w:p>
        </w:tc>
        <w:tc>
          <w:tcPr>
            <w:tcW w:w="2399" w:type="dxa"/>
          </w:tcPr>
          <w:p w14:paraId="1C5D4AA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folio 165, 166, 167, 168, 169, 170, 171, 172, 173, 174, 175, 176, 177, 179, 180, 181 por mencionar algunos. </w:t>
            </w:r>
          </w:p>
          <w:p w14:paraId="4204F79A" w14:textId="77777777" w:rsidR="00E10EB6" w:rsidRPr="00B9447D" w:rsidRDefault="00E10EB6">
            <w:pPr>
              <w:jc w:val="both"/>
              <w:rPr>
                <w:rFonts w:ascii="Palatino Linotype" w:eastAsia="Palatino Linotype" w:hAnsi="Palatino Linotype" w:cs="Palatino Linotype"/>
                <w:sz w:val="20"/>
                <w:szCs w:val="20"/>
              </w:rPr>
            </w:pPr>
          </w:p>
          <w:p w14:paraId="539BA51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nombres de particulares, información vehicular de particulares, firmas de servidores públicos, nombre de representante legal,  situación que se estudiará más adelante.</w:t>
            </w:r>
          </w:p>
        </w:tc>
        <w:tc>
          <w:tcPr>
            <w:tcW w:w="1906" w:type="dxa"/>
          </w:tcPr>
          <w:p w14:paraId="151A1F08"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1276760C" w14:textId="77777777">
        <w:tc>
          <w:tcPr>
            <w:tcW w:w="2672" w:type="dxa"/>
          </w:tcPr>
          <w:p w14:paraId="7C24359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01089/INFOEM/IP/RR/2025</w:t>
            </w:r>
          </w:p>
        </w:tc>
        <w:tc>
          <w:tcPr>
            <w:tcW w:w="2078" w:type="dxa"/>
          </w:tcPr>
          <w:p w14:paraId="1428C0B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marzo y abril 2023</w:t>
            </w:r>
          </w:p>
        </w:tc>
        <w:tc>
          <w:tcPr>
            <w:tcW w:w="2399" w:type="dxa"/>
          </w:tcPr>
          <w:p w14:paraId="7A7604D1"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folio 148, 149, 150, 151, 152, 153, 154, 155, 156, 157, 158, 159, del 161 al 169, del 171 al 174 por mencionar algunos. </w:t>
            </w:r>
          </w:p>
          <w:p w14:paraId="1CA3CC0D" w14:textId="77777777" w:rsidR="00E10EB6" w:rsidRPr="00B9447D" w:rsidRDefault="00E10EB6">
            <w:pPr>
              <w:jc w:val="both"/>
              <w:rPr>
                <w:rFonts w:ascii="Palatino Linotype" w:eastAsia="Palatino Linotype" w:hAnsi="Palatino Linotype" w:cs="Palatino Linotype"/>
                <w:sz w:val="20"/>
                <w:szCs w:val="20"/>
              </w:rPr>
            </w:pPr>
          </w:p>
          <w:p w14:paraId="52D7C79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nombres de razón social, información vehicular de particulares, firmas de servidores públicos, nombre de representante legal,  situación que se estudiará más adelante.</w:t>
            </w:r>
          </w:p>
        </w:tc>
        <w:tc>
          <w:tcPr>
            <w:tcW w:w="1906" w:type="dxa"/>
          </w:tcPr>
          <w:p w14:paraId="3B10E6E3"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2C08F1CF" w14:textId="77777777">
        <w:tc>
          <w:tcPr>
            <w:tcW w:w="2672" w:type="dxa"/>
          </w:tcPr>
          <w:p w14:paraId="659B6D3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01090/INFOEM/IP/RR/2025</w:t>
            </w:r>
          </w:p>
        </w:tc>
        <w:tc>
          <w:tcPr>
            <w:tcW w:w="2078" w:type="dxa"/>
          </w:tcPr>
          <w:p w14:paraId="16B8F1E8"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septiembre a octubre 2023</w:t>
            </w:r>
          </w:p>
        </w:tc>
        <w:tc>
          <w:tcPr>
            <w:tcW w:w="2399" w:type="dxa"/>
          </w:tcPr>
          <w:p w14:paraId="5025037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 Del análisis realizado, se advierte que no se entregó información completa, ya que, del número de folio de los oficios enviados se advierte que faltan oficios con número de folio del 678, 679, del 680 al 685, por mencionar algunos. </w:t>
            </w:r>
          </w:p>
          <w:p w14:paraId="37037A59" w14:textId="77777777" w:rsidR="00E10EB6" w:rsidRPr="00B9447D" w:rsidRDefault="00E10EB6">
            <w:pPr>
              <w:jc w:val="both"/>
              <w:rPr>
                <w:rFonts w:ascii="Palatino Linotype" w:eastAsia="Palatino Linotype" w:hAnsi="Palatino Linotype" w:cs="Palatino Linotype"/>
                <w:sz w:val="20"/>
                <w:szCs w:val="20"/>
              </w:rPr>
            </w:pPr>
          </w:p>
          <w:p w14:paraId="1B797B0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nombres y firmas de particulares y de servidores públicos, situación que se estudiará más adelante</w:t>
            </w:r>
          </w:p>
        </w:tc>
        <w:tc>
          <w:tcPr>
            <w:tcW w:w="1906" w:type="dxa"/>
          </w:tcPr>
          <w:p w14:paraId="1E728FF2"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775C7332" w14:textId="77777777">
        <w:tc>
          <w:tcPr>
            <w:tcW w:w="2672" w:type="dxa"/>
          </w:tcPr>
          <w:p w14:paraId="6E31633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01091/INFOEM/IP/RR/2025</w:t>
            </w:r>
          </w:p>
        </w:tc>
        <w:tc>
          <w:tcPr>
            <w:tcW w:w="2078" w:type="dxa"/>
          </w:tcPr>
          <w:p w14:paraId="77B75C90" w14:textId="77777777" w:rsidR="00E10EB6" w:rsidRPr="00B9447D" w:rsidRDefault="00C023E0">
            <w:pPr>
              <w:tabs>
                <w:tab w:val="left" w:pos="910"/>
              </w:tabs>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julio a agosto 2024</w:t>
            </w:r>
          </w:p>
        </w:tc>
        <w:tc>
          <w:tcPr>
            <w:tcW w:w="2399" w:type="dxa"/>
          </w:tcPr>
          <w:p w14:paraId="5066F3A0"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w:t>
            </w:r>
            <w:r w:rsidRPr="00B9447D">
              <w:rPr>
                <w:rFonts w:ascii="Palatino Linotype" w:eastAsia="Palatino Linotype" w:hAnsi="Palatino Linotype" w:cs="Palatino Linotype"/>
                <w:sz w:val="20"/>
                <w:szCs w:val="20"/>
              </w:rPr>
              <w:lastRenderedPageBreak/>
              <w:t xml:space="preserve">folio 360, 361, 362, 364, 365, 366, 367, 368, 369, 370, por mencionar algunos. </w:t>
            </w:r>
          </w:p>
          <w:p w14:paraId="189D2FF2" w14:textId="77777777" w:rsidR="00E10EB6" w:rsidRPr="00B9447D" w:rsidRDefault="00E10EB6">
            <w:pPr>
              <w:jc w:val="both"/>
              <w:rPr>
                <w:rFonts w:ascii="Palatino Linotype" w:eastAsia="Palatino Linotype" w:hAnsi="Palatino Linotype" w:cs="Palatino Linotype"/>
                <w:sz w:val="20"/>
                <w:szCs w:val="20"/>
              </w:rPr>
            </w:pPr>
          </w:p>
          <w:p w14:paraId="61452330" w14:textId="77777777" w:rsidR="00E10EB6" w:rsidRPr="00B9447D" w:rsidRDefault="00C023E0">
            <w:pPr>
              <w:tabs>
                <w:tab w:val="left" w:pos="910"/>
              </w:tabs>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información de vehículos particulares, nombres y firmas de particulares y de servidores públicos, situación que se estudiará más adelante.</w:t>
            </w:r>
          </w:p>
        </w:tc>
        <w:tc>
          <w:tcPr>
            <w:tcW w:w="1906" w:type="dxa"/>
          </w:tcPr>
          <w:p w14:paraId="3463E532" w14:textId="77777777" w:rsidR="00E10EB6" w:rsidRPr="00B9447D" w:rsidRDefault="00C023E0">
            <w:pPr>
              <w:tabs>
                <w:tab w:val="left" w:pos="910"/>
              </w:tabs>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r w:rsidR="006C5F3A" w:rsidRPr="00B9447D" w14:paraId="51E36BC5" w14:textId="77777777">
        <w:tc>
          <w:tcPr>
            <w:tcW w:w="2672" w:type="dxa"/>
          </w:tcPr>
          <w:p w14:paraId="30BC42AC"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01092/INFOEM/IP/RR/2025</w:t>
            </w:r>
          </w:p>
        </w:tc>
        <w:tc>
          <w:tcPr>
            <w:tcW w:w="2078" w:type="dxa"/>
          </w:tcPr>
          <w:p w14:paraId="41567D8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Oficios enviados y recibidos de la dirección de gobierno y reglamentación durante el periodo de julio a agosto 2022</w:t>
            </w:r>
          </w:p>
        </w:tc>
        <w:tc>
          <w:tcPr>
            <w:tcW w:w="2399" w:type="dxa"/>
          </w:tcPr>
          <w:p w14:paraId="2E1B657D"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Del análisis realizado, se advierte que no se entregó información completa, ya que, del número de folio de los oficios enviados se advierte que faltan oficios con número de folio del 460 al 486, del 488 al 500 por mencionar algunos. </w:t>
            </w:r>
          </w:p>
          <w:p w14:paraId="6C112906" w14:textId="77777777" w:rsidR="00E10EB6" w:rsidRPr="00B9447D" w:rsidRDefault="00E10EB6">
            <w:pPr>
              <w:jc w:val="both"/>
              <w:rPr>
                <w:rFonts w:ascii="Palatino Linotype" w:eastAsia="Palatino Linotype" w:hAnsi="Palatino Linotype" w:cs="Palatino Linotype"/>
                <w:sz w:val="20"/>
                <w:szCs w:val="20"/>
              </w:rPr>
            </w:pPr>
          </w:p>
          <w:p w14:paraId="695FC95B"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información de vehículos particulares, nombres y firmas de particulares y de servidores públicos, situación que se estudiará más adelante.</w:t>
            </w:r>
          </w:p>
        </w:tc>
        <w:tc>
          <w:tcPr>
            <w:tcW w:w="1906" w:type="dxa"/>
          </w:tcPr>
          <w:p w14:paraId="1ABCA3C5"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Colmó Parcialmente</w:t>
            </w:r>
          </w:p>
        </w:tc>
      </w:tr>
      <w:tr w:rsidR="006C5F3A" w:rsidRPr="00B9447D" w14:paraId="532E42B1" w14:textId="77777777">
        <w:tc>
          <w:tcPr>
            <w:tcW w:w="2672" w:type="dxa"/>
          </w:tcPr>
          <w:p w14:paraId="1CAA4F0B"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01093/INFOEM/IP/RR/2025</w:t>
            </w:r>
          </w:p>
        </w:tc>
        <w:tc>
          <w:tcPr>
            <w:tcW w:w="2078" w:type="dxa"/>
          </w:tcPr>
          <w:p w14:paraId="4CA710BE"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 xml:space="preserve">Oficios enviados y recibidos de la dirección de gobierno y </w:t>
            </w:r>
            <w:r w:rsidRPr="00B9447D">
              <w:rPr>
                <w:rFonts w:ascii="Palatino Linotype" w:eastAsia="Palatino Linotype" w:hAnsi="Palatino Linotype" w:cs="Palatino Linotype"/>
                <w:sz w:val="20"/>
                <w:szCs w:val="20"/>
              </w:rPr>
              <w:lastRenderedPageBreak/>
              <w:t>reglamentación durante el periodo de mayo a junio 2023</w:t>
            </w:r>
          </w:p>
        </w:tc>
        <w:tc>
          <w:tcPr>
            <w:tcW w:w="2399" w:type="dxa"/>
          </w:tcPr>
          <w:p w14:paraId="403A2842"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 xml:space="preserve">Del análisis realizado, se advierte que no se entregó información completa, ya que, del </w:t>
            </w:r>
            <w:r w:rsidRPr="00B9447D">
              <w:rPr>
                <w:rFonts w:ascii="Palatino Linotype" w:eastAsia="Palatino Linotype" w:hAnsi="Palatino Linotype" w:cs="Palatino Linotype"/>
                <w:sz w:val="20"/>
                <w:szCs w:val="20"/>
              </w:rPr>
              <w:lastRenderedPageBreak/>
              <w:t xml:space="preserve">número de folio de los oficios enviados se advierte que faltan oficios con número de folio del 286 al 330, del 332al 361 por mencionar algunos. </w:t>
            </w:r>
          </w:p>
          <w:p w14:paraId="122740A6" w14:textId="77777777" w:rsidR="00E10EB6" w:rsidRPr="00B9447D" w:rsidRDefault="00E10EB6">
            <w:pPr>
              <w:jc w:val="both"/>
              <w:rPr>
                <w:rFonts w:ascii="Palatino Linotype" w:eastAsia="Palatino Linotype" w:hAnsi="Palatino Linotype" w:cs="Palatino Linotype"/>
                <w:sz w:val="20"/>
                <w:szCs w:val="20"/>
              </w:rPr>
            </w:pPr>
          </w:p>
          <w:p w14:paraId="06E7DD86" w14:textId="77777777" w:rsidR="00E10EB6" w:rsidRPr="00B9447D" w:rsidRDefault="00C023E0">
            <w:pPr>
              <w:jc w:val="both"/>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t>Asimismo, se advierte que se clasificó información relacionada con información de vehículos particulares, nombres y firmas de particulares y de servidores públicos, situación que se estudiará más adelante.</w:t>
            </w:r>
          </w:p>
        </w:tc>
        <w:tc>
          <w:tcPr>
            <w:tcW w:w="1906" w:type="dxa"/>
          </w:tcPr>
          <w:p w14:paraId="082A2085" w14:textId="77777777" w:rsidR="00E10EB6" w:rsidRPr="00B9447D" w:rsidRDefault="00C023E0">
            <w:pPr>
              <w:jc w:val="center"/>
              <w:rPr>
                <w:rFonts w:ascii="Palatino Linotype" w:eastAsia="Palatino Linotype" w:hAnsi="Palatino Linotype" w:cs="Palatino Linotype"/>
                <w:sz w:val="20"/>
                <w:szCs w:val="20"/>
              </w:rPr>
            </w:pPr>
            <w:r w:rsidRPr="00B9447D">
              <w:rPr>
                <w:rFonts w:ascii="Palatino Linotype" w:eastAsia="Palatino Linotype" w:hAnsi="Palatino Linotype" w:cs="Palatino Linotype"/>
                <w:sz w:val="20"/>
                <w:szCs w:val="20"/>
              </w:rPr>
              <w:lastRenderedPageBreak/>
              <w:t>Colmó Parcialmente</w:t>
            </w:r>
          </w:p>
        </w:tc>
      </w:tr>
    </w:tbl>
    <w:p w14:paraId="30C158DE"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    </w:t>
      </w:r>
    </w:p>
    <w:p w14:paraId="047B0AF4" w14:textId="77777777" w:rsidR="00E10EB6" w:rsidRPr="00B9447D" w:rsidRDefault="00C023E0">
      <w:p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De lo anterior, se concluye que la información remitida en respuesta, es incompleta, por una parte porque el Sujeto Obligado no proporcionó la totalidad de los oficios requeridos de las temporalidades solicitadas y, tampoco se pronunció señalando si estos no habían sido emitidos o habían sido cancelados. </w:t>
      </w:r>
    </w:p>
    <w:p w14:paraId="7F5FDEFF"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BFACADC" w14:textId="77777777" w:rsidR="00E10EB6" w:rsidRPr="00B9447D" w:rsidRDefault="00C023E0">
      <w:pPr>
        <w:pBdr>
          <w:top w:val="nil"/>
          <w:left w:val="nil"/>
          <w:bottom w:val="nil"/>
          <w:right w:val="nil"/>
          <w:between w:val="nil"/>
        </w:pBd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Por otro lado, también se colige que arguyó la entrega de información incompleta, debido a que los documentos enviados se proporcionaron en versión pública, situación por la que se procede al análisis de los datos que fueron clasificados dentro de los oficios y correspondencia remitida por el Sujeto Obligado, respecto a lo siguiente: </w:t>
      </w:r>
    </w:p>
    <w:p w14:paraId="7F4514E3"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83F46CC" w14:textId="77777777" w:rsidR="00E10EB6" w:rsidRPr="00B9447D" w:rsidRDefault="00C023E0">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B9447D">
        <w:rPr>
          <w:rFonts w:ascii="Palatino Linotype" w:eastAsia="Palatino Linotype" w:hAnsi="Palatino Linotype" w:cs="Palatino Linotype"/>
          <w:b/>
          <w:u w:val="single"/>
        </w:rPr>
        <w:t>Nombre de servidores públicos.</w:t>
      </w:r>
      <w:r w:rsidRPr="00B9447D">
        <w:rPr>
          <w:rFonts w:ascii="Palatino Linotype" w:eastAsia="Palatino Linotype" w:hAnsi="Palatino Linotype" w:cs="Palatino Linotype"/>
          <w:b/>
        </w:rPr>
        <w:t xml:space="preserve"> </w:t>
      </w:r>
      <w:r w:rsidRPr="00B9447D">
        <w:rPr>
          <w:rFonts w:ascii="Palatino Linotype" w:eastAsia="Palatino Linotype" w:hAnsi="Palatino Linotype" w:cs="Palatino Linotype"/>
        </w:rPr>
        <w:t xml:space="preserve">Al respecto, cabe precisar que el nombre se integra con el sustantivo propio y el primer apellido de los padres, en el orden que, de común acuerdo determinen; asimismo es la manifestación principal del derecho subjetivo a la personalidad y </w:t>
      </w:r>
      <w:r w:rsidRPr="00B9447D">
        <w:rPr>
          <w:rFonts w:ascii="Palatino Linotype" w:eastAsia="Palatino Linotype" w:hAnsi="Palatino Linotype" w:cs="Palatino Linotype"/>
        </w:rPr>
        <w:lastRenderedPageBreak/>
        <w:t xml:space="preserve">atributo de esta en términos del artículo 2.3 del Código Civil del Estado de México, de tal suerte, el nombre per se es un elemento que hace a una persona física identificada o identificable. </w:t>
      </w:r>
    </w:p>
    <w:p w14:paraId="4E8BBD2D" w14:textId="77777777" w:rsidR="00E10EB6" w:rsidRPr="00B9447D" w:rsidRDefault="00E10EB6">
      <w:pPr>
        <w:spacing w:after="0" w:line="360" w:lineRule="auto"/>
        <w:jc w:val="both"/>
        <w:rPr>
          <w:rFonts w:ascii="Palatino Linotype" w:eastAsia="Palatino Linotype" w:hAnsi="Palatino Linotype" w:cs="Palatino Linotype"/>
        </w:rPr>
      </w:pPr>
    </w:p>
    <w:p w14:paraId="61E5429C"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los nombres de servidores públicos, ya que la difusión de dicho dato constituye una obligación de transparencia por parte de los sujetos obligados. </w:t>
      </w:r>
    </w:p>
    <w:p w14:paraId="33393DA7" w14:textId="77777777" w:rsidR="00E10EB6" w:rsidRPr="00B9447D" w:rsidRDefault="00E10EB6">
      <w:pPr>
        <w:spacing w:after="0" w:line="360" w:lineRule="auto"/>
        <w:jc w:val="both"/>
        <w:rPr>
          <w:rFonts w:ascii="Palatino Linotype" w:eastAsia="Palatino Linotype" w:hAnsi="Palatino Linotype" w:cs="Palatino Linotype"/>
        </w:rPr>
      </w:pPr>
    </w:p>
    <w:p w14:paraId="35FF077C"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Toma sustento con los artículos 92, fracciones VII y VIII, y 98, fracción III, de la Ley de la materia, el cual establece que los sujetos obligados tienen la obligación de poner a disposición del público y mantener actualizada de acuerdo con sus facultades, atribuciones, funciones u objeto social, según corresponda el directorio y remuneraciones de los servidores públicos, incluidos los profesores, que deberán incluir al menos, entre otros datos, el nombre del trabajador. </w:t>
      </w:r>
    </w:p>
    <w:p w14:paraId="13CEF565"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Además, se robustece con los formatos 7 LGT_Art_70_Fr_VII (Directorio) y 8a LGT_Art_70_Fr_VIII (Remuneraciones bruta y neta de todos los(as) servidores(as) públicos(as) de base y de confianza), de los Lineamientos técnicos generales para la publicación, homologación y estandarización de la información de las obligaciones establecidas en el título quinto y en la fracción IV del artículo 31 de la  Ley General de Transparencia y Acceso a la Información Pública vigente a la fecha de la solicitud, dado que establecen que el nombre de los servidores públicos es un dato que se debe publicar, tal como se muestra a continuación:</w:t>
      </w:r>
    </w:p>
    <w:p w14:paraId="05A8D2E6"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noProof/>
        </w:rPr>
        <w:lastRenderedPageBreak/>
        <w:drawing>
          <wp:inline distT="0" distB="0" distL="0" distR="0" wp14:anchorId="0819E5FC" wp14:editId="6498A386">
            <wp:extent cx="5422219" cy="3941199"/>
            <wp:effectExtent l="0" t="0" r="0" b="0"/>
            <wp:docPr id="21431081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22219" cy="3941199"/>
                    </a:xfrm>
                    <a:prstGeom prst="rect">
                      <a:avLst/>
                    </a:prstGeom>
                    <a:ln/>
                  </pic:spPr>
                </pic:pic>
              </a:graphicData>
            </a:graphic>
          </wp:inline>
        </w:drawing>
      </w:r>
    </w:p>
    <w:p w14:paraId="38AF85AA"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Situación, que se robustece con el penúltimo párrafo, del artículo 23 de la Ley de Transparencia y Acceso a la Información Pública del Estado de México y Municipios, que precisa que los sujetos obligados, deberá hacer pública, toda aquella información relativa a los montos y las personas a quienes entreguen recursos públicos, lo cual incluye su nombre. Por lo tanto, la Ley de Transparencia y Acceso a la Información Pública del Estado de México y Municipios, considera que los datos de servidores públicos, son de naturaleza pública, ya que su publicidad orienta a cumplir los objetivos que persigue la Ley; toda vez, que ayuda a transparentar a quienes se les han otorgado recursos públicos, así como, porque razones se les otorgaron dichos montos. </w:t>
      </w:r>
    </w:p>
    <w:p w14:paraId="40A7A8DE" w14:textId="77777777" w:rsidR="00E10EB6" w:rsidRPr="00B9447D" w:rsidRDefault="00E10EB6">
      <w:pPr>
        <w:spacing w:after="0" w:line="360" w:lineRule="auto"/>
        <w:jc w:val="both"/>
        <w:rPr>
          <w:rFonts w:ascii="Palatino Linotype" w:eastAsia="Palatino Linotype" w:hAnsi="Palatino Linotype" w:cs="Palatino Linotype"/>
        </w:rPr>
      </w:pPr>
    </w:p>
    <w:p w14:paraId="7B062BE1"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lastRenderedPageBreak/>
        <w:t>Por lo que, se considera que no procede la clasificación del nombre de los servidores públicos, en términos del artículo 143, fracción I de la Ley de Transparencia y Acceso a la Información Pública del Estado de México y Municipios.</w:t>
      </w:r>
    </w:p>
    <w:p w14:paraId="36CE51C5" w14:textId="77777777" w:rsidR="00E10EB6" w:rsidRPr="00B9447D" w:rsidRDefault="00E10EB6">
      <w:pPr>
        <w:spacing w:after="0" w:line="360" w:lineRule="auto"/>
        <w:jc w:val="both"/>
        <w:rPr>
          <w:rFonts w:ascii="Palatino Linotype" w:eastAsia="Palatino Linotype" w:hAnsi="Palatino Linotype" w:cs="Palatino Linotype"/>
        </w:rPr>
      </w:pPr>
    </w:p>
    <w:p w14:paraId="2423D64C" w14:textId="77777777" w:rsidR="00E10EB6" w:rsidRPr="00B9447D" w:rsidRDefault="00C023E0">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B9447D">
        <w:rPr>
          <w:rFonts w:ascii="Palatino Linotype" w:eastAsia="Palatino Linotype" w:hAnsi="Palatino Linotype" w:cs="Palatino Linotype"/>
          <w:b/>
          <w:u w:val="single"/>
        </w:rPr>
        <w:t>Clave catastral del predio.</w:t>
      </w:r>
      <w:r w:rsidRPr="00B9447D">
        <w:rPr>
          <w:rFonts w:ascii="Palatino Linotype" w:eastAsia="Palatino Linotype" w:hAnsi="Palatino Linotype" w:cs="Palatino Linotype"/>
          <w:b/>
        </w:rPr>
        <w:t xml:space="preserve"> </w:t>
      </w:r>
      <w:r w:rsidRPr="00B9447D">
        <w:rPr>
          <w:rFonts w:ascii="Palatino Linotype" w:eastAsia="Palatino Linotype" w:hAnsi="Palatino Linotype" w:cs="Palatino Linotype"/>
        </w:rPr>
        <w:t>Sobre dicho dato,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0DE0F263" w14:textId="77777777" w:rsidR="00E10EB6" w:rsidRPr="00B9447D" w:rsidRDefault="00E10EB6">
      <w:pPr>
        <w:spacing w:after="0" w:line="360" w:lineRule="auto"/>
        <w:ind w:right="-93"/>
        <w:jc w:val="both"/>
        <w:rPr>
          <w:rFonts w:ascii="Palatino Linotype" w:eastAsia="Palatino Linotype" w:hAnsi="Palatino Linotype" w:cs="Palatino Linotype"/>
        </w:rPr>
      </w:pPr>
    </w:p>
    <w:p w14:paraId="09BF6C1A" w14:textId="77777777" w:rsidR="00E10EB6" w:rsidRPr="00B9447D" w:rsidRDefault="00C023E0">
      <w:pPr>
        <w:spacing w:after="0" w:line="360" w:lineRule="auto"/>
        <w:ind w:right="-93"/>
        <w:jc w:val="both"/>
        <w:rPr>
          <w:rFonts w:ascii="Palatino Linotype" w:eastAsia="Palatino Linotype" w:hAnsi="Palatino Linotype" w:cs="Palatino Linotype"/>
        </w:rPr>
      </w:pPr>
      <w:r w:rsidRPr="00B9447D">
        <w:rPr>
          <w:rFonts w:ascii="Palatino Linotype" w:eastAsia="Palatino Linotype" w:hAnsi="Palatino Linotype" w:cs="Palatino Linotype"/>
        </w:rPr>
        <w:t>El diccionario de Datos catastrales Escala 1:1000 del Instituto Nacional de Estadística y Geografía (INEGI), contempla en su glosario la definición de clave catastral, la cual, es la siguiente:</w:t>
      </w:r>
    </w:p>
    <w:p w14:paraId="0FA2D466" w14:textId="77777777" w:rsidR="00E10EB6" w:rsidRPr="00B9447D" w:rsidRDefault="00E10EB6">
      <w:pPr>
        <w:spacing w:after="0" w:line="360" w:lineRule="auto"/>
        <w:ind w:right="-93"/>
        <w:jc w:val="both"/>
        <w:rPr>
          <w:rFonts w:ascii="Palatino Linotype" w:eastAsia="Palatino Linotype" w:hAnsi="Palatino Linotype" w:cs="Palatino Linotype"/>
        </w:rPr>
      </w:pPr>
    </w:p>
    <w:p w14:paraId="74BB144F" w14:textId="77777777" w:rsidR="00E10EB6" w:rsidRPr="00B9447D" w:rsidRDefault="00C023E0">
      <w:pPr>
        <w:spacing w:after="0" w:line="276" w:lineRule="auto"/>
        <w:ind w:left="567" w:right="539"/>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 xml:space="preserve">Clave catastral: </w:t>
      </w:r>
      <w:r w:rsidRPr="00B9447D">
        <w:rPr>
          <w:rFonts w:ascii="Palatino Linotype" w:eastAsia="Palatino Linotype" w:hAnsi="Palatino Linotype" w:cs="Palatino Linotype"/>
          <w:i/>
        </w:rPr>
        <w:t>El código que identifica al predio de forma única para su localización geográfica, mismo que es asignado a cada uno de ellos en el momento de su inscripción en el padrón catastral por las Unidades del estado con atribuciones catastrales”</w:t>
      </w:r>
    </w:p>
    <w:p w14:paraId="480710F0" w14:textId="77777777" w:rsidR="00E10EB6" w:rsidRPr="00B9447D" w:rsidRDefault="00E10EB6">
      <w:pPr>
        <w:spacing w:after="0" w:line="360" w:lineRule="auto"/>
        <w:ind w:right="-93"/>
        <w:jc w:val="both"/>
        <w:rPr>
          <w:rFonts w:ascii="Palatino Linotype" w:eastAsia="Palatino Linotype" w:hAnsi="Palatino Linotype" w:cs="Palatino Linotype"/>
        </w:rPr>
      </w:pPr>
    </w:p>
    <w:p w14:paraId="522192F0" w14:textId="77777777" w:rsidR="00E10EB6" w:rsidRPr="00B9447D" w:rsidRDefault="00C023E0">
      <w:pPr>
        <w:spacing w:after="0" w:line="360" w:lineRule="auto"/>
        <w:ind w:right="-93"/>
        <w:jc w:val="both"/>
        <w:rPr>
          <w:rFonts w:ascii="Palatino Linotype" w:eastAsia="Palatino Linotype" w:hAnsi="Palatino Linotype" w:cs="Palatino Linotype"/>
        </w:rPr>
      </w:pPr>
      <w:r w:rsidRPr="00B9447D">
        <w:rPr>
          <w:rFonts w:ascii="Palatino Linotype" w:eastAsia="Palatino Linotype" w:hAnsi="Palatino Linotype" w:cs="Palatino Linotype"/>
        </w:rPr>
        <w:t>Así mismo, dicho diccionario estipula dos tipos de Claves catastrales, siendo estas la Estándar y la Original, cuyo diccionario de datos catastrales Escala 1:1000 del INEGI, las define como</w:t>
      </w:r>
    </w:p>
    <w:p w14:paraId="6D0EF387" w14:textId="77777777" w:rsidR="00E10EB6" w:rsidRPr="00B9447D" w:rsidRDefault="00E10EB6">
      <w:pPr>
        <w:spacing w:after="0" w:line="360" w:lineRule="auto"/>
        <w:ind w:right="-93"/>
        <w:jc w:val="both"/>
        <w:rPr>
          <w:rFonts w:ascii="Palatino Linotype" w:eastAsia="Palatino Linotype" w:hAnsi="Palatino Linotype" w:cs="Palatino Linotype"/>
        </w:rPr>
      </w:pPr>
    </w:p>
    <w:p w14:paraId="71A162EC" w14:textId="77777777" w:rsidR="00E10EB6" w:rsidRPr="00B9447D" w:rsidRDefault="00C023E0">
      <w:pPr>
        <w:spacing w:after="0" w:line="276" w:lineRule="auto"/>
        <w:ind w:left="567" w:right="539"/>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 xml:space="preserve">CLAVE CATASTRAL ESTÁNDAR: </w:t>
      </w:r>
      <w:r w:rsidRPr="00B9447D">
        <w:rPr>
          <w:rFonts w:ascii="Palatino Linotype" w:eastAsia="Palatino Linotype" w:hAnsi="Palatino Linotype" w:cs="Palatino Linotype"/>
          <w:i/>
        </w:rPr>
        <w:t xml:space="preserve">Código de 31 caracteres conformado por elementos administrativos y que identifica al objeto espacial en forma única para su localización, compuesto por: Estado (2) + Región Catastral (3) + Municipio (3) + Zona Catastral (2) + </w:t>
      </w:r>
      <w:r w:rsidRPr="00B9447D">
        <w:rPr>
          <w:rFonts w:ascii="Palatino Linotype" w:eastAsia="Palatino Linotype" w:hAnsi="Palatino Linotype" w:cs="Palatino Linotype"/>
          <w:i/>
        </w:rPr>
        <w:lastRenderedPageBreak/>
        <w:t xml:space="preserve">Localidad (4) + Sector Catastral (3) + </w:t>
      </w:r>
      <w:proofErr w:type="gramStart"/>
      <w:r w:rsidRPr="00B9447D">
        <w:rPr>
          <w:rFonts w:ascii="Palatino Linotype" w:eastAsia="Palatino Linotype" w:hAnsi="Palatino Linotype" w:cs="Palatino Linotype"/>
          <w:i/>
        </w:rPr>
        <w:t>Manzana(</w:t>
      </w:r>
      <w:proofErr w:type="gramEnd"/>
      <w:r w:rsidRPr="00B9447D">
        <w:rPr>
          <w:rFonts w:ascii="Palatino Linotype" w:eastAsia="Palatino Linotype" w:hAnsi="Palatino Linotype" w:cs="Palatino Linotype"/>
          <w:i/>
        </w:rPr>
        <w:t>3) + Predio (5) +  Condominio: edificio (2) y unidad (4).</w:t>
      </w:r>
    </w:p>
    <w:p w14:paraId="575CF2B1" w14:textId="77777777" w:rsidR="00E10EB6" w:rsidRPr="00B9447D" w:rsidRDefault="00E10EB6">
      <w:pPr>
        <w:spacing w:after="0" w:line="276" w:lineRule="auto"/>
        <w:ind w:left="567" w:right="539"/>
        <w:jc w:val="both"/>
        <w:rPr>
          <w:rFonts w:ascii="Palatino Linotype" w:eastAsia="Palatino Linotype" w:hAnsi="Palatino Linotype" w:cs="Palatino Linotype"/>
          <w:i/>
        </w:rPr>
      </w:pPr>
    </w:p>
    <w:p w14:paraId="23D74CFD" w14:textId="77777777" w:rsidR="00E10EB6" w:rsidRPr="00B9447D" w:rsidRDefault="00C023E0">
      <w:pPr>
        <w:spacing w:after="0" w:line="276" w:lineRule="auto"/>
        <w:ind w:left="567" w:right="539"/>
        <w:jc w:val="both"/>
        <w:rPr>
          <w:rFonts w:ascii="Palatino Linotype" w:eastAsia="Palatino Linotype" w:hAnsi="Palatino Linotype" w:cs="Palatino Linotype"/>
          <w:b/>
          <w:i/>
        </w:rPr>
      </w:pPr>
      <w:r w:rsidRPr="00B9447D">
        <w:rPr>
          <w:rFonts w:ascii="Palatino Linotype" w:eastAsia="Palatino Linotype" w:hAnsi="Palatino Linotype" w:cs="Palatino Linotype"/>
          <w:b/>
          <w:i/>
        </w:rPr>
        <w:t xml:space="preserve">CLAVE CATASTRAL ORIGINAL: </w:t>
      </w:r>
      <w:r w:rsidRPr="00B9447D">
        <w:rPr>
          <w:rFonts w:ascii="Palatino Linotype" w:eastAsia="Palatino Linotype" w:hAnsi="Palatino Linotype" w:cs="Palatino Linotype"/>
          <w:i/>
        </w:rPr>
        <w:t>Código que identifica al objeto espacial el cual es asignado, por el Catastro Estatal, Municipal o por el registro Agrario Nacional”</w:t>
      </w:r>
      <w:r w:rsidRPr="00B9447D">
        <w:rPr>
          <w:rFonts w:ascii="Palatino Linotype" w:eastAsia="Palatino Linotype" w:hAnsi="Palatino Linotype" w:cs="Palatino Linotype"/>
          <w:b/>
          <w:i/>
        </w:rPr>
        <w:t xml:space="preserve"> </w:t>
      </w:r>
    </w:p>
    <w:p w14:paraId="15B153D7" w14:textId="77777777" w:rsidR="00E10EB6" w:rsidRPr="00B9447D" w:rsidRDefault="00E10EB6">
      <w:pPr>
        <w:spacing w:after="0" w:line="360" w:lineRule="auto"/>
        <w:ind w:right="-93"/>
        <w:jc w:val="both"/>
        <w:rPr>
          <w:rFonts w:ascii="Palatino Linotype" w:eastAsia="Palatino Linotype" w:hAnsi="Palatino Linotype" w:cs="Palatino Linotype"/>
        </w:rPr>
      </w:pPr>
    </w:p>
    <w:p w14:paraId="4EEA0EFC" w14:textId="77777777" w:rsidR="00E10EB6" w:rsidRPr="00B9447D" w:rsidRDefault="00C023E0">
      <w:pPr>
        <w:spacing w:after="0" w:line="360" w:lineRule="auto"/>
        <w:ind w:right="-93"/>
        <w:jc w:val="both"/>
        <w:rPr>
          <w:rFonts w:ascii="Palatino Linotype" w:eastAsia="Palatino Linotype" w:hAnsi="Palatino Linotype" w:cs="Palatino Linotype"/>
          <w:b/>
        </w:rPr>
      </w:pPr>
      <w:r w:rsidRPr="00B9447D">
        <w:rPr>
          <w:rFonts w:ascii="Palatino Linotype" w:eastAsia="Palatino Linotype" w:hAnsi="Palatino Linotype" w:cs="Palatino Linotype"/>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B9447D">
        <w:rPr>
          <w:rFonts w:ascii="Palatino Linotype" w:eastAsia="Palatino Linotype" w:hAnsi="Palatino Linotype" w:cs="Palatino Linotype"/>
          <w:b/>
        </w:rPr>
        <w:t>procede a clasificar dicho dato como confidencial.</w:t>
      </w:r>
    </w:p>
    <w:p w14:paraId="044DB603" w14:textId="77777777" w:rsidR="00E10EB6" w:rsidRPr="00B9447D" w:rsidRDefault="00E10EB6">
      <w:pPr>
        <w:spacing w:after="0" w:line="360" w:lineRule="auto"/>
        <w:ind w:right="-93"/>
        <w:jc w:val="both"/>
        <w:rPr>
          <w:rFonts w:ascii="Palatino Linotype" w:eastAsia="Palatino Linotype" w:hAnsi="Palatino Linotype" w:cs="Palatino Linotype"/>
          <w:b/>
        </w:rPr>
      </w:pPr>
    </w:p>
    <w:p w14:paraId="344C4A1C" w14:textId="77777777" w:rsidR="00E10EB6" w:rsidRPr="00B9447D" w:rsidRDefault="00C023E0">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B9447D">
        <w:rPr>
          <w:rFonts w:ascii="Palatino Linotype" w:eastAsia="Palatino Linotype" w:hAnsi="Palatino Linotype" w:cs="Palatino Linotype"/>
          <w:b/>
        </w:rPr>
        <w:t xml:space="preserve">Nombre de representante legal. </w:t>
      </w:r>
      <w:r w:rsidRPr="00B9447D">
        <w:rPr>
          <w:rFonts w:ascii="Palatino Linotype" w:eastAsia="Palatino Linotype" w:hAnsi="Palatino Linotype" w:cs="Palatino Linotype"/>
        </w:rPr>
        <w:t>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6DC3F6C6" w14:textId="77777777" w:rsidR="00E10EB6" w:rsidRPr="00B9447D" w:rsidRDefault="00E10EB6">
      <w:pPr>
        <w:spacing w:after="0" w:line="360" w:lineRule="auto"/>
        <w:jc w:val="both"/>
        <w:rPr>
          <w:rFonts w:ascii="Palatino Linotype" w:eastAsia="Palatino Linotype" w:hAnsi="Palatino Linotype" w:cs="Palatino Linotype"/>
        </w:rPr>
      </w:pPr>
    </w:p>
    <w:p w14:paraId="11DF0BA2" w14:textId="77777777" w:rsidR="00E10EB6" w:rsidRPr="00B9447D" w:rsidRDefault="00C023E0">
      <w:pPr>
        <w:widowControl w:val="0"/>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34CE0983" w14:textId="77777777" w:rsidR="00E10EB6" w:rsidRPr="00B9447D" w:rsidRDefault="00E10EB6">
      <w:pPr>
        <w:spacing w:after="0" w:line="360" w:lineRule="auto"/>
        <w:jc w:val="both"/>
        <w:rPr>
          <w:rFonts w:ascii="Palatino Linotype" w:eastAsia="Palatino Linotype" w:hAnsi="Palatino Linotype" w:cs="Palatino Linotype"/>
        </w:rPr>
      </w:pPr>
    </w:p>
    <w:p w14:paraId="5F4FC140"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lastRenderedPageBreak/>
        <w:t>En esa tesitura, la representación de las personas morales se realizará por medio de representantes o apoderados, y en el caso específico de las sociedades mercantiles, dicha representación se otorgará mediante instrumento público.</w:t>
      </w:r>
    </w:p>
    <w:p w14:paraId="11B5AC37" w14:textId="77777777" w:rsidR="00E10EB6" w:rsidRPr="00B9447D" w:rsidRDefault="00E10EB6">
      <w:pPr>
        <w:spacing w:after="0" w:line="360" w:lineRule="auto"/>
        <w:jc w:val="both"/>
        <w:rPr>
          <w:rFonts w:ascii="Palatino Linotype" w:eastAsia="Palatino Linotype" w:hAnsi="Palatino Linotype" w:cs="Palatino Linotype"/>
        </w:rPr>
      </w:pPr>
    </w:p>
    <w:p w14:paraId="019C660B"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68035FFA" w14:textId="77777777" w:rsidR="00E10EB6" w:rsidRPr="00B9447D" w:rsidRDefault="00E10EB6">
      <w:pPr>
        <w:spacing w:after="0" w:line="360" w:lineRule="auto"/>
        <w:jc w:val="both"/>
        <w:rPr>
          <w:rFonts w:ascii="Palatino Linotype" w:eastAsia="Palatino Linotype" w:hAnsi="Palatino Linotype" w:cs="Palatino Linotype"/>
        </w:rPr>
      </w:pPr>
    </w:p>
    <w:p w14:paraId="6485EB90"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B9447D">
        <w:rPr>
          <w:rFonts w:ascii="Palatino Linotype" w:eastAsia="Palatino Linotype" w:hAnsi="Palatino Linotype" w:cs="Palatino Linotype"/>
          <w:b/>
        </w:rPr>
        <w:t xml:space="preserve">es público, </w:t>
      </w:r>
      <w:r w:rsidRPr="00B9447D">
        <w:rPr>
          <w:rFonts w:ascii="Palatino Linotype" w:eastAsia="Palatino Linotype" w:hAnsi="Palatino Linotype" w:cs="Palatino Linotype"/>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00AACE48" w14:textId="77777777" w:rsidR="00E10EB6" w:rsidRPr="00B9447D" w:rsidRDefault="00E10EB6">
      <w:pPr>
        <w:spacing w:after="0" w:line="360" w:lineRule="auto"/>
        <w:jc w:val="both"/>
        <w:rPr>
          <w:rFonts w:ascii="Palatino Linotype" w:eastAsia="Palatino Linotype" w:hAnsi="Palatino Linotype" w:cs="Palatino Linotype"/>
        </w:rPr>
      </w:pPr>
    </w:p>
    <w:p w14:paraId="33B840E7"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Lo anterior, se robustece con el criterio 01/19, emitido por el entonces Instituto Nacional de Transparencia, Acceso a la Información Pública y Protección de Datos Personales, que establece lo siguiente:</w:t>
      </w:r>
    </w:p>
    <w:p w14:paraId="3E9E9FDB" w14:textId="77777777" w:rsidR="00E10EB6" w:rsidRPr="00B9447D" w:rsidRDefault="00C023E0">
      <w:pPr>
        <w:spacing w:after="0" w:line="276" w:lineRule="auto"/>
        <w:ind w:left="567" w:right="539"/>
        <w:jc w:val="both"/>
        <w:rPr>
          <w:rFonts w:ascii="Palatino Linotype" w:eastAsia="Palatino Linotype" w:hAnsi="Palatino Linotype" w:cs="Palatino Linotype"/>
          <w:i/>
        </w:rPr>
      </w:pPr>
      <w:r w:rsidRPr="00B9447D">
        <w:rPr>
          <w:rFonts w:ascii="Palatino Linotype" w:eastAsia="Palatino Linotype" w:hAnsi="Palatino Linotype" w:cs="Palatino Linotype"/>
          <w:b/>
          <w:i/>
        </w:rPr>
        <w:t>Datos de identificación del representante o apoderado legal.</w:t>
      </w:r>
      <w:r w:rsidRPr="00B9447D">
        <w:rPr>
          <w:rFonts w:ascii="Palatino Linotype" w:eastAsia="Palatino Linotype" w:hAnsi="Palatino Linotype" w:cs="Palatino Linotype"/>
          <w:i/>
        </w:rPr>
        <w:t xml:space="preserve"> </w:t>
      </w:r>
      <w:r w:rsidRPr="00B9447D">
        <w:rPr>
          <w:rFonts w:ascii="Palatino Linotype" w:eastAsia="Palatino Linotype" w:hAnsi="Palatino Linotype" w:cs="Palatino Linotype"/>
          <w:b/>
          <w:i/>
        </w:rPr>
        <w:t xml:space="preserve">Naturaleza jurídica. </w:t>
      </w:r>
      <w:r w:rsidRPr="00B9447D">
        <w:rPr>
          <w:rFonts w:ascii="Palatino Linotype" w:eastAsia="Palatino Linotype" w:hAnsi="Palatino Linotype" w:cs="Palatino Linotype"/>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666773E7" w14:textId="77777777" w:rsidR="00E10EB6" w:rsidRPr="00B9447D" w:rsidRDefault="00E10EB6">
      <w:pPr>
        <w:spacing w:after="0" w:line="360" w:lineRule="auto"/>
        <w:jc w:val="both"/>
        <w:rPr>
          <w:rFonts w:ascii="Palatino Linotype" w:eastAsia="Palatino Linotype" w:hAnsi="Palatino Linotype" w:cs="Palatino Linotype"/>
        </w:rPr>
      </w:pPr>
    </w:p>
    <w:p w14:paraId="29D65743"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Ante tales situaciones, el nombre del representante legal, de una persona jurídica colectiva que solicito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1EDE5FDC" w14:textId="77777777" w:rsidR="00E10EB6" w:rsidRPr="00B9447D" w:rsidRDefault="00E10EB6">
      <w:pPr>
        <w:spacing w:after="0" w:line="360" w:lineRule="auto"/>
        <w:jc w:val="both"/>
        <w:rPr>
          <w:rFonts w:ascii="Palatino Linotype" w:eastAsia="Palatino Linotype" w:hAnsi="Palatino Linotype" w:cs="Palatino Linotype"/>
        </w:rPr>
      </w:pPr>
    </w:p>
    <w:p w14:paraId="54104F71" w14:textId="77777777" w:rsidR="00E10EB6" w:rsidRPr="00B9447D" w:rsidRDefault="00C023E0">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B9447D">
        <w:rPr>
          <w:rFonts w:ascii="Palatino Linotype" w:eastAsia="Palatino Linotype" w:hAnsi="Palatino Linotype" w:cs="Palatino Linotype"/>
          <w:b/>
          <w:u w:val="single"/>
        </w:rPr>
        <w:t>Nombres de personas que no son servidores públicos.</w:t>
      </w:r>
      <w:r w:rsidRPr="00B9447D">
        <w:rPr>
          <w:rFonts w:ascii="Palatino Linotype" w:eastAsia="Palatino Linotype" w:hAnsi="Palatino Linotype" w:cs="Palatino Linotype"/>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B9447D">
        <w:rPr>
          <w:rFonts w:ascii="Palatino Linotype" w:eastAsia="Palatino Linotype" w:hAnsi="Palatino Linotype" w:cs="Palatino Linotype"/>
          <w:i/>
        </w:rPr>
        <w:t>per se</w:t>
      </w:r>
      <w:r w:rsidRPr="00B9447D">
        <w:rPr>
          <w:rFonts w:ascii="Palatino Linotype" w:eastAsia="Palatino Linotype" w:hAnsi="Palatino Linotype" w:cs="Palatino Linotype"/>
        </w:rPr>
        <w:t xml:space="preserve"> es un elemento que hace a una persona física identificada o identificable, por lo que, </w:t>
      </w:r>
      <w:r w:rsidRPr="00B9447D">
        <w:rPr>
          <w:rFonts w:ascii="Palatino Linotype" w:eastAsia="Palatino Linotype" w:hAnsi="Palatino Linotype" w:cs="Palatino Linotype"/>
          <w:b/>
        </w:rPr>
        <w:t>se considera un dato personal.</w:t>
      </w:r>
    </w:p>
    <w:p w14:paraId="10C477B2" w14:textId="77777777" w:rsidR="00E10EB6" w:rsidRPr="00B9447D" w:rsidRDefault="00E10EB6">
      <w:pPr>
        <w:spacing w:after="0" w:line="360" w:lineRule="auto"/>
        <w:jc w:val="both"/>
        <w:rPr>
          <w:rFonts w:ascii="Palatino Linotype" w:eastAsia="Palatino Linotype" w:hAnsi="Palatino Linotype" w:cs="Palatino Linotype"/>
        </w:rPr>
      </w:pPr>
    </w:p>
    <w:p w14:paraId="5C30B2BE" w14:textId="77777777" w:rsidR="00E10EB6" w:rsidRPr="00B9447D" w:rsidRDefault="00C023E0">
      <w:pPr>
        <w:spacing w:after="0" w:line="360" w:lineRule="auto"/>
        <w:rPr>
          <w:rFonts w:ascii="Palatino Linotype" w:eastAsia="Palatino Linotype" w:hAnsi="Palatino Linotype" w:cs="Palatino Linotype"/>
        </w:rPr>
      </w:pPr>
      <w:r w:rsidRPr="00B9447D">
        <w:rPr>
          <w:rFonts w:ascii="Palatino Linotype" w:eastAsia="Palatino Linotype" w:hAnsi="Palatino Linotype" w:cs="Palatino Linotype"/>
        </w:rPr>
        <w:t>Sobre el tema, se tiene presente que este Instituto emitió el Criterio Relevante 01/18, de la Segunda Época de este Instituto, que establece que el nombre del titular de una licencia, es información confidencial, cuando no involucra aprovechamiento de recursos públicos.</w:t>
      </w:r>
    </w:p>
    <w:p w14:paraId="5345FD03" w14:textId="77777777" w:rsidR="00E10EB6" w:rsidRPr="00B9447D" w:rsidRDefault="00E10EB6">
      <w:pPr>
        <w:spacing w:after="0" w:line="360" w:lineRule="auto"/>
        <w:jc w:val="both"/>
        <w:rPr>
          <w:rFonts w:ascii="Palatino Linotype" w:eastAsia="Palatino Linotype" w:hAnsi="Palatino Linotype" w:cs="Palatino Linotype"/>
        </w:rPr>
      </w:pPr>
    </w:p>
    <w:p w14:paraId="3F083BB3" w14:textId="77777777" w:rsidR="00E10EB6" w:rsidRPr="00B9447D" w:rsidRDefault="00C023E0">
      <w:pPr>
        <w:spacing w:after="0" w:line="276" w:lineRule="auto"/>
        <w:ind w:left="567" w:right="539"/>
        <w:jc w:val="both"/>
        <w:rPr>
          <w:rFonts w:ascii="Palatino Linotype" w:eastAsia="Palatino Linotype" w:hAnsi="Palatino Linotype" w:cs="Palatino Linotype"/>
          <w:i/>
        </w:rPr>
      </w:pPr>
      <w:r w:rsidRPr="00B9447D">
        <w:rPr>
          <w:rFonts w:ascii="Palatino Linotype" w:eastAsia="Palatino Linotype" w:hAnsi="Palatino Linotype" w:cs="Palatino Linotype"/>
          <w:b/>
          <w:i/>
        </w:rPr>
        <w:t>Nombre del titular de una licencia que no involucre el aprovechamiento de bienes, servicios y/o recursos públicos, constituye un dato personal susceptible de clasificar como confidencial.</w:t>
      </w:r>
      <w:r w:rsidRPr="00B9447D">
        <w:rPr>
          <w:rFonts w:ascii="Palatino Linotype" w:eastAsia="Palatino Linotype" w:hAnsi="Palatino Linotype" w:cs="Palatino Linotype"/>
          <w:i/>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w:t>
      </w:r>
      <w:r w:rsidRPr="00B9447D">
        <w:rPr>
          <w:rFonts w:ascii="Palatino Linotype" w:eastAsia="Palatino Linotype" w:hAnsi="Palatino Linotype" w:cs="Palatino Linotype"/>
          <w:i/>
        </w:rPr>
        <w:lastRenderedPageBreak/>
        <w:t>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39E7132D" w14:textId="77777777" w:rsidR="00E10EB6" w:rsidRPr="00B9447D" w:rsidRDefault="00E10EB6">
      <w:pPr>
        <w:spacing w:after="0" w:line="360" w:lineRule="auto"/>
        <w:jc w:val="both"/>
        <w:rPr>
          <w:rFonts w:ascii="Palatino Linotype" w:eastAsia="Palatino Linotype" w:hAnsi="Palatino Linotype" w:cs="Palatino Linotype"/>
        </w:rPr>
      </w:pPr>
    </w:p>
    <w:p w14:paraId="70D77452"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Con base en lo anterior, procede su eliminación de las versiones públicas, pues se considera un dato personal en términos del artículo 143, fracción I de la Ley de Transparencia y Acceso a la Información Pública del Estado de México y Municipios.</w:t>
      </w:r>
    </w:p>
    <w:p w14:paraId="149658DD" w14:textId="77777777" w:rsidR="00E10EB6" w:rsidRPr="00B9447D" w:rsidRDefault="00E10EB6">
      <w:pPr>
        <w:spacing w:after="0" w:line="360" w:lineRule="auto"/>
        <w:jc w:val="both"/>
        <w:rPr>
          <w:rFonts w:ascii="Palatino Linotype" w:eastAsia="Palatino Linotype" w:hAnsi="Palatino Linotype" w:cs="Palatino Linotype"/>
        </w:rPr>
      </w:pPr>
    </w:p>
    <w:p w14:paraId="66DBDF7D" w14:textId="77777777" w:rsidR="00E10EB6" w:rsidRPr="00B9447D" w:rsidRDefault="00C023E0">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rPr>
      </w:pPr>
      <w:r w:rsidRPr="00B9447D">
        <w:rPr>
          <w:rFonts w:ascii="Palatino Linotype" w:eastAsia="Palatino Linotype" w:hAnsi="Palatino Linotype" w:cs="Palatino Linotype"/>
          <w:b/>
          <w:u w:val="single"/>
        </w:rPr>
        <w:t>Firmas de particulares.</w:t>
      </w:r>
      <w:r w:rsidRPr="00B9447D">
        <w:rPr>
          <w:rFonts w:ascii="Palatino Linotype" w:eastAsia="Palatino Linotype" w:hAnsi="Palatino Linotype" w:cs="Palatino Linotype"/>
          <w:b/>
        </w:rPr>
        <w:t xml:space="preserve"> </w:t>
      </w:r>
      <w:r w:rsidRPr="00B9447D">
        <w:rPr>
          <w:rFonts w:ascii="Palatino Linotype" w:eastAsia="Palatino Linotype" w:hAnsi="Palatino Linotype" w:cs="Palatino Linotype"/>
        </w:rPr>
        <w:t>La firma es un conjunto de rasgos propios de su titular, un atributo de la personalidad de los individuos y busca que la misma no pueda ser reproducida por otra persona. La firma identifica o hace identificable a su titular, aunado a que ésta es utilizada como una prueba del consentimiento y aprobación por parte de una persona, motivo por el cual debe ser resguardada. En ese sentido, se considera que la firma es un dato personal confidencial en términos de la fracción I del numeral 143 de la Ley de Transparencia y Acceso a la Información Pública del Estado de México y Municipios.</w:t>
      </w:r>
    </w:p>
    <w:p w14:paraId="1C19AA02" w14:textId="77777777" w:rsidR="00E10EB6" w:rsidRPr="00B9447D" w:rsidRDefault="00E10EB6">
      <w:pPr>
        <w:spacing w:after="0" w:line="360" w:lineRule="auto"/>
        <w:jc w:val="both"/>
        <w:rPr>
          <w:rFonts w:ascii="Palatino Linotype" w:eastAsia="Palatino Linotype" w:hAnsi="Palatino Linotype" w:cs="Palatino Linotype"/>
        </w:rPr>
      </w:pPr>
    </w:p>
    <w:p w14:paraId="1F9BE246" w14:textId="77777777" w:rsidR="00E10EB6" w:rsidRPr="00B9447D" w:rsidRDefault="00C023E0">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rPr>
      </w:pPr>
      <w:r w:rsidRPr="00B9447D">
        <w:rPr>
          <w:rFonts w:ascii="Palatino Linotype" w:eastAsia="Palatino Linotype" w:hAnsi="Palatino Linotype" w:cs="Palatino Linotype"/>
          <w:b/>
          <w:u w:val="single"/>
        </w:rPr>
        <w:lastRenderedPageBreak/>
        <w:t>Teléfono particular.</w:t>
      </w:r>
      <w:r w:rsidRPr="00B9447D">
        <w:rPr>
          <w:rFonts w:ascii="Palatino Linotype" w:eastAsia="Palatino Linotype" w:hAnsi="Palatino Linotype" w:cs="Palatino Linotype"/>
        </w:rPr>
        <w:t xml:space="preserve"> El número asignado a un teléfono particular permite localizar a una persona física identificada o identificable, ya sea a través de un dispositivo móvil o bien, en un lugar como el domicilio. </w:t>
      </w:r>
    </w:p>
    <w:p w14:paraId="3A445F36" w14:textId="77777777" w:rsidR="00E10EB6" w:rsidRPr="00B9447D" w:rsidRDefault="00E10EB6">
      <w:pPr>
        <w:spacing w:after="0" w:line="360" w:lineRule="auto"/>
        <w:jc w:val="both"/>
        <w:rPr>
          <w:rFonts w:ascii="Palatino Linotype" w:eastAsia="Palatino Linotype" w:hAnsi="Palatino Linotype" w:cs="Palatino Linotype"/>
        </w:rPr>
      </w:pPr>
    </w:p>
    <w:p w14:paraId="6C0574E7"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En ese sentido, el número contacto, permite localizar de manera privada a las personas físicas o servidores públicos; por lo que, la titularidad corresponde a la persona física en su calidad de particular y no como servidor público.</w:t>
      </w:r>
    </w:p>
    <w:p w14:paraId="2862BD67" w14:textId="77777777" w:rsidR="00E10EB6" w:rsidRPr="00B9447D" w:rsidRDefault="00E10EB6">
      <w:pPr>
        <w:spacing w:after="0" w:line="360" w:lineRule="auto"/>
        <w:jc w:val="both"/>
        <w:rPr>
          <w:rFonts w:ascii="Palatino Linotype" w:eastAsia="Palatino Linotype" w:hAnsi="Palatino Linotype" w:cs="Palatino Linotype"/>
        </w:rPr>
      </w:pPr>
    </w:p>
    <w:p w14:paraId="6F08D914"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En tales consideraciones, dicho dato personal es susceptible de ser clasificado como confidencial, con fundamento en el artículo 143, fracción I de la Ley de Transparencia y Acceso a la Información Pública.</w:t>
      </w:r>
    </w:p>
    <w:p w14:paraId="417CCB1A" w14:textId="77777777" w:rsidR="00E10EB6" w:rsidRPr="00B9447D" w:rsidRDefault="00E10EB6">
      <w:pPr>
        <w:spacing w:after="0" w:line="360" w:lineRule="auto"/>
        <w:jc w:val="both"/>
        <w:rPr>
          <w:rFonts w:ascii="Palatino Linotype" w:eastAsia="Palatino Linotype" w:hAnsi="Palatino Linotype" w:cs="Palatino Linotype"/>
        </w:rPr>
      </w:pPr>
    </w:p>
    <w:p w14:paraId="6B888194" w14:textId="77777777" w:rsidR="00E10EB6" w:rsidRPr="00B9447D" w:rsidRDefault="00C023E0">
      <w:pPr>
        <w:numPr>
          <w:ilvl w:val="0"/>
          <w:numId w:val="7"/>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rPr>
      </w:pPr>
      <w:r w:rsidRPr="00B9447D">
        <w:rPr>
          <w:rFonts w:ascii="Palatino Linotype" w:eastAsia="Palatino Linotype" w:hAnsi="Palatino Linotype" w:cs="Palatino Linotype"/>
          <w:b/>
          <w:u w:val="single"/>
        </w:rPr>
        <w:t>Domicilio particular.</w:t>
      </w:r>
      <w:r w:rsidRPr="00B9447D">
        <w:rPr>
          <w:rFonts w:ascii="Palatino Linotype" w:eastAsia="Palatino Linotype" w:hAnsi="Palatino Linotype" w:cs="Palatino Linotype"/>
          <w:b/>
        </w:rPr>
        <w:t xml:space="preserve"> </w:t>
      </w:r>
      <w:r w:rsidRPr="00B9447D">
        <w:rPr>
          <w:rFonts w:ascii="Palatino Linotype" w:eastAsia="Palatino Linotype" w:hAnsi="Palatino Linotype" w:cs="Palatino Linotype"/>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6EE00280" w14:textId="77777777" w:rsidR="00E10EB6" w:rsidRPr="00B9447D" w:rsidRDefault="00E10EB6">
      <w:pPr>
        <w:spacing w:after="0" w:line="360" w:lineRule="auto"/>
        <w:jc w:val="both"/>
        <w:rPr>
          <w:rFonts w:ascii="Palatino Linotype" w:eastAsia="Palatino Linotype" w:hAnsi="Palatino Linotype" w:cs="Palatino Linotype"/>
        </w:rPr>
      </w:pPr>
    </w:p>
    <w:p w14:paraId="22CCCC88"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De la misma manera, lo establece el artículo 29 del Código Civil Federal, al precisar que el domicilio de personas físicas</w:t>
      </w:r>
      <w:r w:rsidRPr="00B9447D">
        <w:rPr>
          <w:rFonts w:ascii="Palatino Linotype" w:eastAsia="Palatino Linotype" w:hAnsi="Palatino Linotype" w:cs="Palatino Linotype"/>
          <w:b/>
        </w:rPr>
        <w:t>, e</w:t>
      </w:r>
      <w:r w:rsidRPr="00B9447D">
        <w:rPr>
          <w:rFonts w:ascii="Palatino Linotype" w:eastAsia="Palatino Linotype" w:hAnsi="Palatino Linotype" w:cs="Palatino Linotype"/>
        </w:rPr>
        <w:t>s el lugar donde residen habitualmente, el lugar del centro principal de sus negocios, donde residan o el lugar donde se encuentren.</w:t>
      </w:r>
    </w:p>
    <w:p w14:paraId="25CF43C4"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Además, respecto al domicilio particular se presume que corresponde al lugar donde reside habitualmente</w:t>
      </w:r>
      <w:r w:rsidRPr="00B9447D">
        <w:rPr>
          <w:rFonts w:ascii="Palatino Linotype" w:eastAsia="Palatino Linotype" w:hAnsi="Palatino Linotype" w:cs="Palatino Linotype"/>
          <w:b/>
        </w:rPr>
        <w:t>.</w:t>
      </w:r>
    </w:p>
    <w:p w14:paraId="1B677F30" w14:textId="77777777" w:rsidR="00E10EB6" w:rsidRPr="00B9447D" w:rsidRDefault="00E10EB6">
      <w:pPr>
        <w:spacing w:after="0" w:line="360" w:lineRule="auto"/>
        <w:jc w:val="both"/>
        <w:rPr>
          <w:rFonts w:ascii="Palatino Linotype" w:eastAsia="Palatino Linotype" w:hAnsi="Palatino Linotype" w:cs="Palatino Linotype"/>
        </w:rPr>
      </w:pPr>
    </w:p>
    <w:p w14:paraId="6C8704C4"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lastRenderedPageBreak/>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12CEB31D" w14:textId="77777777" w:rsidR="00E10EB6" w:rsidRPr="00B9447D" w:rsidRDefault="00E10EB6">
      <w:pPr>
        <w:spacing w:after="0" w:line="360" w:lineRule="auto"/>
        <w:jc w:val="both"/>
        <w:rPr>
          <w:rFonts w:ascii="Palatino Linotype" w:eastAsia="Palatino Linotype" w:hAnsi="Palatino Linotype" w:cs="Palatino Linotype"/>
        </w:rPr>
      </w:pPr>
    </w:p>
    <w:p w14:paraId="1EBA2632"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De lo anterior, se puede advertir que, el Sujeto Obligado hizo entrega de información incompleta, ya que no se advierte que los oficios hayan sido entregados con folios consecutivos, aunado a que se advierte que clasificó información de naturaleza pública, como fueron nombres y firmas de servidores públicos o número de teléfono institucional. </w:t>
      </w:r>
    </w:p>
    <w:p w14:paraId="66580AA7" w14:textId="77777777" w:rsidR="00E10EB6" w:rsidRPr="00B9447D" w:rsidRDefault="00E10EB6">
      <w:pPr>
        <w:spacing w:after="0" w:line="360" w:lineRule="auto"/>
        <w:jc w:val="both"/>
        <w:rPr>
          <w:rFonts w:ascii="Palatino Linotype" w:eastAsia="Palatino Linotype" w:hAnsi="Palatino Linotype" w:cs="Palatino Linotype"/>
        </w:rPr>
      </w:pPr>
    </w:p>
    <w:p w14:paraId="5A9D953D"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En consecuencia, se determina que los agravios hechos valer por el Solicitante devienen </w:t>
      </w:r>
      <w:r w:rsidRPr="00B9447D">
        <w:rPr>
          <w:rFonts w:ascii="Palatino Linotype" w:eastAsia="Palatino Linotype" w:hAnsi="Palatino Linotype" w:cs="Palatino Linotype"/>
          <w:b/>
        </w:rPr>
        <w:t>FUNDADOS</w:t>
      </w:r>
      <w:r w:rsidRPr="00B9447D">
        <w:rPr>
          <w:rFonts w:ascii="Palatino Linotype" w:eastAsia="Palatino Linotype" w:hAnsi="Palatino Linotype" w:cs="Palatino Linotype"/>
        </w:rPr>
        <w:t xml:space="preserve"> y, en consecuencia, se </w:t>
      </w:r>
      <w:r w:rsidRPr="00B9447D">
        <w:rPr>
          <w:rFonts w:ascii="Palatino Linotype" w:eastAsia="Palatino Linotype" w:hAnsi="Palatino Linotype" w:cs="Palatino Linotype"/>
          <w:b/>
        </w:rPr>
        <w:t xml:space="preserve">MODIFICAN </w:t>
      </w:r>
      <w:r w:rsidRPr="00B9447D">
        <w:rPr>
          <w:rFonts w:ascii="Palatino Linotype" w:eastAsia="Palatino Linotype" w:hAnsi="Palatino Linotype" w:cs="Palatino Linotype"/>
        </w:rPr>
        <w:t xml:space="preserve">las respuestas otorgadas por la parte Recurrente en los Recursos de Revisión </w:t>
      </w:r>
      <w:r w:rsidRPr="00B9447D">
        <w:rPr>
          <w:rFonts w:ascii="Palatino Linotype" w:eastAsia="Palatino Linotype" w:hAnsi="Palatino Linotype" w:cs="Palatino Linotype"/>
          <w:b/>
        </w:rPr>
        <w:t>01069/INFOEM/IP/RR/2025, 01070/INFOEM/IP/RR/2025, 01073/INFOEM/IP/RR/2025, 01075/INFOEM/IP/RR/2025, 01076/INFOEM/IP/RR/2025, 01077/INFOEM/IP/RR/2025, 01078/INFOEM/IP/RR/2025, 01079/INFOEM/IP/RR/2025, 01081/INFOEM/IP/RR/2025, 01082/INFOEM/IP/RR/2025, 01083/INFOEM/IP/RR/2025, 01084/INFOEM/IP/RR/2025, 01085/INFOEM/IP/RR/2025, 01086/INFOEM/IP/RR/2025, 01087/INFOEM/IP/RR/2025, 01088/INFOEM/IP/RR/2025, 01089/INFOEM/IP/RR/2025, 01090/INFOEM/IP/RR/2025, 01091/INFOEM/IP/RR/20250, 1092/INFOEM/IP/RR/2025        y  01093/INFOEM/IP/RR/2025 acumulados</w:t>
      </w:r>
      <w:r w:rsidRPr="00B9447D">
        <w:rPr>
          <w:rFonts w:ascii="Palatino Linotype" w:eastAsia="Palatino Linotype" w:hAnsi="Palatino Linotype" w:cs="Palatino Linotype"/>
        </w:rPr>
        <w:t xml:space="preserve"> y, se le </w:t>
      </w:r>
      <w:r w:rsidRPr="00B9447D">
        <w:rPr>
          <w:rFonts w:ascii="Palatino Linotype" w:eastAsia="Palatino Linotype" w:hAnsi="Palatino Linotype" w:cs="Palatino Linotype"/>
          <w:b/>
        </w:rPr>
        <w:t xml:space="preserve">ORDENA </w:t>
      </w:r>
      <w:r w:rsidRPr="00B9447D">
        <w:rPr>
          <w:rFonts w:ascii="Palatino Linotype" w:eastAsia="Palatino Linotype" w:hAnsi="Palatino Linotype" w:cs="Palatino Linotype"/>
        </w:rPr>
        <w:lastRenderedPageBreak/>
        <w:t>haga entrega, vía Sistema de Acceso a la Información Mexiquense, de la siguiente información:</w:t>
      </w:r>
    </w:p>
    <w:p w14:paraId="6A732691"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E9B679C" w14:textId="77777777" w:rsidR="00E10EB6" w:rsidRPr="00B9447D" w:rsidRDefault="00C023E0">
      <w:pPr>
        <w:numPr>
          <w:ilvl w:val="0"/>
          <w:numId w:val="3"/>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bookmarkStart w:id="4" w:name="_heading=h.ncrhza8mbldm" w:colFirst="0" w:colLast="0"/>
      <w:bookmarkEnd w:id="4"/>
      <w:r w:rsidRPr="00B9447D">
        <w:rPr>
          <w:rFonts w:ascii="Palatino Linotype" w:eastAsia="Palatino Linotype" w:hAnsi="Palatino Linotype" w:cs="Palatino Linotype"/>
        </w:rPr>
        <w:t xml:space="preserve">En una correcta versión pública, los oficios y correspondencia mal testada enviada en respuesta. </w:t>
      </w:r>
    </w:p>
    <w:p w14:paraId="0AE2AAD6" w14:textId="77777777" w:rsidR="00E10EB6" w:rsidRPr="00B9447D" w:rsidRDefault="00C023E0">
      <w:pPr>
        <w:numPr>
          <w:ilvl w:val="0"/>
          <w:numId w:val="3"/>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9447D">
        <w:rPr>
          <w:rFonts w:ascii="Palatino Linotype" w:eastAsia="Palatino Linotype" w:hAnsi="Palatino Linotype" w:cs="Palatino Linotype"/>
        </w:rPr>
        <w:t>En versión pública, correspondencia y oficios faltantes enviados y recibidos por Secretaria del Ayuntamiento durante el primer semestre de los años 2022 y 2024, por la Tesorería Municipal de enero y febrero de los años 2022, 2023 y 2024, de marzo y abril de los años 2023 y 2024 y de julio a agosto del año 2024, por la Dirección de Desarrollo Económico durante enero, febrero, marzo, abril, mayo, junio y julio del año 2022, marzo, abril, septiembre y octubre del año 2023, marzo, abril, julio, agosto, noviembre y diciembre del año 2024 y por la Dirección de Gobierno y Reglamentación durante el periodo de marzo, abril, julio y agosto del año 2022, marzo, abril, mayo y junio 2023, enero y febrero 2024.</w:t>
      </w:r>
    </w:p>
    <w:p w14:paraId="34C07B15" w14:textId="77777777" w:rsidR="00E10EB6" w:rsidRPr="00B9447D" w:rsidRDefault="00E10EB6">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573E95F7" w14:textId="77777777" w:rsidR="00E10EB6" w:rsidRPr="00B9447D" w:rsidRDefault="00C023E0">
      <w:pPr>
        <w:spacing w:after="0" w:line="276" w:lineRule="auto"/>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70C0D8F" w14:textId="77777777" w:rsidR="00E10EB6" w:rsidRPr="00B9447D" w:rsidRDefault="00E10EB6">
      <w:pPr>
        <w:spacing w:after="0" w:line="276" w:lineRule="auto"/>
        <w:ind w:left="567" w:right="560"/>
        <w:jc w:val="both"/>
        <w:rPr>
          <w:rFonts w:ascii="Palatino Linotype" w:eastAsia="Palatino Linotype" w:hAnsi="Palatino Linotype" w:cs="Palatino Linotype"/>
          <w:i/>
        </w:rPr>
      </w:pPr>
    </w:p>
    <w:p w14:paraId="4470DED9" w14:textId="77777777" w:rsidR="00E10EB6" w:rsidRPr="00B9447D" w:rsidRDefault="00C023E0">
      <w:pPr>
        <w:tabs>
          <w:tab w:val="left" w:pos="4962"/>
        </w:tabs>
        <w:spacing w:line="276" w:lineRule="auto"/>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En el supuesto de que el Sujeto Obligado no cuente con diversos oficios a los entregados en respuesta, por no haber sido generados o porque hubieran sido cancelados,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3921F1A4"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b/>
        </w:rPr>
        <w:lastRenderedPageBreak/>
        <w:t xml:space="preserve">Quinto. Versión Pública. </w:t>
      </w:r>
      <w:r w:rsidRPr="00B9447D">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663FED01" w14:textId="77777777" w:rsidR="00E10EB6" w:rsidRPr="00B9447D" w:rsidRDefault="00E10EB6">
      <w:pPr>
        <w:spacing w:after="0" w:line="360" w:lineRule="auto"/>
        <w:jc w:val="both"/>
        <w:rPr>
          <w:rFonts w:ascii="Palatino Linotype" w:eastAsia="Palatino Linotype" w:hAnsi="Palatino Linotype" w:cs="Palatino Linotype"/>
        </w:rPr>
      </w:pPr>
    </w:p>
    <w:p w14:paraId="3D7423B1"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2B8A1F75" w14:textId="77777777" w:rsidR="00E10EB6" w:rsidRPr="00B9447D" w:rsidRDefault="00E10EB6">
      <w:pPr>
        <w:spacing w:after="0" w:line="360" w:lineRule="auto"/>
        <w:jc w:val="both"/>
        <w:rPr>
          <w:rFonts w:ascii="Palatino Linotype" w:eastAsia="Palatino Linotype" w:hAnsi="Palatino Linotype" w:cs="Palatino Linotype"/>
        </w:rPr>
      </w:pPr>
    </w:p>
    <w:p w14:paraId="6CE5A364"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Por lo anterior, debido a la naturaleza de la información que se determina ordenar, es de señalar que existen ciertos datos que deben ser protegidos, tales como: </w:t>
      </w:r>
    </w:p>
    <w:p w14:paraId="40BA3601" w14:textId="77777777" w:rsidR="00E10EB6" w:rsidRPr="00B9447D" w:rsidRDefault="00E10EB6">
      <w:pPr>
        <w:spacing w:after="0" w:line="360" w:lineRule="auto"/>
        <w:jc w:val="both"/>
        <w:rPr>
          <w:rFonts w:ascii="Palatino Linotype" w:eastAsia="Palatino Linotype" w:hAnsi="Palatino Linotype" w:cs="Palatino Linotype"/>
        </w:rPr>
      </w:pPr>
    </w:p>
    <w:p w14:paraId="42B695CF" w14:textId="77777777" w:rsidR="00E10EB6" w:rsidRPr="00B9447D" w:rsidRDefault="00C023E0">
      <w:pPr>
        <w:spacing w:after="0" w:line="276" w:lineRule="auto"/>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i/>
        </w:rPr>
        <w:tab/>
      </w:r>
      <w:r w:rsidRPr="00B9447D">
        <w:rPr>
          <w:rFonts w:ascii="Palatino Linotype" w:eastAsia="Palatino Linotype" w:hAnsi="Palatino Linotype" w:cs="Palatino Linotype"/>
          <w:b/>
          <w:i/>
        </w:rPr>
        <w:t>Del nombre de menores de edad.</w:t>
      </w:r>
      <w:r w:rsidRPr="00B9447D">
        <w:rPr>
          <w:rFonts w:ascii="Palatino Linotype" w:eastAsia="Palatino Linotype" w:hAnsi="Palatino Linotype" w:cs="Palatino Linotype"/>
          <w:i/>
        </w:rPr>
        <w:t xml:space="preserve">  De conformidad con el artículo 1 de la Ley General de Protección de Datos Personales en Posesión de Sujetos Obligados, se establece que las disposiciones de la Ley General, son de aplicación y observancia directa para los sujetos obligados pertenecientes al orden federal, y que tiene por objeto establecer las bases, principios y procedimientos para garantizar el derecho que tiene toda persona a la protección de sus datos personales, en posesión de sujetos obligados, de lo anterior resulta claro que todas las autoridades están obligadas a respetar los principios que rigen todo tratamiento de datos personales con estricto apego a lo que establezca la ley y que únicamente en las situaciones excepcionales que la misma fije podrán actuar en sentido diverso pero, en ambos casos, respetándola de manera irrestricta, motivo por el cual es importante incluir una referencia al principio del interés superior de la niñez, constituido como el eje rector que orienta las determinaciones de los sujetos obligados para cualquier tratamiento de datos que tenga que ver con menores de edad.</w:t>
      </w:r>
    </w:p>
    <w:p w14:paraId="719E110B" w14:textId="77777777" w:rsidR="00E10EB6" w:rsidRPr="00B9447D" w:rsidRDefault="00E10EB6">
      <w:pPr>
        <w:spacing w:after="0" w:line="276" w:lineRule="auto"/>
        <w:ind w:left="567" w:right="560"/>
        <w:jc w:val="both"/>
        <w:rPr>
          <w:rFonts w:ascii="Palatino Linotype" w:eastAsia="Palatino Linotype" w:hAnsi="Palatino Linotype" w:cs="Palatino Linotype"/>
          <w:i/>
        </w:rPr>
      </w:pPr>
    </w:p>
    <w:p w14:paraId="5800D3F2" w14:textId="77777777" w:rsidR="00E10EB6" w:rsidRPr="00B9447D" w:rsidRDefault="00C023E0">
      <w:pPr>
        <w:spacing w:after="0" w:line="276" w:lineRule="auto"/>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La normativa internacional y nacional reconoce que los menores, por su falta de madurez física y mental, necesitan de protección y cuidados especiales, motivo por el cual en el </w:t>
      </w:r>
      <w:r w:rsidRPr="00B9447D">
        <w:rPr>
          <w:rFonts w:ascii="Palatino Linotype" w:eastAsia="Palatino Linotype" w:hAnsi="Palatino Linotype" w:cs="Palatino Linotype"/>
          <w:i/>
        </w:rPr>
        <w:lastRenderedPageBreak/>
        <w:t xml:space="preserve">tratamiento de datos personales de menores, el principio jurídico fundamental es el interés superior del niño, sobre el tema el Poder Judicial de la Federación se ha referido en diversas tesis al principio del “interés superior de la niñez”, el cual consiste en el conjunto de valores, interpretaciones y proceso destinados a garantizar el pleno desarrollo humano integral, así como el máximo bienestar personal, familiar y social de los niños, niñas y adolescentes. </w:t>
      </w:r>
    </w:p>
    <w:p w14:paraId="32CFDBFB" w14:textId="77777777" w:rsidR="00E10EB6" w:rsidRPr="00B9447D" w:rsidRDefault="00E10EB6">
      <w:pPr>
        <w:spacing w:after="0" w:line="276" w:lineRule="auto"/>
        <w:ind w:left="567" w:right="560"/>
        <w:jc w:val="both"/>
        <w:rPr>
          <w:rFonts w:ascii="Palatino Linotype" w:eastAsia="Palatino Linotype" w:hAnsi="Palatino Linotype" w:cs="Palatino Linotype"/>
          <w:i/>
        </w:rPr>
      </w:pPr>
    </w:p>
    <w:p w14:paraId="6B3709B1" w14:textId="77777777" w:rsidR="00E10EB6" w:rsidRPr="00B9447D" w:rsidRDefault="00C023E0">
      <w:pPr>
        <w:spacing w:after="0" w:line="276" w:lineRule="auto"/>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Para mejor referencia se cita el artículo 3 de la Convención sobre los Derechos del Niño:</w:t>
      </w:r>
    </w:p>
    <w:p w14:paraId="397BBF84" w14:textId="77777777" w:rsidR="00E10EB6" w:rsidRPr="00B9447D" w:rsidRDefault="00E10EB6">
      <w:pPr>
        <w:spacing w:after="0" w:line="276" w:lineRule="auto"/>
        <w:ind w:left="567" w:right="560"/>
        <w:jc w:val="both"/>
        <w:rPr>
          <w:rFonts w:ascii="Palatino Linotype" w:eastAsia="Palatino Linotype" w:hAnsi="Palatino Linotype" w:cs="Palatino Linotype"/>
          <w:i/>
        </w:rPr>
      </w:pPr>
    </w:p>
    <w:p w14:paraId="5B6EFA4D" w14:textId="77777777" w:rsidR="00E10EB6" w:rsidRPr="00B9447D" w:rsidRDefault="00C023E0">
      <w:pPr>
        <w:spacing w:after="0" w:line="276" w:lineRule="auto"/>
        <w:ind w:left="851" w:right="560"/>
        <w:jc w:val="both"/>
        <w:rPr>
          <w:rFonts w:ascii="Palatino Linotype" w:eastAsia="Palatino Linotype" w:hAnsi="Palatino Linotype" w:cs="Palatino Linotype"/>
          <w:b/>
          <w:i/>
        </w:rPr>
      </w:pPr>
      <w:r w:rsidRPr="00B9447D">
        <w:rPr>
          <w:rFonts w:ascii="Palatino Linotype" w:eastAsia="Palatino Linotype" w:hAnsi="Palatino Linotype" w:cs="Palatino Linotype"/>
          <w:b/>
          <w:i/>
        </w:rPr>
        <w:t xml:space="preserve">“Artículo 3 </w:t>
      </w:r>
    </w:p>
    <w:p w14:paraId="4B854386"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14:paraId="527C4691"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04AC0F2E" w14:textId="77777777" w:rsidR="00E10EB6" w:rsidRPr="00B9447D" w:rsidRDefault="00E10EB6">
      <w:pPr>
        <w:spacing w:after="0" w:line="276" w:lineRule="auto"/>
        <w:ind w:left="851" w:right="560"/>
        <w:jc w:val="both"/>
        <w:rPr>
          <w:rFonts w:ascii="Palatino Linotype" w:eastAsia="Palatino Linotype" w:hAnsi="Palatino Linotype" w:cs="Palatino Linotype"/>
          <w:i/>
        </w:rPr>
      </w:pPr>
    </w:p>
    <w:p w14:paraId="57CF1DC5"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Así las cosas, el “principio de interés superior de la niñez” constituye el eje cuya protección deben promover y garantizar los Estados en el ejercicio de sus funciones, por tratarse de un asunto de orden público e interés social.</w:t>
      </w:r>
    </w:p>
    <w:p w14:paraId="3FB5E209" w14:textId="77777777" w:rsidR="00E10EB6" w:rsidRPr="00B9447D" w:rsidRDefault="00E10EB6">
      <w:pPr>
        <w:spacing w:after="0" w:line="276" w:lineRule="auto"/>
        <w:ind w:left="851" w:right="560"/>
        <w:jc w:val="both"/>
        <w:rPr>
          <w:rFonts w:ascii="Palatino Linotype" w:eastAsia="Palatino Linotype" w:hAnsi="Palatino Linotype" w:cs="Palatino Linotype"/>
          <w:i/>
        </w:rPr>
      </w:pPr>
    </w:p>
    <w:p w14:paraId="3FAD5A72"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En el ámbito nacional, la Ley General de los Derechos de Niñas, Niños y Adolescentes, que tiene su fundamento en el artículo 4º, párrafo sexto de la Constitución Política de los Estados Unidos Mexicanos, establece en relación con el interés superior de la niñez:</w:t>
      </w:r>
    </w:p>
    <w:p w14:paraId="7873A5D2" w14:textId="77777777" w:rsidR="00E10EB6" w:rsidRPr="00B9447D" w:rsidRDefault="00E10EB6">
      <w:pPr>
        <w:spacing w:after="0" w:line="276" w:lineRule="auto"/>
        <w:ind w:left="851" w:right="560"/>
        <w:jc w:val="both"/>
        <w:rPr>
          <w:rFonts w:ascii="Palatino Linotype" w:eastAsia="Palatino Linotype" w:hAnsi="Palatino Linotype" w:cs="Palatino Linotype"/>
          <w:i/>
        </w:rPr>
      </w:pPr>
    </w:p>
    <w:p w14:paraId="07AD6466"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b/>
          <w:i/>
        </w:rPr>
        <w:t>“Artículo 2</w:t>
      </w:r>
      <w:r w:rsidRPr="00B9447D">
        <w:rPr>
          <w:rFonts w:ascii="Palatino Linotype" w:eastAsia="Palatino Linotype" w:hAnsi="Palatino Linotype" w:cs="Palatino Linotype"/>
          <w:i/>
        </w:rPr>
        <w:t>. Para garantizar la protección de los derechos de niñas, niños y adolescentes, las autoridades realizarán las acciones y tomarán medidas, de conformidad con los principios establecidos en la presente Ley…</w:t>
      </w:r>
    </w:p>
    <w:p w14:paraId="21F16151"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442F261C" w14:textId="77777777" w:rsidR="00E10EB6" w:rsidRPr="00B9447D" w:rsidRDefault="00E10EB6">
      <w:pPr>
        <w:spacing w:after="0" w:line="276" w:lineRule="auto"/>
        <w:ind w:left="851" w:right="560"/>
        <w:jc w:val="both"/>
        <w:rPr>
          <w:rFonts w:ascii="Palatino Linotype" w:eastAsia="Palatino Linotype" w:hAnsi="Palatino Linotype" w:cs="Palatino Linotype"/>
          <w:i/>
        </w:rPr>
      </w:pPr>
    </w:p>
    <w:p w14:paraId="5FD5D729"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lastRenderedPageBreak/>
        <w:t>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 (…)”</w:t>
      </w:r>
    </w:p>
    <w:p w14:paraId="29AC3BAE" w14:textId="77777777" w:rsidR="00E10EB6" w:rsidRPr="00B9447D" w:rsidRDefault="00E10EB6">
      <w:pPr>
        <w:spacing w:after="0" w:line="276" w:lineRule="auto"/>
        <w:ind w:left="851" w:right="560"/>
        <w:jc w:val="both"/>
        <w:rPr>
          <w:rFonts w:ascii="Palatino Linotype" w:eastAsia="Palatino Linotype" w:hAnsi="Palatino Linotype" w:cs="Palatino Linotype"/>
          <w:i/>
        </w:rPr>
      </w:pPr>
    </w:p>
    <w:p w14:paraId="4F7A3862"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b/>
          <w:i/>
        </w:rPr>
        <w:t>“Artículo 5.</w:t>
      </w:r>
      <w:r w:rsidRPr="00B9447D">
        <w:rPr>
          <w:rFonts w:ascii="Palatino Linotype" w:eastAsia="Palatino Linotype" w:hAnsi="Palatino Linotype" w:cs="Palatino Linotype"/>
          <w:i/>
        </w:rPr>
        <w:t xml:space="preserve"> Son niñas y niños los menores de doce años, y adolescentes las personas de entre doce años cumplidos y menos de dieciocho años de edad. Para efectos de los tratados internacionales y la mayoría de edad, son niños los menores de dieciocho años de edad.</w:t>
      </w:r>
    </w:p>
    <w:p w14:paraId="1ED1EDF5"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76A2881F" w14:textId="77777777" w:rsidR="00E10EB6" w:rsidRPr="00B9447D" w:rsidRDefault="00E10EB6">
      <w:pPr>
        <w:spacing w:after="0" w:line="276" w:lineRule="auto"/>
        <w:ind w:left="851" w:right="560"/>
        <w:jc w:val="both"/>
        <w:rPr>
          <w:rFonts w:ascii="Palatino Linotype" w:eastAsia="Palatino Linotype" w:hAnsi="Palatino Linotype" w:cs="Palatino Linotype"/>
          <w:i/>
        </w:rPr>
      </w:pPr>
    </w:p>
    <w:p w14:paraId="544D0F56"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Artículo 6.</w:t>
      </w:r>
      <w:r w:rsidRPr="00B9447D">
        <w:rPr>
          <w:rFonts w:ascii="Palatino Linotype" w:eastAsia="Palatino Linotype" w:hAnsi="Palatino Linotype" w:cs="Palatino Linotype"/>
          <w:i/>
        </w:rPr>
        <w:t xml:space="preserve"> Para efectos del artículo 2 de esta Ley, son principios rectores, los siguientes: </w:t>
      </w:r>
    </w:p>
    <w:p w14:paraId="2B523CAC"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I. El interés superior de la niñez;</w:t>
      </w:r>
    </w:p>
    <w:p w14:paraId="0CEE5194"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2DBC4BFF" w14:textId="77777777" w:rsidR="00E10EB6" w:rsidRPr="00B9447D" w:rsidRDefault="00E10EB6">
      <w:pPr>
        <w:spacing w:after="0" w:line="276" w:lineRule="auto"/>
        <w:ind w:left="851" w:right="560"/>
        <w:jc w:val="both"/>
        <w:rPr>
          <w:rFonts w:ascii="Palatino Linotype" w:eastAsia="Palatino Linotype" w:hAnsi="Palatino Linotype" w:cs="Palatino Linotype"/>
          <w:i/>
        </w:rPr>
      </w:pPr>
    </w:p>
    <w:p w14:paraId="2BBC3614"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Tratándose de menores de edad, el Estado debe ser particularmente sensible ante la injerencia en la vida privada de los menores, a fin de que éstos se desarrollen de forma plena, ya que, por tratarse de personas que todavía no han alcanzado la suficiente madurez física y psicológica, se encuentran en una situación de vulnerabilidad especial, motivo por el cual el principio del “interés superior de la niñez” debe constituir un eje rector en el diseño y aplicación de políticas públicas.</w:t>
      </w:r>
    </w:p>
    <w:p w14:paraId="6E7358D5" w14:textId="77777777" w:rsidR="00E10EB6" w:rsidRPr="00B9447D" w:rsidRDefault="00E10EB6">
      <w:pPr>
        <w:spacing w:after="0" w:line="276" w:lineRule="auto"/>
        <w:ind w:left="851" w:right="560"/>
        <w:jc w:val="both"/>
        <w:rPr>
          <w:rFonts w:ascii="Palatino Linotype" w:eastAsia="Palatino Linotype" w:hAnsi="Palatino Linotype" w:cs="Palatino Linotype"/>
          <w:i/>
        </w:rPr>
      </w:pPr>
    </w:p>
    <w:p w14:paraId="5A23CCBA" w14:textId="77777777" w:rsidR="00E10EB6" w:rsidRPr="00B9447D" w:rsidRDefault="00C023E0">
      <w:pPr>
        <w:spacing w:after="0" w:line="276" w:lineRule="auto"/>
        <w:ind w:left="851"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En ese sentido, el Sujeto Obligado deberá clasificar los nombres de los menores de edad en términos de la fracción I del artículo 143 de la Ley de Transparencia y Acceso a la Información Pública del Estado de México y Municipios y del artículo 4, fracción XII de la Ley de Protección de Datos Local.</w:t>
      </w:r>
    </w:p>
    <w:p w14:paraId="2A71E466" w14:textId="77777777" w:rsidR="00E10EB6" w:rsidRPr="00B9447D" w:rsidRDefault="00E10EB6">
      <w:pPr>
        <w:spacing w:after="0" w:line="360" w:lineRule="auto"/>
        <w:ind w:left="851"/>
        <w:jc w:val="both"/>
        <w:rPr>
          <w:rFonts w:ascii="Palatino Linotype" w:eastAsia="Palatino Linotype" w:hAnsi="Palatino Linotype" w:cs="Palatino Linotype"/>
        </w:rPr>
      </w:pPr>
    </w:p>
    <w:p w14:paraId="6E53D4F3" w14:textId="77777777" w:rsidR="00E10EB6" w:rsidRPr="00B9447D" w:rsidRDefault="00C023E0">
      <w:pPr>
        <w:spacing w:after="0" w:line="360" w:lineRule="auto"/>
        <w:ind w:right="50"/>
        <w:jc w:val="both"/>
        <w:rPr>
          <w:rFonts w:ascii="Palatino Linotype" w:eastAsia="Palatino Linotype" w:hAnsi="Palatino Linotype" w:cs="Palatino Linotype"/>
        </w:rPr>
      </w:pPr>
      <w:r w:rsidRPr="00B9447D">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211D5B73" w14:textId="77777777" w:rsidR="00E10EB6" w:rsidRPr="00B9447D" w:rsidRDefault="00E10EB6">
      <w:pPr>
        <w:spacing w:after="0" w:line="360" w:lineRule="auto"/>
        <w:ind w:right="50"/>
        <w:jc w:val="both"/>
        <w:rPr>
          <w:rFonts w:ascii="Palatino Linotype" w:eastAsia="Palatino Linotype" w:hAnsi="Palatino Linotype" w:cs="Palatino Linotype"/>
        </w:rPr>
      </w:pPr>
    </w:p>
    <w:p w14:paraId="7E4A1747"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lastRenderedPageBreak/>
        <w:t>“</w:t>
      </w:r>
      <w:r w:rsidRPr="00B9447D">
        <w:rPr>
          <w:rFonts w:ascii="Palatino Linotype" w:eastAsia="Palatino Linotype" w:hAnsi="Palatino Linotype" w:cs="Palatino Linotype"/>
          <w:b/>
          <w:i/>
        </w:rPr>
        <w:t>Artículo 3.</w:t>
      </w:r>
      <w:r w:rsidRPr="00B9447D">
        <w:rPr>
          <w:rFonts w:ascii="Palatino Linotype" w:eastAsia="Palatino Linotype" w:hAnsi="Palatino Linotype" w:cs="Palatino Linotype"/>
          <w:i/>
        </w:rPr>
        <w:t xml:space="preserve"> Para los efectos de la presente Ley se entenderá por:</w:t>
      </w:r>
    </w:p>
    <w:p w14:paraId="7B6BEA16"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76005263"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05659EAC"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XX. Información clasificada: Aquella considerada por la presente Ley como reservada o confidencial;</w:t>
      </w:r>
    </w:p>
    <w:p w14:paraId="2684E5F5"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76A7B1"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0A0C1A47"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0D58DBA1"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b/>
          <w:i/>
        </w:rPr>
        <w:t>Artículo 91.</w:t>
      </w:r>
      <w:r w:rsidRPr="00B9447D">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4EE6E0E"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b/>
          <w:i/>
        </w:rPr>
        <w:t>Artículo 132.</w:t>
      </w:r>
      <w:r w:rsidRPr="00B9447D">
        <w:rPr>
          <w:rFonts w:ascii="Palatino Linotype" w:eastAsia="Palatino Linotype" w:hAnsi="Palatino Linotype" w:cs="Palatino Linotype"/>
          <w:i/>
        </w:rPr>
        <w:t xml:space="preserve"> La clasificación de la información se llevará a cabo en el momento en que:</w:t>
      </w:r>
    </w:p>
    <w:p w14:paraId="6A00DC43" w14:textId="77777777" w:rsidR="00E10EB6" w:rsidRPr="00B9447D" w:rsidRDefault="00C023E0">
      <w:pPr>
        <w:tabs>
          <w:tab w:val="left" w:pos="1134"/>
        </w:tabs>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 Se reciba una solicitud de acceso a la información;</w:t>
      </w:r>
    </w:p>
    <w:p w14:paraId="3E0ED3A0" w14:textId="77777777" w:rsidR="00E10EB6" w:rsidRPr="00B9447D" w:rsidRDefault="00C023E0">
      <w:pPr>
        <w:tabs>
          <w:tab w:val="left" w:pos="1134"/>
        </w:tabs>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II. Se determine mediante resolución de autoridad competente; o</w:t>
      </w:r>
    </w:p>
    <w:p w14:paraId="59D9806F" w14:textId="77777777" w:rsidR="00E10EB6" w:rsidRPr="00B9447D" w:rsidRDefault="00C023E0">
      <w:pPr>
        <w:tabs>
          <w:tab w:val="left" w:pos="1134"/>
        </w:tabs>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III. Se generen versiones públicas para dar cumplimiento a las obligaciones de transparencia previstas en esta Ley.</w:t>
      </w:r>
    </w:p>
    <w:p w14:paraId="0820FDF7"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74BBA5D3"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b/>
          <w:i/>
        </w:rPr>
        <w:t>Artículo 143</w:t>
      </w:r>
      <w:r w:rsidRPr="00B9447D">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DD5793A"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61987D5C"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320E23B7"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III. La que presenten los particulares a los sujetos obligados, de conformidad con lo dispuesto por las leyes o los tratados internacionales.</w:t>
      </w:r>
    </w:p>
    <w:p w14:paraId="637CEF88"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AFE1C42"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lastRenderedPageBreak/>
        <w:t>No se considerará confidencial la información que se encuentre en los registros públicos o en fuentes de acceso público, ni tampoco la que sea considerada por la presente ley como información pública.”</w:t>
      </w:r>
    </w:p>
    <w:p w14:paraId="118EE061" w14:textId="77777777" w:rsidR="00E10EB6" w:rsidRPr="00B9447D" w:rsidRDefault="00E10EB6">
      <w:pPr>
        <w:spacing w:after="0"/>
        <w:ind w:left="567" w:right="616"/>
        <w:jc w:val="both"/>
        <w:rPr>
          <w:rFonts w:ascii="Palatino Linotype" w:eastAsia="Palatino Linotype" w:hAnsi="Palatino Linotype" w:cs="Palatino Linotype"/>
          <w:i/>
        </w:rPr>
      </w:pPr>
    </w:p>
    <w:p w14:paraId="314298E5"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2F050BF" w14:textId="77777777" w:rsidR="00E10EB6" w:rsidRPr="00B9447D" w:rsidRDefault="00E10EB6">
      <w:pPr>
        <w:spacing w:after="0" w:line="360" w:lineRule="auto"/>
        <w:jc w:val="both"/>
        <w:rPr>
          <w:rFonts w:ascii="Palatino Linotype" w:eastAsia="Palatino Linotype" w:hAnsi="Palatino Linotype" w:cs="Palatino Linotype"/>
        </w:rPr>
      </w:pPr>
    </w:p>
    <w:p w14:paraId="38569B22"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D8A48D5" w14:textId="77777777" w:rsidR="00E10EB6" w:rsidRPr="00B9447D" w:rsidRDefault="00E10EB6">
      <w:pPr>
        <w:spacing w:after="0" w:line="360" w:lineRule="auto"/>
        <w:jc w:val="both"/>
        <w:rPr>
          <w:rFonts w:ascii="Palatino Linotype" w:eastAsia="Palatino Linotype" w:hAnsi="Palatino Linotype" w:cs="Palatino Linotype"/>
        </w:rPr>
      </w:pPr>
    </w:p>
    <w:p w14:paraId="6D18F947"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 “</w:t>
      </w:r>
      <w:r w:rsidRPr="00B9447D">
        <w:rPr>
          <w:rFonts w:ascii="Palatino Linotype" w:eastAsia="Palatino Linotype" w:hAnsi="Palatino Linotype" w:cs="Palatino Linotype"/>
          <w:b/>
          <w:i/>
        </w:rPr>
        <w:t>Quincuagésimo</w:t>
      </w:r>
      <w:r w:rsidRPr="00B9447D">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2201A31"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b/>
          <w:i/>
        </w:rPr>
        <w:t>Quincuagésimo primero.</w:t>
      </w:r>
      <w:r w:rsidRPr="00B9447D">
        <w:rPr>
          <w:rFonts w:ascii="Palatino Linotype" w:eastAsia="Palatino Linotype" w:hAnsi="Palatino Linotype" w:cs="Palatino Linotype"/>
          <w:i/>
        </w:rPr>
        <w:t xml:space="preserve"> Toda acta del Comité de Transparencia deberá contener: </w:t>
      </w:r>
    </w:p>
    <w:p w14:paraId="5499BE50"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 El número de sesión y fecha; </w:t>
      </w:r>
    </w:p>
    <w:p w14:paraId="2926EE49"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II. El nombre del área que solicitó la clasificación de información; </w:t>
      </w:r>
    </w:p>
    <w:p w14:paraId="55903D96"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III. La fundamentación legal y motivación correspondiente; </w:t>
      </w:r>
    </w:p>
    <w:p w14:paraId="19977FE2"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IV. La resolución o resoluciones aprobadas; y </w:t>
      </w:r>
    </w:p>
    <w:p w14:paraId="6411B327"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V. La rúbrica o firma digital de cada integrante del Comité de Transparencia. </w:t>
      </w:r>
    </w:p>
    <w:p w14:paraId="1612C5E6"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693EBD27"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lastRenderedPageBreak/>
        <w:t>I. Los motivos y razonamientos que sustenten la confirmación o modificación de la prueba de daño;</w:t>
      </w:r>
    </w:p>
    <w:p w14:paraId="26EB6EA4"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II. Descripción de las partes o secciones reservadas, en caso de clasificación parcial; </w:t>
      </w:r>
    </w:p>
    <w:p w14:paraId="31004B84"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III. El periodo por el que mantendrá su clasificación y fecha de expiración; y </w:t>
      </w:r>
    </w:p>
    <w:p w14:paraId="735DDACC"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IV. El nombre del titular y área encargada de realizar la versión pública del documento, en su caso. </w:t>
      </w:r>
    </w:p>
    <w:p w14:paraId="729FA7C3"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1F3D428"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21EE729"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b/>
          <w:i/>
        </w:rPr>
        <w:t>Quincuagésimo segundo.</w:t>
      </w:r>
      <w:r w:rsidRPr="00B9447D">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696E7A2"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46412697"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 Fijar la fecha en que se elaboró la versión pública y la fecha en la cual el Comité de Transparencia confirmó dicha versión;</w:t>
      </w:r>
    </w:p>
    <w:p w14:paraId="4C72488B"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755E698"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III. Señalar las personas o instancias autorizadas a acceder a la información clasificada.</w:t>
      </w:r>
    </w:p>
    <w:p w14:paraId="157C36DA"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95116AC" w14:textId="77777777" w:rsidR="00E10EB6" w:rsidRPr="00B9447D" w:rsidRDefault="00E10EB6">
      <w:pPr>
        <w:spacing w:after="0" w:line="360" w:lineRule="auto"/>
        <w:jc w:val="both"/>
        <w:rPr>
          <w:rFonts w:ascii="Palatino Linotype" w:eastAsia="Palatino Linotype" w:hAnsi="Palatino Linotype" w:cs="Palatino Linotype"/>
        </w:rPr>
      </w:pPr>
    </w:p>
    <w:p w14:paraId="16DF9748"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1ABB73FC" w14:textId="77777777" w:rsidR="00E10EB6" w:rsidRPr="00B9447D" w:rsidRDefault="00C023E0">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r w:rsidRPr="00B9447D">
        <w:rPr>
          <w:rFonts w:ascii="Palatino Linotype" w:eastAsia="Palatino Linotype" w:hAnsi="Palatino Linotype" w:cs="Palatino Linotype"/>
          <w:b/>
          <w:i/>
        </w:rPr>
        <w:t>Quincuagésimo cuarto.</w:t>
      </w:r>
      <w:r w:rsidRPr="00B9447D">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45D4152"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b/>
          <w:i/>
        </w:rPr>
        <w:lastRenderedPageBreak/>
        <w:t>Quincuagésimo quinto.</w:t>
      </w:r>
      <w:r w:rsidRPr="00B9447D">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B9447D">
        <w:rPr>
          <w:rFonts w:ascii="Palatino Linotype" w:eastAsia="Palatino Linotype" w:hAnsi="Palatino Linotype" w:cs="Palatino Linotype"/>
          <w:i/>
        </w:rPr>
        <w:t>testado</w:t>
      </w:r>
      <w:proofErr w:type="spellEnd"/>
      <w:r w:rsidRPr="00B9447D">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89FB82A"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w:t>
      </w:r>
    </w:p>
    <w:p w14:paraId="1268E0C7"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b/>
          <w:i/>
        </w:rPr>
        <w:t>Quincuagésimo séptimo.</w:t>
      </w:r>
      <w:r w:rsidRPr="00B9447D">
        <w:rPr>
          <w:rFonts w:ascii="Palatino Linotype" w:eastAsia="Palatino Linotype" w:hAnsi="Palatino Linotype" w:cs="Palatino Linotype"/>
          <w:i/>
        </w:rPr>
        <w:t xml:space="preserve"> Se considera, en principio, como información pública y no podrá omitirse de las versiones públicas la siguiente: </w:t>
      </w:r>
    </w:p>
    <w:p w14:paraId="5C83EAA3"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BCD5FD5"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0E24872"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401FDA1"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B6BD683" w14:textId="77777777" w:rsidR="00E10EB6" w:rsidRPr="00B9447D" w:rsidRDefault="00C023E0">
      <w:pPr>
        <w:spacing w:after="0"/>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7311554D" w14:textId="77777777" w:rsidR="00E10EB6" w:rsidRPr="00B9447D" w:rsidRDefault="00E10EB6">
      <w:pPr>
        <w:spacing w:after="0" w:line="360" w:lineRule="auto"/>
        <w:jc w:val="both"/>
        <w:rPr>
          <w:rFonts w:ascii="Palatino Linotype" w:eastAsia="Palatino Linotype" w:hAnsi="Palatino Linotype" w:cs="Palatino Linotype"/>
        </w:rPr>
      </w:pPr>
    </w:p>
    <w:p w14:paraId="7B025298"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3279984" w14:textId="77777777" w:rsidR="00E10EB6" w:rsidRPr="00B9447D" w:rsidRDefault="00E10EB6">
      <w:pPr>
        <w:spacing w:after="0" w:line="360" w:lineRule="auto"/>
        <w:jc w:val="both"/>
        <w:rPr>
          <w:rFonts w:ascii="Palatino Linotype" w:eastAsia="Palatino Linotype" w:hAnsi="Palatino Linotype" w:cs="Palatino Linotype"/>
        </w:rPr>
      </w:pPr>
    </w:p>
    <w:p w14:paraId="41392004"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B9447D">
        <w:rPr>
          <w:rFonts w:ascii="Palatino Linotype" w:eastAsia="Palatino Linotype" w:hAnsi="Palatino Linotype" w:cs="Palatino Linotype"/>
          <w:b/>
        </w:rPr>
        <w:t>RECURRENTE</w:t>
      </w:r>
      <w:r w:rsidRPr="00B9447D">
        <w:rPr>
          <w:rFonts w:ascii="Palatino Linotype" w:eastAsia="Palatino Linotype" w:hAnsi="Palatino Linotype" w:cs="Palatino Linotype"/>
        </w:rPr>
        <w:t xml:space="preserve"> dentro de los recursos de revisión </w:t>
      </w:r>
      <w:r w:rsidRPr="00B9447D">
        <w:rPr>
          <w:rFonts w:ascii="Palatino Linotype" w:eastAsia="Palatino Linotype" w:hAnsi="Palatino Linotype" w:cs="Palatino Linotype"/>
          <w:b/>
        </w:rPr>
        <w:t>01069/INFOEM/IP/RR/2025, 01070/INFOEM/IP/RR/2025, 01073/INFOEM/IP/RR/2025, 01075/INFOEM/IP/RR/2025, 01076/INFOEM/IP/RR/2025, 01077/INFOEM/IP/RR/2025, 01078/INFOEM/IP/RR/2025, 01079/INFOEM/IP/RR/2025, 01081/INFOEM/IP/RR/2025, 01082/INFOEM/IP/RR/2025, 01083/INFOEM/IP/RR/2025, 01084/INFOEM/IP/RR/2025, 01085/INFOEM/IP/RR/2025, 01086/INFOEM/IP/RR/2025, 01087/INFOEM/IP/RR/2025, 01088/INFOEM/IP/RR/2025, 01089/INFOEM/IP/RR/2025, 01090/INFOEM/IP/RR/2025, 01091/INFOEM/IP/RR/20250, 1092/INFOEM/IP/RR/2025        y  01093/INFOEM/IP/RR/2025 acumulados</w:t>
      </w:r>
      <w:r w:rsidRPr="00B9447D">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se </w:t>
      </w:r>
      <w:r w:rsidRPr="00B9447D">
        <w:rPr>
          <w:rFonts w:ascii="Palatino Linotype" w:eastAsia="Palatino Linotype" w:hAnsi="Palatino Linotype" w:cs="Palatino Linotype"/>
          <w:b/>
        </w:rPr>
        <w:t xml:space="preserve">MODIFICAN </w:t>
      </w:r>
      <w:r w:rsidRPr="00B9447D">
        <w:rPr>
          <w:rFonts w:ascii="Palatino Linotype" w:eastAsia="Palatino Linotype" w:hAnsi="Palatino Linotype" w:cs="Palatino Linotype"/>
        </w:rPr>
        <w:t xml:space="preserve">las respuestas del </w:t>
      </w:r>
      <w:r w:rsidRPr="00B9447D">
        <w:rPr>
          <w:rFonts w:ascii="Palatino Linotype" w:eastAsia="Palatino Linotype" w:hAnsi="Palatino Linotype" w:cs="Palatino Linotype"/>
          <w:b/>
        </w:rPr>
        <w:t xml:space="preserve">SUJETO OBLIGADO </w:t>
      </w:r>
      <w:r w:rsidRPr="00B9447D">
        <w:rPr>
          <w:rFonts w:ascii="Palatino Linotype" w:eastAsia="Palatino Linotype" w:hAnsi="Palatino Linotype" w:cs="Palatino Linotype"/>
        </w:rPr>
        <w:t xml:space="preserve">a las solicitudes de información </w:t>
      </w:r>
      <w:r w:rsidRPr="00B9447D">
        <w:rPr>
          <w:rFonts w:ascii="Palatino Linotype" w:eastAsia="Palatino Linotype" w:hAnsi="Palatino Linotype" w:cs="Palatino Linotype"/>
          <w:b/>
        </w:rPr>
        <w:t>00001/IXTASAL/IP/2025, 00003/IXTASAL/IP/2025, 00344/IXTASAL/IP/2025, 00345/IXTASAL/IP/2025, 00346/IXTASAL/IP/2025, 00348/IXTASAL/IP/2025, 00349/IXTASAL/IP/2025, 00357/IXTASAL/IP/2025, 00427/IXTASAL/IP/2025, 00433/IXTASAL/IP/2025, 00432/IXTASAL/IP/2025, 00431/IXTASAL/IP/2025, 00430/IXTASAL/IP/2025, 00444/IXTASAL/IP/2025, 00452/IXTASAL/IP/2025, 00453/IXTASAL/IP/2025, 00454/IXTASAL/IP/2025, 00463/IXTASAL/IP/2025, 00461/IXTASAL/IP/2025, 00459/IXTASAL/IP/2025 y 00457/IXTASAL/IP/2025.</w:t>
      </w:r>
    </w:p>
    <w:p w14:paraId="478E02BC"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w:t>
      </w:r>
      <w:r w:rsidRPr="00B9447D">
        <w:rPr>
          <w:rFonts w:ascii="Palatino Linotype" w:eastAsia="Palatino Linotype" w:hAnsi="Palatino Linotype" w:cs="Palatino Linotype"/>
        </w:rPr>
        <w:lastRenderedPageBreak/>
        <w:t>188 de la Ley de Transparencia y Acceso a la Información Pública del Estado de México y Municipios, este Pleno:</w:t>
      </w:r>
    </w:p>
    <w:p w14:paraId="2E0BB280" w14:textId="77777777" w:rsidR="00E10EB6" w:rsidRPr="00B9447D" w:rsidRDefault="00E10EB6">
      <w:pPr>
        <w:spacing w:after="0" w:line="360" w:lineRule="auto"/>
        <w:ind w:right="49"/>
        <w:jc w:val="both"/>
        <w:rPr>
          <w:rFonts w:ascii="Palatino Linotype" w:eastAsia="Palatino Linotype" w:hAnsi="Palatino Linotype" w:cs="Palatino Linotype"/>
        </w:rPr>
      </w:pPr>
    </w:p>
    <w:p w14:paraId="11CBA7ED" w14:textId="77777777" w:rsidR="00E10EB6" w:rsidRPr="00B9447D" w:rsidRDefault="00C023E0">
      <w:pPr>
        <w:spacing w:after="0" w:line="360" w:lineRule="auto"/>
        <w:ind w:right="49"/>
        <w:jc w:val="center"/>
        <w:rPr>
          <w:rFonts w:ascii="Palatino Linotype" w:eastAsia="Palatino Linotype" w:hAnsi="Palatino Linotype" w:cs="Palatino Linotype"/>
          <w:b/>
        </w:rPr>
      </w:pPr>
      <w:r w:rsidRPr="00B9447D">
        <w:rPr>
          <w:rFonts w:ascii="Palatino Linotype" w:eastAsia="Palatino Linotype" w:hAnsi="Palatino Linotype" w:cs="Palatino Linotype"/>
          <w:b/>
        </w:rPr>
        <w:t>III.</w:t>
      </w:r>
      <w:r w:rsidRPr="00B9447D">
        <w:rPr>
          <w:rFonts w:ascii="Palatino Linotype" w:eastAsia="Palatino Linotype" w:hAnsi="Palatino Linotype" w:cs="Palatino Linotype"/>
          <w:b/>
        </w:rPr>
        <w:tab/>
        <w:t>R E S U E L V E:</w:t>
      </w:r>
    </w:p>
    <w:p w14:paraId="4CF5F741" w14:textId="77777777" w:rsidR="00E10EB6" w:rsidRPr="00B9447D" w:rsidRDefault="00E10EB6">
      <w:pPr>
        <w:spacing w:after="0" w:line="360" w:lineRule="auto"/>
        <w:ind w:right="49"/>
        <w:jc w:val="both"/>
        <w:rPr>
          <w:rFonts w:ascii="Palatino Linotype" w:eastAsia="Palatino Linotype" w:hAnsi="Palatino Linotype" w:cs="Palatino Linotype"/>
        </w:rPr>
      </w:pPr>
    </w:p>
    <w:p w14:paraId="131B4F62" w14:textId="77777777" w:rsidR="00E10EB6" w:rsidRPr="00B9447D" w:rsidRDefault="00C023E0">
      <w:pPr>
        <w:spacing w:after="0" w:line="360" w:lineRule="auto"/>
        <w:ind w:right="49"/>
        <w:jc w:val="both"/>
        <w:rPr>
          <w:rFonts w:ascii="Palatino Linotype" w:eastAsia="Palatino Linotype" w:hAnsi="Palatino Linotype" w:cs="Palatino Linotype"/>
          <w:b/>
        </w:rPr>
      </w:pPr>
      <w:r w:rsidRPr="00B9447D">
        <w:rPr>
          <w:rFonts w:ascii="Palatino Linotype" w:eastAsia="Palatino Linotype" w:hAnsi="Palatino Linotype" w:cs="Palatino Linotype"/>
          <w:b/>
        </w:rPr>
        <w:t>Primero.</w:t>
      </w:r>
      <w:r w:rsidRPr="00B9447D">
        <w:rPr>
          <w:rFonts w:ascii="Palatino Linotype" w:eastAsia="Palatino Linotype" w:hAnsi="Palatino Linotype" w:cs="Palatino Linotype"/>
        </w:rPr>
        <w:t xml:space="preserve"> Resultan</w:t>
      </w:r>
      <w:r w:rsidRPr="00B9447D">
        <w:rPr>
          <w:rFonts w:ascii="Palatino Linotype" w:eastAsia="Palatino Linotype" w:hAnsi="Palatino Linotype" w:cs="Palatino Linotype"/>
          <w:b/>
        </w:rPr>
        <w:t xml:space="preserve"> FUNDADOS</w:t>
      </w:r>
      <w:r w:rsidRPr="00B9447D">
        <w:rPr>
          <w:rFonts w:ascii="Palatino Linotype" w:eastAsia="Palatino Linotype" w:hAnsi="Palatino Linotype" w:cs="Palatino Linotype"/>
        </w:rPr>
        <w:t xml:space="preserve"> los motivos de inconformidad hechos valer por la parte </w:t>
      </w:r>
      <w:r w:rsidRPr="00B9447D">
        <w:rPr>
          <w:rFonts w:ascii="Palatino Linotype" w:eastAsia="Palatino Linotype" w:hAnsi="Palatino Linotype" w:cs="Palatino Linotype"/>
          <w:b/>
        </w:rPr>
        <w:t>RECURRENTE</w:t>
      </w:r>
      <w:r w:rsidRPr="00B9447D">
        <w:rPr>
          <w:rFonts w:ascii="Palatino Linotype" w:eastAsia="Palatino Linotype" w:hAnsi="Palatino Linotype" w:cs="Palatino Linotype"/>
        </w:rPr>
        <w:t xml:space="preserve"> en los Recursos de Revisión </w:t>
      </w:r>
      <w:r w:rsidRPr="00B9447D">
        <w:rPr>
          <w:rFonts w:ascii="Palatino Linotype" w:eastAsia="Palatino Linotype" w:hAnsi="Palatino Linotype" w:cs="Palatino Linotype"/>
          <w:b/>
        </w:rPr>
        <w:t>01069/INFOEM/IP/RR/2025, 01070/INFOEM/IP/RR/2025, 01073/INFOEM/IP/RR/2025, 01075/INFOEM/IP/RR/2025, 01076/INFOEM/IP/RR/2025, 01077/INFOEM/IP/RR/2025, 01078/INFOEM/IP/RR/2025, 01079/INFOEM/IP/RR/2025, 01081/INFOEM/IP/RR/2025, 01082/INFOEM/IP/RR/2025, 01083/INFOEM/IP/RR/2025, 01084/INFOEM/IP/RR/2025, 01085/INFOEM/IP/RR/2025, 01086/INFOEM/IP/RR/2025, 01087/INFOEM/IP/RR/2025, 01088/INFOEM/IP/RR/2025, 01089/INFOEM/IP/RR/2025, 01090/INFOEM/IP/RR/2025, 01091/INFOEM/IP/RR/20250, 1092/INFOEM/IP/RR/2025        y  01093/INFOEM/IP/RR/2025</w:t>
      </w:r>
      <w:r w:rsidRPr="00B9447D">
        <w:rPr>
          <w:rFonts w:ascii="Palatino Linotype" w:eastAsia="Palatino Linotype" w:hAnsi="Palatino Linotype" w:cs="Palatino Linotype"/>
        </w:rPr>
        <w:t xml:space="preserve"> por lo que, en términos del </w:t>
      </w:r>
      <w:r w:rsidRPr="00B9447D">
        <w:rPr>
          <w:rFonts w:ascii="Palatino Linotype" w:eastAsia="Palatino Linotype" w:hAnsi="Palatino Linotype" w:cs="Palatino Linotype"/>
          <w:b/>
        </w:rPr>
        <w:t>Considerando Cuarto</w:t>
      </w:r>
      <w:r w:rsidRPr="00B9447D">
        <w:rPr>
          <w:rFonts w:ascii="Palatino Linotype" w:eastAsia="Palatino Linotype" w:hAnsi="Palatino Linotype" w:cs="Palatino Linotype"/>
        </w:rPr>
        <w:t xml:space="preserve"> de esta resolución, se </w:t>
      </w:r>
      <w:r w:rsidRPr="00B9447D">
        <w:rPr>
          <w:rFonts w:ascii="Palatino Linotype" w:eastAsia="Palatino Linotype" w:hAnsi="Palatino Linotype" w:cs="Palatino Linotype"/>
          <w:b/>
        </w:rPr>
        <w:t xml:space="preserve">MODIFICAN </w:t>
      </w:r>
      <w:r w:rsidRPr="00B9447D">
        <w:rPr>
          <w:rFonts w:ascii="Palatino Linotype" w:eastAsia="Palatino Linotype" w:hAnsi="Palatino Linotype" w:cs="Palatino Linotype"/>
        </w:rPr>
        <w:t xml:space="preserve">las respuestas emitidas por el </w:t>
      </w:r>
      <w:r w:rsidRPr="00B9447D">
        <w:rPr>
          <w:rFonts w:ascii="Palatino Linotype" w:eastAsia="Palatino Linotype" w:hAnsi="Palatino Linotype" w:cs="Palatino Linotype"/>
          <w:b/>
        </w:rPr>
        <w:t>SUJETO OBLIGADO</w:t>
      </w:r>
      <w:r w:rsidRPr="00B9447D">
        <w:rPr>
          <w:rFonts w:ascii="Palatino Linotype" w:eastAsia="Palatino Linotype" w:hAnsi="Palatino Linotype" w:cs="Palatino Linotype"/>
        </w:rPr>
        <w:t>.</w:t>
      </w:r>
    </w:p>
    <w:p w14:paraId="19C1231E" w14:textId="77777777" w:rsidR="00E10EB6" w:rsidRPr="00B9447D" w:rsidRDefault="00E10EB6">
      <w:pPr>
        <w:spacing w:after="0" w:line="360" w:lineRule="auto"/>
        <w:ind w:right="49"/>
        <w:jc w:val="both"/>
        <w:rPr>
          <w:rFonts w:ascii="Palatino Linotype" w:eastAsia="Palatino Linotype" w:hAnsi="Palatino Linotype" w:cs="Palatino Linotype"/>
        </w:rPr>
      </w:pPr>
    </w:p>
    <w:p w14:paraId="216CF870"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b/>
        </w:rPr>
        <w:t>Segundo</w:t>
      </w:r>
      <w:r w:rsidRPr="00B9447D">
        <w:rPr>
          <w:rFonts w:ascii="Palatino Linotype" w:eastAsia="Palatino Linotype" w:hAnsi="Palatino Linotype" w:cs="Palatino Linotype"/>
        </w:rPr>
        <w:t xml:space="preserve">. Se </w:t>
      </w:r>
      <w:r w:rsidRPr="00B9447D">
        <w:rPr>
          <w:rFonts w:ascii="Palatino Linotype" w:eastAsia="Palatino Linotype" w:hAnsi="Palatino Linotype" w:cs="Palatino Linotype"/>
          <w:b/>
        </w:rPr>
        <w:t>ORDENA</w:t>
      </w:r>
      <w:r w:rsidRPr="00B9447D">
        <w:rPr>
          <w:rFonts w:ascii="Palatino Linotype" w:eastAsia="Palatino Linotype" w:hAnsi="Palatino Linotype" w:cs="Palatino Linotype"/>
        </w:rPr>
        <w:t xml:space="preserve"> al </w:t>
      </w:r>
      <w:r w:rsidRPr="00B9447D">
        <w:rPr>
          <w:rFonts w:ascii="Palatino Linotype" w:eastAsia="Palatino Linotype" w:hAnsi="Palatino Linotype" w:cs="Palatino Linotype"/>
          <w:b/>
        </w:rPr>
        <w:t>SUJETO OBLIGADO</w:t>
      </w:r>
      <w:r w:rsidRPr="00B9447D">
        <w:rPr>
          <w:rFonts w:ascii="Palatino Linotype" w:eastAsia="Palatino Linotype" w:hAnsi="Palatino Linotype" w:cs="Palatino Linotype"/>
        </w:rPr>
        <w:t xml:space="preserve"> a que, en términos del Considerando Cuarto y Quinto, haga entrega, vía Sistema de Acceso a la Información Mexiquense, de lo siguiente: </w:t>
      </w:r>
    </w:p>
    <w:p w14:paraId="6C839F8D" w14:textId="77777777" w:rsidR="00E10EB6" w:rsidRPr="00B9447D" w:rsidRDefault="00E10EB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08CCD46" w14:textId="77777777" w:rsidR="00E10EB6" w:rsidRPr="00B9447D" w:rsidRDefault="00C023E0">
      <w:pPr>
        <w:numPr>
          <w:ilvl w:val="0"/>
          <w:numId w:val="3"/>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Los oficios y correspondencia mal testada enviada en respuesta, en una correcta versión pública.   </w:t>
      </w:r>
    </w:p>
    <w:p w14:paraId="04ABC363" w14:textId="77777777" w:rsidR="00E10EB6" w:rsidRPr="00B9447D" w:rsidRDefault="00C023E0">
      <w:pPr>
        <w:numPr>
          <w:ilvl w:val="0"/>
          <w:numId w:val="3"/>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B9447D">
        <w:rPr>
          <w:rFonts w:ascii="Palatino Linotype" w:eastAsia="Palatino Linotype" w:hAnsi="Palatino Linotype" w:cs="Palatino Linotype"/>
        </w:rPr>
        <w:t xml:space="preserve">En versión pública, correspondencia y oficios faltantes enviados y recibidos por Secretaría del Ayuntamiento durante el primer semestre de los años 2022 y 2024, por la Tesorería Municipal de enero y febrero de los años 2022, 2023 y 2024, de </w:t>
      </w:r>
      <w:r w:rsidRPr="00B9447D">
        <w:rPr>
          <w:rFonts w:ascii="Palatino Linotype" w:eastAsia="Palatino Linotype" w:hAnsi="Palatino Linotype" w:cs="Palatino Linotype"/>
        </w:rPr>
        <w:lastRenderedPageBreak/>
        <w:t>marzo y abril de los años 2023 y 2024 y de julio a agosto del año 2024, por la Dirección de Desarrollo Económico durante enero, febrero, marzo, abril, mayo, junio y julio del año 2022, marzo, abril, septiembre y octubre del año 2023, marzo, abril, julio, agosto, noviembre y diciembre del año 2024 y por la Dirección de Gobierno y Reglamentación durante el periodo de marzo, abril, julio y agosto del año 2022, marzo, abril, mayo y junio 2023, enero y febrero 2024.</w:t>
      </w:r>
    </w:p>
    <w:p w14:paraId="4C734EFB" w14:textId="77777777" w:rsidR="00E10EB6" w:rsidRPr="00B9447D" w:rsidRDefault="00E10EB6">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7EA9DEDA" w14:textId="77777777" w:rsidR="00E10EB6" w:rsidRPr="00B9447D" w:rsidRDefault="00C023E0">
      <w:pPr>
        <w:spacing w:after="0" w:line="276" w:lineRule="auto"/>
        <w:ind w:left="567" w:right="560"/>
        <w:jc w:val="both"/>
        <w:rPr>
          <w:rFonts w:ascii="Palatino Linotype" w:eastAsia="Palatino Linotype" w:hAnsi="Palatino Linotype" w:cs="Palatino Linotype"/>
          <w:i/>
        </w:rPr>
      </w:pPr>
      <w:r w:rsidRPr="00B9447D">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55D75212" w14:textId="77777777" w:rsidR="00E10EB6" w:rsidRPr="00B9447D" w:rsidRDefault="00E10EB6">
      <w:pPr>
        <w:spacing w:after="0" w:line="276" w:lineRule="auto"/>
        <w:ind w:left="567" w:right="560"/>
        <w:jc w:val="both"/>
        <w:rPr>
          <w:rFonts w:ascii="Palatino Linotype" w:eastAsia="Palatino Linotype" w:hAnsi="Palatino Linotype" w:cs="Palatino Linotype"/>
          <w:i/>
        </w:rPr>
      </w:pPr>
    </w:p>
    <w:p w14:paraId="40746690" w14:textId="77777777" w:rsidR="00E10EB6" w:rsidRPr="00B9447D" w:rsidRDefault="00C023E0">
      <w:pPr>
        <w:tabs>
          <w:tab w:val="left" w:pos="4962"/>
        </w:tabs>
        <w:spacing w:line="276" w:lineRule="auto"/>
        <w:ind w:left="567" w:right="616"/>
        <w:jc w:val="both"/>
        <w:rPr>
          <w:rFonts w:ascii="Palatino Linotype" w:eastAsia="Palatino Linotype" w:hAnsi="Palatino Linotype" w:cs="Palatino Linotype"/>
          <w:i/>
        </w:rPr>
      </w:pPr>
      <w:r w:rsidRPr="00B9447D">
        <w:rPr>
          <w:rFonts w:ascii="Palatino Linotype" w:eastAsia="Palatino Linotype" w:hAnsi="Palatino Linotype" w:cs="Palatino Linotype"/>
          <w:i/>
        </w:rPr>
        <w:t xml:space="preserve">En el supuesto de que el Sujeto Obligado no cuente con diversos oficios a los entregados en respuesta, por no haber sido generados o porque hubieran sido cancelados,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4C8F7CFA" w14:textId="77777777" w:rsidR="00E10EB6" w:rsidRPr="00B9447D" w:rsidRDefault="00E10EB6">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37BA546B"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b/>
        </w:rPr>
        <w:t>Tercero.</w:t>
      </w:r>
      <w:r w:rsidRPr="00B9447D">
        <w:rPr>
          <w:rFonts w:ascii="Palatino Linotype" w:eastAsia="Palatino Linotype" w:hAnsi="Palatino Linotype" w:cs="Palatino Linotype"/>
        </w:rPr>
        <w:t xml:space="preserve"> </w:t>
      </w:r>
      <w:r w:rsidRPr="00B9447D">
        <w:rPr>
          <w:rFonts w:ascii="Palatino Linotype" w:eastAsia="Palatino Linotype" w:hAnsi="Palatino Linotype" w:cs="Palatino Linotype"/>
          <w:b/>
        </w:rPr>
        <w:t xml:space="preserve">Notifíquese vía SAIMEX </w:t>
      </w:r>
      <w:r w:rsidRPr="00B9447D">
        <w:rPr>
          <w:rFonts w:ascii="Palatino Linotype" w:eastAsia="Palatino Linotype" w:hAnsi="Palatino Linotype" w:cs="Palatino Linotype"/>
        </w:rPr>
        <w:t>la presente resolución al T</w:t>
      </w:r>
      <w:r w:rsidRPr="00B9447D">
        <w:rPr>
          <w:rFonts w:ascii="Palatino Linotype" w:eastAsia="Palatino Linotype" w:hAnsi="Palatino Linotype" w:cs="Palatino Linotype"/>
          <w:b/>
        </w:rPr>
        <w:t xml:space="preserve">itular de la Unidad de Transparencia </w:t>
      </w:r>
      <w:r w:rsidRPr="00B9447D">
        <w:rPr>
          <w:rFonts w:ascii="Palatino Linotype" w:eastAsia="Palatino Linotype" w:hAnsi="Palatino Linotype" w:cs="Palatino Linotype"/>
        </w:rPr>
        <w:t xml:space="preserve">del </w:t>
      </w:r>
      <w:r w:rsidRPr="00B9447D">
        <w:rPr>
          <w:rFonts w:ascii="Palatino Linotype" w:eastAsia="Palatino Linotype" w:hAnsi="Palatino Linotype" w:cs="Palatino Linotype"/>
          <w:b/>
        </w:rPr>
        <w:t>SUJETO OBLIGADO</w:t>
      </w:r>
      <w:r w:rsidRPr="00B9447D">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B9447D">
        <w:rPr>
          <w:rFonts w:ascii="Palatino Linotype" w:eastAsia="Palatino Linotype" w:hAnsi="Palatino Linotype" w:cs="Palatino Linotype"/>
        </w:rPr>
        <w:lastRenderedPageBreak/>
        <w:t>conformidad con lo previsto en los artículos 198, 200, fracción III; 214, 215 y 216 de la Ley  de Transparencia y Acceso a la Información Pública del Estado de México y Municipios.</w:t>
      </w:r>
    </w:p>
    <w:p w14:paraId="02455F4C" w14:textId="77777777" w:rsidR="00E10EB6" w:rsidRPr="00B9447D" w:rsidRDefault="00E10EB6">
      <w:pPr>
        <w:spacing w:after="0" w:line="360" w:lineRule="auto"/>
        <w:ind w:right="49"/>
        <w:jc w:val="both"/>
        <w:rPr>
          <w:rFonts w:ascii="Palatino Linotype" w:eastAsia="Palatino Linotype" w:hAnsi="Palatino Linotype" w:cs="Palatino Linotype"/>
        </w:rPr>
      </w:pPr>
    </w:p>
    <w:p w14:paraId="3A659298" w14:textId="77777777" w:rsidR="00E10EB6" w:rsidRPr="00B9447D" w:rsidRDefault="00C023E0">
      <w:pPr>
        <w:spacing w:after="0" w:line="360" w:lineRule="auto"/>
        <w:jc w:val="both"/>
        <w:rPr>
          <w:rFonts w:ascii="Palatino Linotype" w:eastAsia="Palatino Linotype" w:hAnsi="Palatino Linotype" w:cs="Palatino Linotype"/>
        </w:rPr>
      </w:pPr>
      <w:r w:rsidRPr="00B9447D">
        <w:rPr>
          <w:rFonts w:ascii="Palatino Linotype" w:eastAsia="Palatino Linotype" w:hAnsi="Palatino Linotype" w:cs="Palatino Linotype"/>
          <w:b/>
        </w:rPr>
        <w:t xml:space="preserve">Cuarto. Notifíquese vía SAIMEX </w:t>
      </w:r>
      <w:r w:rsidRPr="00B9447D">
        <w:rPr>
          <w:rFonts w:ascii="Palatino Linotype" w:eastAsia="Palatino Linotype" w:hAnsi="Palatino Linotype" w:cs="Palatino Linotype"/>
        </w:rPr>
        <w:t xml:space="preserve">a la parte </w:t>
      </w:r>
      <w:r w:rsidRPr="00B9447D">
        <w:rPr>
          <w:rFonts w:ascii="Palatino Linotype" w:eastAsia="Palatino Linotype" w:hAnsi="Palatino Linotype" w:cs="Palatino Linotype"/>
          <w:b/>
        </w:rPr>
        <w:t xml:space="preserve">Recurrente </w:t>
      </w:r>
      <w:r w:rsidRPr="00B9447D">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5B59C99" w14:textId="77777777" w:rsidR="00E10EB6" w:rsidRPr="00B9447D" w:rsidRDefault="00E10EB6">
      <w:pPr>
        <w:spacing w:after="0" w:line="360" w:lineRule="auto"/>
        <w:jc w:val="both"/>
        <w:rPr>
          <w:rFonts w:ascii="Palatino Linotype" w:eastAsia="Palatino Linotype" w:hAnsi="Palatino Linotype" w:cs="Palatino Linotype"/>
        </w:rPr>
      </w:pPr>
    </w:p>
    <w:p w14:paraId="03458017" w14:textId="77777777" w:rsidR="00E10EB6" w:rsidRPr="00B9447D" w:rsidRDefault="00C023E0">
      <w:pPr>
        <w:spacing w:after="0" w:line="360" w:lineRule="auto"/>
        <w:ind w:right="49"/>
        <w:jc w:val="both"/>
        <w:rPr>
          <w:rFonts w:ascii="Palatino Linotype" w:eastAsia="Palatino Linotype" w:hAnsi="Palatino Linotype" w:cs="Palatino Linotype"/>
        </w:rPr>
      </w:pPr>
      <w:r w:rsidRPr="00B9447D">
        <w:rPr>
          <w:rFonts w:ascii="Palatino Linotype" w:eastAsia="Palatino Linotype" w:hAnsi="Palatino Linotype" w:cs="Palatino Linotype"/>
          <w:b/>
        </w:rPr>
        <w:t>Quinto.</w:t>
      </w:r>
      <w:r w:rsidRPr="00B9447D">
        <w:rPr>
          <w:rFonts w:ascii="Palatino Linotype" w:eastAsia="Palatino Linotype" w:hAnsi="Palatino Linotype" w:cs="Palatino Linotype"/>
        </w:rPr>
        <w:t xml:space="preserve"> </w:t>
      </w:r>
      <w:r w:rsidRPr="00B9447D">
        <w:rPr>
          <w:rFonts w:ascii="Palatino Linotype" w:eastAsia="Palatino Linotype" w:hAnsi="Palatino Linotype" w:cs="Palatino Linotype"/>
          <w:b/>
        </w:rPr>
        <w:t xml:space="preserve">Notifíquese vía SAIMEX </w:t>
      </w:r>
      <w:r w:rsidRPr="00B9447D">
        <w:rPr>
          <w:rFonts w:ascii="Palatino Linotype" w:eastAsia="Palatino Linotype" w:hAnsi="Palatino Linotype" w:cs="Palatino Linotype"/>
        </w:rPr>
        <w:t>la presente resolución al T</w:t>
      </w:r>
      <w:r w:rsidRPr="00B9447D">
        <w:rPr>
          <w:rFonts w:ascii="Palatino Linotype" w:eastAsia="Palatino Linotype" w:hAnsi="Palatino Linotype" w:cs="Palatino Linotype"/>
          <w:b/>
        </w:rPr>
        <w:t xml:space="preserve">itular de la Unidad de Transparencia </w:t>
      </w:r>
      <w:r w:rsidRPr="00B9447D">
        <w:rPr>
          <w:rFonts w:ascii="Palatino Linotype" w:eastAsia="Palatino Linotype" w:hAnsi="Palatino Linotype" w:cs="Palatino Linotype"/>
        </w:rPr>
        <w:t xml:space="preserve">del </w:t>
      </w:r>
      <w:r w:rsidRPr="00B9447D">
        <w:rPr>
          <w:rFonts w:ascii="Palatino Linotype" w:eastAsia="Palatino Linotype" w:hAnsi="Palatino Linotype" w:cs="Palatino Linotype"/>
          <w:b/>
        </w:rPr>
        <w:t>SUJETO OBLIGADO</w:t>
      </w:r>
      <w:r w:rsidRPr="00B9447D">
        <w:rPr>
          <w:rFonts w:ascii="Palatino Linotype" w:eastAsia="Palatino Linotype" w:hAnsi="Palatino Linotype" w:cs="Palatino Linotype"/>
        </w:rPr>
        <w:t xml:space="preserve"> para que de conformidad con el artículo 198 de la Ley de Transparencia y Acceso a la Información Pública del Estado de México y Municipios, de considerarlo procedente, de manera fundada y motivada, solicite una ampliación de plazo para el cumplimiento de la presente resolución.</w:t>
      </w:r>
    </w:p>
    <w:p w14:paraId="1C4F920D" w14:textId="77777777" w:rsidR="00E10EB6" w:rsidRPr="00B9447D" w:rsidRDefault="00E10EB6">
      <w:pPr>
        <w:spacing w:after="0" w:line="360" w:lineRule="auto"/>
        <w:ind w:right="49"/>
        <w:jc w:val="both"/>
        <w:rPr>
          <w:rFonts w:ascii="Palatino Linotype" w:eastAsia="Palatino Linotype" w:hAnsi="Palatino Linotype" w:cs="Palatino Linotype"/>
        </w:rPr>
      </w:pPr>
    </w:p>
    <w:p w14:paraId="33A2D032" w14:textId="736A2642" w:rsidR="00E10EB6" w:rsidRPr="006C5F3A" w:rsidRDefault="00C023E0">
      <w:pPr>
        <w:spacing w:after="0" w:line="360" w:lineRule="auto"/>
        <w:ind w:right="49"/>
        <w:jc w:val="both"/>
        <w:rPr>
          <w:rFonts w:ascii="Palatino Linotype" w:eastAsia="Palatino Linotype" w:hAnsi="Palatino Linotype" w:cs="Palatino Linotype"/>
        </w:rPr>
      </w:pPr>
      <w:bookmarkStart w:id="5" w:name="_heading=h.kfadj32g3ock" w:colFirst="0" w:colLast="0"/>
      <w:bookmarkEnd w:id="5"/>
      <w:r w:rsidRPr="00B9447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34AF9" w:rsidRPr="00B9447D">
        <w:rPr>
          <w:rFonts w:ascii="Palatino Linotype" w:eastAsia="Palatino Linotype" w:hAnsi="Palatino Linotype" w:cs="Palatino Linotype"/>
        </w:rPr>
        <w:t xml:space="preserve">EMITIENDO VOTO PARTICULAR </w:t>
      </w:r>
      <w:r w:rsidRPr="00B9447D">
        <w:rPr>
          <w:rFonts w:ascii="Palatino Linotype" w:eastAsia="Palatino Linotype" w:hAnsi="Palatino Linotype" w:cs="Palatino Linotype"/>
        </w:rPr>
        <w:t>Y GUADALUPE RAMÍREZ PEÑA; EN LA DÉCIMA PRIMERA SESIÓN ORDINARIA CELEBRADA EL VEINTISÉIS DE MARZO DE DOS MIL VEINTICINCO, ANTE EL SECRETARIO TÉCNICO DEL PLENO ALEXIS TAPIA RAMÍREZ.</w:t>
      </w:r>
      <w:r w:rsidRPr="006C5F3A">
        <w:rPr>
          <w:rFonts w:ascii="Palatino Linotype" w:eastAsia="Palatino Linotype" w:hAnsi="Palatino Linotype" w:cs="Palatino Linotype"/>
        </w:rPr>
        <w:t xml:space="preserve"> </w:t>
      </w:r>
    </w:p>
    <w:p w14:paraId="4A4ABA59" w14:textId="2FDBB24A" w:rsidR="006C5F3A" w:rsidRPr="006C5F3A" w:rsidRDefault="006C5F3A">
      <w:pPr>
        <w:spacing w:after="0" w:line="360" w:lineRule="auto"/>
        <w:ind w:right="49"/>
        <w:jc w:val="both"/>
        <w:rPr>
          <w:rFonts w:ascii="Palatino Linotype" w:eastAsia="Palatino Linotype" w:hAnsi="Palatino Linotype" w:cs="Palatino Linotype"/>
        </w:rPr>
      </w:pPr>
    </w:p>
    <w:p w14:paraId="1A537F13" w14:textId="103ECC9A" w:rsidR="006C5F3A" w:rsidRPr="006C5F3A" w:rsidRDefault="006C5F3A">
      <w:pPr>
        <w:spacing w:after="0" w:line="360" w:lineRule="auto"/>
        <w:ind w:right="49"/>
        <w:jc w:val="both"/>
        <w:rPr>
          <w:rFonts w:ascii="Palatino Linotype" w:eastAsia="Palatino Linotype" w:hAnsi="Palatino Linotype" w:cs="Palatino Linotype"/>
        </w:rPr>
      </w:pPr>
    </w:p>
    <w:p w14:paraId="543BFB79" w14:textId="1C2B2E65" w:rsidR="006C5F3A" w:rsidRPr="006C5F3A" w:rsidRDefault="006C5F3A">
      <w:pPr>
        <w:spacing w:after="0" w:line="360" w:lineRule="auto"/>
        <w:ind w:right="49"/>
        <w:jc w:val="both"/>
        <w:rPr>
          <w:rFonts w:ascii="Palatino Linotype" w:eastAsia="Palatino Linotype" w:hAnsi="Palatino Linotype" w:cs="Palatino Linotype"/>
        </w:rPr>
      </w:pPr>
    </w:p>
    <w:p w14:paraId="3F9F9F93" w14:textId="69B99DCC" w:rsidR="006C5F3A" w:rsidRPr="006C5F3A" w:rsidRDefault="006C5F3A">
      <w:pPr>
        <w:spacing w:after="0" w:line="360" w:lineRule="auto"/>
        <w:ind w:right="49"/>
        <w:jc w:val="both"/>
        <w:rPr>
          <w:rFonts w:ascii="Palatino Linotype" w:eastAsia="Palatino Linotype" w:hAnsi="Palatino Linotype" w:cs="Palatino Linotype"/>
        </w:rPr>
      </w:pPr>
    </w:p>
    <w:p w14:paraId="10E77B52" w14:textId="1B72B4F6" w:rsidR="006C5F3A" w:rsidRPr="006C5F3A" w:rsidRDefault="006C5F3A">
      <w:pPr>
        <w:spacing w:after="0" w:line="360" w:lineRule="auto"/>
        <w:ind w:right="49"/>
        <w:jc w:val="both"/>
        <w:rPr>
          <w:rFonts w:ascii="Palatino Linotype" w:eastAsia="Palatino Linotype" w:hAnsi="Palatino Linotype" w:cs="Palatino Linotype"/>
        </w:rPr>
      </w:pPr>
    </w:p>
    <w:p w14:paraId="1A94EF60" w14:textId="77777777" w:rsidR="006C5F3A" w:rsidRPr="006C5F3A" w:rsidRDefault="006C5F3A">
      <w:pPr>
        <w:spacing w:after="0" w:line="360" w:lineRule="auto"/>
        <w:ind w:right="49"/>
        <w:jc w:val="both"/>
        <w:rPr>
          <w:rFonts w:ascii="Palatino Linotype" w:eastAsia="Palatino Linotype" w:hAnsi="Palatino Linotype" w:cs="Palatino Linotype"/>
        </w:rPr>
      </w:pPr>
    </w:p>
    <w:sectPr w:rsidR="006C5F3A" w:rsidRPr="006C5F3A">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FFF2" w14:textId="77777777" w:rsidR="00BF6256" w:rsidRDefault="00BF6256">
      <w:pPr>
        <w:spacing w:after="0" w:line="240" w:lineRule="auto"/>
      </w:pPr>
      <w:r>
        <w:separator/>
      </w:r>
    </w:p>
  </w:endnote>
  <w:endnote w:type="continuationSeparator" w:id="0">
    <w:p w14:paraId="6EBC5BD9" w14:textId="77777777" w:rsidR="00BF6256" w:rsidRDefault="00BF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4192" w14:textId="77777777" w:rsidR="00E10EB6" w:rsidRDefault="00C023E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9447D">
      <w:rPr>
        <w:b/>
        <w:noProof/>
        <w:color w:val="000000"/>
        <w:sz w:val="24"/>
        <w:szCs w:val="24"/>
      </w:rPr>
      <w:t>52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9447D">
      <w:rPr>
        <w:b/>
        <w:noProof/>
        <w:color w:val="000000"/>
        <w:sz w:val="24"/>
        <w:szCs w:val="24"/>
      </w:rPr>
      <w:t>55</w:t>
    </w:r>
    <w:r>
      <w:rPr>
        <w:b/>
        <w:color w:val="000000"/>
        <w:sz w:val="24"/>
        <w:szCs w:val="24"/>
      </w:rPr>
      <w:fldChar w:fldCharType="end"/>
    </w:r>
  </w:p>
  <w:p w14:paraId="27E7763A" w14:textId="77777777" w:rsidR="00E10EB6" w:rsidRDefault="00E10EB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12D3" w14:textId="77777777" w:rsidR="00E10EB6" w:rsidRDefault="00C023E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9447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9447D">
      <w:rPr>
        <w:b/>
        <w:noProof/>
        <w:color w:val="000000"/>
        <w:sz w:val="24"/>
        <w:szCs w:val="24"/>
      </w:rPr>
      <w:t>55</w:t>
    </w:r>
    <w:r>
      <w:rPr>
        <w:b/>
        <w:color w:val="000000"/>
        <w:sz w:val="24"/>
        <w:szCs w:val="24"/>
      </w:rPr>
      <w:fldChar w:fldCharType="end"/>
    </w:r>
  </w:p>
  <w:p w14:paraId="0245EAF8" w14:textId="77777777" w:rsidR="00E10EB6" w:rsidRDefault="00E10EB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E13F" w14:textId="77777777" w:rsidR="00BF6256" w:rsidRDefault="00BF6256">
      <w:pPr>
        <w:spacing w:after="0" w:line="240" w:lineRule="auto"/>
      </w:pPr>
      <w:r>
        <w:separator/>
      </w:r>
    </w:p>
  </w:footnote>
  <w:footnote w:type="continuationSeparator" w:id="0">
    <w:p w14:paraId="031B5C52" w14:textId="77777777" w:rsidR="00BF6256" w:rsidRDefault="00BF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0315" w14:textId="77777777" w:rsidR="00E10EB6" w:rsidRDefault="00C023E0">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767D92" wp14:editId="7FBC558D">
          <wp:simplePos x="0" y="0"/>
          <wp:positionH relativeFrom="column">
            <wp:posOffset>-746117</wp:posOffset>
          </wp:positionH>
          <wp:positionV relativeFrom="paragraph">
            <wp:posOffset>-448302</wp:posOffset>
          </wp:positionV>
          <wp:extent cx="7809876" cy="10165823"/>
          <wp:effectExtent l="0" t="0" r="0" b="0"/>
          <wp:wrapNone/>
          <wp:docPr id="21431081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d"/>
      <w:tblW w:w="5603" w:type="dxa"/>
      <w:tblInd w:w="3611" w:type="dxa"/>
      <w:tblLayout w:type="fixed"/>
      <w:tblLook w:val="0400" w:firstRow="0" w:lastRow="0" w:firstColumn="0" w:lastColumn="0" w:noHBand="0" w:noVBand="1"/>
    </w:tblPr>
    <w:tblGrid>
      <w:gridCol w:w="2551"/>
      <w:gridCol w:w="3052"/>
    </w:tblGrid>
    <w:tr w:rsidR="00E10EB6" w14:paraId="74ACCD1F" w14:textId="77777777">
      <w:tc>
        <w:tcPr>
          <w:tcW w:w="2551" w:type="dxa"/>
          <w:vAlign w:val="center"/>
        </w:tcPr>
        <w:p w14:paraId="64450B14"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47C6DEEC" w14:textId="77777777" w:rsidR="00E10EB6" w:rsidRDefault="00E10EB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362E9B6"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01069/INFOEM/IP/RR/2025y acumulado</w:t>
          </w:r>
        </w:p>
      </w:tc>
    </w:tr>
    <w:tr w:rsidR="00E10EB6" w14:paraId="3681CAD4" w14:textId="77777777">
      <w:trPr>
        <w:trHeight w:val="228"/>
      </w:trPr>
      <w:tc>
        <w:tcPr>
          <w:tcW w:w="2551" w:type="dxa"/>
          <w:vAlign w:val="center"/>
        </w:tcPr>
        <w:p w14:paraId="24460E95"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EAA2865" w14:textId="77777777" w:rsidR="00E10EB6" w:rsidRDefault="00E10EB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0DC825B" w14:textId="77777777" w:rsidR="00E10EB6" w:rsidRDefault="00C023E0">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Ixtapan de la Sal</w:t>
          </w:r>
        </w:p>
      </w:tc>
    </w:tr>
    <w:tr w:rsidR="00E10EB6" w14:paraId="3276D408" w14:textId="77777777">
      <w:tc>
        <w:tcPr>
          <w:tcW w:w="2551" w:type="dxa"/>
          <w:vAlign w:val="center"/>
        </w:tcPr>
        <w:p w14:paraId="2C4F04D4"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E78FC60"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3B0F2C7" w14:textId="77777777" w:rsidR="00E10EB6" w:rsidRDefault="00E10EB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2F40" w14:textId="77777777" w:rsidR="00E10EB6" w:rsidRDefault="00C023E0">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72B0AD0" wp14:editId="494AD2DC">
          <wp:simplePos x="0" y="0"/>
          <wp:positionH relativeFrom="column">
            <wp:posOffset>-683890</wp:posOffset>
          </wp:positionH>
          <wp:positionV relativeFrom="paragraph">
            <wp:posOffset>-249549</wp:posOffset>
          </wp:positionV>
          <wp:extent cx="7809876" cy="10165823"/>
          <wp:effectExtent l="0" t="0" r="0" b="0"/>
          <wp:wrapNone/>
          <wp:docPr id="21431081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e"/>
      <w:tblW w:w="5603" w:type="dxa"/>
      <w:tblInd w:w="3611" w:type="dxa"/>
      <w:tblLayout w:type="fixed"/>
      <w:tblLook w:val="0400" w:firstRow="0" w:lastRow="0" w:firstColumn="0" w:lastColumn="0" w:noHBand="0" w:noVBand="1"/>
    </w:tblPr>
    <w:tblGrid>
      <w:gridCol w:w="2551"/>
      <w:gridCol w:w="3052"/>
    </w:tblGrid>
    <w:tr w:rsidR="00E10EB6" w14:paraId="3B230C2E" w14:textId="77777777">
      <w:tc>
        <w:tcPr>
          <w:tcW w:w="2551" w:type="dxa"/>
          <w:vAlign w:val="center"/>
        </w:tcPr>
        <w:p w14:paraId="0C879D45"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49A90C93" w14:textId="77777777" w:rsidR="00E10EB6" w:rsidRDefault="00E10EB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5543931"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01069/INFOEM/IP/RR/2025 y acumulados</w:t>
          </w:r>
        </w:p>
      </w:tc>
    </w:tr>
    <w:tr w:rsidR="00E10EB6" w14:paraId="7F90D263" w14:textId="77777777">
      <w:tc>
        <w:tcPr>
          <w:tcW w:w="2551" w:type="dxa"/>
          <w:vAlign w:val="center"/>
        </w:tcPr>
        <w:p w14:paraId="4A971275"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20ABF2DD" w14:textId="77777777" w:rsidR="00E10EB6" w:rsidRDefault="00E10EB6">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E10EB6" w14:paraId="3070DBB8" w14:textId="77777777">
      <w:trPr>
        <w:trHeight w:val="228"/>
      </w:trPr>
      <w:tc>
        <w:tcPr>
          <w:tcW w:w="2551" w:type="dxa"/>
          <w:vAlign w:val="center"/>
        </w:tcPr>
        <w:p w14:paraId="71E41274"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55A4DAF5" w14:textId="77777777" w:rsidR="00E10EB6" w:rsidRDefault="00C023E0">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Ixtapan de la Sal</w:t>
          </w:r>
        </w:p>
      </w:tc>
    </w:tr>
    <w:tr w:rsidR="00E10EB6" w14:paraId="5F99CD36" w14:textId="77777777">
      <w:tc>
        <w:tcPr>
          <w:tcW w:w="2551" w:type="dxa"/>
          <w:vAlign w:val="center"/>
        </w:tcPr>
        <w:p w14:paraId="74A9FF34"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8B0542B" w14:textId="77777777" w:rsidR="00E10EB6" w:rsidRDefault="00C023E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A62776C" w14:textId="77777777" w:rsidR="00E10EB6" w:rsidRDefault="00C023E0">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215"/>
    <w:multiLevelType w:val="multilevel"/>
    <w:tmpl w:val="1C24D560"/>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075DE"/>
    <w:multiLevelType w:val="multilevel"/>
    <w:tmpl w:val="2A6E23F8"/>
    <w:lvl w:ilvl="0">
      <w:start w:val="1"/>
      <w:numFmt w:val="bullet"/>
      <w:pStyle w:val="Listaconvietas"/>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E9516F"/>
    <w:multiLevelType w:val="multilevel"/>
    <w:tmpl w:val="9AEA9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B2341"/>
    <w:multiLevelType w:val="multilevel"/>
    <w:tmpl w:val="77A4722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1921C4"/>
    <w:multiLevelType w:val="multilevel"/>
    <w:tmpl w:val="253015C0"/>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6829EB"/>
    <w:multiLevelType w:val="multilevel"/>
    <w:tmpl w:val="A300A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713EF8"/>
    <w:multiLevelType w:val="multilevel"/>
    <w:tmpl w:val="FA7AE6D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2579118">
    <w:abstractNumId w:val="1"/>
  </w:num>
  <w:num w:numId="2" w16cid:durableId="2064060957">
    <w:abstractNumId w:val="4"/>
  </w:num>
  <w:num w:numId="3" w16cid:durableId="1873303166">
    <w:abstractNumId w:val="3"/>
  </w:num>
  <w:num w:numId="4" w16cid:durableId="1446727360">
    <w:abstractNumId w:val="6"/>
  </w:num>
  <w:num w:numId="5" w16cid:durableId="1326318113">
    <w:abstractNumId w:val="5"/>
  </w:num>
  <w:num w:numId="6" w16cid:durableId="1778482346">
    <w:abstractNumId w:val="0"/>
  </w:num>
  <w:num w:numId="7" w16cid:durableId="61001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B6"/>
    <w:rsid w:val="001B672A"/>
    <w:rsid w:val="002626EF"/>
    <w:rsid w:val="00534AF9"/>
    <w:rsid w:val="005F770A"/>
    <w:rsid w:val="006C5F3A"/>
    <w:rsid w:val="00B9447D"/>
    <w:rsid w:val="00BF6256"/>
    <w:rsid w:val="00C023E0"/>
    <w:rsid w:val="00CA0F73"/>
    <w:rsid w:val="00E10EB6"/>
    <w:rsid w:val="00F6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D033"/>
  <w15:docId w15:val="{0F212C31-F8B6-4AA5-9643-050A347A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60"/>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3">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6"/>
    <w:tblPr>
      <w:tblStyleRowBandSize w:val="1"/>
      <w:tblStyleColBandSize w:val="1"/>
      <w:tblCellMar>
        <w:top w:w="15" w:type="dxa"/>
        <w:left w:w="15" w:type="dxa"/>
        <w:bottom w:w="15" w:type="dxa"/>
        <w:right w:w="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top w:w="15" w:type="dxa"/>
        <w:left w:w="115" w:type="dxa"/>
        <w:bottom w:w="15" w:type="dxa"/>
        <w:right w:w="115" w:type="dxa"/>
      </w:tblCellMar>
    </w:tblPr>
  </w:style>
  <w:style w:type="table" w:customStyle="1" w:styleId="a3">
    <w:basedOn w:val="TableNormal6"/>
    <w:tblPr>
      <w:tblStyleRowBandSize w:val="1"/>
      <w:tblStyleColBandSize w:val="1"/>
      <w:tblCellMar>
        <w:top w:w="15" w:type="dxa"/>
        <w:left w:w="115" w:type="dxa"/>
        <w:bottom w:w="15" w:type="dxa"/>
        <w:right w:w="115" w:type="dxa"/>
      </w:tblCellMar>
    </w:tblPr>
  </w:style>
  <w:style w:type="table" w:customStyle="1" w:styleId="a4">
    <w:basedOn w:val="TableNormal5"/>
    <w:tblPr>
      <w:tblStyleRowBandSize w:val="1"/>
      <w:tblStyleColBandSize w:val="1"/>
      <w:tblCellMar>
        <w:top w:w="15" w:type="dxa"/>
        <w:left w:w="115" w:type="dxa"/>
        <w:bottom w:w="15" w:type="dxa"/>
        <w:right w:w="115" w:type="dxa"/>
      </w:tblCellMar>
    </w:tblPr>
  </w:style>
  <w:style w:type="table" w:customStyle="1" w:styleId="a5">
    <w:basedOn w:val="TableNormal5"/>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4"/>
    <w:pPr>
      <w:spacing w:after="0" w:line="240" w:lineRule="auto"/>
    </w:pPr>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top w:w="15" w:type="dxa"/>
        <w:left w:w="115" w:type="dxa"/>
        <w:bottom w:w="15" w:type="dxa"/>
        <w:right w:w="115" w:type="dxa"/>
      </w:tblCellMar>
    </w:tblPr>
  </w:style>
  <w:style w:type="table" w:customStyle="1" w:styleId="a8">
    <w:basedOn w:val="TableNormal4"/>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INAI"/>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paragraph" w:customStyle="1" w:styleId="INFOEM">
    <w:name w:val="INFOEM"/>
    <w:basedOn w:val="Normal"/>
    <w:qFormat/>
    <w:rsid w:val="00616865"/>
    <w:pPr>
      <w:spacing w:before="240" w:line="360" w:lineRule="auto"/>
      <w:ind w:left="851" w:right="851"/>
      <w:jc w:val="both"/>
    </w:pPr>
    <w:rPr>
      <w:rFonts w:ascii="Palatino Linotype" w:eastAsiaTheme="minorHAnsi" w:hAnsi="Palatino Linotype" w:cstheme="minorBidi"/>
      <w:i/>
      <w:szCs w:val="14"/>
      <w:lang w:eastAsia="en-US"/>
    </w:rPr>
  </w:style>
  <w:style w:type="paragraph" w:customStyle="1" w:styleId="Citas">
    <w:name w:val="Citas"/>
    <w:basedOn w:val="Normal"/>
    <w:qFormat/>
    <w:rsid w:val="00616865"/>
    <w:pPr>
      <w:spacing w:before="240" w:line="360" w:lineRule="auto"/>
      <w:ind w:left="851" w:right="851"/>
      <w:jc w:val="both"/>
    </w:pPr>
    <w:rPr>
      <w:rFonts w:ascii="Palatino Linotype" w:eastAsiaTheme="minorHAnsi" w:hAnsi="Palatino Linotype" w:cs="Arial"/>
      <w:i/>
      <w:lang w:eastAsia="en-US"/>
    </w:r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7LFV5ozl2qrFcTWAv4VIT/T5lw==">CgMxLjAyCWguMzBqMHpsbDIJaC4yZXQ5MnAwMghoLmdqZGd4czIOaC5tbGxwNTNzdWZpb2MyDmgubmNyaHphOG1ibGRtMg5oLmtmYWRqMzJnM29jazgAciExb3ZyMXdLVmlGOEJZcDdHVk1JWkwxb3ZSOE9aSVNyc1M=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13786</Words>
  <Characters>75828</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Infoem Soporte</cp:lastModifiedBy>
  <cp:revision>2</cp:revision>
  <cp:lastPrinted>2025-03-28T20:32:00Z</cp:lastPrinted>
  <dcterms:created xsi:type="dcterms:W3CDTF">2025-06-24T20:16:00Z</dcterms:created>
  <dcterms:modified xsi:type="dcterms:W3CDTF">2025-06-24T20:16:00Z</dcterms:modified>
</cp:coreProperties>
</file>