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CBD0B" w14:textId="77777777" w:rsidR="006D488D" w:rsidRDefault="006D488D" w:rsidP="00A554EA">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006D374D" w14:textId="4BC495B2" w:rsidR="006D488D" w:rsidRPr="003B4DAF" w:rsidRDefault="006D488D" w:rsidP="00A554EA">
          <w:pPr>
            <w:pStyle w:val="TtulodeTDC"/>
            <w:spacing w:before="0" w:line="360" w:lineRule="auto"/>
            <w:contextualSpacing/>
            <w:jc w:val="center"/>
            <w:rPr>
              <w:rFonts w:ascii="Palatino Linotype" w:hAnsi="Palatino Linotype"/>
              <w:color w:val="auto"/>
              <w:sz w:val="22"/>
              <w:szCs w:val="22"/>
            </w:rPr>
          </w:pPr>
          <w:r w:rsidRPr="003B4DAF">
            <w:rPr>
              <w:rFonts w:ascii="Palatino Linotype" w:hAnsi="Palatino Linotype"/>
              <w:color w:val="auto"/>
              <w:sz w:val="22"/>
              <w:szCs w:val="22"/>
              <w:lang w:val="es-ES"/>
            </w:rPr>
            <w:t xml:space="preserve">RESOLUCIÓN DEL RECURSO DE REVISIÓN </w:t>
          </w:r>
          <w:r w:rsidRPr="003B4DAF">
            <w:rPr>
              <w:rFonts w:ascii="Palatino Linotype" w:hAnsi="Palatino Linotype"/>
              <w:color w:val="auto"/>
              <w:sz w:val="22"/>
              <w:szCs w:val="22"/>
            </w:rPr>
            <w:t>09316/INFOEM/IP/RR/2025</w:t>
          </w:r>
        </w:p>
        <w:p w14:paraId="78EF3273" w14:textId="77777777" w:rsidR="006D488D" w:rsidRPr="003B4DAF" w:rsidRDefault="006D488D" w:rsidP="00A554EA">
          <w:pPr>
            <w:pStyle w:val="TtulodeTDC"/>
            <w:spacing w:before="0" w:line="360" w:lineRule="auto"/>
            <w:contextualSpacing/>
            <w:rPr>
              <w:rFonts w:ascii="Palatino Linotype" w:hAnsi="Palatino Linotype"/>
              <w:color w:val="auto"/>
              <w:sz w:val="22"/>
              <w:szCs w:val="22"/>
            </w:rPr>
          </w:pPr>
        </w:p>
        <w:p w14:paraId="078F2AD2" w14:textId="050C507F" w:rsidR="007563EC" w:rsidRPr="003B4DAF" w:rsidRDefault="006D488D" w:rsidP="007563EC">
          <w:pPr>
            <w:pStyle w:val="TDC1"/>
            <w:tabs>
              <w:tab w:val="right" w:leader="dot" w:pos="8828"/>
            </w:tabs>
            <w:spacing w:line="360" w:lineRule="auto"/>
            <w:contextualSpacing/>
            <w:rPr>
              <w:rFonts w:cstheme="minorBidi"/>
              <w:noProof/>
              <w:kern w:val="2"/>
              <w:sz w:val="24"/>
              <w:szCs w:val="24"/>
              <w14:ligatures w14:val="standardContextual"/>
            </w:rPr>
          </w:pPr>
          <w:r w:rsidRPr="003B4DAF">
            <w:rPr>
              <w:rFonts w:ascii="Palatino Linotype" w:eastAsia="Palatino Linotype" w:hAnsi="Palatino Linotype" w:cs="Palatino Linotype"/>
              <w:color w:val="000000" w:themeColor="text1"/>
            </w:rPr>
            <w:fldChar w:fldCharType="begin"/>
          </w:r>
          <w:r w:rsidRPr="003B4DAF">
            <w:rPr>
              <w:rFonts w:ascii="Palatino Linotype" w:hAnsi="Palatino Linotype"/>
            </w:rPr>
            <w:instrText xml:space="preserve"> TOC \o "1-3" \h \z \u </w:instrText>
          </w:r>
          <w:r w:rsidRPr="003B4DAF">
            <w:rPr>
              <w:rFonts w:ascii="Palatino Linotype" w:eastAsia="Palatino Linotype" w:hAnsi="Palatino Linotype" w:cs="Palatino Linotype"/>
              <w:color w:val="000000" w:themeColor="text1"/>
            </w:rPr>
            <w:fldChar w:fldCharType="separate"/>
          </w:r>
          <w:hyperlink w:anchor="_Toc210313688" w:history="1">
            <w:r w:rsidR="007563EC" w:rsidRPr="003B4DAF">
              <w:rPr>
                <w:rStyle w:val="Hipervnculo"/>
                <w:rFonts w:ascii="Palatino Linotype" w:hAnsi="Palatino Linotype"/>
                <w:noProof/>
              </w:rPr>
              <w:t>A N T E C E D E N T E S</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_Toc210313688 \h </w:instrText>
            </w:r>
            <w:r w:rsidR="007563EC" w:rsidRPr="003B4DAF">
              <w:rPr>
                <w:noProof/>
                <w:webHidden/>
              </w:rPr>
            </w:r>
            <w:r w:rsidR="007563EC" w:rsidRPr="003B4DAF">
              <w:rPr>
                <w:noProof/>
                <w:webHidden/>
              </w:rPr>
              <w:fldChar w:fldCharType="separate"/>
            </w:r>
            <w:r w:rsidR="00F54239">
              <w:rPr>
                <w:noProof/>
                <w:webHidden/>
              </w:rPr>
              <w:t>2</w:t>
            </w:r>
            <w:r w:rsidR="007563EC" w:rsidRPr="003B4DAF">
              <w:rPr>
                <w:noProof/>
                <w:webHidden/>
              </w:rPr>
              <w:fldChar w:fldCharType="end"/>
            </w:r>
          </w:hyperlink>
        </w:p>
        <w:p w14:paraId="1A6A73C3" w14:textId="68CEFBB7"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89" w:history="1">
            <w:r w:rsidR="007563EC" w:rsidRPr="003B4DAF">
              <w:rPr>
                <w:rStyle w:val="Hipervnculo"/>
                <w:rFonts w:ascii="Palatino Linotype" w:hAnsi="Palatino Linotype"/>
                <w:noProof/>
              </w:rPr>
              <w:t>I. Presentación de la solicitud de información</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_Toc210313689 \h </w:instrText>
            </w:r>
            <w:r w:rsidR="007563EC" w:rsidRPr="003B4DAF">
              <w:rPr>
                <w:noProof/>
                <w:webHidden/>
              </w:rPr>
            </w:r>
            <w:r w:rsidR="007563EC" w:rsidRPr="003B4DAF">
              <w:rPr>
                <w:noProof/>
                <w:webHidden/>
              </w:rPr>
              <w:fldChar w:fldCharType="separate"/>
            </w:r>
            <w:r w:rsidR="00F54239">
              <w:rPr>
                <w:noProof/>
                <w:webHidden/>
              </w:rPr>
              <w:t>2</w:t>
            </w:r>
            <w:r w:rsidR="007563EC" w:rsidRPr="003B4DAF">
              <w:rPr>
                <w:noProof/>
                <w:webHidden/>
              </w:rPr>
              <w:fldChar w:fldCharType="end"/>
            </w:r>
          </w:hyperlink>
        </w:p>
        <w:p w14:paraId="00E7BF88" w14:textId="53C52761"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0" w:history="1">
            <w:r w:rsidR="007563EC" w:rsidRPr="003B4DAF">
              <w:rPr>
                <w:rStyle w:val="Hipervnculo"/>
                <w:rFonts w:ascii="Palatino Linotype" w:hAnsi="Palatino Linotype"/>
                <w:noProof/>
              </w:rPr>
              <w:t>III. Interposición del Recurso de Revisión</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_Toc210313690 \h </w:instrText>
            </w:r>
            <w:r w:rsidR="007563EC" w:rsidRPr="003B4DAF">
              <w:rPr>
                <w:noProof/>
                <w:webHidden/>
              </w:rPr>
            </w:r>
            <w:r w:rsidR="007563EC" w:rsidRPr="003B4DAF">
              <w:rPr>
                <w:noProof/>
                <w:webHidden/>
              </w:rPr>
              <w:fldChar w:fldCharType="separate"/>
            </w:r>
            <w:r w:rsidR="00F54239">
              <w:rPr>
                <w:noProof/>
                <w:webHidden/>
              </w:rPr>
              <w:t>3</w:t>
            </w:r>
            <w:r w:rsidR="007563EC" w:rsidRPr="003B4DAF">
              <w:rPr>
                <w:noProof/>
                <w:webHidden/>
              </w:rPr>
              <w:fldChar w:fldCharType="end"/>
            </w:r>
          </w:hyperlink>
        </w:p>
        <w:p w14:paraId="55AB8704" w14:textId="740BA740"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1" w:history="1">
            <w:r w:rsidR="007563EC" w:rsidRPr="003B4DAF">
              <w:rPr>
                <w:rStyle w:val="Hipervnculo"/>
                <w:rFonts w:ascii="Palatino Linotype" w:hAnsi="Palatino Linotype"/>
                <w:noProof/>
              </w:rPr>
              <w:t xml:space="preserve">IV. </w:t>
            </w:r>
            <w:r w:rsidR="007563EC" w:rsidRPr="003B4DAF">
              <w:rPr>
                <w:rStyle w:val="Hipervnculo"/>
                <w:rFonts w:ascii="Palatino Linotype" w:eastAsia="Batang" w:hAnsi="Palatino Linotype"/>
                <w:noProof/>
              </w:rPr>
              <w:t xml:space="preserve">Trámite del </w:t>
            </w:r>
            <w:r w:rsidR="007563EC" w:rsidRPr="003B4DAF">
              <w:rPr>
                <w:rStyle w:val="Hipervnculo"/>
                <w:rFonts w:ascii="Palatino Linotype" w:hAnsi="Palatino Linotype"/>
                <w:noProof/>
              </w:rPr>
              <w:t xml:space="preserve">Recurso de Revisión </w:t>
            </w:r>
            <w:r w:rsidR="007563EC" w:rsidRPr="003B4DAF">
              <w:rPr>
                <w:rStyle w:val="Hipervnculo"/>
                <w:rFonts w:ascii="Palatino Linotype" w:eastAsia="Batang" w:hAnsi="Palatino Linotype"/>
                <w:noProof/>
              </w:rPr>
              <w:t>ante este Instituto</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_Toc210313691 \h </w:instrText>
            </w:r>
            <w:r w:rsidR="007563EC" w:rsidRPr="003B4DAF">
              <w:rPr>
                <w:noProof/>
                <w:webHidden/>
              </w:rPr>
            </w:r>
            <w:r w:rsidR="007563EC" w:rsidRPr="003B4DAF">
              <w:rPr>
                <w:noProof/>
                <w:webHidden/>
              </w:rPr>
              <w:fldChar w:fldCharType="separate"/>
            </w:r>
            <w:r w:rsidR="00F54239">
              <w:rPr>
                <w:noProof/>
                <w:webHidden/>
              </w:rPr>
              <w:t>4</w:t>
            </w:r>
            <w:r w:rsidR="007563EC" w:rsidRPr="003B4DAF">
              <w:rPr>
                <w:noProof/>
                <w:webHidden/>
              </w:rPr>
              <w:fldChar w:fldCharType="end"/>
            </w:r>
          </w:hyperlink>
        </w:p>
        <w:p w14:paraId="306790A7" w14:textId="1B4863D2" w:rsidR="007563EC" w:rsidRPr="003B4DAF" w:rsidRDefault="00B7523A" w:rsidP="007563EC">
          <w:pPr>
            <w:pStyle w:val="TDC1"/>
            <w:tabs>
              <w:tab w:val="right" w:leader="dot" w:pos="8828"/>
            </w:tabs>
            <w:spacing w:line="360" w:lineRule="auto"/>
            <w:contextualSpacing/>
            <w:rPr>
              <w:rFonts w:cstheme="minorBidi"/>
              <w:noProof/>
              <w:kern w:val="2"/>
              <w:sz w:val="24"/>
              <w:szCs w:val="24"/>
              <w14:ligatures w14:val="standardContextual"/>
            </w:rPr>
          </w:pPr>
          <w:hyperlink w:anchor="_Toc210313692" w:history="1">
            <w:r w:rsidR="007563EC" w:rsidRPr="003B4DAF">
              <w:rPr>
                <w:rStyle w:val="Hipervnculo"/>
                <w:rFonts w:ascii="Palatino Linotype" w:hAnsi="Palatino Linotype"/>
                <w:noProof/>
              </w:rPr>
              <w:t>C O N S I D E R A N D O S</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_Toc210313692 \h </w:instrText>
            </w:r>
            <w:r w:rsidR="007563EC" w:rsidRPr="003B4DAF">
              <w:rPr>
                <w:noProof/>
                <w:webHidden/>
              </w:rPr>
            </w:r>
            <w:r w:rsidR="007563EC" w:rsidRPr="003B4DAF">
              <w:rPr>
                <w:noProof/>
                <w:webHidden/>
              </w:rPr>
              <w:fldChar w:fldCharType="separate"/>
            </w:r>
            <w:r w:rsidR="00F54239">
              <w:rPr>
                <w:noProof/>
                <w:webHidden/>
              </w:rPr>
              <w:t>5</w:t>
            </w:r>
            <w:r w:rsidR="007563EC" w:rsidRPr="003B4DAF">
              <w:rPr>
                <w:noProof/>
                <w:webHidden/>
              </w:rPr>
              <w:fldChar w:fldCharType="end"/>
            </w:r>
          </w:hyperlink>
        </w:p>
        <w:p w14:paraId="102520B3" w14:textId="456FE940"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3" w:history="1">
            <w:r w:rsidR="007563EC" w:rsidRPr="003B4DAF">
              <w:rPr>
                <w:rStyle w:val="Hipervnculo"/>
                <w:rFonts w:ascii="Palatino Linotype" w:hAnsi="Palatino Linotype"/>
                <w:noProof/>
              </w:rPr>
              <w:t>PRIMERO. Competencia</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_Toc210313693 \h </w:instrText>
            </w:r>
            <w:r w:rsidR="007563EC" w:rsidRPr="003B4DAF">
              <w:rPr>
                <w:noProof/>
                <w:webHidden/>
              </w:rPr>
            </w:r>
            <w:r w:rsidR="007563EC" w:rsidRPr="003B4DAF">
              <w:rPr>
                <w:noProof/>
                <w:webHidden/>
              </w:rPr>
              <w:fldChar w:fldCharType="separate"/>
            </w:r>
            <w:r w:rsidR="00F54239">
              <w:rPr>
                <w:noProof/>
                <w:webHidden/>
              </w:rPr>
              <w:t>5</w:t>
            </w:r>
            <w:r w:rsidR="007563EC" w:rsidRPr="003B4DAF">
              <w:rPr>
                <w:noProof/>
                <w:webHidden/>
              </w:rPr>
              <w:fldChar w:fldCharType="end"/>
            </w:r>
          </w:hyperlink>
        </w:p>
        <w:p w14:paraId="7B64382F" w14:textId="42367E26"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4" w:history="1">
            <w:r w:rsidR="007563EC" w:rsidRPr="003B4DAF">
              <w:rPr>
                <w:rStyle w:val="Hipervnculo"/>
                <w:rFonts w:ascii="Palatino Linotype" w:eastAsia="Calibri" w:hAnsi="Palatino Linotype"/>
                <w:noProof/>
                <w:lang w:val="es-ES"/>
              </w:rPr>
              <w:t xml:space="preserve">SEGUNDO. </w:t>
            </w:r>
            <w:r w:rsidR="007563EC" w:rsidRPr="003B4DAF">
              <w:rPr>
                <w:rStyle w:val="Hipervnculo"/>
                <w:rFonts w:ascii="Palatino Linotype" w:hAnsi="Palatino Linotype"/>
                <w:noProof/>
                <w:lang w:val="es-ES"/>
              </w:rPr>
              <w:t>Causales de improcedencia y sobreseimiento</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_Toc210313694 \h </w:instrText>
            </w:r>
            <w:r w:rsidR="007563EC" w:rsidRPr="003B4DAF">
              <w:rPr>
                <w:noProof/>
                <w:webHidden/>
              </w:rPr>
            </w:r>
            <w:r w:rsidR="007563EC" w:rsidRPr="003B4DAF">
              <w:rPr>
                <w:noProof/>
                <w:webHidden/>
              </w:rPr>
              <w:fldChar w:fldCharType="separate"/>
            </w:r>
            <w:r w:rsidR="00F54239">
              <w:rPr>
                <w:noProof/>
                <w:webHidden/>
              </w:rPr>
              <w:t>6</w:t>
            </w:r>
            <w:r w:rsidR="007563EC" w:rsidRPr="003B4DAF">
              <w:rPr>
                <w:noProof/>
                <w:webHidden/>
              </w:rPr>
              <w:fldChar w:fldCharType="end"/>
            </w:r>
          </w:hyperlink>
        </w:p>
        <w:p w14:paraId="4ECC5603" w14:textId="69FA0821"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5" w:history="1">
            <w:r w:rsidR="007563EC" w:rsidRPr="003B4DAF">
              <w:rPr>
                <w:rStyle w:val="Hipervnculo"/>
                <w:rFonts w:ascii="Palatino Linotype" w:eastAsia="Calibri" w:hAnsi="Palatino Linotype"/>
                <w:noProof/>
                <w:lang w:val="es-ES" w:eastAsia="es-ES_tradnl"/>
              </w:rPr>
              <w:t>TERCERO. Determinación de la Controversia</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_Toc210313695 \h </w:instrText>
            </w:r>
            <w:r w:rsidR="007563EC" w:rsidRPr="003B4DAF">
              <w:rPr>
                <w:noProof/>
                <w:webHidden/>
              </w:rPr>
            </w:r>
            <w:r w:rsidR="007563EC" w:rsidRPr="003B4DAF">
              <w:rPr>
                <w:noProof/>
                <w:webHidden/>
              </w:rPr>
              <w:fldChar w:fldCharType="separate"/>
            </w:r>
            <w:r w:rsidR="00F54239">
              <w:rPr>
                <w:noProof/>
                <w:webHidden/>
              </w:rPr>
              <w:t>8</w:t>
            </w:r>
            <w:r w:rsidR="007563EC" w:rsidRPr="003B4DAF">
              <w:rPr>
                <w:noProof/>
                <w:webHidden/>
              </w:rPr>
              <w:fldChar w:fldCharType="end"/>
            </w:r>
          </w:hyperlink>
        </w:p>
        <w:p w14:paraId="100CA382" w14:textId="5F0B237D"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6" w:history="1">
            <w:r w:rsidR="007563EC" w:rsidRPr="003B4DAF">
              <w:rPr>
                <w:rStyle w:val="Hipervnculo"/>
                <w:rFonts w:ascii="Palatino Linotype" w:hAnsi="Palatino Linotype"/>
                <w:noProof/>
                <w:lang w:val="es-ES"/>
              </w:rPr>
              <w:t xml:space="preserve">CUARTO. </w:t>
            </w:r>
            <w:r w:rsidR="007563EC" w:rsidRPr="003B4DAF">
              <w:rPr>
                <w:rStyle w:val="Hipervnculo"/>
                <w:rFonts w:ascii="Palatino Linotype" w:hAnsi="Palatino Linotype"/>
                <w:noProof/>
              </w:rPr>
              <w:t>Marco normativo aplicable en materia de transparencia y acceso a la información pública</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_Toc210313696 \h </w:instrText>
            </w:r>
            <w:r w:rsidR="007563EC" w:rsidRPr="003B4DAF">
              <w:rPr>
                <w:noProof/>
                <w:webHidden/>
              </w:rPr>
            </w:r>
            <w:r w:rsidR="007563EC" w:rsidRPr="003B4DAF">
              <w:rPr>
                <w:noProof/>
                <w:webHidden/>
              </w:rPr>
              <w:fldChar w:fldCharType="separate"/>
            </w:r>
            <w:r w:rsidR="00F54239">
              <w:rPr>
                <w:noProof/>
                <w:webHidden/>
              </w:rPr>
              <w:t>9</w:t>
            </w:r>
            <w:r w:rsidR="007563EC" w:rsidRPr="003B4DAF">
              <w:rPr>
                <w:noProof/>
                <w:webHidden/>
              </w:rPr>
              <w:fldChar w:fldCharType="end"/>
            </w:r>
          </w:hyperlink>
        </w:p>
        <w:p w14:paraId="4FE973B7" w14:textId="1EFD59FD"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7" w:history="1">
            <w:r w:rsidR="007563EC" w:rsidRPr="003B4DAF">
              <w:rPr>
                <w:rStyle w:val="Hipervnculo"/>
                <w:rFonts w:ascii="Palatino Linotype" w:hAnsi="Palatino Linotype"/>
                <w:noProof/>
                <w:lang w:val="es-ES"/>
              </w:rPr>
              <w:t>QUINTO. Estudio de Fondo</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_Toc210313697 \h </w:instrText>
            </w:r>
            <w:r w:rsidR="007563EC" w:rsidRPr="003B4DAF">
              <w:rPr>
                <w:noProof/>
                <w:webHidden/>
              </w:rPr>
            </w:r>
            <w:r w:rsidR="007563EC" w:rsidRPr="003B4DAF">
              <w:rPr>
                <w:noProof/>
                <w:webHidden/>
              </w:rPr>
              <w:fldChar w:fldCharType="separate"/>
            </w:r>
            <w:r w:rsidR="00F54239">
              <w:rPr>
                <w:noProof/>
                <w:webHidden/>
              </w:rPr>
              <w:t>10</w:t>
            </w:r>
            <w:r w:rsidR="007563EC" w:rsidRPr="003B4DAF">
              <w:rPr>
                <w:noProof/>
                <w:webHidden/>
              </w:rPr>
              <w:fldChar w:fldCharType="end"/>
            </w:r>
          </w:hyperlink>
        </w:p>
        <w:p w14:paraId="4A0903E1" w14:textId="4849BC2B" w:rsidR="007563EC" w:rsidRPr="003B4DAF" w:rsidRDefault="00B7523A" w:rsidP="007563EC">
          <w:pPr>
            <w:pStyle w:val="TDC2"/>
            <w:tabs>
              <w:tab w:val="right" w:leader="dot" w:pos="8828"/>
            </w:tabs>
            <w:spacing w:line="360" w:lineRule="auto"/>
            <w:contextualSpacing/>
            <w:rPr>
              <w:rFonts w:cstheme="minorBidi"/>
              <w:noProof/>
              <w:kern w:val="2"/>
              <w:sz w:val="24"/>
              <w:szCs w:val="24"/>
              <w14:ligatures w14:val="standardContextual"/>
            </w:rPr>
          </w:pPr>
          <w:hyperlink w:anchor="_Toc210313698" w:history="1">
            <w:r w:rsidR="007563EC" w:rsidRPr="003B4DAF">
              <w:rPr>
                <w:rStyle w:val="Hipervnculo"/>
                <w:rFonts w:ascii="Palatino Linotype" w:hAnsi="Palatino Linotype"/>
                <w:noProof/>
              </w:rPr>
              <w:t>SEXTO. Decisión</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_Toc210313698 \h </w:instrText>
            </w:r>
            <w:r w:rsidR="007563EC" w:rsidRPr="003B4DAF">
              <w:rPr>
                <w:noProof/>
                <w:webHidden/>
              </w:rPr>
            </w:r>
            <w:r w:rsidR="007563EC" w:rsidRPr="003B4DAF">
              <w:rPr>
                <w:noProof/>
                <w:webHidden/>
              </w:rPr>
              <w:fldChar w:fldCharType="separate"/>
            </w:r>
            <w:r w:rsidR="00F54239">
              <w:rPr>
                <w:noProof/>
                <w:webHidden/>
              </w:rPr>
              <w:t>23</w:t>
            </w:r>
            <w:r w:rsidR="007563EC" w:rsidRPr="003B4DAF">
              <w:rPr>
                <w:noProof/>
                <w:webHidden/>
              </w:rPr>
              <w:fldChar w:fldCharType="end"/>
            </w:r>
          </w:hyperlink>
        </w:p>
        <w:p w14:paraId="56E6A4C1" w14:textId="44D95131" w:rsidR="007563EC" w:rsidRPr="003B4DAF" w:rsidRDefault="00B7523A" w:rsidP="007563EC">
          <w:pPr>
            <w:pStyle w:val="TDC1"/>
            <w:tabs>
              <w:tab w:val="right" w:leader="dot" w:pos="8828"/>
            </w:tabs>
            <w:spacing w:line="360" w:lineRule="auto"/>
            <w:contextualSpacing/>
            <w:rPr>
              <w:rFonts w:cstheme="minorBidi"/>
              <w:noProof/>
              <w:kern w:val="2"/>
              <w:sz w:val="24"/>
              <w:szCs w:val="24"/>
              <w14:ligatures w14:val="standardContextual"/>
            </w:rPr>
          </w:pPr>
          <w:hyperlink w:anchor="_Toc210313699" w:history="1">
            <w:r w:rsidR="007563EC" w:rsidRPr="003B4DAF">
              <w:rPr>
                <w:rStyle w:val="Hipervnculo"/>
                <w:rFonts w:ascii="Palatino Linotype" w:eastAsia="Calibri" w:hAnsi="Palatino Linotype"/>
                <w:noProof/>
              </w:rPr>
              <w:t>R E S U E L V E</w:t>
            </w:r>
            <w:r w:rsidR="007563EC" w:rsidRPr="003B4DAF">
              <w:rPr>
                <w:noProof/>
                <w:webHidden/>
              </w:rPr>
              <w:tab/>
            </w:r>
            <w:r w:rsidR="007563EC" w:rsidRPr="003B4DAF">
              <w:rPr>
                <w:noProof/>
                <w:webHidden/>
              </w:rPr>
              <w:fldChar w:fldCharType="begin"/>
            </w:r>
            <w:r w:rsidR="007563EC" w:rsidRPr="003B4DAF">
              <w:rPr>
                <w:noProof/>
                <w:webHidden/>
              </w:rPr>
              <w:instrText xml:space="preserve"> PAGEREF _Toc210313699 \h </w:instrText>
            </w:r>
            <w:r w:rsidR="007563EC" w:rsidRPr="003B4DAF">
              <w:rPr>
                <w:noProof/>
                <w:webHidden/>
              </w:rPr>
            </w:r>
            <w:r w:rsidR="007563EC" w:rsidRPr="003B4DAF">
              <w:rPr>
                <w:noProof/>
                <w:webHidden/>
              </w:rPr>
              <w:fldChar w:fldCharType="separate"/>
            </w:r>
            <w:r w:rsidR="00F54239">
              <w:rPr>
                <w:noProof/>
                <w:webHidden/>
              </w:rPr>
              <w:t>24</w:t>
            </w:r>
            <w:r w:rsidR="007563EC" w:rsidRPr="003B4DAF">
              <w:rPr>
                <w:noProof/>
                <w:webHidden/>
              </w:rPr>
              <w:fldChar w:fldCharType="end"/>
            </w:r>
          </w:hyperlink>
        </w:p>
        <w:p w14:paraId="38FF692F" w14:textId="694B6E08" w:rsidR="006D488D" w:rsidRPr="003B4DAF" w:rsidRDefault="006D488D" w:rsidP="00A554EA">
          <w:pPr>
            <w:spacing w:line="360" w:lineRule="auto"/>
            <w:contextualSpacing/>
            <w:jc w:val="both"/>
            <w:rPr>
              <w:rFonts w:ascii="Palatino Linotype" w:hAnsi="Palatino Linotype" w:cs="Tahoma"/>
              <w:sz w:val="22"/>
              <w:szCs w:val="22"/>
            </w:rPr>
          </w:pPr>
          <w:r w:rsidRPr="003B4DAF">
            <w:rPr>
              <w:rFonts w:ascii="Palatino Linotype" w:hAnsi="Palatino Linotype"/>
              <w:sz w:val="22"/>
              <w:szCs w:val="22"/>
              <w:lang w:val="es-ES"/>
            </w:rPr>
            <w:fldChar w:fldCharType="end"/>
          </w:r>
        </w:p>
      </w:sdtContent>
    </w:sdt>
    <w:p w14:paraId="3972F7A2" w14:textId="77777777" w:rsidR="006D488D" w:rsidRPr="003B4DAF" w:rsidRDefault="006D488D" w:rsidP="00A554EA">
      <w:pPr>
        <w:spacing w:line="360" w:lineRule="auto"/>
        <w:contextualSpacing/>
        <w:rPr>
          <w:rFonts w:ascii="Palatino Linotype" w:hAnsi="Palatino Linotype" w:cs="Tahoma"/>
          <w:bCs/>
          <w:sz w:val="22"/>
          <w:szCs w:val="22"/>
        </w:rPr>
      </w:pPr>
      <w:r w:rsidRPr="003B4DAF">
        <w:rPr>
          <w:rFonts w:ascii="Palatino Linotype" w:hAnsi="Palatino Linotype" w:cs="Tahoma"/>
          <w:bCs/>
          <w:sz w:val="22"/>
          <w:szCs w:val="22"/>
        </w:rPr>
        <w:br w:type="page"/>
      </w:r>
    </w:p>
    <w:p w14:paraId="0A92C73D" w14:textId="77777777" w:rsidR="006D488D" w:rsidRPr="003B4DAF" w:rsidRDefault="006D488D" w:rsidP="00A554EA">
      <w:pPr>
        <w:spacing w:line="360" w:lineRule="auto"/>
        <w:contextualSpacing/>
        <w:jc w:val="both"/>
        <w:rPr>
          <w:rFonts w:ascii="Palatino Linotype" w:hAnsi="Palatino Linotype" w:cs="Tahoma"/>
          <w:bCs/>
          <w:sz w:val="22"/>
          <w:szCs w:val="22"/>
        </w:rPr>
      </w:pPr>
    </w:p>
    <w:p w14:paraId="3BF22A47" w14:textId="487E73CE" w:rsidR="006D488D" w:rsidRPr="003B4DAF" w:rsidRDefault="006D488D" w:rsidP="00A554EA">
      <w:pPr>
        <w:spacing w:line="360" w:lineRule="auto"/>
        <w:contextualSpacing/>
        <w:jc w:val="both"/>
        <w:rPr>
          <w:rFonts w:ascii="Palatino Linotype" w:hAnsi="Palatino Linotype" w:cs="Tahoma"/>
          <w:bCs/>
          <w:sz w:val="22"/>
          <w:szCs w:val="22"/>
        </w:rPr>
      </w:pPr>
      <w:r w:rsidRPr="003B4DA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A554EA" w:rsidRPr="003B4DAF">
        <w:rPr>
          <w:rFonts w:ascii="Palatino Linotype" w:hAnsi="Palatino Linotype" w:cs="Tahoma"/>
          <w:bCs/>
          <w:sz w:val="22"/>
          <w:szCs w:val="22"/>
        </w:rPr>
        <w:t>primero de octubre</w:t>
      </w:r>
      <w:r w:rsidRPr="003B4DAF">
        <w:rPr>
          <w:rFonts w:ascii="Palatino Linotype" w:hAnsi="Palatino Linotype" w:cs="Tahoma"/>
          <w:bCs/>
          <w:sz w:val="22"/>
          <w:szCs w:val="22"/>
        </w:rPr>
        <w:t xml:space="preserve"> de dos mil veinticinco.</w:t>
      </w:r>
    </w:p>
    <w:p w14:paraId="544CCBB2" w14:textId="77777777" w:rsidR="006D488D" w:rsidRPr="003B4DAF" w:rsidRDefault="006D488D" w:rsidP="00A554EA">
      <w:pPr>
        <w:spacing w:line="360" w:lineRule="auto"/>
        <w:contextualSpacing/>
        <w:rPr>
          <w:rFonts w:ascii="Palatino Linotype" w:hAnsi="Palatino Linotype" w:cs="Tahoma"/>
          <w:bCs/>
          <w:sz w:val="22"/>
          <w:szCs w:val="22"/>
        </w:rPr>
      </w:pPr>
    </w:p>
    <w:p w14:paraId="212F46B4" w14:textId="42685430" w:rsidR="006D488D" w:rsidRPr="003B4DAF" w:rsidRDefault="006D488D" w:rsidP="00A554EA">
      <w:pPr>
        <w:spacing w:line="360" w:lineRule="auto"/>
        <w:contextualSpacing/>
        <w:jc w:val="both"/>
        <w:rPr>
          <w:rFonts w:ascii="Palatino Linotype" w:hAnsi="Palatino Linotype" w:cs="Tahoma"/>
          <w:bCs/>
          <w:sz w:val="22"/>
          <w:szCs w:val="22"/>
        </w:rPr>
      </w:pPr>
      <w:r w:rsidRPr="003B4DAF">
        <w:rPr>
          <w:rFonts w:ascii="Palatino Linotype" w:hAnsi="Palatino Linotype" w:cs="Tahoma"/>
          <w:b/>
          <w:bCs/>
          <w:color w:val="0D0D0D" w:themeColor="text1" w:themeTint="F2"/>
          <w:sz w:val="22"/>
          <w:szCs w:val="22"/>
        </w:rPr>
        <w:t xml:space="preserve">VISTO </w:t>
      </w:r>
      <w:r w:rsidRPr="003B4DAF">
        <w:rPr>
          <w:rFonts w:ascii="Palatino Linotype" w:hAnsi="Palatino Linotype" w:cs="Tahoma"/>
          <w:bCs/>
          <w:color w:val="0D0D0D" w:themeColor="text1" w:themeTint="F2"/>
          <w:sz w:val="22"/>
          <w:szCs w:val="22"/>
        </w:rPr>
        <w:t xml:space="preserve">el expediente conformado con motivo del Recurso de Revisión </w:t>
      </w:r>
      <w:r w:rsidRPr="00765F08">
        <w:rPr>
          <w:rFonts w:ascii="Palatino Linotype" w:eastAsia="Batang" w:hAnsi="Palatino Linotype" w:cs="Tahoma"/>
          <w:b/>
          <w:bCs/>
          <w:sz w:val="22"/>
          <w:szCs w:val="22"/>
          <w:lang w:val="es-ES_tradnl"/>
        </w:rPr>
        <w:t>09316/INFOEM/IP/RR/2025</w:t>
      </w:r>
      <w:r w:rsidRPr="003B4DAF">
        <w:rPr>
          <w:rFonts w:ascii="Palatino Linotype" w:eastAsia="Batang" w:hAnsi="Palatino Linotype" w:cs="Tahoma"/>
          <w:bCs/>
          <w:sz w:val="22"/>
          <w:szCs w:val="22"/>
          <w:lang w:val="es-ES_tradnl"/>
        </w:rPr>
        <w:t xml:space="preserve">, </w:t>
      </w:r>
      <w:r w:rsidRPr="003B4DAF">
        <w:rPr>
          <w:rFonts w:ascii="Palatino Linotype" w:hAnsi="Palatino Linotype" w:cs="Tahoma"/>
          <w:bCs/>
          <w:color w:val="0D0D0D" w:themeColor="text1" w:themeTint="F2"/>
          <w:sz w:val="22"/>
          <w:szCs w:val="22"/>
        </w:rPr>
        <w:t xml:space="preserve">interpuesto por </w:t>
      </w:r>
      <w:r w:rsidRPr="003B4DAF">
        <w:rPr>
          <w:rFonts w:ascii="Palatino Linotype" w:eastAsia="Calibri" w:hAnsi="Palatino Linotype" w:cs="Tahoma"/>
          <w:bCs/>
          <w:sz w:val="22"/>
          <w:szCs w:val="22"/>
          <w:lang w:eastAsia="en-US"/>
        </w:rPr>
        <w:t xml:space="preserve">el </w:t>
      </w:r>
      <w:r w:rsidRPr="003B4DAF">
        <w:rPr>
          <w:rFonts w:ascii="Palatino Linotype" w:hAnsi="Palatino Linotype" w:cs="Tahoma"/>
          <w:bCs/>
          <w:color w:val="0D0D0D" w:themeColor="text1" w:themeTint="F2"/>
          <w:sz w:val="22"/>
          <w:szCs w:val="22"/>
        </w:rPr>
        <w:t xml:space="preserve">Recurrente o Particular, en contra de la respuesta del Sujeto Obligado, </w:t>
      </w:r>
      <w:bookmarkStart w:id="2" w:name="_GoBack"/>
      <w:r w:rsidRPr="00765F08">
        <w:rPr>
          <w:rFonts w:ascii="Palatino Linotype" w:hAnsi="Palatino Linotype" w:cs="Tahoma"/>
          <w:b/>
          <w:bCs/>
          <w:color w:val="0D0D0D" w:themeColor="text1" w:themeTint="F2"/>
          <w:sz w:val="22"/>
          <w:szCs w:val="22"/>
        </w:rPr>
        <w:t>Ayuntamiento de Toluca</w:t>
      </w:r>
      <w:bookmarkEnd w:id="2"/>
      <w:r w:rsidRPr="003B4DAF">
        <w:rPr>
          <w:rFonts w:ascii="Palatino Linotype" w:hAnsi="Palatino Linotype" w:cs="Tahoma"/>
          <w:bCs/>
          <w:color w:val="0D0D0D" w:themeColor="text1" w:themeTint="F2"/>
          <w:sz w:val="22"/>
          <w:szCs w:val="22"/>
        </w:rPr>
        <w:t xml:space="preserve">, a la solicitud de acceso a la información pública </w:t>
      </w:r>
      <w:r w:rsidRPr="003B4DAF">
        <w:rPr>
          <w:rFonts w:ascii="Palatino Linotype" w:hAnsi="Palatino Linotype"/>
          <w:bCs/>
          <w:sz w:val="22"/>
          <w:szCs w:val="22"/>
        </w:rPr>
        <w:t>03408/TOLUCA/IP/2025</w:t>
      </w:r>
      <w:r w:rsidRPr="003B4DAF">
        <w:rPr>
          <w:rFonts w:ascii="Palatino Linotype" w:hAnsi="Palatino Linotype" w:cs="Tahoma"/>
          <w:bCs/>
          <w:color w:val="0D0D0D" w:themeColor="text1" w:themeTint="F2"/>
          <w:sz w:val="22"/>
          <w:szCs w:val="22"/>
        </w:rPr>
        <w:t>, se emite la presente Resolución, con base en los Antecedentes y C</w:t>
      </w:r>
      <w:r w:rsidRPr="003B4DAF">
        <w:rPr>
          <w:rFonts w:ascii="Palatino Linotype" w:hAnsi="Palatino Linotype" w:cs="Tahoma"/>
          <w:bCs/>
          <w:sz w:val="22"/>
          <w:szCs w:val="22"/>
        </w:rPr>
        <w:t>onsiderandos que a continuación se exponen:</w:t>
      </w:r>
    </w:p>
    <w:p w14:paraId="2DB83578" w14:textId="77777777" w:rsidR="006D488D" w:rsidRPr="003B4DAF" w:rsidRDefault="006D488D" w:rsidP="00A554EA">
      <w:pPr>
        <w:spacing w:line="360" w:lineRule="auto"/>
        <w:contextualSpacing/>
        <w:jc w:val="both"/>
        <w:rPr>
          <w:rFonts w:ascii="Palatino Linotype" w:hAnsi="Palatino Linotype" w:cs="Tahoma"/>
          <w:bCs/>
          <w:sz w:val="22"/>
          <w:szCs w:val="22"/>
        </w:rPr>
      </w:pPr>
    </w:p>
    <w:p w14:paraId="0EE7FA6A" w14:textId="77777777" w:rsidR="006D488D" w:rsidRPr="003B4DAF" w:rsidRDefault="006D488D" w:rsidP="00A554EA">
      <w:pPr>
        <w:pStyle w:val="Ttulo1"/>
        <w:spacing w:before="0" w:after="0" w:line="360" w:lineRule="auto"/>
        <w:contextualSpacing/>
        <w:jc w:val="center"/>
        <w:rPr>
          <w:rFonts w:ascii="Palatino Linotype" w:hAnsi="Palatino Linotype"/>
          <w:b/>
          <w:bCs/>
          <w:color w:val="auto"/>
          <w:sz w:val="22"/>
          <w:szCs w:val="22"/>
        </w:rPr>
      </w:pPr>
      <w:bookmarkStart w:id="3" w:name="_Toc210313688"/>
      <w:r w:rsidRPr="003B4DAF">
        <w:rPr>
          <w:rFonts w:ascii="Palatino Linotype" w:hAnsi="Palatino Linotype"/>
          <w:b/>
          <w:bCs/>
          <w:color w:val="auto"/>
          <w:sz w:val="22"/>
          <w:szCs w:val="22"/>
        </w:rPr>
        <w:t>A N T E C E D E N T E S</w:t>
      </w:r>
      <w:bookmarkEnd w:id="3"/>
    </w:p>
    <w:p w14:paraId="747E625C" w14:textId="77777777" w:rsidR="006D488D" w:rsidRPr="003B4DAF" w:rsidRDefault="006D488D" w:rsidP="00A554EA">
      <w:pPr>
        <w:spacing w:line="360" w:lineRule="auto"/>
        <w:contextualSpacing/>
      </w:pPr>
    </w:p>
    <w:p w14:paraId="2F9069EB" w14:textId="77777777" w:rsidR="006D488D" w:rsidRPr="003B4DAF" w:rsidRDefault="006D488D" w:rsidP="00A554EA">
      <w:pPr>
        <w:pStyle w:val="Ttulo2"/>
        <w:spacing w:before="0" w:after="0" w:line="360" w:lineRule="auto"/>
        <w:contextualSpacing/>
        <w:rPr>
          <w:rFonts w:ascii="Palatino Linotype" w:hAnsi="Palatino Linotype"/>
          <w:b/>
          <w:bCs/>
          <w:color w:val="auto"/>
          <w:sz w:val="22"/>
          <w:szCs w:val="22"/>
        </w:rPr>
      </w:pPr>
      <w:bookmarkStart w:id="4" w:name="_Toc210313689"/>
      <w:r w:rsidRPr="003B4DAF">
        <w:rPr>
          <w:rFonts w:ascii="Palatino Linotype" w:hAnsi="Palatino Linotype"/>
          <w:b/>
          <w:bCs/>
          <w:color w:val="auto"/>
          <w:sz w:val="22"/>
          <w:szCs w:val="22"/>
        </w:rPr>
        <w:t>I. Presentación de la solicitud de información</w:t>
      </w:r>
      <w:bookmarkEnd w:id="4"/>
    </w:p>
    <w:p w14:paraId="523C3802" w14:textId="77777777" w:rsidR="006D488D" w:rsidRPr="003B4DAF" w:rsidRDefault="006D488D" w:rsidP="00A554EA">
      <w:pPr>
        <w:pStyle w:val="Prrafodelista"/>
        <w:tabs>
          <w:tab w:val="left" w:pos="567"/>
        </w:tabs>
        <w:spacing w:line="360" w:lineRule="auto"/>
        <w:ind w:left="0"/>
        <w:jc w:val="both"/>
        <w:rPr>
          <w:rFonts w:ascii="Palatino Linotype" w:hAnsi="Palatino Linotype" w:cs="Tahoma"/>
          <w:szCs w:val="22"/>
        </w:rPr>
      </w:pPr>
    </w:p>
    <w:p w14:paraId="6B3D842F" w14:textId="4F9D2CE0" w:rsidR="006D488D" w:rsidRPr="003B4DAF" w:rsidRDefault="006D488D" w:rsidP="00A554EA">
      <w:pPr>
        <w:pStyle w:val="Prrafodelista"/>
        <w:tabs>
          <w:tab w:val="left" w:pos="567"/>
        </w:tabs>
        <w:spacing w:line="360" w:lineRule="auto"/>
        <w:ind w:left="0"/>
        <w:jc w:val="both"/>
        <w:rPr>
          <w:rFonts w:ascii="Palatino Linotype" w:hAnsi="Palatino Linotype" w:cs="Tahoma"/>
          <w:sz w:val="22"/>
          <w:szCs w:val="22"/>
        </w:rPr>
      </w:pPr>
      <w:r w:rsidRPr="003B4DAF">
        <w:rPr>
          <w:rFonts w:ascii="Palatino Linotype" w:hAnsi="Palatino Linotype" w:cs="Tahoma"/>
          <w:sz w:val="22"/>
          <w:szCs w:val="22"/>
        </w:rPr>
        <w:t xml:space="preserve">Con fecha doce de junio de dos mil veinticinco, el Particular presentó una solicitud de acceso a la información pública, a través del Sistema de Acceso a la Información Mexiquense, en lo sucesivo </w:t>
      </w:r>
      <w:r w:rsidRPr="003B4DAF">
        <w:rPr>
          <w:rFonts w:ascii="Palatino Linotype" w:hAnsi="Palatino Linotype" w:cs="Tahoma"/>
          <w:sz w:val="22"/>
          <w:szCs w:val="22"/>
          <w:lang w:val="es-ES"/>
        </w:rPr>
        <w:t>el SAIMEX</w:t>
      </w:r>
      <w:r w:rsidRPr="003B4DAF">
        <w:rPr>
          <w:rFonts w:ascii="Palatino Linotype" w:hAnsi="Palatino Linotype" w:cs="Tahoma"/>
          <w:sz w:val="22"/>
          <w:szCs w:val="22"/>
        </w:rPr>
        <w:t>, ante el Ayuntamiento de Toluca,</w:t>
      </w:r>
      <w:r w:rsidRPr="003B4DAF">
        <w:rPr>
          <w:rFonts w:ascii="Palatino Linotype" w:hAnsi="Palatino Linotype" w:cs="Tahoma"/>
          <w:sz w:val="22"/>
          <w:szCs w:val="22"/>
          <w:lang w:val="es-ES"/>
        </w:rPr>
        <w:t xml:space="preserve"> </w:t>
      </w:r>
      <w:r w:rsidRPr="003B4DAF">
        <w:rPr>
          <w:rFonts w:ascii="Palatino Linotype" w:hAnsi="Palatino Linotype" w:cs="Tahoma"/>
          <w:sz w:val="22"/>
          <w:szCs w:val="22"/>
        </w:rPr>
        <w:t>mediante la cual requirió los documentos que dieran cuenta de lo siguiente:</w:t>
      </w:r>
    </w:p>
    <w:p w14:paraId="3204E8A6" w14:textId="77777777" w:rsidR="006D488D" w:rsidRPr="003B4DAF" w:rsidRDefault="006D488D" w:rsidP="00A554EA">
      <w:pPr>
        <w:pStyle w:val="Prrafodelista"/>
        <w:tabs>
          <w:tab w:val="left" w:pos="567"/>
        </w:tabs>
        <w:spacing w:line="360" w:lineRule="auto"/>
        <w:ind w:left="0"/>
        <w:jc w:val="both"/>
        <w:rPr>
          <w:rFonts w:ascii="Palatino Linotype" w:hAnsi="Palatino Linotype" w:cs="Tahoma"/>
          <w:b/>
          <w:szCs w:val="22"/>
        </w:rPr>
      </w:pPr>
    </w:p>
    <w:p w14:paraId="015DFF9A" w14:textId="77777777" w:rsidR="006D488D" w:rsidRPr="003B4DAF" w:rsidRDefault="006D488D" w:rsidP="00A554EA">
      <w:pPr>
        <w:tabs>
          <w:tab w:val="left" w:pos="4667"/>
        </w:tabs>
        <w:spacing w:line="360" w:lineRule="auto"/>
        <w:ind w:left="567" w:right="567"/>
        <w:contextualSpacing/>
        <w:jc w:val="both"/>
        <w:rPr>
          <w:rFonts w:ascii="Palatino Linotype" w:hAnsi="Palatino Linotype" w:cs="Tahoma"/>
          <w:b/>
          <w:bCs/>
          <w:i/>
        </w:rPr>
      </w:pPr>
      <w:r w:rsidRPr="003B4DAF">
        <w:rPr>
          <w:rFonts w:ascii="Palatino Linotype" w:hAnsi="Palatino Linotype" w:cs="Tahoma"/>
          <w:b/>
          <w:bCs/>
          <w:i/>
        </w:rPr>
        <w:t>“DESCRIPCIÓN CLARA Y PRECISA DE LA INFORMACIÓN SOLICITADA</w:t>
      </w:r>
    </w:p>
    <w:p w14:paraId="2B07A50F" w14:textId="77777777" w:rsidR="007563EC" w:rsidRPr="003B4DAF" w:rsidRDefault="006D488D" w:rsidP="00A554EA">
      <w:pPr>
        <w:spacing w:line="360" w:lineRule="auto"/>
        <w:ind w:left="567" w:right="567"/>
        <w:contextualSpacing/>
        <w:jc w:val="both"/>
        <w:rPr>
          <w:rFonts w:ascii="Palatino Linotype" w:hAnsi="Palatino Linotype" w:cs="Tahoma"/>
          <w:bCs/>
          <w:i/>
        </w:rPr>
      </w:pPr>
      <w:proofErr w:type="gramStart"/>
      <w:r w:rsidRPr="003B4DAF">
        <w:rPr>
          <w:rFonts w:ascii="Palatino Linotype" w:hAnsi="Palatino Linotype"/>
          <w:i/>
          <w:lang w:eastAsia="es-MX"/>
        </w:rPr>
        <w:t>solcito</w:t>
      </w:r>
      <w:proofErr w:type="gramEnd"/>
      <w:r w:rsidRPr="003B4DAF">
        <w:rPr>
          <w:rFonts w:ascii="Palatino Linotype" w:hAnsi="Palatino Linotype"/>
          <w:i/>
          <w:lang w:eastAsia="es-MX"/>
        </w:rPr>
        <w:t xml:space="preserve"> versión publica de los escritos de petición ingresados por parte de , dirigidos a la Tesorera Municipal, en los años 2022, 2023 y 2024, asi como los oficios de respuesta que la Tesoreria Municipal dio a los mismos.</w:t>
      </w:r>
      <w:r w:rsidRPr="003B4DAF">
        <w:rPr>
          <w:rFonts w:ascii="Palatino Linotype" w:hAnsi="Palatino Linotype" w:cs="Tahoma"/>
          <w:bCs/>
          <w:i/>
        </w:rPr>
        <w:t xml:space="preserve">” </w:t>
      </w:r>
    </w:p>
    <w:p w14:paraId="7D7A7CA4" w14:textId="7A410271" w:rsidR="006D488D" w:rsidRPr="003B4DAF" w:rsidRDefault="006D488D" w:rsidP="00A554EA">
      <w:pPr>
        <w:spacing w:line="360" w:lineRule="auto"/>
        <w:ind w:left="567" w:right="567"/>
        <w:contextualSpacing/>
        <w:jc w:val="both"/>
        <w:rPr>
          <w:rFonts w:ascii="Palatino Linotype" w:hAnsi="Palatino Linotype" w:cs="Tahoma"/>
          <w:bCs/>
          <w:i/>
        </w:rPr>
      </w:pPr>
      <w:r w:rsidRPr="003B4DAF">
        <w:rPr>
          <w:rFonts w:ascii="Palatino Linotype" w:hAnsi="Palatino Linotype" w:cs="Tahoma"/>
          <w:bCs/>
          <w:i/>
        </w:rPr>
        <w:t>(Sic).</w:t>
      </w:r>
    </w:p>
    <w:p w14:paraId="5F0C92EE" w14:textId="77777777" w:rsidR="006D488D" w:rsidRPr="003B4DAF" w:rsidRDefault="006D488D" w:rsidP="00A554EA">
      <w:pPr>
        <w:pStyle w:val="Prrafodelista"/>
        <w:tabs>
          <w:tab w:val="left" w:pos="567"/>
        </w:tabs>
        <w:spacing w:line="360" w:lineRule="auto"/>
        <w:ind w:left="567" w:right="567"/>
        <w:jc w:val="both"/>
        <w:rPr>
          <w:rFonts w:ascii="Palatino Linotype" w:hAnsi="Palatino Linotype"/>
          <w:b/>
          <w:bCs/>
          <w:i/>
          <w:color w:val="000000" w:themeColor="text1"/>
        </w:rPr>
      </w:pPr>
      <w:r w:rsidRPr="003B4DAF">
        <w:rPr>
          <w:rFonts w:ascii="Palatino Linotype" w:hAnsi="Palatino Linotype"/>
          <w:b/>
          <w:bCs/>
          <w:i/>
          <w:color w:val="000000" w:themeColor="text1"/>
        </w:rPr>
        <w:tab/>
      </w:r>
    </w:p>
    <w:p w14:paraId="006D938D" w14:textId="77777777" w:rsidR="006D488D" w:rsidRPr="003B4DAF" w:rsidRDefault="006D488D" w:rsidP="00A554EA">
      <w:pPr>
        <w:tabs>
          <w:tab w:val="left" w:pos="4667"/>
        </w:tabs>
        <w:spacing w:line="360" w:lineRule="auto"/>
        <w:ind w:left="567" w:right="567"/>
        <w:contextualSpacing/>
        <w:jc w:val="both"/>
        <w:rPr>
          <w:rFonts w:ascii="Palatino Linotype" w:hAnsi="Palatino Linotype" w:cs="Tahoma"/>
          <w:bCs/>
          <w:i/>
        </w:rPr>
      </w:pPr>
      <w:r w:rsidRPr="003B4DAF">
        <w:rPr>
          <w:rFonts w:ascii="Palatino Linotype" w:hAnsi="Palatino Linotype" w:cs="Tahoma"/>
          <w:b/>
          <w:bCs/>
          <w:i/>
        </w:rPr>
        <w:t xml:space="preserve">Modalidad de Entrega: </w:t>
      </w:r>
      <w:r w:rsidRPr="003B4DAF">
        <w:rPr>
          <w:rFonts w:ascii="Palatino Linotype" w:hAnsi="Palatino Linotype" w:cs="Tahoma"/>
          <w:bCs/>
          <w:i/>
        </w:rPr>
        <w:t>A través de SAIMEX.</w:t>
      </w:r>
    </w:p>
    <w:p w14:paraId="06C22898" w14:textId="77777777" w:rsidR="006D488D" w:rsidRPr="003B4DAF" w:rsidRDefault="006D488D" w:rsidP="00A554EA">
      <w:pPr>
        <w:spacing w:line="360" w:lineRule="auto"/>
        <w:contextualSpacing/>
      </w:pPr>
    </w:p>
    <w:p w14:paraId="619C14AD" w14:textId="77777777" w:rsidR="006D488D" w:rsidRPr="003B4DAF" w:rsidRDefault="006D488D" w:rsidP="00A554EA">
      <w:pPr>
        <w:tabs>
          <w:tab w:val="left" w:pos="4667"/>
        </w:tabs>
        <w:spacing w:line="360" w:lineRule="auto"/>
        <w:contextualSpacing/>
        <w:jc w:val="both"/>
        <w:rPr>
          <w:rFonts w:ascii="Palatino Linotype" w:eastAsiaTheme="majorEastAsia" w:hAnsi="Palatino Linotype" w:cstheme="majorBidi"/>
          <w:b/>
          <w:bCs/>
          <w:sz w:val="22"/>
          <w:szCs w:val="22"/>
        </w:rPr>
      </w:pPr>
      <w:bookmarkStart w:id="5" w:name="_Hlk207876558"/>
      <w:r w:rsidRPr="003B4DAF">
        <w:rPr>
          <w:rFonts w:ascii="Palatino Linotype" w:eastAsiaTheme="majorEastAsia" w:hAnsi="Palatino Linotype" w:cstheme="majorBidi"/>
          <w:b/>
          <w:bCs/>
          <w:sz w:val="22"/>
          <w:szCs w:val="22"/>
        </w:rPr>
        <w:lastRenderedPageBreak/>
        <w:t>II. Respuesta del Sujeto Obligado</w:t>
      </w:r>
    </w:p>
    <w:p w14:paraId="6BB63067" w14:textId="77777777" w:rsidR="007563EC" w:rsidRPr="003B4DAF" w:rsidRDefault="007563EC" w:rsidP="00A554EA">
      <w:pPr>
        <w:tabs>
          <w:tab w:val="left" w:pos="4667"/>
        </w:tabs>
        <w:spacing w:line="360" w:lineRule="auto"/>
        <w:contextualSpacing/>
        <w:jc w:val="both"/>
        <w:rPr>
          <w:rFonts w:ascii="Palatino Linotype" w:eastAsiaTheme="majorEastAsia" w:hAnsi="Palatino Linotype" w:cstheme="majorBidi"/>
          <w:b/>
          <w:bCs/>
          <w:sz w:val="22"/>
          <w:szCs w:val="22"/>
        </w:rPr>
      </w:pPr>
    </w:p>
    <w:p w14:paraId="7E2EC326" w14:textId="33E823E7" w:rsidR="006D488D" w:rsidRPr="003B4DAF" w:rsidRDefault="006D488D" w:rsidP="00A554EA">
      <w:pPr>
        <w:tabs>
          <w:tab w:val="left" w:pos="4667"/>
        </w:tabs>
        <w:spacing w:line="360" w:lineRule="auto"/>
        <w:contextualSpacing/>
        <w:jc w:val="both"/>
        <w:rPr>
          <w:rFonts w:ascii="Palatino Linotype" w:eastAsiaTheme="majorEastAsia" w:hAnsi="Palatino Linotype" w:cstheme="majorBidi"/>
          <w:sz w:val="22"/>
          <w:szCs w:val="22"/>
        </w:rPr>
      </w:pPr>
      <w:r w:rsidRPr="003B4DAF">
        <w:rPr>
          <w:rFonts w:ascii="Palatino Linotype" w:eastAsiaTheme="majorEastAsia" w:hAnsi="Palatino Linotype" w:cstheme="majorBidi"/>
          <w:sz w:val="22"/>
          <w:szCs w:val="22"/>
        </w:rPr>
        <w:t xml:space="preserve">Con fecha </w:t>
      </w:r>
      <w:r w:rsidR="003A69AA" w:rsidRPr="003B4DAF">
        <w:rPr>
          <w:rFonts w:ascii="Palatino Linotype" w:eastAsiaTheme="majorEastAsia" w:hAnsi="Palatino Linotype" w:cstheme="majorBidi"/>
          <w:sz w:val="22"/>
          <w:szCs w:val="22"/>
        </w:rPr>
        <w:t xml:space="preserve">tres de julio </w:t>
      </w:r>
      <w:r w:rsidRPr="003B4DAF">
        <w:rPr>
          <w:rFonts w:ascii="Palatino Linotype" w:eastAsiaTheme="majorEastAsia" w:hAnsi="Palatino Linotype" w:cstheme="majorBidi"/>
          <w:sz w:val="22"/>
          <w:szCs w:val="22"/>
        </w:rPr>
        <w:t>de dos mil veinticinco, el Sujeto Obligado dio respuesta a la solicitud de acceso a la información a través del Sistema de Acceso a la Información Mexiquense (SAIMEX), a través del oficio número 202010000/02291 /2025, del veintisiete de junio de la presente anualidad, suscrito por el Tesorero Municipal, dirigido al Titular de la Unidad de Transparencia, por medio del cual manifiesta y expone lo siguiente:</w:t>
      </w:r>
    </w:p>
    <w:p w14:paraId="630187CE" w14:textId="77777777" w:rsidR="006D488D" w:rsidRPr="003B4DAF" w:rsidRDefault="006D488D" w:rsidP="00A554EA">
      <w:pPr>
        <w:tabs>
          <w:tab w:val="left" w:pos="4667"/>
        </w:tabs>
        <w:spacing w:line="360" w:lineRule="auto"/>
        <w:jc w:val="both"/>
        <w:rPr>
          <w:rFonts w:ascii="Palatino Linotype" w:eastAsiaTheme="majorEastAsia" w:hAnsi="Palatino Linotype" w:cstheme="majorBidi"/>
          <w:sz w:val="22"/>
          <w:szCs w:val="22"/>
        </w:rPr>
      </w:pPr>
    </w:p>
    <w:p w14:paraId="4CC3E58B" w14:textId="77777777" w:rsidR="006D488D" w:rsidRPr="003B4DAF" w:rsidRDefault="006D488D" w:rsidP="00A554EA">
      <w:pPr>
        <w:tabs>
          <w:tab w:val="left" w:pos="4667"/>
        </w:tabs>
        <w:spacing w:line="360" w:lineRule="auto"/>
        <w:ind w:left="567" w:right="567"/>
        <w:jc w:val="both"/>
        <w:rPr>
          <w:rFonts w:ascii="Palatino Linotype" w:eastAsiaTheme="majorEastAsia" w:hAnsi="Palatino Linotype" w:cstheme="majorBidi"/>
          <w:i/>
          <w:iCs/>
        </w:rPr>
      </w:pPr>
      <w:r w:rsidRPr="003B4DAF">
        <w:rPr>
          <w:rFonts w:ascii="Palatino Linotype" w:eastAsiaTheme="majorEastAsia" w:hAnsi="Palatino Linotype" w:cstheme="majorBidi"/>
          <w:i/>
          <w:iCs/>
        </w:rPr>
        <w:t>“…</w:t>
      </w:r>
    </w:p>
    <w:p w14:paraId="54C4EF5D" w14:textId="77777777" w:rsidR="003A69AA" w:rsidRPr="003B4DAF" w:rsidRDefault="003A69AA" w:rsidP="00A554EA">
      <w:pPr>
        <w:tabs>
          <w:tab w:val="left" w:pos="4667"/>
        </w:tabs>
        <w:spacing w:line="360" w:lineRule="auto"/>
        <w:ind w:left="567" w:right="567"/>
        <w:jc w:val="both"/>
        <w:rPr>
          <w:rFonts w:ascii="Palatino Linotype" w:eastAsiaTheme="majorEastAsia" w:hAnsi="Palatino Linotype" w:cstheme="majorBidi"/>
          <w:i/>
          <w:iCs/>
        </w:rPr>
      </w:pPr>
      <w:r w:rsidRPr="003B4DAF">
        <w:rPr>
          <w:rFonts w:ascii="Palatino Linotype" w:eastAsiaTheme="majorEastAsia" w:hAnsi="Palatino Linotype" w:cstheme="majorBidi"/>
          <w:i/>
          <w:iCs/>
        </w:rPr>
        <w:t xml:space="preserve">Conforme a lo dispuesto por los artículos 125 cuarto párrafo de la Constitución Política del Estado Libre y Soberano de México; 47 de la Ley de Fiscalización Superior del Estado de México y 351 segundo párrafo del Código Financiero del Estado de México y Municipios; 3 fracción XLI, 11, 12, 24 último párrafo, 59 fracciones I, Il y III de la Ley de Transparencia y Acceso a la Información Pública del Estado de México y Municipios; 3.21 y 3.22 del Código Reglamentario Municipal de Toluca y numeral 202010000 del Manual de Organización de la Tesorería Municipal. </w:t>
      </w:r>
    </w:p>
    <w:p w14:paraId="32AE6D74" w14:textId="77777777" w:rsidR="003A69AA" w:rsidRPr="003B4DAF" w:rsidRDefault="003A69AA" w:rsidP="00A554EA">
      <w:pPr>
        <w:tabs>
          <w:tab w:val="left" w:pos="4667"/>
        </w:tabs>
        <w:spacing w:line="360" w:lineRule="auto"/>
        <w:ind w:left="567" w:right="567"/>
        <w:jc w:val="both"/>
        <w:rPr>
          <w:rFonts w:ascii="Palatino Linotype" w:eastAsiaTheme="majorEastAsia" w:hAnsi="Palatino Linotype" w:cstheme="majorBidi"/>
          <w:i/>
          <w:iCs/>
        </w:rPr>
      </w:pPr>
    </w:p>
    <w:p w14:paraId="0EBB6246" w14:textId="6317A2F8" w:rsidR="003A69AA" w:rsidRPr="003B4DAF" w:rsidRDefault="003A69AA" w:rsidP="00A554EA">
      <w:pPr>
        <w:tabs>
          <w:tab w:val="left" w:pos="4667"/>
        </w:tabs>
        <w:spacing w:line="360" w:lineRule="auto"/>
        <w:ind w:left="567" w:right="567"/>
        <w:jc w:val="both"/>
        <w:rPr>
          <w:rFonts w:ascii="Palatino Linotype" w:eastAsiaTheme="majorEastAsia" w:hAnsi="Palatino Linotype" w:cstheme="majorBidi"/>
          <w:i/>
          <w:iCs/>
        </w:rPr>
      </w:pPr>
      <w:r w:rsidRPr="003B4DAF">
        <w:rPr>
          <w:rFonts w:ascii="Palatino Linotype" w:eastAsiaTheme="majorEastAsia" w:hAnsi="Palatino Linotype" w:cstheme="majorBidi"/>
          <w:i/>
          <w:iCs/>
        </w:rPr>
        <w:t>Le informo que, considerando que no existe actualmente una clasificación administrativa o por temática, para la clasificación de la correspondencia firmada por la Tesorería Municipal, el realizar una búsqueda, clasificación e integración de la información requerida por el solicitante, se estaría contradiciendo lo dispuesto por el articulo 12 de la Ley de Transparencia y Acceso a la Información Pública del Estado de México…</w:t>
      </w:r>
    </w:p>
    <w:p w14:paraId="47FDECB9" w14:textId="221FA29F" w:rsidR="006D488D" w:rsidRPr="003B4DAF" w:rsidRDefault="006D488D" w:rsidP="00A554EA">
      <w:pPr>
        <w:tabs>
          <w:tab w:val="left" w:pos="4667"/>
        </w:tabs>
        <w:spacing w:line="360" w:lineRule="auto"/>
        <w:ind w:left="567" w:right="567"/>
        <w:jc w:val="both"/>
        <w:rPr>
          <w:rFonts w:ascii="Palatino Linotype" w:eastAsiaTheme="majorEastAsia" w:hAnsi="Palatino Linotype" w:cstheme="majorBidi"/>
          <w:i/>
          <w:iCs/>
        </w:rPr>
      </w:pPr>
      <w:r w:rsidRPr="003B4DAF">
        <w:rPr>
          <w:rFonts w:ascii="Palatino Linotype" w:eastAsiaTheme="majorEastAsia" w:hAnsi="Palatino Linotype" w:cstheme="majorBidi"/>
          <w:i/>
          <w:iCs/>
        </w:rPr>
        <w:t>…”</w:t>
      </w:r>
    </w:p>
    <w:p w14:paraId="736F49F3" w14:textId="77777777" w:rsidR="006D488D" w:rsidRPr="003B4DAF" w:rsidRDefault="006D488D" w:rsidP="00A554EA">
      <w:pPr>
        <w:tabs>
          <w:tab w:val="left" w:pos="4667"/>
        </w:tabs>
        <w:spacing w:line="360" w:lineRule="auto"/>
        <w:jc w:val="both"/>
        <w:rPr>
          <w:rFonts w:ascii="Palatino Linotype" w:eastAsiaTheme="majorEastAsia" w:hAnsi="Palatino Linotype" w:cstheme="majorBidi"/>
          <w:sz w:val="22"/>
          <w:szCs w:val="22"/>
        </w:rPr>
      </w:pPr>
    </w:p>
    <w:p w14:paraId="33C98D17" w14:textId="77777777" w:rsidR="006D488D" w:rsidRPr="003B4DAF" w:rsidRDefault="006D488D" w:rsidP="00A554EA">
      <w:pPr>
        <w:pStyle w:val="Ttulo2"/>
        <w:spacing w:before="0" w:after="0" w:line="360" w:lineRule="auto"/>
        <w:contextualSpacing/>
        <w:rPr>
          <w:rFonts w:ascii="Palatino Linotype" w:hAnsi="Palatino Linotype"/>
          <w:b/>
          <w:bCs/>
          <w:color w:val="auto"/>
          <w:sz w:val="22"/>
          <w:szCs w:val="22"/>
        </w:rPr>
      </w:pPr>
      <w:bookmarkStart w:id="6" w:name="_Toc210313690"/>
      <w:bookmarkEnd w:id="5"/>
      <w:r w:rsidRPr="003B4DAF">
        <w:rPr>
          <w:rFonts w:ascii="Palatino Linotype" w:hAnsi="Palatino Linotype"/>
          <w:b/>
          <w:bCs/>
          <w:color w:val="auto"/>
          <w:sz w:val="22"/>
          <w:szCs w:val="22"/>
        </w:rPr>
        <w:t>III. Interposición del Recurso de Revisión</w:t>
      </w:r>
      <w:bookmarkEnd w:id="6"/>
    </w:p>
    <w:p w14:paraId="5636742F"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sz w:val="22"/>
          <w:szCs w:val="22"/>
        </w:rPr>
      </w:pPr>
    </w:p>
    <w:p w14:paraId="02141E32" w14:textId="0DD003EA" w:rsidR="006D488D" w:rsidRPr="003B4DAF" w:rsidRDefault="006D488D" w:rsidP="00A554EA">
      <w:pPr>
        <w:autoSpaceDE w:val="0"/>
        <w:autoSpaceDN w:val="0"/>
        <w:adjustRightInd w:val="0"/>
        <w:spacing w:line="360" w:lineRule="auto"/>
        <w:contextualSpacing/>
        <w:jc w:val="both"/>
        <w:rPr>
          <w:rFonts w:ascii="Palatino Linotype" w:hAnsi="Palatino Linotype" w:cs="Tahoma"/>
          <w:sz w:val="22"/>
          <w:szCs w:val="22"/>
          <w:lang w:val="es-ES"/>
        </w:rPr>
      </w:pPr>
      <w:r w:rsidRPr="003B4DAF">
        <w:rPr>
          <w:rFonts w:ascii="Palatino Linotype" w:hAnsi="Palatino Linotype" w:cs="Tahoma"/>
          <w:sz w:val="22"/>
          <w:szCs w:val="22"/>
        </w:rPr>
        <w:t xml:space="preserve">Con fecha </w:t>
      </w:r>
      <w:r w:rsidR="003A69AA" w:rsidRPr="003B4DAF">
        <w:rPr>
          <w:rFonts w:ascii="Palatino Linotype" w:hAnsi="Palatino Linotype" w:cs="Tahoma"/>
          <w:sz w:val="22"/>
          <w:szCs w:val="22"/>
        </w:rPr>
        <w:t xml:space="preserve">siete de agosto </w:t>
      </w:r>
      <w:r w:rsidRPr="003B4DAF">
        <w:rPr>
          <w:rFonts w:ascii="Palatino Linotype" w:hAnsi="Palatino Linotype" w:cs="Tahoma"/>
          <w:sz w:val="22"/>
          <w:szCs w:val="22"/>
        </w:rPr>
        <w:t xml:space="preserve">de dos mil veinticinco, se recibió en este </w:t>
      </w:r>
      <w:r w:rsidRPr="003B4DAF">
        <w:rPr>
          <w:rFonts w:ascii="Palatino Linotype" w:eastAsia="Calibri" w:hAnsi="Palatino Linotype" w:cs="Tahoma"/>
          <w:sz w:val="22"/>
          <w:szCs w:val="22"/>
          <w:lang w:eastAsia="en-US"/>
        </w:rPr>
        <w:t xml:space="preserve">Instituto, a través del </w:t>
      </w:r>
      <w:r w:rsidRPr="003B4DAF">
        <w:rPr>
          <w:rFonts w:ascii="Palatino Linotype" w:hAnsi="Palatino Linotype" w:cs="Tahoma"/>
          <w:sz w:val="22"/>
          <w:szCs w:val="22"/>
          <w:lang w:val="es-ES"/>
        </w:rPr>
        <w:t>SAIMEX</w:t>
      </w:r>
      <w:r w:rsidRPr="003B4DAF">
        <w:rPr>
          <w:rFonts w:ascii="Palatino Linotype" w:hAnsi="Palatino Linotype" w:cs="Tahoma"/>
          <w:sz w:val="22"/>
          <w:szCs w:val="22"/>
        </w:rPr>
        <w:t>, el Recurso de Revisión interpuesto por la parte Recurrente, en contra de la respuesta del Ayuntamiento de Toluca, en los siguientes términos</w:t>
      </w:r>
      <w:r w:rsidRPr="003B4DAF">
        <w:rPr>
          <w:rFonts w:ascii="Palatino Linotype" w:hAnsi="Palatino Linotype" w:cs="Tahoma"/>
          <w:sz w:val="22"/>
          <w:szCs w:val="22"/>
          <w:lang w:val="es-ES"/>
        </w:rPr>
        <w:t>:</w:t>
      </w:r>
    </w:p>
    <w:p w14:paraId="58D725F3"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b/>
          <w:bCs/>
          <w:sz w:val="22"/>
          <w:szCs w:val="22"/>
          <w:lang w:val="es-ES"/>
        </w:rPr>
      </w:pPr>
    </w:p>
    <w:p w14:paraId="23C35059" w14:textId="77777777" w:rsidR="00A554EA" w:rsidRPr="003B4DAF" w:rsidRDefault="00A554EA" w:rsidP="00A554EA">
      <w:pPr>
        <w:autoSpaceDE w:val="0"/>
        <w:autoSpaceDN w:val="0"/>
        <w:adjustRightInd w:val="0"/>
        <w:spacing w:line="360" w:lineRule="auto"/>
        <w:contextualSpacing/>
        <w:jc w:val="both"/>
        <w:rPr>
          <w:rFonts w:ascii="Palatino Linotype" w:hAnsi="Palatino Linotype" w:cs="Tahoma"/>
          <w:b/>
          <w:bCs/>
          <w:sz w:val="22"/>
          <w:szCs w:val="22"/>
          <w:lang w:val="es-ES"/>
        </w:rPr>
      </w:pPr>
    </w:p>
    <w:p w14:paraId="50D7C78D" w14:textId="77777777" w:rsidR="006D488D" w:rsidRPr="003B4DAF" w:rsidRDefault="006D488D" w:rsidP="00A554EA">
      <w:pPr>
        <w:autoSpaceDE w:val="0"/>
        <w:autoSpaceDN w:val="0"/>
        <w:adjustRightInd w:val="0"/>
        <w:spacing w:line="360" w:lineRule="auto"/>
        <w:ind w:left="567" w:right="567"/>
        <w:contextualSpacing/>
        <w:jc w:val="both"/>
        <w:rPr>
          <w:rFonts w:ascii="Palatino Linotype" w:hAnsi="Palatino Linotype" w:cs="Tahoma"/>
          <w:bCs/>
          <w:i/>
          <w:iCs/>
        </w:rPr>
      </w:pPr>
      <w:r w:rsidRPr="003B4DAF">
        <w:rPr>
          <w:rFonts w:ascii="Palatino Linotype" w:hAnsi="Palatino Linotype" w:cs="Tahoma"/>
          <w:b/>
          <w:bCs/>
          <w:i/>
          <w:iCs/>
        </w:rPr>
        <w:t>ACTO IMPUGNADO</w:t>
      </w:r>
    </w:p>
    <w:p w14:paraId="010F48C3" w14:textId="16EE2EF1" w:rsidR="006D488D" w:rsidRPr="003B4DAF" w:rsidRDefault="006D488D" w:rsidP="00A554EA">
      <w:pPr>
        <w:spacing w:line="360" w:lineRule="auto"/>
        <w:ind w:left="567" w:right="567"/>
        <w:contextualSpacing/>
        <w:jc w:val="both"/>
        <w:rPr>
          <w:rFonts w:ascii="Palatino Linotype" w:hAnsi="Palatino Linotype" w:cs="Tahoma"/>
          <w:i/>
          <w:iCs/>
        </w:rPr>
      </w:pPr>
      <w:r w:rsidRPr="003B4DAF">
        <w:rPr>
          <w:rFonts w:ascii="Palatino Linotype" w:hAnsi="Palatino Linotype"/>
          <w:i/>
          <w:lang w:eastAsia="es-MX"/>
        </w:rPr>
        <w:t>“</w:t>
      </w:r>
      <w:r w:rsidR="003A69AA" w:rsidRPr="003B4DAF">
        <w:rPr>
          <w:rFonts w:ascii="Palatino Linotype" w:hAnsi="Palatino Linotype"/>
          <w:i/>
          <w:lang w:eastAsia="es-MX"/>
        </w:rPr>
        <w:t>Solo saber negar la información no entrega los solicitado son el municipio más opaco</w:t>
      </w:r>
      <w:r w:rsidRPr="003B4DAF">
        <w:rPr>
          <w:rFonts w:ascii="Palatino Linotype" w:hAnsi="Palatino Linotype"/>
          <w:i/>
          <w:iCs/>
          <w:color w:val="000000"/>
        </w:rPr>
        <w:t>.</w:t>
      </w:r>
      <w:r w:rsidRPr="003B4DAF">
        <w:rPr>
          <w:rFonts w:ascii="Palatino Linotype" w:hAnsi="Palatino Linotype" w:cs="Tahoma"/>
          <w:i/>
          <w:iCs/>
        </w:rPr>
        <w:t>” (Sic)</w:t>
      </w:r>
    </w:p>
    <w:p w14:paraId="426720D4" w14:textId="77777777" w:rsidR="006D488D" w:rsidRPr="003B4DAF" w:rsidRDefault="006D488D" w:rsidP="00A554EA">
      <w:pPr>
        <w:autoSpaceDE w:val="0"/>
        <w:autoSpaceDN w:val="0"/>
        <w:adjustRightInd w:val="0"/>
        <w:spacing w:line="360" w:lineRule="auto"/>
        <w:ind w:left="567" w:right="567"/>
        <w:contextualSpacing/>
        <w:jc w:val="both"/>
        <w:rPr>
          <w:rFonts w:ascii="Palatino Linotype" w:hAnsi="Palatino Linotype" w:cs="Tahoma"/>
          <w:i/>
          <w:iCs/>
        </w:rPr>
      </w:pPr>
    </w:p>
    <w:p w14:paraId="09634381" w14:textId="77777777" w:rsidR="006D488D" w:rsidRPr="003B4DAF" w:rsidRDefault="006D488D" w:rsidP="00A554EA">
      <w:pPr>
        <w:autoSpaceDE w:val="0"/>
        <w:autoSpaceDN w:val="0"/>
        <w:adjustRightInd w:val="0"/>
        <w:spacing w:line="360" w:lineRule="auto"/>
        <w:ind w:left="567" w:right="567"/>
        <w:contextualSpacing/>
        <w:jc w:val="both"/>
        <w:rPr>
          <w:rFonts w:ascii="Palatino Linotype" w:hAnsi="Palatino Linotype" w:cs="Tahoma"/>
          <w:b/>
          <w:i/>
          <w:iCs/>
        </w:rPr>
      </w:pPr>
      <w:r w:rsidRPr="003B4DAF">
        <w:rPr>
          <w:rFonts w:ascii="Palatino Linotype" w:hAnsi="Palatino Linotype" w:cs="Tahoma"/>
          <w:b/>
          <w:i/>
          <w:iCs/>
        </w:rPr>
        <w:t>RAZONES O MOTIVOS DE LA INCONFORMIDAD</w:t>
      </w:r>
    </w:p>
    <w:p w14:paraId="40216CAD" w14:textId="4A8B8767" w:rsidR="006D488D" w:rsidRPr="003B4DAF" w:rsidRDefault="006D488D" w:rsidP="00A554EA">
      <w:pPr>
        <w:spacing w:line="360" w:lineRule="auto"/>
        <w:ind w:left="567" w:right="567"/>
        <w:contextualSpacing/>
        <w:jc w:val="both"/>
        <w:rPr>
          <w:rFonts w:ascii="Palatino Linotype" w:hAnsi="Palatino Linotype" w:cs="Tahoma"/>
          <w:i/>
          <w:iCs/>
        </w:rPr>
      </w:pPr>
      <w:r w:rsidRPr="003B4DAF">
        <w:rPr>
          <w:rFonts w:ascii="Palatino Linotype" w:hAnsi="Palatino Linotype"/>
          <w:i/>
          <w:iCs/>
          <w:color w:val="000000"/>
        </w:rPr>
        <w:t>“</w:t>
      </w:r>
      <w:r w:rsidR="003A69AA" w:rsidRPr="003B4DAF">
        <w:rPr>
          <w:rFonts w:ascii="Palatino Linotype" w:hAnsi="Palatino Linotype"/>
          <w:i/>
          <w:iCs/>
          <w:color w:val="000000"/>
        </w:rPr>
        <w:t>Solo saber negar la información no entrega los solicitado son el municipio más opaco</w:t>
      </w:r>
      <w:r w:rsidRPr="003B4DAF">
        <w:rPr>
          <w:rFonts w:ascii="Palatino Linotype" w:hAnsi="Palatino Linotype"/>
          <w:i/>
          <w:iCs/>
          <w:color w:val="000000"/>
        </w:rPr>
        <w:t>.</w:t>
      </w:r>
      <w:r w:rsidRPr="003B4DAF">
        <w:rPr>
          <w:rFonts w:ascii="Palatino Linotype" w:hAnsi="Palatino Linotype" w:cs="Tahoma"/>
          <w:i/>
          <w:iCs/>
        </w:rPr>
        <w:t>” (Sic)</w:t>
      </w:r>
    </w:p>
    <w:p w14:paraId="5D530741" w14:textId="77777777" w:rsidR="006D488D" w:rsidRPr="003B4DAF" w:rsidRDefault="006D488D" w:rsidP="00A554EA">
      <w:pPr>
        <w:spacing w:line="360" w:lineRule="auto"/>
        <w:ind w:left="567" w:right="567"/>
        <w:contextualSpacing/>
        <w:jc w:val="both"/>
        <w:rPr>
          <w:rFonts w:ascii="Palatino Linotype" w:hAnsi="Palatino Linotype" w:cs="Tahoma"/>
          <w:i/>
          <w:iCs/>
        </w:rPr>
      </w:pPr>
    </w:p>
    <w:p w14:paraId="554A43B8" w14:textId="77777777" w:rsidR="006D488D" w:rsidRPr="003B4DAF" w:rsidRDefault="006D488D" w:rsidP="00A554EA">
      <w:pPr>
        <w:pStyle w:val="Ttulo2"/>
        <w:spacing w:before="0" w:after="0" w:line="360" w:lineRule="auto"/>
        <w:contextualSpacing/>
        <w:rPr>
          <w:rFonts w:ascii="Palatino Linotype" w:eastAsia="Batang" w:hAnsi="Palatino Linotype"/>
          <w:b/>
          <w:bCs/>
          <w:color w:val="auto"/>
          <w:sz w:val="22"/>
          <w:szCs w:val="22"/>
        </w:rPr>
      </w:pPr>
      <w:bookmarkStart w:id="7" w:name="_Toc210313691"/>
      <w:r w:rsidRPr="003B4DAF">
        <w:rPr>
          <w:rFonts w:ascii="Palatino Linotype" w:hAnsi="Palatino Linotype"/>
          <w:b/>
          <w:bCs/>
          <w:color w:val="auto"/>
          <w:sz w:val="22"/>
          <w:szCs w:val="22"/>
        </w:rPr>
        <w:t xml:space="preserve">IV. </w:t>
      </w:r>
      <w:r w:rsidRPr="003B4DAF">
        <w:rPr>
          <w:rFonts w:ascii="Palatino Linotype" w:eastAsia="Batang" w:hAnsi="Palatino Linotype"/>
          <w:b/>
          <w:bCs/>
          <w:color w:val="auto"/>
          <w:sz w:val="22"/>
          <w:szCs w:val="22"/>
        </w:rPr>
        <w:t xml:space="preserve">Trámite del </w:t>
      </w:r>
      <w:r w:rsidRPr="003B4DAF">
        <w:rPr>
          <w:rFonts w:ascii="Palatino Linotype" w:hAnsi="Palatino Linotype"/>
          <w:b/>
          <w:bCs/>
          <w:color w:val="auto"/>
          <w:sz w:val="22"/>
          <w:szCs w:val="22"/>
        </w:rPr>
        <w:t xml:space="preserve">Recurso de Revisión </w:t>
      </w:r>
      <w:r w:rsidRPr="003B4DAF">
        <w:rPr>
          <w:rFonts w:ascii="Palatino Linotype" w:eastAsia="Batang" w:hAnsi="Palatino Linotype"/>
          <w:b/>
          <w:bCs/>
          <w:color w:val="auto"/>
          <w:sz w:val="22"/>
          <w:szCs w:val="22"/>
        </w:rPr>
        <w:t>ante este Instituto</w:t>
      </w:r>
      <w:bookmarkEnd w:id="7"/>
    </w:p>
    <w:p w14:paraId="1D14D465" w14:textId="77777777" w:rsidR="006D488D" w:rsidRPr="003B4DAF" w:rsidRDefault="006D488D" w:rsidP="00A554EA">
      <w:pPr>
        <w:spacing w:line="360" w:lineRule="auto"/>
        <w:contextualSpacing/>
        <w:jc w:val="both"/>
        <w:rPr>
          <w:rFonts w:ascii="Palatino Linotype" w:eastAsia="Batang" w:hAnsi="Palatino Linotype" w:cs="Tahoma"/>
          <w:b/>
          <w:bCs/>
          <w:sz w:val="22"/>
          <w:szCs w:val="22"/>
        </w:rPr>
      </w:pPr>
    </w:p>
    <w:p w14:paraId="4324E568" w14:textId="6C0AE38A" w:rsidR="006D488D" w:rsidRPr="003B4DAF" w:rsidRDefault="006D488D" w:rsidP="00A554EA">
      <w:pPr>
        <w:spacing w:line="360" w:lineRule="auto"/>
        <w:contextualSpacing/>
        <w:jc w:val="both"/>
        <w:rPr>
          <w:rFonts w:ascii="Palatino Linotype" w:eastAsia="Batang" w:hAnsi="Palatino Linotype" w:cs="Tahoma"/>
          <w:bCs/>
          <w:sz w:val="22"/>
          <w:szCs w:val="22"/>
        </w:rPr>
      </w:pPr>
      <w:r w:rsidRPr="003B4DAF">
        <w:rPr>
          <w:rFonts w:ascii="Palatino Linotype" w:hAnsi="Palatino Linotype"/>
          <w:b/>
          <w:bCs/>
          <w:sz w:val="22"/>
          <w:szCs w:val="22"/>
        </w:rPr>
        <w:t xml:space="preserve">a) Turno del Recurso de Revisión. </w:t>
      </w:r>
      <w:r w:rsidRPr="003B4DAF">
        <w:rPr>
          <w:rFonts w:ascii="Palatino Linotype" w:eastAsia="Batang" w:hAnsi="Palatino Linotype" w:cs="Tahoma"/>
          <w:bCs/>
          <w:sz w:val="22"/>
          <w:szCs w:val="22"/>
          <w:lang w:val="es-ES_tradnl"/>
        </w:rPr>
        <w:t xml:space="preserve">El </w:t>
      </w:r>
      <w:r w:rsidR="003A69AA" w:rsidRPr="003B4DAF">
        <w:rPr>
          <w:rFonts w:ascii="Palatino Linotype" w:hAnsi="Palatino Linotype" w:cs="Tahoma"/>
          <w:sz w:val="22"/>
          <w:szCs w:val="22"/>
        </w:rPr>
        <w:t xml:space="preserve">siete de agosto </w:t>
      </w:r>
      <w:r w:rsidRPr="003B4DAF">
        <w:rPr>
          <w:rFonts w:ascii="Palatino Linotype" w:hAnsi="Palatino Linotype" w:cs="Tahoma"/>
          <w:sz w:val="22"/>
          <w:szCs w:val="22"/>
        </w:rPr>
        <w:t>de dos mil veinticinco</w:t>
      </w:r>
      <w:r w:rsidRPr="003B4DAF">
        <w:rPr>
          <w:rFonts w:ascii="Palatino Linotype" w:eastAsia="Batang" w:hAnsi="Palatino Linotype" w:cs="Tahoma"/>
          <w:bCs/>
          <w:sz w:val="22"/>
          <w:szCs w:val="22"/>
          <w:lang w:val="es-ES_tradnl"/>
        </w:rPr>
        <w:t xml:space="preserve">, el SAIMEX, asignó el número de expediente </w:t>
      </w:r>
      <w:r w:rsidRPr="003B4DAF">
        <w:rPr>
          <w:rFonts w:ascii="Palatino Linotype" w:eastAsia="Batang" w:hAnsi="Palatino Linotype" w:cs="Tahoma"/>
          <w:b/>
          <w:sz w:val="22"/>
          <w:szCs w:val="22"/>
          <w:lang w:val="es-ES_tradnl"/>
        </w:rPr>
        <w:t>0</w:t>
      </w:r>
      <w:r w:rsidR="003A69AA" w:rsidRPr="003B4DAF">
        <w:rPr>
          <w:rFonts w:ascii="Palatino Linotype" w:eastAsia="Batang" w:hAnsi="Palatino Linotype" w:cs="Tahoma"/>
          <w:b/>
          <w:sz w:val="22"/>
          <w:szCs w:val="22"/>
          <w:lang w:val="es-ES_tradnl"/>
        </w:rPr>
        <w:t>931</w:t>
      </w:r>
      <w:r w:rsidRPr="003B4DAF">
        <w:rPr>
          <w:rFonts w:ascii="Palatino Linotype" w:eastAsia="Batang" w:hAnsi="Palatino Linotype" w:cs="Tahoma"/>
          <w:b/>
          <w:sz w:val="22"/>
          <w:szCs w:val="22"/>
          <w:lang w:val="es-ES_tradnl"/>
        </w:rPr>
        <w:t>6/INFOEM/IP/RR/2025</w:t>
      </w:r>
      <w:r w:rsidRPr="003B4DA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3B4DAF">
        <w:rPr>
          <w:rFonts w:ascii="Palatino Linotype" w:eastAsia="Batang" w:hAnsi="Palatino Linotype" w:cs="Tahoma"/>
          <w:b/>
          <w:sz w:val="22"/>
          <w:szCs w:val="22"/>
          <w:lang w:val="es-ES_tradnl"/>
        </w:rPr>
        <w:t>Luis Gustavo Parra Noriega</w:t>
      </w:r>
      <w:r w:rsidRPr="003B4DAF">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7981A1E4" w14:textId="77777777" w:rsidR="006D488D" w:rsidRPr="003B4DAF" w:rsidRDefault="006D488D" w:rsidP="00A554EA">
      <w:pPr>
        <w:spacing w:line="360" w:lineRule="auto"/>
        <w:contextualSpacing/>
        <w:jc w:val="both"/>
        <w:rPr>
          <w:rFonts w:ascii="Palatino Linotype" w:eastAsia="Batang" w:hAnsi="Palatino Linotype" w:cs="Tahoma"/>
          <w:b/>
          <w:bCs/>
          <w:sz w:val="22"/>
          <w:szCs w:val="22"/>
        </w:rPr>
      </w:pPr>
    </w:p>
    <w:p w14:paraId="7D2CA33B" w14:textId="75B9C372" w:rsidR="006D488D" w:rsidRPr="003B4DAF" w:rsidRDefault="006D488D" w:rsidP="00A554EA">
      <w:pPr>
        <w:spacing w:line="360" w:lineRule="auto"/>
        <w:contextualSpacing/>
        <w:jc w:val="both"/>
        <w:rPr>
          <w:rFonts w:ascii="Palatino Linotype" w:eastAsia="Batang" w:hAnsi="Palatino Linotype" w:cs="Tahoma"/>
          <w:bCs/>
          <w:sz w:val="22"/>
          <w:szCs w:val="22"/>
          <w:lang w:val="es-ES_tradnl"/>
        </w:rPr>
      </w:pPr>
      <w:r w:rsidRPr="003B4DAF">
        <w:rPr>
          <w:rFonts w:ascii="Palatino Linotype" w:eastAsia="Batang" w:hAnsi="Palatino Linotype" w:cs="Tahoma"/>
          <w:b/>
          <w:bCs/>
          <w:sz w:val="22"/>
          <w:szCs w:val="22"/>
        </w:rPr>
        <w:t xml:space="preserve">b) Admisión del </w:t>
      </w:r>
      <w:r w:rsidRPr="003B4DAF">
        <w:rPr>
          <w:rFonts w:ascii="Palatino Linotype" w:hAnsi="Palatino Linotype" w:cs="Tahoma"/>
          <w:b/>
          <w:sz w:val="22"/>
          <w:szCs w:val="22"/>
        </w:rPr>
        <w:t>Recurso de Revisión</w:t>
      </w:r>
      <w:r w:rsidRPr="003B4DAF">
        <w:rPr>
          <w:rFonts w:ascii="Palatino Linotype" w:eastAsia="Batang" w:hAnsi="Palatino Linotype" w:cs="Tahoma"/>
          <w:b/>
          <w:bCs/>
          <w:sz w:val="22"/>
          <w:szCs w:val="22"/>
          <w:lang w:val="es-ES_tradnl"/>
        </w:rPr>
        <w:t xml:space="preserve">. </w:t>
      </w:r>
      <w:r w:rsidRPr="003B4DAF">
        <w:rPr>
          <w:rFonts w:ascii="Palatino Linotype" w:eastAsia="Batang" w:hAnsi="Palatino Linotype" w:cs="Tahoma"/>
          <w:bCs/>
          <w:sz w:val="22"/>
          <w:szCs w:val="22"/>
          <w:lang w:val="es-ES_tradnl"/>
        </w:rPr>
        <w:t xml:space="preserve">El </w:t>
      </w:r>
      <w:r w:rsidR="003A69AA" w:rsidRPr="003B4DAF">
        <w:rPr>
          <w:rFonts w:ascii="Palatino Linotype" w:eastAsia="Batang" w:hAnsi="Palatino Linotype" w:cs="Tahoma"/>
          <w:bCs/>
          <w:sz w:val="22"/>
          <w:szCs w:val="22"/>
          <w:lang w:val="es-ES_tradnl"/>
        </w:rPr>
        <w:t xml:space="preserve">doce de agosto </w:t>
      </w:r>
      <w:r w:rsidRPr="003B4DAF">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47F14EE" w14:textId="77777777" w:rsidR="006D488D" w:rsidRPr="003B4DAF" w:rsidRDefault="006D488D" w:rsidP="00A554EA">
      <w:pPr>
        <w:spacing w:line="360" w:lineRule="auto"/>
        <w:contextualSpacing/>
        <w:jc w:val="both"/>
        <w:rPr>
          <w:rFonts w:ascii="Palatino Linotype" w:eastAsia="Batang" w:hAnsi="Palatino Linotype" w:cs="Tahoma"/>
          <w:bCs/>
          <w:sz w:val="22"/>
          <w:szCs w:val="22"/>
          <w:lang w:val="es-ES_tradnl"/>
        </w:rPr>
      </w:pPr>
    </w:p>
    <w:p w14:paraId="0A52CA1A" w14:textId="2558733D" w:rsidR="006D488D" w:rsidRPr="003B4DAF" w:rsidRDefault="006D488D" w:rsidP="00A554EA">
      <w:pPr>
        <w:autoSpaceDE w:val="0"/>
        <w:autoSpaceDN w:val="0"/>
        <w:adjustRightInd w:val="0"/>
        <w:spacing w:line="360" w:lineRule="auto"/>
        <w:contextualSpacing/>
        <w:jc w:val="both"/>
        <w:rPr>
          <w:rFonts w:ascii="Palatino Linotype" w:hAnsi="Palatino Linotype" w:cs="Tahoma"/>
          <w:sz w:val="22"/>
          <w:szCs w:val="22"/>
        </w:rPr>
      </w:pPr>
      <w:r w:rsidRPr="003B4DAF">
        <w:rPr>
          <w:rFonts w:ascii="Palatino Linotype" w:hAnsi="Palatino Linotype" w:cs="Tahoma"/>
          <w:b/>
          <w:sz w:val="22"/>
          <w:szCs w:val="22"/>
        </w:rPr>
        <w:t xml:space="preserve">c) Informe Justificado. </w:t>
      </w:r>
      <w:r w:rsidRPr="003B4DAF">
        <w:rPr>
          <w:rFonts w:ascii="Palatino Linotype" w:hAnsi="Palatino Linotype" w:cs="Tahoma"/>
          <w:sz w:val="22"/>
          <w:szCs w:val="22"/>
        </w:rPr>
        <w:t xml:space="preserve">El </w:t>
      </w:r>
      <w:r w:rsidR="003A69AA" w:rsidRPr="003B4DAF">
        <w:rPr>
          <w:rFonts w:ascii="Palatino Linotype" w:hAnsi="Palatino Linotype" w:cs="Tahoma"/>
          <w:sz w:val="22"/>
          <w:szCs w:val="22"/>
        </w:rPr>
        <w:t xml:space="preserve">veintiuno </w:t>
      </w:r>
      <w:r w:rsidRPr="003B4DAF">
        <w:rPr>
          <w:rFonts w:ascii="Palatino Linotype" w:hAnsi="Palatino Linotype" w:cs="Tahoma"/>
          <w:sz w:val="22"/>
          <w:szCs w:val="22"/>
        </w:rPr>
        <w:t>de agosto de dos mil veinticinco, se recibió, a través del SAIMEX, el informe justificado</w:t>
      </w:r>
      <w:r w:rsidRPr="003B4DAF">
        <w:rPr>
          <w:rFonts w:ascii="Palatino Linotype" w:hAnsi="Palatino Linotype" w:cs="Tahoma"/>
          <w:bCs/>
          <w:color w:val="0D0D0D" w:themeColor="text1" w:themeTint="F2"/>
          <w:sz w:val="22"/>
          <w:szCs w:val="22"/>
        </w:rPr>
        <w:t xml:space="preserve"> </w:t>
      </w:r>
      <w:r w:rsidRPr="003B4DAF">
        <w:rPr>
          <w:rFonts w:ascii="Palatino Linotype" w:hAnsi="Palatino Linotype" w:cs="Tahoma"/>
          <w:sz w:val="22"/>
          <w:szCs w:val="22"/>
        </w:rPr>
        <w:t>por medio de la digitalización de los documentos siguientes:</w:t>
      </w:r>
    </w:p>
    <w:p w14:paraId="2520008B"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sz w:val="22"/>
          <w:szCs w:val="22"/>
        </w:rPr>
      </w:pPr>
    </w:p>
    <w:p w14:paraId="57C197B5" w14:textId="371BF725" w:rsidR="006D488D" w:rsidRPr="003B4DAF" w:rsidRDefault="006D488D" w:rsidP="00A554EA">
      <w:pPr>
        <w:autoSpaceDE w:val="0"/>
        <w:autoSpaceDN w:val="0"/>
        <w:adjustRightInd w:val="0"/>
        <w:spacing w:line="360" w:lineRule="auto"/>
        <w:jc w:val="both"/>
        <w:rPr>
          <w:rFonts w:ascii="Palatino Linotype" w:hAnsi="Palatino Linotype" w:cs="Tahoma"/>
          <w:sz w:val="22"/>
          <w:szCs w:val="22"/>
        </w:rPr>
      </w:pPr>
      <w:r w:rsidRPr="003B4DAF">
        <w:rPr>
          <w:rFonts w:ascii="Palatino Linotype" w:hAnsi="Palatino Linotype" w:cs="Tahoma"/>
          <w:sz w:val="22"/>
          <w:szCs w:val="22"/>
        </w:rPr>
        <w:t>i) Oficio número 202010000/2</w:t>
      </w:r>
      <w:r w:rsidR="00DA6261" w:rsidRPr="003B4DAF">
        <w:rPr>
          <w:rFonts w:ascii="Palatino Linotype" w:hAnsi="Palatino Linotype" w:cs="Tahoma"/>
          <w:sz w:val="22"/>
          <w:szCs w:val="22"/>
        </w:rPr>
        <w:t>825</w:t>
      </w:r>
      <w:r w:rsidRPr="003B4DAF">
        <w:rPr>
          <w:rFonts w:ascii="Palatino Linotype" w:hAnsi="Palatino Linotype" w:cs="Tahoma"/>
          <w:sz w:val="22"/>
          <w:szCs w:val="22"/>
        </w:rPr>
        <w:t xml:space="preserve">/2025, del </w:t>
      </w:r>
      <w:r w:rsidR="00DA6261" w:rsidRPr="003B4DAF">
        <w:rPr>
          <w:rFonts w:ascii="Palatino Linotype" w:hAnsi="Palatino Linotype" w:cs="Tahoma"/>
          <w:sz w:val="22"/>
          <w:szCs w:val="22"/>
        </w:rPr>
        <w:t xml:space="preserve">quince de agosto </w:t>
      </w:r>
      <w:r w:rsidRPr="003B4DAF">
        <w:rPr>
          <w:rFonts w:ascii="Palatino Linotype" w:hAnsi="Palatino Linotype" w:cs="Tahoma"/>
          <w:sz w:val="22"/>
          <w:szCs w:val="22"/>
        </w:rPr>
        <w:t xml:space="preserve">de la presenta anualidad, suscrito por el Tesorero Municipal, dirigido al Titular de la Unidad de Transparencia, a través del cual </w:t>
      </w:r>
      <w:r w:rsidR="00DA6261" w:rsidRPr="003B4DAF">
        <w:rPr>
          <w:rFonts w:ascii="Palatino Linotype" w:hAnsi="Palatino Linotype" w:cs="Tahoma"/>
          <w:sz w:val="22"/>
          <w:szCs w:val="22"/>
        </w:rPr>
        <w:t xml:space="preserve">esencialmente </w:t>
      </w:r>
      <w:r w:rsidRPr="003B4DAF">
        <w:rPr>
          <w:rFonts w:ascii="Palatino Linotype" w:hAnsi="Palatino Linotype" w:cs="Tahoma"/>
          <w:sz w:val="22"/>
          <w:szCs w:val="22"/>
        </w:rPr>
        <w:t>ratifica su respuesta inicial.</w:t>
      </w:r>
    </w:p>
    <w:p w14:paraId="38E5D1F9" w14:textId="77777777" w:rsidR="006D488D" w:rsidRPr="003B4DAF" w:rsidRDefault="006D488D" w:rsidP="00A554EA">
      <w:pPr>
        <w:spacing w:line="360" w:lineRule="auto"/>
      </w:pPr>
    </w:p>
    <w:p w14:paraId="63B5016A"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b/>
          <w:sz w:val="22"/>
          <w:szCs w:val="22"/>
        </w:rPr>
      </w:pPr>
      <w:r w:rsidRPr="003B4DAF">
        <w:t xml:space="preserve">ii) </w:t>
      </w:r>
      <w:r w:rsidRPr="003B4DAF">
        <w:rPr>
          <w:rFonts w:ascii="Palatino Linotype" w:hAnsi="Palatino Linotype" w:cs="Tahoma"/>
          <w:sz w:val="22"/>
          <w:szCs w:val="22"/>
        </w:rPr>
        <w:t>Oficio sin número, de fecha de su presentación, suscrito por el Titular de la Unidad de Transparencia, dirigido al Comisionado Ponente, a través del cual señala que la Tesorería Municipal ratifica su respuesta inicial.</w:t>
      </w:r>
    </w:p>
    <w:p w14:paraId="3204360C" w14:textId="77777777" w:rsidR="006D488D" w:rsidRPr="003B4DAF" w:rsidRDefault="006D488D" w:rsidP="00A554EA">
      <w:pPr>
        <w:spacing w:line="360" w:lineRule="auto"/>
        <w:contextualSpacing/>
        <w:jc w:val="both"/>
        <w:rPr>
          <w:rFonts w:ascii="Palatino Linotype" w:hAnsi="Palatino Linotype" w:cs="Tahoma"/>
          <w:b/>
          <w:sz w:val="22"/>
          <w:szCs w:val="22"/>
        </w:rPr>
      </w:pPr>
    </w:p>
    <w:p w14:paraId="669A2B78" w14:textId="342F368E" w:rsidR="006D488D" w:rsidRPr="003B4DAF" w:rsidRDefault="006D488D" w:rsidP="00A554EA">
      <w:pPr>
        <w:spacing w:line="360" w:lineRule="auto"/>
        <w:contextualSpacing/>
        <w:jc w:val="both"/>
        <w:rPr>
          <w:rFonts w:ascii="Palatino Linotype" w:eastAsia="Batang" w:hAnsi="Palatino Linotype" w:cs="Tahoma"/>
          <w:b/>
          <w:bCs/>
          <w:color w:val="000000"/>
          <w:sz w:val="22"/>
          <w:szCs w:val="22"/>
          <w:lang w:eastAsia="en-US"/>
        </w:rPr>
      </w:pPr>
      <w:r w:rsidRPr="003B4DAF">
        <w:rPr>
          <w:rFonts w:ascii="Palatino Linotype" w:hAnsi="Palatino Linotype" w:cs="Tahoma"/>
          <w:b/>
          <w:sz w:val="22"/>
          <w:szCs w:val="22"/>
        </w:rPr>
        <w:t xml:space="preserve">d) </w:t>
      </w:r>
      <w:r w:rsidRPr="003B4DAF">
        <w:rPr>
          <w:rFonts w:ascii="Palatino Linotype" w:hAnsi="Palatino Linotype" w:cs="Tahoma"/>
          <w:b/>
          <w:bCs/>
          <w:sz w:val="22"/>
          <w:szCs w:val="22"/>
        </w:rPr>
        <w:t xml:space="preserve">Vista del informe justificado. </w:t>
      </w:r>
      <w:r w:rsidRPr="003B4DAF">
        <w:rPr>
          <w:rFonts w:ascii="Palatino Linotype" w:hAnsi="Palatino Linotype" w:cs="Tahoma"/>
          <w:sz w:val="22"/>
          <w:szCs w:val="22"/>
        </w:rPr>
        <w:t>El d</w:t>
      </w:r>
      <w:r w:rsidR="00DA6261" w:rsidRPr="003B4DAF">
        <w:rPr>
          <w:rFonts w:ascii="Palatino Linotype" w:hAnsi="Palatino Linotype" w:cs="Tahoma"/>
          <w:sz w:val="22"/>
          <w:szCs w:val="22"/>
        </w:rPr>
        <w:t>iez</w:t>
      </w:r>
      <w:r w:rsidRPr="003B4DAF">
        <w:rPr>
          <w:rFonts w:ascii="Palatino Linotype" w:hAnsi="Palatino Linotype" w:cs="Tahoma"/>
          <w:sz w:val="22"/>
          <w:szCs w:val="22"/>
        </w:rPr>
        <w:t xml:space="preserve"> de septiembre de dos mil veinticinco, se dictó acuerdo mediante el cual </w:t>
      </w:r>
      <w:r w:rsidRPr="003B4DAF">
        <w:rPr>
          <w:rFonts w:ascii="Palatino Linotype" w:hAnsi="Palatino Linotype" w:cs="Tahoma"/>
          <w:bCs/>
          <w:sz w:val="22"/>
          <w:szCs w:val="22"/>
        </w:rPr>
        <w:t>se puso a la vista del Particular, el Informe Justificado</w:t>
      </w:r>
      <w:r w:rsidRPr="003B4DAF">
        <w:rPr>
          <w:rFonts w:ascii="Palatino Linotype" w:hAnsi="Palatino Linotype" w:cs="Tahoma"/>
          <w:sz w:val="22"/>
          <w:szCs w:val="22"/>
        </w:rPr>
        <w:t xml:space="preserve"> entregado por el Sujeto Obligado, el cual fue notificado, a través del SAIMEX, el mismo día. </w:t>
      </w:r>
    </w:p>
    <w:p w14:paraId="438294E0"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b/>
          <w:sz w:val="22"/>
          <w:szCs w:val="22"/>
        </w:rPr>
      </w:pPr>
    </w:p>
    <w:p w14:paraId="03964001" w14:textId="733CEA17" w:rsidR="006D488D" w:rsidRPr="003B4DAF" w:rsidRDefault="006D488D" w:rsidP="00A554EA">
      <w:pPr>
        <w:spacing w:line="360" w:lineRule="auto"/>
        <w:contextualSpacing/>
        <w:jc w:val="both"/>
        <w:rPr>
          <w:rFonts w:ascii="Palatino Linotype" w:hAnsi="Palatino Linotype" w:cs="Tahoma"/>
          <w:b/>
          <w:bCs/>
          <w:sz w:val="22"/>
          <w:szCs w:val="22"/>
        </w:rPr>
      </w:pPr>
      <w:bookmarkStart w:id="8" w:name="_Hlk145410441"/>
      <w:r w:rsidRPr="003B4DAF">
        <w:rPr>
          <w:rFonts w:ascii="Palatino Linotype" w:hAnsi="Palatino Linotype" w:cs="Tahoma"/>
          <w:b/>
          <w:bCs/>
          <w:sz w:val="22"/>
          <w:szCs w:val="22"/>
        </w:rPr>
        <w:t>e) Cierre de instrucción.</w:t>
      </w:r>
      <w:r w:rsidRPr="003B4DAF">
        <w:rPr>
          <w:rFonts w:ascii="Palatino Linotype" w:hAnsi="Palatino Linotype" w:cs="Tahoma"/>
          <w:bCs/>
          <w:sz w:val="22"/>
          <w:szCs w:val="22"/>
        </w:rPr>
        <w:t xml:space="preserve"> El </w:t>
      </w:r>
      <w:r w:rsidR="007563EC" w:rsidRPr="003B4DAF">
        <w:rPr>
          <w:rFonts w:ascii="Palatino Linotype" w:hAnsi="Palatino Linotype" w:cs="Tahoma"/>
          <w:bCs/>
          <w:sz w:val="22"/>
          <w:szCs w:val="22"/>
        </w:rPr>
        <w:t xml:space="preserve">treinta </w:t>
      </w:r>
      <w:r w:rsidRPr="003B4DAF">
        <w:rPr>
          <w:rFonts w:ascii="Palatino Linotype" w:hAnsi="Palatino Linotype" w:cs="Tahoma"/>
          <w:bCs/>
          <w:sz w:val="22"/>
          <w:szCs w:val="22"/>
        </w:rPr>
        <w:t xml:space="preserve">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3B4DAF">
        <w:rPr>
          <w:rFonts w:ascii="Palatino Linotype" w:hAnsi="Palatino Linotype" w:cs="Tahoma"/>
          <w:bCs/>
          <w:sz w:val="22"/>
          <w:szCs w:val="22"/>
          <w:lang w:val="es-ES"/>
        </w:rPr>
        <w:t>acto que fue notificado a las partes, mediante el SAIMEX, el mismo día.</w:t>
      </w:r>
    </w:p>
    <w:bookmarkEnd w:id="8"/>
    <w:p w14:paraId="362205AF"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b/>
          <w:sz w:val="22"/>
          <w:szCs w:val="22"/>
          <w:lang w:val="es-ES"/>
        </w:rPr>
      </w:pPr>
    </w:p>
    <w:p w14:paraId="5240E191" w14:textId="77777777" w:rsidR="006D488D" w:rsidRPr="003B4DAF" w:rsidRDefault="006D488D" w:rsidP="00A554EA">
      <w:pPr>
        <w:spacing w:line="360" w:lineRule="auto"/>
        <w:contextualSpacing/>
        <w:jc w:val="both"/>
        <w:rPr>
          <w:rFonts w:ascii="Palatino Linotype" w:hAnsi="Palatino Linotype" w:cs="Tahoma"/>
          <w:color w:val="000000"/>
          <w:sz w:val="22"/>
          <w:szCs w:val="22"/>
        </w:rPr>
      </w:pPr>
      <w:r w:rsidRPr="003B4DA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E1A4D19" w14:textId="77777777" w:rsidR="006D488D" w:rsidRPr="003B4DAF" w:rsidRDefault="006D488D" w:rsidP="00A554EA">
      <w:pPr>
        <w:spacing w:line="360" w:lineRule="auto"/>
        <w:contextualSpacing/>
      </w:pPr>
    </w:p>
    <w:p w14:paraId="720C6E41" w14:textId="77777777" w:rsidR="006D488D" w:rsidRPr="003B4DAF" w:rsidRDefault="006D488D" w:rsidP="00A554EA">
      <w:pPr>
        <w:pStyle w:val="Ttulo1"/>
        <w:spacing w:before="0" w:after="0" w:line="360" w:lineRule="auto"/>
        <w:contextualSpacing/>
        <w:jc w:val="center"/>
        <w:rPr>
          <w:rFonts w:ascii="Palatino Linotype" w:hAnsi="Palatino Linotype"/>
          <w:b/>
          <w:bCs/>
          <w:color w:val="auto"/>
          <w:sz w:val="22"/>
          <w:szCs w:val="22"/>
        </w:rPr>
      </w:pPr>
      <w:bookmarkStart w:id="9" w:name="_Toc210313692"/>
      <w:r w:rsidRPr="003B4DAF">
        <w:rPr>
          <w:rFonts w:ascii="Palatino Linotype" w:hAnsi="Palatino Linotype"/>
          <w:b/>
          <w:bCs/>
          <w:color w:val="auto"/>
          <w:sz w:val="22"/>
          <w:szCs w:val="22"/>
        </w:rPr>
        <w:t>C O N S I D E R A N D O S</w:t>
      </w:r>
      <w:bookmarkEnd w:id="9"/>
    </w:p>
    <w:p w14:paraId="61EE99F7" w14:textId="77777777" w:rsidR="006D488D" w:rsidRPr="003B4DAF" w:rsidRDefault="006D488D" w:rsidP="00A554EA">
      <w:pPr>
        <w:spacing w:line="360" w:lineRule="auto"/>
        <w:contextualSpacing/>
      </w:pPr>
    </w:p>
    <w:p w14:paraId="1995775E" w14:textId="77777777" w:rsidR="006D488D" w:rsidRPr="003B4DAF" w:rsidRDefault="006D488D" w:rsidP="00A554EA">
      <w:pPr>
        <w:pStyle w:val="Ttulo2"/>
        <w:spacing w:before="0" w:after="0" w:line="360" w:lineRule="auto"/>
        <w:contextualSpacing/>
        <w:rPr>
          <w:rFonts w:ascii="Palatino Linotype" w:hAnsi="Palatino Linotype"/>
          <w:b/>
          <w:bCs/>
          <w:color w:val="auto"/>
          <w:sz w:val="22"/>
          <w:szCs w:val="22"/>
        </w:rPr>
      </w:pPr>
      <w:bookmarkStart w:id="10" w:name="_Toc210313693"/>
      <w:r w:rsidRPr="003B4DAF">
        <w:rPr>
          <w:rFonts w:ascii="Palatino Linotype" w:hAnsi="Palatino Linotype"/>
          <w:b/>
          <w:bCs/>
          <w:color w:val="auto"/>
          <w:sz w:val="22"/>
          <w:szCs w:val="22"/>
        </w:rPr>
        <w:t>PRIMERO. Competencia</w:t>
      </w:r>
      <w:bookmarkEnd w:id="10"/>
    </w:p>
    <w:p w14:paraId="16111470" w14:textId="77777777" w:rsidR="006D488D" w:rsidRPr="003B4DAF" w:rsidRDefault="006D488D" w:rsidP="00A554EA">
      <w:pPr>
        <w:spacing w:line="360" w:lineRule="auto"/>
        <w:contextualSpacing/>
        <w:rPr>
          <w:rFonts w:eastAsia="Batang"/>
        </w:rPr>
      </w:pPr>
    </w:p>
    <w:p w14:paraId="2849C483" w14:textId="77777777" w:rsidR="006D488D" w:rsidRPr="003B4DAF" w:rsidRDefault="006D488D" w:rsidP="00A554EA">
      <w:pPr>
        <w:spacing w:line="360" w:lineRule="auto"/>
        <w:contextualSpacing/>
        <w:jc w:val="both"/>
        <w:rPr>
          <w:rFonts w:ascii="Palatino Linotype" w:hAnsi="Palatino Linotype" w:cs="Tahoma"/>
          <w:bCs/>
          <w:sz w:val="22"/>
          <w:szCs w:val="22"/>
        </w:rPr>
      </w:pPr>
      <w:r w:rsidRPr="003B4DAF">
        <w:rPr>
          <w:rFonts w:ascii="Palatino Linotype" w:hAnsi="Palatino Linotype" w:cs="Tahoma"/>
          <w:bCs/>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104956E" w14:textId="77777777" w:rsidR="006D488D" w:rsidRPr="003B4DAF" w:rsidRDefault="006D488D" w:rsidP="00A554EA">
      <w:pPr>
        <w:spacing w:line="360" w:lineRule="auto"/>
        <w:contextualSpacing/>
        <w:jc w:val="both"/>
        <w:rPr>
          <w:rFonts w:ascii="Palatino Linotype" w:eastAsia="Calibri" w:hAnsi="Palatino Linotype" w:cs="Tahoma"/>
          <w:bCs/>
          <w:color w:val="000000"/>
          <w:sz w:val="22"/>
          <w:szCs w:val="22"/>
          <w:lang w:eastAsia="es-ES_tradnl"/>
        </w:rPr>
      </w:pPr>
    </w:p>
    <w:p w14:paraId="17E56D83" w14:textId="77777777" w:rsidR="006D488D" w:rsidRPr="003B4DAF" w:rsidRDefault="006D488D" w:rsidP="00A554EA">
      <w:pPr>
        <w:pStyle w:val="Ttulo2"/>
        <w:spacing w:before="0" w:after="0" w:line="360" w:lineRule="auto"/>
        <w:contextualSpacing/>
        <w:rPr>
          <w:rFonts w:ascii="Palatino Linotype" w:hAnsi="Palatino Linotype"/>
          <w:b/>
          <w:bCs/>
          <w:color w:val="auto"/>
          <w:sz w:val="22"/>
          <w:szCs w:val="22"/>
          <w:lang w:val="es-ES"/>
        </w:rPr>
      </w:pPr>
      <w:bookmarkStart w:id="11" w:name="_Toc210313694"/>
      <w:r w:rsidRPr="003B4DAF">
        <w:rPr>
          <w:rFonts w:ascii="Palatino Linotype" w:eastAsia="Calibri" w:hAnsi="Palatino Linotype"/>
          <w:b/>
          <w:bCs/>
          <w:color w:val="auto"/>
          <w:sz w:val="22"/>
          <w:szCs w:val="22"/>
          <w:lang w:val="es-ES" w:eastAsia="es-MX"/>
        </w:rPr>
        <w:t xml:space="preserve">SEGUNDO. </w:t>
      </w:r>
      <w:r w:rsidRPr="003B4DAF">
        <w:rPr>
          <w:rFonts w:ascii="Palatino Linotype" w:hAnsi="Palatino Linotype"/>
          <w:b/>
          <w:bCs/>
          <w:color w:val="auto"/>
          <w:sz w:val="22"/>
          <w:szCs w:val="22"/>
          <w:lang w:val="es-ES"/>
        </w:rPr>
        <w:t>Causales de improcedencia y sobreseimiento</w:t>
      </w:r>
      <w:bookmarkEnd w:id="11"/>
    </w:p>
    <w:p w14:paraId="57A6F82E"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b/>
          <w:sz w:val="22"/>
          <w:szCs w:val="22"/>
          <w:lang w:val="es-ES"/>
        </w:rPr>
      </w:pPr>
    </w:p>
    <w:p w14:paraId="3B8BE264" w14:textId="77777777" w:rsidR="006D488D" w:rsidRPr="003B4DAF" w:rsidRDefault="006D488D" w:rsidP="00A554EA">
      <w:pPr>
        <w:autoSpaceDE w:val="0"/>
        <w:autoSpaceDN w:val="0"/>
        <w:adjustRightInd w:val="0"/>
        <w:spacing w:line="360" w:lineRule="auto"/>
        <w:contextualSpacing/>
        <w:jc w:val="both"/>
        <w:rPr>
          <w:rFonts w:ascii="Palatino Linotype" w:hAnsi="Palatino Linotype" w:cs="Tahoma"/>
          <w:sz w:val="22"/>
          <w:szCs w:val="22"/>
          <w:lang w:val="es-ES"/>
        </w:rPr>
      </w:pPr>
      <w:r w:rsidRPr="003B4DA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B4DAF">
        <w:rPr>
          <w:rFonts w:ascii="Palatino Linotype" w:hAnsi="Palatino Linotype" w:cs="Tahoma"/>
          <w:i/>
          <w:sz w:val="22"/>
          <w:szCs w:val="22"/>
          <w:lang w:val="es-ES"/>
        </w:rPr>
        <w:t>litis</w:t>
      </w:r>
      <w:r w:rsidRPr="003B4DAF">
        <w:rPr>
          <w:rFonts w:ascii="Palatino Linotype" w:hAnsi="Palatino Linotype" w:cs="Tahoma"/>
          <w:sz w:val="22"/>
          <w:szCs w:val="22"/>
          <w:lang w:val="es-ES"/>
        </w:rPr>
        <w:t>, es necesario estudiar las causales de improcedencia y sobreseimiento que se adviertan, para determinar lo que en Derecho proceda.</w:t>
      </w:r>
    </w:p>
    <w:p w14:paraId="0078DC77" w14:textId="77777777" w:rsidR="006D488D" w:rsidRPr="003B4DAF" w:rsidRDefault="006D488D" w:rsidP="00A554EA">
      <w:pPr>
        <w:spacing w:line="360" w:lineRule="auto"/>
        <w:contextualSpacing/>
        <w:jc w:val="both"/>
        <w:rPr>
          <w:rFonts w:ascii="Palatino Linotype" w:eastAsia="Calibri" w:hAnsi="Palatino Linotype" w:cs="Tahoma"/>
          <w:b/>
          <w:color w:val="000000"/>
          <w:sz w:val="22"/>
          <w:szCs w:val="22"/>
          <w:lang w:val="es-ES" w:eastAsia="es-MX"/>
        </w:rPr>
      </w:pPr>
    </w:p>
    <w:p w14:paraId="37AE754E" w14:textId="77777777" w:rsidR="006D488D" w:rsidRPr="003B4DAF" w:rsidRDefault="006D488D" w:rsidP="00A554EA">
      <w:pPr>
        <w:spacing w:line="360" w:lineRule="auto"/>
        <w:contextualSpacing/>
        <w:jc w:val="both"/>
        <w:rPr>
          <w:rFonts w:ascii="Palatino Linotype" w:hAnsi="Palatino Linotype" w:cs="Tahoma"/>
          <w:b/>
          <w:bCs/>
          <w:sz w:val="22"/>
          <w:szCs w:val="22"/>
          <w:lang w:val="es-ES"/>
        </w:rPr>
      </w:pPr>
      <w:r w:rsidRPr="003B4DAF">
        <w:rPr>
          <w:rFonts w:ascii="Palatino Linotype" w:hAnsi="Palatino Linotype" w:cs="Tahoma"/>
          <w:b/>
          <w:bCs/>
          <w:sz w:val="22"/>
          <w:szCs w:val="22"/>
          <w:lang w:val="es-ES"/>
        </w:rPr>
        <w:t>Causales de improcedencia</w:t>
      </w:r>
    </w:p>
    <w:p w14:paraId="3AD71465" w14:textId="77777777" w:rsidR="006D488D" w:rsidRPr="003B4DAF" w:rsidRDefault="006D488D" w:rsidP="00A554EA">
      <w:pPr>
        <w:spacing w:line="360" w:lineRule="auto"/>
        <w:contextualSpacing/>
        <w:jc w:val="both"/>
        <w:rPr>
          <w:rFonts w:ascii="Palatino Linotype" w:hAnsi="Palatino Linotype" w:cs="Tahoma"/>
          <w:sz w:val="22"/>
          <w:szCs w:val="22"/>
          <w:lang w:val="es-ES"/>
        </w:rPr>
      </w:pPr>
    </w:p>
    <w:p w14:paraId="68362A93" w14:textId="77777777" w:rsidR="006D488D" w:rsidRPr="003B4DAF" w:rsidRDefault="006D488D" w:rsidP="00A554EA">
      <w:pPr>
        <w:spacing w:line="360" w:lineRule="auto"/>
        <w:contextualSpacing/>
        <w:jc w:val="both"/>
        <w:rPr>
          <w:rFonts w:ascii="Palatino Linotype" w:hAnsi="Palatino Linotype" w:cs="Tahoma"/>
          <w:sz w:val="22"/>
          <w:szCs w:val="22"/>
          <w:lang w:val="es-ES"/>
        </w:rPr>
      </w:pPr>
      <w:r w:rsidRPr="003B4DA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10C38FA" w14:textId="77777777" w:rsidR="006D488D" w:rsidRPr="003B4DAF" w:rsidRDefault="006D488D" w:rsidP="00A554EA">
      <w:pPr>
        <w:spacing w:line="360" w:lineRule="auto"/>
        <w:contextualSpacing/>
        <w:jc w:val="both"/>
        <w:rPr>
          <w:rFonts w:ascii="Palatino Linotype" w:hAnsi="Palatino Linotype" w:cs="Tahoma"/>
          <w:sz w:val="22"/>
          <w:szCs w:val="22"/>
          <w:lang w:val="es-ES"/>
        </w:rPr>
      </w:pPr>
    </w:p>
    <w:p w14:paraId="4CF26DB1" w14:textId="77777777" w:rsidR="006D488D" w:rsidRPr="003B4DAF" w:rsidRDefault="006D488D" w:rsidP="00A554EA">
      <w:pPr>
        <w:spacing w:line="360" w:lineRule="auto"/>
        <w:contextualSpacing/>
        <w:jc w:val="both"/>
        <w:rPr>
          <w:rFonts w:ascii="Palatino Linotype" w:hAnsi="Palatino Linotype" w:cs="Tahoma"/>
          <w:sz w:val="22"/>
          <w:szCs w:val="22"/>
          <w:lang w:val="es-ES"/>
        </w:rPr>
      </w:pPr>
      <w:r w:rsidRPr="003B4DA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B66F2DA" w14:textId="77777777" w:rsidR="006D488D" w:rsidRPr="003B4DAF" w:rsidRDefault="006D488D" w:rsidP="00A554EA">
      <w:pPr>
        <w:spacing w:line="360" w:lineRule="auto"/>
        <w:contextualSpacing/>
        <w:jc w:val="both"/>
        <w:rPr>
          <w:rFonts w:ascii="Palatino Linotype" w:hAnsi="Palatino Linotype" w:cs="Tahoma"/>
          <w:sz w:val="22"/>
          <w:szCs w:val="22"/>
          <w:lang w:val="es-ES"/>
        </w:rPr>
      </w:pPr>
    </w:p>
    <w:p w14:paraId="077F4215" w14:textId="32FCE905" w:rsidR="006D488D" w:rsidRPr="003B4DAF" w:rsidRDefault="006D488D" w:rsidP="00A554EA">
      <w:pPr>
        <w:spacing w:line="360" w:lineRule="auto"/>
        <w:contextualSpacing/>
        <w:jc w:val="both"/>
        <w:rPr>
          <w:rFonts w:ascii="Palatino Linotype" w:hAnsi="Palatino Linotype" w:cs="Tahoma"/>
          <w:sz w:val="22"/>
          <w:szCs w:val="22"/>
          <w:lang w:val="es-ES"/>
        </w:rPr>
      </w:pPr>
      <w:r w:rsidRPr="003B4DAF">
        <w:rPr>
          <w:rFonts w:ascii="Palatino Linotype" w:hAnsi="Palatino Linotype" w:cs="Tahoma"/>
          <w:sz w:val="22"/>
          <w:szCs w:val="22"/>
          <w:lang w:val="es-ES"/>
        </w:rPr>
        <w:t xml:space="preserve">Asimismo, se actualiza la causal de procedencia del Recurso de Revisión establecida en el artículo 179, fracción </w:t>
      </w:r>
      <w:r w:rsidR="00DA6261" w:rsidRPr="003B4DAF">
        <w:rPr>
          <w:rFonts w:ascii="Palatino Linotype" w:hAnsi="Palatino Linotype" w:cs="Tahoma"/>
          <w:sz w:val="22"/>
          <w:szCs w:val="22"/>
          <w:lang w:val="es-ES"/>
        </w:rPr>
        <w:t>III</w:t>
      </w:r>
      <w:r w:rsidRPr="003B4DAF">
        <w:rPr>
          <w:rFonts w:ascii="Palatino Linotype" w:hAnsi="Palatino Linotype" w:cs="Tahoma"/>
          <w:sz w:val="22"/>
          <w:szCs w:val="22"/>
          <w:lang w:val="es-ES"/>
        </w:rPr>
        <w:t>, de la Ley de Transparencia y Acceso a la Información Pública del Estado de México y Municipios, referente a la</w:t>
      </w:r>
      <w:r w:rsidR="00DA6261" w:rsidRPr="003B4DAF">
        <w:rPr>
          <w:rFonts w:ascii="Palatino Linotype" w:hAnsi="Palatino Linotype" w:cs="Tahoma"/>
          <w:sz w:val="22"/>
          <w:szCs w:val="22"/>
          <w:lang w:val="es-ES"/>
        </w:rPr>
        <w:t xml:space="preserve"> declaración de inexistencia de la </w:t>
      </w:r>
      <w:r w:rsidRPr="003B4DAF">
        <w:rPr>
          <w:rFonts w:ascii="Palatino Linotype" w:hAnsi="Palatino Linotype" w:cs="Tahoma"/>
          <w:sz w:val="22"/>
          <w:szCs w:val="22"/>
          <w:lang w:val="es-ES"/>
        </w:rPr>
        <w:t>información.</w:t>
      </w:r>
    </w:p>
    <w:p w14:paraId="3816CB8A" w14:textId="77777777" w:rsidR="006D488D" w:rsidRPr="003B4DAF" w:rsidRDefault="006D488D" w:rsidP="00A554EA">
      <w:pPr>
        <w:spacing w:line="360" w:lineRule="auto"/>
        <w:contextualSpacing/>
        <w:jc w:val="both"/>
        <w:rPr>
          <w:rFonts w:ascii="Palatino Linotype" w:hAnsi="Palatino Linotype" w:cs="Tahoma"/>
          <w:sz w:val="22"/>
          <w:szCs w:val="22"/>
          <w:lang w:val="es-ES"/>
        </w:rPr>
      </w:pPr>
    </w:p>
    <w:p w14:paraId="5D8B318A" w14:textId="77777777" w:rsidR="006D488D" w:rsidRPr="003B4DAF" w:rsidRDefault="006D488D" w:rsidP="00A554EA">
      <w:pPr>
        <w:spacing w:line="360" w:lineRule="auto"/>
        <w:contextualSpacing/>
        <w:jc w:val="both"/>
        <w:rPr>
          <w:rFonts w:ascii="Palatino Linotype" w:hAnsi="Palatino Linotype" w:cs="Tahoma"/>
          <w:sz w:val="22"/>
          <w:szCs w:val="22"/>
        </w:rPr>
      </w:pPr>
      <w:r w:rsidRPr="003B4DAF">
        <w:rPr>
          <w:rFonts w:ascii="Palatino Linotype" w:hAnsi="Palatino Linotype" w:cs="Tahoma"/>
          <w:b/>
          <w:bCs/>
          <w:sz w:val="22"/>
          <w:szCs w:val="22"/>
        </w:rPr>
        <w:t>Causales de sobreseimiento</w:t>
      </w:r>
    </w:p>
    <w:p w14:paraId="3FF8751E" w14:textId="77777777" w:rsidR="006D488D" w:rsidRPr="003B4DAF" w:rsidRDefault="006D488D" w:rsidP="00A554EA">
      <w:pPr>
        <w:spacing w:line="360" w:lineRule="auto"/>
        <w:contextualSpacing/>
        <w:jc w:val="both"/>
        <w:rPr>
          <w:rFonts w:ascii="Palatino Linotype" w:hAnsi="Palatino Linotype" w:cs="Tahoma"/>
          <w:sz w:val="22"/>
          <w:szCs w:val="22"/>
        </w:rPr>
      </w:pPr>
    </w:p>
    <w:p w14:paraId="39B1CEA6" w14:textId="77777777" w:rsidR="006D488D" w:rsidRPr="003B4DAF" w:rsidRDefault="006D488D" w:rsidP="00A554EA">
      <w:pPr>
        <w:spacing w:line="360" w:lineRule="auto"/>
        <w:contextualSpacing/>
        <w:jc w:val="both"/>
        <w:rPr>
          <w:rFonts w:ascii="Palatino Linotype" w:hAnsi="Palatino Linotype" w:cs="Tahoma"/>
          <w:sz w:val="22"/>
          <w:szCs w:val="22"/>
        </w:rPr>
      </w:pPr>
      <w:r w:rsidRPr="003B4DAF">
        <w:rPr>
          <w:rFonts w:ascii="Palatino Linotype" w:hAnsi="Palatino Linotype" w:cs="Tahoma"/>
          <w:sz w:val="22"/>
          <w:szCs w:val="22"/>
        </w:rPr>
        <w:t>Por ser de previo y especial pronunciamiento, este Instituto analiza si se actualiza alguna causal de sobreseimiento.</w:t>
      </w:r>
    </w:p>
    <w:p w14:paraId="75518C78" w14:textId="77777777" w:rsidR="006D488D" w:rsidRPr="003B4DAF" w:rsidRDefault="006D488D" w:rsidP="00A554EA">
      <w:pPr>
        <w:spacing w:line="360" w:lineRule="auto"/>
        <w:contextualSpacing/>
        <w:jc w:val="both"/>
        <w:rPr>
          <w:rFonts w:ascii="Palatino Linotype" w:hAnsi="Palatino Linotype" w:cs="Tahoma"/>
          <w:sz w:val="22"/>
          <w:szCs w:val="22"/>
        </w:rPr>
      </w:pPr>
    </w:p>
    <w:p w14:paraId="5486D373" w14:textId="77777777" w:rsidR="006D488D" w:rsidRPr="003B4DAF" w:rsidRDefault="006D488D" w:rsidP="00A554EA">
      <w:pPr>
        <w:spacing w:line="360" w:lineRule="auto"/>
        <w:contextualSpacing/>
        <w:jc w:val="both"/>
        <w:rPr>
          <w:rFonts w:ascii="Palatino Linotype" w:hAnsi="Palatino Linotype" w:cs="Tahoma"/>
          <w:sz w:val="22"/>
          <w:szCs w:val="22"/>
        </w:rPr>
      </w:pPr>
      <w:r w:rsidRPr="003B4DAF">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36AC65B" w14:textId="77777777" w:rsidR="006D488D" w:rsidRPr="003B4DAF" w:rsidRDefault="006D488D" w:rsidP="00A554EA">
      <w:pPr>
        <w:spacing w:line="360" w:lineRule="auto"/>
        <w:contextualSpacing/>
        <w:jc w:val="both"/>
        <w:rPr>
          <w:rFonts w:ascii="Palatino Linotype" w:hAnsi="Palatino Linotype" w:cs="Tahoma"/>
          <w:sz w:val="22"/>
          <w:szCs w:val="22"/>
        </w:rPr>
      </w:pPr>
    </w:p>
    <w:p w14:paraId="42487A42" w14:textId="77777777" w:rsidR="006D488D" w:rsidRPr="003B4DAF" w:rsidRDefault="006D488D" w:rsidP="00A554EA">
      <w:pPr>
        <w:tabs>
          <w:tab w:val="left" w:pos="4962"/>
        </w:tabs>
        <w:spacing w:line="360" w:lineRule="auto"/>
        <w:contextualSpacing/>
        <w:jc w:val="both"/>
        <w:rPr>
          <w:rFonts w:ascii="Palatino Linotype" w:hAnsi="Palatino Linotype" w:cs="Tahoma"/>
          <w:sz w:val="22"/>
          <w:szCs w:val="22"/>
          <w:lang w:val="es-ES"/>
        </w:rPr>
      </w:pPr>
      <w:r w:rsidRPr="003B4DAF">
        <w:rPr>
          <w:rFonts w:ascii="Palatino Linotype" w:hAnsi="Palatino Linotype" w:cs="Tahoma"/>
          <w:bCs/>
          <w:sz w:val="22"/>
          <w:szCs w:val="22"/>
          <w:lang w:val="es-ES"/>
        </w:rPr>
        <w:lastRenderedPageBreak/>
        <w:t xml:space="preserve">Por tales motivos, </w:t>
      </w:r>
      <w:r w:rsidRPr="003B4DAF">
        <w:rPr>
          <w:rFonts w:ascii="Palatino Linotype" w:hAnsi="Palatino Linotype" w:cs="Tahoma"/>
          <w:sz w:val="22"/>
          <w:szCs w:val="22"/>
          <w:lang w:val="es-ES"/>
        </w:rPr>
        <w:t xml:space="preserve">se considera procedente entrar al fondo del presente asunto. </w:t>
      </w:r>
    </w:p>
    <w:p w14:paraId="718710B6" w14:textId="77777777" w:rsidR="006D488D" w:rsidRPr="003B4DAF" w:rsidRDefault="006D488D" w:rsidP="00A554EA">
      <w:pPr>
        <w:tabs>
          <w:tab w:val="left" w:pos="4962"/>
        </w:tabs>
        <w:spacing w:line="360" w:lineRule="auto"/>
        <w:contextualSpacing/>
        <w:jc w:val="both"/>
        <w:rPr>
          <w:rFonts w:ascii="Palatino Linotype" w:hAnsi="Palatino Linotype" w:cs="Tahoma"/>
          <w:sz w:val="22"/>
          <w:szCs w:val="22"/>
          <w:lang w:val="es-ES"/>
        </w:rPr>
      </w:pPr>
    </w:p>
    <w:p w14:paraId="6599150B" w14:textId="77777777" w:rsidR="006D488D" w:rsidRPr="003B4DAF" w:rsidRDefault="006D488D" w:rsidP="00A554EA">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2" w:name="_Toc203518780"/>
      <w:bookmarkStart w:id="13" w:name="_Toc210313695"/>
      <w:r w:rsidRPr="003B4DAF">
        <w:rPr>
          <w:rFonts w:ascii="Palatino Linotype" w:eastAsia="Calibri" w:hAnsi="Palatino Linotype"/>
          <w:b/>
          <w:bCs/>
          <w:color w:val="auto"/>
          <w:sz w:val="22"/>
          <w:szCs w:val="22"/>
          <w:lang w:val="es-ES" w:eastAsia="es-ES_tradnl"/>
        </w:rPr>
        <w:t>TERCERO. Determinación de la Controversia</w:t>
      </w:r>
      <w:bookmarkEnd w:id="12"/>
      <w:bookmarkEnd w:id="13"/>
    </w:p>
    <w:p w14:paraId="3CC93BCF" w14:textId="77777777" w:rsidR="006D488D" w:rsidRPr="003B4DAF" w:rsidRDefault="006D488D" w:rsidP="00A554EA">
      <w:pPr>
        <w:spacing w:line="360" w:lineRule="auto"/>
        <w:contextualSpacing/>
        <w:jc w:val="both"/>
        <w:rPr>
          <w:rFonts w:ascii="Palatino Linotype" w:hAnsi="Palatino Linotype" w:cs="Tahoma"/>
          <w:sz w:val="22"/>
          <w:szCs w:val="22"/>
          <w:lang w:val="es-ES"/>
        </w:rPr>
      </w:pPr>
    </w:p>
    <w:p w14:paraId="0F0854DC" w14:textId="356D8526" w:rsidR="006D488D" w:rsidRPr="003B4DAF" w:rsidRDefault="006D488D" w:rsidP="00A554EA">
      <w:pPr>
        <w:spacing w:line="360" w:lineRule="auto"/>
        <w:contextualSpacing/>
        <w:jc w:val="both"/>
        <w:rPr>
          <w:rFonts w:ascii="Palatino Linotype" w:hAnsi="Palatino Linotype" w:cs="Tahoma"/>
          <w:sz w:val="22"/>
          <w:szCs w:val="22"/>
        </w:rPr>
      </w:pPr>
      <w:r w:rsidRPr="003B4DAF">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00DA6261" w:rsidRPr="003B4DAF">
        <w:rPr>
          <w:rFonts w:ascii="Palatino Linotype" w:hAnsi="Palatino Linotype" w:cs="Tahoma"/>
          <w:sz w:val="22"/>
          <w:szCs w:val="22"/>
        </w:rPr>
        <w:t xml:space="preserve"> respecto de la Tesorería Municipal, sobre los ejercicios fiscales 2022, 2023 y 2024</w:t>
      </w:r>
      <w:r w:rsidRPr="003B4DAF">
        <w:rPr>
          <w:rFonts w:ascii="Palatino Linotype" w:hAnsi="Palatino Linotype" w:cs="Tahoma"/>
          <w:sz w:val="22"/>
          <w:szCs w:val="22"/>
        </w:rPr>
        <w:t>, los documentos que dieran cuenta de lo siguiente:</w:t>
      </w:r>
    </w:p>
    <w:p w14:paraId="4DAC3B89" w14:textId="77777777" w:rsidR="006D488D" w:rsidRPr="003B4DAF" w:rsidRDefault="006D488D" w:rsidP="00A554EA">
      <w:pPr>
        <w:spacing w:line="360" w:lineRule="auto"/>
        <w:contextualSpacing/>
        <w:jc w:val="both"/>
        <w:rPr>
          <w:rFonts w:ascii="Palatino Linotype" w:hAnsi="Palatino Linotype" w:cs="Tahoma"/>
          <w:sz w:val="22"/>
          <w:szCs w:val="22"/>
        </w:rPr>
      </w:pPr>
    </w:p>
    <w:p w14:paraId="269D1548" w14:textId="4B44793E" w:rsidR="006D488D" w:rsidRPr="003B4DAF" w:rsidRDefault="00DA6261" w:rsidP="00A554EA">
      <w:pPr>
        <w:pStyle w:val="Prrafodelista"/>
        <w:numPr>
          <w:ilvl w:val="0"/>
          <w:numId w:val="4"/>
        </w:numPr>
        <w:spacing w:line="360" w:lineRule="auto"/>
        <w:jc w:val="both"/>
        <w:rPr>
          <w:rFonts w:ascii="Palatino Linotype" w:hAnsi="Palatino Linotype" w:cs="Tahoma"/>
          <w:sz w:val="22"/>
          <w:szCs w:val="22"/>
        </w:rPr>
      </w:pPr>
      <w:r w:rsidRPr="003B4DAF">
        <w:rPr>
          <w:rFonts w:ascii="Palatino Linotype" w:hAnsi="Palatino Linotype" w:cs="Tahoma"/>
          <w:sz w:val="22"/>
          <w:szCs w:val="22"/>
        </w:rPr>
        <w:t>Los escritos de petición recibidos; y</w:t>
      </w:r>
    </w:p>
    <w:p w14:paraId="2867D887" w14:textId="74F1FF64" w:rsidR="00DA6261" w:rsidRPr="003B4DAF" w:rsidRDefault="00DA6261" w:rsidP="00A554EA">
      <w:pPr>
        <w:pStyle w:val="Prrafodelista"/>
        <w:numPr>
          <w:ilvl w:val="0"/>
          <w:numId w:val="4"/>
        </w:numPr>
        <w:spacing w:line="360" w:lineRule="auto"/>
        <w:jc w:val="both"/>
        <w:rPr>
          <w:rFonts w:ascii="Palatino Linotype" w:hAnsi="Palatino Linotype" w:cs="Tahoma"/>
          <w:sz w:val="22"/>
          <w:szCs w:val="22"/>
        </w:rPr>
      </w:pPr>
      <w:r w:rsidRPr="003B4DAF">
        <w:rPr>
          <w:rFonts w:ascii="Palatino Linotype" w:hAnsi="Palatino Linotype" w:cs="Tahoma"/>
          <w:sz w:val="22"/>
          <w:szCs w:val="22"/>
        </w:rPr>
        <w:t>Las respuestas proporcionadas.</w:t>
      </w:r>
    </w:p>
    <w:p w14:paraId="2A63EF6B" w14:textId="77777777" w:rsidR="00DA6261" w:rsidRPr="003B4DAF" w:rsidRDefault="00DA6261" w:rsidP="00A554EA">
      <w:pPr>
        <w:spacing w:line="360" w:lineRule="auto"/>
        <w:contextualSpacing/>
        <w:jc w:val="both"/>
        <w:rPr>
          <w:rFonts w:ascii="Palatino Linotype" w:hAnsi="Palatino Linotype"/>
          <w:color w:val="000000"/>
          <w:sz w:val="22"/>
          <w:szCs w:val="22"/>
          <w:lang w:eastAsia="es-ES_tradnl"/>
        </w:rPr>
      </w:pPr>
    </w:p>
    <w:p w14:paraId="7346223A" w14:textId="647CA6AB" w:rsidR="006D488D" w:rsidRPr="003B4DAF" w:rsidRDefault="006D488D" w:rsidP="00A554EA">
      <w:pPr>
        <w:spacing w:line="360" w:lineRule="auto"/>
        <w:contextualSpacing/>
        <w:jc w:val="both"/>
        <w:rPr>
          <w:rFonts w:ascii="Palatino Linotype" w:hAnsi="Palatino Linotype"/>
          <w:b/>
          <w:bCs/>
          <w:color w:val="0D0D0D"/>
          <w:sz w:val="22"/>
          <w:szCs w:val="22"/>
        </w:rPr>
      </w:pPr>
      <w:r w:rsidRPr="003B4DAF">
        <w:rPr>
          <w:rFonts w:ascii="Palatino Linotype" w:hAnsi="Palatino Linotype"/>
          <w:color w:val="000000"/>
          <w:sz w:val="22"/>
          <w:szCs w:val="22"/>
        </w:rPr>
        <w:t>En respuesta, el Sujeto Obligado, a través de</w:t>
      </w:r>
      <w:r w:rsidR="00DA6261" w:rsidRPr="003B4DAF">
        <w:rPr>
          <w:rFonts w:ascii="Palatino Linotype" w:hAnsi="Palatino Linotype"/>
          <w:color w:val="000000"/>
          <w:sz w:val="22"/>
          <w:szCs w:val="22"/>
        </w:rPr>
        <w:t xml:space="preserve"> </w:t>
      </w:r>
      <w:r w:rsidRPr="003B4DAF">
        <w:rPr>
          <w:rFonts w:ascii="Palatino Linotype" w:hAnsi="Palatino Linotype"/>
          <w:color w:val="000000"/>
          <w:sz w:val="22"/>
          <w:szCs w:val="22"/>
        </w:rPr>
        <w:t>la</w:t>
      </w:r>
      <w:r w:rsidR="001B5ABF" w:rsidRPr="003B4DAF">
        <w:rPr>
          <w:rFonts w:ascii="Palatino Linotype" w:hAnsi="Palatino Linotype"/>
          <w:color w:val="000000"/>
          <w:sz w:val="22"/>
          <w:szCs w:val="22"/>
        </w:rPr>
        <w:t xml:space="preserve"> propia</w:t>
      </w:r>
      <w:r w:rsidR="00DA6261" w:rsidRPr="003B4DAF">
        <w:rPr>
          <w:rFonts w:ascii="Palatino Linotype" w:hAnsi="Palatino Linotype"/>
          <w:color w:val="000000"/>
          <w:sz w:val="22"/>
          <w:szCs w:val="22"/>
        </w:rPr>
        <w:t xml:space="preserve"> Tesorería Municipal informó</w:t>
      </w:r>
      <w:r w:rsidR="001B5ABF" w:rsidRPr="003B4DAF">
        <w:rPr>
          <w:rFonts w:ascii="Palatino Linotype" w:hAnsi="Palatino Linotype"/>
          <w:color w:val="000000"/>
          <w:sz w:val="22"/>
          <w:szCs w:val="22"/>
        </w:rPr>
        <w:t>,</w:t>
      </w:r>
      <w:r w:rsidR="00DA6261" w:rsidRPr="003B4DAF">
        <w:rPr>
          <w:rFonts w:ascii="Palatino Linotype" w:hAnsi="Palatino Linotype"/>
          <w:color w:val="000000"/>
          <w:sz w:val="22"/>
          <w:szCs w:val="22"/>
        </w:rPr>
        <w:t xml:space="preserve"> que dentro de </w:t>
      </w:r>
      <w:r w:rsidR="001B5ABF" w:rsidRPr="003B4DAF">
        <w:rPr>
          <w:rFonts w:ascii="Palatino Linotype" w:hAnsi="Palatino Linotype"/>
          <w:color w:val="000000"/>
          <w:sz w:val="22"/>
          <w:szCs w:val="22"/>
        </w:rPr>
        <w:t>las</w:t>
      </w:r>
      <w:r w:rsidR="00DA6261" w:rsidRPr="003B4DAF">
        <w:rPr>
          <w:rFonts w:ascii="Palatino Linotype" w:hAnsi="Palatino Linotype"/>
          <w:color w:val="000000"/>
          <w:sz w:val="22"/>
          <w:szCs w:val="22"/>
        </w:rPr>
        <w:t xml:space="preserve"> atribuciones </w:t>
      </w:r>
      <w:r w:rsidR="001B5ABF" w:rsidRPr="003B4DAF">
        <w:rPr>
          <w:rFonts w:ascii="Palatino Linotype" w:hAnsi="Palatino Linotype"/>
          <w:color w:val="000000"/>
          <w:sz w:val="22"/>
          <w:szCs w:val="22"/>
        </w:rPr>
        <w:t>de dicha área no exist</w:t>
      </w:r>
      <w:r w:rsidR="00C54A86" w:rsidRPr="003B4DAF">
        <w:rPr>
          <w:rFonts w:ascii="Palatino Linotype" w:hAnsi="Palatino Linotype"/>
          <w:color w:val="000000"/>
          <w:sz w:val="22"/>
          <w:szCs w:val="22"/>
        </w:rPr>
        <w:t xml:space="preserve">ía </w:t>
      </w:r>
      <w:r w:rsidR="001B5ABF" w:rsidRPr="003B4DAF">
        <w:rPr>
          <w:rFonts w:ascii="Palatino Linotype" w:hAnsi="Palatino Linotype"/>
          <w:color w:val="000000"/>
          <w:sz w:val="22"/>
          <w:szCs w:val="22"/>
        </w:rPr>
        <w:t>una clasificación administrativa o por temática para la clasificación de la correspondencia firmada</w:t>
      </w:r>
      <w:r w:rsidR="00C54A86" w:rsidRPr="003B4DAF">
        <w:rPr>
          <w:rFonts w:ascii="Palatino Linotype" w:hAnsi="Palatino Linotype"/>
          <w:color w:val="000000"/>
          <w:sz w:val="22"/>
          <w:szCs w:val="22"/>
        </w:rPr>
        <w:t xml:space="preserve"> por el titular del área</w:t>
      </w:r>
      <w:r w:rsidRPr="003B4DAF">
        <w:rPr>
          <w:rFonts w:ascii="Palatino Linotype" w:hAnsi="Palatino Linotype" w:cs="Tahoma"/>
          <w:sz w:val="22"/>
          <w:szCs w:val="22"/>
        </w:rPr>
        <w:t>;</w:t>
      </w:r>
      <w:r w:rsidRPr="003B4DAF">
        <w:rPr>
          <w:rFonts w:ascii="Palatino Linotype" w:hAnsi="Palatino Linotype"/>
          <w:sz w:val="22"/>
          <w:szCs w:val="22"/>
        </w:rPr>
        <w:t xml:space="preserve"> </w:t>
      </w:r>
      <w:r w:rsidRPr="003B4DAF">
        <w:rPr>
          <w:rFonts w:ascii="Palatino Linotype" w:hAnsi="Palatino Linotype" w:cs="Tahoma"/>
          <w:sz w:val="22"/>
          <w:szCs w:val="22"/>
          <w:lang w:val="es-ES"/>
        </w:rPr>
        <w:t xml:space="preserve">ante dicha circunstancia, el Particular se inconformó de la </w:t>
      </w:r>
      <w:r w:rsidR="001B5ABF" w:rsidRPr="003B4DAF">
        <w:rPr>
          <w:rFonts w:ascii="Palatino Linotype" w:hAnsi="Palatino Linotype" w:cs="Tahoma"/>
          <w:sz w:val="22"/>
          <w:szCs w:val="22"/>
          <w:lang w:val="es-ES"/>
        </w:rPr>
        <w:t xml:space="preserve">declaración de inexistencia </w:t>
      </w:r>
      <w:r w:rsidRPr="003B4DAF">
        <w:rPr>
          <w:rFonts w:ascii="Palatino Linotype" w:hAnsi="Palatino Linotype" w:cs="Tahoma"/>
          <w:sz w:val="22"/>
          <w:szCs w:val="22"/>
          <w:lang w:val="es-ES"/>
        </w:rPr>
        <w:t>de</w:t>
      </w:r>
      <w:r w:rsidR="001B5ABF" w:rsidRPr="003B4DAF">
        <w:rPr>
          <w:rFonts w:ascii="Palatino Linotype" w:hAnsi="Palatino Linotype" w:cs="Tahoma"/>
          <w:sz w:val="22"/>
          <w:szCs w:val="22"/>
          <w:lang w:val="es-ES"/>
        </w:rPr>
        <w:t xml:space="preserve"> la</w:t>
      </w:r>
      <w:r w:rsidRPr="003B4DAF">
        <w:rPr>
          <w:rFonts w:ascii="Palatino Linotype" w:hAnsi="Palatino Linotype" w:cs="Tahoma"/>
          <w:sz w:val="22"/>
          <w:szCs w:val="22"/>
          <w:lang w:val="es-ES"/>
        </w:rPr>
        <w:t xml:space="preserve"> información, lo cual </w:t>
      </w:r>
      <w:r w:rsidRPr="003B4DAF">
        <w:rPr>
          <w:rFonts w:ascii="Palatino Linotype" w:eastAsia="Calibri" w:hAnsi="Palatino Linotype" w:cs="Tahoma"/>
          <w:sz w:val="22"/>
          <w:szCs w:val="22"/>
        </w:rPr>
        <w:t xml:space="preserve">actualiza la causal de procedencia prevista en la fracción </w:t>
      </w:r>
      <w:r w:rsidR="001B5ABF" w:rsidRPr="003B4DAF">
        <w:rPr>
          <w:rFonts w:ascii="Palatino Linotype" w:eastAsia="Calibri" w:hAnsi="Palatino Linotype" w:cs="Tahoma"/>
          <w:sz w:val="22"/>
          <w:szCs w:val="22"/>
        </w:rPr>
        <w:t>III</w:t>
      </w:r>
      <w:r w:rsidRPr="003B4DAF">
        <w:rPr>
          <w:rFonts w:ascii="Palatino Linotype" w:eastAsia="Calibri" w:hAnsi="Palatino Linotype" w:cs="Tahoma"/>
          <w:sz w:val="22"/>
          <w:szCs w:val="22"/>
        </w:rPr>
        <w:t>, del artículo 179 de la Ley de Transparencia y Acceso a la Información Pública del Estado de México y Municipios</w:t>
      </w:r>
      <w:r w:rsidRPr="003B4DAF">
        <w:rPr>
          <w:rFonts w:ascii="Palatino Linotype" w:hAnsi="Palatino Linotype"/>
          <w:color w:val="0D0D0D"/>
          <w:sz w:val="22"/>
          <w:szCs w:val="22"/>
        </w:rPr>
        <w:t xml:space="preserve">. </w:t>
      </w:r>
      <w:r w:rsidRPr="003B4DAF">
        <w:rPr>
          <w:rFonts w:ascii="Palatino Linotype" w:eastAsia="Calibri" w:hAnsi="Palatino Linotype" w:cs="Tahoma"/>
          <w:sz w:val="22"/>
          <w:szCs w:val="22"/>
        </w:rPr>
        <w:t>Así, las cosas, una vez admitido y notificado el Recurso de Revisión a las partes, el Sujeto Obligado ratificó su respuesta inicial</w:t>
      </w:r>
      <w:r w:rsidRPr="003B4DAF">
        <w:rPr>
          <w:rFonts w:ascii="Palatino Linotype" w:hAnsi="Palatino Linotype" w:cs="Tahoma"/>
          <w:sz w:val="22"/>
          <w:szCs w:val="22"/>
        </w:rPr>
        <w:t>.</w:t>
      </w:r>
    </w:p>
    <w:p w14:paraId="649BF850" w14:textId="77777777" w:rsidR="006D488D" w:rsidRPr="003B4DAF" w:rsidRDefault="006D488D" w:rsidP="00A554EA">
      <w:pPr>
        <w:spacing w:line="360" w:lineRule="auto"/>
        <w:contextualSpacing/>
        <w:jc w:val="both"/>
        <w:rPr>
          <w:rFonts w:ascii="Palatino Linotype" w:eastAsia="Calibri" w:hAnsi="Palatino Linotype" w:cs="Tahoma"/>
          <w:iCs/>
          <w:sz w:val="22"/>
          <w:szCs w:val="22"/>
          <w:lang w:val="es-ES" w:eastAsia="es-ES_tradnl"/>
        </w:rPr>
      </w:pPr>
    </w:p>
    <w:p w14:paraId="4E920EF8" w14:textId="77777777" w:rsidR="006D488D" w:rsidRPr="003B4DAF" w:rsidRDefault="006D488D" w:rsidP="00A554EA">
      <w:pPr>
        <w:spacing w:line="360" w:lineRule="auto"/>
        <w:contextualSpacing/>
        <w:jc w:val="both"/>
        <w:rPr>
          <w:rFonts w:ascii="Palatino Linotype" w:eastAsia="Calibri" w:hAnsi="Palatino Linotype" w:cs="Tahoma"/>
          <w:b/>
          <w:bCs/>
          <w:sz w:val="22"/>
          <w:szCs w:val="22"/>
        </w:rPr>
      </w:pPr>
      <w:r w:rsidRPr="003B4DA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sidRPr="003B4DAF">
        <w:rPr>
          <w:rFonts w:ascii="Palatino Linotype" w:eastAsia="Calibri" w:hAnsi="Palatino Linotype" w:cs="Tahoma"/>
          <w:iCs/>
          <w:sz w:val="22"/>
          <w:szCs w:val="22"/>
          <w:lang w:eastAsia="es-ES_tradnl"/>
        </w:rPr>
        <w:t xml:space="preserve"> el escrito recursal, y el informe justificado </w:t>
      </w:r>
      <w:r w:rsidRPr="003B4DAF">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w:t>
      </w:r>
      <w:r w:rsidRPr="003B4DAF">
        <w:rPr>
          <w:rFonts w:ascii="Palatino Linotype" w:eastAsia="Calibri" w:hAnsi="Palatino Linotype" w:cs="Tahoma"/>
          <w:bCs/>
          <w:sz w:val="22"/>
          <w:szCs w:val="22"/>
        </w:rPr>
        <w:lastRenderedPageBreak/>
        <w:t xml:space="preserve">Estado de México y Municipios. </w:t>
      </w:r>
      <w:r w:rsidRPr="003B4DAF">
        <w:rPr>
          <w:rFonts w:ascii="Palatino Linotype" w:eastAsia="Calibri" w:hAnsi="Palatino Linotype" w:cs="Tahoma"/>
          <w:b/>
          <w:bCs/>
          <w:sz w:val="22"/>
          <w:szCs w:val="22"/>
        </w:rPr>
        <w:t>Cabe señalar que el Particular fue omiso en realizar manifestaciones o alegatos.</w:t>
      </w:r>
    </w:p>
    <w:p w14:paraId="54552E3D" w14:textId="77777777" w:rsidR="006D488D" w:rsidRPr="003B4DAF" w:rsidRDefault="006D488D" w:rsidP="00A554EA">
      <w:pPr>
        <w:spacing w:line="360" w:lineRule="auto"/>
        <w:contextualSpacing/>
        <w:jc w:val="both"/>
        <w:rPr>
          <w:rFonts w:ascii="Palatino Linotype" w:hAnsi="Palatino Linotype"/>
          <w:color w:val="000000"/>
          <w:sz w:val="22"/>
          <w:szCs w:val="22"/>
          <w:lang w:eastAsia="es-ES_tradnl"/>
        </w:rPr>
      </w:pPr>
    </w:p>
    <w:p w14:paraId="62DBB472" w14:textId="77777777" w:rsidR="006D488D" w:rsidRPr="003B4DAF" w:rsidRDefault="006D488D" w:rsidP="00A554EA">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10313696"/>
      <w:r w:rsidRPr="003B4DAF">
        <w:rPr>
          <w:rFonts w:ascii="Palatino Linotype" w:hAnsi="Palatino Linotype"/>
          <w:b/>
          <w:bCs/>
          <w:color w:val="auto"/>
          <w:sz w:val="22"/>
          <w:szCs w:val="22"/>
          <w:lang w:val="es-ES"/>
        </w:rPr>
        <w:t xml:space="preserve">CUARTO. </w:t>
      </w:r>
      <w:r w:rsidRPr="003B4DAF">
        <w:rPr>
          <w:rFonts w:ascii="Palatino Linotype" w:hAnsi="Palatino Linotype"/>
          <w:b/>
          <w:bCs/>
          <w:color w:val="auto"/>
          <w:sz w:val="22"/>
          <w:szCs w:val="22"/>
        </w:rPr>
        <w:t>Marco normativo aplicable en materia de transparencia y acceso a la información pública</w:t>
      </w:r>
      <w:bookmarkEnd w:id="14"/>
      <w:bookmarkEnd w:id="15"/>
      <w:bookmarkEnd w:id="16"/>
    </w:p>
    <w:p w14:paraId="21A674E6"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09DF5C39"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r w:rsidRPr="003B4DAF">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E1A0D1"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62E34EE9" w14:textId="77777777" w:rsidR="006D488D" w:rsidRPr="003B4DAF" w:rsidRDefault="006D488D" w:rsidP="00A554EA">
      <w:pPr>
        <w:spacing w:line="360" w:lineRule="auto"/>
        <w:contextualSpacing/>
        <w:jc w:val="both"/>
        <w:rPr>
          <w:rFonts w:ascii="Palatino Linotype" w:hAnsi="Palatino Linotype" w:cs="Tahoma"/>
          <w:sz w:val="22"/>
          <w:szCs w:val="22"/>
          <w:lang w:eastAsia="es-MX"/>
        </w:rPr>
      </w:pPr>
      <w:r w:rsidRPr="003B4DAF">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5572A71"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3C041D2C"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r w:rsidRPr="003B4DAF">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04DFFEF3"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20445B37"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r w:rsidRPr="003B4DA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96C0386"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3FD034E0"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r w:rsidRPr="003B4DA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31893F55"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794F5E11"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r w:rsidRPr="003B4DAF">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D8A93C" w14:textId="77777777" w:rsidR="006D488D" w:rsidRPr="003B4DAF" w:rsidRDefault="006D488D" w:rsidP="00A554EA">
      <w:pPr>
        <w:widowControl w:val="0"/>
        <w:spacing w:line="360" w:lineRule="auto"/>
        <w:contextualSpacing/>
        <w:jc w:val="both"/>
        <w:rPr>
          <w:rFonts w:ascii="Palatino Linotype" w:hAnsi="Palatino Linotype" w:cs="Tahoma"/>
          <w:sz w:val="22"/>
          <w:szCs w:val="22"/>
          <w:lang w:eastAsia="es-MX"/>
        </w:rPr>
      </w:pPr>
    </w:p>
    <w:p w14:paraId="36E154C4" w14:textId="77777777" w:rsidR="006D488D" w:rsidRPr="003B4DAF" w:rsidRDefault="006D488D" w:rsidP="00A554EA">
      <w:pPr>
        <w:pStyle w:val="Ttulo2"/>
        <w:spacing w:before="0" w:after="0" w:line="360" w:lineRule="auto"/>
        <w:contextualSpacing/>
        <w:rPr>
          <w:rFonts w:ascii="Palatino Linotype" w:hAnsi="Palatino Linotype"/>
          <w:b/>
          <w:bCs/>
          <w:color w:val="auto"/>
          <w:sz w:val="22"/>
          <w:szCs w:val="22"/>
          <w:lang w:val="es-ES"/>
        </w:rPr>
      </w:pPr>
      <w:bookmarkStart w:id="17" w:name="_Toc199369392"/>
      <w:bookmarkStart w:id="18" w:name="_Toc203518782"/>
      <w:bookmarkStart w:id="19" w:name="_Toc210313697"/>
      <w:r w:rsidRPr="003B4DAF">
        <w:rPr>
          <w:rFonts w:ascii="Palatino Linotype" w:hAnsi="Palatino Linotype"/>
          <w:b/>
          <w:bCs/>
          <w:color w:val="auto"/>
          <w:sz w:val="22"/>
          <w:szCs w:val="22"/>
          <w:lang w:val="es-ES"/>
        </w:rPr>
        <w:t>QUINTO. Estudio de Fondo</w:t>
      </w:r>
      <w:bookmarkEnd w:id="17"/>
      <w:bookmarkEnd w:id="18"/>
      <w:bookmarkEnd w:id="19"/>
    </w:p>
    <w:p w14:paraId="7D7DA151" w14:textId="77777777" w:rsidR="006D488D" w:rsidRPr="003B4DAF" w:rsidRDefault="006D488D" w:rsidP="00A554EA">
      <w:pPr>
        <w:spacing w:line="360" w:lineRule="auto"/>
        <w:contextualSpacing/>
        <w:jc w:val="both"/>
        <w:rPr>
          <w:rFonts w:ascii="Palatino Linotype" w:hAnsi="Palatino Linotype" w:cs="Tahoma"/>
          <w:b/>
          <w:sz w:val="22"/>
          <w:szCs w:val="22"/>
          <w:lang w:val="es-ES"/>
        </w:rPr>
      </w:pPr>
    </w:p>
    <w:p w14:paraId="57A29084" w14:textId="7F6764FC"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128F0DF8"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p>
    <w:p w14:paraId="151799CB" w14:textId="1EF221B9" w:rsidR="006D488D" w:rsidRPr="003B4DAF" w:rsidRDefault="006D488D" w:rsidP="00A554EA">
      <w:pPr>
        <w:widowControl w:val="0"/>
        <w:spacing w:line="360" w:lineRule="auto"/>
        <w:contextualSpacing/>
        <w:jc w:val="both"/>
        <w:rPr>
          <w:rFonts w:ascii="Palatino Linotype" w:hAnsi="Palatino Linotype" w:cs="Tahoma"/>
          <w:b/>
          <w:bCs/>
          <w:iCs/>
          <w:sz w:val="22"/>
          <w:szCs w:val="22"/>
        </w:rPr>
      </w:pPr>
      <w:r w:rsidRPr="003B4DAF">
        <w:rPr>
          <w:rFonts w:ascii="Palatino Linotype" w:hAnsi="Palatino Linotype" w:cs="Tahoma"/>
          <w:bCs/>
          <w:iCs/>
          <w:sz w:val="22"/>
          <w:szCs w:val="22"/>
        </w:rPr>
        <w:t xml:space="preserve">En principio,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3B4DAF">
        <w:rPr>
          <w:rFonts w:ascii="Palatino Linotype" w:hAnsi="Palatino Linotype" w:cs="Tahoma"/>
          <w:b/>
          <w:bCs/>
          <w:iCs/>
          <w:sz w:val="22"/>
          <w:szCs w:val="22"/>
        </w:rPr>
        <w:t>toda la información generada, obtenida, adquirida, transformada o en posesión de los sujetos obligados es pública y accesible a cualquier persona.</w:t>
      </w:r>
    </w:p>
    <w:p w14:paraId="4573CB26"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 </w:t>
      </w:r>
    </w:p>
    <w:p w14:paraId="064558CF"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2D6CB52C"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 </w:t>
      </w:r>
    </w:p>
    <w:p w14:paraId="3E6F26C3"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3B4DAF">
        <w:rPr>
          <w:rFonts w:ascii="Palatino Linotype" w:hAnsi="Palatino Linotype" w:cs="Tahoma"/>
          <w:bCs/>
          <w:iCs/>
          <w:sz w:val="22"/>
          <w:szCs w:val="22"/>
        </w:rPr>
        <w:lastRenderedPageBreak/>
        <w:t>de dejar constancia o registro material de las actividades efectuadas con motivo del ejercicio de sus atribuciones de cualquier acto que derive del ejercicio de sus facultades, competencias o funciones.</w:t>
      </w:r>
    </w:p>
    <w:p w14:paraId="492ECF25"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 </w:t>
      </w:r>
    </w:p>
    <w:p w14:paraId="23CDA326"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2F8A114"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 </w:t>
      </w:r>
    </w:p>
    <w:p w14:paraId="37483F8D"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6BACD529"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p>
    <w:p w14:paraId="353E512A" w14:textId="4E5308EC" w:rsidR="00A554EA" w:rsidRPr="003B4DAF" w:rsidRDefault="00A554EA" w:rsidP="00A554EA">
      <w:pPr>
        <w:spacing w:line="360" w:lineRule="auto"/>
        <w:jc w:val="both"/>
        <w:rPr>
          <w:rFonts w:ascii="Palatino Linotype" w:hAnsi="Palatino Linotype" w:cs="Tahoma"/>
          <w:bCs/>
          <w:sz w:val="22"/>
          <w:szCs w:val="22"/>
        </w:rPr>
      </w:pPr>
      <w:r w:rsidRPr="003B4DAF">
        <w:rPr>
          <w:rFonts w:ascii="Palatino Linotype" w:hAnsi="Palatino Linotype" w:cs="Tahoma"/>
          <w:bCs/>
          <w:iCs/>
          <w:sz w:val="22"/>
          <w:szCs w:val="22"/>
        </w:rPr>
        <w:t xml:space="preserve">Ahora bien, </w:t>
      </w:r>
      <w:r w:rsidRPr="003B4DAF">
        <w:rPr>
          <w:rFonts w:ascii="Palatino Linotype" w:hAnsi="Palatino Linotype"/>
          <w:sz w:val="22"/>
        </w:rPr>
        <w:t>según Trujillo, Humberto (2019), en el “Diccionario de Transparencia y Acceso a la Información Pública” (p. 122), el derecho de petición, es una prerrogativa onstitucional que tienen las personas para solicitar o reclamar a las autoridades públicas; por lo que, las instancias deben recibirlas y realizar una respuesta. </w:t>
      </w:r>
      <w:r w:rsidRPr="003B4DAF">
        <w:rPr>
          <w:rFonts w:ascii="Palatino Linotype" w:hAnsi="Palatino Linotype" w:cs="Tahoma"/>
          <w:bCs/>
          <w:sz w:val="22"/>
          <w:szCs w:val="22"/>
          <w:lang w:val="es-ES"/>
        </w:rPr>
        <w:t xml:space="preserve">Además, </w:t>
      </w:r>
      <w:r w:rsidRPr="003B4DAF">
        <w:rPr>
          <w:rFonts w:ascii="Palatino Linotype" w:hAnsi="Palatino Linotype" w:cs="Tahoma"/>
          <w:bCs/>
          <w:sz w:val="22"/>
          <w:szCs w:val="22"/>
        </w:rPr>
        <w:t xml:space="preserve">la Jurisprudencia XXI.1o.P.A. J/27, de los Tribunales Colegiados de Circuito, localizada en la página 1406, del Semanario Judicial de la Federación y su Gaceta, Tomo </w:t>
      </w:r>
      <w:r w:rsidRPr="003B4DAF">
        <w:rPr>
          <w:rFonts w:ascii="Palatino Linotype" w:hAnsi="Palatino Linotype" w:cs="Tahoma"/>
          <w:bCs/>
          <w:sz w:val="22"/>
          <w:szCs w:val="22"/>
          <w:lang w:val="es-ES"/>
        </w:rPr>
        <w:t>XXXIII</w:t>
      </w:r>
      <w:r w:rsidRPr="003B4DAF">
        <w:rPr>
          <w:rFonts w:ascii="Palatino Linotype" w:hAnsi="Palatino Linotype" w:cs="Tahoma"/>
          <w:bCs/>
          <w:sz w:val="22"/>
          <w:szCs w:val="22"/>
        </w:rPr>
        <w:t>, marzo 2011, Novena Época, que establece lo siguiente:</w:t>
      </w:r>
    </w:p>
    <w:p w14:paraId="32BC904D" w14:textId="77777777" w:rsidR="00A554EA" w:rsidRPr="003B4DAF" w:rsidRDefault="00A554EA" w:rsidP="00A554EA">
      <w:pPr>
        <w:spacing w:line="360" w:lineRule="auto"/>
        <w:jc w:val="both"/>
        <w:rPr>
          <w:rFonts w:ascii="Palatino Linotype" w:hAnsi="Palatino Linotype" w:cs="Tahoma"/>
          <w:bCs/>
          <w:sz w:val="22"/>
          <w:szCs w:val="22"/>
        </w:rPr>
      </w:pPr>
    </w:p>
    <w:p w14:paraId="06F89DDD" w14:textId="77777777" w:rsidR="00A554EA" w:rsidRPr="003B4DAF" w:rsidRDefault="00A554EA" w:rsidP="00A554EA">
      <w:pPr>
        <w:spacing w:line="360" w:lineRule="auto"/>
        <w:ind w:left="567" w:right="567"/>
        <w:jc w:val="both"/>
        <w:rPr>
          <w:rFonts w:ascii="Palatino Linotype" w:hAnsi="Palatino Linotype" w:cs="Tahoma"/>
          <w:bCs/>
          <w:i/>
          <w:lang w:val="es-ES"/>
        </w:rPr>
      </w:pPr>
      <w:r w:rsidRPr="003B4DAF">
        <w:rPr>
          <w:rFonts w:ascii="Palatino Linotype" w:hAnsi="Palatino Linotype" w:cs="Tahoma"/>
          <w:b/>
          <w:bCs/>
          <w:i/>
          <w:lang w:val="es-ES"/>
        </w:rPr>
        <w:t xml:space="preserve">“DERECHO DE PETICIÓN. SUS ELEMENTOS. </w:t>
      </w:r>
      <w:r w:rsidRPr="003B4DAF">
        <w:rPr>
          <w:rFonts w:ascii="Palatino Linotype" w:hAnsi="Palatino Linotype" w:cs="Tahoma"/>
          <w:bCs/>
          <w:i/>
          <w:lang w:val="es-ES"/>
        </w:rPr>
        <w:t xml:space="preserve">El denominado "derecho de petición", acorde con los criterios de los tribunales del Poder Judicial de la Federación, es la garantía individual consagrada en el artículo 8o. de la Constitución Política de los Estados Unidos </w:t>
      </w:r>
      <w:r w:rsidRPr="003B4DAF">
        <w:rPr>
          <w:rFonts w:ascii="Palatino Linotype" w:hAnsi="Palatino Linotype" w:cs="Tahoma"/>
          <w:bCs/>
          <w:i/>
          <w:lang w:val="es-ES"/>
        </w:rPr>
        <w:lastRenderedPageBreak/>
        <w:t>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0ACCCA21" w14:textId="77777777" w:rsidR="00A554EA" w:rsidRPr="003B4DAF" w:rsidRDefault="00A554EA" w:rsidP="00A554EA">
      <w:pPr>
        <w:spacing w:line="360" w:lineRule="auto"/>
        <w:jc w:val="both"/>
        <w:rPr>
          <w:rFonts w:ascii="Palatino Linotype" w:hAnsi="Palatino Linotype" w:cs="Tahoma"/>
          <w:bCs/>
          <w:sz w:val="22"/>
          <w:szCs w:val="22"/>
          <w:lang w:val="es-ES"/>
        </w:rPr>
      </w:pPr>
    </w:p>
    <w:p w14:paraId="6D731938" w14:textId="661B50E5" w:rsidR="00A554EA" w:rsidRPr="003B4DAF" w:rsidRDefault="00A554EA" w:rsidP="00A554EA">
      <w:pPr>
        <w:spacing w:line="360" w:lineRule="auto"/>
        <w:jc w:val="both"/>
        <w:rPr>
          <w:rFonts w:ascii="Palatino Linotype" w:hAnsi="Palatino Linotype" w:cs="Tahoma"/>
          <w:bCs/>
          <w:sz w:val="22"/>
          <w:szCs w:val="22"/>
          <w:lang w:val="es-ES"/>
        </w:rPr>
      </w:pPr>
      <w:r w:rsidRPr="003B4DAF">
        <w:rPr>
          <w:rFonts w:ascii="Palatino Linotype" w:hAnsi="Palatino Linotype" w:cs="Tahoma"/>
          <w:bCs/>
          <w:sz w:val="22"/>
          <w:szCs w:val="2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1E24ABD2" w14:textId="77777777" w:rsidR="00A554EA" w:rsidRPr="003B4DAF" w:rsidRDefault="00A554EA" w:rsidP="00A554EA">
      <w:pPr>
        <w:widowControl w:val="0"/>
        <w:spacing w:line="360" w:lineRule="auto"/>
        <w:contextualSpacing/>
        <w:jc w:val="both"/>
        <w:rPr>
          <w:rFonts w:ascii="Palatino Linotype" w:hAnsi="Palatino Linotype" w:cs="Tahoma"/>
          <w:bCs/>
          <w:iCs/>
          <w:sz w:val="22"/>
          <w:szCs w:val="22"/>
        </w:rPr>
      </w:pPr>
    </w:p>
    <w:p w14:paraId="607A7277" w14:textId="77777777" w:rsidR="006D488D" w:rsidRPr="003B4DAF" w:rsidRDefault="006D488D" w:rsidP="00A554EA">
      <w:pPr>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Por otra parte, los artículos 89 y 90 Fracción I numeral 2 del Bando Municipal de Toluca, dos mil veinticinco, establece que para el ejercicio de sus atribuciones el Ayuntamiento contará con diversas dependencias municipales entre las que se localiza la Tesorería Municipal, responsable de la administración y control de los recursos financieros del municipio, asegurando el cumplimiento de las disposiciones fiscales y presupuestales. Sus funciones </w:t>
      </w:r>
      <w:r w:rsidRPr="003B4DAF">
        <w:rPr>
          <w:rFonts w:ascii="Palatino Linotype" w:hAnsi="Palatino Linotype" w:cs="Tahoma"/>
          <w:bCs/>
          <w:iCs/>
          <w:sz w:val="22"/>
          <w:szCs w:val="22"/>
        </w:rPr>
        <w:lastRenderedPageBreak/>
        <w:t>incluyen la recaudación, fiscalización y administración de ingresos municipales, así como la elaboración y supervisión de los informes financieros y la cuenta pública.</w:t>
      </w:r>
    </w:p>
    <w:p w14:paraId="548620B6"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p>
    <w:p w14:paraId="38A1CC05" w14:textId="18ED74A0"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Además, el numeral 20201</w:t>
      </w:r>
      <w:r w:rsidR="009C2F53" w:rsidRPr="003B4DAF">
        <w:rPr>
          <w:rFonts w:ascii="Palatino Linotype" w:hAnsi="Palatino Linotype" w:cs="Tahoma"/>
          <w:bCs/>
          <w:iCs/>
          <w:sz w:val="22"/>
          <w:szCs w:val="22"/>
        </w:rPr>
        <w:t>0</w:t>
      </w:r>
      <w:r w:rsidRPr="003B4DAF">
        <w:rPr>
          <w:rFonts w:ascii="Palatino Linotype" w:hAnsi="Palatino Linotype" w:cs="Tahoma"/>
          <w:bCs/>
          <w:iCs/>
          <w:sz w:val="22"/>
          <w:szCs w:val="22"/>
        </w:rPr>
        <w:t xml:space="preserve">100 del Manual General de Organización de la Tesorería Municipal, establece que para el ejercicio de sus atribuciones se auxiliará de diversas unidades administrativas entre otras la Coordinación de </w:t>
      </w:r>
      <w:r w:rsidR="009C2F53" w:rsidRPr="003B4DAF">
        <w:rPr>
          <w:rFonts w:ascii="Palatino Linotype" w:hAnsi="Palatino Linotype" w:cs="Tahoma"/>
          <w:bCs/>
          <w:iCs/>
          <w:sz w:val="22"/>
          <w:szCs w:val="22"/>
        </w:rPr>
        <w:t>Apoyo Técnico</w:t>
      </w:r>
      <w:r w:rsidRPr="003B4DAF">
        <w:rPr>
          <w:rFonts w:ascii="Palatino Linotype" w:hAnsi="Palatino Linotype" w:cs="Tahoma"/>
          <w:bCs/>
          <w:iCs/>
          <w:sz w:val="22"/>
          <w:szCs w:val="22"/>
        </w:rPr>
        <w:t>,</w:t>
      </w:r>
      <w:r w:rsidR="009C2F53" w:rsidRPr="003B4DAF">
        <w:rPr>
          <w:rFonts w:ascii="Palatino Linotype" w:hAnsi="Palatino Linotype" w:cs="Tahoma"/>
          <w:bCs/>
          <w:iCs/>
          <w:sz w:val="22"/>
          <w:szCs w:val="22"/>
        </w:rPr>
        <w:t xml:space="preserve"> encargada de poyar al titular en los asuntos encomendados a la Tesorería Municipal que permitan eficientar el desempeño de sus atribuciones</w:t>
      </w:r>
      <w:r w:rsidRPr="003B4DAF">
        <w:rPr>
          <w:rFonts w:ascii="Palatino Linotype" w:hAnsi="Palatino Linotype" w:cs="Tahoma"/>
          <w:bCs/>
          <w:iCs/>
          <w:sz w:val="22"/>
          <w:szCs w:val="22"/>
        </w:rPr>
        <w:t xml:space="preserve"> la cual contará con diversas atribuciones entre otras</w:t>
      </w:r>
      <w:r w:rsidR="009C2F53" w:rsidRPr="003B4DAF">
        <w:rPr>
          <w:rFonts w:ascii="Palatino Linotype" w:hAnsi="Palatino Linotype" w:cs="Tahoma"/>
          <w:bCs/>
          <w:iCs/>
          <w:sz w:val="22"/>
          <w:szCs w:val="22"/>
        </w:rPr>
        <w:t xml:space="preserve">; Recibir, canalizar y dar seguimiento a las </w:t>
      </w:r>
      <w:r w:rsidR="009C2F53" w:rsidRPr="003B4DAF">
        <w:rPr>
          <w:rFonts w:ascii="Palatino Linotype" w:hAnsi="Palatino Linotype" w:cs="Tahoma"/>
          <w:b/>
          <w:iCs/>
          <w:sz w:val="22"/>
          <w:szCs w:val="22"/>
        </w:rPr>
        <w:t>peticiones</w:t>
      </w:r>
      <w:r w:rsidR="009C2F53" w:rsidRPr="003B4DAF">
        <w:rPr>
          <w:rFonts w:ascii="Palatino Linotype" w:hAnsi="Palatino Linotype" w:cs="Tahoma"/>
          <w:bCs/>
          <w:iCs/>
          <w:sz w:val="22"/>
          <w:szCs w:val="22"/>
        </w:rPr>
        <w:t xml:space="preserve"> planteadas por la ciudadanía que sean competencia de la Tesorería Municipal, así como de las diferentes dependencias del ayuntamiento.</w:t>
      </w:r>
    </w:p>
    <w:p w14:paraId="151A250C" w14:textId="77777777" w:rsidR="006D488D" w:rsidRPr="003B4DAF" w:rsidRDefault="006D488D" w:rsidP="00A554EA">
      <w:pPr>
        <w:widowControl w:val="0"/>
        <w:spacing w:line="360" w:lineRule="auto"/>
        <w:contextualSpacing/>
        <w:jc w:val="both"/>
        <w:rPr>
          <w:rFonts w:ascii="Palatino Linotype" w:hAnsi="Palatino Linotype" w:cs="Tahoma"/>
          <w:bCs/>
          <w:iCs/>
          <w:sz w:val="22"/>
          <w:szCs w:val="22"/>
        </w:rPr>
      </w:pPr>
    </w:p>
    <w:p w14:paraId="281438DB" w14:textId="1C6B3ED9" w:rsidR="00A554EA" w:rsidRPr="003B4DAF" w:rsidRDefault="006D488D" w:rsidP="00A554EA">
      <w:pPr>
        <w:widowControl w:val="0"/>
        <w:spacing w:line="360" w:lineRule="auto"/>
        <w:contextualSpacing/>
        <w:jc w:val="both"/>
        <w:rPr>
          <w:rFonts w:ascii="Palatino Linotype" w:hAnsi="Palatino Linotype" w:cs="Tahoma"/>
          <w:bCs/>
          <w:iCs/>
          <w:sz w:val="22"/>
          <w:szCs w:val="22"/>
          <w:lang w:val="es-ES"/>
        </w:rPr>
      </w:pPr>
      <w:r w:rsidRPr="003B4DAF">
        <w:rPr>
          <w:rFonts w:ascii="Palatino Linotype" w:hAnsi="Palatino Linotype" w:cs="Tahoma"/>
          <w:bCs/>
          <w:iCs/>
          <w:sz w:val="22"/>
          <w:szCs w:val="22"/>
          <w:lang w:val="es-ES"/>
        </w:rPr>
        <w:t xml:space="preserve">Conforme a lo anterior, se logra vislumbrar que la pretensión del </w:t>
      </w:r>
      <w:r w:rsidR="009B4F19" w:rsidRPr="003B4DAF">
        <w:rPr>
          <w:rFonts w:ascii="Palatino Linotype" w:hAnsi="Palatino Linotype" w:cs="Tahoma"/>
          <w:bCs/>
          <w:iCs/>
          <w:sz w:val="22"/>
          <w:szCs w:val="22"/>
          <w:lang w:val="es-ES"/>
        </w:rPr>
        <w:t xml:space="preserve">Particular </w:t>
      </w:r>
      <w:r w:rsidRPr="003B4DAF">
        <w:rPr>
          <w:rFonts w:ascii="Palatino Linotype" w:hAnsi="Palatino Linotype" w:cs="Tahoma"/>
          <w:bCs/>
          <w:iCs/>
          <w:sz w:val="22"/>
          <w:szCs w:val="22"/>
          <w:lang w:val="es-ES"/>
        </w:rPr>
        <w:t>es obtener los documentos que den cuenta de</w:t>
      </w:r>
      <w:r w:rsidR="009B4F19" w:rsidRPr="003B4DAF">
        <w:rPr>
          <w:rFonts w:ascii="Palatino Linotype" w:hAnsi="Palatino Linotype" w:cs="Tahoma"/>
          <w:bCs/>
          <w:iCs/>
          <w:sz w:val="22"/>
          <w:szCs w:val="22"/>
          <w:lang w:val="es-ES"/>
        </w:rPr>
        <w:t xml:space="preserve"> </w:t>
      </w:r>
      <w:r w:rsidRPr="003B4DAF">
        <w:rPr>
          <w:rFonts w:ascii="Palatino Linotype" w:hAnsi="Palatino Linotype" w:cs="Tahoma"/>
          <w:bCs/>
          <w:iCs/>
          <w:sz w:val="22"/>
          <w:szCs w:val="22"/>
          <w:lang w:val="es-ES"/>
        </w:rPr>
        <w:t>l</w:t>
      </w:r>
      <w:r w:rsidR="009B4F19" w:rsidRPr="003B4DAF">
        <w:rPr>
          <w:rFonts w:ascii="Palatino Linotype" w:hAnsi="Palatino Linotype" w:cs="Tahoma"/>
          <w:bCs/>
          <w:iCs/>
          <w:sz w:val="22"/>
          <w:szCs w:val="22"/>
          <w:lang w:val="es-ES"/>
        </w:rPr>
        <w:t xml:space="preserve">as peticiones </w:t>
      </w:r>
      <w:r w:rsidR="00A554EA" w:rsidRPr="003B4DAF">
        <w:rPr>
          <w:rFonts w:ascii="Palatino Linotype" w:hAnsi="Palatino Linotype" w:cs="Tahoma"/>
          <w:bCs/>
          <w:iCs/>
          <w:sz w:val="22"/>
          <w:szCs w:val="22"/>
          <w:lang w:val="es-ES"/>
        </w:rPr>
        <w:t>realizadas</w:t>
      </w:r>
      <w:r w:rsidR="009B4F19" w:rsidRPr="003B4DAF">
        <w:rPr>
          <w:rFonts w:ascii="Palatino Linotype" w:hAnsi="Palatino Linotype" w:cs="Tahoma"/>
          <w:bCs/>
          <w:iCs/>
          <w:sz w:val="22"/>
          <w:szCs w:val="22"/>
          <w:lang w:val="es-ES"/>
        </w:rPr>
        <w:t xml:space="preserve"> por la ciudadanía a la Tesorería Municipal</w:t>
      </w:r>
      <w:r w:rsidR="00A554EA" w:rsidRPr="003B4DAF">
        <w:rPr>
          <w:rFonts w:ascii="Palatino Linotype" w:hAnsi="Palatino Linotype" w:cs="Tahoma"/>
          <w:bCs/>
          <w:iCs/>
          <w:sz w:val="22"/>
          <w:szCs w:val="22"/>
          <w:lang w:val="es-ES"/>
        </w:rPr>
        <w:t>, del primero de enero de dos mil veintidós al treinta y uno de diciembre de dos mil veinticuatro, con sus respetivas respuestas.</w:t>
      </w:r>
    </w:p>
    <w:p w14:paraId="6E86DAA6" w14:textId="77777777" w:rsidR="00A554EA" w:rsidRPr="003B4DAF" w:rsidRDefault="00A554EA" w:rsidP="00A554EA">
      <w:pPr>
        <w:widowControl w:val="0"/>
        <w:spacing w:line="360" w:lineRule="auto"/>
        <w:contextualSpacing/>
        <w:jc w:val="both"/>
        <w:rPr>
          <w:rFonts w:ascii="Palatino Linotype" w:hAnsi="Palatino Linotype" w:cs="Tahoma"/>
          <w:bCs/>
          <w:iCs/>
          <w:sz w:val="22"/>
          <w:szCs w:val="22"/>
          <w:lang w:val="es-ES"/>
        </w:rPr>
      </w:pPr>
    </w:p>
    <w:p w14:paraId="0EEE22E0" w14:textId="4D1C48DE" w:rsidR="006D488D" w:rsidRPr="003B4DAF" w:rsidRDefault="006D488D" w:rsidP="00A554EA">
      <w:pPr>
        <w:spacing w:line="360" w:lineRule="auto"/>
        <w:jc w:val="both"/>
        <w:rPr>
          <w:rFonts w:ascii="Palatino Linotype" w:eastAsia="Palatino Linotype" w:hAnsi="Palatino Linotype" w:cs="Palatino Linotype"/>
          <w:b/>
          <w:sz w:val="22"/>
          <w:szCs w:val="22"/>
        </w:rPr>
      </w:pPr>
      <w:r w:rsidRPr="003B4DAF">
        <w:rPr>
          <w:rFonts w:ascii="Palatino Linotype" w:eastAsia="Palatino Linotype" w:hAnsi="Palatino Linotype" w:cs="Palatino Linotype"/>
          <w:sz w:val="22"/>
          <w:szCs w:val="22"/>
        </w:rPr>
        <w:t>Así, de las constancias que obran en el expediente, se logra vislumbrar que el Sujeto Obligado turnó la solicitud de información a</w:t>
      </w:r>
      <w:r w:rsidR="009B4F19" w:rsidRPr="003B4DAF">
        <w:rPr>
          <w:rFonts w:ascii="Palatino Linotype" w:eastAsia="Palatino Linotype" w:hAnsi="Palatino Linotype" w:cs="Palatino Linotype"/>
          <w:sz w:val="22"/>
          <w:szCs w:val="22"/>
        </w:rPr>
        <w:t xml:space="preserve"> </w:t>
      </w:r>
      <w:r w:rsidRPr="003B4DAF">
        <w:rPr>
          <w:rFonts w:ascii="Palatino Linotype" w:eastAsia="Palatino Linotype" w:hAnsi="Palatino Linotype" w:cs="Palatino Linotype"/>
          <w:sz w:val="22"/>
          <w:szCs w:val="22"/>
        </w:rPr>
        <w:t>la Tesorería Municipal,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DD69200" w14:textId="2EED940F" w:rsidR="006D488D" w:rsidRPr="003B4DAF" w:rsidRDefault="006D488D" w:rsidP="00A554EA">
      <w:pPr>
        <w:spacing w:line="360" w:lineRule="auto"/>
        <w:ind w:right="-28"/>
        <w:jc w:val="both"/>
        <w:rPr>
          <w:rFonts w:ascii="Palatino Linotype" w:eastAsia="Palatino Linotype" w:hAnsi="Palatino Linotype" w:cs="Palatino Linotype"/>
          <w:color w:val="000000"/>
          <w:sz w:val="22"/>
          <w:szCs w:val="22"/>
        </w:rPr>
      </w:pPr>
      <w:r w:rsidRPr="003B4DAF">
        <w:rPr>
          <w:rFonts w:ascii="Palatino Linotype" w:eastAsia="Palatino Linotype" w:hAnsi="Palatino Linotype" w:cs="Palatino Linotype"/>
          <w:color w:val="000000"/>
          <w:sz w:val="22"/>
          <w:szCs w:val="22"/>
        </w:rPr>
        <w:lastRenderedPageBreak/>
        <w:t xml:space="preserve">Así, resulta necesario traer al estudio los artículos </w:t>
      </w:r>
      <w:r w:rsidRPr="003B4DAF">
        <w:rPr>
          <w:rFonts w:ascii="Palatino Linotype" w:hAnsi="Palatino Linotype" w:cs="Tahoma"/>
          <w:bCs/>
          <w:iCs/>
          <w:sz w:val="22"/>
          <w:szCs w:val="22"/>
        </w:rPr>
        <w:t>89 y 90</w:t>
      </w:r>
      <w:r w:rsidR="00A554EA" w:rsidRPr="003B4DAF">
        <w:rPr>
          <w:rFonts w:ascii="Palatino Linotype" w:hAnsi="Palatino Linotype" w:cs="Tahoma"/>
          <w:bCs/>
          <w:iCs/>
          <w:sz w:val="22"/>
          <w:szCs w:val="22"/>
        </w:rPr>
        <w:t>,</w:t>
      </w:r>
      <w:r w:rsidRPr="003B4DAF">
        <w:rPr>
          <w:rFonts w:ascii="Palatino Linotype" w:hAnsi="Palatino Linotype" w:cs="Tahoma"/>
          <w:bCs/>
          <w:iCs/>
          <w:sz w:val="22"/>
          <w:szCs w:val="22"/>
        </w:rPr>
        <w:t xml:space="preserve"> </w:t>
      </w:r>
      <w:r w:rsidR="00A554EA" w:rsidRPr="003B4DAF">
        <w:rPr>
          <w:rFonts w:ascii="Palatino Linotype" w:hAnsi="Palatino Linotype" w:cs="Tahoma"/>
          <w:bCs/>
          <w:iCs/>
          <w:sz w:val="22"/>
          <w:szCs w:val="22"/>
        </w:rPr>
        <w:t>f</w:t>
      </w:r>
      <w:r w:rsidRPr="003B4DAF">
        <w:rPr>
          <w:rFonts w:ascii="Palatino Linotype" w:hAnsi="Palatino Linotype" w:cs="Tahoma"/>
          <w:bCs/>
          <w:iCs/>
          <w:sz w:val="22"/>
          <w:szCs w:val="22"/>
        </w:rPr>
        <w:t>racción I numeral 2 del Bando Municipal de Toluca, dos mil veinticinco</w:t>
      </w:r>
      <w:r w:rsidRPr="003B4DAF">
        <w:rPr>
          <w:rFonts w:ascii="Palatino Linotype" w:eastAsia="Palatino Linotype" w:hAnsi="Palatino Linotype" w:cs="Palatino Linotype"/>
          <w:color w:val="000000"/>
          <w:sz w:val="22"/>
          <w:szCs w:val="22"/>
        </w:rPr>
        <w:t xml:space="preserve">, en relación con </w:t>
      </w:r>
      <w:r w:rsidR="009B6E1D" w:rsidRPr="003B4DAF">
        <w:rPr>
          <w:rFonts w:ascii="Palatino Linotype" w:eastAsia="Palatino Linotype" w:hAnsi="Palatino Linotype" w:cs="Palatino Linotype"/>
          <w:color w:val="000000"/>
          <w:sz w:val="22"/>
          <w:szCs w:val="22"/>
        </w:rPr>
        <w:t>el</w:t>
      </w:r>
      <w:r w:rsidRPr="003B4DAF">
        <w:rPr>
          <w:rFonts w:ascii="Palatino Linotype" w:hAnsi="Palatino Linotype" w:cs="Tahoma"/>
          <w:bCs/>
          <w:iCs/>
          <w:sz w:val="22"/>
          <w:szCs w:val="22"/>
        </w:rPr>
        <w:t xml:space="preserve"> numeral 202010</w:t>
      </w:r>
      <w:r w:rsidR="009B6E1D" w:rsidRPr="003B4DAF">
        <w:rPr>
          <w:rFonts w:ascii="Palatino Linotype" w:hAnsi="Palatino Linotype" w:cs="Tahoma"/>
          <w:bCs/>
          <w:iCs/>
          <w:sz w:val="22"/>
          <w:szCs w:val="22"/>
        </w:rPr>
        <w:t>1</w:t>
      </w:r>
      <w:r w:rsidRPr="003B4DAF">
        <w:rPr>
          <w:rFonts w:ascii="Palatino Linotype" w:hAnsi="Palatino Linotype" w:cs="Tahoma"/>
          <w:bCs/>
          <w:iCs/>
          <w:sz w:val="22"/>
          <w:szCs w:val="22"/>
        </w:rPr>
        <w:t>00 del Manual General de Organización de la Tesorería Municipal</w:t>
      </w:r>
      <w:r w:rsidRPr="003B4DAF">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 Coordinación de </w:t>
      </w:r>
      <w:r w:rsidR="009B6E1D" w:rsidRPr="003B4DAF">
        <w:rPr>
          <w:rFonts w:ascii="Palatino Linotype" w:eastAsia="Palatino Linotype" w:hAnsi="Palatino Linotype" w:cs="Palatino Linotype"/>
          <w:color w:val="000000"/>
          <w:sz w:val="22"/>
          <w:szCs w:val="22"/>
        </w:rPr>
        <w:t>Apoyo Técnico</w:t>
      </w:r>
      <w:r w:rsidRPr="003B4DAF">
        <w:rPr>
          <w:rFonts w:ascii="Palatino Linotype" w:eastAsia="Palatino Linotype" w:hAnsi="Palatino Linotype" w:cs="Palatino Linotype"/>
          <w:color w:val="000000"/>
          <w:sz w:val="22"/>
          <w:szCs w:val="22"/>
        </w:rPr>
        <w:t>.</w:t>
      </w:r>
    </w:p>
    <w:p w14:paraId="6BABD2D4" w14:textId="77777777" w:rsidR="006D488D" w:rsidRPr="003B4DAF" w:rsidRDefault="006D488D" w:rsidP="00A554EA">
      <w:pPr>
        <w:spacing w:line="360" w:lineRule="auto"/>
        <w:jc w:val="both"/>
        <w:rPr>
          <w:rFonts w:ascii="Palatino Linotype" w:eastAsia="Palatino Linotype" w:hAnsi="Palatino Linotype" w:cs="Palatino Linotype"/>
          <w:color w:val="000000"/>
          <w:sz w:val="22"/>
          <w:szCs w:val="22"/>
        </w:rPr>
      </w:pPr>
    </w:p>
    <w:p w14:paraId="2EF94694" w14:textId="16C20821" w:rsidR="006D488D" w:rsidRPr="003B4DAF" w:rsidRDefault="006D488D" w:rsidP="00A554EA">
      <w:pPr>
        <w:spacing w:line="360" w:lineRule="auto"/>
        <w:jc w:val="both"/>
        <w:rPr>
          <w:rFonts w:ascii="Palatino Linotype" w:eastAsia="Palatino Linotype" w:hAnsi="Palatino Linotype" w:cs="Palatino Linotype"/>
          <w:sz w:val="22"/>
          <w:szCs w:val="22"/>
        </w:rPr>
      </w:pPr>
      <w:r w:rsidRPr="003B4DAF">
        <w:rPr>
          <w:rFonts w:ascii="Palatino Linotype" w:eastAsia="Palatino Linotype" w:hAnsi="Palatino Linotype" w:cs="Palatino Linotype"/>
          <w:sz w:val="22"/>
          <w:szCs w:val="22"/>
        </w:rPr>
        <w:t>Conforme a lo anterior se logra observar que el Ayuntamiento de Toluca, cumplió con el procedimiento establecido en el artículo 162 de la Ley de la materia</w:t>
      </w:r>
      <w:r w:rsidR="009B6E1D" w:rsidRPr="003B4DAF">
        <w:rPr>
          <w:rFonts w:ascii="Palatino Linotype" w:eastAsia="Palatino Linotype" w:hAnsi="Palatino Linotype" w:cs="Palatino Linotype"/>
          <w:sz w:val="22"/>
          <w:szCs w:val="22"/>
        </w:rPr>
        <w:t>, al turnar la solicitud a la Tesorería Municipal, sin embargo, también se observó que se omitió turnar la solicitud a la Coordinación de Apoyo Técnico, unidad administrativa competente para conocer sobre lo peticionado.</w:t>
      </w:r>
    </w:p>
    <w:p w14:paraId="109CD7B4" w14:textId="77777777" w:rsidR="009B6E1D" w:rsidRPr="003B4DAF" w:rsidRDefault="009B6E1D" w:rsidP="00A554EA">
      <w:pPr>
        <w:spacing w:line="360" w:lineRule="auto"/>
        <w:jc w:val="both"/>
        <w:rPr>
          <w:rFonts w:ascii="Palatino Linotype" w:eastAsia="Palatino Linotype" w:hAnsi="Palatino Linotype" w:cs="Palatino Linotype"/>
          <w:sz w:val="22"/>
          <w:szCs w:val="22"/>
        </w:rPr>
      </w:pPr>
    </w:p>
    <w:p w14:paraId="1BC5B866" w14:textId="2A6687E0" w:rsidR="009B6E1D" w:rsidRPr="003B4DAF" w:rsidRDefault="009B6E1D" w:rsidP="00A554EA">
      <w:pPr>
        <w:spacing w:line="360" w:lineRule="auto"/>
        <w:jc w:val="both"/>
        <w:rPr>
          <w:rFonts w:ascii="Palatino Linotype" w:eastAsia="Palatino Linotype" w:hAnsi="Palatino Linotype" w:cs="Palatino Linotype"/>
          <w:sz w:val="22"/>
          <w:szCs w:val="22"/>
        </w:rPr>
      </w:pPr>
      <w:r w:rsidRPr="003B4DAF">
        <w:rPr>
          <w:rFonts w:ascii="Palatino Linotype" w:eastAsia="Palatino Linotype" w:hAnsi="Palatino Linotype" w:cs="Palatino Linotype"/>
          <w:sz w:val="22"/>
          <w:szCs w:val="22"/>
        </w:rPr>
        <w:t>Sin menoscabar lo anterior, tanto en respuesta como en informe justificado, la Tesorería Municipal informó que</w:t>
      </w:r>
      <w:r w:rsidR="00E313AE" w:rsidRPr="003B4DAF">
        <w:rPr>
          <w:rFonts w:ascii="Palatino Linotype" w:eastAsia="Palatino Linotype" w:hAnsi="Palatino Linotype" w:cs="Palatino Linotype"/>
          <w:sz w:val="22"/>
          <w:szCs w:val="22"/>
        </w:rPr>
        <w:t xml:space="preserve"> con base en las atribuciones que le confiere diversa normatividad municipal,</w:t>
      </w:r>
      <w:r w:rsidRPr="003B4DAF">
        <w:rPr>
          <w:rFonts w:ascii="Palatino Linotype" w:eastAsia="Palatino Linotype" w:hAnsi="Palatino Linotype" w:cs="Palatino Linotype"/>
          <w:sz w:val="22"/>
          <w:szCs w:val="22"/>
        </w:rPr>
        <w:t xml:space="preserve"> no existía una clasificación administrativa o por temática para la clasificación</w:t>
      </w:r>
      <w:r w:rsidR="00E313AE" w:rsidRPr="003B4DAF">
        <w:rPr>
          <w:rFonts w:ascii="Palatino Linotype" w:eastAsia="Palatino Linotype" w:hAnsi="Palatino Linotype" w:cs="Palatino Linotype"/>
          <w:sz w:val="22"/>
          <w:szCs w:val="22"/>
        </w:rPr>
        <w:t xml:space="preserve"> de la correspondencia firmada por la propia unidad administrativa, situación a la que no estaba obligado normativamente, por lo que con dichas manifestaciones el Sujeto Obligado aludió que la información era inexistente.</w:t>
      </w:r>
    </w:p>
    <w:p w14:paraId="103BF8FB" w14:textId="77777777" w:rsidR="00E313AE" w:rsidRPr="003B4DAF" w:rsidRDefault="00E313AE" w:rsidP="00A554EA">
      <w:pPr>
        <w:spacing w:line="360" w:lineRule="auto"/>
        <w:jc w:val="both"/>
        <w:rPr>
          <w:rFonts w:ascii="Palatino Linotype" w:eastAsia="Palatino Linotype" w:hAnsi="Palatino Linotype" w:cs="Palatino Linotype"/>
          <w:sz w:val="22"/>
          <w:szCs w:val="22"/>
        </w:rPr>
      </w:pPr>
    </w:p>
    <w:p w14:paraId="41F7060E" w14:textId="77777777" w:rsidR="00E313AE" w:rsidRPr="003B4DAF" w:rsidRDefault="00E313AE" w:rsidP="00A554EA">
      <w:pPr>
        <w:tabs>
          <w:tab w:val="left" w:pos="4962"/>
        </w:tabs>
        <w:spacing w:line="360" w:lineRule="auto"/>
        <w:contextualSpacing/>
        <w:jc w:val="both"/>
        <w:rPr>
          <w:rFonts w:ascii="Palatino Linotype" w:hAnsi="Palatino Linotype"/>
          <w:bCs/>
          <w:color w:val="000000"/>
          <w:sz w:val="18"/>
          <w:szCs w:val="18"/>
        </w:rPr>
      </w:pPr>
      <w:r w:rsidRPr="003B4DAF">
        <w:rPr>
          <w:rFonts w:ascii="Palatino Linotype" w:hAnsi="Palatino Linotype"/>
          <w:sz w:val="22"/>
          <w:szCs w:val="22"/>
        </w:rPr>
        <w:t>Sobre dicha circunstancia, resulta necesario traer a estudio el Criterio Orientador, con clave de control SO/014/2017, emitido por el entonces Instituto Nacional de Transparencia, Acceso a la Información Pública y Protección de Datos Personales en el Estado de México y Municipios, el cual se encontraba vigente a la fecha de la solicitud y establece que la inexistencia de la información, es una cuestión de hecho que se le atribuye a la misma, cuando ésta no se encuentra en los archivos del sujeto obligado.</w:t>
      </w:r>
    </w:p>
    <w:p w14:paraId="3CB02F63"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4E16BCCF"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lastRenderedPageBreak/>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95634DA"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5B367F5D" w14:textId="77777777" w:rsidR="00E313AE" w:rsidRPr="003B4DAF" w:rsidRDefault="00E313AE" w:rsidP="00A554EA">
      <w:pPr>
        <w:spacing w:line="360" w:lineRule="auto"/>
        <w:contextualSpacing/>
        <w:jc w:val="both"/>
        <w:rPr>
          <w:rFonts w:ascii="Palatino Linotype" w:hAnsi="Palatino Linotype"/>
          <w:b/>
          <w:sz w:val="22"/>
          <w:szCs w:val="22"/>
        </w:rPr>
      </w:pPr>
      <w:r w:rsidRPr="003B4DAF">
        <w:rPr>
          <w:rFonts w:ascii="Palatino Linotype" w:hAnsi="Palatino Linotype"/>
          <w:sz w:val="22"/>
          <w:szCs w:val="22"/>
        </w:rPr>
        <w:t xml:space="preserve">Conforme a lo anterior, la </w:t>
      </w:r>
      <w:r w:rsidRPr="003B4DAF">
        <w:rPr>
          <w:rFonts w:ascii="Palatino Linotype" w:hAnsi="Palatino Linotype"/>
          <w:b/>
          <w:sz w:val="22"/>
          <w:szCs w:val="22"/>
        </w:rPr>
        <w:t xml:space="preserve">inexistencia </w:t>
      </w:r>
      <w:r w:rsidRPr="003B4DAF">
        <w:rPr>
          <w:rFonts w:ascii="Palatino Linotype" w:hAnsi="Palatino Linotype"/>
          <w:sz w:val="22"/>
          <w:szCs w:val="22"/>
        </w:rPr>
        <w:t xml:space="preserve">presupone la competencia del sujeto obligado para conocer de la información, pero por alguna circunstancia, la documentación solicitada no obra en sus archivos; sin embargo, para poder acreditar dicha circunstancia, se considera que los Sujetos Obligados, </w:t>
      </w:r>
      <w:r w:rsidRPr="003B4DAF">
        <w:rPr>
          <w:rFonts w:ascii="Palatino Linotype" w:hAnsi="Palatino Linotype"/>
          <w:b/>
          <w:sz w:val="22"/>
          <w:szCs w:val="22"/>
        </w:rPr>
        <w:t>primero deben realizar una indagación en todos los archivos de las áreas con funciones para conocer de lo peticionado.</w:t>
      </w:r>
    </w:p>
    <w:p w14:paraId="54C0E967" w14:textId="77777777" w:rsidR="00E313AE" w:rsidRPr="003B4DAF" w:rsidRDefault="00E313AE" w:rsidP="00A554EA">
      <w:pPr>
        <w:spacing w:line="360" w:lineRule="auto"/>
        <w:contextualSpacing/>
        <w:jc w:val="both"/>
        <w:rPr>
          <w:rFonts w:ascii="Palatino Linotype" w:hAnsi="Palatino Linotype"/>
          <w:b/>
          <w:bCs/>
          <w:sz w:val="22"/>
          <w:szCs w:val="22"/>
        </w:rPr>
      </w:pPr>
      <w:r w:rsidRPr="003B4DAF">
        <w:rPr>
          <w:rFonts w:ascii="Palatino Linotype" w:hAnsi="Palatino Linotype"/>
          <w:b/>
          <w:bCs/>
          <w:sz w:val="22"/>
          <w:szCs w:val="22"/>
        </w:rPr>
        <w:t xml:space="preserve"> </w:t>
      </w:r>
    </w:p>
    <w:p w14:paraId="07C6ED5D" w14:textId="77777777" w:rsidR="00E313AE" w:rsidRPr="003B4DAF" w:rsidRDefault="00E313AE" w:rsidP="00A554EA">
      <w:pPr>
        <w:spacing w:line="360" w:lineRule="auto"/>
        <w:contextualSpacing/>
        <w:jc w:val="both"/>
        <w:rPr>
          <w:rFonts w:ascii="Palatino Linotype" w:hAnsi="Palatino Linotype"/>
          <w:b/>
          <w:bCs/>
          <w:sz w:val="22"/>
          <w:szCs w:val="22"/>
        </w:rPr>
      </w:pPr>
      <w:r w:rsidRPr="003B4DAF">
        <w:rPr>
          <w:rFonts w:ascii="Palatino Linotype" w:hAnsi="Palatino Linotype"/>
          <w:sz w:val="22"/>
          <w:szCs w:val="22"/>
        </w:rPr>
        <w:t xml:space="preserve">En ese sentido, según Jarquín, Soledad (2019), en el “Diccionario de Transparencia y Acceso a la Información Pública” (p. 68), </w:t>
      </w:r>
      <w:r w:rsidRPr="003B4DAF">
        <w:rPr>
          <w:rFonts w:ascii="Palatino Linotype" w:hAnsi="Palatino Linotype"/>
          <w:b/>
          <w:sz w:val="22"/>
          <w:szCs w:val="22"/>
        </w:rPr>
        <w:t>la búsqueda exhaustiva</w:t>
      </w:r>
      <w:r w:rsidRPr="003B4DAF">
        <w:rPr>
          <w:rFonts w:ascii="Palatino Linotype" w:hAnsi="Palatino Linotype"/>
          <w:sz w:val="22"/>
          <w:szCs w:val="22"/>
        </w:rPr>
        <w:t xml:space="preserve"> es la obligación del área administrativa del Sujeto Obligado que cuenta o puede contar con la información requerida, la cual consiste en localizar toda aquella que atienda la solicitud, </w:t>
      </w:r>
      <w:r w:rsidRPr="003B4DAF">
        <w:rPr>
          <w:rFonts w:ascii="Palatino Linotype" w:hAnsi="Palatino Linotype"/>
          <w:b/>
          <w:sz w:val="22"/>
          <w:szCs w:val="22"/>
        </w:rPr>
        <w:t>hasta agotar por completo las posibilidades de indagación.</w:t>
      </w:r>
    </w:p>
    <w:p w14:paraId="758CAD33"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30DD6202" w14:textId="77777777" w:rsidR="00E313AE" w:rsidRPr="003B4DAF" w:rsidRDefault="00E313AE" w:rsidP="00A554EA">
      <w:pPr>
        <w:spacing w:line="360" w:lineRule="auto"/>
        <w:contextualSpacing/>
        <w:jc w:val="both"/>
        <w:rPr>
          <w:rFonts w:ascii="Palatino Linotype" w:hAnsi="Palatino Linotype"/>
          <w:b/>
          <w:sz w:val="22"/>
          <w:szCs w:val="22"/>
        </w:rPr>
      </w:pPr>
      <w:r w:rsidRPr="003B4DAF">
        <w:rPr>
          <w:rFonts w:ascii="Palatino Linotype" w:hAnsi="Palatino Linotype"/>
          <w:sz w:val="22"/>
          <w:szCs w:val="22"/>
        </w:rPr>
        <w:t>Además, según Calero, Natalia (2016), en la “Ley General de Transparencia y Acceso a la Información Pública Comentada” (p. 408), para que exista una búsqueda exhaustiva y razonable, se debe hacer una</w:t>
      </w:r>
      <w:r w:rsidRPr="003B4DAF">
        <w:rPr>
          <w:rFonts w:ascii="Palatino Linotype" w:hAnsi="Palatino Linotype"/>
          <w:b/>
          <w:sz w:val="22"/>
          <w:szCs w:val="22"/>
        </w:rPr>
        <w:t xml:space="preserve"> indagación consiente y minuciosa en sus archivos físicos y electrónicos.</w:t>
      </w:r>
    </w:p>
    <w:p w14:paraId="3805B088" w14:textId="77777777" w:rsidR="00E313AE" w:rsidRPr="003B4DAF" w:rsidRDefault="00E313AE" w:rsidP="00A554EA">
      <w:pPr>
        <w:spacing w:line="360" w:lineRule="auto"/>
        <w:contextualSpacing/>
        <w:jc w:val="both"/>
        <w:rPr>
          <w:rFonts w:ascii="Palatino Linotype" w:hAnsi="Palatino Linotype"/>
          <w:b/>
          <w:sz w:val="22"/>
          <w:szCs w:val="22"/>
        </w:rPr>
      </w:pPr>
      <w:r w:rsidRPr="003B4DAF">
        <w:rPr>
          <w:rFonts w:ascii="Palatino Linotype" w:hAnsi="Palatino Linotype"/>
          <w:b/>
          <w:sz w:val="22"/>
          <w:szCs w:val="22"/>
        </w:rPr>
        <w:t xml:space="preserve"> </w:t>
      </w:r>
    </w:p>
    <w:p w14:paraId="4D522806" w14:textId="77777777" w:rsidR="00E313AE" w:rsidRPr="003B4DAF" w:rsidRDefault="00E313AE" w:rsidP="00A554EA">
      <w:pPr>
        <w:spacing w:line="360" w:lineRule="auto"/>
        <w:contextualSpacing/>
        <w:jc w:val="both"/>
        <w:rPr>
          <w:rFonts w:ascii="Palatino Linotype" w:hAnsi="Palatino Linotype"/>
          <w:b/>
          <w:sz w:val="22"/>
          <w:szCs w:val="22"/>
        </w:rPr>
      </w:pPr>
      <w:r w:rsidRPr="003B4DAF">
        <w:rPr>
          <w:rFonts w:ascii="Palatino Linotype" w:hAnsi="Palatino Linotype"/>
          <w:sz w:val="22"/>
          <w:szCs w:val="22"/>
        </w:rPr>
        <w:t xml:space="preserve">Conforme a lo anterior, para poder acreditar el carácter exhaustivo de la búsqueda realizada por los Sujetos Obligados, se deben motivar las razones por las que se buscó la información en determinadas áreas, </w:t>
      </w:r>
      <w:r w:rsidRPr="003B4DAF">
        <w:rPr>
          <w:rFonts w:ascii="Palatino Linotype" w:hAnsi="Palatino Linotype"/>
          <w:b/>
          <w:sz w:val="22"/>
          <w:szCs w:val="22"/>
        </w:rPr>
        <w:t>los criterios de búsqueda utilizados y demás circunstancias que fueron tomadas en cuenta.</w:t>
      </w:r>
    </w:p>
    <w:p w14:paraId="63D6471E" w14:textId="77777777" w:rsidR="00E313AE" w:rsidRPr="003B4DAF" w:rsidRDefault="00E313AE" w:rsidP="00A554EA">
      <w:pPr>
        <w:spacing w:line="360" w:lineRule="auto"/>
        <w:contextualSpacing/>
        <w:jc w:val="both"/>
        <w:rPr>
          <w:rFonts w:ascii="Palatino Linotype" w:hAnsi="Palatino Linotype"/>
          <w:b/>
          <w:sz w:val="22"/>
          <w:szCs w:val="22"/>
        </w:rPr>
      </w:pPr>
      <w:r w:rsidRPr="003B4DAF">
        <w:rPr>
          <w:rFonts w:ascii="Palatino Linotype" w:hAnsi="Palatino Linotype"/>
          <w:b/>
          <w:sz w:val="22"/>
          <w:szCs w:val="22"/>
        </w:rPr>
        <w:t xml:space="preserve"> </w:t>
      </w:r>
    </w:p>
    <w:p w14:paraId="2E733B0B"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lastRenderedPageBreak/>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15ACD31D"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222BC944" w14:textId="77777777" w:rsidR="00E313AE" w:rsidRPr="003B4DAF" w:rsidRDefault="00E313AE" w:rsidP="00A554EA">
      <w:pPr>
        <w:numPr>
          <w:ilvl w:val="0"/>
          <w:numId w:val="5"/>
        </w:num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Motivación por las que se buscó la información, en determinadas unidades administrativas; </w:t>
      </w:r>
    </w:p>
    <w:p w14:paraId="04D5055B" w14:textId="77777777" w:rsidR="00E313AE" w:rsidRPr="003B4DAF" w:rsidRDefault="00E313AE" w:rsidP="00A554EA">
      <w:pPr>
        <w:numPr>
          <w:ilvl w:val="0"/>
          <w:numId w:val="5"/>
        </w:num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Los criterios de búsqueda utilizados, y </w:t>
      </w:r>
    </w:p>
    <w:p w14:paraId="7B3B2AC1" w14:textId="77777777" w:rsidR="00E313AE" w:rsidRPr="003B4DAF" w:rsidRDefault="00E313AE" w:rsidP="00A554EA">
      <w:pPr>
        <w:numPr>
          <w:ilvl w:val="0"/>
          <w:numId w:val="5"/>
        </w:numPr>
        <w:spacing w:line="360" w:lineRule="auto"/>
        <w:contextualSpacing/>
        <w:jc w:val="both"/>
        <w:rPr>
          <w:rFonts w:ascii="Palatino Linotype" w:hAnsi="Palatino Linotype"/>
          <w:b/>
          <w:sz w:val="22"/>
          <w:szCs w:val="22"/>
        </w:rPr>
      </w:pPr>
      <w:r w:rsidRPr="003B4DAF">
        <w:rPr>
          <w:rFonts w:ascii="Palatino Linotype" w:hAnsi="Palatino Linotype"/>
          <w:sz w:val="22"/>
          <w:szCs w:val="22"/>
        </w:rPr>
        <w:t>Las circunstancias que fueron tomadas en cuenta</w:t>
      </w:r>
    </w:p>
    <w:p w14:paraId="27E41EE2"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758185D0"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De tales circunstancias, se considera que para que los Sujetos Obligado justifiquen que realizaron una búsqueda exhaustiva y razonable, deben indicar de manera clara, lo siguiente:</w:t>
      </w:r>
    </w:p>
    <w:p w14:paraId="04F761DF"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21724B4E" w14:textId="77777777" w:rsidR="00E313AE" w:rsidRPr="003B4DAF" w:rsidRDefault="00E313AE" w:rsidP="00A554EA">
      <w:pPr>
        <w:numPr>
          <w:ilvl w:val="0"/>
          <w:numId w:val="6"/>
        </w:numPr>
        <w:spacing w:line="360" w:lineRule="auto"/>
        <w:contextualSpacing/>
        <w:jc w:val="both"/>
        <w:rPr>
          <w:rFonts w:ascii="Palatino Linotype" w:hAnsi="Palatino Linotype"/>
          <w:sz w:val="22"/>
          <w:szCs w:val="22"/>
        </w:rPr>
      </w:pPr>
      <w:r w:rsidRPr="003B4DAF">
        <w:rPr>
          <w:rFonts w:ascii="Palatino Linotype" w:hAnsi="Palatino Linotype"/>
          <w:sz w:val="22"/>
          <w:szCs w:val="22"/>
        </w:rPr>
        <w:t>Las áreas donde se buscó la información;</w:t>
      </w:r>
    </w:p>
    <w:p w14:paraId="38BFB804" w14:textId="77777777" w:rsidR="00E313AE" w:rsidRPr="003B4DAF" w:rsidRDefault="00E313AE" w:rsidP="00A554EA">
      <w:pPr>
        <w:numPr>
          <w:ilvl w:val="0"/>
          <w:numId w:val="6"/>
        </w:num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Tipo de archivos buscados (físicos o electrónicos); </w:t>
      </w:r>
    </w:p>
    <w:p w14:paraId="2E0352A3" w14:textId="77777777" w:rsidR="00E313AE" w:rsidRPr="003B4DAF" w:rsidRDefault="00E313AE" w:rsidP="00A554EA">
      <w:pPr>
        <w:numPr>
          <w:ilvl w:val="0"/>
          <w:numId w:val="6"/>
        </w:num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Los criterios de búsqueda utilizados, y </w:t>
      </w:r>
    </w:p>
    <w:p w14:paraId="5086013E" w14:textId="77777777" w:rsidR="00E313AE" w:rsidRPr="003B4DAF" w:rsidRDefault="00E313AE" w:rsidP="00A554EA">
      <w:pPr>
        <w:numPr>
          <w:ilvl w:val="0"/>
          <w:numId w:val="6"/>
        </w:numPr>
        <w:spacing w:line="360" w:lineRule="auto"/>
        <w:contextualSpacing/>
        <w:jc w:val="both"/>
        <w:rPr>
          <w:rFonts w:ascii="Palatino Linotype" w:hAnsi="Palatino Linotype"/>
          <w:sz w:val="22"/>
          <w:szCs w:val="22"/>
        </w:rPr>
      </w:pPr>
      <w:r w:rsidRPr="003B4DAF">
        <w:rPr>
          <w:rFonts w:ascii="Palatino Linotype" w:hAnsi="Palatino Linotype"/>
          <w:sz w:val="22"/>
          <w:szCs w:val="22"/>
        </w:rPr>
        <w:t>Las circunstancias que fueron tomadas en cuenta.</w:t>
      </w:r>
    </w:p>
    <w:p w14:paraId="3FEA930C" w14:textId="77777777" w:rsidR="00E313AE" w:rsidRPr="003B4DAF" w:rsidRDefault="00E313AE" w:rsidP="00A554EA">
      <w:pPr>
        <w:spacing w:line="360" w:lineRule="auto"/>
        <w:contextualSpacing/>
        <w:jc w:val="both"/>
        <w:rPr>
          <w:rFonts w:ascii="Palatino Linotype" w:hAnsi="Palatino Linotype"/>
          <w:sz w:val="22"/>
          <w:szCs w:val="22"/>
        </w:rPr>
      </w:pPr>
      <w:r w:rsidRPr="003B4DAF">
        <w:rPr>
          <w:rFonts w:ascii="Palatino Linotype" w:hAnsi="Palatino Linotype"/>
          <w:sz w:val="22"/>
          <w:szCs w:val="22"/>
        </w:rPr>
        <w:t xml:space="preserve"> </w:t>
      </w:r>
    </w:p>
    <w:p w14:paraId="01558EC0" w14:textId="2517FFF0" w:rsidR="00E313AE" w:rsidRPr="003B4DAF" w:rsidRDefault="00E313AE" w:rsidP="00A554EA">
      <w:pPr>
        <w:spacing w:line="360" w:lineRule="auto"/>
        <w:jc w:val="both"/>
        <w:rPr>
          <w:rFonts w:ascii="Palatino Linotype" w:hAnsi="Palatino Linotype"/>
          <w:sz w:val="22"/>
          <w:szCs w:val="22"/>
        </w:rPr>
      </w:pPr>
      <w:r w:rsidRPr="003B4DAF">
        <w:rPr>
          <w:rFonts w:ascii="Palatino Linotype" w:hAnsi="Palatino Linotype"/>
          <w:sz w:val="22"/>
          <w:szCs w:val="22"/>
        </w:rPr>
        <w:t>Ahora bien, de las constancias que obran en el expediente se advierte que el Sujeto Obligado inobservó lo señalado en los incisos b), c) y d) toda vez que, no demostró en que archivos buscó, y tampoco se logran vislumbrar los criterios y circunstancias tomadas en cuenta, ni los criterios de búsqueda utilizados, para localizar la información.</w:t>
      </w:r>
    </w:p>
    <w:p w14:paraId="74BF34AA" w14:textId="77777777" w:rsidR="00E313AE" w:rsidRPr="003B4DAF" w:rsidRDefault="00E313AE" w:rsidP="00A554EA">
      <w:pPr>
        <w:spacing w:line="360" w:lineRule="auto"/>
        <w:jc w:val="both"/>
        <w:rPr>
          <w:rFonts w:ascii="Palatino Linotype" w:hAnsi="Palatino Linotype"/>
          <w:sz w:val="22"/>
          <w:szCs w:val="22"/>
        </w:rPr>
      </w:pPr>
    </w:p>
    <w:p w14:paraId="543A5E0B" w14:textId="77777777" w:rsidR="00A554EA" w:rsidRPr="003B4DAF" w:rsidRDefault="00A554EA" w:rsidP="00A554EA">
      <w:pPr>
        <w:spacing w:line="360" w:lineRule="auto"/>
        <w:jc w:val="both"/>
        <w:rPr>
          <w:rFonts w:ascii="Palatino Linotype" w:hAnsi="Palatino Linotype"/>
          <w:sz w:val="22"/>
          <w:szCs w:val="22"/>
        </w:rPr>
      </w:pPr>
    </w:p>
    <w:p w14:paraId="03B9C64E" w14:textId="72BD4ADF" w:rsidR="006D488D" w:rsidRPr="003B4DAF" w:rsidRDefault="00E313AE" w:rsidP="00A554EA">
      <w:pPr>
        <w:widowControl w:val="0"/>
        <w:spacing w:line="360" w:lineRule="auto"/>
        <w:contextualSpacing/>
        <w:jc w:val="both"/>
        <w:rPr>
          <w:rFonts w:ascii="Palatino Linotype" w:hAnsi="Palatino Linotype"/>
          <w:sz w:val="22"/>
          <w:szCs w:val="22"/>
        </w:rPr>
      </w:pPr>
      <w:r w:rsidRPr="003B4DAF">
        <w:rPr>
          <w:rFonts w:ascii="Palatino Linotype" w:hAnsi="Palatino Linotype"/>
          <w:sz w:val="22"/>
          <w:szCs w:val="22"/>
        </w:rPr>
        <w:lastRenderedPageBreak/>
        <w:t>De esta forma, se logra vislumbrar que si bien</w:t>
      </w:r>
      <w:r w:rsidR="00FF01D0" w:rsidRPr="003B4DAF">
        <w:rPr>
          <w:rFonts w:ascii="Palatino Linotype" w:hAnsi="Palatino Linotype"/>
          <w:sz w:val="22"/>
          <w:szCs w:val="22"/>
        </w:rPr>
        <w:t>,</w:t>
      </w:r>
      <w:r w:rsidRPr="003B4DAF">
        <w:rPr>
          <w:rFonts w:ascii="Palatino Linotype" w:hAnsi="Palatino Linotype"/>
          <w:sz w:val="22"/>
          <w:szCs w:val="22"/>
        </w:rPr>
        <w:t xml:space="preserve"> la </w:t>
      </w:r>
      <w:r w:rsidR="00FF01D0" w:rsidRPr="003B4DAF">
        <w:rPr>
          <w:rFonts w:ascii="Palatino Linotype" w:hAnsi="Palatino Linotype"/>
          <w:sz w:val="22"/>
          <w:szCs w:val="22"/>
        </w:rPr>
        <w:t xml:space="preserve">Tesorería Municipal </w:t>
      </w:r>
      <w:r w:rsidRPr="003B4DAF">
        <w:rPr>
          <w:rFonts w:ascii="Palatino Linotype" w:hAnsi="Palatino Linotype"/>
          <w:sz w:val="22"/>
          <w:szCs w:val="22"/>
        </w:rPr>
        <w:t xml:space="preserve">informó que no </w:t>
      </w:r>
      <w:r w:rsidR="00FF01D0" w:rsidRPr="003B4DAF">
        <w:rPr>
          <w:rFonts w:ascii="Palatino Linotype" w:hAnsi="Palatino Linotype"/>
          <w:sz w:val="22"/>
          <w:szCs w:val="22"/>
        </w:rPr>
        <w:t xml:space="preserve">existía clasificación de la correspondencia firmada por el titular del área, y que no </w:t>
      </w:r>
      <w:r w:rsidRPr="003B4DAF">
        <w:rPr>
          <w:rFonts w:ascii="Palatino Linotype" w:hAnsi="Palatino Linotype"/>
          <w:sz w:val="22"/>
          <w:szCs w:val="22"/>
        </w:rPr>
        <w:t>contaba con obligación normativa para clasificar la información solicitada</w:t>
      </w:r>
      <w:r w:rsidR="00FF01D0" w:rsidRPr="003B4DAF">
        <w:rPr>
          <w:rFonts w:ascii="Palatino Linotype" w:hAnsi="Palatino Linotype"/>
          <w:sz w:val="22"/>
          <w:szCs w:val="22"/>
        </w:rPr>
        <w:t xml:space="preserve">, </w:t>
      </w:r>
      <w:r w:rsidRPr="003B4DAF">
        <w:rPr>
          <w:rFonts w:ascii="Palatino Linotype" w:hAnsi="Palatino Linotype"/>
          <w:sz w:val="22"/>
          <w:szCs w:val="22"/>
        </w:rPr>
        <w:t xml:space="preserve">lo cual implicaba realizar un procesamiento de la información, también lo es que omitió turnar la solicitud a todas las áreas internas </w:t>
      </w:r>
      <w:r w:rsidR="00FF01D0" w:rsidRPr="003B4DAF">
        <w:rPr>
          <w:rFonts w:ascii="Palatino Linotype" w:hAnsi="Palatino Linotype"/>
          <w:sz w:val="22"/>
          <w:szCs w:val="22"/>
        </w:rPr>
        <w:t xml:space="preserve">de dicha área, </w:t>
      </w:r>
      <w:r w:rsidRPr="003B4DAF">
        <w:rPr>
          <w:rFonts w:ascii="Palatino Linotype" w:hAnsi="Palatino Linotype"/>
          <w:sz w:val="22"/>
          <w:szCs w:val="22"/>
        </w:rPr>
        <w:t>encargadas de dar seguimiento a las peticiones requeridas, así como las respuestas proporcionadas</w:t>
      </w:r>
      <w:r w:rsidR="00FF01D0" w:rsidRPr="003B4DAF">
        <w:rPr>
          <w:rFonts w:ascii="Palatino Linotype" w:hAnsi="Palatino Linotype"/>
          <w:sz w:val="22"/>
          <w:szCs w:val="22"/>
        </w:rPr>
        <w:t>, pues del análisis de la normatividad interna del área se localizó que a través de la Coordinación de Apoyo Técnico cuenta con atribuciones para conocer sobre lo peticionado, por lo que no se puede validar la respuesta proporcionada</w:t>
      </w:r>
      <w:r w:rsidRPr="003B4DAF">
        <w:rPr>
          <w:rFonts w:ascii="Palatino Linotype" w:hAnsi="Palatino Linotype"/>
          <w:sz w:val="22"/>
          <w:szCs w:val="22"/>
        </w:rPr>
        <w:t>.</w:t>
      </w:r>
    </w:p>
    <w:p w14:paraId="108656EE" w14:textId="77777777" w:rsidR="00FF01D0" w:rsidRPr="003B4DAF" w:rsidRDefault="00FF01D0" w:rsidP="00A554EA">
      <w:pPr>
        <w:widowControl w:val="0"/>
        <w:spacing w:line="360" w:lineRule="auto"/>
        <w:contextualSpacing/>
        <w:jc w:val="both"/>
        <w:rPr>
          <w:rFonts w:ascii="Palatino Linotype" w:hAnsi="Palatino Linotype"/>
          <w:sz w:val="22"/>
          <w:szCs w:val="22"/>
        </w:rPr>
      </w:pPr>
    </w:p>
    <w:p w14:paraId="7BFAE72C" w14:textId="480D3198" w:rsidR="00FF01D0" w:rsidRPr="003B4DAF" w:rsidRDefault="00FF01D0" w:rsidP="00A554EA">
      <w:pPr>
        <w:spacing w:line="360" w:lineRule="auto"/>
        <w:contextualSpacing/>
        <w:jc w:val="both"/>
        <w:rPr>
          <w:rFonts w:ascii="Palatino Linotype" w:eastAsia="Palatino Linotype" w:hAnsi="Palatino Linotype" w:cs="Palatino Linotype"/>
          <w:b/>
          <w:bCs/>
          <w:sz w:val="22"/>
          <w:szCs w:val="22"/>
        </w:rPr>
      </w:pPr>
      <w:r w:rsidRPr="003B4DAF">
        <w:rPr>
          <w:rFonts w:ascii="Palatino Linotype" w:eastAsia="Palatino Linotype" w:hAnsi="Palatino Linotype" w:cs="Palatino Linotype"/>
          <w:sz w:val="22"/>
          <w:szCs w:val="22"/>
        </w:rPr>
        <w:t xml:space="preserve">De tal suerte, se advierte que el Ente Recurrido realizó una interpretación restrictiva de la solicitud de información, pues estaba en posibilidades de proporcionar la información requerida y atender el requerimiento, lo cual da como resultado que el agravio sea </w:t>
      </w:r>
      <w:r w:rsidRPr="003B4DAF">
        <w:rPr>
          <w:rFonts w:ascii="Palatino Linotype" w:eastAsia="Palatino Linotype" w:hAnsi="Palatino Linotype" w:cs="Palatino Linotype"/>
          <w:b/>
          <w:bCs/>
          <w:sz w:val="22"/>
          <w:szCs w:val="22"/>
        </w:rPr>
        <w:t>FUNDADO.</w:t>
      </w:r>
    </w:p>
    <w:p w14:paraId="531A0B3B" w14:textId="77777777" w:rsidR="00E313AE" w:rsidRPr="003B4DAF" w:rsidRDefault="00E313AE" w:rsidP="00A554EA">
      <w:pPr>
        <w:widowControl w:val="0"/>
        <w:spacing w:line="360" w:lineRule="auto"/>
        <w:contextualSpacing/>
        <w:jc w:val="both"/>
        <w:rPr>
          <w:rFonts w:ascii="Palatino Linotype" w:hAnsi="Palatino Linotype" w:cs="Tahoma"/>
          <w:bCs/>
          <w:iCs/>
          <w:sz w:val="22"/>
          <w:szCs w:val="22"/>
        </w:rPr>
      </w:pPr>
    </w:p>
    <w:p w14:paraId="08F94CA5" w14:textId="0DF64E92" w:rsidR="006D488D" w:rsidRPr="003B4DAF" w:rsidRDefault="006D488D" w:rsidP="00A554EA">
      <w:pPr>
        <w:widowControl w:val="0"/>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Conforme a lo anterior, se considera que el Sujeto Obligado deberá realizar una búsqueda exhaustiva y razonable</w:t>
      </w:r>
      <w:r w:rsidR="00FF01D0" w:rsidRPr="003B4DAF">
        <w:rPr>
          <w:rFonts w:ascii="Palatino Linotype" w:hAnsi="Palatino Linotype" w:cs="Tahoma"/>
          <w:bCs/>
          <w:iCs/>
          <w:sz w:val="22"/>
          <w:szCs w:val="22"/>
        </w:rPr>
        <w:t xml:space="preserve"> en todas las unidades administrativas competentes entre las que no podrá omitir a la Coordinación de Apoyo Técnico dependiente de la Tesorería Municipal</w:t>
      </w:r>
      <w:r w:rsidRPr="003B4DAF">
        <w:rPr>
          <w:rFonts w:ascii="Palatino Linotype" w:hAnsi="Palatino Linotype" w:cs="Tahoma"/>
          <w:bCs/>
          <w:iCs/>
          <w:sz w:val="22"/>
          <w:szCs w:val="22"/>
        </w:rPr>
        <w:t xml:space="preserve"> a efecto de que proporcione los documentos, den cuenta </w:t>
      </w:r>
      <w:r w:rsidR="00FF01D0" w:rsidRPr="003B4DAF">
        <w:rPr>
          <w:rFonts w:ascii="Palatino Linotype" w:hAnsi="Palatino Linotype" w:cs="Tahoma"/>
          <w:bCs/>
          <w:iCs/>
          <w:sz w:val="22"/>
          <w:szCs w:val="22"/>
        </w:rPr>
        <w:t xml:space="preserve">las peticiones realizadas por la ciudadanía dirigidas a la Tesorería Municipal, así como las respuestas </w:t>
      </w:r>
      <w:r w:rsidR="008A2390" w:rsidRPr="003B4DAF">
        <w:rPr>
          <w:rFonts w:ascii="Palatino Linotype" w:hAnsi="Palatino Linotype" w:cs="Tahoma"/>
          <w:bCs/>
          <w:iCs/>
          <w:sz w:val="22"/>
          <w:szCs w:val="22"/>
        </w:rPr>
        <w:t>realizadas.</w:t>
      </w:r>
    </w:p>
    <w:p w14:paraId="1E20AA70" w14:textId="77777777" w:rsidR="006D488D" w:rsidRPr="003B4DAF" w:rsidRDefault="006D488D" w:rsidP="00A554EA">
      <w:pPr>
        <w:spacing w:line="360" w:lineRule="auto"/>
        <w:contextualSpacing/>
        <w:jc w:val="both"/>
        <w:rPr>
          <w:rFonts w:ascii="Palatino Linotype" w:hAnsi="Palatino Linotype" w:cs="Tahoma"/>
          <w:sz w:val="22"/>
          <w:szCs w:val="22"/>
        </w:rPr>
      </w:pPr>
    </w:p>
    <w:p w14:paraId="66374BBA" w14:textId="77777777" w:rsidR="006D488D" w:rsidRPr="003B4DAF" w:rsidRDefault="006D488D" w:rsidP="00A554EA">
      <w:pPr>
        <w:spacing w:line="360" w:lineRule="auto"/>
        <w:contextualSpacing/>
        <w:jc w:val="both"/>
        <w:rPr>
          <w:rFonts w:ascii="Palatino Linotype" w:hAnsi="Palatino Linotype"/>
          <w:bCs/>
          <w:iCs/>
          <w:sz w:val="22"/>
          <w:szCs w:val="22"/>
        </w:rPr>
      </w:pPr>
      <w:r w:rsidRPr="003B4DAF">
        <w:rPr>
          <w:rFonts w:ascii="Palatino Linotype" w:hAnsi="Palatino Linotype" w:cs="Tahoma"/>
          <w:sz w:val="22"/>
          <w:szCs w:val="22"/>
        </w:rPr>
        <w:t>Dicha</w:t>
      </w:r>
      <w:r w:rsidRPr="003B4DAF">
        <w:rPr>
          <w:rFonts w:ascii="Palatino Linotype" w:hAnsi="Palatino Linotype"/>
          <w:bCs/>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260F9E8" w14:textId="77777777" w:rsidR="006D488D" w:rsidRPr="003B4DAF" w:rsidRDefault="006D488D" w:rsidP="00A554EA">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 </w:t>
      </w:r>
    </w:p>
    <w:p w14:paraId="0D60233C" w14:textId="77777777" w:rsidR="006D488D" w:rsidRPr="003B4DAF" w:rsidRDefault="006D488D" w:rsidP="00A554EA">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3B4DAF">
        <w:rPr>
          <w:rFonts w:ascii="Palatino Linotype" w:hAnsi="Palatino Linotype"/>
          <w:bCs/>
          <w:i/>
          <w:iCs/>
          <w:sz w:val="22"/>
          <w:szCs w:val="22"/>
        </w:rPr>
        <w:t>ad hoc</w:t>
      </w:r>
      <w:r w:rsidRPr="003B4DAF">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C346247" w14:textId="77777777" w:rsidR="006D488D" w:rsidRPr="003B4DAF" w:rsidRDefault="006D488D" w:rsidP="00A554EA">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 </w:t>
      </w:r>
    </w:p>
    <w:p w14:paraId="62624CBF" w14:textId="530F6B50" w:rsidR="00FF01D0" w:rsidRPr="003B4DAF" w:rsidRDefault="006D488D" w:rsidP="00A554EA">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 </w:t>
      </w:r>
    </w:p>
    <w:p w14:paraId="20521CE8" w14:textId="77777777" w:rsidR="00FF01D0" w:rsidRPr="003B4DAF" w:rsidRDefault="00FF01D0" w:rsidP="00A554EA">
      <w:pPr>
        <w:spacing w:line="360" w:lineRule="auto"/>
        <w:contextualSpacing/>
        <w:jc w:val="both"/>
        <w:rPr>
          <w:rFonts w:ascii="Palatino Linotype" w:hAnsi="Palatino Linotype"/>
          <w:bCs/>
          <w:iCs/>
          <w:sz w:val="22"/>
          <w:szCs w:val="22"/>
        </w:rPr>
      </w:pPr>
    </w:p>
    <w:p w14:paraId="0B046DD2" w14:textId="77777777" w:rsidR="003B4DAF" w:rsidRPr="003B4DAF" w:rsidRDefault="003B4DAF" w:rsidP="003B4DAF">
      <w:pPr>
        <w:spacing w:line="360" w:lineRule="auto"/>
        <w:contextualSpacing/>
        <w:jc w:val="both"/>
        <w:rPr>
          <w:rFonts w:ascii="Palatino Linotype" w:eastAsia="Palatino Linotype" w:hAnsi="Palatino Linotype" w:cs="Tahoma"/>
          <w:color w:val="000000"/>
          <w:sz w:val="22"/>
          <w:szCs w:val="24"/>
          <w:lang w:eastAsia="es-MX"/>
        </w:rPr>
      </w:pPr>
      <w:r w:rsidRPr="003B4DAF">
        <w:rPr>
          <w:rFonts w:ascii="Palatino Linotype" w:eastAsia="Palatino Linotype" w:hAnsi="Palatino Linotype" w:cs="Tahoma"/>
          <w:color w:val="000000"/>
          <w:sz w:val="22"/>
          <w:szCs w:val="24"/>
          <w:lang w:eastAsia="es-MX"/>
        </w:rPr>
        <w:t>Conforme a lo expuesto se logra observar, que las peticiones requeridas, pudieran contar con diversos datos susceptibles de clasificación, por lo que el Sujeto Obligado deberá analizar dicha circunstancia conforme a lo siguiente:</w:t>
      </w:r>
    </w:p>
    <w:p w14:paraId="48F24222" w14:textId="77777777" w:rsidR="008A2390" w:rsidRPr="003B4DAF" w:rsidRDefault="008A2390" w:rsidP="008A2390">
      <w:pPr>
        <w:spacing w:line="360" w:lineRule="auto"/>
        <w:jc w:val="both"/>
        <w:rPr>
          <w:rFonts w:ascii="Palatino Linotype" w:eastAsia="Palatino Linotype" w:hAnsi="Palatino Linotype" w:cs="Tahoma"/>
          <w:color w:val="000000"/>
          <w:sz w:val="22"/>
          <w:szCs w:val="24"/>
          <w:lang w:eastAsia="es-MX"/>
        </w:rPr>
      </w:pPr>
    </w:p>
    <w:p w14:paraId="1A3E0CA3" w14:textId="0A802D68" w:rsidR="008A2390" w:rsidRPr="003B4DAF" w:rsidRDefault="008A2390" w:rsidP="008A2390">
      <w:pPr>
        <w:numPr>
          <w:ilvl w:val="0"/>
          <w:numId w:val="7"/>
        </w:numPr>
        <w:spacing w:after="160" w:line="360" w:lineRule="auto"/>
        <w:contextualSpacing/>
        <w:jc w:val="both"/>
        <w:rPr>
          <w:rFonts w:ascii="Palatino Linotype" w:eastAsia="Calibri" w:hAnsi="Palatino Linotype" w:cs="Tahoma"/>
          <w:bCs/>
          <w:sz w:val="22"/>
          <w:szCs w:val="24"/>
          <w:lang w:val="es-ES" w:eastAsia="en-US"/>
        </w:rPr>
      </w:pPr>
      <w:r w:rsidRPr="003B4DAF">
        <w:rPr>
          <w:rFonts w:ascii="Palatino Linotype" w:eastAsia="Calibri" w:hAnsi="Palatino Linotype" w:cs="Tahoma"/>
          <w:bCs/>
          <w:sz w:val="22"/>
          <w:szCs w:val="24"/>
          <w:lang w:val="es-ES" w:eastAsia="en-US"/>
        </w:rPr>
        <w:t>Nombre y firma de particulares</w:t>
      </w:r>
    </w:p>
    <w:p w14:paraId="10DFF975" w14:textId="60EFD10C" w:rsidR="008A2390" w:rsidRPr="003B4DAF" w:rsidRDefault="008A2390" w:rsidP="008A2390">
      <w:pPr>
        <w:numPr>
          <w:ilvl w:val="0"/>
          <w:numId w:val="7"/>
        </w:numPr>
        <w:spacing w:after="160" w:line="360" w:lineRule="auto"/>
        <w:contextualSpacing/>
        <w:jc w:val="both"/>
        <w:rPr>
          <w:rFonts w:ascii="Palatino Linotype" w:eastAsia="Calibri" w:hAnsi="Palatino Linotype" w:cs="Tahoma"/>
          <w:bCs/>
          <w:sz w:val="22"/>
          <w:szCs w:val="24"/>
          <w:lang w:val="es-ES" w:eastAsia="en-US"/>
        </w:rPr>
      </w:pPr>
      <w:r w:rsidRPr="003B4DAF">
        <w:rPr>
          <w:rFonts w:ascii="Palatino Linotype" w:eastAsia="Calibri" w:hAnsi="Palatino Linotype" w:cs="Tahoma"/>
          <w:bCs/>
          <w:sz w:val="22"/>
          <w:szCs w:val="24"/>
          <w:lang w:val="es-ES" w:eastAsia="en-US"/>
        </w:rPr>
        <w:t>Domicilio particular, y</w:t>
      </w:r>
    </w:p>
    <w:p w14:paraId="6C0647B5" w14:textId="284C26EA" w:rsidR="008A2390" w:rsidRPr="003B4DAF" w:rsidRDefault="008A2390" w:rsidP="00A554EA">
      <w:pPr>
        <w:numPr>
          <w:ilvl w:val="0"/>
          <w:numId w:val="7"/>
        </w:numPr>
        <w:spacing w:after="160" w:line="360" w:lineRule="auto"/>
        <w:contextualSpacing/>
        <w:jc w:val="both"/>
        <w:rPr>
          <w:rFonts w:ascii="Palatino Linotype" w:eastAsia="Calibri" w:hAnsi="Palatino Linotype" w:cs="Tahoma"/>
          <w:bCs/>
          <w:sz w:val="22"/>
          <w:szCs w:val="24"/>
          <w:lang w:val="es-ES" w:eastAsia="en-US"/>
        </w:rPr>
      </w:pPr>
      <w:r w:rsidRPr="003B4DAF">
        <w:rPr>
          <w:rFonts w:ascii="Palatino Linotype" w:eastAsia="Calibri" w:hAnsi="Palatino Linotype" w:cs="Tahoma"/>
          <w:bCs/>
          <w:sz w:val="22"/>
          <w:szCs w:val="24"/>
          <w:lang w:val="es-ES" w:eastAsia="en-US"/>
        </w:rPr>
        <w:t>Teléfono particular.</w:t>
      </w:r>
    </w:p>
    <w:p w14:paraId="56816FBD" w14:textId="77777777" w:rsidR="008A2390" w:rsidRPr="003B4DAF" w:rsidRDefault="008A2390" w:rsidP="00A554EA">
      <w:pPr>
        <w:spacing w:line="360" w:lineRule="auto"/>
        <w:contextualSpacing/>
        <w:jc w:val="both"/>
        <w:rPr>
          <w:rFonts w:ascii="Palatino Linotype" w:hAnsi="Palatino Linotype"/>
          <w:bCs/>
          <w:iCs/>
          <w:sz w:val="22"/>
          <w:szCs w:val="22"/>
        </w:rPr>
      </w:pPr>
    </w:p>
    <w:p w14:paraId="42156195"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t>Así, se procede analizar si dichos datos son confidenciales o públicos; para lo cual,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94D730F"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p>
    <w:p w14:paraId="3B43EFCD"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lastRenderedPageBreak/>
        <w:t>Asimismo, el artículo 145 de la Ley de la materia,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8534DC9"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p>
    <w:p w14:paraId="6EDBE857"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t>En términos de lo expuesto, la documentación y aquellos datos que se consideren confidenciales, serán una limitante del derecho de acceso a la información, siempre y cuando:</w:t>
      </w:r>
    </w:p>
    <w:p w14:paraId="056D4706"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p>
    <w:p w14:paraId="4C4A5692" w14:textId="77777777" w:rsidR="008A2390" w:rsidRPr="003B4DAF" w:rsidRDefault="008A2390" w:rsidP="008A2390">
      <w:pPr>
        <w:numPr>
          <w:ilvl w:val="0"/>
          <w:numId w:val="8"/>
        </w:num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5AE7EB04" w14:textId="77777777" w:rsidR="008A2390" w:rsidRPr="003B4DAF" w:rsidRDefault="008A2390" w:rsidP="008A2390">
      <w:pPr>
        <w:numPr>
          <w:ilvl w:val="0"/>
          <w:numId w:val="8"/>
        </w:num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t xml:space="preserve">Para la difusión de los datos, se requiera el consentimiento del titular. </w:t>
      </w:r>
    </w:p>
    <w:p w14:paraId="0E2FD957"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p>
    <w:p w14:paraId="5CB18CC3"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271EA7C"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iCs/>
          <w:color w:val="000000"/>
          <w:sz w:val="22"/>
          <w:szCs w:val="22"/>
          <w:lang w:eastAsia="es-MX"/>
        </w:rPr>
      </w:pPr>
    </w:p>
    <w:p w14:paraId="073D6221"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lastRenderedPageBreak/>
        <w:t>Bajo ese contexto, se analizarán si los datos mencionados, deben ser considerados confidenciales, en términos del artículo 143, fracción I, de la Ley de Transparencia y Acceso a la Información Pública del Estado de México y Municipios, o públicos.</w:t>
      </w:r>
    </w:p>
    <w:p w14:paraId="7BCAB7C0" w14:textId="77777777" w:rsidR="008A2390" w:rsidRPr="003B4DAF" w:rsidRDefault="008A2390" w:rsidP="00A554EA">
      <w:pPr>
        <w:spacing w:line="360" w:lineRule="auto"/>
        <w:contextualSpacing/>
        <w:jc w:val="both"/>
        <w:rPr>
          <w:rFonts w:ascii="Palatino Linotype" w:hAnsi="Palatino Linotype"/>
          <w:bCs/>
          <w:iCs/>
          <w:sz w:val="22"/>
          <w:szCs w:val="22"/>
        </w:rPr>
      </w:pPr>
    </w:p>
    <w:p w14:paraId="3CAD4FD2" w14:textId="3F74527F" w:rsidR="008A2390" w:rsidRPr="003B4DAF" w:rsidRDefault="008A2390" w:rsidP="008A2390">
      <w:pPr>
        <w:numPr>
          <w:ilvl w:val="0"/>
          <w:numId w:val="9"/>
        </w:numPr>
        <w:tabs>
          <w:tab w:val="left" w:pos="4962"/>
        </w:tabs>
        <w:spacing w:after="160" w:line="360" w:lineRule="auto"/>
        <w:contextualSpacing/>
        <w:jc w:val="both"/>
        <w:rPr>
          <w:rFonts w:ascii="Palatino Linotype" w:eastAsia="Palatino Linotype" w:hAnsi="Palatino Linotype" w:cs="Tahoma"/>
          <w:b/>
          <w:color w:val="000000"/>
          <w:sz w:val="22"/>
          <w:szCs w:val="22"/>
          <w:lang w:eastAsia="es-MX"/>
        </w:rPr>
      </w:pPr>
      <w:r w:rsidRPr="003B4DAF">
        <w:rPr>
          <w:rFonts w:ascii="Palatino Linotype" w:eastAsia="Palatino Linotype" w:hAnsi="Palatino Linotype" w:cs="Tahoma"/>
          <w:b/>
          <w:color w:val="000000"/>
          <w:sz w:val="22"/>
          <w:szCs w:val="22"/>
          <w:lang w:eastAsia="es-MX"/>
        </w:rPr>
        <w:t>Nombre de particulares</w:t>
      </w:r>
    </w:p>
    <w:p w14:paraId="5FDC02BB"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color w:val="000000"/>
          <w:sz w:val="22"/>
          <w:szCs w:val="22"/>
          <w:lang w:eastAsia="es-MX"/>
        </w:rPr>
      </w:pPr>
    </w:p>
    <w:p w14:paraId="166198CD"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bCs/>
          <w:color w:val="000000"/>
          <w:sz w:val="22"/>
          <w:szCs w:val="22"/>
          <w:lang w:val="es-ES_tradnl" w:eastAsia="es-MX"/>
        </w:rPr>
      </w:pPr>
      <w:r w:rsidRPr="003B4DAF">
        <w:rPr>
          <w:rFonts w:ascii="Palatino Linotype" w:eastAsia="Palatino Linotype" w:hAnsi="Palatino Linotype" w:cs="Tahoma"/>
          <w:bCs/>
          <w:color w:val="000000"/>
          <w:sz w:val="22"/>
          <w:szCs w:val="22"/>
          <w:lang w:eastAsia="es-MX"/>
        </w:rPr>
        <w:t xml:space="preserve">Al respecto, se considera que el nombre de una persona se integra </w:t>
      </w:r>
      <w:r w:rsidRPr="003B4DAF">
        <w:rPr>
          <w:rFonts w:ascii="Palatino Linotype" w:eastAsia="Palatino Linotype" w:hAnsi="Palatino Linotype" w:cs="Tahoma"/>
          <w:bCs/>
          <w:color w:val="000000"/>
          <w:sz w:val="22"/>
          <w:szCs w:val="22"/>
          <w:lang w:val="es-ES_tradnl" w:eastAsia="es-MX"/>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B4DAF">
        <w:rPr>
          <w:rFonts w:ascii="Palatino Linotype" w:eastAsia="Palatino Linotype" w:hAnsi="Palatino Linotype" w:cs="Tahoma"/>
          <w:bCs/>
          <w:i/>
          <w:color w:val="000000"/>
          <w:sz w:val="22"/>
          <w:szCs w:val="22"/>
          <w:lang w:val="es-ES_tradnl" w:eastAsia="es-MX"/>
        </w:rPr>
        <w:t>per se</w:t>
      </w:r>
      <w:r w:rsidRPr="003B4DAF">
        <w:rPr>
          <w:rFonts w:ascii="Palatino Linotype" w:eastAsia="Palatino Linotype" w:hAnsi="Palatino Linotype" w:cs="Tahoma"/>
          <w:bCs/>
          <w:color w:val="000000"/>
          <w:sz w:val="22"/>
          <w:szCs w:val="22"/>
          <w:lang w:val="es-ES_tradnl" w:eastAsia="es-MX"/>
        </w:rPr>
        <w:t xml:space="preserve"> es un elemento que hace a una persona física identificada o identificable, por lo que, </w:t>
      </w:r>
      <w:r w:rsidRPr="003B4DAF">
        <w:rPr>
          <w:rFonts w:ascii="Palatino Linotype" w:eastAsia="Palatino Linotype" w:hAnsi="Palatino Linotype" w:cs="Tahoma"/>
          <w:b/>
          <w:bCs/>
          <w:color w:val="000000"/>
          <w:sz w:val="22"/>
          <w:szCs w:val="22"/>
          <w:lang w:val="es-ES_tradnl" w:eastAsia="es-MX"/>
        </w:rPr>
        <w:t>se considera un dato personal.</w:t>
      </w:r>
    </w:p>
    <w:p w14:paraId="392FB449"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bCs/>
          <w:color w:val="000000"/>
          <w:sz w:val="22"/>
          <w:szCs w:val="22"/>
          <w:lang w:val="es-ES_tradnl" w:eastAsia="es-MX"/>
        </w:rPr>
      </w:pPr>
    </w:p>
    <w:p w14:paraId="762416C1"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r w:rsidRPr="003B4DAF">
        <w:rPr>
          <w:rFonts w:ascii="Palatino Linotype" w:eastAsia="Palatino Linotype" w:hAnsi="Palatino Linotype" w:cs="Tahoma"/>
          <w:color w:val="000000"/>
          <w:sz w:val="22"/>
          <w:szCs w:val="22"/>
          <w:lang w:val="es-ES" w:eastAsia="es-MX"/>
        </w:rPr>
        <w:t>En el presente caso, es de referir que el nombre corresponde a una persona particular que fungió como testigo para el servidor público entrante o saliente, y que no tiene relación alguna con el Ayuntamiento, por lo que, se considera que el dato actualiza la causal de clasificación, establecida en el artículo 143, fracción I, de la Ley de la materia.</w:t>
      </w:r>
    </w:p>
    <w:p w14:paraId="442D134A" w14:textId="7CDFBAA0" w:rsidR="008A2390" w:rsidRPr="003B4DAF" w:rsidRDefault="008A2390" w:rsidP="00A554EA">
      <w:pPr>
        <w:spacing w:line="360" w:lineRule="auto"/>
        <w:contextualSpacing/>
        <w:jc w:val="both"/>
        <w:rPr>
          <w:rFonts w:ascii="Palatino Linotype" w:hAnsi="Palatino Linotype"/>
          <w:bCs/>
          <w:iCs/>
          <w:sz w:val="22"/>
          <w:szCs w:val="22"/>
          <w:lang w:val="es-ES"/>
        </w:rPr>
      </w:pPr>
    </w:p>
    <w:p w14:paraId="0CB0FCDF" w14:textId="0C4528C3" w:rsidR="008A2390" w:rsidRPr="003B4DAF" w:rsidRDefault="008A2390" w:rsidP="008A2390">
      <w:pPr>
        <w:numPr>
          <w:ilvl w:val="0"/>
          <w:numId w:val="9"/>
        </w:numPr>
        <w:tabs>
          <w:tab w:val="left" w:pos="4962"/>
        </w:tabs>
        <w:spacing w:after="160" w:line="360" w:lineRule="auto"/>
        <w:contextualSpacing/>
        <w:jc w:val="both"/>
        <w:rPr>
          <w:rFonts w:ascii="Palatino Linotype" w:eastAsia="Palatino Linotype" w:hAnsi="Palatino Linotype" w:cs="Tahoma"/>
          <w:b/>
          <w:bCs/>
          <w:color w:val="000000"/>
          <w:sz w:val="22"/>
          <w:szCs w:val="22"/>
          <w:lang w:eastAsia="es-MX"/>
        </w:rPr>
      </w:pPr>
      <w:r w:rsidRPr="003B4DAF">
        <w:rPr>
          <w:rFonts w:ascii="Palatino Linotype" w:eastAsia="Palatino Linotype" w:hAnsi="Palatino Linotype" w:cs="Tahoma"/>
          <w:b/>
          <w:bCs/>
          <w:color w:val="000000"/>
          <w:sz w:val="22"/>
          <w:szCs w:val="22"/>
          <w:lang w:eastAsia="es-MX"/>
        </w:rPr>
        <w:t>Domicilio particular</w:t>
      </w:r>
    </w:p>
    <w:p w14:paraId="7CE1B8B8"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bCs/>
          <w:color w:val="000000"/>
          <w:sz w:val="22"/>
          <w:szCs w:val="22"/>
          <w:lang w:eastAsia="es-MX"/>
        </w:rPr>
      </w:pPr>
    </w:p>
    <w:p w14:paraId="7A787682"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r w:rsidRPr="003B4DAF">
        <w:rPr>
          <w:rFonts w:ascii="Palatino Linotype" w:eastAsia="Palatino Linotype" w:hAnsi="Palatino Linotype" w:cs="Tahoma"/>
          <w:color w:val="000000"/>
          <w:sz w:val="22"/>
          <w:szCs w:val="22"/>
          <w:lang w:val="es-ES" w:eastAsia="es-MX"/>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A67493E"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p>
    <w:p w14:paraId="6771BEA4"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color w:val="000000"/>
          <w:sz w:val="22"/>
          <w:szCs w:val="22"/>
          <w:lang w:val="es-ES" w:eastAsia="es-MX"/>
        </w:rPr>
      </w:pPr>
      <w:r w:rsidRPr="003B4DAF">
        <w:rPr>
          <w:rFonts w:ascii="Palatino Linotype" w:eastAsia="Palatino Linotype" w:hAnsi="Palatino Linotype" w:cs="Tahoma"/>
          <w:color w:val="000000"/>
          <w:sz w:val="22"/>
          <w:szCs w:val="22"/>
          <w:lang w:val="es-ES" w:eastAsia="es-MX"/>
        </w:rPr>
        <w:lastRenderedPageBreak/>
        <w:t>De la misma manera, lo establece el artículo 29 del Código Civil Federal, al precisar que el domicilio de personas físicas</w:t>
      </w:r>
      <w:r w:rsidRPr="003B4DAF">
        <w:rPr>
          <w:rFonts w:ascii="Palatino Linotype" w:eastAsia="Palatino Linotype" w:hAnsi="Palatino Linotype" w:cs="Tahoma"/>
          <w:b/>
          <w:color w:val="000000"/>
          <w:sz w:val="22"/>
          <w:szCs w:val="22"/>
          <w:lang w:val="es-ES" w:eastAsia="es-MX"/>
        </w:rPr>
        <w:t>, es el lugar donde residen habitualmente, el lugar del centro principal de sus negocios, donde residan o el lugar donde se encuentren.</w:t>
      </w:r>
    </w:p>
    <w:p w14:paraId="11AB81CE"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bCs/>
          <w:color w:val="000000"/>
          <w:sz w:val="22"/>
          <w:szCs w:val="22"/>
          <w:lang w:eastAsia="es-MX"/>
        </w:rPr>
      </w:pPr>
    </w:p>
    <w:p w14:paraId="7B9F88B6"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r w:rsidRPr="003B4DAF">
        <w:rPr>
          <w:rFonts w:ascii="Palatino Linotype" w:eastAsia="Palatino Linotype" w:hAnsi="Palatino Linotype" w:cs="Tahoma"/>
          <w:color w:val="000000"/>
          <w:sz w:val="22"/>
          <w:szCs w:val="22"/>
          <w:lang w:val="es-ES" w:eastAsia="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24C95E5"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p>
    <w:p w14:paraId="3F1F3BB2"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r w:rsidRPr="003B4DAF">
        <w:rPr>
          <w:rFonts w:ascii="Palatino Linotype" w:eastAsia="Palatino Linotype" w:hAnsi="Palatino Linotype" w:cs="Tahoma"/>
          <w:color w:val="000000"/>
          <w:sz w:val="22"/>
          <w:szCs w:val="22"/>
          <w:lang w:val="es-ES" w:eastAsia="es-MX"/>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C41FCC6"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p>
    <w:p w14:paraId="7A8AFAFD"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val="es-ES" w:eastAsia="es-MX"/>
        </w:rPr>
      </w:pPr>
      <w:r w:rsidRPr="003B4DAF">
        <w:rPr>
          <w:rFonts w:ascii="Palatino Linotype" w:eastAsia="Palatino Linotype" w:hAnsi="Palatino Linotype" w:cs="Tahoma"/>
          <w:color w:val="000000"/>
          <w:sz w:val="22"/>
          <w:szCs w:val="22"/>
          <w:lang w:val="es-ES" w:eastAsia="es-MX"/>
        </w:rPr>
        <w:t>Por lo tanto, se actualiza la clasificación del domicilio y su comprobante, de conformidad con la fracción I, del artículo 143 de la Ley de Transparencia y Acceso a la Información Pública del Estado de México y Municipios.</w:t>
      </w:r>
    </w:p>
    <w:p w14:paraId="68E16E70" w14:textId="77777777" w:rsidR="008A2390" w:rsidRPr="003B4DAF" w:rsidRDefault="008A2390" w:rsidP="00A554EA">
      <w:pPr>
        <w:spacing w:line="360" w:lineRule="auto"/>
        <w:contextualSpacing/>
        <w:jc w:val="both"/>
        <w:rPr>
          <w:rFonts w:ascii="Palatino Linotype" w:hAnsi="Palatino Linotype"/>
          <w:bCs/>
          <w:iCs/>
          <w:sz w:val="22"/>
          <w:szCs w:val="22"/>
          <w:lang w:val="es-ES"/>
        </w:rPr>
      </w:pPr>
    </w:p>
    <w:p w14:paraId="1648AAC3" w14:textId="77777777" w:rsidR="008A2390" w:rsidRPr="003B4DAF" w:rsidRDefault="008A2390" w:rsidP="008A2390">
      <w:pPr>
        <w:numPr>
          <w:ilvl w:val="0"/>
          <w:numId w:val="9"/>
        </w:numPr>
        <w:tabs>
          <w:tab w:val="left" w:pos="4962"/>
        </w:tabs>
        <w:spacing w:after="160" w:line="360" w:lineRule="auto"/>
        <w:contextualSpacing/>
        <w:jc w:val="both"/>
        <w:rPr>
          <w:rFonts w:ascii="Palatino Linotype" w:eastAsia="Palatino Linotype" w:hAnsi="Palatino Linotype" w:cs="Tahoma"/>
          <w:color w:val="000000"/>
          <w:sz w:val="22"/>
          <w:szCs w:val="22"/>
          <w:lang w:eastAsia="es-MX"/>
        </w:rPr>
      </w:pPr>
      <w:r w:rsidRPr="003B4DAF">
        <w:rPr>
          <w:rFonts w:ascii="Palatino Linotype" w:eastAsia="Palatino Linotype" w:hAnsi="Palatino Linotype" w:cs="Tahoma"/>
          <w:b/>
          <w:color w:val="000000"/>
          <w:sz w:val="22"/>
          <w:szCs w:val="22"/>
          <w:lang w:eastAsia="es-MX"/>
        </w:rPr>
        <w:t>Teléfono y celular particular</w:t>
      </w:r>
    </w:p>
    <w:p w14:paraId="7CCBB581"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eastAsia="es-MX"/>
        </w:rPr>
      </w:pPr>
    </w:p>
    <w:p w14:paraId="2DFF1EAF"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eastAsia="es-MX"/>
        </w:rPr>
      </w:pPr>
      <w:r w:rsidRPr="003B4DAF">
        <w:rPr>
          <w:rFonts w:ascii="Palatino Linotype" w:eastAsia="Palatino Linotype" w:hAnsi="Palatino Linotype" w:cs="Tahoma"/>
          <w:color w:val="000000"/>
          <w:sz w:val="22"/>
          <w:szCs w:val="22"/>
          <w:lang w:eastAsia="es-MX"/>
        </w:rPr>
        <w:t xml:space="preserve">Dicho dato corresponde al número asignado a un teléfono particular o celular, el cual permite localizar a una persona física identificada o identificable, ya sea a través de un dispositivo móvil o bien, en un lugar como el domicilio; por lo que, la titularidad del mismo, </w:t>
      </w:r>
      <w:r w:rsidRPr="003B4DAF">
        <w:rPr>
          <w:rFonts w:ascii="Palatino Linotype" w:eastAsia="Palatino Linotype" w:hAnsi="Palatino Linotype" w:cs="Tahoma"/>
          <w:color w:val="000000"/>
          <w:sz w:val="22"/>
          <w:szCs w:val="22"/>
          <w:lang w:eastAsia="es-MX"/>
        </w:rPr>
        <w:lastRenderedPageBreak/>
        <w:t>corresponde a la persona física servidor público (entrante o saliente), en su calidad de particular.</w:t>
      </w:r>
    </w:p>
    <w:p w14:paraId="2F48ECFA"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eastAsia="es-MX"/>
        </w:rPr>
      </w:pPr>
    </w:p>
    <w:p w14:paraId="1BB7FEA6"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color w:val="000000"/>
          <w:sz w:val="22"/>
          <w:szCs w:val="22"/>
          <w:lang w:eastAsia="es-MX"/>
        </w:rPr>
      </w:pPr>
      <w:r w:rsidRPr="003B4DAF">
        <w:rPr>
          <w:rFonts w:ascii="Palatino Linotype" w:eastAsia="Palatino Linotype" w:hAnsi="Palatino Linotype" w:cs="Tahoma"/>
          <w:color w:val="000000"/>
          <w:sz w:val="22"/>
          <w:szCs w:val="22"/>
          <w:lang w:eastAsia="es-MX"/>
        </w:rPr>
        <w:t>En tales consideraciones, dicho dato personal es susceptible de ser clasificado como confidencial, con fundamento en el artículo 143, fracción I de la Ley de Transparencia y Acceso a la Información Pública.</w:t>
      </w:r>
    </w:p>
    <w:p w14:paraId="484C9631" w14:textId="77777777" w:rsidR="008A2390" w:rsidRPr="003B4DAF" w:rsidRDefault="008A2390" w:rsidP="00A554EA">
      <w:pPr>
        <w:spacing w:line="360" w:lineRule="auto"/>
        <w:contextualSpacing/>
        <w:jc w:val="both"/>
        <w:rPr>
          <w:rFonts w:ascii="Palatino Linotype" w:hAnsi="Palatino Linotype"/>
          <w:bCs/>
          <w:iCs/>
          <w:sz w:val="22"/>
          <w:szCs w:val="22"/>
        </w:rPr>
      </w:pPr>
    </w:p>
    <w:p w14:paraId="29D03F6E" w14:textId="12AF9BF6" w:rsidR="008A2390" w:rsidRPr="003B4DAF" w:rsidRDefault="008A2390" w:rsidP="008A2390">
      <w:pPr>
        <w:numPr>
          <w:ilvl w:val="0"/>
          <w:numId w:val="9"/>
        </w:numPr>
        <w:tabs>
          <w:tab w:val="left" w:pos="4962"/>
        </w:tabs>
        <w:spacing w:after="160" w:line="360" w:lineRule="auto"/>
        <w:contextualSpacing/>
        <w:jc w:val="both"/>
        <w:rPr>
          <w:rFonts w:ascii="Palatino Linotype" w:eastAsia="Palatino Linotype" w:hAnsi="Palatino Linotype" w:cs="Tahoma"/>
          <w:b/>
          <w:color w:val="000000"/>
          <w:sz w:val="22"/>
          <w:szCs w:val="22"/>
          <w:lang w:val="es-ES" w:eastAsia="es-MX"/>
        </w:rPr>
      </w:pPr>
      <w:r w:rsidRPr="003B4DAF">
        <w:rPr>
          <w:rFonts w:ascii="Palatino Linotype" w:eastAsia="Palatino Linotype" w:hAnsi="Palatino Linotype" w:cs="Tahoma"/>
          <w:b/>
          <w:color w:val="000000"/>
          <w:sz w:val="22"/>
          <w:szCs w:val="22"/>
          <w:lang w:val="es-ES" w:eastAsia="es-MX"/>
        </w:rPr>
        <w:t>Firma de particulares</w:t>
      </w:r>
    </w:p>
    <w:p w14:paraId="132A8951"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color w:val="000000"/>
          <w:sz w:val="22"/>
          <w:szCs w:val="22"/>
          <w:lang w:val="es-ES" w:eastAsia="es-MX"/>
        </w:rPr>
      </w:pPr>
    </w:p>
    <w:p w14:paraId="61E2A74A"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
          <w:bCs/>
          <w:color w:val="000000"/>
          <w:sz w:val="22"/>
          <w:szCs w:val="22"/>
          <w:lang w:eastAsia="es-MX"/>
        </w:rPr>
      </w:pPr>
      <w:r w:rsidRPr="003B4DAF">
        <w:rPr>
          <w:rFonts w:ascii="Palatino Linotype" w:eastAsia="Palatino Linotype" w:hAnsi="Palatino Linotype" w:cs="Tahoma"/>
          <w:bCs/>
          <w:color w:val="000000"/>
          <w:sz w:val="22"/>
          <w:szCs w:val="22"/>
          <w:lang w:eastAsia="es-MX"/>
        </w:rPr>
        <w:t xml:space="preserve">En principio, cabe señalar que la firma corresponde de aquellas personas físicas que fungieron como testigos de los servidores públicos entrantes y salientes, por lo que, no se trata de empleados o servidores públicos de este, </w:t>
      </w:r>
      <w:r w:rsidRPr="003B4DAF">
        <w:rPr>
          <w:rFonts w:ascii="Palatino Linotype" w:eastAsia="Palatino Linotype" w:hAnsi="Palatino Linotype" w:cs="Tahoma"/>
          <w:b/>
          <w:bCs/>
          <w:color w:val="000000"/>
          <w:sz w:val="22"/>
          <w:szCs w:val="22"/>
          <w:lang w:eastAsia="es-MX"/>
        </w:rPr>
        <w:t>sino de particulares.</w:t>
      </w:r>
    </w:p>
    <w:p w14:paraId="4F38AAEF"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p>
    <w:p w14:paraId="4C025FA0"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color w:val="000000"/>
          <w:sz w:val="22"/>
          <w:szCs w:val="22"/>
          <w:lang w:eastAsia="es-MX"/>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3B4DAF">
        <w:rPr>
          <w:rFonts w:ascii="Palatino Linotype" w:eastAsia="Palatino Linotype" w:hAnsi="Palatino Linotype" w:cs="Tahoma"/>
          <w:b/>
          <w:bCs/>
          <w:color w:val="000000"/>
          <w:sz w:val="22"/>
          <w:szCs w:val="22"/>
          <w:lang w:eastAsia="es-MX"/>
        </w:rPr>
        <w:t>, ya que también haría identificable a los individuos en cuestión.</w:t>
      </w:r>
    </w:p>
    <w:p w14:paraId="121B5DEF"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iCs/>
          <w:color w:val="000000"/>
          <w:sz w:val="22"/>
          <w:szCs w:val="22"/>
          <w:lang w:eastAsia="es-MX"/>
        </w:rPr>
      </w:pPr>
    </w:p>
    <w:p w14:paraId="3EEF6760" w14:textId="77777777" w:rsidR="008A2390" w:rsidRPr="003B4DAF" w:rsidRDefault="008A2390" w:rsidP="008A2390">
      <w:pPr>
        <w:tabs>
          <w:tab w:val="left" w:pos="4962"/>
        </w:tabs>
        <w:spacing w:after="160" w:line="360" w:lineRule="auto"/>
        <w:contextualSpacing/>
        <w:jc w:val="both"/>
        <w:rPr>
          <w:rFonts w:ascii="Palatino Linotype" w:eastAsia="Palatino Linotype" w:hAnsi="Palatino Linotype" w:cs="Tahoma"/>
          <w:bCs/>
          <w:color w:val="000000"/>
          <w:sz w:val="22"/>
          <w:szCs w:val="22"/>
          <w:lang w:eastAsia="es-MX"/>
        </w:rPr>
      </w:pPr>
      <w:r w:rsidRPr="003B4DAF">
        <w:rPr>
          <w:rFonts w:ascii="Palatino Linotype" w:eastAsia="Palatino Linotype" w:hAnsi="Palatino Linotype" w:cs="Tahoma"/>
          <w:bCs/>
          <w:iCs/>
          <w:color w:val="000000"/>
          <w:sz w:val="22"/>
          <w:szCs w:val="22"/>
          <w:lang w:eastAsia="es-MX"/>
        </w:rPr>
        <w:t>Además, aún y cuando se encuentra asentada en un documento público, elaborado en ejercicio de las facultades con las que cuenta el Sujeto Obligado, lo cierto es que es un dato que exterioriza su voluntad y aceptación de la información señalada en el Acta. Por lo que, se actualiza la causal de clasificación establecida en el artículo 143, fracción I, de la L</w:t>
      </w:r>
      <w:r w:rsidRPr="003B4DAF">
        <w:rPr>
          <w:rFonts w:ascii="Palatino Linotype" w:eastAsia="Palatino Linotype" w:hAnsi="Palatino Linotype" w:cs="Tahoma"/>
          <w:bCs/>
          <w:color w:val="000000"/>
          <w:sz w:val="22"/>
          <w:szCs w:val="22"/>
          <w:lang w:eastAsia="es-MX"/>
        </w:rPr>
        <w:t>ey de Transparencia y Acceso a la Información Pública del Estado de México y Municipios.</w:t>
      </w:r>
    </w:p>
    <w:p w14:paraId="10902603" w14:textId="77777777" w:rsidR="008A2390" w:rsidRPr="003B4DAF" w:rsidRDefault="008A2390" w:rsidP="00A554EA">
      <w:pPr>
        <w:spacing w:line="360" w:lineRule="auto"/>
        <w:contextualSpacing/>
        <w:jc w:val="both"/>
        <w:rPr>
          <w:rFonts w:ascii="Palatino Linotype" w:hAnsi="Palatino Linotype"/>
          <w:bCs/>
          <w:iCs/>
          <w:sz w:val="22"/>
          <w:szCs w:val="22"/>
        </w:rPr>
      </w:pPr>
    </w:p>
    <w:p w14:paraId="38CE805F" w14:textId="77777777" w:rsidR="00FF01D0" w:rsidRPr="003B4DAF" w:rsidRDefault="00FF01D0" w:rsidP="00A554EA">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w:t>
      </w:r>
      <w:r w:rsidRPr="003B4DAF">
        <w:rPr>
          <w:rFonts w:ascii="Palatino Linotype" w:hAnsi="Palatino Linotype"/>
          <w:bCs/>
          <w:iCs/>
          <w:sz w:val="22"/>
          <w:szCs w:val="22"/>
        </w:rPr>
        <w:lastRenderedPageBreak/>
        <w:t xml:space="preserve">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1F8E08" w14:textId="77777777" w:rsidR="00FF01D0" w:rsidRPr="003B4DAF" w:rsidRDefault="00FF01D0" w:rsidP="00A554EA">
      <w:pPr>
        <w:spacing w:line="360" w:lineRule="auto"/>
        <w:contextualSpacing/>
        <w:jc w:val="both"/>
        <w:rPr>
          <w:rFonts w:ascii="Palatino Linotype" w:hAnsi="Palatino Linotype"/>
          <w:bCs/>
          <w:iCs/>
          <w:sz w:val="22"/>
          <w:szCs w:val="22"/>
        </w:rPr>
      </w:pPr>
    </w:p>
    <w:p w14:paraId="6D18D9E9" w14:textId="1EDFA41B" w:rsidR="00FF01D0" w:rsidRPr="003B4DAF" w:rsidRDefault="00FF01D0" w:rsidP="00A554EA">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02F0296" w14:textId="77777777" w:rsidR="006D488D" w:rsidRPr="003B4DAF" w:rsidRDefault="006D488D" w:rsidP="00A554EA">
      <w:pPr>
        <w:spacing w:line="360" w:lineRule="auto"/>
        <w:contextualSpacing/>
        <w:jc w:val="both"/>
        <w:rPr>
          <w:rFonts w:ascii="Palatino Linotype" w:hAnsi="Palatino Linotype"/>
          <w:bCs/>
          <w:iCs/>
          <w:sz w:val="22"/>
          <w:szCs w:val="22"/>
        </w:rPr>
      </w:pPr>
    </w:p>
    <w:p w14:paraId="2682E4BF" w14:textId="77777777" w:rsidR="006D488D" w:rsidRPr="003B4DAF" w:rsidRDefault="006D488D" w:rsidP="00A554EA">
      <w:pPr>
        <w:pStyle w:val="Ttulo2"/>
        <w:spacing w:before="0" w:after="0" w:line="360" w:lineRule="auto"/>
        <w:contextualSpacing/>
        <w:rPr>
          <w:rFonts w:ascii="Palatino Linotype" w:hAnsi="Palatino Linotype"/>
          <w:b/>
          <w:bCs/>
          <w:color w:val="auto"/>
          <w:sz w:val="22"/>
          <w:szCs w:val="22"/>
        </w:rPr>
      </w:pPr>
      <w:bookmarkStart w:id="20" w:name="_Toc203518783"/>
      <w:bookmarkStart w:id="21" w:name="_Toc210313698"/>
      <w:r w:rsidRPr="003B4DAF">
        <w:rPr>
          <w:rFonts w:ascii="Palatino Linotype" w:hAnsi="Palatino Linotype"/>
          <w:b/>
          <w:bCs/>
          <w:color w:val="auto"/>
          <w:sz w:val="22"/>
          <w:szCs w:val="22"/>
        </w:rPr>
        <w:t>SEXTO. Decisión</w:t>
      </w:r>
      <w:bookmarkEnd w:id="20"/>
      <w:bookmarkEnd w:id="21"/>
    </w:p>
    <w:p w14:paraId="068E4C55" w14:textId="77777777" w:rsidR="006D488D" w:rsidRPr="003B4DAF" w:rsidRDefault="006D488D" w:rsidP="00A554EA">
      <w:pPr>
        <w:spacing w:line="360" w:lineRule="auto"/>
        <w:contextualSpacing/>
        <w:jc w:val="both"/>
        <w:rPr>
          <w:rFonts w:ascii="Palatino Linotype" w:eastAsia="Palatino Linotype" w:hAnsi="Palatino Linotype" w:cs="Palatino Linotype"/>
          <w:sz w:val="22"/>
          <w:szCs w:val="22"/>
        </w:rPr>
      </w:pPr>
    </w:p>
    <w:p w14:paraId="1C130BAF" w14:textId="05DB8550" w:rsidR="006D488D" w:rsidRPr="003B4DAF" w:rsidRDefault="006D488D" w:rsidP="00A554EA">
      <w:pPr>
        <w:tabs>
          <w:tab w:val="left" w:pos="4962"/>
        </w:tabs>
        <w:spacing w:line="360" w:lineRule="auto"/>
        <w:contextualSpacing/>
        <w:jc w:val="both"/>
        <w:rPr>
          <w:rFonts w:ascii="Palatino Linotype" w:hAnsi="Palatino Linotype" w:cs="Tahoma"/>
          <w:sz w:val="22"/>
          <w:szCs w:val="22"/>
        </w:rPr>
      </w:pPr>
      <w:r w:rsidRPr="003B4DAF">
        <w:rPr>
          <w:rFonts w:ascii="Palatino Linotype" w:hAnsi="Palatino Linotype" w:cs="Arial"/>
          <w:sz w:val="22"/>
          <w:szCs w:val="22"/>
        </w:rPr>
        <w:t>C</w:t>
      </w:r>
      <w:r w:rsidRPr="003B4DA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8A2390" w:rsidRPr="003B4DAF">
        <w:rPr>
          <w:rFonts w:ascii="Palatino Linotype" w:hAnsi="Palatino Linotype" w:cs="Tahoma"/>
          <w:b/>
          <w:sz w:val="22"/>
          <w:szCs w:val="22"/>
        </w:rPr>
        <w:t>REVO</w:t>
      </w:r>
      <w:r w:rsidRPr="003B4DAF">
        <w:rPr>
          <w:rFonts w:ascii="Palatino Linotype" w:hAnsi="Palatino Linotype" w:cs="Tahoma"/>
          <w:b/>
          <w:sz w:val="22"/>
          <w:szCs w:val="22"/>
        </w:rPr>
        <w:t>CAR</w:t>
      </w:r>
      <w:r w:rsidRPr="003B4DAF">
        <w:rPr>
          <w:rFonts w:ascii="Palatino Linotype" w:hAnsi="Palatino Linotype" w:cs="Tahoma"/>
          <w:sz w:val="22"/>
          <w:szCs w:val="22"/>
        </w:rPr>
        <w:t xml:space="preserve"> la respuesta otorgada a la solicitud de información </w:t>
      </w:r>
      <w:r w:rsidRPr="003B4DAF">
        <w:rPr>
          <w:rFonts w:ascii="Palatino Linotype" w:hAnsi="Palatino Linotype"/>
          <w:bCs/>
          <w:sz w:val="22"/>
          <w:szCs w:val="22"/>
        </w:rPr>
        <w:t>03</w:t>
      </w:r>
      <w:r w:rsidR="00FF01D0" w:rsidRPr="003B4DAF">
        <w:rPr>
          <w:rFonts w:ascii="Palatino Linotype" w:hAnsi="Palatino Linotype"/>
          <w:bCs/>
          <w:sz w:val="22"/>
          <w:szCs w:val="22"/>
        </w:rPr>
        <w:t>408</w:t>
      </w:r>
      <w:r w:rsidRPr="003B4DAF">
        <w:rPr>
          <w:rFonts w:ascii="Palatino Linotype" w:hAnsi="Palatino Linotype"/>
          <w:bCs/>
          <w:sz w:val="22"/>
          <w:szCs w:val="22"/>
        </w:rPr>
        <w:t>/TOLUCA/IP/2025</w:t>
      </w:r>
      <w:r w:rsidRPr="003B4DAF">
        <w:rPr>
          <w:rFonts w:ascii="Palatino Linotype" w:hAnsi="Palatino Linotype" w:cs="Tahoma"/>
          <w:bCs/>
          <w:sz w:val="22"/>
          <w:szCs w:val="22"/>
        </w:rPr>
        <w:t>, a efecto de que,</w:t>
      </w:r>
      <w:r w:rsidRPr="003B4DAF">
        <w:rPr>
          <w:rFonts w:ascii="Palatino Linotype" w:hAnsi="Palatino Linotype" w:cs="Tahoma"/>
          <w:sz w:val="22"/>
          <w:szCs w:val="22"/>
        </w:rPr>
        <w:t xml:space="preserve"> proporcione en su caso en versión pública la información solicitada.</w:t>
      </w:r>
    </w:p>
    <w:p w14:paraId="21B3F1E6" w14:textId="77777777" w:rsidR="006D488D" w:rsidRPr="003B4DAF" w:rsidRDefault="006D488D" w:rsidP="00A554EA">
      <w:pPr>
        <w:tabs>
          <w:tab w:val="left" w:pos="4962"/>
        </w:tabs>
        <w:spacing w:line="360" w:lineRule="auto"/>
        <w:contextualSpacing/>
        <w:jc w:val="both"/>
        <w:rPr>
          <w:rFonts w:ascii="Palatino Linotype" w:hAnsi="Palatino Linotype" w:cs="Tahoma"/>
          <w:sz w:val="22"/>
          <w:szCs w:val="22"/>
        </w:rPr>
      </w:pPr>
    </w:p>
    <w:p w14:paraId="0F53B64F" w14:textId="77777777" w:rsidR="006D488D" w:rsidRPr="003B4DAF" w:rsidRDefault="006D488D" w:rsidP="00A554EA">
      <w:pPr>
        <w:spacing w:line="360" w:lineRule="auto"/>
        <w:contextualSpacing/>
        <w:jc w:val="both"/>
        <w:rPr>
          <w:rFonts w:ascii="Palatino Linotype" w:hAnsi="Palatino Linotype"/>
          <w:b/>
          <w:color w:val="000000"/>
          <w:sz w:val="22"/>
          <w:szCs w:val="22"/>
        </w:rPr>
      </w:pPr>
      <w:bookmarkStart w:id="22" w:name="_Toc199369393"/>
      <w:r w:rsidRPr="003B4DAF">
        <w:rPr>
          <w:rFonts w:ascii="Palatino Linotype" w:hAnsi="Palatino Linotype"/>
          <w:b/>
          <w:color w:val="000000"/>
          <w:sz w:val="22"/>
          <w:szCs w:val="22"/>
        </w:rPr>
        <w:t>Términos de la Resolución para el Recurrente</w:t>
      </w:r>
    </w:p>
    <w:p w14:paraId="1985BF8E" w14:textId="77777777" w:rsidR="006D488D" w:rsidRPr="003B4DAF" w:rsidRDefault="006D488D" w:rsidP="00A554EA">
      <w:pPr>
        <w:spacing w:line="360" w:lineRule="auto"/>
        <w:contextualSpacing/>
        <w:jc w:val="both"/>
        <w:rPr>
          <w:rFonts w:ascii="Palatino Linotype" w:hAnsi="Palatino Linotype"/>
          <w:b/>
          <w:color w:val="000000"/>
          <w:sz w:val="22"/>
          <w:szCs w:val="22"/>
        </w:rPr>
      </w:pPr>
    </w:p>
    <w:p w14:paraId="3B126FAC" w14:textId="4F0D518B" w:rsidR="006D488D" w:rsidRPr="003B4DAF" w:rsidRDefault="006D488D" w:rsidP="00A554EA">
      <w:pPr>
        <w:spacing w:line="360" w:lineRule="auto"/>
        <w:contextualSpacing/>
        <w:jc w:val="both"/>
        <w:rPr>
          <w:rFonts w:ascii="Palatino Linotype" w:hAnsi="Palatino Linotype"/>
          <w:color w:val="000000"/>
          <w:sz w:val="22"/>
          <w:szCs w:val="22"/>
        </w:rPr>
      </w:pPr>
      <w:r w:rsidRPr="003B4DAF">
        <w:rPr>
          <w:rFonts w:ascii="Palatino Linotype" w:hAnsi="Palatino Linotype"/>
          <w:color w:val="000000"/>
          <w:sz w:val="22"/>
          <w:szCs w:val="22"/>
        </w:rPr>
        <w:t xml:space="preserve">Se le hace del conocimiento al Particular, que, en el presente caso, se le concede la razón, pues el Ayuntamiento de Toluca, no entregó la información </w:t>
      </w:r>
      <w:r w:rsidR="00FF01D0" w:rsidRPr="003B4DAF">
        <w:rPr>
          <w:rFonts w:ascii="Palatino Linotype" w:hAnsi="Palatino Linotype"/>
          <w:color w:val="000000"/>
          <w:sz w:val="22"/>
          <w:szCs w:val="22"/>
        </w:rPr>
        <w:t>solicitada</w:t>
      </w:r>
      <w:r w:rsidRPr="003B4DAF">
        <w:rPr>
          <w:rFonts w:ascii="Palatino Linotype" w:hAnsi="Palatino Linotype"/>
          <w:color w:val="000000"/>
          <w:sz w:val="22"/>
          <w:szCs w:val="22"/>
        </w:rPr>
        <w:t>. La labor del Instituto, es apoyar a la población para acceder a la información pública y garantizar la protección de los datos personales.</w:t>
      </w:r>
    </w:p>
    <w:p w14:paraId="4D52DF18" w14:textId="77777777" w:rsidR="006D488D" w:rsidRPr="003B4DAF" w:rsidRDefault="006D488D" w:rsidP="00A554EA">
      <w:pPr>
        <w:spacing w:line="360" w:lineRule="auto"/>
        <w:contextualSpacing/>
        <w:jc w:val="both"/>
        <w:rPr>
          <w:rFonts w:ascii="Palatino Linotype" w:hAnsi="Palatino Linotype"/>
          <w:color w:val="000000"/>
          <w:sz w:val="22"/>
          <w:szCs w:val="22"/>
        </w:rPr>
      </w:pPr>
    </w:p>
    <w:p w14:paraId="7F456BBD" w14:textId="77777777" w:rsidR="006D488D" w:rsidRPr="003B4DAF" w:rsidRDefault="006D488D" w:rsidP="00A554EA">
      <w:pPr>
        <w:spacing w:line="360" w:lineRule="auto"/>
        <w:ind w:right="-93"/>
        <w:contextualSpacing/>
        <w:jc w:val="both"/>
        <w:rPr>
          <w:rFonts w:ascii="Palatino Linotype" w:hAnsi="Palatino Linotype"/>
          <w:color w:val="000000"/>
          <w:sz w:val="22"/>
          <w:szCs w:val="22"/>
        </w:rPr>
      </w:pPr>
      <w:r w:rsidRPr="003B4DAF">
        <w:rPr>
          <w:rFonts w:ascii="Palatino Linotype" w:hAnsi="Palatino Linotype"/>
          <w:color w:val="000000"/>
          <w:sz w:val="22"/>
          <w:szCs w:val="22"/>
        </w:rPr>
        <w:t>Por lo expuesto y fundado, este Pleno:</w:t>
      </w:r>
    </w:p>
    <w:p w14:paraId="25433191" w14:textId="77777777" w:rsidR="006D488D" w:rsidRPr="003B4DAF" w:rsidRDefault="006D488D" w:rsidP="00A554EA">
      <w:pPr>
        <w:spacing w:line="360" w:lineRule="auto"/>
        <w:ind w:right="-93"/>
        <w:contextualSpacing/>
        <w:jc w:val="both"/>
        <w:rPr>
          <w:rFonts w:ascii="Palatino Linotype" w:hAnsi="Palatino Linotype"/>
          <w:color w:val="000000"/>
          <w:sz w:val="22"/>
          <w:szCs w:val="22"/>
        </w:rPr>
      </w:pPr>
    </w:p>
    <w:p w14:paraId="1DD13D8D" w14:textId="77777777" w:rsidR="006D488D" w:rsidRPr="003B4DAF" w:rsidRDefault="006D488D" w:rsidP="00A554EA">
      <w:pPr>
        <w:pStyle w:val="Ttulo1"/>
        <w:spacing w:before="0" w:after="0" w:line="360" w:lineRule="auto"/>
        <w:contextualSpacing/>
        <w:jc w:val="center"/>
        <w:rPr>
          <w:rFonts w:ascii="Palatino Linotype" w:eastAsia="Calibri" w:hAnsi="Palatino Linotype"/>
          <w:b/>
          <w:bCs/>
          <w:color w:val="auto"/>
          <w:sz w:val="22"/>
          <w:szCs w:val="22"/>
        </w:rPr>
      </w:pPr>
      <w:bookmarkStart w:id="23" w:name="_Toc203518784"/>
      <w:bookmarkStart w:id="24" w:name="_Toc210313699"/>
      <w:r w:rsidRPr="003B4DAF">
        <w:rPr>
          <w:rFonts w:ascii="Palatino Linotype" w:eastAsia="Calibri" w:hAnsi="Palatino Linotype"/>
          <w:b/>
          <w:bCs/>
          <w:color w:val="auto"/>
          <w:sz w:val="22"/>
          <w:szCs w:val="22"/>
        </w:rPr>
        <w:lastRenderedPageBreak/>
        <w:t>R E S U E L V E</w:t>
      </w:r>
      <w:bookmarkEnd w:id="22"/>
      <w:bookmarkEnd w:id="23"/>
      <w:bookmarkEnd w:id="24"/>
    </w:p>
    <w:p w14:paraId="7F3314B3" w14:textId="77777777" w:rsidR="006D488D" w:rsidRPr="003B4DAF" w:rsidRDefault="006D488D" w:rsidP="00A554EA">
      <w:pPr>
        <w:spacing w:line="360" w:lineRule="auto"/>
        <w:ind w:right="-28"/>
        <w:contextualSpacing/>
        <w:jc w:val="both"/>
        <w:rPr>
          <w:rFonts w:ascii="Palatino Linotype" w:hAnsi="Palatino Linotype" w:cs="Tahoma"/>
          <w:b/>
          <w:bCs/>
          <w:sz w:val="22"/>
          <w:szCs w:val="22"/>
        </w:rPr>
      </w:pPr>
    </w:p>
    <w:p w14:paraId="65AE05FF" w14:textId="7AA96CCD" w:rsidR="006D488D" w:rsidRPr="003B4DAF" w:rsidRDefault="006D488D" w:rsidP="00A554EA">
      <w:pPr>
        <w:widowControl w:val="0"/>
        <w:spacing w:line="360" w:lineRule="auto"/>
        <w:contextualSpacing/>
        <w:jc w:val="both"/>
        <w:rPr>
          <w:rFonts w:ascii="Palatino Linotype" w:eastAsia="Calibri" w:hAnsi="Palatino Linotype"/>
          <w:b/>
          <w:bCs/>
          <w:sz w:val="22"/>
          <w:szCs w:val="22"/>
        </w:rPr>
      </w:pPr>
      <w:r w:rsidRPr="003B4DAF">
        <w:rPr>
          <w:rFonts w:ascii="Palatino Linotype" w:eastAsia="Calibri" w:hAnsi="Palatino Linotype"/>
          <w:b/>
          <w:bCs/>
          <w:sz w:val="22"/>
          <w:szCs w:val="22"/>
        </w:rPr>
        <w:t xml:space="preserve">PRIMERO. </w:t>
      </w:r>
      <w:r w:rsidRPr="003B4DAF">
        <w:rPr>
          <w:rFonts w:ascii="Palatino Linotype" w:eastAsia="Calibri" w:hAnsi="Palatino Linotype"/>
          <w:sz w:val="22"/>
          <w:szCs w:val="22"/>
        </w:rPr>
        <w:t xml:space="preserve">Se </w:t>
      </w:r>
      <w:r w:rsidR="008A2390" w:rsidRPr="003B4DAF">
        <w:rPr>
          <w:rFonts w:ascii="Palatino Linotype" w:eastAsia="Calibri" w:hAnsi="Palatino Linotype"/>
          <w:b/>
          <w:bCs/>
          <w:sz w:val="22"/>
          <w:szCs w:val="22"/>
        </w:rPr>
        <w:t>REVO</w:t>
      </w:r>
      <w:r w:rsidRPr="003B4DAF">
        <w:rPr>
          <w:rFonts w:ascii="Palatino Linotype" w:eastAsia="Calibri" w:hAnsi="Palatino Linotype"/>
          <w:b/>
          <w:bCs/>
          <w:sz w:val="22"/>
          <w:szCs w:val="22"/>
        </w:rPr>
        <w:t xml:space="preserve">CA </w:t>
      </w:r>
      <w:r w:rsidRPr="003B4DAF">
        <w:rPr>
          <w:rFonts w:ascii="Palatino Linotype" w:eastAsia="Calibri" w:hAnsi="Palatino Linotype"/>
          <w:sz w:val="22"/>
          <w:szCs w:val="22"/>
        </w:rPr>
        <w:t>la</w:t>
      </w:r>
      <w:r w:rsidRPr="003B4DAF">
        <w:rPr>
          <w:rFonts w:ascii="Palatino Linotype" w:eastAsia="Calibri" w:hAnsi="Palatino Linotype"/>
          <w:b/>
          <w:bCs/>
          <w:sz w:val="22"/>
          <w:szCs w:val="22"/>
        </w:rPr>
        <w:t xml:space="preserve"> </w:t>
      </w:r>
      <w:r w:rsidRPr="003B4DAF">
        <w:rPr>
          <w:rFonts w:ascii="Palatino Linotype" w:eastAsia="Calibri" w:hAnsi="Palatino Linotype"/>
          <w:sz w:val="22"/>
          <w:szCs w:val="22"/>
        </w:rPr>
        <w:t xml:space="preserve">respuesta entregada por el Ayuntamiento de Toluca a la solicitud de información </w:t>
      </w:r>
      <w:r w:rsidRPr="003B4DAF">
        <w:rPr>
          <w:rFonts w:ascii="Palatino Linotype" w:hAnsi="Palatino Linotype"/>
          <w:bCs/>
          <w:sz w:val="22"/>
          <w:szCs w:val="22"/>
        </w:rPr>
        <w:t>03</w:t>
      </w:r>
      <w:r w:rsidR="00FF01D0" w:rsidRPr="003B4DAF">
        <w:rPr>
          <w:rFonts w:ascii="Palatino Linotype" w:hAnsi="Palatino Linotype"/>
          <w:bCs/>
          <w:sz w:val="22"/>
          <w:szCs w:val="22"/>
        </w:rPr>
        <w:t>408</w:t>
      </w:r>
      <w:r w:rsidRPr="003B4DAF">
        <w:rPr>
          <w:rFonts w:ascii="Palatino Linotype" w:hAnsi="Palatino Linotype"/>
          <w:bCs/>
          <w:sz w:val="22"/>
          <w:szCs w:val="22"/>
        </w:rPr>
        <w:t>/TOLUCA/IP/2025</w:t>
      </w:r>
      <w:r w:rsidRPr="003B4DAF">
        <w:rPr>
          <w:rFonts w:ascii="Palatino Linotype" w:hAnsi="Palatino Linotype"/>
          <w:b/>
          <w:sz w:val="22"/>
          <w:szCs w:val="22"/>
        </w:rPr>
        <w:t xml:space="preserve"> </w:t>
      </w:r>
      <w:r w:rsidRPr="003B4DAF">
        <w:rPr>
          <w:rFonts w:ascii="Palatino Linotype" w:eastAsia="Calibri" w:hAnsi="Palatino Linotype"/>
          <w:sz w:val="22"/>
          <w:szCs w:val="22"/>
        </w:rPr>
        <w:t xml:space="preserve">por resultar </w:t>
      </w:r>
      <w:r w:rsidRPr="003B4DAF">
        <w:rPr>
          <w:rFonts w:ascii="Palatino Linotype" w:eastAsia="Calibri" w:hAnsi="Palatino Linotype"/>
          <w:b/>
          <w:bCs/>
          <w:caps/>
          <w:sz w:val="22"/>
          <w:szCs w:val="22"/>
        </w:rPr>
        <w:t>fundadas</w:t>
      </w:r>
      <w:r w:rsidRPr="003B4DAF">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6028E1EC" w14:textId="77777777" w:rsidR="006D488D" w:rsidRPr="003B4DAF" w:rsidRDefault="006D488D" w:rsidP="00A554EA">
      <w:pPr>
        <w:widowControl w:val="0"/>
        <w:spacing w:line="360" w:lineRule="auto"/>
        <w:contextualSpacing/>
        <w:jc w:val="both"/>
        <w:rPr>
          <w:rFonts w:ascii="Palatino Linotype" w:eastAsia="Calibri" w:hAnsi="Palatino Linotype"/>
          <w:sz w:val="22"/>
          <w:szCs w:val="22"/>
        </w:rPr>
      </w:pPr>
    </w:p>
    <w:p w14:paraId="04A02778" w14:textId="5EBDDCB2" w:rsidR="008A2390" w:rsidRPr="003B4DAF" w:rsidRDefault="006D488D" w:rsidP="00A554EA">
      <w:pPr>
        <w:widowControl w:val="0"/>
        <w:spacing w:line="360" w:lineRule="auto"/>
        <w:contextualSpacing/>
        <w:jc w:val="both"/>
        <w:rPr>
          <w:rFonts w:ascii="Palatino Linotype" w:eastAsia="Calibri" w:hAnsi="Palatino Linotype" w:cs="Tahoma"/>
          <w:sz w:val="22"/>
          <w:szCs w:val="22"/>
        </w:rPr>
      </w:pPr>
      <w:r w:rsidRPr="003B4DAF">
        <w:rPr>
          <w:rFonts w:ascii="Palatino Linotype" w:hAnsi="Palatino Linotype"/>
          <w:b/>
          <w:sz w:val="22"/>
          <w:szCs w:val="22"/>
        </w:rPr>
        <w:t xml:space="preserve">SEGUNDO. </w:t>
      </w:r>
      <w:r w:rsidRPr="003B4DAF">
        <w:rPr>
          <w:rFonts w:ascii="Palatino Linotype" w:hAnsi="Palatino Linotype"/>
          <w:sz w:val="22"/>
          <w:szCs w:val="22"/>
        </w:rPr>
        <w:t xml:space="preserve">Se </w:t>
      </w:r>
      <w:r w:rsidRPr="003B4DAF">
        <w:rPr>
          <w:rFonts w:ascii="Palatino Linotype" w:hAnsi="Palatino Linotype"/>
          <w:b/>
          <w:sz w:val="22"/>
          <w:szCs w:val="22"/>
        </w:rPr>
        <w:t>ORDENA</w:t>
      </w:r>
      <w:r w:rsidRPr="003B4DAF">
        <w:rPr>
          <w:rFonts w:ascii="Palatino Linotype" w:hAnsi="Palatino Linotype"/>
          <w:sz w:val="22"/>
          <w:szCs w:val="22"/>
        </w:rPr>
        <w:t xml:space="preserve"> al Ente Recurrido</w:t>
      </w:r>
      <w:r w:rsidRPr="003B4DAF">
        <w:rPr>
          <w:rFonts w:ascii="Palatino Linotype" w:hAnsi="Palatino Linotype"/>
          <w:b/>
          <w:sz w:val="22"/>
          <w:szCs w:val="22"/>
        </w:rPr>
        <w:t xml:space="preserve">, </w:t>
      </w:r>
      <w:r w:rsidRPr="003B4DAF">
        <w:rPr>
          <w:rFonts w:ascii="Palatino Linotype" w:hAnsi="Palatino Linotype" w:cs="Tahoma"/>
          <w:sz w:val="22"/>
          <w:szCs w:val="22"/>
        </w:rPr>
        <w:t xml:space="preserve">a efecto de que </w:t>
      </w:r>
      <w:r w:rsidRPr="003B4DAF">
        <w:rPr>
          <w:rFonts w:ascii="Palatino Linotype" w:eastAsia="Calibri" w:hAnsi="Palatino Linotype" w:cs="Tahoma"/>
          <w:sz w:val="22"/>
          <w:szCs w:val="22"/>
          <w:lang w:eastAsia="es-MX"/>
        </w:rPr>
        <w:t>entregue, en</w:t>
      </w:r>
      <w:r w:rsidR="00FF01D0" w:rsidRPr="003B4DAF">
        <w:rPr>
          <w:rFonts w:ascii="Palatino Linotype" w:eastAsia="Calibri" w:hAnsi="Palatino Linotype" w:cs="Tahoma"/>
          <w:sz w:val="22"/>
          <w:szCs w:val="22"/>
          <w:lang w:eastAsia="es-MX"/>
        </w:rPr>
        <w:t xml:space="preserve"> su caso en</w:t>
      </w:r>
      <w:r w:rsidRPr="003B4DAF">
        <w:rPr>
          <w:rFonts w:ascii="Palatino Linotype" w:eastAsia="Calibri" w:hAnsi="Palatino Linotype" w:cs="Tahoma"/>
          <w:sz w:val="22"/>
          <w:szCs w:val="22"/>
          <w:lang w:eastAsia="es-MX"/>
        </w:rPr>
        <w:t xml:space="preserve"> versión</w:t>
      </w:r>
      <w:r w:rsidR="00FF01D0" w:rsidRPr="003B4DAF">
        <w:rPr>
          <w:rFonts w:ascii="Palatino Linotype" w:eastAsia="Calibri" w:hAnsi="Palatino Linotype" w:cs="Tahoma"/>
          <w:sz w:val="22"/>
          <w:szCs w:val="22"/>
          <w:lang w:eastAsia="es-MX"/>
        </w:rPr>
        <w:t xml:space="preserve"> pública</w:t>
      </w:r>
      <w:r w:rsidRPr="003B4DAF">
        <w:rPr>
          <w:rFonts w:ascii="Palatino Linotype" w:eastAsia="Calibri" w:hAnsi="Palatino Linotype" w:cs="Tahoma"/>
          <w:sz w:val="22"/>
          <w:szCs w:val="22"/>
        </w:rPr>
        <w:t xml:space="preserve">, a través del SAIMEX, previa búsqueda exhaustiva y razonable en las unidades administrativas competentes, </w:t>
      </w:r>
      <w:r w:rsidR="006856B9" w:rsidRPr="003B4DAF">
        <w:rPr>
          <w:rFonts w:ascii="Palatino Linotype" w:eastAsia="Calibri" w:hAnsi="Palatino Linotype" w:cs="Tahoma"/>
          <w:sz w:val="22"/>
          <w:szCs w:val="22"/>
        </w:rPr>
        <w:t>lo siguiente:</w:t>
      </w:r>
    </w:p>
    <w:p w14:paraId="7C3CC4C0" w14:textId="77777777" w:rsidR="008A2390" w:rsidRPr="003B4DAF" w:rsidRDefault="008A2390" w:rsidP="00A554EA">
      <w:pPr>
        <w:widowControl w:val="0"/>
        <w:spacing w:line="360" w:lineRule="auto"/>
        <w:contextualSpacing/>
        <w:jc w:val="both"/>
        <w:rPr>
          <w:rFonts w:ascii="Palatino Linotype" w:eastAsia="Calibri" w:hAnsi="Palatino Linotype" w:cs="Tahoma"/>
          <w:sz w:val="22"/>
          <w:szCs w:val="22"/>
        </w:rPr>
      </w:pPr>
    </w:p>
    <w:p w14:paraId="5D9A7852" w14:textId="32144820" w:rsidR="006856B9" w:rsidRPr="003B4DAF" w:rsidRDefault="006856B9" w:rsidP="006856B9">
      <w:pPr>
        <w:pStyle w:val="Prrafodelista"/>
        <w:widowControl w:val="0"/>
        <w:numPr>
          <w:ilvl w:val="0"/>
          <w:numId w:val="11"/>
        </w:numPr>
        <w:spacing w:line="360" w:lineRule="auto"/>
        <w:jc w:val="both"/>
        <w:rPr>
          <w:rFonts w:ascii="Palatino Linotype" w:hAnsi="Palatino Linotype" w:cs="Tahoma"/>
          <w:bCs/>
          <w:iCs/>
          <w:sz w:val="22"/>
          <w:szCs w:val="22"/>
        </w:rPr>
      </w:pPr>
      <w:r w:rsidRPr="003B4DAF">
        <w:rPr>
          <w:rFonts w:ascii="Palatino Linotype" w:hAnsi="Palatino Linotype" w:cs="Tahoma"/>
          <w:bCs/>
          <w:iCs/>
          <w:sz w:val="22"/>
          <w:szCs w:val="22"/>
        </w:rPr>
        <w:t>L</w:t>
      </w:r>
      <w:r w:rsidR="00FF01D0" w:rsidRPr="003B4DAF">
        <w:rPr>
          <w:rFonts w:ascii="Palatino Linotype" w:hAnsi="Palatino Linotype" w:cs="Tahoma"/>
          <w:bCs/>
          <w:iCs/>
          <w:sz w:val="22"/>
          <w:szCs w:val="22"/>
        </w:rPr>
        <w:t>as peticiones realizadas por la ciudadanía</w:t>
      </w:r>
      <w:r w:rsidRPr="003B4DAF">
        <w:rPr>
          <w:rFonts w:ascii="Palatino Linotype" w:hAnsi="Palatino Linotype" w:cs="Tahoma"/>
          <w:bCs/>
          <w:iCs/>
          <w:sz w:val="22"/>
          <w:szCs w:val="22"/>
        </w:rPr>
        <w:t xml:space="preserve"> </w:t>
      </w:r>
      <w:r w:rsidR="00FF01D0" w:rsidRPr="003B4DAF">
        <w:rPr>
          <w:rFonts w:ascii="Palatino Linotype" w:hAnsi="Palatino Linotype" w:cs="Tahoma"/>
          <w:bCs/>
          <w:iCs/>
          <w:sz w:val="22"/>
          <w:szCs w:val="22"/>
        </w:rPr>
        <w:t>a la Tesorería Municipal</w:t>
      </w:r>
      <w:r w:rsidRPr="003B4DAF">
        <w:rPr>
          <w:rFonts w:ascii="Palatino Linotype" w:hAnsi="Palatino Linotype" w:cs="Tahoma"/>
          <w:bCs/>
          <w:iCs/>
          <w:sz w:val="22"/>
          <w:szCs w:val="22"/>
        </w:rPr>
        <w:t>, del primero de enero de dos mil veintidós al treinta y uno de diciembre de dos mil veinticuatro, con la respuestas emitidas.</w:t>
      </w:r>
    </w:p>
    <w:p w14:paraId="05E2AE17" w14:textId="3740DCC3" w:rsidR="006D488D" w:rsidRPr="003B4DAF" w:rsidRDefault="006D488D" w:rsidP="00A554EA">
      <w:pPr>
        <w:spacing w:line="360" w:lineRule="auto"/>
        <w:jc w:val="both"/>
        <w:rPr>
          <w:rFonts w:ascii="Palatino Linotype" w:hAnsi="Palatino Linotype" w:cs="Tahoma"/>
          <w:sz w:val="22"/>
          <w:szCs w:val="22"/>
        </w:rPr>
      </w:pPr>
    </w:p>
    <w:p w14:paraId="36C5367E" w14:textId="77777777" w:rsidR="00FF01D0" w:rsidRPr="003B4DAF" w:rsidRDefault="00FF01D0" w:rsidP="00A554EA">
      <w:pPr>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46C85019" w14:textId="77777777" w:rsidR="00FF01D0" w:rsidRPr="003B4DAF" w:rsidRDefault="00FF01D0" w:rsidP="00A554EA">
      <w:pPr>
        <w:spacing w:line="360" w:lineRule="auto"/>
        <w:contextualSpacing/>
        <w:jc w:val="both"/>
        <w:rPr>
          <w:rFonts w:ascii="Palatino Linotype" w:hAnsi="Palatino Linotype" w:cs="Tahoma"/>
          <w:bCs/>
          <w:iCs/>
          <w:sz w:val="22"/>
          <w:szCs w:val="22"/>
        </w:rPr>
      </w:pPr>
    </w:p>
    <w:p w14:paraId="1C71F90E" w14:textId="28BFF360" w:rsidR="00FF01D0" w:rsidRPr="003B4DAF" w:rsidRDefault="00FF01D0" w:rsidP="00A554EA">
      <w:pPr>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t xml:space="preserve">Para el caso de que, </w:t>
      </w:r>
      <w:r w:rsidR="006856B9" w:rsidRPr="003B4DAF">
        <w:rPr>
          <w:rFonts w:ascii="Palatino Linotype" w:hAnsi="Palatino Linotype" w:cs="Tahoma"/>
          <w:bCs/>
          <w:iCs/>
          <w:sz w:val="22"/>
          <w:szCs w:val="22"/>
        </w:rPr>
        <w:t xml:space="preserve">en un determinado periodo no haya recibido peticios o bien </w:t>
      </w:r>
      <w:r w:rsidRPr="003B4DAF">
        <w:rPr>
          <w:rFonts w:ascii="Palatino Linotype" w:hAnsi="Palatino Linotype" w:cs="Tahoma"/>
          <w:bCs/>
          <w:iCs/>
          <w:sz w:val="22"/>
          <w:szCs w:val="22"/>
        </w:rPr>
        <w:t xml:space="preserve">no se </w:t>
      </w:r>
      <w:r w:rsidR="006856B9" w:rsidRPr="003B4DAF">
        <w:rPr>
          <w:rFonts w:ascii="Palatino Linotype" w:hAnsi="Palatino Linotype" w:cs="Tahoma"/>
          <w:bCs/>
          <w:iCs/>
          <w:sz w:val="22"/>
          <w:szCs w:val="22"/>
        </w:rPr>
        <w:t>hayan</w:t>
      </w:r>
      <w:r w:rsidRPr="003B4DAF">
        <w:rPr>
          <w:rFonts w:ascii="Palatino Linotype" w:hAnsi="Palatino Linotype" w:cs="Tahoma"/>
          <w:bCs/>
          <w:iCs/>
          <w:sz w:val="22"/>
          <w:szCs w:val="22"/>
        </w:rPr>
        <w:t xml:space="preserve"> otorgado respuestas, deberá hacerlo del conocimiento del ahora Recurrente, de manera precisa y clara.</w:t>
      </w:r>
    </w:p>
    <w:p w14:paraId="643D5FF3" w14:textId="77777777" w:rsidR="006D488D" w:rsidRPr="003B4DAF" w:rsidRDefault="006D488D" w:rsidP="00A554EA">
      <w:pPr>
        <w:spacing w:line="360" w:lineRule="auto"/>
        <w:contextualSpacing/>
        <w:jc w:val="both"/>
        <w:rPr>
          <w:rFonts w:ascii="Palatino Linotype" w:hAnsi="Palatino Linotype" w:cs="Tahoma"/>
          <w:bCs/>
          <w:color w:val="0D0D0D" w:themeColor="text1" w:themeTint="F2"/>
          <w:sz w:val="22"/>
          <w:szCs w:val="22"/>
          <w:lang w:val="es-ES"/>
        </w:rPr>
      </w:pPr>
    </w:p>
    <w:p w14:paraId="2196E4F1" w14:textId="77777777" w:rsidR="006D488D" w:rsidRPr="003B4DAF" w:rsidRDefault="006D488D" w:rsidP="00A554EA">
      <w:pPr>
        <w:spacing w:line="360" w:lineRule="auto"/>
        <w:contextualSpacing/>
        <w:jc w:val="both"/>
        <w:rPr>
          <w:rFonts w:ascii="Palatino Linotype" w:eastAsia="Calibri" w:hAnsi="Palatino Linotype" w:cs="Tahoma"/>
          <w:iCs/>
          <w:sz w:val="22"/>
          <w:szCs w:val="22"/>
        </w:rPr>
      </w:pPr>
      <w:r w:rsidRPr="003B4DAF">
        <w:rPr>
          <w:rFonts w:ascii="Palatino Linotype" w:eastAsia="Calibri" w:hAnsi="Palatino Linotype" w:cs="Tahoma"/>
          <w:b/>
          <w:bCs/>
          <w:iCs/>
          <w:sz w:val="22"/>
          <w:szCs w:val="22"/>
        </w:rPr>
        <w:t>TERCERO. NOTIFÍQUESE POR SAIMEX</w:t>
      </w:r>
      <w:r w:rsidRPr="003B4DAF">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w:t>
      </w:r>
      <w:r w:rsidRPr="003B4DAF">
        <w:rPr>
          <w:rFonts w:ascii="Palatino Linotype" w:eastAsia="Calibri" w:hAnsi="Palatino Linotype" w:cs="Tahoma"/>
          <w:iCs/>
          <w:sz w:val="22"/>
          <w:szCs w:val="22"/>
        </w:rPr>
        <w:lastRenderedPageBreak/>
        <w:t xml:space="preserve">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34D9A819" w14:textId="77777777" w:rsidR="006D488D" w:rsidRPr="003B4DAF" w:rsidRDefault="006D488D" w:rsidP="00A554EA">
      <w:pPr>
        <w:spacing w:line="360" w:lineRule="auto"/>
        <w:contextualSpacing/>
        <w:jc w:val="both"/>
        <w:rPr>
          <w:rFonts w:ascii="Palatino Linotype" w:eastAsia="Calibri" w:hAnsi="Palatino Linotype" w:cs="Tahoma"/>
          <w:iCs/>
          <w:sz w:val="22"/>
          <w:szCs w:val="22"/>
        </w:rPr>
      </w:pPr>
    </w:p>
    <w:p w14:paraId="1D12A9EA" w14:textId="77777777" w:rsidR="006D488D" w:rsidRPr="003B4DAF" w:rsidRDefault="006D488D" w:rsidP="00A554EA">
      <w:pPr>
        <w:spacing w:line="360" w:lineRule="auto"/>
        <w:contextualSpacing/>
        <w:jc w:val="both"/>
        <w:rPr>
          <w:rFonts w:ascii="Palatino Linotype" w:eastAsia="Calibri" w:hAnsi="Palatino Linotype" w:cs="Tahoma"/>
          <w:iCs/>
          <w:sz w:val="22"/>
          <w:szCs w:val="22"/>
        </w:rPr>
      </w:pPr>
      <w:r w:rsidRPr="003B4DAF">
        <w:rPr>
          <w:rFonts w:ascii="Palatino Linotype" w:eastAsia="Calibri"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700D3FE2" w14:textId="77777777" w:rsidR="006D488D" w:rsidRPr="003B4DAF" w:rsidRDefault="006D488D" w:rsidP="00A554EA">
      <w:pPr>
        <w:spacing w:line="360" w:lineRule="auto"/>
        <w:contextualSpacing/>
        <w:jc w:val="both"/>
        <w:rPr>
          <w:rFonts w:ascii="Palatino Linotype" w:eastAsia="Calibri" w:hAnsi="Palatino Linotype" w:cs="Tahoma"/>
          <w:iCs/>
          <w:sz w:val="22"/>
          <w:szCs w:val="22"/>
        </w:rPr>
      </w:pPr>
      <w:r w:rsidRPr="003B4DAF">
        <w:rPr>
          <w:rFonts w:ascii="Palatino Linotype" w:eastAsia="Calibri" w:hAnsi="Palatino Linotype" w:cs="Tahoma"/>
          <w:iCs/>
          <w:sz w:val="22"/>
          <w:szCs w:val="22"/>
        </w:rPr>
        <w:t xml:space="preserve"> </w:t>
      </w:r>
    </w:p>
    <w:p w14:paraId="4758C50D" w14:textId="77777777" w:rsidR="006D488D" w:rsidRPr="003B4DAF" w:rsidRDefault="006D488D" w:rsidP="00A554EA">
      <w:pPr>
        <w:spacing w:line="360" w:lineRule="auto"/>
        <w:contextualSpacing/>
        <w:jc w:val="both"/>
        <w:rPr>
          <w:rFonts w:ascii="Palatino Linotype" w:eastAsia="Calibri" w:hAnsi="Palatino Linotype" w:cs="Tahoma"/>
          <w:iCs/>
          <w:sz w:val="22"/>
          <w:szCs w:val="22"/>
        </w:rPr>
      </w:pPr>
      <w:r w:rsidRPr="003B4DAF">
        <w:rPr>
          <w:rFonts w:ascii="Palatino Linotype" w:eastAsia="Calibri" w:hAnsi="Palatino Linotype" w:cs="Tahoma"/>
          <w:b/>
          <w:bCs/>
          <w:iCs/>
          <w:sz w:val="22"/>
          <w:szCs w:val="22"/>
        </w:rPr>
        <w:t>CUARTO. NOTIFÍQUESE POR SAIMEX</w:t>
      </w:r>
      <w:r w:rsidRPr="003B4DAF">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8C589E" w14:textId="77777777" w:rsidR="006D488D" w:rsidRPr="003B4DAF" w:rsidRDefault="006D488D" w:rsidP="00A554EA">
      <w:pPr>
        <w:spacing w:line="360" w:lineRule="auto"/>
        <w:contextualSpacing/>
        <w:jc w:val="both"/>
        <w:rPr>
          <w:rFonts w:ascii="Palatino Linotype" w:eastAsia="Calibri" w:hAnsi="Palatino Linotype" w:cs="Tahoma"/>
          <w:iCs/>
          <w:sz w:val="22"/>
          <w:szCs w:val="22"/>
        </w:rPr>
      </w:pPr>
    </w:p>
    <w:p w14:paraId="2A307786" w14:textId="4AAF4512" w:rsidR="006D488D" w:rsidRDefault="006D488D" w:rsidP="00A554EA">
      <w:pPr>
        <w:spacing w:line="360" w:lineRule="auto"/>
        <w:contextualSpacing/>
        <w:jc w:val="both"/>
        <w:rPr>
          <w:rFonts w:ascii="Palatino Linotype" w:hAnsi="Palatino Linotype" w:cs="Tahoma"/>
          <w:bCs/>
          <w:iCs/>
          <w:sz w:val="22"/>
          <w:szCs w:val="22"/>
        </w:rPr>
      </w:pPr>
      <w:r w:rsidRPr="003B4DAF">
        <w:rPr>
          <w:rFonts w:ascii="Palatino Linotype" w:eastAsia="Calibri" w:hAnsi="Palatino Linotype" w:cs="Tahoma"/>
          <w:iCs/>
          <w:sz w:val="22"/>
          <w:szCs w:val="22"/>
        </w:rPr>
        <w:t xml:space="preserve">ASÍ LO RESUELVE, POR </w:t>
      </w:r>
      <w:r w:rsidRPr="003B4DAF">
        <w:rPr>
          <w:rFonts w:ascii="Palatino Linotype" w:eastAsia="Calibri" w:hAnsi="Palatino Linotype" w:cs="Tahoma"/>
          <w:b/>
          <w:bCs/>
          <w:iCs/>
          <w:sz w:val="22"/>
          <w:szCs w:val="22"/>
        </w:rPr>
        <w:t>UNANIMIDAD</w:t>
      </w:r>
      <w:r w:rsidRPr="003B4DAF">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563EC" w:rsidRPr="003B4DAF">
        <w:rPr>
          <w:rFonts w:ascii="Palatino Linotype" w:eastAsia="Calibri" w:hAnsi="Palatino Linotype" w:cs="Tahoma"/>
          <w:iCs/>
          <w:sz w:val="22"/>
          <w:szCs w:val="22"/>
        </w:rPr>
        <w:t>QUIN</w:t>
      </w:r>
      <w:r w:rsidR="00FF01D0" w:rsidRPr="003B4DAF">
        <w:rPr>
          <w:rFonts w:ascii="Palatino Linotype" w:eastAsia="Calibri" w:hAnsi="Palatino Linotype" w:cs="Tahoma"/>
          <w:iCs/>
          <w:sz w:val="22"/>
          <w:szCs w:val="22"/>
        </w:rPr>
        <w:t xml:space="preserve">TA </w:t>
      </w:r>
      <w:r w:rsidRPr="003B4DAF">
        <w:rPr>
          <w:rFonts w:ascii="Palatino Linotype" w:eastAsia="Calibri" w:hAnsi="Palatino Linotype" w:cs="Tahoma"/>
          <w:iCs/>
          <w:sz w:val="22"/>
          <w:szCs w:val="22"/>
        </w:rPr>
        <w:t xml:space="preserve">SESIÓN ORDINARIA, CELEBRADA EL </w:t>
      </w:r>
      <w:r w:rsidR="007563EC" w:rsidRPr="003B4DAF">
        <w:rPr>
          <w:rFonts w:ascii="Palatino Linotype" w:eastAsia="Calibri" w:hAnsi="Palatino Linotype" w:cs="Tahoma"/>
          <w:iCs/>
          <w:sz w:val="22"/>
          <w:szCs w:val="22"/>
        </w:rPr>
        <w:t xml:space="preserve">PRIMERO DE OCTUBRE </w:t>
      </w:r>
      <w:r w:rsidRPr="003B4DAF">
        <w:rPr>
          <w:rFonts w:ascii="Palatino Linotype" w:eastAsia="Calibri" w:hAnsi="Palatino Linotype" w:cs="Tahoma"/>
          <w:iCs/>
          <w:sz w:val="22"/>
          <w:szCs w:val="22"/>
        </w:rPr>
        <w:t>DE DOS MIL VEINTICINCO, ANTE EL SECRETARIO TÉCNICO DEL PLENO, ALEXIS TAPIA RAMÍREZ.</w:t>
      </w:r>
    </w:p>
    <w:p w14:paraId="20660628" w14:textId="77777777" w:rsidR="006D488D" w:rsidRDefault="006D488D" w:rsidP="00A554EA">
      <w:pPr>
        <w:spacing w:line="360" w:lineRule="auto"/>
        <w:contextualSpacing/>
        <w:jc w:val="both"/>
        <w:rPr>
          <w:rFonts w:ascii="Palatino Linotype" w:hAnsi="Palatino Linotype" w:cs="Tahoma"/>
          <w:bCs/>
          <w:iCs/>
          <w:sz w:val="22"/>
          <w:szCs w:val="22"/>
        </w:rPr>
      </w:pPr>
    </w:p>
    <w:p w14:paraId="0506E209" w14:textId="77777777" w:rsidR="006D488D" w:rsidRDefault="006D488D" w:rsidP="00A554EA">
      <w:pPr>
        <w:spacing w:line="360" w:lineRule="auto"/>
        <w:contextualSpacing/>
        <w:rPr>
          <w:rFonts w:ascii="Palatino Linotype" w:hAnsi="Palatino Linotype"/>
        </w:rPr>
      </w:pPr>
    </w:p>
    <w:p w14:paraId="741A1AE7" w14:textId="77777777" w:rsidR="006D488D" w:rsidRDefault="006D488D" w:rsidP="00A554EA">
      <w:pPr>
        <w:spacing w:line="360" w:lineRule="auto"/>
        <w:contextualSpacing/>
        <w:rPr>
          <w:rFonts w:ascii="Palatino Linotype" w:hAnsi="Palatino Linotype"/>
        </w:rPr>
      </w:pPr>
    </w:p>
    <w:p w14:paraId="2887137E" w14:textId="77777777" w:rsidR="006D488D" w:rsidRDefault="006D488D" w:rsidP="00A554EA">
      <w:pPr>
        <w:spacing w:line="360" w:lineRule="auto"/>
        <w:contextualSpacing/>
        <w:rPr>
          <w:rFonts w:ascii="Palatino Linotype" w:hAnsi="Palatino Linotype"/>
        </w:rPr>
      </w:pPr>
    </w:p>
    <w:p w14:paraId="6103A11D" w14:textId="77777777" w:rsidR="006D488D" w:rsidRDefault="006D488D" w:rsidP="00A554EA">
      <w:pPr>
        <w:spacing w:line="360" w:lineRule="auto"/>
        <w:contextualSpacing/>
        <w:rPr>
          <w:rFonts w:ascii="Palatino Linotype" w:hAnsi="Palatino Linotype"/>
        </w:rPr>
      </w:pPr>
    </w:p>
    <w:p w14:paraId="6348B54B" w14:textId="77777777" w:rsidR="006D488D" w:rsidRDefault="006D488D" w:rsidP="00A554EA">
      <w:pPr>
        <w:spacing w:line="360" w:lineRule="auto"/>
        <w:contextualSpacing/>
        <w:rPr>
          <w:rFonts w:ascii="Palatino Linotype" w:hAnsi="Palatino Linotype"/>
        </w:rPr>
      </w:pPr>
    </w:p>
    <w:p w14:paraId="775FDD54" w14:textId="77777777" w:rsidR="006D488D" w:rsidRDefault="006D488D" w:rsidP="00A554EA">
      <w:pPr>
        <w:spacing w:line="360" w:lineRule="auto"/>
        <w:contextualSpacing/>
        <w:rPr>
          <w:rFonts w:ascii="Palatino Linotype" w:hAnsi="Palatino Linotype"/>
        </w:rPr>
      </w:pPr>
    </w:p>
    <w:p w14:paraId="33BACC9D" w14:textId="77777777" w:rsidR="006D488D" w:rsidRDefault="006D488D" w:rsidP="00A554EA">
      <w:pPr>
        <w:spacing w:line="360" w:lineRule="auto"/>
        <w:contextualSpacing/>
        <w:rPr>
          <w:rFonts w:ascii="Palatino Linotype" w:hAnsi="Palatino Linotype"/>
        </w:rPr>
      </w:pPr>
    </w:p>
    <w:p w14:paraId="2048687F" w14:textId="77777777" w:rsidR="006D488D" w:rsidRDefault="006D488D" w:rsidP="00A554EA">
      <w:pPr>
        <w:spacing w:line="360" w:lineRule="auto"/>
        <w:contextualSpacing/>
        <w:rPr>
          <w:rFonts w:ascii="Palatino Linotype" w:hAnsi="Palatino Linotype"/>
        </w:rPr>
      </w:pPr>
    </w:p>
    <w:p w14:paraId="14DD923A" w14:textId="77777777" w:rsidR="006D488D" w:rsidRDefault="006D488D" w:rsidP="00A554EA">
      <w:pPr>
        <w:spacing w:line="360" w:lineRule="auto"/>
        <w:contextualSpacing/>
        <w:rPr>
          <w:rFonts w:ascii="Palatino Linotype" w:hAnsi="Palatino Linotype"/>
        </w:rPr>
      </w:pPr>
    </w:p>
    <w:p w14:paraId="133F767E" w14:textId="77777777" w:rsidR="006D488D" w:rsidRDefault="006D488D" w:rsidP="00A554EA">
      <w:pPr>
        <w:spacing w:line="360" w:lineRule="auto"/>
        <w:contextualSpacing/>
        <w:rPr>
          <w:rFonts w:ascii="Palatino Linotype" w:hAnsi="Palatino Linotype"/>
        </w:rPr>
      </w:pPr>
    </w:p>
    <w:p w14:paraId="04B174D4" w14:textId="77777777" w:rsidR="006D488D" w:rsidRDefault="006D488D" w:rsidP="00A554EA">
      <w:pPr>
        <w:spacing w:line="360" w:lineRule="auto"/>
        <w:contextualSpacing/>
        <w:rPr>
          <w:rFonts w:ascii="Palatino Linotype" w:hAnsi="Palatino Linotype"/>
        </w:rPr>
      </w:pPr>
    </w:p>
    <w:p w14:paraId="26DB8D35" w14:textId="77777777" w:rsidR="006D488D" w:rsidRDefault="006D488D" w:rsidP="00A554EA">
      <w:pPr>
        <w:spacing w:line="360" w:lineRule="auto"/>
        <w:contextualSpacing/>
        <w:rPr>
          <w:rFonts w:ascii="Palatino Linotype" w:hAnsi="Palatino Linotype"/>
        </w:rPr>
      </w:pPr>
    </w:p>
    <w:p w14:paraId="4FC4F9D4" w14:textId="77777777" w:rsidR="006D488D" w:rsidRDefault="006D488D" w:rsidP="00A554EA">
      <w:pPr>
        <w:spacing w:line="360" w:lineRule="auto"/>
        <w:contextualSpacing/>
        <w:rPr>
          <w:rFonts w:ascii="Palatino Linotype" w:hAnsi="Palatino Linotype"/>
        </w:rPr>
      </w:pPr>
    </w:p>
    <w:p w14:paraId="52B1101B" w14:textId="77777777" w:rsidR="006D488D" w:rsidRPr="00537F14" w:rsidRDefault="006D488D" w:rsidP="00A554EA">
      <w:pPr>
        <w:spacing w:line="360" w:lineRule="auto"/>
        <w:contextualSpacing/>
        <w:rPr>
          <w:rFonts w:ascii="Palatino Linotype" w:hAnsi="Palatino Linotype"/>
        </w:rPr>
      </w:pPr>
    </w:p>
    <w:p w14:paraId="6DC3D0B2" w14:textId="77777777" w:rsidR="006D488D" w:rsidRDefault="006D488D" w:rsidP="00A554EA">
      <w:pPr>
        <w:spacing w:line="360" w:lineRule="auto"/>
        <w:contextualSpacing/>
      </w:pPr>
    </w:p>
    <w:p w14:paraId="0C2A244B" w14:textId="77777777" w:rsidR="006D488D" w:rsidRDefault="006D488D" w:rsidP="00A554EA">
      <w:pPr>
        <w:spacing w:line="360" w:lineRule="auto"/>
        <w:contextualSpacing/>
      </w:pPr>
    </w:p>
    <w:p w14:paraId="47BF0CD0" w14:textId="77777777" w:rsidR="006D488D" w:rsidRDefault="006D488D" w:rsidP="00A554EA">
      <w:pPr>
        <w:spacing w:line="360" w:lineRule="auto"/>
        <w:contextualSpacing/>
      </w:pPr>
    </w:p>
    <w:p w14:paraId="075B70EA" w14:textId="77777777" w:rsidR="006D488D" w:rsidRDefault="006D488D" w:rsidP="00A554EA">
      <w:pPr>
        <w:spacing w:line="360" w:lineRule="auto"/>
        <w:contextualSpacing/>
      </w:pPr>
    </w:p>
    <w:p w14:paraId="5A078351" w14:textId="77777777" w:rsidR="006D488D" w:rsidRDefault="006D488D" w:rsidP="00A554EA">
      <w:pPr>
        <w:spacing w:line="360" w:lineRule="auto"/>
        <w:contextualSpacing/>
      </w:pPr>
    </w:p>
    <w:p w14:paraId="6D45B11C" w14:textId="77777777" w:rsidR="006D488D" w:rsidRDefault="006D488D" w:rsidP="00A554EA">
      <w:pPr>
        <w:spacing w:line="360" w:lineRule="auto"/>
        <w:contextualSpacing/>
      </w:pPr>
    </w:p>
    <w:p w14:paraId="25A87496" w14:textId="77777777" w:rsidR="006D488D" w:rsidRDefault="006D488D" w:rsidP="00A554EA">
      <w:pPr>
        <w:spacing w:line="360" w:lineRule="auto"/>
        <w:contextualSpacing/>
      </w:pPr>
    </w:p>
    <w:p w14:paraId="4A8D6A3F" w14:textId="77777777" w:rsidR="006D488D" w:rsidRDefault="006D488D" w:rsidP="00A554EA">
      <w:pPr>
        <w:spacing w:line="360" w:lineRule="auto"/>
        <w:contextualSpacing/>
      </w:pPr>
    </w:p>
    <w:p w14:paraId="2E31BEDE" w14:textId="77777777" w:rsidR="006D488D" w:rsidRDefault="006D488D" w:rsidP="00A554EA">
      <w:pPr>
        <w:spacing w:line="360" w:lineRule="auto"/>
        <w:contextualSpacing/>
      </w:pPr>
    </w:p>
    <w:p w14:paraId="4574052B" w14:textId="77777777" w:rsidR="006D488D" w:rsidRDefault="006D488D" w:rsidP="00A554EA">
      <w:pPr>
        <w:spacing w:line="360" w:lineRule="auto"/>
        <w:contextualSpacing/>
      </w:pPr>
    </w:p>
    <w:p w14:paraId="0EF71725" w14:textId="77777777" w:rsidR="006D488D" w:rsidRDefault="006D488D" w:rsidP="00A554EA">
      <w:pPr>
        <w:spacing w:line="360" w:lineRule="auto"/>
        <w:contextualSpacing/>
      </w:pPr>
    </w:p>
    <w:p w14:paraId="383F95B9" w14:textId="77777777" w:rsidR="006D488D" w:rsidRDefault="006D488D" w:rsidP="00A554EA">
      <w:pPr>
        <w:spacing w:line="360" w:lineRule="auto"/>
        <w:contextualSpacing/>
      </w:pPr>
    </w:p>
    <w:p w14:paraId="7A5FA548" w14:textId="77777777" w:rsidR="006D488D" w:rsidRDefault="006D488D" w:rsidP="00A554EA">
      <w:pPr>
        <w:spacing w:line="360" w:lineRule="auto"/>
        <w:contextualSpacing/>
      </w:pPr>
    </w:p>
    <w:bookmarkEnd w:id="1"/>
    <w:p w14:paraId="4254BB82" w14:textId="77777777" w:rsidR="006D488D" w:rsidRDefault="006D488D" w:rsidP="00A554EA">
      <w:pPr>
        <w:spacing w:line="360" w:lineRule="auto"/>
      </w:pPr>
    </w:p>
    <w:p w14:paraId="095CC6F0" w14:textId="77777777" w:rsidR="00B01980" w:rsidRDefault="00B01980" w:rsidP="00A554EA">
      <w:pPr>
        <w:spacing w:line="360" w:lineRule="auto"/>
      </w:pPr>
    </w:p>
    <w:sectPr w:rsidR="00B01980" w:rsidSect="006D488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FCF2" w14:textId="77777777" w:rsidR="00B7523A" w:rsidRDefault="00B7523A" w:rsidP="006D488D">
      <w:r>
        <w:separator/>
      </w:r>
    </w:p>
  </w:endnote>
  <w:endnote w:type="continuationSeparator" w:id="0">
    <w:p w14:paraId="201E682A" w14:textId="77777777" w:rsidR="00B7523A" w:rsidRDefault="00B7523A" w:rsidP="006D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7E26286D" w14:textId="77777777" w:rsidR="006D488D" w:rsidRDefault="006D488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54239">
              <w:rPr>
                <w:rFonts w:ascii="Palatino Linotype" w:hAnsi="Palatino Linotype"/>
                <w:b/>
                <w:bCs/>
                <w:noProof/>
                <w:sz w:val="22"/>
                <w:szCs w:val="22"/>
              </w:rPr>
              <w:t>26</w:t>
            </w:r>
            <w:r w:rsidRPr="00AA25BA">
              <w:rPr>
                <w:rFonts w:ascii="Palatino Linotype" w:hAnsi="Palatino Linotype"/>
                <w:b/>
                <w:bCs/>
                <w:sz w:val="22"/>
                <w:szCs w:val="22"/>
              </w:rPr>
              <w:fldChar w:fldCharType="end"/>
            </w:r>
          </w:p>
        </w:sdtContent>
      </w:sdt>
    </w:sdtContent>
  </w:sdt>
  <w:p w14:paraId="18E9D064" w14:textId="77777777" w:rsidR="006D488D" w:rsidRDefault="006D48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6FEB0166" w14:textId="77777777" w:rsidR="006D488D" w:rsidRDefault="006D488D">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54239">
              <w:rPr>
                <w:rFonts w:ascii="Palatino Linotype" w:hAnsi="Palatino Linotype"/>
                <w:b/>
                <w:bCs/>
                <w:noProof/>
                <w:sz w:val="22"/>
                <w:szCs w:val="22"/>
              </w:rPr>
              <w:t>26</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54239">
              <w:rPr>
                <w:rFonts w:ascii="Palatino Linotype" w:hAnsi="Palatino Linotype"/>
                <w:b/>
                <w:bCs/>
                <w:noProof/>
                <w:sz w:val="22"/>
                <w:szCs w:val="22"/>
              </w:rPr>
              <w:t>26</w:t>
            </w:r>
            <w:r w:rsidRPr="00AA25BA">
              <w:rPr>
                <w:rFonts w:ascii="Palatino Linotype" w:hAnsi="Palatino Linotype"/>
                <w:b/>
                <w:bCs/>
                <w:sz w:val="22"/>
                <w:szCs w:val="22"/>
              </w:rPr>
              <w:fldChar w:fldCharType="end"/>
            </w:r>
          </w:p>
        </w:sdtContent>
      </w:sdt>
    </w:sdtContent>
  </w:sdt>
  <w:p w14:paraId="25A1A450" w14:textId="77777777" w:rsidR="006D488D" w:rsidRDefault="006D488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914C172" w14:textId="77777777" w:rsidR="006D488D" w:rsidRPr="00AA25BA" w:rsidRDefault="006D488D">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5423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54239">
              <w:rPr>
                <w:rFonts w:ascii="Palatino Linotype" w:hAnsi="Palatino Linotype"/>
                <w:b/>
                <w:bCs/>
                <w:noProof/>
                <w:sz w:val="22"/>
                <w:szCs w:val="22"/>
              </w:rPr>
              <w:t>26</w:t>
            </w:r>
            <w:r w:rsidRPr="00AA25BA">
              <w:rPr>
                <w:rFonts w:ascii="Palatino Linotype" w:hAnsi="Palatino Linotype"/>
                <w:b/>
                <w:bCs/>
                <w:sz w:val="22"/>
                <w:szCs w:val="22"/>
              </w:rPr>
              <w:fldChar w:fldCharType="end"/>
            </w:r>
          </w:p>
        </w:sdtContent>
      </w:sdt>
    </w:sdtContent>
  </w:sdt>
  <w:p w14:paraId="2C4E3DA2" w14:textId="77777777" w:rsidR="006D488D" w:rsidRDefault="006D48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39C91" w14:textId="77777777" w:rsidR="00B7523A" w:rsidRDefault="00B7523A" w:rsidP="006D488D">
      <w:r>
        <w:separator/>
      </w:r>
    </w:p>
  </w:footnote>
  <w:footnote w:type="continuationSeparator" w:id="0">
    <w:p w14:paraId="4785849E" w14:textId="77777777" w:rsidR="00B7523A" w:rsidRDefault="00B7523A" w:rsidP="006D4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6D488D" w14:paraId="44B309A8" w14:textId="77777777" w:rsidTr="00D47013">
      <w:trPr>
        <w:trHeight w:val="1435"/>
      </w:trPr>
      <w:tc>
        <w:tcPr>
          <w:tcW w:w="2972" w:type="dxa"/>
        </w:tcPr>
        <w:p w14:paraId="3DC8C2D7" w14:textId="77777777" w:rsidR="006D488D" w:rsidRDefault="006D488D"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6D488D" w14:paraId="0FF07170" w14:textId="77777777" w:rsidTr="00D47013">
            <w:trPr>
              <w:trHeight w:val="144"/>
            </w:trPr>
            <w:tc>
              <w:tcPr>
                <w:tcW w:w="2447" w:type="dxa"/>
                <w:hideMark/>
              </w:tcPr>
              <w:p w14:paraId="59E799F4" w14:textId="77777777" w:rsidR="006D488D" w:rsidRPr="008A245E" w:rsidRDefault="006D488D"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50A1C67" w14:textId="77777777" w:rsidR="006D488D" w:rsidRPr="008A245E" w:rsidRDefault="006D488D"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6D488D" w14:paraId="16AD1B8D" w14:textId="77777777" w:rsidTr="00D47013">
            <w:trPr>
              <w:trHeight w:val="283"/>
            </w:trPr>
            <w:tc>
              <w:tcPr>
                <w:tcW w:w="2447" w:type="dxa"/>
                <w:hideMark/>
              </w:tcPr>
              <w:p w14:paraId="163C9D3F" w14:textId="77777777" w:rsidR="006D488D" w:rsidRPr="008A245E" w:rsidRDefault="006D488D"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2E693F46" w14:textId="77777777" w:rsidR="006D488D" w:rsidRPr="008A245E" w:rsidRDefault="006D488D"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6D488D" w14:paraId="1BB9B6BF" w14:textId="77777777" w:rsidTr="00D47013">
            <w:trPr>
              <w:trHeight w:val="283"/>
            </w:trPr>
            <w:tc>
              <w:tcPr>
                <w:tcW w:w="2447" w:type="dxa"/>
                <w:hideMark/>
              </w:tcPr>
              <w:p w14:paraId="0A06AFC4" w14:textId="77777777" w:rsidR="006D488D" w:rsidRPr="008A245E" w:rsidRDefault="006D488D"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D91A6E1" w14:textId="77777777" w:rsidR="006D488D" w:rsidRPr="008A245E" w:rsidRDefault="006D488D"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7BBD3D1" w14:textId="77777777" w:rsidR="006D488D" w:rsidRPr="008A245E" w:rsidRDefault="006D488D" w:rsidP="00D47013">
                <w:pPr>
                  <w:tabs>
                    <w:tab w:val="right" w:pos="8838"/>
                  </w:tabs>
                  <w:ind w:left="-74" w:right="-105"/>
                  <w:jc w:val="both"/>
                  <w:rPr>
                    <w:rFonts w:ascii="Palatino Linotype" w:eastAsia="Calibri" w:hAnsi="Palatino Linotype" w:cs="Tahoma"/>
                    <w:b/>
                    <w:sz w:val="22"/>
                    <w:szCs w:val="22"/>
                    <w:lang w:eastAsia="en-US"/>
                  </w:rPr>
                </w:pPr>
              </w:p>
            </w:tc>
          </w:tr>
        </w:tbl>
        <w:p w14:paraId="3EA46B3E" w14:textId="77777777" w:rsidR="006D488D" w:rsidRDefault="006D488D" w:rsidP="00D47013">
          <w:pPr>
            <w:tabs>
              <w:tab w:val="right" w:pos="8838"/>
            </w:tabs>
            <w:spacing w:line="256" w:lineRule="auto"/>
            <w:ind w:left="-28"/>
            <w:jc w:val="both"/>
            <w:rPr>
              <w:rFonts w:ascii="Arial" w:eastAsia="Calibri" w:hAnsi="Arial" w:cs="Arial"/>
              <w:b/>
              <w:sz w:val="22"/>
              <w:szCs w:val="22"/>
              <w:lang w:eastAsia="en-US"/>
            </w:rPr>
          </w:pPr>
        </w:p>
      </w:tc>
    </w:tr>
  </w:tbl>
  <w:p w14:paraId="23864D98" w14:textId="77777777" w:rsidR="006D488D" w:rsidRDefault="006D488D">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3EFE4573" wp14:editId="3BBB239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6D488D" w14:paraId="40B9AD87" w14:textId="77777777" w:rsidTr="00D47013">
      <w:trPr>
        <w:trHeight w:val="1435"/>
      </w:trPr>
      <w:tc>
        <w:tcPr>
          <w:tcW w:w="1985" w:type="dxa"/>
        </w:tcPr>
        <w:p w14:paraId="1552523F" w14:textId="77777777" w:rsidR="006D488D" w:rsidRDefault="006D488D" w:rsidP="00D47013">
          <w:pPr>
            <w:tabs>
              <w:tab w:val="right" w:pos="4273"/>
            </w:tabs>
            <w:spacing w:line="256" w:lineRule="auto"/>
            <w:rPr>
              <w:rFonts w:ascii="Garamond" w:eastAsia="Calibri" w:hAnsi="Garamond"/>
              <w:sz w:val="22"/>
              <w:szCs w:val="22"/>
              <w:lang w:eastAsia="en-US"/>
            </w:rPr>
          </w:pPr>
        </w:p>
      </w:tc>
      <w:tc>
        <w:tcPr>
          <w:tcW w:w="7371" w:type="dxa"/>
          <w:hideMark/>
        </w:tcPr>
        <w:p w14:paraId="1229F94E" w14:textId="77777777" w:rsidR="006D488D" w:rsidRPr="007D2BD0" w:rsidRDefault="006D488D">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6D488D" w14:paraId="4D55075E" w14:textId="77777777" w:rsidTr="00D47013">
            <w:trPr>
              <w:trHeight w:val="194"/>
            </w:trPr>
            <w:tc>
              <w:tcPr>
                <w:tcW w:w="2841" w:type="dxa"/>
                <w:hideMark/>
              </w:tcPr>
              <w:p w14:paraId="6F4DE493" w14:textId="77777777" w:rsidR="006D488D" w:rsidRPr="008A245E" w:rsidRDefault="006D488D"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1A46C0EF" w14:textId="2EADDE67" w:rsidR="006D488D" w:rsidRPr="008A245E" w:rsidRDefault="006D488D"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09316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27644919" w14:textId="77777777" w:rsidR="006D488D" w:rsidRDefault="006D488D" w:rsidP="00D47013">
                <w:pPr>
                  <w:tabs>
                    <w:tab w:val="right" w:pos="8838"/>
                  </w:tabs>
                  <w:ind w:left="-114" w:right="-105"/>
                  <w:jc w:val="both"/>
                  <w:rPr>
                    <w:rFonts w:ascii="Palatino Linotype" w:eastAsia="Calibri" w:hAnsi="Palatino Linotype" w:cs="Tahoma"/>
                    <w:bCs/>
                    <w:sz w:val="22"/>
                    <w:szCs w:val="22"/>
                    <w:lang w:eastAsia="en-US"/>
                  </w:rPr>
                </w:pPr>
              </w:p>
            </w:tc>
          </w:tr>
          <w:tr w:rsidR="006D488D" w14:paraId="0A3E764E" w14:textId="77777777" w:rsidTr="00D47013">
            <w:trPr>
              <w:trHeight w:val="88"/>
            </w:trPr>
            <w:tc>
              <w:tcPr>
                <w:tcW w:w="2841" w:type="dxa"/>
                <w:hideMark/>
              </w:tcPr>
              <w:p w14:paraId="52087F55" w14:textId="77777777" w:rsidR="006D488D" w:rsidRPr="008A245E" w:rsidRDefault="006D488D"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2B09C615" w14:textId="77777777" w:rsidR="006D488D" w:rsidRPr="00300B53" w:rsidRDefault="006D488D"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3100E42E" w14:textId="77777777" w:rsidR="006D488D" w:rsidRPr="00326F31" w:rsidRDefault="006D488D" w:rsidP="00D47013">
                <w:pPr>
                  <w:tabs>
                    <w:tab w:val="left" w:pos="2834"/>
                    <w:tab w:val="right" w:pos="8838"/>
                  </w:tabs>
                  <w:ind w:left="-114"/>
                  <w:jc w:val="both"/>
                  <w:rPr>
                    <w:rFonts w:ascii="Palatino Linotype" w:eastAsia="Calibri" w:hAnsi="Palatino Linotype" w:cs="Tahoma"/>
                    <w:sz w:val="22"/>
                    <w:szCs w:val="22"/>
                    <w:lang w:eastAsia="en-US"/>
                  </w:rPr>
                </w:pPr>
              </w:p>
            </w:tc>
          </w:tr>
          <w:tr w:rsidR="006D488D" w14:paraId="37A384B3" w14:textId="77777777" w:rsidTr="00D47013">
            <w:trPr>
              <w:trHeight w:val="383"/>
            </w:trPr>
            <w:tc>
              <w:tcPr>
                <w:tcW w:w="2841" w:type="dxa"/>
                <w:hideMark/>
              </w:tcPr>
              <w:p w14:paraId="194D4DA7" w14:textId="77777777" w:rsidR="006D488D" w:rsidRPr="008A245E" w:rsidRDefault="006D488D"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45A8C5CD" w14:textId="77777777" w:rsidR="006D488D" w:rsidRPr="007D2BD0" w:rsidRDefault="006D488D"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6B923E8" w14:textId="77777777" w:rsidR="006D488D" w:rsidRPr="008A245E" w:rsidRDefault="006D488D" w:rsidP="00D47013">
                <w:pPr>
                  <w:tabs>
                    <w:tab w:val="right" w:pos="8838"/>
                  </w:tabs>
                  <w:ind w:left="-114" w:right="-105"/>
                  <w:jc w:val="both"/>
                  <w:rPr>
                    <w:rFonts w:ascii="Palatino Linotype" w:eastAsia="Calibri" w:hAnsi="Palatino Linotype" w:cs="Tahoma"/>
                    <w:sz w:val="22"/>
                    <w:szCs w:val="22"/>
                    <w:lang w:eastAsia="en-US"/>
                  </w:rPr>
                </w:pPr>
              </w:p>
            </w:tc>
          </w:tr>
        </w:tbl>
        <w:p w14:paraId="1726A5F7" w14:textId="77777777" w:rsidR="006D488D" w:rsidRDefault="006D488D" w:rsidP="00D47013">
          <w:pPr>
            <w:tabs>
              <w:tab w:val="right" w:pos="8838"/>
            </w:tabs>
            <w:spacing w:line="256" w:lineRule="auto"/>
            <w:ind w:left="-28"/>
            <w:jc w:val="both"/>
            <w:rPr>
              <w:rFonts w:ascii="Arial" w:eastAsia="Calibri" w:hAnsi="Arial" w:cs="Arial"/>
              <w:b/>
              <w:sz w:val="22"/>
              <w:szCs w:val="22"/>
              <w:lang w:eastAsia="en-US"/>
            </w:rPr>
          </w:pPr>
        </w:p>
      </w:tc>
    </w:tr>
  </w:tbl>
  <w:p w14:paraId="2E42E1BF" w14:textId="77777777" w:rsidR="006D488D" w:rsidRDefault="006D488D">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F102B08" wp14:editId="1A4FB02B">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6D488D" w14:paraId="47CF401C" w14:textId="77777777" w:rsidTr="00D47013">
      <w:trPr>
        <w:trHeight w:val="1435"/>
      </w:trPr>
      <w:tc>
        <w:tcPr>
          <w:tcW w:w="1560" w:type="dxa"/>
        </w:tcPr>
        <w:p w14:paraId="15254F83" w14:textId="77777777" w:rsidR="006D488D" w:rsidRDefault="006D488D"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6D488D" w:rsidRPr="0095634C" w14:paraId="7046A394" w14:textId="77777777" w:rsidTr="00D47013">
            <w:trPr>
              <w:gridAfter w:val="1"/>
              <w:wAfter w:w="459" w:type="dxa"/>
              <w:trHeight w:val="132"/>
            </w:trPr>
            <w:tc>
              <w:tcPr>
                <w:tcW w:w="3818" w:type="dxa"/>
                <w:hideMark/>
              </w:tcPr>
              <w:p w14:paraId="53680930" w14:textId="77777777" w:rsidR="006D488D" w:rsidRPr="0095634C" w:rsidRDefault="006D488D"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593563E8" w14:textId="2025FCB4" w:rsidR="006D488D" w:rsidRPr="0095634C" w:rsidRDefault="006D488D"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09316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6D488D" w:rsidRPr="0095634C" w14:paraId="0526B437" w14:textId="77777777" w:rsidTr="00D47013">
            <w:trPr>
              <w:gridAfter w:val="1"/>
              <w:wAfter w:w="459" w:type="dxa"/>
              <w:trHeight w:val="132"/>
            </w:trPr>
            <w:tc>
              <w:tcPr>
                <w:tcW w:w="3818" w:type="dxa"/>
                <w:hideMark/>
              </w:tcPr>
              <w:p w14:paraId="60FE5EF9" w14:textId="77777777" w:rsidR="006D488D" w:rsidRPr="0095634C" w:rsidRDefault="006D488D"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198E5A30" w14:textId="77777777" w:rsidR="006D488D" w:rsidRPr="0095634C" w:rsidRDefault="006D488D"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6D488D" w:rsidRPr="0095634C" w14:paraId="7A417D73" w14:textId="77777777" w:rsidTr="00D47013">
            <w:trPr>
              <w:gridAfter w:val="1"/>
              <w:wAfter w:w="459" w:type="dxa"/>
              <w:trHeight w:val="261"/>
            </w:trPr>
            <w:tc>
              <w:tcPr>
                <w:tcW w:w="3818" w:type="dxa"/>
                <w:hideMark/>
              </w:tcPr>
              <w:p w14:paraId="38DC4E1D" w14:textId="77777777" w:rsidR="006D488D" w:rsidRPr="0095634C" w:rsidRDefault="006D488D"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76AD87D9" w14:textId="77777777" w:rsidR="006D488D" w:rsidRPr="0095634C" w:rsidRDefault="006D488D"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6D488D" w:rsidRPr="0095634C" w14:paraId="51C2AB40" w14:textId="77777777" w:rsidTr="00D47013">
            <w:trPr>
              <w:trHeight w:val="261"/>
            </w:trPr>
            <w:tc>
              <w:tcPr>
                <w:tcW w:w="3818" w:type="dxa"/>
                <w:hideMark/>
              </w:tcPr>
              <w:p w14:paraId="3D769B17" w14:textId="77777777" w:rsidR="006D488D" w:rsidRPr="0095634C" w:rsidRDefault="006D488D"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0A289401" w14:textId="77777777" w:rsidR="006D488D" w:rsidRPr="0057023C" w:rsidRDefault="006D488D"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4309BA1" w14:textId="77777777" w:rsidR="006D488D" w:rsidRDefault="006D488D" w:rsidP="00D47013">
          <w:pPr>
            <w:tabs>
              <w:tab w:val="right" w:pos="8838"/>
            </w:tabs>
            <w:spacing w:line="256" w:lineRule="auto"/>
            <w:ind w:left="-28"/>
            <w:jc w:val="both"/>
            <w:rPr>
              <w:rFonts w:ascii="Arial" w:eastAsia="Calibri" w:hAnsi="Arial" w:cs="Arial"/>
              <w:b/>
              <w:sz w:val="22"/>
              <w:szCs w:val="22"/>
              <w:lang w:eastAsia="en-US"/>
            </w:rPr>
          </w:pPr>
        </w:p>
      </w:tc>
    </w:tr>
  </w:tbl>
  <w:p w14:paraId="74DB5D17" w14:textId="77777777" w:rsidR="006D488D" w:rsidRDefault="00B7523A" w:rsidP="00D47013">
    <w:pPr>
      <w:pStyle w:val="Encabezado"/>
    </w:pPr>
    <w:r>
      <w:rPr>
        <w:rFonts w:ascii="Garamond" w:eastAsia="Calibri" w:hAnsi="Garamond"/>
        <w:noProof/>
        <w:sz w:val="22"/>
        <w:szCs w:val="22"/>
        <w:lang w:eastAsia="en-US"/>
      </w:rPr>
      <w:pict w14:anchorId="5B98E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3739"/>
    <w:multiLevelType w:val="hybridMultilevel"/>
    <w:tmpl w:val="7108B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5A156BF"/>
    <w:multiLevelType w:val="hybridMultilevel"/>
    <w:tmpl w:val="2A44F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7E7B99"/>
    <w:multiLevelType w:val="multilevel"/>
    <w:tmpl w:val="03DA3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96F1E5D"/>
    <w:multiLevelType w:val="hybridMultilevel"/>
    <w:tmpl w:val="9894DD32"/>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A85907"/>
    <w:multiLevelType w:val="multilevel"/>
    <w:tmpl w:val="689ED6F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626D48BC"/>
    <w:multiLevelType w:val="hybridMultilevel"/>
    <w:tmpl w:val="D8FE23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E8205E"/>
    <w:multiLevelType w:val="hybridMultilevel"/>
    <w:tmpl w:val="E4985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D3388"/>
    <w:multiLevelType w:val="hybridMultilevel"/>
    <w:tmpl w:val="B06A5DC6"/>
    <w:lvl w:ilvl="0" w:tplc="C9DEDE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8D"/>
    <w:rsid w:val="000D5D75"/>
    <w:rsid w:val="00183EE3"/>
    <w:rsid w:val="001B5ABF"/>
    <w:rsid w:val="00392B8C"/>
    <w:rsid w:val="003A69AA"/>
    <w:rsid w:val="003B4DAF"/>
    <w:rsid w:val="00543563"/>
    <w:rsid w:val="006856B9"/>
    <w:rsid w:val="006D488D"/>
    <w:rsid w:val="007563EC"/>
    <w:rsid w:val="00765F08"/>
    <w:rsid w:val="008A2390"/>
    <w:rsid w:val="008D46AC"/>
    <w:rsid w:val="009B4F19"/>
    <w:rsid w:val="009B6E1D"/>
    <w:rsid w:val="009C2F53"/>
    <w:rsid w:val="009F501C"/>
    <w:rsid w:val="00A554EA"/>
    <w:rsid w:val="00A65A1D"/>
    <w:rsid w:val="00B01980"/>
    <w:rsid w:val="00B7523A"/>
    <w:rsid w:val="00C17433"/>
    <w:rsid w:val="00C54A86"/>
    <w:rsid w:val="00DA6261"/>
    <w:rsid w:val="00E14BA7"/>
    <w:rsid w:val="00E313AE"/>
    <w:rsid w:val="00F3402A"/>
    <w:rsid w:val="00F54239"/>
    <w:rsid w:val="00FF0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302B71"/>
  <w15:chartTrackingRefBased/>
  <w15:docId w15:val="{D573DB1B-0CED-46C1-8EF6-6A1C88DF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88D"/>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6D4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D4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D48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D48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D48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D48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48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48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488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488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D488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D488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D488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D488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D48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48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48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488D"/>
    <w:rPr>
      <w:rFonts w:eastAsiaTheme="majorEastAsia" w:cstheme="majorBidi"/>
      <w:color w:val="272727" w:themeColor="text1" w:themeTint="D8"/>
    </w:rPr>
  </w:style>
  <w:style w:type="paragraph" w:styleId="Puesto">
    <w:name w:val="Title"/>
    <w:basedOn w:val="Normal"/>
    <w:next w:val="Normal"/>
    <w:link w:val="PuestoCar"/>
    <w:uiPriority w:val="10"/>
    <w:qFormat/>
    <w:rsid w:val="006D488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D48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48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48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488D"/>
    <w:pPr>
      <w:spacing w:before="160"/>
      <w:jc w:val="center"/>
    </w:pPr>
    <w:rPr>
      <w:i/>
      <w:iCs/>
      <w:color w:val="404040" w:themeColor="text1" w:themeTint="BF"/>
    </w:rPr>
  </w:style>
  <w:style w:type="character" w:customStyle="1" w:styleId="CitaCar">
    <w:name w:val="Cita Car"/>
    <w:basedOn w:val="Fuentedeprrafopredeter"/>
    <w:link w:val="Cita"/>
    <w:uiPriority w:val="29"/>
    <w:rsid w:val="006D488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488D"/>
    <w:pPr>
      <w:ind w:left="720"/>
      <w:contextualSpacing/>
    </w:pPr>
  </w:style>
  <w:style w:type="character" w:styleId="nfasisintenso">
    <w:name w:val="Intense Emphasis"/>
    <w:basedOn w:val="Fuentedeprrafopredeter"/>
    <w:uiPriority w:val="21"/>
    <w:qFormat/>
    <w:rsid w:val="006D488D"/>
    <w:rPr>
      <w:i/>
      <w:iCs/>
      <w:color w:val="2F5496" w:themeColor="accent1" w:themeShade="BF"/>
    </w:rPr>
  </w:style>
  <w:style w:type="paragraph" w:styleId="Citadestacada">
    <w:name w:val="Intense Quote"/>
    <w:basedOn w:val="Normal"/>
    <w:next w:val="Normal"/>
    <w:link w:val="CitadestacadaCar"/>
    <w:uiPriority w:val="30"/>
    <w:qFormat/>
    <w:rsid w:val="006D4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D488D"/>
    <w:rPr>
      <w:i/>
      <w:iCs/>
      <w:color w:val="2F5496" w:themeColor="accent1" w:themeShade="BF"/>
    </w:rPr>
  </w:style>
  <w:style w:type="character" w:styleId="Referenciaintensa">
    <w:name w:val="Intense Reference"/>
    <w:basedOn w:val="Fuentedeprrafopredeter"/>
    <w:uiPriority w:val="32"/>
    <w:qFormat/>
    <w:rsid w:val="006D488D"/>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D488D"/>
  </w:style>
  <w:style w:type="table" w:styleId="Tablaconcuadrcula">
    <w:name w:val="Table Grid"/>
    <w:basedOn w:val="Tablanormal"/>
    <w:uiPriority w:val="39"/>
    <w:rsid w:val="006D488D"/>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D488D"/>
    <w:pPr>
      <w:tabs>
        <w:tab w:val="center" w:pos="4419"/>
        <w:tab w:val="right" w:pos="8838"/>
      </w:tabs>
    </w:pPr>
  </w:style>
  <w:style w:type="character" w:customStyle="1" w:styleId="EncabezadoCar">
    <w:name w:val="Encabezado Car"/>
    <w:basedOn w:val="Fuentedeprrafopredeter"/>
    <w:link w:val="Encabezado"/>
    <w:uiPriority w:val="99"/>
    <w:rsid w:val="006D488D"/>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D488D"/>
    <w:pPr>
      <w:tabs>
        <w:tab w:val="center" w:pos="4419"/>
        <w:tab w:val="right" w:pos="8838"/>
      </w:tabs>
    </w:pPr>
  </w:style>
  <w:style w:type="character" w:customStyle="1" w:styleId="PiedepginaCar">
    <w:name w:val="Pie de página Car"/>
    <w:basedOn w:val="Fuentedeprrafopredeter"/>
    <w:link w:val="Piedepgina"/>
    <w:uiPriority w:val="99"/>
    <w:rsid w:val="006D488D"/>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6D488D"/>
    <w:rPr>
      <w:color w:val="0563C1" w:themeColor="hyperlink"/>
      <w:u w:val="single"/>
    </w:rPr>
  </w:style>
  <w:style w:type="paragraph" w:styleId="TtulodeTDC">
    <w:name w:val="TOC Heading"/>
    <w:basedOn w:val="Ttulo1"/>
    <w:next w:val="Normal"/>
    <w:uiPriority w:val="39"/>
    <w:unhideWhenUsed/>
    <w:qFormat/>
    <w:rsid w:val="006D488D"/>
    <w:pPr>
      <w:spacing w:before="240" w:after="0"/>
      <w:outlineLvl w:val="9"/>
    </w:pPr>
    <w:rPr>
      <w:sz w:val="32"/>
      <w:szCs w:val="32"/>
      <w:lang w:eastAsia="es-MX"/>
    </w:rPr>
  </w:style>
  <w:style w:type="paragraph" w:styleId="TDC2">
    <w:name w:val="toc 2"/>
    <w:basedOn w:val="Normal"/>
    <w:next w:val="Normal"/>
    <w:autoRedefine/>
    <w:uiPriority w:val="39"/>
    <w:unhideWhenUsed/>
    <w:rsid w:val="006D488D"/>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6D488D"/>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6360</Words>
  <Characters>34984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2025-10-03T15:02:00Z</cp:lastPrinted>
  <dcterms:created xsi:type="dcterms:W3CDTF">2025-10-03T15:02:00Z</dcterms:created>
  <dcterms:modified xsi:type="dcterms:W3CDTF">2025-10-03T15:03:00Z</dcterms:modified>
</cp:coreProperties>
</file>