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veintiuno de mayo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02329/INFOEM/IP/RR/2025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XXXXXXX</w:t>
      </w:r>
      <w:r w:rsidDel="00000000" w:rsidR="00000000" w:rsidRPr="00000000">
        <w:rPr>
          <w:rFonts w:ascii="Palatino Linotype" w:cs="Palatino Linotype" w:eastAsia="Palatino Linotype" w:hAnsi="Palatino Linotype"/>
          <w:rtl w:val="0"/>
        </w:rPr>
        <w:t xml:space="preserve">, al cual en lo sucesivo se le denominará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00028/CHALCO/IP/2025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rtl w:val="0"/>
        </w:rPr>
        <w:t xml:space="preserve">Ayuntamiento de Chalco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seis de febrero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lo siguiente: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276"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“Buenos días Solicito la siguiente información para asuntos académicos: 1. Del año 2019 al año 2024 desglosado por mes, gasto por colocar la mega carpa en el centro histórico de Chalco, frente y/o a un costado del palacio municipal, que instalan en la calle Reforma y Enseñanza técnica a) para que evento fue el contrato. b) Población beneficiada c) Nombre del proveedor persona física o moral adjudicado. d) Especificar si fue adjudicación directa, licitación publica o invitación a cuando menos tres proveedores. e) Contratos y facturas f) indicar el Beneficio para el pueblo g) oficio de adjudicación. h) Cotizaciones y/o estudio de mercado 2. Del año 2025 desglosado por mes, gasto por colocar la mega carpa en el centro histórico de Chalco, frente o a un costado del palacio municipal, que instalan en la calle Reforma y Enseñanza técnica a) para que evento fue el contrato. b) Población beneficiada c) Nombre del proveedor persona física o moral adjudicado. d) Especificar si fue adjudicación directa, licitación publica o invitación a cuando menos tres proveedores. e) Contratos y facturas f) indicar el Beneficio para el pueblo g) oficio de adjudicación. h) Cotizaciones y/o estudio de mercado 3. Del año 2019 al año 2024 desglosado por año, para el evento GIRA DE LOS REYES MAGOS , requiero la siguiente información: a) Órgano colegiado que autorizó el gasto para este programa, y el documento que lo avale. b) Gasto realizado en la compra de juguetes y otros artículos para la niñez. c) Nombre de las personas físicas o morales a quienes se les compraron los juguetes. d) Facturas que avalen las compras. e) Especificar si fue adjudicación directa, licitación publica o invitación a cuando menos tres proveedores. f) Contratos g) Documento que compruebe la entrega de los juguetes a la niñez. h) Gasto administrativo ejercido para realizar los eventos. i) Número de funcionarios públicos y empleados involucrados para realizar los eventos, rango, nivel salarial y nombre de los puestos. j) Número de beneficiarios k) Gasto por renta de carpa, actores y alimentos. l) Documento que avale la autorización del gasto para ejecutar el programa. 4. Del año 2025 desglosado, para el evento GIRA DE LOS REYES MAGOS , requiero la siguiente información: a) Órgano colegiado que autorizó el gasto para este programa, y el documento que lo avale. b) Gasto realizado en la compra de juguetes y otros artículos para la niñez. c) Nombre de las personas físicas o morales a quienes se les compraron los juguetes d) Facturas que avalen las compras. e) Especificar si fue adjudicación directa, licitación publica o invitación a cuando menos tres proveedores. f) Contratos g) Documento que compruebe la entrega de los juguetes a la niñez. h) Gasto administrativo ejercido para realizar los eventos. i) Número de funcionarios públicos y empleados involucrados para realizar los eventos, rango, nivel salarial y nombre de los puestos. j) Número de beneficiarios k) Gasto por renta de carpa, actores y alimentos. l) Documento que avale la autorización del gasto para ejecutar el programa.</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veintisiete de febrero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En seguimiento a la solicitud de información registrada con el número de folio 00028/CHALCO/IP/2025, al respecto le informo que, los responsables de atender su requerimiento de información fue el Mtro. Jesús Manuel de la Cruz Guerrero, Tesorero Municipal, la Lic. Alondra Nayeisi Juárez Muñoz, Directora de Administración, y el Lic. César Enrique Vallejo Sánchez, Secretario del Ayuntamiento; Quienes emitieron respuesta en los términos descritos a continuación. Es importante señalar que, con fundamento en el artículo 12, párrafo segundo de la Ley de Transparencia y Acceso a la Información le hago de conocimiento que, respecto a sus requerimientos desglosados por mes, este Sujeto Obligado no cuenta con la información desglosada de esa manera, asimismo no se encuentra obligado al procesamiento de la misma conforme a su solicitud. Bajo ese contexto, se da respuesta a sus requerimientos bajo los siguientes términos</w:t>
      </w:r>
      <w:r w:rsidDel="00000000" w:rsidR="00000000" w:rsidRPr="00000000">
        <w:rPr>
          <w:rFonts w:ascii="Palatino Linotype" w:cs="Palatino Linotype" w:eastAsia="Palatino Linotype" w:hAnsi="Palatino Linotype"/>
          <w:b w:val="1"/>
          <w:i w:val="1"/>
          <w:u w:val="single"/>
          <w:rtl w:val="0"/>
        </w:rPr>
        <w:t xml:space="preserve">: Referente al numeral 1 y 2,</w:t>
      </w:r>
      <w:r w:rsidDel="00000000" w:rsidR="00000000" w:rsidRPr="00000000">
        <w:rPr>
          <w:rFonts w:ascii="Palatino Linotype" w:cs="Palatino Linotype" w:eastAsia="Palatino Linotype" w:hAnsi="Palatino Linotype"/>
          <w:i w:val="1"/>
          <w:rtl w:val="0"/>
        </w:rPr>
        <w:t xml:space="preserve"> con sus respectivos incisos: “En respuesta a su solicitud con No. de folio 00028/CHALCO/IP/2025, al respecto le hago de conocimiento que, se realizó una búsqueda dentro de los archivos de la Tesorería Municipal respecto a “… gasto por colocar la mega carpa en el centro histórico de Chalco, frente y/o a un costado del palacio municipal, que instalan en la calle Reforma y Enseñanza técnica” </w:t>
      </w:r>
      <w:r w:rsidDel="00000000" w:rsidR="00000000" w:rsidRPr="00000000">
        <w:rPr>
          <w:rFonts w:ascii="Palatino Linotype" w:cs="Palatino Linotype" w:eastAsia="Palatino Linotype" w:hAnsi="Palatino Linotype"/>
          <w:b w:val="1"/>
          <w:i w:val="1"/>
          <w:u w:val="single"/>
          <w:rtl w:val="0"/>
        </w:rPr>
        <w:t xml:space="preserve">información correspondiente a los ejercicios 2019 al 2025, no encontrándose información que aplique a sus especificaciones.</w:t>
      </w:r>
      <w:r w:rsidDel="00000000" w:rsidR="00000000" w:rsidRPr="00000000">
        <w:rPr>
          <w:rFonts w:ascii="Palatino Linotype" w:cs="Palatino Linotype" w:eastAsia="Palatino Linotype" w:hAnsi="Palatino Linotype"/>
          <w:i w:val="1"/>
          <w:rtl w:val="0"/>
        </w:rPr>
        <w:t xml:space="preserve"> Lo anterior, de conformidad con el artículo 12, párrafo segundo, de la Ley de Transparencia y Acceso a la Información Pública del Estado de México y sus Municipios.” (Sic) (Respuesta emitida por la Tesorería Municipal) </w:t>
      </w:r>
      <w:r w:rsidDel="00000000" w:rsidR="00000000" w:rsidRPr="00000000">
        <w:rPr>
          <w:rFonts w:ascii="Palatino Linotype" w:cs="Palatino Linotype" w:eastAsia="Palatino Linotype" w:hAnsi="Palatino Linotype"/>
          <w:b w:val="1"/>
          <w:i w:val="1"/>
          <w:u w:val="single"/>
          <w:rtl w:val="0"/>
        </w:rPr>
        <w:t xml:space="preserve">“no se ha realizado ningún tipo de procedimiento por renta de carpas que apliquen con las especificaciones mencionadas” </w:t>
      </w:r>
      <w:r w:rsidDel="00000000" w:rsidR="00000000" w:rsidRPr="00000000">
        <w:rPr>
          <w:rFonts w:ascii="Palatino Linotype" w:cs="Palatino Linotype" w:eastAsia="Palatino Linotype" w:hAnsi="Palatino Linotype"/>
          <w:i w:val="1"/>
          <w:rtl w:val="0"/>
        </w:rPr>
        <w:t xml:space="preserve">(Sic) (Respuesta emitida por la Dirección de Administración) Por lo que respecta al </w:t>
      </w:r>
      <w:r w:rsidDel="00000000" w:rsidR="00000000" w:rsidRPr="00000000">
        <w:rPr>
          <w:rFonts w:ascii="Palatino Linotype" w:cs="Palatino Linotype" w:eastAsia="Palatino Linotype" w:hAnsi="Palatino Linotype"/>
          <w:b w:val="1"/>
          <w:i w:val="1"/>
          <w:u w:val="single"/>
          <w:rtl w:val="0"/>
        </w:rPr>
        <w:t xml:space="preserve">numeral 3 y 4:</w:t>
      </w:r>
      <w:r w:rsidDel="00000000" w:rsidR="00000000" w:rsidRPr="00000000">
        <w:rPr>
          <w:rFonts w:ascii="Palatino Linotype" w:cs="Palatino Linotype" w:eastAsia="Palatino Linotype" w:hAnsi="Palatino Linotype"/>
          <w:i w:val="1"/>
          <w:rtl w:val="0"/>
        </w:rPr>
        <w:t xml:space="preserve"> “Referente al inciso a), e inciso I), del numeral 3 y 4, al respecto le hago de conocimiento que, </w:t>
      </w:r>
      <w:r w:rsidDel="00000000" w:rsidR="00000000" w:rsidRPr="00000000">
        <w:rPr>
          <w:rFonts w:ascii="Palatino Linotype" w:cs="Palatino Linotype" w:eastAsia="Palatino Linotype" w:hAnsi="Palatino Linotype"/>
          <w:b w:val="1"/>
          <w:i w:val="1"/>
          <w:u w:val="single"/>
          <w:rtl w:val="0"/>
        </w:rPr>
        <w:t xml:space="preserve">después de una búsqueda minuciosa realizada en los libros de actas de Cabildo, a cargo de esta dependencia general, no se localizó información concerniente a la referida</w:t>
      </w:r>
      <w:r w:rsidDel="00000000" w:rsidR="00000000" w:rsidRPr="00000000">
        <w:rPr>
          <w:rFonts w:ascii="Palatino Linotype" w:cs="Palatino Linotype" w:eastAsia="Palatino Linotype" w:hAnsi="Palatino Linotype"/>
          <w:i w:val="1"/>
          <w:rtl w:val="0"/>
        </w:rPr>
        <w:t xml:space="preserve">. Lo anterior, de conformidad con los artículos 12, párrafo segundo, 19 de la Ley de Transparencia y Acceso a la Información Pública del Estado de México y Municipios; y 91, fracción IV de la Ley Orgánica Municipal del Estado de México.” (Sic) (Respuesta emitida por la Secretaria del Ayuntamiento) “… </w:t>
      </w:r>
      <w:r w:rsidDel="00000000" w:rsidR="00000000" w:rsidRPr="00000000">
        <w:rPr>
          <w:rFonts w:ascii="Palatino Linotype" w:cs="Palatino Linotype" w:eastAsia="Palatino Linotype" w:hAnsi="Palatino Linotype"/>
          <w:b w:val="1"/>
          <w:i w:val="1"/>
          <w:u w:val="single"/>
          <w:rtl w:val="0"/>
        </w:rPr>
        <w:t xml:space="preserve">Por lo que respecta a los incisos b), c), d), h); Dicha información se señala en los respectivos contratos, los cuales pueden ser consultados a través de los siguientes link https://infoem2.ipomex.org.mx/ipomex/#/info-fraccion/676/109/12 y https://ipomex3.ipomex.org.mx/ipo3/lgt/indice/CHALCO/art_92_xxix_a.web?token=03AFcWeA7SX_nCboIfloeo3NgVUNyTonRP741eDYIjJ94gR0fGB4zIgrBubTfYXeEV0qoVO6LAlrEGRDBSAdrIAC0sMkZQ7IwpVOKQDDMC09insUw84szg558jeZjYxZAAPUBLlNvSKsedNcNphC-K2mb5scY5Wi1_j-vT-vU3Zjauri9FC4qZIAggEn-ECkHhiZq-CnyQY3c9CMv9QtFqQBl0_iZ_kD3HDGmEC6ilOtrSySo2e4keFrNCzXMOgWuxnRaii1dNHJwCwNEayY2v4p7xU3QBK5KoVqyVP1Wc69k1Y2T3X9pNiKl05qMACwzKgttLqJ_LktwS_Jp4WNZkg5mrgX9td2cgWuZ1d03Z5D-ngQlYMd8JaOjNlOy5bPDFcCiKvcNhSmDwF60-qCTMe5NeskXwlPkaAx3lb4MPZfxvtEVa8UImNH5kpDW1qUa284LKKb9BLvomjfU40jPeQVTRgzbwBl_PGscLkQpPQzRmONIO4E93_62KxixYN861_jUK-EVLt69bQG76UKoKrGKGpcoiPXysrJYcOe5YjPPO7K4mrmUtBlEENywKA3ZmcgNP42vNfzmB-TVqm3ZU837ckkqhjsrsIHR6y0LILHRjrK9a7MlEj-XkfB8gV6CwL9_e8urLqfXpnQZ5GiDJdj33ZvU0tvYtbBlGFspA42BCZKhgHzpBS4-BhvtSuJxM7lB5bPeYws1FzrxL1gAj-USCrc4J3PbU-69eeDbR4vYQKfUJ17v8EJrjcCIqOkXc5F_cLg76VLTi0Zkn7jctUcgD1iTD0TdWTl5UO2FxctKv-2uSL4cPZqnx0RYtyVKKhV40qlktqX3TIQ15TmIlQRUS12dmv4m9Ar_pDtgtEYPKhdz-wNX2870vJ4N6ZLQo3ABm-30a9B7-qbmDLot3lQ28aofHI3zyeCMUJyG3Fn3jdKIyaN5GH8k </w:t>
      </w:r>
      <w:r w:rsidDel="00000000" w:rsidR="00000000" w:rsidRPr="00000000">
        <w:rPr>
          <w:rFonts w:ascii="Palatino Linotype" w:cs="Palatino Linotype" w:eastAsia="Palatino Linotype" w:hAnsi="Palatino Linotype"/>
          <w:i w:val="1"/>
          <w:rtl w:val="0"/>
        </w:rPr>
        <w:t xml:space="preserve">Por lo que respecta al inciso </w:t>
      </w:r>
      <w:r w:rsidDel="00000000" w:rsidR="00000000" w:rsidRPr="00000000">
        <w:rPr>
          <w:rFonts w:ascii="Palatino Linotype" w:cs="Palatino Linotype" w:eastAsia="Palatino Linotype" w:hAnsi="Palatino Linotype"/>
          <w:b w:val="1"/>
          <w:i w:val="1"/>
          <w:u w:val="single"/>
          <w:rtl w:val="0"/>
        </w:rPr>
        <w:t xml:space="preserve">K Referente a la renta de carpas, actores y alimentos para gira de reyes, al respecto le informo que se realizó una búsqueda en los archivos de la tesorería no encontrándose información que aplique a sus especificacione</w:t>
      </w:r>
      <w:r w:rsidDel="00000000" w:rsidR="00000000" w:rsidRPr="00000000">
        <w:rPr>
          <w:rFonts w:ascii="Palatino Linotype" w:cs="Palatino Linotype" w:eastAsia="Palatino Linotype" w:hAnsi="Palatino Linotype"/>
          <w:i w:val="1"/>
          <w:rtl w:val="0"/>
        </w:rPr>
        <w:t xml:space="preserve">s.” (Sic) (Respuesta emitida por la Tesorería Municipal) </w:t>
      </w:r>
      <w:r w:rsidDel="00000000" w:rsidR="00000000" w:rsidRPr="00000000">
        <w:rPr>
          <w:rFonts w:ascii="Palatino Linotype" w:cs="Palatino Linotype" w:eastAsia="Palatino Linotype" w:hAnsi="Palatino Linotype"/>
          <w:b w:val="1"/>
          <w:i w:val="1"/>
          <w:u w:val="single"/>
          <w:rtl w:val="0"/>
        </w:rPr>
        <w:t xml:space="preserve">“ incisos “b”, “c”, “e”, “f”, “g” y “j” la información puede ser consultada en el Artículo 92, Fracción XXIX denominada Resultados de Procedimientos de Adjudicación Directa, Licitación Pública e Invitación Restringida, la información del inciso “i” lo puede consultar en el Articulo 92, Fracción VII denominada El Directorio de Todos los Servidores Públicos y en la Fracción VII A denominada Remuneraciones; </w:t>
      </w:r>
      <w:r w:rsidDel="00000000" w:rsidR="00000000" w:rsidRPr="00000000">
        <w:rPr>
          <w:rFonts w:ascii="Palatino Linotype" w:cs="Palatino Linotype" w:eastAsia="Palatino Linotype" w:hAnsi="Palatino Linotype"/>
          <w:i w:val="1"/>
          <w:rtl w:val="0"/>
        </w:rPr>
        <w:t xml:space="preserve">la información del </w:t>
      </w:r>
      <w:r w:rsidDel="00000000" w:rsidR="00000000" w:rsidRPr="00000000">
        <w:rPr>
          <w:rFonts w:ascii="Palatino Linotype" w:cs="Palatino Linotype" w:eastAsia="Palatino Linotype" w:hAnsi="Palatino Linotype"/>
          <w:b w:val="1"/>
          <w:i w:val="1"/>
          <w:u w:val="single"/>
          <w:rtl w:val="0"/>
        </w:rPr>
        <w:t xml:space="preserve">numeral 4 incisos “b”, “c”, “d”, “e”, “f”, “g” y “j” la información puede ser consultada en el Artículo 92, Fracción XXIX denominada Resultados de Procedimientos de Adjudicación Directa, Licitación Pública e Invitación Restringida, la información del inciso “i” lo puede consultar en el Articulo 92, Fracción VII denominada El Directorio de Todos los Servidores Públicos y en la Fracción VII A denominada Remuneraciones</w:t>
      </w:r>
      <w:r w:rsidDel="00000000" w:rsidR="00000000" w:rsidRPr="00000000">
        <w:rPr>
          <w:rFonts w:ascii="Palatino Linotype" w:cs="Palatino Linotype" w:eastAsia="Palatino Linotype" w:hAnsi="Palatino Linotype"/>
          <w:i w:val="1"/>
          <w:rtl w:val="0"/>
        </w:rPr>
        <w:t xml:space="preserve">. Los Artículos y Fracciones mencionados pueden ser consultados en la plataforma IPOMEX 3.0 que tiene la siguiente dirección electrónica https://ipomex3.ipomex.org.mx/ipo3/lgt/indice/CHALCO.web e IPOMEX 4.0 que tiene la siguiente dirección electrónica https://ipomex.org.mx/ipomex/#/obligaciones/109.” (Respuesta emitida por la Dirección de Administración)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993"/>
        </w:tabs>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El Particular,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dos de marzo de dos mil veinticinco</w:t>
      </w:r>
      <w:r w:rsidDel="00000000" w:rsidR="00000000" w:rsidRPr="00000000">
        <w:rPr>
          <w:rFonts w:ascii="Palatino Linotype" w:cs="Palatino Linotype" w:eastAsia="Palatino Linotype" w:hAnsi="Palatino Linotype"/>
          <w:rtl w:val="0"/>
        </w:rPr>
        <w:t xml:space="preserve">, pero se tuvo por registrado en SAIMEX el </w:t>
      </w:r>
      <w:r w:rsidDel="00000000" w:rsidR="00000000" w:rsidRPr="00000000">
        <w:rPr>
          <w:rFonts w:ascii="Palatino Linotype" w:cs="Palatino Linotype" w:eastAsia="Palatino Linotype" w:hAnsi="Palatino Linotype"/>
          <w:b w:val="1"/>
          <w:rtl w:val="0"/>
        </w:rPr>
        <w:t xml:space="preserve">cuatro de marzo de dos mil veinticinco </w:t>
      </w:r>
      <w:r w:rsidDel="00000000" w:rsidR="00000000" w:rsidRPr="00000000">
        <w:rPr>
          <w:rFonts w:ascii="Palatino Linotype" w:cs="Palatino Linotype" w:eastAsia="Palatino Linotype" w:hAnsi="Palatino Linotype"/>
          <w:rtl w:val="0"/>
        </w:rPr>
        <w:t xml:space="preserve">a través del cual expresó lo siguiente: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i w:val="1"/>
          <w:rtl w:val="0"/>
        </w:rPr>
        <w:t xml:space="preserve">“RESPUESTA OTORGADA A LA SOLICITUD DE INFORMACIÓN DADA POR LA LIC. ANA MARÍA MORALES AROCHI QUE A CONTINUACIÓN SE DETALLA: Chalco, México a 27 de Febrero de 2025 Nombre del solicitante: XXXXXXX Folio de la solicitud: 00028/CHALCO/IP/2025 En respuesta a la solicitud recibida, nos permitimos hacer de su conocimiento que con fundamento en el artículo 53, Fracciones: II, V y VI de la Ley de Transparencia y Acceso a la Información Pública del Estado de México y Municipios, le contestamos que: En seguimiento a la solicitud de información registrada con el número de folio 00028/CHALCO/IP/2025, al respecto le informo que, los responsables de atender su requerimiento de información fue el Mtro. Jesús Manuel de la Cruz Guerrero, Tesorero Municipal, la Lic. Alondra Nayeisi Juárez Muñoz, Directora de Administración, y el Lic. César Enrique Vallejo Sánchez, Secretario del Ayuntamiento; Quienes emitieron respuesta en los términos descritos a continuación. Es importante señalar que, con fundamento en el artículo 12, párrafo segundo de la Ley de Transparencia y Acceso a la Información le hago de conocimiento que, respecto a sus requerimientos desglosados por mes, este Sujeto Obligado no cuenta con la información desglosada de esa manera, asimismo no se encuentra obligado al procesamiento de la misma conforme a su solicitud. Bajo ese contexto, se da respuesta a sus requerimientos bajo los siguientes términos: Referente al numeral 1 y 2, con sus respectivos incisos: “En respuesta a su solicitud con No. de folio 00028/CHALCO/IP/2025, al respecto le hago de conocimiento que, se realizó una búsqueda dentro de los archivos de la Tesorería Municipal respecto a “… gasto por colocar la mega carpa en el centro histórico de Chalco, frente y/o a un costado del palacio municipal, que instalan en la calle Reforma y Enseñanza técnica” información correspondiente a los ejercicios 2019 al 2025, no encontrándose información que aplique a sus especificaciones. Lo anterior, de conformidad con el artículo 12, párrafo segundo, de la Ley de Transparencia y Acceso a la Información Pública del Estado de México y sus Municipios.” (Sic) (Respuesta emitida por la Tesorería Municipal) “no se ha realizado ningún tipo de procedimiento por renta de carpas que apliquen con las especificaciones mencionadas” (Sic) (Respuesta emitida por la Dirección de Administración) Por lo que respecta al numeral 3 y 4: “Referente al inciso a), e inciso I), del numeral 3 y 4, al respecto le hago de conocimiento que, Chalco, México a 27 de Febrero de 2025 Nombre del solicitante: XXXXXXX Folio de la solicitud: 00028/CHALCO/IP/2025 En respuesta a la solicitud recibida, nos permitimos hacer de su conocimiento que con fundamento en el artículo 53, Fracciones: II, V y VI de la Ley de Transparencia y Acceso a la Información Pública del Estado de México y Municipios, le contestamos que: después de una búsqueda minuciosa realizada en los libros de actas de Cabildo, a cargo de esta dependencia general, no se localizó información concerniente a la referida. Lo anterior, de conformidad con los artículos 12, párrafo segundo, 19 de la Ley de Transparencia y Acceso a la Información Pública del Estado de México y Municipios; y 91, fracción IV de la Ley Orgánica Municipal del Estado de México.” (Sic) (Respuesta emitida por la Secretaria del Ayuntamiento) “… Por lo que respecta a los incisos b), c), d), h); Dicha información se señala en los respectivos contratos, los cuales pueden ser consultados a través de los siguientes link https://infoem2.ipomex.org.mx/ipomex/#/infofraccion/676/109/12 y https://ipomex3.ipomex.org.mx/ipo3/lgt/indice/CHALCO/art_92_xxix_a.web?token=03AFcWeA7SX_nCboIfloeo3 NgVUNyTonRP741eDYIjJ94gR0fGB4zIgrBubTfYXeEV0qoVO6LAlrEGRDBSAdrIAC0sMkZQ7IwpVOKQDDMC 09insUw84szg558jeZjYxZAAPUBLlNvSKsedNcNphC-K2mb5scY5Wi1_j-vT-vU3Zjauri9FC4qZIAggEnECkHhiZqCnyQY3c9CMv9QtFqQBl0_iZ_kD3HDGmEC6ilOtrSySo2e4keFrNCzXMOgWuxnRaii1dNHJwCwNEayY2v4p7x U3QBK5KoVqyVP1Wc69k1Y2T3X9pNiKl05qMACwzKgttLqJ_LktwS_Jp4WNZkg5mrgX9td2cgWuZ1d03Z5DngQlYMd8JaOjNlOy5bPDFcCiKvcNhSmDwF60- qCTMe5NeskXwlPkaAx3lb4MPZfxvtEVa8UImNH5kpDW1qUa284LKKb9BLvomjfU40jPeQVTRgzbwBl_PGscLk QpPQzRmONIO4E93_62KxixYN861_jUKEVLt69bQG76UKoKrGKGpcoiPXysrJYcOe5YjPPO7K4mrmUtBlEENywKA3ZmcgNP42vNfzmBTVqm3ZU837ckkqhjsrsIHR6y0LILHRjrK9a7MlEjXkfB8gV6CwL9_e8urLqfXpnQZ5GiDJdj33ZvU0tvYtbBlGFspA42BCZKhgHzpBS4- BhvtSuJxM7lB5bPeYws1FzrxL1gAj-USCrc4J3PbU69eeDbR4vYQKfUJ17v8EJrjcCIqOkXc5F_cLg76VLTi0Zkn7jctUcgD1iTD0TdWTl5UO2FxctKv2uSL4cPZqnx0RYtyVKKhV40qlktqX3TIQ15TmIlQRUS12dmv4m9Ar_pDtgtEYPKhdzwNX2870vJ4N6ZLQo3ABm-30a9B7-qbmDLot3lQ28aofHI3zyeCMUJyG3Fn3jdKIyaN5GH8k Por lo que respecta al inciso K Referente a la renta de carpas, actores y alimentos para gira de reyes, al respecto le informo que se realizó una búsqueda en los archivos de la tesorería no encontrándose información que aplique a sus especificaciones.” (Sic) (Respuesta emitida por la Tesorería Municipal) “ incisos “b”, “c”, “e”, “f”, “g” y “j” la información puede ser consultada en el Artículo 92, Fracción XXIX denominada Resultados de Procedimientos de Adjudicación Directa, Licitación Pública e Invitación Restringida, la información del inciso “i” lo puede consultar en el Articulo 92, Fracción VII denominada El Directorio de Todos los Servidores Públicos y en la Fracción VII A denominada Remuneraciones; la información del numeral 4 incisos “b”, “c”, “d”, “e”, “f”, “g” y “j” la información puede ser consultada en el Artículo 92, Fracción XXIX denominada Resultados de Procedimientos de Adjudicación Directa, Licitación Pública e Invitación Restringida, la información del inciso “i” lo puede consultar en el Articulo 92, Fracción VII denominada El Directorio de Todos los Servidores Públicos y en la Fracción VII A denominada Remuneraciones. Los Artículos y Fracciones mencionados pueden ser Chalco, México a 27 de Febrero de 2025 Nombre del solicitante: XXXXXXX Folio de la solicitud: 00028/CHALCO/IP/2025 En respuesta a la solicitud recibida, nos permitimos hacer de su conocimiento que con fundamento en el artículo 53, Fracciones: II, V y VI de la Ley de Transparencia y Acceso a la Información Pública del Estado de México y Municipios, le contestamos que: consultados en la plataforma IPOMEX 3.0 que tiene la siguiente dirección electrónica https://ipomex3.ipomex.org.mx/ipo3/lgt/indice/CHALCO.web e IPOMEX 4.0 que tiene la siguiente dirección electrónica https://ipomex.org.mx/ipomex/#/obligaciones/109.” (Respuesta emitida por la Dirección de Administración)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 Responsable de la Unidad de Informacion LIC. ANA MARÍA MORALES AROCHI ATENTAMENTE Ayuntamiento de Chalco”.</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“el municipio de Chalco falta a los principios de la trasparencia y acceso a la información al decidir que: "no encontrándose información que aplique a sus especificaciones." y "después de una búsqueda minuciosa realizada en los libros de actas de Cabildo, a cargo de esta dependencia general, no se localizó información concerniente a la referida. Lo anterior, de conformidad con los artículos 12, párrafo segundo, 19 de la Ley de Transparencia y Acceso a la Información Pública del Estado de México y Municipios; y 91, fracción IV de la Ley Orgánica Municipal del Estado de México.” (Sic) (Respuesta emitida por la Secretaria del Ayuntamiento)" Se requiere la intervención del INAI o en su momento de la secretaría anticorrupción para que el municipito trasparente los gastos solicitados.”. </w:t>
      </w:r>
    </w:p>
    <w:p w:rsidR="00000000" w:rsidDel="00000000" w:rsidP="00000000" w:rsidRDefault="00000000" w:rsidRPr="00000000" w14:paraId="00000016">
      <w:pPr>
        <w:spacing w:after="0" w:line="360" w:lineRule="auto"/>
        <w:ind w:right="49"/>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02329/INFOEM/IP/RR/2025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marzo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diecinueve de marzo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su informe justificado, en el que señaló lo siguiente: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diecinueve de marzo de dos mil veinticinco, la Tesorería Municipal informó no se encontró información que aplique a sus especificaciones, derivado a que el Gobierno Municipal de Chalco durante el periodo solicitado no llevó a cabo la renta de alguna mega carpa, por lo anterior, no se generó información que atienda su requerimiento.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Dirección de Administración manifestó respecto a los puntos 1 y 2 que no se ha llevado a cabo ningún procedimiento o contratación referente a la renta de alguna mega carpa en el periodo del 2019 al 2025; por lo tanto, no se tiene información respectiva.</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Secretaría del Ayuntamiento señaló que, la información requerida en la solicitud antes mencionada, no obra en los archivos de esta dependencia general, en razón de que durante el periodo señalado, el Ayuntamiento de Chalco como órgano máximo de gobierno municipal, no ha desahogado y mucho menos aprobado en sesión de Cabildo, asuntos relacionados de manera específica con el programa o evento denominado: "Gira de los Reyes Magos".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refirió que el solicitante únicamente señala en los numerales una serie de especificaciones respecto a la renta de una mega carpa, sin embargo, no precisa el evento del cual pretende tener acceso a la información o fecha, por lo cual las Dependencias Administrativas responsables de administrar la información señalan no haber llevado a cabo algún procedimiento para la renta de alguna mega carpa en el periodo solicitado, por el cual no se generó información que atienda cada uno de los incisos.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veintidós de abril de dos mil veinticinco</w:t>
      </w:r>
      <w:r w:rsidDel="00000000" w:rsidR="00000000" w:rsidRPr="00000000">
        <w:rPr>
          <w:rFonts w:ascii="Palatino Linotype" w:cs="Palatino Linotype" w:eastAsia="Palatino Linotype" w:hAnsi="Palatino Linotype"/>
          <w:rtl w:val="0"/>
        </w:rPr>
        <w:t xml:space="preserve">, el documento se hizo del conocimiento de la parte Recurrente.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after="0" w:line="360" w:lineRule="auto"/>
        <w:ind w:right="49"/>
        <w:jc w:val="both"/>
        <w:rPr>
          <w:rFonts w:ascii="Palatino Linotype" w:cs="Palatino Linotype" w:eastAsia="Palatino Linotype" w:hAnsi="Palatino Linotype"/>
        </w:rPr>
      </w:pPr>
      <w:bookmarkStart w:colFirst="0" w:colLast="0" w:name="_heading=h.s4d850vu713o" w:id="1"/>
      <w:bookmarkEnd w:id="1"/>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dos de mayo de dos mil veinticinco</w:t>
      </w:r>
      <w:r w:rsidDel="00000000" w:rsidR="00000000" w:rsidRPr="00000000">
        <w:rPr>
          <w:rFonts w:ascii="Palatino Linotype" w:cs="Palatino Linotype" w:eastAsia="Palatino Linotype" w:hAnsi="Palatino Linotype"/>
          <w:rtl w:val="0"/>
        </w:rPr>
        <w:t xml:space="preserve">, la parte Recurrente remitió sus manifestaciones y proporcionó el acuse de respuesta que obra en el expediente electrónico. </w:t>
      </w:r>
    </w:p>
    <w:p w:rsidR="00000000" w:rsidDel="00000000" w:rsidP="00000000" w:rsidRDefault="00000000" w:rsidRPr="00000000" w14:paraId="0000002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w:t>
      </w:r>
      <w:r w:rsidDel="00000000" w:rsidR="00000000" w:rsidRPr="00000000">
        <w:rPr>
          <w:rFonts w:ascii="Palatino Linotype" w:cs="Palatino Linotype" w:eastAsia="Palatino Linotype" w:hAnsi="Palatino Linotype"/>
          <w:rtl w:val="0"/>
        </w:rPr>
        <w:t xml:space="preserve">l</w:t>
      </w:r>
      <w:r w:rsidDel="00000000" w:rsidR="00000000" w:rsidRPr="00000000">
        <w:rPr>
          <w:rFonts w:ascii="Palatino Linotype" w:cs="Palatino Linotype" w:eastAsia="Palatino Linotype" w:hAnsi="Palatino Linotype"/>
          <w:b w:val="1"/>
          <w:rtl w:val="0"/>
        </w:rPr>
        <w:t xml:space="preserve">iación de plazo: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catorce de mayo de dos mil veinticinco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bookmarkStart w:colFirst="0" w:colLast="0" w:name="_heading=h.ut87g99f9wac" w:id="2"/>
      <w:bookmarkEnd w:id="2"/>
      <w:r w:rsidDel="00000000" w:rsidR="00000000" w:rsidRPr="00000000">
        <w:rPr>
          <w:rFonts w:ascii="Palatino Linotype" w:cs="Palatino Linotype" w:eastAsia="Palatino Linotype" w:hAnsi="Palatino Linotype"/>
          <w:b w:val="1"/>
          <w:rtl w:val="0"/>
        </w:rPr>
        <w:t xml:space="preserve">8. 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catorce de mayo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veintisiete de febrero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dos de marzo de dos mil veinticinco</w:t>
      </w:r>
      <w:r w:rsidDel="00000000" w:rsidR="00000000" w:rsidRPr="00000000">
        <w:rPr>
          <w:rFonts w:ascii="Palatino Linotype" w:cs="Palatino Linotype" w:eastAsia="Palatino Linotype" w:hAnsi="Palatino Linotype"/>
          <w:rtl w:val="0"/>
        </w:rPr>
        <w:t xml:space="preserve">, pero se registró en el SAIMEX el </w:t>
      </w:r>
      <w:r w:rsidDel="00000000" w:rsidR="00000000" w:rsidRPr="00000000">
        <w:rPr>
          <w:rFonts w:ascii="Palatino Linotype" w:cs="Palatino Linotype" w:eastAsia="Palatino Linotype" w:hAnsi="Palatino Linotype"/>
          <w:b w:val="1"/>
          <w:rtl w:val="0"/>
        </w:rPr>
        <w:t xml:space="preserve">cuatro de marzo de dos mil veinticinco</w:t>
      </w:r>
      <w:r w:rsidDel="00000000" w:rsidR="00000000" w:rsidRPr="00000000">
        <w:rPr>
          <w:rFonts w:ascii="Palatino Linotype" w:cs="Palatino Linotype" w:eastAsia="Palatino Linotype" w:hAnsi="Palatino Linotype"/>
          <w:rtl w:val="0"/>
        </w:rPr>
        <w:t xml:space="preserve">, esto es al segundo día hábil en que se tuvo conocimiento de la respuesta. </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en las disposiciones legales referidas. </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si bien la parte proporcionó un </w:t>
      </w:r>
      <w:r w:rsidDel="00000000" w:rsidR="00000000" w:rsidRPr="00000000">
        <w:rPr>
          <w:rFonts w:ascii="Palatino Linotype" w:cs="Palatino Linotype" w:eastAsia="Palatino Linotype" w:hAnsi="Palatino Linotype"/>
          <w:b w:val="1"/>
          <w:rtl w:val="0"/>
        </w:rPr>
        <w:t xml:space="preserve">seudónimo</w:t>
      </w:r>
      <w:r w:rsidDel="00000000" w:rsidR="00000000" w:rsidRPr="00000000">
        <w:rPr>
          <w:rFonts w:ascii="Palatino Linotype" w:cs="Palatino Linotype" w:eastAsia="Palatino Linotype" w:hAnsi="Palatino Linotype"/>
          <w:rtl w:val="0"/>
        </w:rPr>
        <w:t xml:space="preserve">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w:t>
      </w:r>
      <w:r w:rsidDel="00000000" w:rsidR="00000000" w:rsidRPr="00000000">
        <w:rPr>
          <w:rFonts w:ascii="Palatino Linotype" w:cs="Palatino Linotype" w:eastAsia="Palatino Linotype" w:hAnsi="Palatino Linotype"/>
          <w:b w:val="1"/>
          <w:i w:val="1"/>
          <w:rtl w:val="0"/>
        </w:rPr>
        <w:t xml:space="preserve">seudónimo</w:t>
      </w:r>
      <w:r w:rsidDel="00000000" w:rsidR="00000000" w:rsidRPr="00000000">
        <w:rPr>
          <w:rFonts w:ascii="Palatino Linotype" w:cs="Palatino Linotype" w:eastAsia="Palatino Linotype" w:hAnsi="Palatino Linotype"/>
          <w:i w:val="1"/>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actualizan las hipótesis de procedencia previstas en el artículo 179, fracción I de la Ley de la materia, que a la letra dice:</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de entrega de la información;</w:t>
      </w:r>
    </w:p>
    <w:p w:rsidR="00000000" w:rsidDel="00000000" w:rsidP="00000000" w:rsidRDefault="00000000" w:rsidRPr="00000000" w14:paraId="0000004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 del artículo 179 de la Ley en la materia. </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4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F">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5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5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5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5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5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5F">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entonces Instituto Nacional de Transparencia, Acceso a la Información Pública y Protección de Datos Personales, el cual señala lo siguiente:</w:t>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6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9">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F">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7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7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7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 </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1276"/>
        </w:tabs>
        <w:spacing w:after="0" w:line="276" w:lineRule="auto"/>
        <w:ind w:right="70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Establecido lo anterior, se realiza el siguiente cuadro de análisis: </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1276"/>
        </w:tabs>
        <w:spacing w:after="0" w:line="276" w:lineRule="auto"/>
        <w:ind w:right="701"/>
        <w:jc w:val="both"/>
        <w:rPr>
          <w:rFonts w:ascii="Palatino Linotype" w:cs="Palatino Linotype" w:eastAsia="Palatino Linotype" w:hAnsi="Palatino Linotype"/>
        </w:rPr>
      </w:pPr>
      <w:r w:rsidDel="00000000" w:rsidR="00000000" w:rsidRPr="00000000">
        <w:rPr>
          <w:rtl w:val="0"/>
        </w:rPr>
      </w:r>
    </w:p>
    <w:tbl>
      <w:tblPr>
        <w:tblStyle w:val="Table1"/>
        <w:tblW w:w="90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
        <w:gridCol w:w="2126"/>
        <w:gridCol w:w="2268"/>
        <w:gridCol w:w="2126"/>
        <w:gridCol w:w="2114"/>
        <w:tblGridChange w:id="0">
          <w:tblGrid>
            <w:gridCol w:w="421"/>
            <w:gridCol w:w="2126"/>
            <w:gridCol w:w="2268"/>
            <w:gridCol w:w="2126"/>
            <w:gridCol w:w="2114"/>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0083">
            <w:pPr>
              <w:tabs>
                <w:tab w:val="left" w:leader="none" w:pos="1276"/>
              </w:tabs>
              <w:ind w:right="701"/>
              <w:jc w:val="both"/>
              <w:rPr>
                <w:rFonts w:ascii="Palatino Linotype" w:cs="Palatino Linotype" w:eastAsia="Palatino Linotype" w:hAnsi="Palatino Linotype"/>
                <w:sz w:val="18"/>
                <w:szCs w:val="18"/>
              </w:rPr>
            </w:pPr>
            <w:r w:rsidDel="00000000" w:rsidR="00000000" w:rsidRPr="00000000">
              <w:rPr>
                <w:rtl w:val="0"/>
              </w:rPr>
            </w:r>
          </w:p>
        </w:tc>
        <w:tc>
          <w:tcPr>
            <w:shd w:fill="d5dce4" w:val="clear"/>
          </w:tcPr>
          <w:p w:rsidR="00000000" w:rsidDel="00000000" w:rsidP="00000000" w:rsidRDefault="00000000" w:rsidRPr="00000000" w14:paraId="00000084">
            <w:pPr>
              <w:tabs>
                <w:tab w:val="left" w:leader="none" w:pos="317"/>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Requerimiento</w:t>
            </w:r>
          </w:p>
        </w:tc>
        <w:tc>
          <w:tcPr>
            <w:shd w:fill="d5dce4" w:val="clear"/>
          </w:tcPr>
          <w:p w:rsidR="00000000" w:rsidDel="00000000" w:rsidP="00000000" w:rsidRDefault="00000000" w:rsidRPr="00000000" w14:paraId="00000085">
            <w:pPr>
              <w:tabs>
                <w:tab w:val="left" w:leader="none" w:pos="742"/>
              </w:tabs>
              <w:ind w:right="-108"/>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Respuesta</w:t>
            </w:r>
          </w:p>
        </w:tc>
        <w:tc>
          <w:tcPr>
            <w:shd w:fill="d5dce4" w:val="clear"/>
          </w:tcPr>
          <w:p w:rsidR="00000000" w:rsidDel="00000000" w:rsidP="00000000" w:rsidRDefault="00000000" w:rsidRPr="00000000" w14:paraId="00000086">
            <w:pPr>
              <w:ind w:right="-108"/>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w:t>
            </w:r>
          </w:p>
        </w:tc>
        <w:tc>
          <w:tcPr>
            <w:shd w:fill="d5dce4" w:val="clear"/>
          </w:tcPr>
          <w:p w:rsidR="00000000" w:rsidDel="00000000" w:rsidP="00000000" w:rsidRDefault="00000000" w:rsidRPr="00000000" w14:paraId="00000087">
            <w:pPr>
              <w:tabs>
                <w:tab w:val="left" w:leader="none" w:pos="459"/>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Observaciones</w:t>
            </w:r>
          </w:p>
        </w:tc>
      </w:tr>
      <w:tr>
        <w:trPr>
          <w:cantSplit w:val="0"/>
          <w:tblHeader w:val="0"/>
        </w:trPr>
        <w:tc>
          <w:tcPr>
            <w:shd w:fill="d5dce4" w:val="clear"/>
          </w:tcPr>
          <w:p w:rsidR="00000000" w:rsidDel="00000000" w:rsidP="00000000" w:rsidRDefault="00000000" w:rsidRPr="00000000" w14:paraId="00000088">
            <w:pPr>
              <w:tabs>
                <w:tab w:val="left" w:leader="none" w:pos="1276"/>
              </w:tabs>
              <w:ind w:right="701"/>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1</w:t>
            </w:r>
          </w:p>
        </w:tc>
        <w:tc>
          <w:tcPr/>
          <w:p w:rsidR="00000000" w:rsidDel="00000000" w:rsidP="00000000" w:rsidRDefault="00000000" w:rsidRPr="00000000" w14:paraId="00000089">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1. Del año 2019 al año 2024 desglosado por mes, gasto por colocar la mega carpa en el centro histórico de Chalco, frente y/o a un costado del palacio municipal, que instalan en la calle Reforma y Enseñanza técnica a) para que evento fue el contrato. b) Población beneficiada c) Nombre del proveedor persona física o moral adjudicado. d) Especificar si fue adjudicación directa, licitación pública o invitación a cuando menos tres proveedores. e) Contratos y facturas f) indicar el Beneficio para el pueblo g) oficio de adjudicación. h) Cotizaciones y/o estudio de mercado.</w:t>
            </w:r>
          </w:p>
        </w:tc>
        <w:tc>
          <w:tcPr/>
          <w:p w:rsidR="00000000" w:rsidDel="00000000" w:rsidP="00000000" w:rsidRDefault="00000000" w:rsidRPr="00000000" w14:paraId="0000008A">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Tesorería Municipal. </w:t>
            </w:r>
            <w:r w:rsidDel="00000000" w:rsidR="00000000" w:rsidRPr="00000000">
              <w:rPr>
                <w:rFonts w:ascii="Palatino Linotype" w:cs="Palatino Linotype" w:eastAsia="Palatino Linotype" w:hAnsi="Palatino Linotype"/>
                <w:sz w:val="18"/>
                <w:szCs w:val="18"/>
                <w:rtl w:val="0"/>
              </w:rPr>
              <w:t xml:space="preserve">Refirió que no se encontró información que aplique a sus especificaciones. </w:t>
            </w:r>
          </w:p>
          <w:p w:rsidR="00000000" w:rsidDel="00000000" w:rsidP="00000000" w:rsidRDefault="00000000" w:rsidRPr="00000000" w14:paraId="0000008B">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8C">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Dirección de Administración. </w:t>
            </w:r>
            <w:r w:rsidDel="00000000" w:rsidR="00000000" w:rsidRPr="00000000">
              <w:rPr>
                <w:rFonts w:ascii="Palatino Linotype" w:cs="Palatino Linotype" w:eastAsia="Palatino Linotype" w:hAnsi="Palatino Linotype"/>
                <w:sz w:val="18"/>
                <w:szCs w:val="18"/>
                <w:rtl w:val="0"/>
              </w:rPr>
              <w:t xml:space="preserve">No se ha realizado ningún tipo de procedimiento por renta de carpas que apliquen con las especificaciones mencionadas. </w:t>
            </w:r>
          </w:p>
        </w:tc>
        <w:tc>
          <w:tcPr/>
          <w:p w:rsidR="00000000" w:rsidDel="00000000" w:rsidP="00000000" w:rsidRDefault="00000000" w:rsidRPr="00000000" w14:paraId="0000008D">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inconformó por la respuesta otorgada relativa al pronunciamiento no se encontró información que aplique a sus especificaciones. </w:t>
            </w:r>
          </w:p>
          <w:p w:rsidR="00000000" w:rsidDel="00000000" w:rsidP="00000000" w:rsidRDefault="00000000" w:rsidRPr="00000000" w14:paraId="0000008E">
            <w:pPr>
              <w:tabs>
                <w:tab w:val="left" w:leader="none" w:pos="1276"/>
              </w:tabs>
              <w:jc w:val="both"/>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08F">
            <w:pPr>
              <w:tabs>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 colma</w:t>
            </w:r>
          </w:p>
          <w:p w:rsidR="00000000" w:rsidDel="00000000" w:rsidP="00000000" w:rsidRDefault="00000000" w:rsidRPr="00000000" w14:paraId="00000090">
            <w:pPr>
              <w:tabs>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Se advierte la existencia de una carpa. Por lo que, resulta dable ordenar la entrega de la información.</w:t>
            </w:r>
          </w:p>
        </w:tc>
      </w:tr>
      <w:tr>
        <w:trPr>
          <w:cantSplit w:val="0"/>
          <w:tblHeader w:val="0"/>
        </w:trPr>
        <w:tc>
          <w:tcPr>
            <w:shd w:fill="d5dce4" w:val="clear"/>
          </w:tcPr>
          <w:p w:rsidR="00000000" w:rsidDel="00000000" w:rsidP="00000000" w:rsidRDefault="00000000" w:rsidRPr="00000000" w14:paraId="00000091">
            <w:pPr>
              <w:tabs>
                <w:tab w:val="left" w:leader="none" w:pos="1276"/>
              </w:tabs>
              <w:ind w:right="701"/>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2</w:t>
            </w:r>
          </w:p>
        </w:tc>
        <w:tc>
          <w:tcPr/>
          <w:p w:rsidR="00000000" w:rsidDel="00000000" w:rsidP="00000000" w:rsidRDefault="00000000" w:rsidRPr="00000000" w14:paraId="00000092">
            <w:pPr>
              <w:tabs>
                <w:tab w:val="left" w:leader="none" w:pos="1276"/>
              </w:tabs>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Del año 2025 desglosado por mes, gasto por colocar la mega carpa en el centro histórico de Chalco, frente o a un costado del palacio municipal, que instalan en la calle Reforma y Enseñanza técnica a) para que evento fue el contrato. b) Población beneficiada c) Nombre del proveedor persona física o moral adjudicado. d) Especificar si fue adjudicación directa, licitación publica o invitación a cuando menos tres proveedores. e) Contratos y facturas f) indicar el Beneficio para el pueblo g) oficio de adjudicación. h) Cotizaciones y/o estudio de mercado</w:t>
            </w:r>
          </w:p>
        </w:tc>
        <w:tc>
          <w:tcPr/>
          <w:p w:rsidR="00000000" w:rsidDel="00000000" w:rsidP="00000000" w:rsidRDefault="00000000" w:rsidRPr="00000000" w14:paraId="00000093">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Tesorería Municipal. </w:t>
            </w:r>
            <w:r w:rsidDel="00000000" w:rsidR="00000000" w:rsidRPr="00000000">
              <w:rPr>
                <w:rFonts w:ascii="Palatino Linotype" w:cs="Palatino Linotype" w:eastAsia="Palatino Linotype" w:hAnsi="Palatino Linotype"/>
                <w:sz w:val="18"/>
                <w:szCs w:val="18"/>
                <w:rtl w:val="0"/>
              </w:rPr>
              <w:t xml:space="preserve">Refirió que no se encontró información que aplique a sus especificaciones. </w:t>
            </w:r>
          </w:p>
          <w:p w:rsidR="00000000" w:rsidDel="00000000" w:rsidP="00000000" w:rsidRDefault="00000000" w:rsidRPr="00000000" w14:paraId="00000094">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5">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Dirección de Administración. </w:t>
            </w:r>
            <w:r w:rsidDel="00000000" w:rsidR="00000000" w:rsidRPr="00000000">
              <w:rPr>
                <w:rFonts w:ascii="Palatino Linotype" w:cs="Palatino Linotype" w:eastAsia="Palatino Linotype" w:hAnsi="Palatino Linotype"/>
                <w:sz w:val="18"/>
                <w:szCs w:val="18"/>
                <w:rtl w:val="0"/>
              </w:rPr>
              <w:t xml:space="preserve">No se ha realizado ningún tipo de procedimiento por renta de carpas que apliquen con las especificaciones mencionadas.</w:t>
            </w:r>
          </w:p>
        </w:tc>
        <w:tc>
          <w:tcPr/>
          <w:p w:rsidR="00000000" w:rsidDel="00000000" w:rsidP="00000000" w:rsidRDefault="00000000" w:rsidRPr="00000000" w14:paraId="00000096">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inconformó por la respuesta otorgada relativa al pronunciamiento no se encontró información que aplique a sus especificaciones. </w:t>
            </w:r>
          </w:p>
          <w:p w:rsidR="00000000" w:rsidDel="00000000" w:rsidP="00000000" w:rsidRDefault="00000000" w:rsidRPr="00000000" w14:paraId="00000097">
            <w:pPr>
              <w:tabs>
                <w:tab w:val="left" w:leader="none" w:pos="1276"/>
              </w:tabs>
              <w:jc w:val="both"/>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098">
            <w:pPr>
              <w:tabs>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 colma</w:t>
            </w:r>
          </w:p>
          <w:p w:rsidR="00000000" w:rsidDel="00000000" w:rsidP="00000000" w:rsidRDefault="00000000" w:rsidRPr="00000000" w14:paraId="00000099">
            <w:pPr>
              <w:tabs>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Se advierte la existencia de una carpa. Por lo que, resulta dable ordenar la entrega de la información</w:t>
            </w:r>
          </w:p>
        </w:tc>
      </w:tr>
      <w:tr>
        <w:trPr>
          <w:cantSplit w:val="0"/>
          <w:tblHeader w:val="0"/>
        </w:trPr>
        <w:tc>
          <w:tcPr>
            <w:shd w:fill="d5dce4" w:val="clear"/>
          </w:tcPr>
          <w:p w:rsidR="00000000" w:rsidDel="00000000" w:rsidP="00000000" w:rsidRDefault="00000000" w:rsidRPr="00000000" w14:paraId="0000009A">
            <w:pPr>
              <w:tabs>
                <w:tab w:val="left" w:leader="none" w:pos="1276"/>
              </w:tabs>
              <w:ind w:right="701"/>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3</w:t>
            </w:r>
          </w:p>
        </w:tc>
        <w:tc>
          <w:tcPr/>
          <w:p w:rsidR="00000000" w:rsidDel="00000000" w:rsidP="00000000" w:rsidRDefault="00000000" w:rsidRPr="00000000" w14:paraId="0000009B">
            <w:pPr>
              <w:tabs>
                <w:tab w:val="left" w:leader="none" w:pos="1276"/>
              </w:tabs>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Del año 2019 al año 2024 desglosado por año, para el evento GIRA DE LOS REYES MAGOS , requiero la siguiente información: a) Órgano colegiado que autorizó el gasto para este programa, y el documento que lo avale. b) Gasto realizado en la compra de juguetes y otros artículos para la niñez. c) Nombre de las personas físicas o morales a quienes se les compraron los juguetes. d) Facturas que avalen las compras. e) Especificar si fue adjudicación directa, licitación publica o invitación a cuando menos tres proveedores. f) Contratos g) Documento que compruebe la entrega de los juguetes a la niñez. h) Gasto administrativo ejercido para realizar los eventos. i) Número de funcionarios públicos y empleados involucrados para realizar los eventos, rango, nivel salarial y nombre de los puestos. j) Número de beneficiarios k) Gasto por renta de carpa, actores y alimentos. l) Documento que avale la autorización del gasto para ejecutar el programa.</w:t>
            </w:r>
          </w:p>
        </w:tc>
        <w:tc>
          <w:tcPr/>
          <w:p w:rsidR="00000000" w:rsidDel="00000000" w:rsidP="00000000" w:rsidRDefault="00000000" w:rsidRPr="00000000" w14:paraId="0000009C">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Secretaría del Ayuntamiento. </w:t>
            </w:r>
            <w:r w:rsidDel="00000000" w:rsidR="00000000" w:rsidRPr="00000000">
              <w:rPr>
                <w:rFonts w:ascii="Palatino Linotype" w:cs="Palatino Linotype" w:eastAsia="Palatino Linotype" w:hAnsi="Palatino Linotype"/>
                <w:sz w:val="18"/>
                <w:szCs w:val="18"/>
                <w:rtl w:val="0"/>
              </w:rPr>
              <w:t xml:space="preserve">Referente al inciso a), e inciso I), del numeral 3 y 4, al respecto le hago de conocimiento que, después de una búsqueda minuciosa realizada en los libros de actas de Cabildo, a cargo de esta dependencia general, no se localizó información concerniente a la referida. Lo anterior, de conformidad con los artículos 12, párrafo segundo, 19 de la Ley de Transparencia y Acceso a la Información Pública del Estado de México y Municipios; y 91, fracción IV de la Ley Orgánica Municipal del Estado de México</w:t>
            </w:r>
          </w:p>
          <w:p w:rsidR="00000000" w:rsidDel="00000000" w:rsidP="00000000" w:rsidRDefault="00000000" w:rsidRPr="00000000" w14:paraId="0000009D">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E">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Tesorería Municipal. </w:t>
            </w:r>
            <w:r w:rsidDel="00000000" w:rsidR="00000000" w:rsidRPr="00000000">
              <w:rPr>
                <w:rFonts w:ascii="Palatino Linotype" w:cs="Palatino Linotype" w:eastAsia="Palatino Linotype" w:hAnsi="Palatino Linotype"/>
                <w:sz w:val="18"/>
                <w:szCs w:val="18"/>
                <w:rtl w:val="0"/>
              </w:rPr>
              <w:t xml:space="preserve">Por lo que respecta a los incisos b), c), d), h); Dicha información se señala en los respectivos contratos, los cuales pueden ser consultados a través de los siguientes link https://infoem2.ipomex.org.mx/ipomex/#/info-fraccion/676/109/12 y https://ipomex3.ipomex.org.mx/ipo3/lgt/indice/CHALCO/art_92_xxix_a.web?token=03AFcWeA7SX_nCboIfloeo3NgVUNyTonRP741eDYIjJ94gR0fGB4zIgrBubTfYXeEV0qoVO6LAlrEGRDBSAdrIAC0sMkZQ7IwpVOKQDDMC09insUw84szg558jeZjYxZAAPUBLlNvSKsedNcNphC-K2mb5scY5Wi1_j-vT-vU3Zjauri9FC4qZIAggEn-ECkHhiZq-CnyQY3c9CMv9QtFqQBl0_iZ_kD3HDGmEC6ilOtrSySo2e4keFrNCzXMOgWuxnRaii1dNHJwCwNEayY2v4p7xU3QBK5KoVqyVP1Wc69k1Y2T3X9pNiKl05qMACwzKgttLqJ_LktwS_Jp4WNZkg5mrgX9td2cgWuZ1d03Z5D-ngQlYMd8JaOjNlOy5bPDFcCiKvcNhSmDwF60-qCTMe5NeskXwlPkaAx3lb4MPZfxvtEVa8UImNH5kpDW1qUa284LKKb9BLvomjfU40jPeQVTRgzbwBl_PGscLkQpPQzRmONIO4E93_62KxixYN861_jUK-EVLt69bQG76UKoKrGKGpcoiPXysrJYcOe5YjPPO7K4mrmUtBlEENywKA3ZmcgNP42vNfzmB-TVqm3ZU837ckkqhjsrsIHR6y0LILHRjrK9a7MlEj-XkfB8gV6CwL9_e8urLqfXpnQZ5GiDJdj33ZvU0tvYtbBlGFspA42BCZKhgHzpBS4-BhvtSuJxM7lB5bPeYws1FzrxL1gAj-USCrc4J3PbU-69eeDbR4vYQKfUJ17v8EJrjcCIqOkXc5F_cLg76VLTi0Zkn7jctUcgD1iTD0TdWTl5UO2FxctKv-2uSL4cPZqnx0RYtyVKKhV40qlktqX3TIQ15TmIlQRUS12dmv4m9Ar_pDtgtEYPKhdz-wNX2870vJ4N6ZLQo3ABm-30a9B7-qbmDLot3lQ28aofHI3zyeCMUJyG3Fn3jdKIyaN5GH8k </w:t>
            </w:r>
          </w:p>
          <w:p w:rsidR="00000000" w:rsidDel="00000000" w:rsidP="00000000" w:rsidRDefault="00000000" w:rsidRPr="00000000" w14:paraId="0000009F">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A0">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A1">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Por lo que respecta al inciso K Referente a la renta de carpas, actores y alimentos para gira de reyes, al respecto le informo que se realizó una búsqueda en los archivos de la tesorería no encontrándose información que aplique a sus especificaciones. </w:t>
            </w:r>
          </w:p>
          <w:p w:rsidR="00000000" w:rsidDel="00000000" w:rsidP="00000000" w:rsidRDefault="00000000" w:rsidRPr="00000000" w14:paraId="000000A2">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A3">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Respecto a los incisos “b”, “c”, “e”, “f”, “g” y “j” la información puede ser consultada en el Artículo 92, Fracción XXIX denominada Resultados de Procedimientos de Adjudicación Directa, Licitación Pública e Invitación Restringida. la información del inciso “i” lo puede consultar en el Articulo 92, Fracción VII denominada El Directorio de Todos los Servidores Públicos y en la Fracción VII A denominada Remuneraciones. </w:t>
            </w:r>
          </w:p>
        </w:tc>
        <w:tc>
          <w:tcPr/>
          <w:p w:rsidR="00000000" w:rsidDel="00000000" w:rsidP="00000000" w:rsidRDefault="00000000" w:rsidRPr="00000000" w14:paraId="000000A4">
            <w:pPr>
              <w:tabs>
                <w:tab w:val="left" w:leader="none" w:pos="1276"/>
              </w:tabs>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La parte Recurrente se inconformó específicamente por: </w:t>
            </w:r>
          </w:p>
          <w:p w:rsidR="00000000" w:rsidDel="00000000" w:rsidP="00000000" w:rsidRDefault="00000000" w:rsidRPr="00000000" w14:paraId="000000A5">
            <w:pPr>
              <w:tabs>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El </w:t>
            </w:r>
            <w:r w:rsidDel="00000000" w:rsidR="00000000" w:rsidRPr="00000000">
              <w:rPr>
                <w:rFonts w:ascii="Palatino Linotype" w:cs="Palatino Linotype" w:eastAsia="Palatino Linotype" w:hAnsi="Palatino Linotype"/>
                <w:b w:val="1"/>
                <w:sz w:val="18"/>
                <w:szCs w:val="18"/>
                <w:rtl w:val="0"/>
              </w:rPr>
              <w:t xml:space="preserve">inciso a), e inciso I), del numeral 3 y 4</w:t>
            </w:r>
            <w:r w:rsidDel="00000000" w:rsidR="00000000" w:rsidRPr="00000000">
              <w:rPr>
                <w:rFonts w:ascii="Palatino Linotype" w:cs="Palatino Linotype" w:eastAsia="Palatino Linotype" w:hAnsi="Palatino Linotype"/>
                <w:sz w:val="18"/>
                <w:szCs w:val="18"/>
                <w:rtl w:val="0"/>
              </w:rPr>
              <w:t xml:space="preserve">, en los que se señaló que, </w:t>
            </w:r>
            <w:r w:rsidDel="00000000" w:rsidR="00000000" w:rsidRPr="00000000">
              <w:rPr>
                <w:rFonts w:ascii="Palatino Linotype" w:cs="Palatino Linotype" w:eastAsia="Palatino Linotype" w:hAnsi="Palatino Linotype"/>
                <w:b w:val="1"/>
                <w:sz w:val="18"/>
                <w:szCs w:val="18"/>
                <w:rtl w:val="0"/>
              </w:rPr>
              <w:t xml:space="preserve">no se localizó información concerniente a la referida.</w:t>
            </w:r>
          </w:p>
          <w:p w:rsidR="00000000" w:rsidDel="00000000" w:rsidP="00000000" w:rsidRDefault="00000000" w:rsidRPr="00000000" w14:paraId="000000A6">
            <w:pPr>
              <w:tabs>
                <w:tab w:val="left" w:leader="none" w:pos="1276"/>
              </w:tabs>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A7">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se inconformó por la respuesta al </w:t>
            </w:r>
            <w:r w:rsidDel="00000000" w:rsidR="00000000" w:rsidRPr="00000000">
              <w:rPr>
                <w:rFonts w:ascii="Palatino Linotype" w:cs="Palatino Linotype" w:eastAsia="Palatino Linotype" w:hAnsi="Palatino Linotype"/>
                <w:b w:val="1"/>
                <w:sz w:val="18"/>
                <w:szCs w:val="18"/>
                <w:rtl w:val="0"/>
              </w:rPr>
              <w:t xml:space="preserve">inciso k,</w:t>
            </w:r>
            <w:r w:rsidDel="00000000" w:rsidR="00000000" w:rsidRPr="00000000">
              <w:rPr>
                <w:rFonts w:ascii="Palatino Linotype" w:cs="Palatino Linotype" w:eastAsia="Palatino Linotype" w:hAnsi="Palatino Linotype"/>
                <w:sz w:val="18"/>
                <w:szCs w:val="18"/>
                <w:rtl w:val="0"/>
              </w:rPr>
              <w:t xml:space="preserve">  porque se refirió que no se encontró información que aplique a sus especificaciones. </w:t>
            </w:r>
          </w:p>
          <w:p w:rsidR="00000000" w:rsidDel="00000000" w:rsidP="00000000" w:rsidRDefault="00000000" w:rsidRPr="00000000" w14:paraId="000000A8">
            <w:pPr>
              <w:tabs>
                <w:tab w:val="left" w:leader="none" w:pos="1276"/>
              </w:tabs>
              <w:jc w:val="both"/>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0A9">
            <w:pPr>
              <w:tabs>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Actos consentidos parciales</w:t>
            </w:r>
          </w:p>
          <w:p w:rsidR="00000000" w:rsidDel="00000000" w:rsidP="00000000" w:rsidRDefault="00000000" w:rsidRPr="00000000" w14:paraId="000000AA">
            <w:pPr>
              <w:tabs>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 se inconformó por las ligas electrónicas. </w:t>
            </w:r>
          </w:p>
          <w:p w:rsidR="00000000" w:rsidDel="00000000" w:rsidP="00000000" w:rsidRDefault="00000000" w:rsidRPr="00000000" w14:paraId="000000AB">
            <w:pPr>
              <w:tabs>
                <w:tab w:val="left" w:leader="none" w:pos="1276"/>
              </w:tabs>
              <w:jc w:val="center"/>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AC">
            <w:pPr>
              <w:tabs>
                <w:tab w:val="left" w:leader="none" w:pos="1276"/>
              </w:tabs>
              <w:jc w:val="center"/>
              <w:rPr>
                <w:rFonts w:ascii="Palatino Linotype" w:cs="Palatino Linotype" w:eastAsia="Palatino Linotype" w:hAnsi="Palatino Linotype"/>
                <w:b w:val="1"/>
                <w:sz w:val="18"/>
                <w:szCs w:val="18"/>
              </w:rPr>
            </w:pPr>
            <w:r w:rsidDel="00000000" w:rsidR="00000000" w:rsidRPr="00000000">
              <w:rPr>
                <w:rtl w:val="0"/>
              </w:rPr>
            </w:r>
          </w:p>
        </w:tc>
      </w:tr>
      <w:tr>
        <w:trPr>
          <w:cantSplit w:val="0"/>
          <w:tblHeader w:val="0"/>
        </w:trPr>
        <w:tc>
          <w:tcPr>
            <w:shd w:fill="d5dce4" w:val="clear"/>
          </w:tcPr>
          <w:p w:rsidR="00000000" w:rsidDel="00000000" w:rsidP="00000000" w:rsidRDefault="00000000" w:rsidRPr="00000000" w14:paraId="000000AD">
            <w:pPr>
              <w:tabs>
                <w:tab w:val="left" w:leader="none" w:pos="1276"/>
              </w:tabs>
              <w:ind w:right="701"/>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4</w:t>
            </w:r>
          </w:p>
        </w:tc>
        <w:tc>
          <w:tcPr/>
          <w:p w:rsidR="00000000" w:rsidDel="00000000" w:rsidP="00000000" w:rsidRDefault="00000000" w:rsidRPr="00000000" w14:paraId="000000AE">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Del año 2025 desglosado, para el evento GIRA DE LOS REYES MAGOS, requiero la siguiente información: a) Órgano colegiado que autorizó el gasto para este programa, y el documento que lo avale. b) Gasto realizado en la compra de juguetes y otros artículos para la niñez. c) Nombre de las personas físicas o morales a quienes se les compraron los juguetes d) Facturas que avalen las compras. e) Especificar si fue adjudicación directa, licitación pública o invitación a cuando menos tres proveedores. f) Contratos g) Documento que compruebe la entrega de los juguetes a la niñez. h) Gasto administrativo ejercido para realizar los eventos. i) Número de funcionarios públicos y empleados involucrados para realizar los eventos, rango, nivel salarial y nombre de los puestos. j) Número de beneficiarios k) Gasto por renta de carpa, actores y alimentos. l) Documento que avale la autorización del gasto para ejecutar el programa.</w:t>
            </w:r>
          </w:p>
          <w:p w:rsidR="00000000" w:rsidDel="00000000" w:rsidP="00000000" w:rsidRDefault="00000000" w:rsidRPr="00000000" w14:paraId="000000AF">
            <w:pPr>
              <w:jc w:val="both"/>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0B0">
            <w:pPr>
              <w:tabs>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de Administración. Señaló que respecto a los incisos “b”, “c”, “d”, “e”, “f”, “g” y “j” la información puede ser consultada en el Artículo 92, Fracción XXIX denominada Resultados de Procedimientos de Adjudicación Directa, Licitación Pública e Invitación Restringida, la información del inciso “i” lo puede consultar en el Articulo 92, Fracción VII denominada El Directorio de Todos los Servidores Públicos y en la Fracción VII A denominada Remuneraciones. Los Artículos y Fracciones mencionados pueden ser consultados en la plataforma IPOMEX 3.0 que tiene la siguiente dirección electrónica https://ipomex3.ipomex.org.mx/ipo3/lgt/indice/CHALCO.web e IPOMEX 4.0 que tiene la siguiente dirección electrónica https://ipomex.org.mx/ipomex/#/obligaciones/109.</w:t>
            </w:r>
          </w:p>
        </w:tc>
        <w:tc>
          <w:tcPr/>
          <w:p w:rsidR="00000000" w:rsidDel="00000000" w:rsidP="00000000" w:rsidRDefault="00000000" w:rsidRPr="00000000" w14:paraId="000000B1">
            <w:pPr>
              <w:tabs>
                <w:tab w:val="left" w:leader="none" w:pos="1276"/>
              </w:tabs>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 se inconformó*</w:t>
            </w:r>
          </w:p>
        </w:tc>
        <w:tc>
          <w:tcPr/>
          <w:p w:rsidR="00000000" w:rsidDel="00000000" w:rsidP="00000000" w:rsidRDefault="00000000" w:rsidRPr="00000000" w14:paraId="000000B2">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Actos consentidos</w:t>
            </w:r>
          </w:p>
          <w:p w:rsidR="00000000" w:rsidDel="00000000" w:rsidP="00000000" w:rsidRDefault="00000000" w:rsidRPr="00000000" w14:paraId="000000B3">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 se inconformó por la respuesta del Sujeto Obligado. </w:t>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Señalado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por las respuestas consistentes en que </w:t>
      </w:r>
      <w:r w:rsidDel="00000000" w:rsidR="00000000" w:rsidRPr="00000000">
        <w:rPr>
          <w:rFonts w:ascii="Palatino Linotype" w:cs="Palatino Linotype" w:eastAsia="Palatino Linotype" w:hAnsi="Palatino Linotype"/>
          <w:b w:val="1"/>
          <w:rtl w:val="0"/>
        </w:rPr>
        <w:t xml:space="preserve">no se encontró información que aplique con sus especificaciones y porque se señaló que después de una búsqueda minuciosa realizada en los libros de actas de Cabildo, a cargo de esta dependencia general, no se localizó información concerniente a la referida, todo relacionado únicamente con los </w:t>
      </w:r>
      <w:r w:rsidDel="00000000" w:rsidR="00000000" w:rsidRPr="00000000">
        <w:rPr>
          <w:rFonts w:ascii="Palatino Linotype" w:cs="Palatino Linotype" w:eastAsia="Palatino Linotype" w:hAnsi="Palatino Linotype"/>
          <w:b w:val="1"/>
          <w:u w:val="single"/>
          <w:rtl w:val="0"/>
        </w:rPr>
        <w:t xml:space="preserve">puntos 1, 2, 3 y 4 inciso a), e) e i) y k),</w:t>
      </w:r>
      <w:r w:rsidDel="00000000" w:rsidR="00000000" w:rsidRPr="00000000">
        <w:rPr>
          <w:rFonts w:ascii="Palatino Linotype" w:cs="Palatino Linotype" w:eastAsia="Palatino Linotype" w:hAnsi="Palatino Linotype"/>
          <w:rtl w:val="0"/>
        </w:rPr>
        <w:t xml:space="preserve">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r w:rsidDel="00000000" w:rsidR="00000000" w:rsidRPr="00000000">
        <w:rPr>
          <w:rtl w:val="0"/>
        </w:rPr>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BA">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tabs>
          <w:tab w:val="left" w:leader="none" w:pos="851"/>
          <w:tab w:val="left" w:leader="none" w:pos="1276"/>
        </w:tabs>
        <w:spacing w:after="0"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Dicho lo anterior, la información de la que resulta procedente pronunciarse es respecto de los </w:t>
      </w:r>
      <w:r w:rsidDel="00000000" w:rsidR="00000000" w:rsidRPr="00000000">
        <w:rPr>
          <w:rFonts w:ascii="Palatino Linotype" w:cs="Palatino Linotype" w:eastAsia="Palatino Linotype" w:hAnsi="Palatino Linotype"/>
          <w:b w:val="1"/>
          <w:rtl w:val="0"/>
        </w:rPr>
        <w:t xml:space="preserve">puntos 1, 2, 3 y 4 inciso a), e) e i) y k).</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lo anterior, en lo que respecta al punto 1) y 2) relacionado con:</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Del año </w:t>
      </w:r>
      <w:r w:rsidDel="00000000" w:rsidR="00000000" w:rsidRPr="00000000">
        <w:rPr>
          <w:rFonts w:ascii="Palatino Linotype" w:cs="Palatino Linotype" w:eastAsia="Palatino Linotype" w:hAnsi="Palatino Linotype"/>
          <w:b w:val="1"/>
          <w:rtl w:val="0"/>
        </w:rPr>
        <w:t xml:space="preserve">2019 al año 2024</w:t>
      </w:r>
      <w:r w:rsidDel="00000000" w:rsidR="00000000" w:rsidRPr="00000000">
        <w:rPr>
          <w:rFonts w:ascii="Palatino Linotype" w:cs="Palatino Linotype" w:eastAsia="Palatino Linotype" w:hAnsi="Palatino Linotype"/>
          <w:rtl w:val="0"/>
        </w:rPr>
        <w:t xml:space="preserve"> desglosado por mes,</w:t>
      </w:r>
      <w:r w:rsidDel="00000000" w:rsidR="00000000" w:rsidRPr="00000000">
        <w:rPr>
          <w:rFonts w:ascii="Palatino Linotype" w:cs="Palatino Linotype" w:eastAsia="Palatino Linotype" w:hAnsi="Palatino Linotype"/>
          <w:b w:val="1"/>
          <w:u w:val="single"/>
          <w:rtl w:val="0"/>
        </w:rPr>
        <w:t xml:space="preserve"> gasto por colocar la mega carpa en el centro histórico de Chalco</w:t>
      </w:r>
      <w:r w:rsidDel="00000000" w:rsidR="00000000" w:rsidRPr="00000000">
        <w:rPr>
          <w:rFonts w:ascii="Palatino Linotype" w:cs="Palatino Linotype" w:eastAsia="Palatino Linotype" w:hAnsi="Palatino Linotype"/>
          <w:rtl w:val="0"/>
        </w:rPr>
        <w:t xml:space="preserve">, frente y/o a un costado del palacio municipal, que instalan en la calle Reforma y Enseñanza técnica</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 Para que evento fue el contrato</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Población beneficiada </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Nombre del proveedor persona física o moral adjudicado. </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Especificar si fue adjudicación directa, licitación pública o invitación a cuando menos tres proveedores. </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Contratos y facturas </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Indicar el Beneficio para el pueblo </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Oficio de adjudicación. </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Cotizaciones y/o estudio de mercado.</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Del año </w:t>
      </w:r>
      <w:r w:rsidDel="00000000" w:rsidR="00000000" w:rsidRPr="00000000">
        <w:rPr>
          <w:rFonts w:ascii="Palatino Linotype" w:cs="Palatino Linotype" w:eastAsia="Palatino Linotype" w:hAnsi="Palatino Linotype"/>
          <w:b w:val="1"/>
          <w:rtl w:val="0"/>
        </w:rPr>
        <w:t xml:space="preserve">2025 </w:t>
      </w:r>
      <w:r w:rsidDel="00000000" w:rsidR="00000000" w:rsidRPr="00000000">
        <w:rPr>
          <w:rFonts w:ascii="Palatino Linotype" w:cs="Palatino Linotype" w:eastAsia="Palatino Linotype" w:hAnsi="Palatino Linotype"/>
          <w:rtl w:val="0"/>
        </w:rPr>
        <w:t xml:space="preserve">desglosado por mes, </w:t>
      </w:r>
      <w:r w:rsidDel="00000000" w:rsidR="00000000" w:rsidRPr="00000000">
        <w:rPr>
          <w:rFonts w:ascii="Palatino Linotype" w:cs="Palatino Linotype" w:eastAsia="Palatino Linotype" w:hAnsi="Palatino Linotype"/>
          <w:b w:val="1"/>
          <w:rtl w:val="0"/>
        </w:rPr>
        <w:t xml:space="preserve">gasto por colocar la mega carpa en el centro histórico de Chalco</w:t>
      </w:r>
      <w:r w:rsidDel="00000000" w:rsidR="00000000" w:rsidRPr="00000000">
        <w:rPr>
          <w:rFonts w:ascii="Palatino Linotype" w:cs="Palatino Linotype" w:eastAsia="Palatino Linotype" w:hAnsi="Palatino Linotype"/>
          <w:rtl w:val="0"/>
        </w:rPr>
        <w:t xml:space="preserve">, frente o a un costado del palacio municipal, que instalan en la calle Reforma y Enseñanza técnica </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para que evento fue el contrato. </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Población beneficiada </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Nombre del proveedor persona física o moral adjudicado. </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Especificar si fue adjudicación directa, licitación pública o invitación a cuando menos tres proveedores. </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Contratos y facturas </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indicar el Beneficio para el pueblo </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oficio de adjudicación.</w:t>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h) Cotizaciones y/o estudio de mercado</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destacar que, se advierte que la parte Recurrente desea obtener información de una carpa que fue instalada a lado del Palacio Municipal de Chalco, en ese sentido, se procedió a realizar la búsqueda de la carpa y se encontró en </w:t>
      </w:r>
      <w:r w:rsidDel="00000000" w:rsidR="00000000" w:rsidRPr="00000000">
        <w:rPr>
          <w:rFonts w:ascii="Palatino Linotype" w:cs="Palatino Linotype" w:eastAsia="Palatino Linotype" w:hAnsi="Palatino Linotype"/>
          <w:i w:val="1"/>
          <w:rtl w:val="0"/>
        </w:rPr>
        <w:t xml:space="preserve">Google Maps</w:t>
      </w:r>
      <w:r w:rsidDel="00000000" w:rsidR="00000000" w:rsidRPr="00000000">
        <w:rPr>
          <w:rFonts w:ascii="Palatino Linotype" w:cs="Palatino Linotype" w:eastAsia="Palatino Linotype" w:hAnsi="Palatino Linotype"/>
          <w:rtl w:val="0"/>
        </w:rPr>
        <w:t xml:space="preserve"> que existe una carpa blanca en el centro de Chalco, tal como se observa a continuación:</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3181350"/>
            <wp:effectExtent b="0" l="0" r="0" t="0"/>
            <wp:docPr id="6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5627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85077" cy="3310299"/>
            <wp:effectExtent b="0" l="0" r="0" t="0"/>
            <wp:docPr id="7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85077" cy="3310299"/>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ello, se advierte la existencia del objeto del que se solicitó información. </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respuesta, el Sujeto Obligado informó a través de la Tesorería Municipal, que se realizó una búsqueda dentro de los archivos y no se encontró información correspondiente a los ejercicios 2019-2025. Asimismo, la Dirección de Administración refirió que no se ha realizado ningún tipo de procedimiento por renta de carpas que apliquen con las especificaciones mencionadas.</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por la respuesta otorgada. </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atención a ello, mediante informe justificado, la Tesorería Municipal informó que se realizó una búsqueda dentro de sus archivos y no encontró información que aplique a sus especificaciones, derivado de que, el Gobierno Municipal de Chalco</w:t>
      </w:r>
      <w:r w:rsidDel="00000000" w:rsidR="00000000" w:rsidRPr="00000000">
        <w:rPr>
          <w:rFonts w:ascii="Palatino Linotype" w:cs="Palatino Linotype" w:eastAsia="Palatino Linotype" w:hAnsi="Palatino Linotype"/>
          <w:b w:val="1"/>
          <w:rtl w:val="0"/>
        </w:rPr>
        <w:t xml:space="preserve"> no llevó a cabo la renta de alguna mega carpa, por lo que, no se generó información que atienda su requerimiento. </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Del mismo modo, la Dirección de Administración informó que, no se había realizado ningún tipo de procedimiento por renta de carpas, es decir, no </w:t>
      </w:r>
      <w:r w:rsidDel="00000000" w:rsidR="00000000" w:rsidRPr="00000000">
        <w:rPr>
          <w:rFonts w:ascii="Palatino Linotype" w:cs="Palatino Linotype" w:eastAsia="Palatino Linotype" w:hAnsi="Palatino Linotype"/>
          <w:b w:val="1"/>
          <w:u w:val="single"/>
          <w:rtl w:val="0"/>
        </w:rPr>
        <w:t xml:space="preserve">se llevó a cabo ningún procedimiento o contratación referente a la renta de alguna mega carpa en el periodo del 2019 al 2025 por lo que, no se tiene la información referida. </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Señalado esto, se procede a contextualizar la información solicitada, para ello, es necesario traer a colación lo que establecen los artículos 26 y 27 de la Ley de Contratación Pública del Estado de México y Municipios, </w:t>
      </w:r>
      <w:r w:rsidDel="00000000" w:rsidR="00000000" w:rsidRPr="00000000">
        <w:rPr>
          <w:rFonts w:ascii="Palatino Linotype" w:cs="Palatino Linotype" w:eastAsia="Palatino Linotype" w:hAnsi="Palatino Linotype"/>
          <w:b w:val="1"/>
          <w:u w:val="single"/>
          <w:rtl w:val="0"/>
        </w:rPr>
        <w:t xml:space="preserve">las adquisiciones, arrendamientos y servicios se adjudicarán a través de licitaciones públicas mediante convocatoria pública o bien, a través de las excepciones a dicho procedimiento</w:t>
      </w:r>
      <w:r w:rsidDel="00000000" w:rsidR="00000000" w:rsidRPr="00000000">
        <w:rPr>
          <w:rFonts w:ascii="Palatino Linotype" w:cs="Palatino Linotype" w:eastAsia="Palatino Linotype" w:hAnsi="Palatino Linotype"/>
          <w:rtl w:val="0"/>
        </w:rPr>
        <w:t xml:space="preserve">, como se observa a continuación:</w:t>
      </w:r>
      <w:r w:rsidDel="00000000" w:rsidR="00000000" w:rsidRPr="00000000">
        <w:rPr>
          <w:rFonts w:ascii="Palatino Linotype" w:cs="Palatino Linotype" w:eastAsia="Palatino Linotype" w:hAnsi="Palatino Linotype"/>
          <w:b w:val="1"/>
          <w:u w:val="single"/>
          <w:rtl w:val="0"/>
        </w:rPr>
        <w:t xml:space="preserve">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EC">
      <w:pPr>
        <w:spacing w:after="0" w:lineRule="auto"/>
        <w:ind w:left="567" w:right="5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CONTRATACIÓN PÚBLICA DEL ESTADO DE MÉXICO Y MUNICIPIO</w:t>
      </w:r>
    </w:p>
    <w:p w:rsidR="00000000" w:rsidDel="00000000" w:rsidP="00000000" w:rsidRDefault="00000000" w:rsidRPr="00000000" w14:paraId="000000ED">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26.-</w:t>
      </w:r>
      <w:r w:rsidDel="00000000" w:rsidR="00000000" w:rsidRPr="00000000">
        <w:rPr>
          <w:rFonts w:ascii="Palatino Linotype" w:cs="Palatino Linotype" w:eastAsia="Palatino Linotype" w:hAnsi="Palatino Linotype"/>
          <w:i w:val="1"/>
          <w:rtl w:val="0"/>
        </w:rPr>
        <w:t xml:space="preserve"> Las adquisiciones, arrendamientos y servicios se adjudicarán a través de licitaciones públicas, mediante convocatoria pública. </w:t>
      </w:r>
    </w:p>
    <w:p w:rsidR="00000000" w:rsidDel="00000000" w:rsidP="00000000" w:rsidRDefault="00000000" w:rsidRPr="00000000" w14:paraId="000000EF">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27.-</w:t>
      </w:r>
      <w:r w:rsidDel="00000000" w:rsidR="00000000" w:rsidRPr="00000000">
        <w:rPr>
          <w:rFonts w:ascii="Palatino Linotype" w:cs="Palatino Linotype" w:eastAsia="Palatino Linotype" w:hAnsi="Palatino Linotype"/>
          <w:i w:val="1"/>
          <w:rtl w:val="0"/>
        </w:rPr>
        <w:t xml:space="preserve"> La Secretaría, las entidades, los tribunales administrativos y los ayuntamientos podrán adjudicar adquisiciones, arrendamientos y servicios, mediante las excepciones al procedimiento de licitación que a continuación se señalan: </w:t>
      </w:r>
    </w:p>
    <w:p w:rsidR="00000000" w:rsidDel="00000000" w:rsidP="00000000" w:rsidRDefault="00000000" w:rsidRPr="00000000" w14:paraId="000000F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Invitación restringida. </w:t>
      </w:r>
    </w:p>
    <w:p w:rsidR="00000000" w:rsidDel="00000000" w:rsidP="00000000" w:rsidRDefault="00000000" w:rsidRPr="00000000" w14:paraId="000000F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Adjudicación directa.</w:t>
      </w:r>
    </w:p>
    <w:p w:rsidR="00000000" w:rsidDel="00000000" w:rsidP="00000000" w:rsidRDefault="00000000" w:rsidRPr="00000000" w14:paraId="000000F3">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procedimiento de </w:t>
      </w:r>
      <w:r w:rsidDel="00000000" w:rsidR="00000000" w:rsidRPr="00000000">
        <w:rPr>
          <w:rFonts w:ascii="Palatino Linotype" w:cs="Palatino Linotype" w:eastAsia="Palatino Linotype" w:hAnsi="Palatino Linotype"/>
          <w:b w:val="1"/>
          <w:rtl w:val="0"/>
        </w:rPr>
        <w:t xml:space="preserve">licitación pública</w:t>
      </w:r>
      <w:r w:rsidDel="00000000" w:rsidR="00000000" w:rsidRPr="00000000">
        <w:rPr>
          <w:rFonts w:ascii="Palatino Linotype" w:cs="Palatino Linotype" w:eastAsia="Palatino Linotype" w:hAnsi="Palatino Linotype"/>
          <w:rtl w:val="0"/>
        </w:rPr>
        <w:t xml:space="preserve">,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rsidR="00000000" w:rsidDel="00000000" w:rsidP="00000000" w:rsidRDefault="00000000" w:rsidRPr="00000000" w14:paraId="000000F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cuando hace a la </w:t>
      </w:r>
      <w:r w:rsidDel="00000000" w:rsidR="00000000" w:rsidRPr="00000000">
        <w:rPr>
          <w:rFonts w:ascii="Palatino Linotype" w:cs="Palatino Linotype" w:eastAsia="Palatino Linotype" w:hAnsi="Palatino Linotype"/>
          <w:b w:val="1"/>
          <w:rtl w:val="0"/>
        </w:rPr>
        <w:t xml:space="preserve">adjudicación directa</w:t>
      </w:r>
      <w:r w:rsidDel="00000000" w:rsidR="00000000" w:rsidRPr="00000000">
        <w:rPr>
          <w:rFonts w:ascii="Palatino Linotype" w:cs="Palatino Linotype" w:eastAsia="Palatino Linotype" w:hAnsi="Palatino Linotype"/>
          <w:rtl w:val="0"/>
        </w:rPr>
        <w:t xml:space="preserve">, la Secretaría de la Función Pública, (consultable en </w:t>
      </w:r>
      <w:hyperlink r:id="rId9">
        <w:r w:rsidDel="00000000" w:rsidR="00000000" w:rsidRPr="00000000">
          <w:rPr>
            <w:rFonts w:ascii="Palatino Linotype" w:cs="Palatino Linotype" w:eastAsia="Palatino Linotype" w:hAnsi="Palatino Linotype"/>
            <w:u w:val="single"/>
            <w:rtl w:val="0"/>
          </w:rPr>
          <w:t xml:space="preserve">https://www.gob.mx/sfp/acciones-y-programas/1-3-3-adjudicacion-directa</w:t>
        </w:r>
      </w:hyperlink>
      <w:r w:rsidDel="00000000" w:rsidR="00000000" w:rsidRPr="00000000">
        <w:rPr>
          <w:rFonts w:ascii="Palatino Linotype" w:cs="Palatino Linotype" w:eastAsia="Palatino Linotype" w:hAnsi="Palatino Linotype"/>
          <w:rtl w:val="0"/>
        </w:rPr>
        <w:t xml:space="preserve">) establece que, es un procedimiento que se realiza sin puesta en concurrencia y, por ende, sin que exista competencia, adjudicándose el contrato a un proveedor que ha sido preseleccionado para tales efectos por la dependencia o entidad. </w:t>
      </w:r>
    </w:p>
    <w:p w:rsidR="00000000" w:rsidDel="00000000" w:rsidP="00000000" w:rsidRDefault="00000000" w:rsidRPr="00000000" w14:paraId="000000F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respecto a la </w:t>
      </w:r>
      <w:r w:rsidDel="00000000" w:rsidR="00000000" w:rsidRPr="00000000">
        <w:rPr>
          <w:rFonts w:ascii="Palatino Linotype" w:cs="Palatino Linotype" w:eastAsia="Palatino Linotype" w:hAnsi="Palatino Linotype"/>
          <w:b w:val="1"/>
          <w:rtl w:val="0"/>
        </w:rPr>
        <w:t xml:space="preserve">invitación restringida a cuando menos tres proveedores</w:t>
      </w:r>
      <w:r w:rsidDel="00000000" w:rsidR="00000000" w:rsidRPr="00000000">
        <w:rPr>
          <w:rFonts w:ascii="Palatino Linotype" w:cs="Palatino Linotype" w:eastAsia="Palatino Linotype" w:hAnsi="Palatino Linotype"/>
          <w:rtl w:val="0"/>
        </w:rPr>
        <w:t xml:space="preserve">, la Secretaría de la Contraloría (consultable en </w:t>
      </w:r>
      <w:hyperlink r:id="rId10">
        <w:r w:rsidDel="00000000" w:rsidR="00000000" w:rsidRPr="00000000">
          <w:rPr>
            <w:rFonts w:ascii="Palatino Linotype" w:cs="Palatino Linotype" w:eastAsia="Palatino Linotype" w:hAnsi="Palatino Linotype"/>
            <w:u w:val="single"/>
            <w:rtl w:val="0"/>
          </w:rPr>
          <w:t xml:space="preserve">http://www.contraloriadf.gob.mx/contraloria/cursos/ADQUISICIONES/paginas/32.php#:~:text=Es%20un%20procedimiento%20administrativo%2C%20de,tres%20oferentes%20a%20presentar%20propuestas%2C</w:t>
        </w:r>
      </w:hyperlink>
      <w:r w:rsidDel="00000000" w:rsidR="00000000" w:rsidRPr="00000000">
        <w:rPr>
          <w:rFonts w:ascii="Palatino Linotype" w:cs="Palatino Linotype" w:eastAsia="Palatino Linotype" w:hAnsi="Palatino Linotype"/>
          <w:rtl w:val="0"/>
        </w:rPr>
        <w:t xml:space="preserve">)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rsidR="00000000" w:rsidDel="00000000" w:rsidP="00000000" w:rsidRDefault="00000000" w:rsidRPr="00000000" w14:paraId="000000F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de la Ley de Contratación Pública del Estado de México y Municipios, precisa lo siguiente: </w:t>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 - </w:t>
      </w:r>
      <w:r w:rsidDel="00000000" w:rsidR="00000000" w:rsidRPr="00000000">
        <w:rPr>
          <w:rFonts w:ascii="Palatino Linotype" w:cs="Palatino Linotype" w:eastAsia="Palatino Linotype" w:hAnsi="Palatino Linotype"/>
          <w:i w:val="1"/>
          <w:rtl w:val="0"/>
        </w:rPr>
        <w:t xml:space="preserve">Para los efectos de este Reglamento, se entenderá por:</w:t>
      </w:r>
    </w:p>
    <w:p w:rsidR="00000000" w:rsidDel="00000000" w:rsidP="00000000" w:rsidRDefault="00000000" w:rsidRPr="00000000" w14:paraId="000000FD">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tabs>
          <w:tab w:val="left" w:leader="none" w:pos="795"/>
        </w:tabs>
        <w:spacing w:after="0" w:lineRule="auto"/>
        <w:ind w:left="567" w:right="11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w:t>
      </w:r>
      <w:r w:rsidDel="00000000" w:rsidR="00000000" w:rsidRPr="00000000">
        <w:rPr>
          <w:rFonts w:ascii="Palatino Linotype" w:cs="Palatino Linotype" w:eastAsia="Palatino Linotype" w:hAnsi="Palatino Linotype"/>
          <w:b w:val="1"/>
          <w:i w:val="1"/>
          <w:rtl w:val="0"/>
        </w:rPr>
        <w:t xml:space="preserve">Adjudicación directa:</w:t>
      </w:r>
      <w:r w:rsidDel="00000000" w:rsidR="00000000" w:rsidRPr="00000000">
        <w:rPr>
          <w:rFonts w:ascii="Palatino Linotype" w:cs="Palatino Linotype" w:eastAsia="Palatino Linotype" w:hAnsi="Palatino Linotype"/>
          <w:i w:val="1"/>
          <w:rtl w:val="0"/>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tabs>
          <w:tab w:val="left" w:leader="none" w:pos="795"/>
        </w:tabs>
        <w:spacing w:after="0" w:lineRule="auto"/>
        <w:ind w:left="567" w:right="11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tabs>
          <w:tab w:val="left" w:leader="none" w:pos="795"/>
        </w:tabs>
        <w:spacing w:after="0" w:lineRule="auto"/>
        <w:ind w:left="567" w:right="11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w:t>
        <w:tab/>
      </w:r>
      <w:r w:rsidDel="00000000" w:rsidR="00000000" w:rsidRPr="00000000">
        <w:rPr>
          <w:rFonts w:ascii="Palatino Linotype" w:cs="Palatino Linotype" w:eastAsia="Palatino Linotype" w:hAnsi="Palatino Linotype"/>
          <w:b w:val="1"/>
          <w:i w:val="1"/>
          <w:rtl w:val="0"/>
        </w:rPr>
        <w:t xml:space="preserve">Invitación restringida:</w:t>
      </w:r>
      <w:r w:rsidDel="00000000" w:rsidR="00000000" w:rsidRPr="00000000">
        <w:rPr>
          <w:rFonts w:ascii="Palatino Linotype" w:cs="Palatino Linotype" w:eastAsia="Palatino Linotype" w:hAnsi="Palatino Linotype"/>
          <w:i w:val="1"/>
          <w:rtl w:val="0"/>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rsidR="00000000" w:rsidDel="00000000" w:rsidP="00000000" w:rsidRDefault="00000000" w:rsidRPr="00000000" w14:paraId="0000010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w:t>
        <w:tab/>
      </w:r>
      <w:r w:rsidDel="00000000" w:rsidR="00000000" w:rsidRPr="00000000">
        <w:rPr>
          <w:rFonts w:ascii="Palatino Linotype" w:cs="Palatino Linotype" w:eastAsia="Palatino Linotype" w:hAnsi="Palatino Linotype"/>
          <w:b w:val="1"/>
          <w:i w:val="1"/>
          <w:rtl w:val="0"/>
        </w:rPr>
        <w:t xml:space="preserve">Licitación pública:</w:t>
      </w:r>
      <w:r w:rsidDel="00000000" w:rsidR="00000000" w:rsidRPr="00000000">
        <w:rPr>
          <w:rFonts w:ascii="Palatino Linotype" w:cs="Palatino Linotype" w:eastAsia="Palatino Linotype" w:hAnsi="Palatino Linotype"/>
          <w:i w:val="1"/>
          <w:rtl w:val="0"/>
        </w:rPr>
        <w:t xml:space="preserve"> Modalidad de adquisición de bienes y contratación de servicios, mediante convocatoria</w:t>
        <w:tab/>
        <w:t xml:space="preserve">pública que realicen la Secretaría, organismos auxiliares, tribunales administrativos o municipios, por el que se aseguran las mejores condiciones en cuanto a precio, calidad, financiamiento, oportunidad y demás circunst ancias pertinentes.</w:t>
      </w:r>
    </w:p>
    <w:p w:rsidR="00000000" w:rsidDel="00000000" w:rsidP="00000000" w:rsidRDefault="00000000" w:rsidRPr="00000000" w14:paraId="0000010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10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w:t>
        <w:tab/>
      </w:r>
      <w:r w:rsidDel="00000000" w:rsidR="00000000" w:rsidRPr="00000000">
        <w:rPr>
          <w:rFonts w:ascii="Palatino Linotype" w:cs="Palatino Linotype" w:eastAsia="Palatino Linotype" w:hAnsi="Palatino Linotype"/>
          <w:b w:val="1"/>
          <w:i w:val="1"/>
          <w:rtl w:val="0"/>
        </w:rPr>
        <w:t xml:space="preserve">Procedimiento de adquisición:</w:t>
      </w:r>
      <w:r w:rsidDel="00000000" w:rsidR="00000000" w:rsidRPr="00000000">
        <w:rPr>
          <w:rFonts w:ascii="Palatino Linotype" w:cs="Palatino Linotype" w:eastAsia="Palatino Linotype" w:hAnsi="Palatino Linotype"/>
          <w:i w:val="1"/>
          <w:rtl w:val="0"/>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rsidR="00000000" w:rsidDel="00000000" w:rsidP="00000000" w:rsidRDefault="00000000" w:rsidRPr="00000000" w14:paraId="0000010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6">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rsidR="00000000" w:rsidDel="00000000" w:rsidP="00000000" w:rsidRDefault="00000000" w:rsidRPr="00000000" w14:paraId="0000010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0A">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B">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XXIX.</w:t>
      </w:r>
      <w:r w:rsidDel="00000000" w:rsidR="00000000" w:rsidRPr="00000000">
        <w:rPr>
          <w:rFonts w:ascii="Palatino Linotype" w:cs="Palatino Linotype" w:eastAsia="Palatino Linotype" w:hAnsi="Palatino Linotype"/>
          <w:i w:val="1"/>
          <w:rtl w:val="0"/>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00000" w:rsidDel="00000000" w:rsidP="00000000" w:rsidRDefault="00000000" w:rsidRPr="00000000" w14:paraId="0000010C">
      <w:pPr>
        <w:spacing w:after="0" w:lineRule="auto"/>
        <w:ind w:left="567" w:right="90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 De licitaciones públicas o procedimientos de invitación restringida: </w:t>
      </w:r>
    </w:p>
    <w:p w:rsidR="00000000" w:rsidDel="00000000" w:rsidP="00000000" w:rsidRDefault="00000000" w:rsidRPr="00000000" w14:paraId="0000010D">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La convocatoria o invitación emitida, así como los fundamentos legales aplicados para llevarla a cabo; </w:t>
      </w:r>
    </w:p>
    <w:p w:rsidR="00000000" w:rsidDel="00000000" w:rsidP="00000000" w:rsidRDefault="00000000" w:rsidRPr="00000000" w14:paraId="0000010E">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Los nombres de los participantes o invitados; </w:t>
      </w:r>
    </w:p>
    <w:p w:rsidR="00000000" w:rsidDel="00000000" w:rsidP="00000000" w:rsidRDefault="00000000" w:rsidRPr="00000000" w14:paraId="0000010F">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El nombre del ganador y las razones que lo justifican; </w:t>
      </w:r>
    </w:p>
    <w:p w:rsidR="00000000" w:rsidDel="00000000" w:rsidP="00000000" w:rsidRDefault="00000000" w:rsidRPr="00000000" w14:paraId="00000110">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4) El área solicitante y la responsable de su ejecución; </w:t>
      </w:r>
    </w:p>
    <w:p w:rsidR="00000000" w:rsidDel="00000000" w:rsidP="00000000" w:rsidRDefault="00000000" w:rsidRPr="00000000" w14:paraId="00000111">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5) Las convocatorias e invitaciones emitidas; </w:t>
      </w:r>
    </w:p>
    <w:p w:rsidR="00000000" w:rsidDel="00000000" w:rsidP="00000000" w:rsidRDefault="00000000" w:rsidRPr="00000000" w14:paraId="00000112">
      <w:pPr>
        <w:spacing w:after="0" w:lineRule="auto"/>
        <w:ind w:left="567" w:right="90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6) Los dictámenes y fallo de adjudicación; </w:t>
      </w:r>
    </w:p>
    <w:p w:rsidR="00000000" w:rsidDel="00000000" w:rsidP="00000000" w:rsidRDefault="00000000" w:rsidRPr="00000000" w14:paraId="00000113">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7) El contrato y, en su caso, sus anexos; </w:t>
      </w:r>
    </w:p>
    <w:p w:rsidR="00000000" w:rsidDel="00000000" w:rsidP="00000000" w:rsidRDefault="00000000" w:rsidRPr="00000000" w14:paraId="00000114">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8) Los mecanismos de vigilancia y supervisión, incluyendo en su caso, los estudios de impacto urbano y ambiental, según corresponda; </w:t>
      </w:r>
    </w:p>
    <w:p w:rsidR="00000000" w:rsidDel="00000000" w:rsidP="00000000" w:rsidRDefault="00000000" w:rsidRPr="00000000" w14:paraId="00000115">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9) La partida presupuestal, de conformidad con el clasificador por objeto del gasto, en el caso de ser aplicable; </w:t>
      </w:r>
    </w:p>
    <w:p w:rsidR="00000000" w:rsidDel="00000000" w:rsidP="00000000" w:rsidRDefault="00000000" w:rsidRPr="00000000" w14:paraId="00000116">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10) Origen de los recursos especificando si son federales, estatales o municipales, así como el tipo de fondo de participación o aportación respectiva; </w:t>
      </w:r>
    </w:p>
    <w:p w:rsidR="00000000" w:rsidDel="00000000" w:rsidP="00000000" w:rsidRDefault="00000000" w:rsidRPr="00000000" w14:paraId="00000117">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11) Los convenios modificatorios que, en su caso, sean firmados, precisando el objeto y la fecha de celebración; </w:t>
      </w:r>
    </w:p>
    <w:p w:rsidR="00000000" w:rsidDel="00000000" w:rsidP="00000000" w:rsidRDefault="00000000" w:rsidRPr="00000000" w14:paraId="00000118">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12) Los informes de avance físico y financiero sobre las obras o servicios contratados; </w:t>
      </w:r>
    </w:p>
    <w:p w:rsidR="00000000" w:rsidDel="00000000" w:rsidP="00000000" w:rsidRDefault="00000000" w:rsidRPr="00000000" w14:paraId="00000119">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13) El convenio de terminación; y </w:t>
      </w:r>
    </w:p>
    <w:p w:rsidR="00000000" w:rsidDel="00000000" w:rsidP="00000000" w:rsidRDefault="00000000" w:rsidRPr="00000000" w14:paraId="0000011A">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14) El finiquito. </w:t>
      </w:r>
    </w:p>
    <w:p w:rsidR="00000000" w:rsidDel="00000000" w:rsidP="00000000" w:rsidRDefault="00000000" w:rsidRPr="00000000" w14:paraId="0000011B">
      <w:pPr>
        <w:spacing w:after="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C">
      <w:pPr>
        <w:spacing w:after="0" w:lineRule="auto"/>
        <w:ind w:left="567" w:right="90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b) De las adjudicaciones directas: </w:t>
      </w:r>
    </w:p>
    <w:p w:rsidR="00000000" w:rsidDel="00000000" w:rsidP="00000000" w:rsidRDefault="00000000" w:rsidRPr="00000000" w14:paraId="0000011D">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La propuesta enviada por el participante; </w:t>
      </w:r>
    </w:p>
    <w:p w:rsidR="00000000" w:rsidDel="00000000" w:rsidP="00000000" w:rsidRDefault="00000000" w:rsidRPr="00000000" w14:paraId="0000011E">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Los motivos y fundamentos legales aplicados para llevarla a cabo; </w:t>
      </w:r>
    </w:p>
    <w:p w:rsidR="00000000" w:rsidDel="00000000" w:rsidP="00000000" w:rsidRDefault="00000000" w:rsidRPr="00000000" w14:paraId="0000011F">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La autorización del ejercicio de la opción; </w:t>
      </w:r>
    </w:p>
    <w:p w:rsidR="00000000" w:rsidDel="00000000" w:rsidP="00000000" w:rsidRDefault="00000000" w:rsidRPr="00000000" w14:paraId="00000120">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4) En su caso, las cotizaciones consideradas, especificando los nombres de los proveedores y sus montos; </w:t>
      </w:r>
    </w:p>
    <w:p w:rsidR="00000000" w:rsidDel="00000000" w:rsidP="00000000" w:rsidRDefault="00000000" w:rsidRPr="00000000" w14:paraId="00000121">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5) El nombre de la persona física o jurídica colectiva adjudicada; </w:t>
      </w:r>
    </w:p>
    <w:p w:rsidR="00000000" w:rsidDel="00000000" w:rsidP="00000000" w:rsidRDefault="00000000" w:rsidRPr="00000000" w14:paraId="00000122">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6) La unidad administrativa solicitante y la responsable de su ejecución; </w:t>
      </w:r>
    </w:p>
    <w:p w:rsidR="00000000" w:rsidDel="00000000" w:rsidP="00000000" w:rsidRDefault="00000000" w:rsidRPr="00000000" w14:paraId="00000123">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7) El número, fecha, el monto del contrato y el plazo de entrega o de ejecución de los servicios u obra; </w:t>
      </w:r>
    </w:p>
    <w:p w:rsidR="00000000" w:rsidDel="00000000" w:rsidP="00000000" w:rsidRDefault="00000000" w:rsidRPr="00000000" w14:paraId="00000124">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8) Los mecanismos de vigilancia y supervisión, incluyendo, en su caso, los estudios de impacto urbano y ambiental, según corresponda; </w:t>
      </w:r>
    </w:p>
    <w:p w:rsidR="00000000" w:rsidDel="00000000" w:rsidP="00000000" w:rsidRDefault="00000000" w:rsidRPr="00000000" w14:paraId="00000125">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9) Los informes de avance sobre las obras o servicios contratados; </w:t>
      </w:r>
    </w:p>
    <w:p w:rsidR="00000000" w:rsidDel="00000000" w:rsidP="00000000" w:rsidRDefault="00000000" w:rsidRPr="00000000" w14:paraId="00000126">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10) El convenio de terminación; y </w:t>
      </w:r>
    </w:p>
    <w:p w:rsidR="00000000" w:rsidDel="00000000" w:rsidP="00000000" w:rsidRDefault="00000000" w:rsidRPr="00000000" w14:paraId="00000127">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11) El finiquito.</w:t>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w:t>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necesario mencionar que los particulares no son expertos en la materia, por lo que, el ahora Recurrente puede desconocer si la carpa se rentó o se  compró, por lo que, si bien, la carpa pudo </w:t>
      </w:r>
      <w:r w:rsidDel="00000000" w:rsidR="00000000" w:rsidRPr="00000000">
        <w:rPr>
          <w:rFonts w:ascii="Palatino Linotype" w:cs="Palatino Linotype" w:eastAsia="Palatino Linotype" w:hAnsi="Palatino Linotype"/>
          <w:b w:val="1"/>
          <w:rtl w:val="0"/>
        </w:rPr>
        <w:t xml:space="preserve">no</w:t>
      </w:r>
      <w:r w:rsidDel="00000000" w:rsidR="00000000" w:rsidRPr="00000000">
        <w:rPr>
          <w:rFonts w:ascii="Palatino Linotype" w:cs="Palatino Linotype" w:eastAsia="Palatino Linotype" w:hAnsi="Palatino Linotype"/>
          <w:rtl w:val="0"/>
        </w:rPr>
        <w:t xml:space="preserve"> haber sido rentada, también lo es que, se advierte que la pretensión es obtener información relacionada con esta, independientemente del procedimiento que se ejecutó. </w:t>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Dicho esto, en atención a los motivos de inconformidad hechos valer por la parte Recurrente y en relación con la solicitud de información, se colige que, información como, el evento para el que se contrató/compró, el nombre del proveedor, motivo de adjudicación de la carpa, tipo de procedimiento, dictamen y fallo, las cotizaciones y/o estudios de mercado, </w:t>
      </w:r>
      <w:r w:rsidDel="00000000" w:rsidR="00000000" w:rsidRPr="00000000">
        <w:rPr>
          <w:rFonts w:ascii="Palatino Linotype" w:cs="Palatino Linotype" w:eastAsia="Palatino Linotype" w:hAnsi="Palatino Linotype"/>
          <w:b w:val="1"/>
          <w:u w:val="single"/>
          <w:rtl w:val="0"/>
        </w:rPr>
        <w:t xml:space="preserve">puede obrar en los contratos y sus anexos. </w:t>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Por otro lado, en lo que hace a las facturas, es de mencionar lo que establece el Glosario de Términos Hacendarios que emite el Instituto Hacendario del Estado de México, el cual define como </w:t>
      </w:r>
      <w:r w:rsidDel="00000000" w:rsidR="00000000" w:rsidRPr="00000000">
        <w:rPr>
          <w:rFonts w:ascii="Palatino Linotype" w:cs="Palatino Linotype" w:eastAsia="Palatino Linotype" w:hAnsi="Palatino Linotype"/>
          <w:i w:val="1"/>
          <w:rtl w:val="0"/>
        </w:rPr>
        <w:t xml:space="preserve">“factura” al</w:t>
      </w:r>
      <w:r w:rsidDel="00000000" w:rsidR="00000000" w:rsidRPr="00000000">
        <w:rPr>
          <w:rFonts w:ascii="Palatino Linotype" w:cs="Palatino Linotype" w:eastAsia="Palatino Linotype" w:hAnsi="Palatino Linotype"/>
          <w:b w:val="1"/>
          <w:i w:val="1"/>
          <w:rtl w:val="0"/>
        </w:rPr>
        <w:t xml:space="preserve"> documento fiscal que emite la persona física o moral para comprobar la venta o adquisición de un bien y/o servicio.</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señalar que cuando las facturas amparan las erogaciones que se realizan con erario público tienen naturaleza pública, pues constituyen un medio idóneo de evidencia del gasto realizado con recursos públicos. </w:t>
      </w:r>
    </w:p>
    <w:p w:rsidR="00000000" w:rsidDel="00000000" w:rsidP="00000000" w:rsidRDefault="00000000" w:rsidRPr="00000000" w14:paraId="0000013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Código Financiero del Estado de México, establece en su artículo 344 lo siguiente: </w:t>
      </w:r>
    </w:p>
    <w:p w:rsidR="00000000" w:rsidDel="00000000" w:rsidP="00000000" w:rsidRDefault="00000000" w:rsidRPr="00000000" w14:paraId="0000013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344.-</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Entes Públicos, a través de cualquiera de sus unidades administrativas</w:t>
      </w:r>
      <w:r w:rsidDel="00000000" w:rsidR="00000000" w:rsidRPr="00000000">
        <w:rPr>
          <w:rFonts w:ascii="Palatino Linotype" w:cs="Palatino Linotype" w:eastAsia="Palatino Linotype" w:hAnsi="Palatino Linotype"/>
          <w:i w:val="1"/>
          <w:rtl w:val="0"/>
        </w:rPr>
        <w:t xml:space="preserve">, de acuerdo con su naturaleza jurídica y según corresponda, </w:t>
      </w:r>
      <w:r w:rsidDel="00000000" w:rsidR="00000000" w:rsidRPr="00000000">
        <w:rPr>
          <w:rFonts w:ascii="Palatino Linotype" w:cs="Palatino Linotype" w:eastAsia="Palatino Linotype" w:hAnsi="Palatino Linotype"/>
          <w:b w:val="1"/>
          <w:i w:val="1"/>
          <w:u w:val="single"/>
          <w:rtl w:val="0"/>
        </w:rPr>
        <w:t xml:space="preserve">registrarán contablemente el efecto patrimonial y presupuestal de las operaciones financieras que realicen, en el momento en que ocurran, con base en el sistema y políticas de registro establecidas</w:t>
      </w:r>
      <w:r w:rsidDel="00000000" w:rsidR="00000000" w:rsidRPr="00000000">
        <w:rPr>
          <w:rFonts w:ascii="Palatino Linotype" w:cs="Palatino Linotype" w:eastAsia="Palatino Linotype" w:hAnsi="Palatino Linotype"/>
          <w:i w:val="1"/>
          <w:rtl w:val="0"/>
        </w:rPr>
        <w:t xml:space="preserve">, en el caso de los Municipios</w:t>
      </w:r>
      <w:r w:rsidDel="00000000" w:rsidR="00000000" w:rsidRPr="00000000">
        <w:rPr>
          <w:rFonts w:ascii="Palatino Linotype" w:cs="Palatino Linotype" w:eastAsia="Palatino Linotype" w:hAnsi="Palatino Linotype"/>
          <w:b w:val="1"/>
          <w:i w:val="1"/>
          <w:u w:val="single"/>
          <w:rtl w:val="0"/>
        </w:rPr>
        <w:t xml:space="preserve">, se hará por la Tesorería.</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36">
      <w:pP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7">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Todo registro contable y presupuestal deberá estar soportado con los documentos comprobatorios originales o en medios electrónicos, los que deberán permanecer en custodia y conservación</w:t>
      </w:r>
      <w:r w:rsidDel="00000000" w:rsidR="00000000" w:rsidRPr="00000000">
        <w:rPr>
          <w:rFonts w:ascii="Palatino Linotype" w:cs="Palatino Linotype" w:eastAsia="Palatino Linotype" w:hAnsi="Palatino Linotype"/>
          <w:i w:val="1"/>
          <w:rtl w:val="0"/>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000000" w:rsidDel="00000000" w:rsidP="00000000" w:rsidRDefault="00000000" w:rsidRPr="00000000" w14:paraId="00000138">
      <w:pP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9">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documentos de carácter histórico, se estará a lo dispuesto por la legislación de la materia.</w:t>
      </w:r>
    </w:p>
    <w:p w:rsidR="00000000" w:rsidDel="00000000" w:rsidP="00000000" w:rsidRDefault="00000000" w:rsidRPr="00000000" w14:paraId="0000013A">
      <w:pPr>
        <w:spacing w:after="0" w:line="360" w:lineRule="auto"/>
        <w:ind w:right="49"/>
        <w:jc w:val="both"/>
        <w:rPr/>
      </w:pPr>
      <w:r w:rsidDel="00000000" w:rsidR="00000000" w:rsidRPr="00000000">
        <w:rPr>
          <w:rtl w:val="0"/>
        </w:rPr>
      </w:r>
    </w:p>
    <w:p w:rsidR="00000000" w:rsidDel="00000000" w:rsidP="00000000" w:rsidRDefault="00000000" w:rsidRPr="00000000" w14:paraId="000001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Del="00000000" w:rsidR="00000000" w:rsidRPr="00000000">
        <w:rPr>
          <w:rFonts w:ascii="Palatino Linotype" w:cs="Palatino Linotype" w:eastAsia="Palatino Linotype" w:hAnsi="Palatino Linotype"/>
          <w:i w:val="1"/>
          <w:rtl w:val="0"/>
        </w:rPr>
        <w:t xml:space="preserve">Glosario de Términos Administrativos</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i w:val="1"/>
          <w:rtl w:val="0"/>
        </w:rPr>
        <w:t xml:space="preserve">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rtl w:val="0"/>
        </w:rPr>
        <w:t xml:space="preserve">, definen los registros como: </w:t>
      </w:r>
    </w:p>
    <w:p w:rsidR="00000000" w:rsidDel="00000000" w:rsidP="00000000" w:rsidRDefault="00000000" w:rsidRPr="00000000" w14:paraId="0000013C">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contable. </w:t>
      </w:r>
      <w:r w:rsidDel="00000000" w:rsidR="00000000" w:rsidRPr="00000000">
        <w:rPr>
          <w:rFonts w:ascii="Palatino Linotype" w:cs="Palatino Linotype" w:eastAsia="Palatino Linotype" w:hAnsi="Palatino Linotype"/>
          <w:i w:val="1"/>
          <w:rtl w:val="0"/>
        </w:rPr>
        <w:t xml:space="preserve">Asiento que se realiza en los libros de contabilidad de las actividades relacionadas con el ingreso y egreso de un ente económico. </w:t>
      </w:r>
    </w:p>
    <w:p w:rsidR="00000000" w:rsidDel="00000000" w:rsidP="00000000" w:rsidRDefault="00000000" w:rsidRPr="00000000" w14:paraId="0000013E">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Presupuestario. </w:t>
      </w:r>
      <w:r w:rsidDel="00000000" w:rsidR="00000000" w:rsidRPr="00000000">
        <w:rPr>
          <w:rFonts w:ascii="Palatino Linotype" w:cs="Palatino Linotype" w:eastAsia="Palatino Linotype" w:hAnsi="Palatino Linotype"/>
          <w:i w:val="1"/>
          <w:rtl w:val="0"/>
        </w:rPr>
        <w:t xml:space="preserve">Asiento contable de las erogaciones realizadas por las dependencias y entidades con relación a la asignación, modificación y ejercicio de los recursos presupuestarios que se les hayan autorizado. </w:t>
      </w:r>
    </w:p>
    <w:p w:rsidR="00000000" w:rsidDel="00000000" w:rsidP="00000000" w:rsidRDefault="00000000" w:rsidRPr="00000000" w14:paraId="000001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citados, se colige que los entes fiscalizables</w:t>
      </w:r>
      <w:r w:rsidDel="00000000" w:rsidR="00000000" w:rsidRPr="00000000">
        <w:rPr>
          <w:rFonts w:ascii="Palatino Linotype" w:cs="Palatino Linotype" w:eastAsia="Palatino Linotype" w:hAnsi="Palatino Linotype"/>
          <w:b w:val="1"/>
          <w:u w:val="single"/>
          <w:rtl w:val="0"/>
        </w:rPr>
        <w:t xml:space="preserve"> deben contar con una unidad administrativa que registra contablemente el efecto patrimonial y presupuestal de las operaciones financieras</w:t>
      </w:r>
      <w:r w:rsidDel="00000000" w:rsidR="00000000" w:rsidRPr="00000000">
        <w:rPr>
          <w:rFonts w:ascii="Palatino Linotype" w:cs="Palatino Linotype" w:eastAsia="Palatino Linotype" w:hAnsi="Palatino Linotype"/>
          <w:rtl w:val="0"/>
        </w:rPr>
        <w:t xml:space="preserve"> que realizan y por lo general, se encuentran en las denominadas </w:t>
      </w:r>
      <w:r w:rsidDel="00000000" w:rsidR="00000000" w:rsidRPr="00000000">
        <w:rPr>
          <w:rFonts w:ascii="Palatino Linotype" w:cs="Palatino Linotype" w:eastAsia="Palatino Linotype" w:hAnsi="Palatino Linotype"/>
          <w:i w:val="1"/>
          <w:rtl w:val="0"/>
        </w:rPr>
        <w:t xml:space="preserve">pólizas contables </w:t>
      </w:r>
      <w:r w:rsidDel="00000000" w:rsidR="00000000" w:rsidRPr="00000000">
        <w:rPr>
          <w:rFonts w:ascii="Palatino Linotype" w:cs="Palatino Linotype" w:eastAsia="Palatino Linotype" w:hAnsi="Palatino Linotype"/>
          <w:rtl w:val="0"/>
        </w:rPr>
        <w:t xml:space="preserve">las cuales son aquellos documentos en los que se asientan en forma individual todas y cada una de las operaciones desarrolladas por una institución, así como la información necesaria para la identificación de estas. </w:t>
      </w:r>
    </w:p>
    <w:p w:rsidR="00000000" w:rsidDel="00000000" w:rsidP="00000000" w:rsidRDefault="00000000" w:rsidRPr="00000000" w14:paraId="000001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concluye que, el Sujeto Obligado tiene facultades, atribuciones y competencia para generar, administrar y poseer la información solicitada, aunado a que, se observó la existencia de una carpa en la ubicación referida por la parte Solicitante. </w:t>
      </w:r>
    </w:p>
    <w:p w:rsidR="00000000" w:rsidDel="00000000" w:rsidP="00000000" w:rsidRDefault="00000000" w:rsidRPr="00000000" w14:paraId="000001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pasa desapercibido mencionar que la parte Recurrente solicitó la información desglosada por mes, no obstante, </w:t>
      </w:r>
      <w:r w:rsidDel="00000000" w:rsidR="00000000" w:rsidRPr="00000000">
        <w:rPr>
          <w:rFonts w:ascii="Palatino Linotype" w:cs="Palatino Linotype" w:eastAsia="Palatino Linotype" w:hAnsi="Palatino Linotype"/>
          <w:b w:val="1"/>
          <w:u w:val="single"/>
          <w:rtl w:val="0"/>
        </w:rPr>
        <w:t xml:space="preserve">no existe normativa que establezca que la información derivada de los procedimientos de adjudicación deba ser generada por mes,</w:t>
      </w:r>
      <w:r w:rsidDel="00000000" w:rsidR="00000000" w:rsidRPr="00000000">
        <w:rPr>
          <w:rFonts w:ascii="Palatino Linotype" w:cs="Palatino Linotype" w:eastAsia="Palatino Linotype" w:hAnsi="Palatino Linotype"/>
          <w:rtl w:val="0"/>
        </w:rPr>
        <w:t xml:space="preserve"> por lo que, está deberá ser proporcionada, tal como obre en los archivos del Sujeto Obligado. </w:t>
      </w:r>
    </w:p>
    <w:p w:rsidR="00000000" w:rsidDel="00000000" w:rsidP="00000000" w:rsidRDefault="00000000" w:rsidRPr="00000000" w14:paraId="000001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considera necesario que, el Sujeto Obligado realice una nueva búsqueda exhaustiva y razonable con la finalidad de que proporcione la información relacionada con: </w:t>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la carpa colocada en el Centro Histórico de Chalco, del año 2019 al seis de febrero de 2025, la siguiente información: </w:t>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993"/>
        </w:tabs>
        <w:spacing w:after="0" w:line="360" w:lineRule="auto"/>
        <w:ind w:left="709"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Motivo de la adjudicación de la carpa. </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Población beneficiada </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Nombre del proveedor persona física o moral adjudicado. </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Tipo de adjudicación (licitación pública, invitación restringida o adjudicación directa) </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Contratos y facturas </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Documento donde conste el beneficio para el pueblo </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Documento donde conste la adjudicación.  </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h) Cotizaciones y/o estudio de mercado.</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no cuente con la información relacionada con los puntos b) y  f), o bien, en alguna temporalidad referida no se haya instalado la carpa, bastará con que lo haga de conocimiento de la parte Recurrente, en términos del párrafo segundo del artículo 19 de la Ley de Transparencia y Acceso a la Información Pública del Estado de México y Municipios. </w:t>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hace al punto 3) y 4) incisos a), e), i) y k) relacionados con del 2019 al 2025 desglosado por año, para el evento Gira de los Reyes Magos, requiero la siguiente información: a) Órgano colegiado que autorizó el gasto para este programa, y el documento que lo avale. e) Especificar si fue adjudicación directa, licitación pública o invitación a cuando menos tres proveedores, i) número de funcionarios públicos y empleados involucrados para realizar los eventos, rango, nivel salarial y nombre de los puestos y; k) Gasto por renta de carpa, actores y alimentos.</w:t>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a través de la Secretaría del Ayuntamiento refirió en lo que respecta a los incisos a), e), i) y k) que, después de una búsqueda minuciosa realizada en los libros de actas de Cabildo, no se localizó información concerniente a la referida. Lo anterior, de conformidad con los artículos 12, párrafo segundo, 19 de la Ley de Transparencia y Acceso a la Información Pública del Estado de México y Municipios; y 91, fracción IV de la Ley Orgánica Municipal del Estado de México. </w:t>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Tesorería Municipal, refirió que en lo que respecta al inciso k), que en lo que respecta a la renta de carpas, actores y alimentos para la gira de reyes, no se encontró información que aplique a sus especificaciones. </w:t>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por la respuesta otorgada, por lo que, en atención, el Sujeto Obligado mediante informe justificado refirió, a través de la Secretaría del Ayuntamiento que la información requerida en la solicitud antes mencionada, no obra en los archivos de esta dependencia general, en razón de que durante el periodo señalado, el Ayuntamiento de Chalco como órgano máximo de gobierno municipal, no ha desahogado y mucho menos aprobado en sesión de Cabildo, asuntos relacionados de manera específica con el programa o evento denominado: "Gira de los Reyes Magos".</w:t>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lo que, en principio, se encontraron diversas publicaciones respecto de la Gira de los Reyes Magos, tal como se observa a continuación: </w:t>
      </w:r>
    </w:p>
    <w:p w:rsidR="00000000" w:rsidDel="00000000" w:rsidP="00000000" w:rsidRDefault="00000000" w:rsidRPr="00000000" w14:paraId="0000015E">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Gira de los Reyes Magos 2025</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14010" cy="3538012"/>
            <wp:effectExtent b="0" l="0" r="0" t="0"/>
            <wp:docPr id="7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14010" cy="3538012"/>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Gira de los Reyes Magos 2024</w:t>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91100" cy="2584571"/>
            <wp:effectExtent b="0" l="0" r="0" t="0"/>
            <wp:docPr id="7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491100" cy="2584571"/>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Gira de los Reyes Magos 2023 </w:t>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28443" cy="3248743"/>
            <wp:effectExtent b="0" l="0" r="0" t="0"/>
            <wp:docPr id="7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228443" cy="324874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Gira de los Reyes Magos 2022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127000</wp:posOffset>
                </wp:positionV>
                <wp:extent cx="2257425" cy="514350"/>
                <wp:effectExtent b="0" l="0" r="0" t="0"/>
                <wp:wrapNone/>
                <wp:docPr id="68" name=""/>
                <a:graphic>
                  <a:graphicData uri="http://schemas.microsoft.com/office/word/2010/wordprocessingShape">
                    <wps:wsp>
                      <wps:cNvSpPr/>
                      <wps:cNvPr id="2" name="Shape 2"/>
                      <wps:spPr>
                        <a:xfrm>
                          <a:off x="4312538" y="3618075"/>
                          <a:ext cx="2066925" cy="32385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127000</wp:posOffset>
                </wp:positionV>
                <wp:extent cx="2257425" cy="514350"/>
                <wp:effectExtent b="0" l="0" r="0" t="0"/>
                <wp:wrapNone/>
                <wp:docPr id="68"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2257425" cy="514350"/>
                        </a:xfrm>
                        <a:prstGeom prst="rect"/>
                        <a:ln/>
                      </pic:spPr>
                    </pic:pic>
                  </a:graphicData>
                </a:graphic>
              </wp:anchor>
            </w:drawing>
          </mc:Fallback>
        </mc:AlternateContent>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11944" cy="3105844"/>
            <wp:effectExtent b="0" l="0" r="0" t="0"/>
            <wp:docPr id="7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111944" cy="3105844"/>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Gira de los Reyes Magos 2020</w:t>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1276"/>
          <w:tab w:val="left" w:leader="none" w:pos="8505"/>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05796" cy="3461697"/>
            <wp:effectExtent b="0" l="0" r="0" t="0"/>
            <wp:docPr id="7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405796" cy="3461697"/>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numPr>
          <w:ilvl w:val="0"/>
          <w:numId w:val="2"/>
        </w:numPr>
        <w:pBdr>
          <w:top w:space="0" w:sz="0" w:val="nil"/>
          <w:left w:space="0" w:sz="0" w:val="nil"/>
          <w:bottom w:space="0" w:sz="0" w:val="nil"/>
          <w:right w:space="0" w:sz="0" w:val="nil"/>
          <w:between w:space="0" w:sz="0" w:val="nil"/>
        </w:pBdr>
        <w:tabs>
          <w:tab w:val="left" w:leader="none" w:pos="1276"/>
        </w:tabs>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Gira de los Reyes Magos 2019</w:t>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00152" cy="3195079"/>
            <wp:effectExtent b="0" l="0" r="0" t="0"/>
            <wp:docPr id="7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700152" cy="3195079"/>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respecto al 2021, no se advierte que se haya llevado a cabo la Gira de Día de los Reyes por cuestión de la pandemia Covid-19, por lo que, únicamente se encontró un “en vivo” en la página oficial del Ayuntamiento en Facebook, donde se transmitió el día de Reyes Mayos con el #QuédateEnCasa, tal como se observa:</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067743" cy="828791"/>
            <wp:effectExtent b="0" l="0" r="0" t="0"/>
            <wp:docPr id="7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067743" cy="828791"/>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left" w:leader="none" w:pos="1276"/>
        </w:tabs>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992223" cy="2493519"/>
            <wp:effectExtent b="0" l="0" r="0" t="0"/>
            <wp:docPr id="80"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992223" cy="2493519"/>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debido a que se encontraron indicios de las Giras de Día de Los Reyes llevada a cabo en los años 2019, 2020, 2022, 2023, 2024 y 2025, resulta dable ordenar una nueva búsqueda exhaustiva y razonable, con la finalidad de que, se entreguen los documentos donde conste lo siguiente: autoridad responsable de autorizar el gasto de estos programas y el documento que lo avale, el tipo de adjudicación (licitación pública, adjudicación directa o invitación restringida), el número de funcionarios públicos y empleados involucrados para realizar los eventos, rango, nivel salarial y puestos, así como, el gasto por renta de carpa, actores y alimentos.</w:t>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que, para el caso de que, no cuente con la información relacionada con el gasto por renta de carpa, actores y alimentos, por no haberse generado dicha información, bastará con que lo haga de conocimiento de la parte Recurrente, en términos del párrafo segundo del artículo 19 de la Ley de Transparencia y Acceso a la Información Pública del Estado de México y Municipios. </w:t>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considera que las razones y motivos de inconformidad devienen </w:t>
      </w:r>
      <w:r w:rsidDel="00000000" w:rsidR="00000000" w:rsidRPr="00000000">
        <w:rPr>
          <w:rFonts w:ascii="Palatino Linotype" w:cs="Palatino Linotype" w:eastAsia="Palatino Linotype" w:hAnsi="Palatino Linotype"/>
          <w:b w:val="1"/>
          <w:rtl w:val="0"/>
        </w:rPr>
        <w:t xml:space="preserve">FUNDADOS </w:t>
      </w:r>
      <w:r w:rsidDel="00000000" w:rsidR="00000000" w:rsidRPr="00000000">
        <w:rPr>
          <w:rFonts w:ascii="Palatino Linotype" w:cs="Palatino Linotype" w:eastAsia="Palatino Linotype" w:hAnsi="Palatino Linotype"/>
          <w:rtl w:val="0"/>
        </w:rPr>
        <w:t xml:space="preserve">y por ende,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Sujeto Obligado y, se le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lo siguiente: </w:t>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leader="none" w:pos="1276"/>
        </w:tabs>
        <w:spacing w:after="0" w:line="360" w:lineRule="auto"/>
        <w:ind w:left="284" w:right="-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De la carpa colocada en el Centro Histórico de Chalco, de los años 2019 al seis de febrero de 2025, la siguiente información: </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77">
      <w:pPr>
        <w:numPr>
          <w:ilvl w:val="0"/>
          <w:numId w:val="3"/>
        </w:numPr>
        <w:pBdr>
          <w:top w:space="0" w:sz="0" w:val="nil"/>
          <w:left w:space="0" w:sz="0" w:val="nil"/>
          <w:bottom w:space="0" w:sz="0" w:val="nil"/>
          <w:right w:space="0" w:sz="0" w:val="nil"/>
          <w:between w:space="0" w:sz="0" w:val="nil"/>
        </w:pBdr>
        <w:tabs>
          <w:tab w:val="left" w:leader="none" w:pos="851"/>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Motivo de la adjudicación de la carpa. </w:t>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Población beneficiada </w:t>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Nombre del proveedor persona física o moral adjudicado. </w:t>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Tipo de adjudicación (licitación pública, invitación restringida o adjudicación directa) </w:t>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Contratos y facturas </w:t>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Documento donde conste el beneficio para el pueblo </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Documento donde conste la adjudicación. </w:t>
      </w:r>
    </w:p>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h) Cotizaciones y/o estudio de mercado.</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leader="none" w:pos="720"/>
        </w:tabs>
        <w:spacing w:after="0" w:line="360" w:lineRule="auto"/>
        <w:ind w:left="567" w:right="-2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left" w:leader="none" w:pos="1276"/>
        </w:tabs>
        <w:spacing w:after="0" w:line="360" w:lineRule="auto"/>
        <w:ind w:left="284" w:right="-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De la Gira de Día de Los Reyes llevada a cabo en los años 2019, 2020, 2022, 2023, 2024 al seis de febrero de 2025, el documento donde conste lo siguiente: </w:t>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2">
      <w:pPr>
        <w:numPr>
          <w:ilvl w:val="0"/>
          <w:numId w:val="4"/>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Autoridad responsable de autorizar el gasto de estos programas y el documento que lo avale. </w:t>
      </w:r>
    </w:p>
    <w:p w:rsidR="00000000" w:rsidDel="00000000" w:rsidP="00000000" w:rsidRDefault="00000000" w:rsidRPr="00000000" w14:paraId="00000183">
      <w:pPr>
        <w:numPr>
          <w:ilvl w:val="0"/>
          <w:numId w:val="4"/>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Tipo de adjudicación (licitación pública, adjudicación directa o invitación restringida) </w:t>
      </w:r>
    </w:p>
    <w:p w:rsidR="00000000" w:rsidDel="00000000" w:rsidP="00000000" w:rsidRDefault="00000000" w:rsidRPr="00000000" w14:paraId="00000184">
      <w:pPr>
        <w:numPr>
          <w:ilvl w:val="0"/>
          <w:numId w:val="4"/>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número de servidores públicos encargados de realizar los eventos, rango, nivel salarial y puestos.</w:t>
      </w:r>
    </w:p>
    <w:p w:rsidR="00000000" w:rsidDel="00000000" w:rsidP="00000000" w:rsidRDefault="00000000" w:rsidRPr="00000000" w14:paraId="00000185">
      <w:pPr>
        <w:numPr>
          <w:ilvl w:val="0"/>
          <w:numId w:val="4"/>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Gasto por renta de carpa, actores y alimentos.</w:t>
      </w:r>
    </w:p>
    <w:p w:rsidR="00000000" w:rsidDel="00000000" w:rsidP="00000000" w:rsidRDefault="00000000" w:rsidRPr="00000000" w14:paraId="00000186">
      <w:pPr>
        <w:tabs>
          <w:tab w:val="left" w:leader="none" w:pos="720"/>
        </w:tabs>
        <w:spacing w:after="0"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tabs>
          <w:tab w:val="left" w:leader="none" w:pos="720"/>
        </w:tabs>
        <w:spacing w:after="0" w:line="276" w:lineRule="auto"/>
        <w:ind w:left="567" w:right="-2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720"/>
        </w:tabs>
        <w:spacing w:after="0" w:line="276" w:lineRule="auto"/>
        <w:ind w:left="567" w:right="-2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tabs>
          <w:tab w:val="left" w:leader="none" w:pos="720"/>
        </w:tabs>
        <w:spacing w:after="0" w:line="276" w:lineRule="auto"/>
        <w:ind w:left="567" w:right="-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Siendo que, en el supuesto que la información ordenada en el inciso b), f) del punto 1), por no haberse generado, o bien, porque en algún año de los que se ordena la información no se haya instalado la carpa y; del punto 2), inciso l) no cuente con la información porque esta tampoco se generó,  bastará con que así se haga del conocimiento de </w:t>
      </w:r>
      <w:r w:rsidDel="00000000" w:rsidR="00000000" w:rsidRPr="00000000">
        <w:rPr>
          <w:rFonts w:ascii="Palatino Linotype" w:cs="Palatino Linotype" w:eastAsia="Palatino Linotype" w:hAnsi="Palatino Linotype"/>
          <w:b w:val="1"/>
          <w:i w:val="1"/>
          <w:rtl w:val="0"/>
        </w:rPr>
        <w:t xml:space="preserve">LA PARTE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en términos del artículo 19, párrafo segundo de la Ley de Transparencia y Acceso a la Información Pública del Estado de México y Municipios.</w:t>
      </w:r>
    </w:p>
    <w:p w:rsidR="00000000" w:rsidDel="00000000" w:rsidP="00000000" w:rsidRDefault="00000000" w:rsidRPr="00000000" w14:paraId="0000018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no cuente con la información relacionada con los puntos b) y  f), o bien, en alguna temporalidad referida no se haya instalado la carpa, bastará con que lo haga de conocimiento de la parte Recurrente, en términos del párrafo segundo del artículo 19 de la Ley de Transparencia y Acceso a la Información Pública del Estado de México y Municipios. </w:t>
      </w:r>
    </w:p>
    <w:p w:rsidR="00000000" w:rsidDel="00000000" w:rsidP="00000000" w:rsidRDefault="00000000" w:rsidRPr="00000000" w14:paraId="0000018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8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9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92">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9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9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9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9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9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9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9C">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9D">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9E">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9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A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A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A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A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A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A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A6">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A8">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1A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B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B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B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B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B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B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B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1C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C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C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C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C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C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C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C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C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CA">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C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02329/INFOEM/IP/RR/2025</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00028/CHALCO/IP/2025.</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C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D0">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D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02329/INFOEM/IP/RR/2025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entregue vía Sistema de Acceso a la Información Mexiquense, previa búsqueda exhaustiva y razonable, de ser el caso en versión pública, la siguiente información: </w:t>
      </w:r>
    </w:p>
    <w:p w:rsidR="00000000" w:rsidDel="00000000" w:rsidP="00000000" w:rsidRDefault="00000000" w:rsidRPr="00000000" w14:paraId="000001D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leader="none" w:pos="1276"/>
        </w:tabs>
        <w:spacing w:after="0" w:line="360" w:lineRule="auto"/>
        <w:ind w:left="284" w:right="-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De la carpa colocada en el Centro Histórico de Chalco, de los años 2019 al seis de febrero de 2025, el documento donde conste la siguiente información: </w:t>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left" w:leader="none" w:pos="1276"/>
        </w:tabs>
        <w:spacing w:after="0" w:line="360" w:lineRule="auto"/>
        <w:ind w:left="720" w:right="-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left" w:leader="none" w:pos="851"/>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Motivo de la adjudicación de la carpa. </w:t>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Población beneficiada </w:t>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Nombre del proveedor persona física o moral adjudicado. </w:t>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Tipo de adjudicación (licitación pública, invitación restringida o adjudicación directa) </w:t>
      </w:r>
    </w:p>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Contratos y facturas </w:t>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Documento donde conste el beneficio para el pueblo </w:t>
      </w:r>
    </w:p>
    <w:p w:rsidR="00000000" w:rsidDel="00000000" w:rsidP="00000000" w:rsidRDefault="00000000" w:rsidRPr="00000000" w14:paraId="000001DD">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Documento donde conste la adjudicación. </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7"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h) Cotizaciones y/o estudio de mercado.</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left" w:leader="none" w:pos="720"/>
        </w:tabs>
        <w:spacing w:after="0" w:line="360" w:lineRule="auto"/>
        <w:ind w:left="567" w:right="-2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left" w:leader="none" w:pos="1276"/>
        </w:tabs>
        <w:spacing w:after="0" w:line="360" w:lineRule="auto"/>
        <w:ind w:left="284" w:right="-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De la Gira de Día de Los Reyes llevada a cabo en los años 2019, 2020, 2022, 2023, 2024 al seis de febrero de 2025, el documento donde conste lo siguiente: </w:t>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numPr>
          <w:ilvl w:val="0"/>
          <w:numId w:val="5"/>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1288" w:right="-7"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Autoridad responsable de autorizar el gasto de estos programas y el documento que lo avale. </w:t>
      </w:r>
    </w:p>
    <w:p w:rsidR="00000000" w:rsidDel="00000000" w:rsidP="00000000" w:rsidRDefault="00000000" w:rsidRPr="00000000" w14:paraId="000001E3">
      <w:pPr>
        <w:numPr>
          <w:ilvl w:val="0"/>
          <w:numId w:val="5"/>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Tipo de adjudicación (licitación pública, adjudicación directa o invitación restringida) </w:t>
      </w:r>
    </w:p>
    <w:p w:rsidR="00000000" w:rsidDel="00000000" w:rsidP="00000000" w:rsidRDefault="00000000" w:rsidRPr="00000000" w14:paraId="000001E4">
      <w:pPr>
        <w:numPr>
          <w:ilvl w:val="0"/>
          <w:numId w:val="5"/>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número de servidores públicos encargados de realizar los eventos, rango, nivel salarial y puestos.</w:t>
      </w:r>
    </w:p>
    <w:p w:rsidR="00000000" w:rsidDel="00000000" w:rsidP="00000000" w:rsidRDefault="00000000" w:rsidRPr="00000000" w14:paraId="000001E5">
      <w:pPr>
        <w:numPr>
          <w:ilvl w:val="0"/>
          <w:numId w:val="5"/>
        </w:numPr>
        <w:pBdr>
          <w:top w:space="0" w:sz="0" w:val="nil"/>
          <w:left w:space="0" w:sz="0" w:val="nil"/>
          <w:bottom w:space="0" w:sz="0" w:val="nil"/>
          <w:right w:space="0" w:sz="0" w:val="nil"/>
          <w:between w:space="0" w:sz="0" w:val="nil"/>
        </w:pBdr>
        <w:tabs>
          <w:tab w:val="left" w:leader="none" w:pos="851"/>
          <w:tab w:val="left" w:leader="none" w:pos="1276"/>
        </w:tabs>
        <w:spacing w:after="0" w:line="360" w:lineRule="auto"/>
        <w:ind w:left="567" w:right="-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Gasto por renta de carpa, actores y alimentos.</w:t>
      </w:r>
    </w:p>
    <w:p w:rsidR="00000000" w:rsidDel="00000000" w:rsidP="00000000" w:rsidRDefault="00000000" w:rsidRPr="00000000" w14:paraId="000001E6">
      <w:pPr>
        <w:tabs>
          <w:tab w:val="left" w:leader="none" w:pos="720"/>
        </w:tabs>
        <w:spacing w:after="0"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7">
      <w:pPr>
        <w:tabs>
          <w:tab w:val="left" w:leader="none" w:pos="720"/>
        </w:tabs>
        <w:spacing w:after="0" w:line="276" w:lineRule="auto"/>
        <w:ind w:left="567" w:right="-2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left" w:leader="none" w:pos="720"/>
        </w:tabs>
        <w:spacing w:after="0" w:line="276" w:lineRule="auto"/>
        <w:ind w:left="567" w:right="-2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9">
      <w:pPr>
        <w:tabs>
          <w:tab w:val="left" w:leader="none" w:pos="720"/>
        </w:tabs>
        <w:spacing w:after="0" w:line="276" w:lineRule="auto"/>
        <w:ind w:left="567" w:right="-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Siendo que, en el supuesto que la información ordenada en el inciso b), f) del punto 1), por no haberse generado, o bien, porque en algún año de los que se ordena la información no se haya instalado la carpa y; del punto 2), inciso l) no cuente con la información porque esta tampoco se generó,  bastará con que así se haga del conocimiento de </w:t>
      </w:r>
      <w:r w:rsidDel="00000000" w:rsidR="00000000" w:rsidRPr="00000000">
        <w:rPr>
          <w:rFonts w:ascii="Palatino Linotype" w:cs="Palatino Linotype" w:eastAsia="Palatino Linotype" w:hAnsi="Palatino Linotype"/>
          <w:b w:val="1"/>
          <w:i w:val="1"/>
          <w:rtl w:val="0"/>
        </w:rPr>
        <w:t xml:space="preserve">LA PARTE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en términos del artículo 19, párrafo segundo de la Ley de Transparencia y Acceso a la Información Pública del Estado de México y Municipios.</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E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E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F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1">
      <w:pPr>
        <w:spacing w:after="0" w:line="360" w:lineRule="auto"/>
        <w:ind w:right="49"/>
        <w:jc w:val="both"/>
        <w:rPr>
          <w:rFonts w:ascii="Palatino Linotype" w:cs="Palatino Linotype" w:eastAsia="Palatino Linotype" w:hAnsi="Palatino Linotype"/>
        </w:rPr>
      </w:pPr>
      <w:bookmarkStart w:colFirst="0" w:colLast="0" w:name="_heading=h.ft0lk5x6cqyh"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DÉCIMA OCTAVA SESIÓN ORDINARIA CELEBRADA EL VEINTIUNO DE MAYO DE DOS MIL VEINTICINCO, ANTE EL SECRETARIO TÉCNICO DEL PLENO ALEXIS TAPIA RAMÍREZ.</w:t>
      </w:r>
    </w:p>
    <w:p w:rsidR="00000000" w:rsidDel="00000000" w:rsidP="00000000" w:rsidRDefault="00000000" w:rsidRPr="00000000" w14:paraId="000001F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5">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02329/INFOEM/IP/RR/2025</w:t>
          </w:r>
        </w:p>
      </w:tc>
    </w:tr>
    <w:tr>
      <w:trPr>
        <w:cantSplit w:val="0"/>
        <w:trHeight w:val="55" w:hRule="atLeast"/>
        <w:tblHeader w:val="0"/>
      </w:trPr>
      <w:tc>
        <w:tcPr>
          <w:vAlign w:val="center"/>
        </w:tcPr>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drawing>
              <wp:anchor allowOverlap="1" behindDoc="1" distB="0" distT="0" distL="0" distR="0" hidden="0" layoutInCell="1" locked="0" relativeHeight="0" simplePos="0">
                <wp:simplePos x="0" y="0"/>
                <wp:positionH relativeFrom="column">
                  <wp:posOffset>-3257545</wp:posOffset>
                </wp:positionH>
                <wp:positionV relativeFrom="paragraph">
                  <wp:posOffset>-835019</wp:posOffset>
                </wp:positionV>
                <wp:extent cx="7809865" cy="10165715"/>
                <wp:effectExtent b="0" l="0" r="0" t="0"/>
                <wp:wrapNone/>
                <wp:docPr id="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c>
        <w:tcPr>
          <w:vAlign w:val="center"/>
        </w:tcPr>
        <w:p w:rsidR="00000000" w:rsidDel="00000000" w:rsidP="00000000" w:rsidRDefault="00000000" w:rsidRPr="00000000" w14:paraId="0000020A">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Ayuntamiento de Chalco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-856609</wp:posOffset>
          </wp:positionH>
          <wp:positionV relativeFrom="paragraph">
            <wp:posOffset>-318764</wp:posOffset>
          </wp:positionV>
          <wp:extent cx="7809876" cy="10165823"/>
          <wp:effectExtent b="0" l="0" r="0" t="0"/>
          <wp:wrapNone/>
          <wp:docPr id="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02329/INFOEM/IP/RR/2025</w:t>
          </w:r>
        </w:p>
      </w:tc>
    </w:tr>
    <w:tr>
      <w:trPr>
        <w:cantSplit w:val="0"/>
        <w:tblHeader w:val="0"/>
      </w:trPr>
      <w:tc>
        <w:tcPr>
          <w:vAlign w:val="center"/>
        </w:tcPr>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w:t>
          </w:r>
        </w:p>
      </w:tc>
    </w:tr>
    <w:tr>
      <w:trPr>
        <w:cantSplit w:val="0"/>
        <w:trHeight w:val="152" w:hRule="atLeast"/>
        <w:tblHeader w:val="0"/>
      </w:trPr>
      <w:tc>
        <w:tcPr>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Chalco</w:t>
          </w:r>
        </w:p>
      </w:tc>
    </w:tr>
    <w:tr>
      <w:trPr>
        <w:cantSplit w:val="0"/>
        <w:tblHeader w:val="0"/>
      </w:trPr>
      <w:tc>
        <w:tcPr>
          <w:vAlign w:val="center"/>
        </w:tcPr>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9"/>
      <w:numFmt w:val="lowerLetter"/>
      <w:lvlText w:val="%1)"/>
      <w:lvlJc w:val="left"/>
      <w:pPr>
        <w:ind w:left="1288" w:hanging="71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9"/>
      <w:numFmt w:val="lowerLetter"/>
      <w:lvlText w:val="%1)"/>
      <w:lvlJc w:val="left"/>
      <w:pPr>
        <w:ind w:left="1288" w:hanging="71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99"/>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top w:w="15.0" w:type="dxa"/>
        <w:left w:w="15.0" w:type="dxa"/>
        <w:bottom w:w="15.0" w:type="dxa"/>
        <w:right w:w="15.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top w:w="15.0" w:type="dxa"/>
        <w:left w:w="115.0" w:type="dxa"/>
        <w:bottom w:w="15.0" w:type="dxa"/>
        <w:right w:w="115.0" w:type="dxa"/>
      </w:tblCellMar>
    </w:tblPr>
  </w:style>
  <w:style w:type="table" w:styleId="a3" w:customStyle="1">
    <w:basedOn w:val="TableNormal4"/>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table" w:styleId="Tabladelista1clara-nfasis11" w:customStyle="1">
    <w:name w:val="Tabla de lista 1 clara - Énfasis 11"/>
    <w:basedOn w:val="Tablanormal"/>
    <w:uiPriority w:val="46"/>
    <w:rsid w:val="005A6642"/>
    <w:pPr>
      <w:spacing w:after="0" w:line="240" w:lineRule="auto"/>
    </w:pPr>
    <w:rPr>
      <w:rFonts w:ascii="Times New Roman" w:cs="Times New Roman" w:eastAsia="MS Mincho" w:hAnsi="Times New Roman"/>
      <w:sz w:val="24"/>
      <w:szCs w:val="24"/>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Sinespaciado">
    <w:name w:val="No Spacing"/>
    <w:aliases w:val="Francesa,INAI"/>
    <w:link w:val="SinespaciadoCar"/>
    <w:uiPriority w:val="1"/>
    <w:qFormat w:val="1"/>
    <w:rsid w:val="00792DEA"/>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792DEA"/>
    <w:rPr>
      <w:rFonts w:ascii="Times New Roman" w:cs="Times New Roman" w:eastAsia="Times New Roman" w:hAnsi="Times New Roman"/>
      <w:sz w:val="24"/>
      <w:szCs w:val="24"/>
      <w:lang w:eastAsia="es-ES" w:val="es-ES"/>
    </w:rPr>
  </w:style>
  <w:style w:type="table" w:styleId="a5" w:customStyle="1">
    <w:basedOn w:val="TableNormal3"/>
    <w:pPr>
      <w:spacing w:after="0" w:line="240" w:lineRule="auto"/>
    </w:pPr>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top w:w="15.0" w:type="dxa"/>
        <w:left w:w="115.0" w:type="dxa"/>
        <w:bottom w:w="15.0" w:type="dxa"/>
        <w:right w:w="115.0" w:type="dxa"/>
      </w:tblCellMar>
    </w:tblPr>
  </w:style>
  <w:style w:type="table" w:styleId="a7" w:customStyle="1">
    <w:basedOn w:val="TableNormal3"/>
    <w:tblPr>
      <w:tblStyleRowBandSize w:val="1"/>
      <w:tblStyleColBandSize w:val="1"/>
      <w:tblCellMar>
        <w:top w:w="15.0" w:type="dxa"/>
        <w:left w:w="115.0" w:type="dxa"/>
        <w:bottom w:w="15.0" w:type="dxa"/>
        <w:right w:w="115.0" w:type="dxa"/>
      </w:tblCellMar>
    </w:tblPr>
  </w:style>
  <w:style w:type="table" w:styleId="a8" w:customStyle="1">
    <w:basedOn w:val="TableNormal2"/>
    <w:pPr>
      <w:spacing w:after="0" w:line="240" w:lineRule="auto"/>
    </w:pPr>
    <w:tblPr>
      <w:tblStyleRowBandSize w:val="1"/>
      <w:tblStyleColBandSize w:val="1"/>
      <w:tblCellMar>
        <w:left w:w="108.0" w:type="dxa"/>
        <w:right w:w="108.0" w:type="dxa"/>
      </w:tblCellMar>
    </w:tblPr>
  </w:style>
  <w:style w:type="table" w:styleId="a9" w:customStyle="1">
    <w:basedOn w:val="TableNormal2"/>
    <w:tblPr>
      <w:tblStyleRowBandSize w:val="1"/>
      <w:tblStyleColBandSize w:val="1"/>
      <w:tblCellMar>
        <w:top w:w="15.0" w:type="dxa"/>
        <w:left w:w="115.0" w:type="dxa"/>
        <w:bottom w:w="15.0" w:type="dxa"/>
        <w:right w:w="115.0" w:type="dxa"/>
      </w:tblCellMar>
    </w:tblPr>
  </w:style>
  <w:style w:type="table" w:styleId="aa" w:customStyle="1">
    <w:basedOn w:val="TableNormal2"/>
    <w:tblPr>
      <w:tblStyleRowBandSize w:val="1"/>
      <w:tblStyleColBandSize w:val="1"/>
      <w:tblCellMar>
        <w:top w:w="15.0" w:type="dxa"/>
        <w:left w:w="115.0" w:type="dxa"/>
        <w:bottom w:w="15.0" w:type="dxa"/>
        <w:right w:w="115.0" w:type="dxa"/>
      </w:tblCellMar>
    </w:tblPr>
  </w:style>
  <w:style w:type="table" w:styleId="ab" w:customStyle="1">
    <w:basedOn w:val="TableNormal1"/>
    <w:pPr>
      <w:spacing w:after="0" w:line="240" w:lineRule="auto"/>
    </w:pPr>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top w:w="15.0" w:type="dxa"/>
        <w:left w:w="115.0" w:type="dxa"/>
        <w:bottom w:w="15.0" w:type="dxa"/>
        <w:right w:w="115.0" w:type="dxa"/>
      </w:tblCellMar>
    </w:tblPr>
  </w:style>
  <w:style w:type="table" w:styleId="ad" w:customStyle="1">
    <w:basedOn w:val="TableNormal1"/>
    <w:tblPr>
      <w:tblStyleRowBandSize w:val="1"/>
      <w:tblStyleColBandSize w:val="1"/>
      <w:tblCellMar>
        <w:top w:w="15.0" w:type="dxa"/>
        <w:left w:w="115.0" w:type="dxa"/>
        <w:bottom w:w="15.0" w:type="dxa"/>
        <w:right w:w="115.0" w:type="dxa"/>
      </w:tblCellMar>
    </w:tblPr>
  </w:style>
  <w:style w:type="table" w:styleId="ae" w:customStyle="1">
    <w:basedOn w:val="TableNormal0"/>
    <w:pPr>
      <w:spacing w:after="0" w:line="240" w:lineRule="auto"/>
    </w:pPr>
    <w:tblPr>
      <w:tblStyleRowBandSize w:val="1"/>
      <w:tblStyleColBandSize w:val="1"/>
      <w:tblCellMar>
        <w:left w:w="108.0" w:type="dxa"/>
        <w:right w:w="108.0" w:type="dxa"/>
      </w:tblCellMar>
    </w:tblPr>
  </w:style>
  <w:style w:type="table" w:styleId="af" w:customStyle="1">
    <w:basedOn w:val="TableNormal0"/>
    <w:tblPr>
      <w:tblStyleRowBandSize w:val="1"/>
      <w:tblStyleColBandSize w:val="1"/>
      <w:tblCellMar>
        <w:top w:w="15.0" w:type="dxa"/>
        <w:left w:w="115.0" w:type="dxa"/>
        <w:bottom w:w="15.0" w:type="dxa"/>
        <w:right w:w="115.0" w:type="dxa"/>
      </w:tblCellMar>
    </w:tblPr>
  </w:style>
  <w:style w:type="table" w:styleId="af0"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hyperlink" Target="http://www.contraloriadf.gob.mx/contraloria/cursos/ADQUISICIONES/paginas/32.php#:~:text=Es%20un%20procedimiento%20administrativo%2C%20de,tres%20oferentes%20a%20presentar%20propuestas%2C" TargetMode="External"/><Relationship Id="rId21"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11.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b.mx/sfp/acciones-y-programas/1-3-3-adjudicacion-directa" TargetMode="External"/><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10.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lHvId/b8MQ+upS2na/5iSBU6KA==">CgMxLjAyCWguMzBqMHpsbDIOaC5zNGQ4NTB2dTcxM28yDmgudXQ4N2c5OWY5d2FjMg5oLmZ0MGxrNXg2Y3F5aDgAciExWTRsZnNDM3RTLWFINDYxSkxfaUlSeXZQVkk0VnE4N1A=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2025-06-03T23:47:00Z</dcterms:created>
  <dc:creator>Cuenta Microsoft</dc:creator>
</cp:coreProperties>
</file>