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B8F33" w14:textId="77777777" w:rsidR="00DD2398" w:rsidRPr="00907942" w:rsidRDefault="00D05599">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90794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907942">
        <w:rPr>
          <w:rFonts w:ascii="Palatino Linotype" w:eastAsia="Palatino Linotype" w:hAnsi="Palatino Linotype" w:cs="Palatino Linotype"/>
          <w:b/>
          <w:sz w:val="22"/>
          <w:szCs w:val="22"/>
        </w:rPr>
        <w:t>a dieciocho de junio de dos mil veinticinco</w:t>
      </w:r>
      <w:r w:rsidRPr="00907942">
        <w:rPr>
          <w:rFonts w:ascii="Palatino Linotype" w:eastAsia="Palatino Linotype" w:hAnsi="Palatino Linotype" w:cs="Palatino Linotype"/>
          <w:sz w:val="22"/>
          <w:szCs w:val="22"/>
        </w:rPr>
        <w:t xml:space="preserve">. </w:t>
      </w:r>
    </w:p>
    <w:p w14:paraId="748156B0" w14:textId="123C6F0B" w:rsidR="00DD2398" w:rsidRPr="00907942" w:rsidRDefault="00D05599">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907942">
        <w:rPr>
          <w:rFonts w:ascii="Palatino Linotype" w:eastAsia="Palatino Linotype" w:hAnsi="Palatino Linotype" w:cs="Palatino Linotype"/>
          <w:b/>
          <w:sz w:val="22"/>
          <w:szCs w:val="22"/>
        </w:rPr>
        <w:t>Visto</w:t>
      </w:r>
      <w:r w:rsidRPr="00907942">
        <w:rPr>
          <w:rFonts w:ascii="Palatino Linotype" w:eastAsia="Palatino Linotype" w:hAnsi="Palatino Linotype" w:cs="Palatino Linotype"/>
          <w:sz w:val="22"/>
          <w:szCs w:val="22"/>
        </w:rPr>
        <w:t xml:space="preserve"> el expediente formado con motivo del recurso de revisión </w:t>
      </w:r>
      <w:r w:rsidRPr="00907942">
        <w:rPr>
          <w:rFonts w:ascii="Palatino Linotype" w:eastAsia="Palatino Linotype" w:hAnsi="Palatino Linotype" w:cs="Palatino Linotype"/>
          <w:b/>
          <w:sz w:val="22"/>
          <w:szCs w:val="22"/>
        </w:rPr>
        <w:t>03329/INFOEM/IP/RR/2025</w:t>
      </w:r>
      <w:r w:rsidRPr="00907942">
        <w:rPr>
          <w:rFonts w:ascii="Palatino Linotype" w:eastAsia="Palatino Linotype" w:hAnsi="Palatino Linotype" w:cs="Palatino Linotype"/>
          <w:sz w:val="22"/>
          <w:szCs w:val="22"/>
        </w:rPr>
        <w:t xml:space="preserve">, interpuesto por </w:t>
      </w:r>
      <w:r w:rsidR="00CD47F8">
        <w:rPr>
          <w:rFonts w:ascii="Palatino Linotype" w:eastAsia="Palatino Linotype" w:hAnsi="Palatino Linotype" w:cs="Palatino Linotype"/>
          <w:b/>
          <w:sz w:val="22"/>
          <w:szCs w:val="22"/>
        </w:rPr>
        <w:t>X XXXX</w:t>
      </w:r>
      <w:r w:rsidRPr="00907942">
        <w:rPr>
          <w:rFonts w:ascii="Palatino Linotype" w:eastAsia="Palatino Linotype" w:hAnsi="Palatino Linotype" w:cs="Palatino Linotype"/>
          <w:b/>
          <w:sz w:val="22"/>
          <w:szCs w:val="22"/>
        </w:rPr>
        <w:t>,</w:t>
      </w:r>
      <w:r w:rsidRPr="00907942">
        <w:rPr>
          <w:rFonts w:ascii="Palatino Linotype" w:eastAsia="Palatino Linotype" w:hAnsi="Palatino Linotype" w:cs="Palatino Linotype"/>
          <w:sz w:val="22"/>
          <w:szCs w:val="22"/>
        </w:rPr>
        <w:t xml:space="preserve"> en lo sucesivo</w:t>
      </w:r>
      <w:r w:rsidRPr="00907942">
        <w:rPr>
          <w:rFonts w:ascii="Palatino Linotype" w:eastAsia="Palatino Linotype" w:hAnsi="Palatino Linotype" w:cs="Palatino Linotype"/>
          <w:b/>
          <w:sz w:val="22"/>
          <w:szCs w:val="22"/>
        </w:rPr>
        <w:t xml:space="preserve"> la parte</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en contra de la respuesta a su solicitud por parte del </w:t>
      </w:r>
      <w:r w:rsidRPr="00907942">
        <w:rPr>
          <w:rFonts w:ascii="Palatino Linotype" w:eastAsia="Palatino Linotype" w:hAnsi="Palatino Linotype" w:cs="Palatino Linotype"/>
          <w:b/>
          <w:sz w:val="21"/>
          <w:szCs w:val="21"/>
        </w:rPr>
        <w:t>Ayuntamiento de Otzolotepec</w:t>
      </w:r>
      <w:r w:rsidRPr="00907942">
        <w:rPr>
          <w:rFonts w:ascii="Palatino Linotype" w:eastAsia="Palatino Linotype" w:hAnsi="Palatino Linotype" w:cs="Palatino Linotype"/>
          <w:sz w:val="22"/>
          <w:szCs w:val="22"/>
        </w:rPr>
        <w:t>,</w:t>
      </w:r>
      <w:r w:rsidRPr="00907942">
        <w:rPr>
          <w:rFonts w:ascii="Palatino Linotype" w:eastAsia="Palatino Linotype" w:hAnsi="Palatino Linotype" w:cs="Palatino Linotype"/>
          <w:b/>
          <w:sz w:val="22"/>
          <w:szCs w:val="22"/>
        </w:rPr>
        <w:t xml:space="preserve"> </w:t>
      </w:r>
      <w:r w:rsidRPr="00907942">
        <w:rPr>
          <w:rFonts w:ascii="Palatino Linotype" w:eastAsia="Palatino Linotype" w:hAnsi="Palatino Linotype" w:cs="Palatino Linotype"/>
          <w:sz w:val="22"/>
          <w:szCs w:val="22"/>
        </w:rPr>
        <w:t xml:space="preserve">en lo sucesivo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 xml:space="preserve">se procede a dictar la presente resolución con base en los siguientes: </w:t>
      </w:r>
    </w:p>
    <w:p w14:paraId="20E7A2DD" w14:textId="77777777" w:rsidR="00DD2398" w:rsidRPr="00907942" w:rsidRDefault="00D05599">
      <w:pPr>
        <w:spacing w:before="240" w:after="240" w:line="360" w:lineRule="auto"/>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I. A N T E C E D E N T E S</w:t>
      </w:r>
    </w:p>
    <w:p w14:paraId="715FB4C0"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1. Solicitud de acceso a la información.</w:t>
      </w:r>
      <w:r w:rsidRPr="00907942">
        <w:rPr>
          <w:rFonts w:ascii="Palatino Linotype" w:eastAsia="Palatino Linotype" w:hAnsi="Palatino Linotype" w:cs="Palatino Linotype"/>
          <w:sz w:val="22"/>
          <w:szCs w:val="22"/>
        </w:rPr>
        <w:t xml:space="preserve"> Con fecha </w:t>
      </w:r>
      <w:r w:rsidRPr="00907942">
        <w:rPr>
          <w:rFonts w:ascii="Palatino Linotype" w:eastAsia="Palatino Linotype" w:hAnsi="Palatino Linotype" w:cs="Palatino Linotype"/>
          <w:b/>
          <w:sz w:val="22"/>
          <w:szCs w:val="22"/>
        </w:rPr>
        <w:t>veintiséis de febrero de dos mil veinticinco</w:t>
      </w:r>
      <w:r w:rsidRPr="00907942">
        <w:rPr>
          <w:rFonts w:ascii="Palatino Linotype" w:eastAsia="Palatino Linotype" w:hAnsi="Palatino Linotype" w:cs="Palatino Linotype"/>
          <w:sz w:val="22"/>
          <w:szCs w:val="22"/>
        </w:rPr>
        <w:t xml:space="preserve">, la parte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a través del Sistema de Acceso a la Información Mexiquense, en lo subsecuente el SAIMEX, formuló solicitud de acceso a información pública al</w:t>
      </w:r>
      <w:r w:rsidRPr="00907942">
        <w:rPr>
          <w:rFonts w:ascii="Palatino Linotype" w:eastAsia="Palatino Linotype" w:hAnsi="Palatino Linotype" w:cs="Palatino Linotype"/>
          <w:b/>
          <w:sz w:val="22"/>
          <w:szCs w:val="22"/>
        </w:rPr>
        <w:t xml:space="preserve"> Sujeto Obligado</w:t>
      </w:r>
      <w:r w:rsidRPr="00907942">
        <w:rPr>
          <w:rFonts w:ascii="Palatino Linotype" w:eastAsia="Palatino Linotype" w:hAnsi="Palatino Linotype" w:cs="Palatino Linotype"/>
          <w:sz w:val="22"/>
          <w:szCs w:val="22"/>
        </w:rPr>
        <w:t>; misma a la que se le asignó el número</w:t>
      </w:r>
      <w:r w:rsidRPr="00907942">
        <w:t xml:space="preserve"> </w:t>
      </w:r>
      <w:r w:rsidRPr="00907942">
        <w:rPr>
          <w:rFonts w:ascii="Palatino Linotype" w:eastAsia="Palatino Linotype" w:hAnsi="Palatino Linotype" w:cs="Palatino Linotype"/>
          <w:b/>
          <w:sz w:val="22"/>
          <w:szCs w:val="22"/>
        </w:rPr>
        <w:t>00107/OTZOLOTE/IP/2025</w:t>
      </w:r>
      <w:r w:rsidRPr="00907942">
        <w:rPr>
          <w:rFonts w:ascii="Palatino Linotype" w:eastAsia="Palatino Linotype" w:hAnsi="Palatino Linotype" w:cs="Palatino Linotype"/>
          <w:sz w:val="22"/>
          <w:szCs w:val="22"/>
        </w:rPr>
        <w:t>, mediante la cual se requirió la información siguiente:</w:t>
      </w:r>
    </w:p>
    <w:p w14:paraId="7FA619FD" w14:textId="77777777" w:rsidR="00DD2398" w:rsidRPr="00907942" w:rsidRDefault="00D05599">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907942">
        <w:rPr>
          <w:rFonts w:ascii="Palatino Linotype" w:eastAsia="Palatino Linotype" w:hAnsi="Palatino Linotype" w:cs="Palatino Linotype"/>
          <w:i/>
          <w:sz w:val="22"/>
          <w:szCs w:val="22"/>
        </w:rPr>
        <w:t>“Solicitó documentación en versión pública referente a las siguientes temáticas: -</w:t>
      </w:r>
      <w:proofErr w:type="spellStart"/>
      <w:r w:rsidRPr="00907942">
        <w:rPr>
          <w:rFonts w:ascii="Palatino Linotype" w:eastAsia="Palatino Linotype" w:hAnsi="Palatino Linotype" w:cs="Palatino Linotype"/>
          <w:i/>
          <w:sz w:val="22"/>
          <w:szCs w:val="22"/>
        </w:rPr>
        <w:t>Ubicacion</w:t>
      </w:r>
      <w:proofErr w:type="spellEnd"/>
      <w:r w:rsidRPr="00907942">
        <w:rPr>
          <w:rFonts w:ascii="Palatino Linotype" w:eastAsia="Palatino Linotype" w:hAnsi="Palatino Linotype" w:cs="Palatino Linotype"/>
          <w:i/>
          <w:sz w:val="22"/>
          <w:szCs w:val="22"/>
        </w:rPr>
        <w:t xml:space="preserve"> geográfica de la ubicación donde se encontrara el nuevo panteón municipal de Otzolotepec -Los contratos, facturas, y recibos de pago en la compra del terreno adquirido por la C.D. Erika Sevilla Alvarado para la construcción del nuevo panteón municipal" (Sic) </w:t>
      </w:r>
    </w:p>
    <w:p w14:paraId="22400303" w14:textId="77777777" w:rsidR="00DD2398" w:rsidRPr="00907942" w:rsidRDefault="00D05599">
      <w:pPr>
        <w:spacing w:before="240" w:after="240"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Modalidad de Entrega:</w:t>
      </w:r>
      <w:r w:rsidRPr="00907942">
        <w:rPr>
          <w:rFonts w:ascii="Palatino Linotype" w:eastAsia="Palatino Linotype" w:hAnsi="Palatino Linotype" w:cs="Palatino Linotype"/>
          <w:sz w:val="22"/>
          <w:szCs w:val="22"/>
        </w:rPr>
        <w:t xml:space="preserve"> a través del Sistema de Acceso a la Información Mexiquense (SAIMEX)</w:t>
      </w:r>
    </w:p>
    <w:p w14:paraId="0CC0468F" w14:textId="77777777" w:rsidR="00DD2398" w:rsidRPr="00907942" w:rsidRDefault="00D0559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907942">
        <w:rPr>
          <w:rFonts w:ascii="Palatino Linotype" w:eastAsia="Palatino Linotype" w:hAnsi="Palatino Linotype" w:cs="Palatino Linotype"/>
          <w:b/>
          <w:sz w:val="22"/>
          <w:szCs w:val="22"/>
        </w:rPr>
        <w:lastRenderedPageBreak/>
        <w:t xml:space="preserve">2. Respuesta. </w:t>
      </w:r>
      <w:r w:rsidRPr="00907942">
        <w:rPr>
          <w:rFonts w:ascii="Palatino Linotype" w:eastAsia="Palatino Linotype" w:hAnsi="Palatino Linotype" w:cs="Palatino Linotype"/>
          <w:sz w:val="22"/>
          <w:szCs w:val="22"/>
        </w:rPr>
        <w:t xml:space="preserve">El </w:t>
      </w:r>
      <w:r w:rsidRPr="00907942">
        <w:rPr>
          <w:rFonts w:ascii="Palatino Linotype" w:eastAsia="Palatino Linotype" w:hAnsi="Palatino Linotype" w:cs="Palatino Linotype"/>
          <w:b/>
          <w:sz w:val="22"/>
          <w:szCs w:val="22"/>
        </w:rPr>
        <w:t>veinte de marzo de dos mil veinticinco</w:t>
      </w:r>
      <w:r w:rsidRPr="00907942">
        <w:rPr>
          <w:rFonts w:ascii="Palatino Linotype" w:eastAsia="Palatino Linotype" w:hAnsi="Palatino Linotype" w:cs="Palatino Linotype"/>
          <w:sz w:val="22"/>
          <w:szCs w:val="22"/>
        </w:rPr>
        <w:t xml:space="preserve">,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envió su respuesta a la solicitud de acceso a la información, sustancialmente en los términos siguientes:</w:t>
      </w:r>
    </w:p>
    <w:p w14:paraId="475FA5D4" w14:textId="77777777" w:rsidR="00DD2398" w:rsidRPr="00907942" w:rsidRDefault="00D05599">
      <w:pPr>
        <w:spacing w:before="240" w:after="240"/>
        <w:ind w:left="567"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“Estimado solicitante: En atención a su solicitud de acceso a la información pública con folio 00001/OTZOLOTE/IP/2025, en la que requirió lo siguiente: "Solicitó documentación en versión pública referente a las siguientes temáticas: -</w:t>
      </w:r>
      <w:proofErr w:type="spellStart"/>
      <w:r w:rsidRPr="00907942">
        <w:rPr>
          <w:rFonts w:ascii="Palatino Linotype" w:eastAsia="Palatino Linotype" w:hAnsi="Palatino Linotype" w:cs="Palatino Linotype"/>
          <w:i/>
          <w:sz w:val="22"/>
          <w:szCs w:val="22"/>
        </w:rPr>
        <w:t>Ubicacion</w:t>
      </w:r>
      <w:proofErr w:type="spellEnd"/>
      <w:r w:rsidRPr="00907942">
        <w:rPr>
          <w:rFonts w:ascii="Palatino Linotype" w:eastAsia="Palatino Linotype" w:hAnsi="Palatino Linotype" w:cs="Palatino Linotype"/>
          <w:i/>
          <w:sz w:val="22"/>
          <w:szCs w:val="22"/>
        </w:rPr>
        <w:t xml:space="preserve"> geográfica de la ubicación donde se encontrara el nuevo panteón municipal de Otzolotepec -Los contratos, facturas, y recibos de pago en la compra del terreno adquirido por la C.D. Erika Sevilla Alvarado para la construcción del nuevo panteón municipal” (Sic) Con fundamento en el artículo 163 de la Ley de Transparencia y Acceso a la Información Pública del Estado de México y Municipios y con base a la información proporcionada por LIC. AISAR VIAL ALVA, se ponen a su disposición el oficio número OTZ/CAT-079/2025, para su consulta.” (Sic)</w:t>
      </w:r>
    </w:p>
    <w:p w14:paraId="3B69939A" w14:textId="77777777" w:rsidR="00DD2398" w:rsidRPr="00907942" w:rsidRDefault="00D0559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Adjunto a la respuesta,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entregó un archivo electrónico que contiene la información siguiente:</w:t>
      </w:r>
    </w:p>
    <w:p w14:paraId="5C504FC3" w14:textId="77777777" w:rsidR="00DD2398" w:rsidRPr="00907942" w:rsidRDefault="00DD2398">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1010DD5C" w14:textId="77777777" w:rsidR="00DD2398" w:rsidRPr="00907942" w:rsidRDefault="00D0559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Oficio del 28 de febrero de 2025, a través del cual el </w:t>
      </w:r>
      <w:proofErr w:type="gramStart"/>
      <w:r w:rsidRPr="00907942">
        <w:rPr>
          <w:rFonts w:ascii="Palatino Linotype" w:eastAsia="Palatino Linotype" w:hAnsi="Palatino Linotype" w:cs="Palatino Linotype"/>
          <w:sz w:val="22"/>
          <w:szCs w:val="22"/>
        </w:rPr>
        <w:t>Subdirector</w:t>
      </w:r>
      <w:proofErr w:type="gramEnd"/>
      <w:r w:rsidRPr="00907942">
        <w:rPr>
          <w:rFonts w:ascii="Palatino Linotype" w:eastAsia="Palatino Linotype" w:hAnsi="Palatino Linotype" w:cs="Palatino Linotype"/>
          <w:sz w:val="22"/>
          <w:szCs w:val="22"/>
        </w:rPr>
        <w:t xml:space="preserve"> de Catastro Municipal informó a la Titular de la Unidad de Transparencia que, en atención a la solicitud se proporcionaba copia simple del mapa de la ubicación donde se encuentra el panteón requerido.</w:t>
      </w:r>
    </w:p>
    <w:p w14:paraId="7208CD03" w14:textId="77777777" w:rsidR="00DD2398" w:rsidRPr="00907942" w:rsidRDefault="00D05599">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Mapa de la ubicación donde se encuentra el panteón requerido:</w:t>
      </w:r>
      <w:r w:rsidRPr="00907942">
        <w:rPr>
          <w:rFonts w:ascii="Palatino Linotype" w:eastAsia="Palatino Linotype" w:hAnsi="Palatino Linotype" w:cs="Palatino Linotype"/>
          <w:noProof/>
          <w:sz w:val="22"/>
          <w:szCs w:val="22"/>
        </w:rPr>
        <w:drawing>
          <wp:inline distT="0" distB="0" distL="0" distR="0" wp14:anchorId="5E385254" wp14:editId="31BB4585">
            <wp:extent cx="5324475" cy="200025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324475" cy="2000250"/>
                    </a:xfrm>
                    <a:prstGeom prst="rect">
                      <a:avLst/>
                    </a:prstGeom>
                    <a:ln/>
                  </pic:spPr>
                </pic:pic>
              </a:graphicData>
            </a:graphic>
          </wp:inline>
        </w:drawing>
      </w:r>
    </w:p>
    <w:p w14:paraId="56ADEDF1" w14:textId="77777777" w:rsidR="00DD2398" w:rsidRPr="00907942" w:rsidRDefault="00DD2398">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698E0825" w14:textId="77777777" w:rsidR="00DD2398" w:rsidRPr="00907942" w:rsidRDefault="00D0559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lastRenderedPageBreak/>
        <w:t xml:space="preserve">3. Interposición del recurso de revisión. </w:t>
      </w:r>
      <w:r w:rsidRPr="00907942">
        <w:rPr>
          <w:rFonts w:ascii="Palatino Linotype" w:eastAsia="Palatino Linotype" w:hAnsi="Palatino Linotype" w:cs="Palatino Linotype"/>
          <w:sz w:val="22"/>
          <w:szCs w:val="22"/>
        </w:rPr>
        <w:t xml:space="preserve">Inconforme con los términos de la respuesta emitida por parte del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el</w:t>
      </w:r>
      <w:r w:rsidRPr="00907942">
        <w:rPr>
          <w:rFonts w:ascii="Palatino Linotype" w:eastAsia="Palatino Linotype" w:hAnsi="Palatino Linotype" w:cs="Palatino Linotype"/>
          <w:b/>
          <w:sz w:val="22"/>
          <w:szCs w:val="22"/>
        </w:rPr>
        <w:t xml:space="preserve"> veinte de marzo de dos mil veinticinco,</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la parte</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interpuso el recurso de revisión a través de </w:t>
      </w:r>
      <w:r w:rsidRPr="00907942">
        <w:rPr>
          <w:rFonts w:ascii="Palatino Linotype" w:eastAsia="Palatino Linotype" w:hAnsi="Palatino Linotype" w:cs="Palatino Linotype"/>
          <w:b/>
          <w:sz w:val="22"/>
          <w:szCs w:val="22"/>
        </w:rPr>
        <w:t xml:space="preserve">SAIMEX; </w:t>
      </w:r>
      <w:r w:rsidRPr="00907942">
        <w:rPr>
          <w:rFonts w:ascii="Palatino Linotype" w:eastAsia="Palatino Linotype" w:hAnsi="Palatino Linotype" w:cs="Palatino Linotype"/>
          <w:sz w:val="22"/>
          <w:szCs w:val="22"/>
        </w:rPr>
        <w:t>en donde se manifestó de la siguiente manera:</w:t>
      </w:r>
    </w:p>
    <w:p w14:paraId="08DB6C3B" w14:textId="77777777" w:rsidR="00DD2398" w:rsidRPr="00907942" w:rsidRDefault="00D05599">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 xml:space="preserve">a) Acto impugnado: </w:t>
      </w:r>
      <w:r w:rsidRPr="00907942">
        <w:rPr>
          <w:rFonts w:ascii="Palatino Linotype" w:eastAsia="Palatino Linotype" w:hAnsi="Palatino Linotype" w:cs="Palatino Linotype"/>
          <w:i/>
          <w:sz w:val="22"/>
          <w:szCs w:val="22"/>
        </w:rPr>
        <w:t>“Negativa a la entrega completa de la información” (Sic)</w:t>
      </w:r>
    </w:p>
    <w:p w14:paraId="64D3BF6A" w14:textId="77777777" w:rsidR="00DD2398" w:rsidRPr="00907942" w:rsidRDefault="00D05599">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907942">
        <w:rPr>
          <w:rFonts w:ascii="Palatino Linotype" w:eastAsia="Palatino Linotype" w:hAnsi="Palatino Linotype" w:cs="Palatino Linotype"/>
          <w:b/>
          <w:sz w:val="22"/>
          <w:szCs w:val="22"/>
        </w:rPr>
        <w:t>b) Razones o motivos de inconformidad</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i/>
          <w:sz w:val="22"/>
          <w:szCs w:val="22"/>
        </w:rPr>
        <w:t xml:space="preserve">“No se </w:t>
      </w:r>
      <w:proofErr w:type="spellStart"/>
      <w:r w:rsidRPr="00907942">
        <w:rPr>
          <w:rFonts w:ascii="Palatino Linotype" w:eastAsia="Palatino Linotype" w:hAnsi="Palatino Linotype" w:cs="Palatino Linotype"/>
          <w:i/>
          <w:sz w:val="22"/>
          <w:szCs w:val="22"/>
        </w:rPr>
        <w:t>entrego</w:t>
      </w:r>
      <w:proofErr w:type="spellEnd"/>
      <w:r w:rsidRPr="00907942">
        <w:rPr>
          <w:rFonts w:ascii="Palatino Linotype" w:eastAsia="Palatino Linotype" w:hAnsi="Palatino Linotype" w:cs="Palatino Linotype"/>
          <w:i/>
          <w:sz w:val="22"/>
          <w:szCs w:val="22"/>
        </w:rPr>
        <w:t xml:space="preserve"> la información completa, ya que </w:t>
      </w:r>
      <w:r w:rsidRPr="00907942">
        <w:rPr>
          <w:rFonts w:ascii="Palatino Linotype" w:eastAsia="Palatino Linotype" w:hAnsi="Palatino Linotype" w:cs="Palatino Linotype"/>
          <w:b/>
          <w:i/>
          <w:sz w:val="22"/>
          <w:szCs w:val="22"/>
          <w:u w:val="single"/>
        </w:rPr>
        <w:t>hicieron falta el contrato, factura y recibos de pago para la adquisición del terreno</w:t>
      </w:r>
      <w:r w:rsidRPr="00907942">
        <w:rPr>
          <w:rFonts w:ascii="Palatino Linotype" w:eastAsia="Palatino Linotype" w:hAnsi="Palatino Linotype" w:cs="Palatino Linotype"/>
          <w:i/>
          <w:sz w:val="22"/>
          <w:szCs w:val="22"/>
        </w:rPr>
        <w:t>” (Sic)</w:t>
      </w:r>
    </w:p>
    <w:p w14:paraId="2A633740" w14:textId="77777777" w:rsidR="00DD2398" w:rsidRPr="00907942" w:rsidRDefault="00DD2398">
      <w:pPr>
        <w:spacing w:line="276" w:lineRule="auto"/>
        <w:ind w:left="567" w:right="900"/>
        <w:jc w:val="both"/>
        <w:rPr>
          <w:rFonts w:ascii="Palatino Linotype" w:eastAsia="Palatino Linotype" w:hAnsi="Palatino Linotype" w:cs="Palatino Linotype"/>
          <w:i/>
          <w:sz w:val="22"/>
          <w:szCs w:val="22"/>
        </w:rPr>
      </w:pPr>
    </w:p>
    <w:p w14:paraId="3B4B61C0" w14:textId="77777777" w:rsidR="00DD2398" w:rsidRPr="00907942" w:rsidRDefault="00D05599">
      <w:pPr>
        <w:spacing w:line="360" w:lineRule="auto"/>
        <w:ind w:right="51"/>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 xml:space="preserve">4. Turno. </w:t>
      </w:r>
      <w:r w:rsidRPr="0090794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07942">
        <w:rPr>
          <w:rFonts w:ascii="Palatino Linotype" w:eastAsia="Palatino Linotype" w:hAnsi="Palatino Linotype" w:cs="Palatino Linotype"/>
          <w:b/>
          <w:sz w:val="22"/>
          <w:szCs w:val="22"/>
        </w:rPr>
        <w:t xml:space="preserve">Guadalupe Ramírez Peña, </w:t>
      </w:r>
      <w:r w:rsidRPr="00907942">
        <w:rPr>
          <w:rFonts w:ascii="Palatino Linotype" w:eastAsia="Palatino Linotype" w:hAnsi="Palatino Linotype" w:cs="Palatino Linotype"/>
          <w:sz w:val="22"/>
          <w:szCs w:val="22"/>
        </w:rPr>
        <w:t xml:space="preserve">a efecto de que analizara sobre su admisión o su </w:t>
      </w:r>
      <w:proofErr w:type="spellStart"/>
      <w:r w:rsidRPr="00907942">
        <w:rPr>
          <w:rFonts w:ascii="Palatino Linotype" w:eastAsia="Palatino Linotype" w:hAnsi="Palatino Linotype" w:cs="Palatino Linotype"/>
          <w:sz w:val="22"/>
          <w:szCs w:val="22"/>
        </w:rPr>
        <w:t>desechamiento</w:t>
      </w:r>
      <w:proofErr w:type="spellEnd"/>
      <w:r w:rsidRPr="00907942">
        <w:rPr>
          <w:rFonts w:ascii="Palatino Linotype" w:eastAsia="Palatino Linotype" w:hAnsi="Palatino Linotype" w:cs="Palatino Linotype"/>
          <w:sz w:val="22"/>
          <w:szCs w:val="22"/>
        </w:rPr>
        <w:t>.</w:t>
      </w:r>
    </w:p>
    <w:p w14:paraId="55F1D1E0" w14:textId="77777777" w:rsidR="00DD2398" w:rsidRPr="00907942" w:rsidRDefault="00DD2398">
      <w:pPr>
        <w:spacing w:line="360" w:lineRule="auto"/>
        <w:ind w:right="51"/>
        <w:jc w:val="both"/>
        <w:rPr>
          <w:rFonts w:ascii="Palatino Linotype" w:eastAsia="Palatino Linotype" w:hAnsi="Palatino Linotype" w:cs="Palatino Linotype"/>
          <w:sz w:val="22"/>
          <w:szCs w:val="22"/>
        </w:rPr>
      </w:pPr>
    </w:p>
    <w:p w14:paraId="390D5106"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5. Admisión del Recurso de revisión.</w:t>
      </w:r>
      <w:r w:rsidRPr="00907942">
        <w:rPr>
          <w:rFonts w:ascii="Palatino Linotype" w:eastAsia="Palatino Linotype" w:hAnsi="Palatino Linotype" w:cs="Palatino Linotype"/>
          <w:sz w:val="22"/>
          <w:szCs w:val="22"/>
        </w:rPr>
        <w:t xml:space="preserve"> El </w:t>
      </w:r>
      <w:r w:rsidRPr="00907942">
        <w:rPr>
          <w:rFonts w:ascii="Palatino Linotype" w:eastAsia="Palatino Linotype" w:hAnsi="Palatino Linotype" w:cs="Palatino Linotype"/>
          <w:b/>
          <w:sz w:val="22"/>
          <w:szCs w:val="22"/>
        </w:rPr>
        <w:t xml:space="preserve">veinticinco de marzo de dos mil veinticinco, </w:t>
      </w:r>
      <w:r w:rsidRPr="0090794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presentara su informe justificado.</w:t>
      </w:r>
    </w:p>
    <w:p w14:paraId="4EEA1411"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510B58F" w14:textId="77777777" w:rsidR="00DD2398" w:rsidRPr="00907942" w:rsidRDefault="00D0559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907942">
        <w:rPr>
          <w:rFonts w:ascii="Palatino Linotype" w:eastAsia="Palatino Linotype" w:hAnsi="Palatino Linotype" w:cs="Palatino Linotype"/>
          <w:b/>
          <w:sz w:val="22"/>
          <w:szCs w:val="22"/>
        </w:rPr>
        <w:t>6. Manifestaciones</w:t>
      </w:r>
      <w:r w:rsidRPr="00907942">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 xml:space="preserve">el veintiocho de abril y nueve de junio de dos mil veinticinco rindió su informe justificado a través del </w:t>
      </w:r>
      <w:r w:rsidRPr="00907942">
        <w:rPr>
          <w:rFonts w:ascii="Palatino Linotype" w:eastAsia="Palatino Linotype" w:hAnsi="Palatino Linotype" w:cs="Palatino Linotype"/>
          <w:sz w:val="22"/>
          <w:szCs w:val="22"/>
        </w:rPr>
        <w:lastRenderedPageBreak/>
        <w:t>archivo electrónico denominado “</w:t>
      </w:r>
      <w:r w:rsidRPr="00907942">
        <w:rPr>
          <w:rFonts w:ascii="Palatino Linotype" w:eastAsia="Palatino Linotype" w:hAnsi="Palatino Linotype" w:cs="Palatino Linotype"/>
          <w:b/>
          <w:i/>
          <w:sz w:val="22"/>
          <w:szCs w:val="22"/>
        </w:rPr>
        <w:t>RESPUESTA SOL 00107.pdf</w:t>
      </w:r>
      <w:r w:rsidRPr="00907942">
        <w:rPr>
          <w:rFonts w:ascii="Palatino Linotype" w:eastAsia="Palatino Linotype" w:hAnsi="Palatino Linotype" w:cs="Palatino Linotype"/>
          <w:sz w:val="22"/>
          <w:szCs w:val="22"/>
        </w:rPr>
        <w:t>”, mismo que fue entregado por duplicado, que contiene la información siguiente:</w:t>
      </w:r>
    </w:p>
    <w:p w14:paraId="6D11D935" w14:textId="77777777" w:rsidR="00DD2398" w:rsidRPr="00907942" w:rsidRDefault="00DD239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0C6B12D" w14:textId="77777777" w:rsidR="00DD2398" w:rsidRPr="00907942" w:rsidRDefault="00D05599">
      <w:pPr>
        <w:numPr>
          <w:ilvl w:val="0"/>
          <w:numId w:val="1"/>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Oficio del 03 de abril de 2025 a través del cual la Dirección de Asuntos Jurídicos informó al Titular de la Unidad de Transparencia, indicó que la información requerida relativa a los contratos, facturas y recibos de pago por la compra de un terreno adquirido sobre el cual versa la solicitud de información para la construcción de un nuevo panteón municipal se solicitaba su reserva en términos del artículo 140 fracción VI de la Ley de Transparencia de la Entidad, al encontrarse relacionada con un procedimiento de investigación por presuntas faltas administrativas, cuya entrega puede afectar la conducción o los derechos del debido proceso.</w:t>
      </w:r>
    </w:p>
    <w:p w14:paraId="4187ECFB" w14:textId="77777777" w:rsidR="00DD2398" w:rsidRPr="00907942" w:rsidRDefault="00DD2398">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p>
    <w:p w14:paraId="169B26AA" w14:textId="77777777" w:rsidR="00DD2398" w:rsidRPr="00907942" w:rsidRDefault="00D05599">
      <w:pPr>
        <w:numPr>
          <w:ilvl w:val="0"/>
          <w:numId w:val="1"/>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Acta de la cuadragésima quinta sesión extraordinaria del Comité de Transparencia del 22 de abril de 2025, en la que bajo el punto dos del orden del día se llevó a cabo la clasificación de la información como reservada consistente en contratos, facturas y recibos de pago por la compra de un terreno adquirido sobre el cual versa la solicitud de información para la construcción de un nuevo panteón municipal, en términos del artículo 140 fracción VI de la Ley de Transparencia de la Entidad.</w:t>
      </w:r>
    </w:p>
    <w:p w14:paraId="5926F430" w14:textId="77777777" w:rsidR="00DD2398" w:rsidRPr="00907942" w:rsidRDefault="00DD239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672CAA0" w14:textId="77777777" w:rsidR="00DD2398" w:rsidRPr="00907942" w:rsidRDefault="00D0559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Documentos anteriores que </w:t>
      </w:r>
      <w:r w:rsidRPr="00907942">
        <w:rPr>
          <w:rFonts w:ascii="Palatino Linotype" w:eastAsia="Palatino Linotype" w:hAnsi="Palatino Linotype" w:cs="Palatino Linotype"/>
          <w:b/>
          <w:sz w:val="22"/>
          <w:szCs w:val="22"/>
        </w:rPr>
        <w:t xml:space="preserve">NO </w:t>
      </w:r>
      <w:r w:rsidRPr="00907942">
        <w:rPr>
          <w:rFonts w:ascii="Palatino Linotype" w:eastAsia="Palatino Linotype" w:hAnsi="Palatino Linotype" w:cs="Palatino Linotype"/>
          <w:sz w:val="22"/>
          <w:szCs w:val="22"/>
        </w:rPr>
        <w:t xml:space="preserve">se pusieron a la vista de la parte </w:t>
      </w:r>
      <w:r w:rsidRPr="00907942">
        <w:rPr>
          <w:rFonts w:ascii="Palatino Linotype" w:eastAsia="Palatino Linotype" w:hAnsi="Palatino Linotype" w:cs="Palatino Linotype"/>
          <w:b/>
          <w:sz w:val="22"/>
          <w:szCs w:val="22"/>
        </w:rPr>
        <w:t xml:space="preserve">Recurrente, </w:t>
      </w:r>
      <w:r w:rsidRPr="00907942">
        <w:rPr>
          <w:rFonts w:ascii="Palatino Linotype" w:eastAsia="Palatino Linotype" w:hAnsi="Palatino Linotype" w:cs="Palatino Linotype"/>
          <w:sz w:val="22"/>
          <w:szCs w:val="22"/>
        </w:rPr>
        <w:t>en virtud de que contienen información sobre un procedimiento de responsabilidad administrativa relacionado con servidores públicos.</w:t>
      </w:r>
    </w:p>
    <w:p w14:paraId="3CD43943" w14:textId="77777777" w:rsidR="00DD2398" w:rsidRPr="00907942" w:rsidRDefault="00DD239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4A590B7" w14:textId="77777777" w:rsidR="00DD2398" w:rsidRPr="00907942" w:rsidRDefault="00D055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7. Ampliación del término para resolver</w:t>
      </w:r>
      <w:r w:rsidRPr="00907942">
        <w:rPr>
          <w:rFonts w:ascii="Palatino Linotype" w:eastAsia="Palatino Linotype" w:hAnsi="Palatino Linotype" w:cs="Palatino Linotype"/>
          <w:sz w:val="22"/>
          <w:szCs w:val="22"/>
        </w:rPr>
        <w:t xml:space="preserve">. Mediante acuerdo del </w:t>
      </w:r>
      <w:r w:rsidRPr="00907942">
        <w:rPr>
          <w:rFonts w:ascii="Palatino Linotype" w:eastAsia="Palatino Linotype" w:hAnsi="Palatino Linotype" w:cs="Palatino Linotype"/>
          <w:b/>
          <w:sz w:val="22"/>
          <w:szCs w:val="22"/>
        </w:rPr>
        <w:t>once de junio de dos mil veinticinco</w:t>
      </w:r>
      <w:r w:rsidRPr="00907942">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EAD79FF"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02E0A58"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Este organismo garante no pasa por alto justificar, que el plazo para emitir la resolución en el presente asunto encuentra justificación en el alto número de recursos de revisión </w:t>
      </w:r>
      <w:r w:rsidRPr="00907942">
        <w:rPr>
          <w:rFonts w:ascii="Palatino Linotype" w:eastAsia="Palatino Linotype" w:hAnsi="Palatino Linotype" w:cs="Palatino Linotype"/>
          <w:sz w:val="22"/>
          <w:szCs w:val="22"/>
        </w:rPr>
        <w:lastRenderedPageBreak/>
        <w:t>recibidos, circunstancia atípica que ha rebasado las capacidades técnicas y humanas del personal encargado de la proyección de las resoluciones a dichos medios de impugnación.</w:t>
      </w:r>
    </w:p>
    <w:p w14:paraId="314FC296"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BE8CEA1"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Por ello, es menester precisar </w:t>
      </w:r>
      <w:proofErr w:type="gramStart"/>
      <w:r w:rsidRPr="00907942">
        <w:rPr>
          <w:rFonts w:ascii="Palatino Linotype" w:eastAsia="Palatino Linotype" w:hAnsi="Palatino Linotype" w:cs="Palatino Linotype"/>
          <w:sz w:val="22"/>
          <w:szCs w:val="22"/>
        </w:rPr>
        <w:t>que</w:t>
      </w:r>
      <w:proofErr w:type="gramEnd"/>
      <w:r w:rsidRPr="00907942">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D4BE409"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3377F62D"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2BEC13"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C0C5291"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FC8715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7B03F2A"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F740912" w14:textId="77777777" w:rsidR="00DD2398" w:rsidRPr="00907942" w:rsidRDefault="00DD2398">
      <w:pPr>
        <w:spacing w:line="360" w:lineRule="auto"/>
        <w:jc w:val="both"/>
        <w:rPr>
          <w:rFonts w:ascii="Palatino Linotype" w:eastAsia="Palatino Linotype" w:hAnsi="Palatino Linotype" w:cs="Palatino Linotype"/>
          <w:strike/>
          <w:sz w:val="22"/>
          <w:szCs w:val="22"/>
        </w:rPr>
      </w:pPr>
    </w:p>
    <w:p w14:paraId="118CD713" w14:textId="77777777" w:rsidR="00DD2398" w:rsidRPr="00907942" w:rsidRDefault="00D05599">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Complejidad del Asunto:</w:t>
      </w:r>
      <w:r w:rsidRPr="0090794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323BE14" w14:textId="77777777" w:rsidR="00DD2398" w:rsidRPr="00907942" w:rsidRDefault="00D05599">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lastRenderedPageBreak/>
        <w:t>Actividad Procesal del interesado</w:t>
      </w:r>
      <w:r w:rsidRPr="00907942">
        <w:rPr>
          <w:rFonts w:ascii="Palatino Linotype" w:eastAsia="Palatino Linotype" w:hAnsi="Palatino Linotype" w:cs="Palatino Linotype"/>
          <w:sz w:val="22"/>
          <w:szCs w:val="22"/>
        </w:rPr>
        <w:t>. Acciones u omisiones del interesado.</w:t>
      </w:r>
    </w:p>
    <w:p w14:paraId="6D3FFEB9" w14:textId="77777777" w:rsidR="00DD2398" w:rsidRPr="00907942" w:rsidRDefault="00D05599">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Conducta de la Autoridad:</w:t>
      </w:r>
      <w:r w:rsidRPr="0090794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B1BE9E8" w14:textId="77777777" w:rsidR="00DD2398" w:rsidRPr="00907942" w:rsidRDefault="00D05599">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La afectación generada en la situación jurídica de la persona involucrada en el proceso:</w:t>
      </w:r>
      <w:r w:rsidRPr="00907942">
        <w:rPr>
          <w:rFonts w:ascii="Palatino Linotype" w:eastAsia="Palatino Linotype" w:hAnsi="Palatino Linotype" w:cs="Palatino Linotype"/>
          <w:sz w:val="22"/>
          <w:szCs w:val="22"/>
        </w:rPr>
        <w:t xml:space="preserve"> Violación a sus derechos humanos.</w:t>
      </w:r>
    </w:p>
    <w:p w14:paraId="08E935F0" w14:textId="77777777" w:rsidR="00DD2398" w:rsidRPr="00907942" w:rsidRDefault="00DD2398">
      <w:pPr>
        <w:tabs>
          <w:tab w:val="left" w:pos="993"/>
        </w:tabs>
        <w:spacing w:line="360" w:lineRule="auto"/>
        <w:ind w:left="567" w:right="900"/>
        <w:jc w:val="both"/>
        <w:rPr>
          <w:rFonts w:ascii="Palatino Linotype" w:eastAsia="Palatino Linotype" w:hAnsi="Palatino Linotype" w:cs="Palatino Linotype"/>
          <w:sz w:val="22"/>
          <w:szCs w:val="22"/>
        </w:rPr>
      </w:pPr>
    </w:p>
    <w:p w14:paraId="75C6E4B1"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405674"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1419F98"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0794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07942">
        <w:rPr>
          <w:rFonts w:ascii="Palatino Linotype" w:eastAsia="Palatino Linotype" w:hAnsi="Palatino Linotype" w:cs="Palatino Linotype"/>
          <w:sz w:val="22"/>
          <w:szCs w:val="22"/>
        </w:rPr>
        <w:t>, visible en la Gaceta del Seminario Judicial de la Federación con el registro digital 205635.</w:t>
      </w:r>
    </w:p>
    <w:p w14:paraId="0D9462F0" w14:textId="77777777" w:rsidR="00DD2398" w:rsidRPr="00907942" w:rsidRDefault="00DD2398">
      <w:pPr>
        <w:spacing w:line="360" w:lineRule="auto"/>
        <w:jc w:val="both"/>
        <w:rPr>
          <w:rFonts w:ascii="Palatino Linotype" w:eastAsia="Palatino Linotype" w:hAnsi="Palatino Linotype" w:cs="Palatino Linotype"/>
          <w:b/>
          <w:sz w:val="22"/>
          <w:szCs w:val="22"/>
        </w:rPr>
      </w:pPr>
    </w:p>
    <w:p w14:paraId="10A44710"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w:t>
      </w:r>
      <w:r w:rsidRPr="00907942">
        <w:rPr>
          <w:rFonts w:ascii="Palatino Linotype" w:eastAsia="Palatino Linotype" w:hAnsi="Palatino Linotype" w:cs="Palatino Linotype"/>
          <w:sz w:val="22"/>
          <w:szCs w:val="22"/>
        </w:rPr>
        <w:lastRenderedPageBreak/>
        <w:t>recursos dentro de los términos legales previamente establecidos por la Ley, por tratarse de causas de fuerza mayor.</w:t>
      </w:r>
    </w:p>
    <w:p w14:paraId="0946FB4B"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32334DB"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8AF696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C6BAF4B" w14:textId="77777777" w:rsidR="00DD2398" w:rsidRPr="00907942" w:rsidRDefault="00D05599">
      <w:pPr>
        <w:spacing w:line="360" w:lineRule="auto"/>
        <w:ind w:left="851" w:right="90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i/>
          <w:sz w:val="22"/>
          <w:szCs w:val="22"/>
        </w:rPr>
        <w:t>“PLAZO RAZONABLE PARA RESOLVER. DIMENSIÓN Y EFECTOS DE ESTE CONCEPTO CUANDO SE ADUCE EXCESIVA CARGA DE TRABAJO</w:t>
      </w: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sz w:val="22"/>
          <w:szCs w:val="22"/>
        </w:rPr>
        <w:t xml:space="preserve"> consultable en el Seminario Judicial de la Federación y su gaceta, con el registro digital 2002351.</w:t>
      </w:r>
    </w:p>
    <w:p w14:paraId="4A30D265" w14:textId="77777777" w:rsidR="00DD2398" w:rsidRPr="00907942" w:rsidRDefault="00D05599">
      <w:pPr>
        <w:spacing w:line="360" w:lineRule="auto"/>
        <w:ind w:left="851" w:right="90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07942">
        <w:rPr>
          <w:rFonts w:ascii="Palatino Linotype" w:eastAsia="Palatino Linotype" w:hAnsi="Palatino Linotype" w:cs="Palatino Linotype"/>
          <w:sz w:val="22"/>
          <w:szCs w:val="22"/>
        </w:rPr>
        <w:t>, visible en el Seminario Judicial de la Federación y su gaceta, con el registro digital 2002350.</w:t>
      </w:r>
    </w:p>
    <w:p w14:paraId="4E045A29" w14:textId="77777777" w:rsidR="00DD2398" w:rsidRPr="00907942" w:rsidRDefault="00DD2398">
      <w:pPr>
        <w:spacing w:line="360" w:lineRule="auto"/>
        <w:ind w:left="851" w:right="900"/>
        <w:jc w:val="both"/>
        <w:rPr>
          <w:rFonts w:ascii="Palatino Linotype" w:eastAsia="Palatino Linotype" w:hAnsi="Palatino Linotype" w:cs="Palatino Linotype"/>
          <w:sz w:val="22"/>
          <w:szCs w:val="22"/>
        </w:rPr>
      </w:pPr>
    </w:p>
    <w:p w14:paraId="1803BF33"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2CAB50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58EF162" w14:textId="77777777" w:rsidR="00DD2398" w:rsidRPr="00907942" w:rsidRDefault="00D055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 xml:space="preserve">8. Cierre de instrucción. </w:t>
      </w:r>
      <w:r w:rsidRPr="0090794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907942">
        <w:rPr>
          <w:rFonts w:ascii="Palatino Linotype" w:eastAsia="Palatino Linotype" w:hAnsi="Palatino Linotype" w:cs="Palatino Linotype"/>
          <w:b/>
          <w:sz w:val="22"/>
          <w:szCs w:val="22"/>
        </w:rPr>
        <w:t>once de junio de dos mil veinticinco,</w:t>
      </w:r>
      <w:r w:rsidRPr="00907942">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7CF0668" w14:textId="77777777" w:rsidR="00DD2398" w:rsidRPr="00907942" w:rsidRDefault="00DD239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C359A66" w14:textId="77777777" w:rsidR="00DD2398" w:rsidRPr="00907942" w:rsidRDefault="00D0559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F7113FF" w14:textId="77777777" w:rsidR="00DD2398" w:rsidRPr="00907942" w:rsidRDefault="00D05599">
      <w:pPr>
        <w:widowControl w:val="0"/>
        <w:spacing w:before="240" w:after="240" w:line="360" w:lineRule="auto"/>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II. C O N S I D E R A N D O S</w:t>
      </w:r>
    </w:p>
    <w:p w14:paraId="7018E86A"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Primero. Competencia.</w:t>
      </w:r>
      <w:r w:rsidRPr="0090794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890C7A" w:rsidRPr="00907942">
        <w:rPr>
          <w:rFonts w:ascii="Palatino Linotype" w:eastAsia="Palatino Linotype" w:hAnsi="Palatino Linotype" w:cs="Palatino Linotype"/>
          <w:sz w:val="22"/>
          <w:szCs w:val="22"/>
        </w:rPr>
        <w:t>trigésimo noveno, cuadragésimo y cuadragésimo primero</w:t>
      </w:r>
      <w:r w:rsidRPr="00907942">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6990EFE"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38E0C9B7" w14:textId="77777777" w:rsidR="00DD2398" w:rsidRPr="00907942" w:rsidRDefault="00D05599">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907942">
        <w:rPr>
          <w:rFonts w:ascii="Palatino Linotype" w:eastAsia="Palatino Linotype" w:hAnsi="Palatino Linotype" w:cs="Palatino Linotype"/>
          <w:b/>
          <w:sz w:val="22"/>
          <w:szCs w:val="22"/>
        </w:rPr>
        <w:t>Segundo. Oportunidad y Procedibilidad del Recurso de Revisión</w:t>
      </w:r>
      <w:r w:rsidRPr="00907942">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2A7481A"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685C007"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 xml:space="preserve">remitió la respuesta a la solicitud de información el </w:t>
      </w:r>
      <w:r w:rsidRPr="00907942">
        <w:rPr>
          <w:rFonts w:ascii="Palatino Linotype" w:eastAsia="Palatino Linotype" w:hAnsi="Palatino Linotype" w:cs="Palatino Linotype"/>
          <w:b/>
          <w:sz w:val="22"/>
          <w:szCs w:val="22"/>
        </w:rPr>
        <w:t xml:space="preserve">veinte de marzo de dos mil veinticinco, </w:t>
      </w:r>
      <w:r w:rsidRPr="00907942">
        <w:rPr>
          <w:rFonts w:ascii="Palatino Linotype" w:eastAsia="Palatino Linotype" w:hAnsi="Palatino Linotype" w:cs="Palatino Linotype"/>
          <w:sz w:val="22"/>
          <w:szCs w:val="22"/>
        </w:rPr>
        <w:t xml:space="preserve">mientras que el recurso de revisión </w:t>
      </w:r>
      <w:r w:rsidRPr="00907942">
        <w:rPr>
          <w:rFonts w:ascii="Palatino Linotype" w:eastAsia="Palatino Linotype" w:hAnsi="Palatino Linotype" w:cs="Palatino Linotype"/>
          <w:sz w:val="22"/>
          <w:szCs w:val="22"/>
        </w:rPr>
        <w:lastRenderedPageBreak/>
        <w:t xml:space="preserve">interpuesto por </w:t>
      </w:r>
      <w:r w:rsidRPr="00907942">
        <w:rPr>
          <w:rFonts w:ascii="Palatino Linotype" w:eastAsia="Palatino Linotype" w:hAnsi="Palatino Linotype" w:cs="Palatino Linotype"/>
          <w:b/>
          <w:sz w:val="22"/>
          <w:szCs w:val="22"/>
        </w:rPr>
        <w:t>la parte</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se tuvo por presentado el </w:t>
      </w:r>
      <w:r w:rsidRPr="00907942">
        <w:rPr>
          <w:rFonts w:ascii="Palatino Linotype" w:eastAsia="Palatino Linotype" w:hAnsi="Palatino Linotype" w:cs="Palatino Linotype"/>
          <w:b/>
          <w:sz w:val="22"/>
          <w:szCs w:val="22"/>
        </w:rPr>
        <w:t>veinte de marzo de dos mil veinticinco</w:t>
      </w:r>
      <w:r w:rsidRPr="00907942">
        <w:rPr>
          <w:rFonts w:ascii="Palatino Linotype" w:eastAsia="Palatino Linotype" w:hAnsi="Palatino Linotype" w:cs="Palatino Linotype"/>
          <w:sz w:val="22"/>
          <w:szCs w:val="22"/>
        </w:rPr>
        <w:t xml:space="preserve"> esto es, el mismo día hábil en que </w:t>
      </w:r>
      <w:r w:rsidRPr="00907942">
        <w:rPr>
          <w:rFonts w:ascii="Palatino Linotype" w:eastAsia="Palatino Linotype" w:hAnsi="Palatino Linotype" w:cs="Palatino Linotype"/>
          <w:b/>
          <w:sz w:val="22"/>
          <w:szCs w:val="22"/>
        </w:rPr>
        <w:t>se tuvo conocimiento de la respuesta impugnada</w:t>
      </w:r>
      <w:r w:rsidRPr="00907942">
        <w:rPr>
          <w:rFonts w:ascii="Palatino Linotype" w:eastAsia="Palatino Linotype" w:hAnsi="Palatino Linotype" w:cs="Palatino Linotype"/>
          <w:sz w:val="22"/>
          <w:szCs w:val="22"/>
        </w:rPr>
        <w:t xml:space="preserve">. </w:t>
      </w:r>
    </w:p>
    <w:p w14:paraId="542470F5"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50E4B7C"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0729DC6" w14:textId="77777777" w:rsidR="00DD2398" w:rsidRPr="00907942" w:rsidRDefault="00DD2398">
      <w:pPr>
        <w:spacing w:line="276" w:lineRule="auto"/>
        <w:ind w:right="616"/>
        <w:jc w:val="both"/>
        <w:rPr>
          <w:rFonts w:ascii="Palatino Linotype" w:eastAsia="Palatino Linotype" w:hAnsi="Palatino Linotype" w:cs="Palatino Linotype"/>
          <w:sz w:val="22"/>
          <w:szCs w:val="22"/>
        </w:rPr>
      </w:pPr>
    </w:p>
    <w:p w14:paraId="281BAAF2"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879BC9D"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1459D71" w14:textId="77777777" w:rsidR="00DD2398" w:rsidRPr="00907942" w:rsidRDefault="00D05599">
      <w:pPr>
        <w:spacing w:line="276" w:lineRule="auto"/>
        <w:ind w:left="567" w:right="616"/>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907942">
        <w:rPr>
          <w:rFonts w:ascii="Palatino Linotype" w:eastAsia="Palatino Linotype" w:hAnsi="Palatino Linotype" w:cs="Palatino Linotype"/>
          <w:i/>
          <w:sz w:val="22"/>
          <w:szCs w:val="22"/>
        </w:rPr>
        <w:t>.</w:t>
      </w:r>
    </w:p>
    <w:p w14:paraId="66B5B9B0" w14:textId="77777777" w:rsidR="00DD2398" w:rsidRPr="00907942" w:rsidRDefault="00D05599">
      <w:pPr>
        <w:spacing w:line="276" w:lineRule="auto"/>
        <w:ind w:left="567" w:right="616"/>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907942">
        <w:rPr>
          <w:rFonts w:ascii="Palatino Linotype" w:eastAsia="Palatino Linotype" w:hAnsi="Palatino Linotype" w:cs="Palatino Linotype"/>
          <w:i/>
          <w:sz w:val="22"/>
          <w:szCs w:val="22"/>
        </w:rPr>
        <w:t>que</w:t>
      </w:r>
      <w:proofErr w:type="gramEnd"/>
      <w:r w:rsidRPr="00907942">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64A17345" w14:textId="77777777" w:rsidR="00DD2398" w:rsidRPr="00907942" w:rsidRDefault="00DD2398">
      <w:pPr>
        <w:spacing w:line="276" w:lineRule="auto"/>
        <w:ind w:right="616"/>
        <w:jc w:val="both"/>
        <w:rPr>
          <w:rFonts w:ascii="Palatino Linotype" w:eastAsia="Palatino Linotype" w:hAnsi="Palatino Linotype" w:cs="Palatino Linotype"/>
          <w:sz w:val="22"/>
          <w:szCs w:val="22"/>
        </w:rPr>
      </w:pPr>
    </w:p>
    <w:p w14:paraId="20D01DAC" w14:textId="77777777" w:rsidR="00DD2398" w:rsidRPr="00907942" w:rsidRDefault="00DD2398">
      <w:pPr>
        <w:spacing w:line="276" w:lineRule="auto"/>
        <w:ind w:right="616"/>
        <w:jc w:val="both"/>
        <w:rPr>
          <w:rFonts w:ascii="Palatino Linotype" w:eastAsia="Palatino Linotype" w:hAnsi="Palatino Linotype" w:cs="Palatino Linotype"/>
          <w:sz w:val="22"/>
          <w:szCs w:val="22"/>
        </w:rPr>
      </w:pPr>
    </w:p>
    <w:p w14:paraId="6B0F0FC5" w14:textId="77777777" w:rsidR="00DD2398" w:rsidRPr="00907942" w:rsidRDefault="00D05599">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907942">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BDCF2ED" w14:textId="77777777" w:rsidR="00DD2398" w:rsidRPr="00907942" w:rsidRDefault="00DD2398">
      <w:pPr>
        <w:tabs>
          <w:tab w:val="left" w:pos="7938"/>
        </w:tabs>
        <w:spacing w:line="360" w:lineRule="auto"/>
        <w:jc w:val="both"/>
        <w:rPr>
          <w:rFonts w:ascii="Palatino Linotype" w:eastAsia="Palatino Linotype" w:hAnsi="Palatino Linotype" w:cs="Palatino Linotype"/>
          <w:sz w:val="22"/>
          <w:szCs w:val="22"/>
        </w:rPr>
      </w:pPr>
    </w:p>
    <w:p w14:paraId="26603967"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 efecto de sustentar lo anterior, es de suma importancia mencionar que si bien la persona solicitante </w:t>
      </w:r>
      <w:r w:rsidRPr="00907942">
        <w:rPr>
          <w:rFonts w:ascii="Palatino Linotype" w:eastAsia="Palatino Linotype" w:hAnsi="Palatino Linotype" w:cs="Palatino Linotype"/>
          <w:b/>
          <w:sz w:val="22"/>
          <w:szCs w:val="22"/>
        </w:rPr>
        <w:t xml:space="preserve">proporcionó un seudónimo, </w:t>
      </w:r>
      <w:r w:rsidRPr="00907942">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486ECF3"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73CF986" w14:textId="77777777" w:rsidR="00DD2398" w:rsidRPr="00907942" w:rsidRDefault="00D05599">
      <w:pPr>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 xml:space="preserve">Las solicitudes </w:t>
      </w:r>
      <w:r w:rsidRPr="00907942">
        <w:rPr>
          <w:rFonts w:ascii="Palatino Linotype" w:eastAsia="Palatino Linotype" w:hAnsi="Palatino Linotype" w:cs="Palatino Linotype"/>
          <w:i/>
          <w:sz w:val="22"/>
          <w:szCs w:val="22"/>
        </w:rPr>
        <w:t xml:space="preserve">anónimas, con nombre incompleto o </w:t>
      </w:r>
      <w:r w:rsidRPr="00907942">
        <w:rPr>
          <w:rFonts w:ascii="Palatino Linotype" w:eastAsia="Palatino Linotype" w:hAnsi="Palatino Linotype" w:cs="Palatino Linotype"/>
          <w:b/>
          <w:i/>
          <w:sz w:val="22"/>
          <w:szCs w:val="22"/>
        </w:rPr>
        <w:t>seudónimo serán procedentes para su trámite por parte del sujeto obligado ante quien se presente</w:t>
      </w:r>
      <w:r w:rsidRPr="00907942">
        <w:rPr>
          <w:rFonts w:ascii="Palatino Linotype" w:eastAsia="Palatino Linotype" w:hAnsi="Palatino Linotype" w:cs="Palatino Linotype"/>
          <w:i/>
          <w:sz w:val="22"/>
          <w:szCs w:val="22"/>
        </w:rPr>
        <w:t>. No podrá requerirse información adicional con motivo del nombre proporcionado por el solicitante."</w:t>
      </w:r>
    </w:p>
    <w:p w14:paraId="593D5BF3" w14:textId="77777777" w:rsidR="00DD2398" w:rsidRPr="00907942" w:rsidRDefault="00DD2398">
      <w:pPr>
        <w:tabs>
          <w:tab w:val="left" w:pos="7938"/>
        </w:tabs>
        <w:spacing w:line="360" w:lineRule="auto"/>
        <w:jc w:val="both"/>
        <w:rPr>
          <w:rFonts w:ascii="Palatino Linotype" w:eastAsia="Palatino Linotype" w:hAnsi="Palatino Linotype" w:cs="Palatino Linotype"/>
          <w:sz w:val="22"/>
          <w:szCs w:val="22"/>
        </w:rPr>
      </w:pPr>
    </w:p>
    <w:p w14:paraId="21FD640D"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Finalmente, se advierte que resulta procedente la interposición del recurso, según lo manifestado por </w:t>
      </w:r>
      <w:r w:rsidRPr="00907942">
        <w:rPr>
          <w:rFonts w:ascii="Palatino Linotype" w:eastAsia="Palatino Linotype" w:hAnsi="Palatino Linotype" w:cs="Palatino Linotype"/>
          <w:b/>
          <w:sz w:val="22"/>
          <w:szCs w:val="22"/>
        </w:rPr>
        <w:t>la parte</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10F41A59"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FA370B7" w14:textId="77777777" w:rsidR="00DD2398" w:rsidRPr="00907942" w:rsidRDefault="00D05599">
      <w:pPr>
        <w:ind w:left="567"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179.</w:t>
      </w:r>
      <w:r w:rsidRPr="0090794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C281903" w14:textId="77777777" w:rsidR="00DD2398" w:rsidRPr="00907942" w:rsidRDefault="00D05599">
      <w:pPr>
        <w:ind w:left="567"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69545DBB" w14:textId="77777777" w:rsidR="00DD2398" w:rsidRPr="00907942" w:rsidRDefault="00D05599">
      <w:pPr>
        <w:ind w:left="567" w:right="902"/>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V. La entrega de información incompleta;</w:t>
      </w:r>
    </w:p>
    <w:p w14:paraId="649CC060" w14:textId="77777777" w:rsidR="00DD2398" w:rsidRPr="00907942" w:rsidRDefault="00D05599">
      <w:pPr>
        <w:ind w:left="567"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 […]”</w:t>
      </w:r>
    </w:p>
    <w:p w14:paraId="6C8CFCDD" w14:textId="77777777" w:rsidR="00DD2398" w:rsidRPr="00907942" w:rsidRDefault="00DD2398">
      <w:pPr>
        <w:ind w:left="567"/>
        <w:rPr>
          <w:rFonts w:ascii="Palatino Linotype" w:eastAsia="Palatino Linotype" w:hAnsi="Palatino Linotype" w:cs="Palatino Linotype"/>
          <w:b/>
          <w:i/>
          <w:sz w:val="22"/>
          <w:szCs w:val="22"/>
        </w:rPr>
      </w:pPr>
    </w:p>
    <w:p w14:paraId="77CD89E4" w14:textId="77777777" w:rsidR="00DD2398" w:rsidRPr="00907942" w:rsidRDefault="00D05599">
      <w:pPr>
        <w:ind w:left="567" w:right="900"/>
        <w:jc w:val="right"/>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 xml:space="preserve"> </w:t>
      </w:r>
      <w:r w:rsidRPr="00907942">
        <w:rPr>
          <w:rFonts w:ascii="Palatino Linotype" w:eastAsia="Palatino Linotype" w:hAnsi="Palatino Linotype" w:cs="Palatino Linotype"/>
          <w:i/>
          <w:sz w:val="22"/>
          <w:szCs w:val="22"/>
        </w:rPr>
        <w:t>(Énfasis añadido)</w:t>
      </w:r>
    </w:p>
    <w:p w14:paraId="232FE757" w14:textId="77777777" w:rsidR="00DD2398" w:rsidRPr="00907942" w:rsidRDefault="00DD2398">
      <w:pPr>
        <w:spacing w:line="360" w:lineRule="auto"/>
        <w:jc w:val="both"/>
        <w:rPr>
          <w:rFonts w:ascii="Palatino Linotype" w:eastAsia="Palatino Linotype" w:hAnsi="Palatino Linotype" w:cs="Palatino Linotype"/>
          <w:b/>
          <w:sz w:val="22"/>
          <w:szCs w:val="22"/>
        </w:rPr>
      </w:pPr>
    </w:p>
    <w:p w14:paraId="7FCAC3A7"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 xml:space="preserve">Tercero. Materia de la revisión. </w:t>
      </w:r>
      <w:r w:rsidRPr="0090794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07942">
        <w:rPr>
          <w:rFonts w:ascii="Palatino Linotype" w:eastAsia="Palatino Linotype" w:hAnsi="Palatino Linotype" w:cs="Palatino Linotype"/>
          <w:b/>
          <w:sz w:val="22"/>
          <w:szCs w:val="22"/>
        </w:rPr>
        <w:t>verificar si la respuesta otorgada por el Sujeto Obligado es adecuada y suficiente para satisfacer el derecho de acceso a la información pública de la parte Recurrente,</w:t>
      </w:r>
      <w:r w:rsidRPr="00907942">
        <w:rPr>
          <w:rFonts w:ascii="Palatino Linotype" w:eastAsia="Palatino Linotype" w:hAnsi="Palatino Linotype" w:cs="Palatino Linotype"/>
          <w:sz w:val="22"/>
          <w:szCs w:val="22"/>
        </w:rPr>
        <w:t xml:space="preserve"> o en su defecto, en caso de ser procedente, ordenar la entrega de la información oportuna.</w:t>
      </w:r>
    </w:p>
    <w:p w14:paraId="20C0CFB6"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FED3E47"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 xml:space="preserve">Cuarto. Estudio del asunto. </w:t>
      </w:r>
      <w:r w:rsidRPr="00907942">
        <w:rPr>
          <w:rFonts w:ascii="Palatino Linotype" w:eastAsia="Palatino Linotype" w:hAnsi="Palatino Linotype" w:cs="Palatino Linotype"/>
          <w:sz w:val="22"/>
          <w:szCs w:val="22"/>
        </w:rPr>
        <w:t xml:space="preserve">Antes de entrar al análisis de los pronunciamientos del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B7AF65E"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674A6669" w14:textId="77777777" w:rsidR="00DD2398" w:rsidRPr="00907942" w:rsidRDefault="00D05599">
      <w:pPr>
        <w:spacing w:line="276" w:lineRule="auto"/>
        <w:ind w:left="851" w:right="8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0794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C47CA80" w14:textId="77777777" w:rsidR="00DD2398" w:rsidRPr="00907942" w:rsidRDefault="00D05599">
      <w:pPr>
        <w:spacing w:line="276" w:lineRule="auto"/>
        <w:ind w:left="851" w:right="8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93049BE" w14:textId="77777777" w:rsidR="00DD2398" w:rsidRPr="00907942" w:rsidRDefault="00D05599">
      <w:pPr>
        <w:spacing w:line="276" w:lineRule="auto"/>
        <w:ind w:left="851" w:right="8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de conformidad con los principios de universalidad, </w:t>
      </w:r>
      <w:r w:rsidRPr="00907942">
        <w:rPr>
          <w:rFonts w:ascii="Palatino Linotype" w:eastAsia="Palatino Linotype" w:hAnsi="Palatino Linotype" w:cs="Palatino Linotype"/>
          <w:b/>
          <w:i/>
          <w:sz w:val="22"/>
          <w:szCs w:val="22"/>
          <w:u w:val="single"/>
        </w:rPr>
        <w:lastRenderedPageBreak/>
        <w:t>interdependencia, indivisibilidad y progresividad.</w:t>
      </w:r>
      <w:r w:rsidRPr="0090794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C89F589" w14:textId="77777777" w:rsidR="00DD2398" w:rsidRPr="00907942" w:rsidRDefault="00D05599">
      <w:pPr>
        <w:spacing w:line="276" w:lineRule="auto"/>
        <w:ind w:left="851" w:right="8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i/>
          <w:sz w:val="22"/>
          <w:szCs w:val="22"/>
        </w:rPr>
        <w:t>[…]</w:t>
      </w:r>
    </w:p>
    <w:p w14:paraId="439D57BE" w14:textId="77777777" w:rsidR="00DD2398" w:rsidRPr="00907942" w:rsidRDefault="00D05599">
      <w:pPr>
        <w:spacing w:line="276" w:lineRule="auto"/>
        <w:ind w:left="851" w:right="901"/>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i/>
          <w:sz w:val="22"/>
          <w:szCs w:val="22"/>
        </w:rPr>
        <w:t>“Artículo 6o.</w:t>
      </w:r>
    </w:p>
    <w:p w14:paraId="063BFF1A" w14:textId="77777777" w:rsidR="00DD2398" w:rsidRPr="00907942" w:rsidRDefault="00D05599">
      <w:pPr>
        <w:spacing w:line="276" w:lineRule="auto"/>
        <w:ind w:left="851" w:right="901"/>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i/>
          <w:sz w:val="22"/>
          <w:szCs w:val="22"/>
        </w:rPr>
        <w:t>[...]</w:t>
      </w:r>
    </w:p>
    <w:p w14:paraId="46B62B36" w14:textId="77777777" w:rsidR="00DD2398" w:rsidRPr="00907942" w:rsidRDefault="00D0559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xml:space="preserve">A. Para el ejercicio del derecho de acceso a la información, la Federación y </w:t>
      </w:r>
      <w:r w:rsidRPr="00907942">
        <w:rPr>
          <w:rFonts w:ascii="Palatino Linotype" w:eastAsia="Palatino Linotype" w:hAnsi="Palatino Linotype" w:cs="Palatino Linotype"/>
          <w:b/>
          <w:i/>
          <w:sz w:val="22"/>
          <w:szCs w:val="22"/>
          <w:u w:val="single"/>
        </w:rPr>
        <w:t>las entidades federativas</w:t>
      </w:r>
      <w:r w:rsidRPr="00907942">
        <w:rPr>
          <w:rFonts w:ascii="Palatino Linotype" w:eastAsia="Palatino Linotype" w:hAnsi="Palatino Linotype" w:cs="Palatino Linotype"/>
          <w:b/>
          <w:i/>
          <w:sz w:val="22"/>
          <w:szCs w:val="22"/>
        </w:rPr>
        <w:t>,</w:t>
      </w:r>
      <w:r w:rsidRPr="00907942">
        <w:rPr>
          <w:rFonts w:ascii="Palatino Linotype" w:eastAsia="Palatino Linotype" w:hAnsi="Palatino Linotype" w:cs="Palatino Linotype"/>
          <w:i/>
          <w:sz w:val="22"/>
          <w:szCs w:val="22"/>
        </w:rPr>
        <w:t xml:space="preserve"> en el ámbito de sus respectivas competencias, se regirán por los siguientes principios y bases:</w:t>
      </w:r>
    </w:p>
    <w:p w14:paraId="55A49B3F" w14:textId="77777777" w:rsidR="00DD2398" w:rsidRPr="00907942" w:rsidRDefault="00D0559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w:t>
      </w:r>
      <w:r w:rsidRPr="00907942">
        <w:rPr>
          <w:rFonts w:ascii="Palatino Linotype" w:eastAsia="Palatino Linotype" w:hAnsi="Palatino Linotype" w:cs="Palatino Linotype"/>
          <w:b/>
          <w:i/>
          <w:sz w:val="22"/>
          <w:szCs w:val="22"/>
        </w:rPr>
        <w:t xml:space="preserve">I. </w:t>
      </w:r>
      <w:r w:rsidRPr="0090794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07942">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07942">
        <w:rPr>
          <w:rFonts w:ascii="Palatino Linotype" w:eastAsia="Palatino Linotype" w:hAnsi="Palatino Linotype" w:cs="Palatino Linotype"/>
          <w:b/>
          <w:i/>
          <w:sz w:val="22"/>
          <w:szCs w:val="22"/>
        </w:rPr>
        <w:t>es pública y sólo podrá ser reservada temporalmente por razones de interés público y seguridad nacional,</w:t>
      </w:r>
      <w:r w:rsidRPr="0090794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E4978E" w14:textId="77777777" w:rsidR="00DD2398" w:rsidRPr="00907942" w:rsidRDefault="00D05599">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2A96E9FF" w14:textId="77777777" w:rsidR="00DD2398" w:rsidRPr="00907942" w:rsidRDefault="00D0559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w:t>
      </w:r>
      <w:r w:rsidRPr="00907942">
        <w:rPr>
          <w:rFonts w:ascii="Palatino Linotype" w:eastAsia="Palatino Linotype" w:hAnsi="Palatino Linotype" w:cs="Palatino Linotype"/>
          <w:b/>
          <w:i/>
          <w:sz w:val="22"/>
          <w:szCs w:val="22"/>
        </w:rPr>
        <w:t xml:space="preserve">III. </w:t>
      </w:r>
      <w:r w:rsidRPr="0090794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07942">
        <w:rPr>
          <w:rFonts w:ascii="Palatino Linotype" w:eastAsia="Palatino Linotype" w:hAnsi="Palatino Linotype" w:cs="Palatino Linotype"/>
          <w:i/>
          <w:sz w:val="22"/>
          <w:szCs w:val="22"/>
        </w:rPr>
        <w:t xml:space="preserve"> a sus datos personales o a la rectificación de éstos.</w:t>
      </w:r>
    </w:p>
    <w:p w14:paraId="7A9B9315" w14:textId="77777777" w:rsidR="00DD2398" w:rsidRPr="00907942" w:rsidRDefault="00D05599">
      <w:pPr>
        <w:pBdr>
          <w:top w:val="nil"/>
          <w:left w:val="nil"/>
          <w:bottom w:val="nil"/>
          <w:right w:val="nil"/>
          <w:between w:val="nil"/>
        </w:pBdr>
        <w:spacing w:before="240" w:after="240"/>
        <w:ind w:left="851" w:right="851"/>
        <w:jc w:val="both"/>
      </w:pPr>
      <w:r w:rsidRPr="00907942">
        <w:rPr>
          <w:rFonts w:ascii="Palatino Linotype" w:eastAsia="Palatino Linotype" w:hAnsi="Palatino Linotype" w:cs="Palatino Linotype"/>
          <w:b/>
          <w:i/>
          <w:sz w:val="22"/>
          <w:szCs w:val="22"/>
        </w:rPr>
        <w:t>…</w:t>
      </w:r>
    </w:p>
    <w:p w14:paraId="3D66765A" w14:textId="77777777" w:rsidR="00DD2398" w:rsidRPr="00907942" w:rsidRDefault="00D0559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IV.</w:t>
      </w:r>
      <w:r w:rsidRPr="00907942">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ED73FED" w14:textId="77777777" w:rsidR="00DD2398" w:rsidRPr="00907942" w:rsidRDefault="00D05599">
      <w:pPr>
        <w:pBdr>
          <w:top w:val="nil"/>
          <w:left w:val="nil"/>
          <w:bottom w:val="nil"/>
          <w:right w:val="nil"/>
          <w:between w:val="nil"/>
        </w:pBdr>
        <w:spacing w:before="240" w:after="240"/>
        <w:ind w:left="851" w:right="851"/>
        <w:jc w:val="both"/>
      </w:pPr>
      <w:r w:rsidRPr="00907942">
        <w:rPr>
          <w:rFonts w:ascii="Palatino Linotype" w:eastAsia="Palatino Linotype" w:hAnsi="Palatino Linotype" w:cs="Palatino Linotype"/>
          <w:b/>
          <w:i/>
          <w:sz w:val="22"/>
          <w:szCs w:val="22"/>
        </w:rPr>
        <w:lastRenderedPageBreak/>
        <w:t xml:space="preserve">V. </w:t>
      </w:r>
      <w:r w:rsidRPr="0090794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2BC29C9" w14:textId="77777777" w:rsidR="00DD2398" w:rsidRPr="00907942" w:rsidRDefault="00D05599">
      <w:pPr>
        <w:pBdr>
          <w:top w:val="nil"/>
          <w:left w:val="nil"/>
          <w:bottom w:val="nil"/>
          <w:right w:val="nil"/>
          <w:between w:val="nil"/>
        </w:pBdr>
        <w:spacing w:before="240" w:after="240"/>
        <w:ind w:left="851" w:right="851"/>
        <w:jc w:val="both"/>
      </w:pPr>
      <w:r w:rsidRPr="00907942">
        <w:rPr>
          <w:rFonts w:ascii="Palatino Linotype" w:eastAsia="Palatino Linotype" w:hAnsi="Palatino Linotype" w:cs="Palatino Linotype"/>
          <w:i/>
          <w:sz w:val="22"/>
          <w:szCs w:val="22"/>
        </w:rPr>
        <w:t> </w:t>
      </w:r>
      <w:r w:rsidRPr="00907942">
        <w:rPr>
          <w:rFonts w:ascii="Palatino Linotype" w:eastAsia="Palatino Linotype" w:hAnsi="Palatino Linotype" w:cs="Palatino Linotype"/>
          <w:b/>
          <w:i/>
          <w:sz w:val="22"/>
          <w:szCs w:val="22"/>
        </w:rPr>
        <w:t xml:space="preserve">VI. </w:t>
      </w:r>
      <w:r w:rsidRPr="0090794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79BD0D2" w14:textId="77777777" w:rsidR="00DD2398" w:rsidRPr="00907942" w:rsidRDefault="00D05599">
      <w:pPr>
        <w:pBdr>
          <w:top w:val="nil"/>
          <w:left w:val="nil"/>
          <w:bottom w:val="nil"/>
          <w:right w:val="nil"/>
          <w:between w:val="nil"/>
        </w:pBdr>
        <w:spacing w:before="240" w:after="240"/>
        <w:ind w:left="851" w:right="851"/>
        <w:jc w:val="both"/>
      </w:pPr>
      <w:r w:rsidRPr="00907942">
        <w:rPr>
          <w:rFonts w:ascii="Palatino Linotype" w:eastAsia="Palatino Linotype" w:hAnsi="Palatino Linotype" w:cs="Palatino Linotype"/>
          <w:i/>
          <w:sz w:val="22"/>
          <w:szCs w:val="22"/>
        </w:rPr>
        <w:t> </w:t>
      </w:r>
      <w:r w:rsidRPr="00907942">
        <w:rPr>
          <w:rFonts w:ascii="Palatino Linotype" w:eastAsia="Palatino Linotype" w:hAnsi="Palatino Linotype" w:cs="Palatino Linotype"/>
          <w:b/>
          <w:i/>
          <w:sz w:val="22"/>
          <w:szCs w:val="22"/>
        </w:rPr>
        <w:t xml:space="preserve">VII. </w:t>
      </w:r>
      <w:r w:rsidRPr="0090794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FA6E919" w14:textId="77777777" w:rsidR="00DD2398" w:rsidRPr="00907942" w:rsidRDefault="00DD2398">
      <w:pPr>
        <w:spacing w:line="276" w:lineRule="auto"/>
        <w:ind w:left="851" w:right="851"/>
        <w:jc w:val="both"/>
        <w:rPr>
          <w:rFonts w:ascii="Palatino Linotype" w:eastAsia="Palatino Linotype" w:hAnsi="Palatino Linotype" w:cs="Palatino Linotype"/>
          <w:sz w:val="22"/>
          <w:szCs w:val="22"/>
        </w:rPr>
      </w:pPr>
    </w:p>
    <w:p w14:paraId="014931A3"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001ED9D"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505911B"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4</w:t>
      </w:r>
      <w:r w:rsidRPr="0090794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9C7B93" w14:textId="77777777" w:rsidR="00DD2398" w:rsidRPr="00907942" w:rsidRDefault="00DD2398">
      <w:pPr>
        <w:spacing w:line="276" w:lineRule="auto"/>
        <w:ind w:left="567" w:right="616"/>
        <w:jc w:val="both"/>
        <w:rPr>
          <w:rFonts w:ascii="Palatino Linotype" w:eastAsia="Palatino Linotype" w:hAnsi="Palatino Linotype" w:cs="Palatino Linotype"/>
          <w:i/>
          <w:sz w:val="22"/>
          <w:szCs w:val="22"/>
        </w:rPr>
      </w:pPr>
    </w:p>
    <w:p w14:paraId="3B3D63CF"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07942">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w:t>
      </w:r>
      <w:r w:rsidRPr="00907942">
        <w:rPr>
          <w:rFonts w:ascii="Palatino Linotype" w:eastAsia="Palatino Linotype" w:hAnsi="Palatino Linotype" w:cs="Palatino Linotype"/>
          <w:i/>
          <w:sz w:val="22"/>
          <w:szCs w:val="22"/>
        </w:rPr>
        <w:lastRenderedPageBreak/>
        <w:t>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2AD8E3" w14:textId="77777777" w:rsidR="00DD2398" w:rsidRPr="00907942" w:rsidRDefault="00DD2398">
      <w:pPr>
        <w:spacing w:line="276" w:lineRule="auto"/>
        <w:ind w:left="567" w:right="616"/>
        <w:jc w:val="both"/>
        <w:rPr>
          <w:rFonts w:ascii="Palatino Linotype" w:eastAsia="Palatino Linotype" w:hAnsi="Palatino Linotype" w:cs="Palatino Linotype"/>
          <w:i/>
          <w:sz w:val="22"/>
          <w:szCs w:val="22"/>
        </w:rPr>
      </w:pPr>
    </w:p>
    <w:p w14:paraId="2FCF4A64"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07942">
        <w:rPr>
          <w:rFonts w:ascii="Palatino Linotype" w:eastAsia="Palatino Linotype" w:hAnsi="Palatino Linotype" w:cs="Palatino Linotype"/>
          <w:i/>
          <w:sz w:val="22"/>
          <w:szCs w:val="22"/>
        </w:rPr>
        <w:t>.”</w:t>
      </w:r>
    </w:p>
    <w:p w14:paraId="3E65B49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ECD2180"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E8B0AE1"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372D62B5"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12.-</w:t>
      </w:r>
      <w:r w:rsidRPr="0090794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3309517" w14:textId="77777777" w:rsidR="00DD2398" w:rsidRPr="00907942" w:rsidRDefault="00DD2398">
      <w:pPr>
        <w:spacing w:line="276" w:lineRule="auto"/>
        <w:ind w:left="567" w:right="616"/>
        <w:jc w:val="both"/>
        <w:rPr>
          <w:rFonts w:ascii="Palatino Linotype" w:eastAsia="Palatino Linotype" w:hAnsi="Palatino Linotype" w:cs="Palatino Linotype"/>
          <w:i/>
          <w:sz w:val="22"/>
          <w:szCs w:val="22"/>
        </w:rPr>
      </w:pPr>
    </w:p>
    <w:p w14:paraId="59D47D4E" w14:textId="77777777" w:rsidR="00DD2398" w:rsidRPr="00907942" w:rsidRDefault="00D05599">
      <w:pPr>
        <w:spacing w:line="276" w:lineRule="auto"/>
        <w:ind w:left="567" w:right="616"/>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7D7ED08" w14:textId="77777777" w:rsidR="00DD2398" w:rsidRPr="00907942" w:rsidRDefault="00DD2398">
      <w:pPr>
        <w:spacing w:line="360" w:lineRule="auto"/>
        <w:ind w:left="567" w:right="616"/>
        <w:jc w:val="both"/>
        <w:rPr>
          <w:rFonts w:ascii="Palatino Linotype" w:eastAsia="Palatino Linotype" w:hAnsi="Palatino Linotype" w:cs="Palatino Linotype"/>
          <w:i/>
          <w:sz w:val="22"/>
          <w:szCs w:val="22"/>
        </w:rPr>
      </w:pPr>
    </w:p>
    <w:p w14:paraId="41AD21A0" w14:textId="77777777" w:rsidR="00DD2398" w:rsidRPr="00907942" w:rsidRDefault="00D05599">
      <w:pPr>
        <w:spacing w:line="360" w:lineRule="auto"/>
        <w:ind w:right="-93"/>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w:t>
      </w:r>
      <w:r w:rsidRPr="00907942">
        <w:rPr>
          <w:rFonts w:ascii="Palatino Linotype" w:eastAsia="Palatino Linotype" w:hAnsi="Palatino Linotype" w:cs="Palatino Linotype"/>
          <w:sz w:val="22"/>
          <w:szCs w:val="22"/>
        </w:rPr>
        <w:lastRenderedPageBreak/>
        <w:t>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9EFC92C" w14:textId="77777777" w:rsidR="00DD2398" w:rsidRPr="00907942" w:rsidRDefault="00DD2398">
      <w:pPr>
        <w:spacing w:line="360" w:lineRule="auto"/>
        <w:ind w:right="-93"/>
        <w:jc w:val="both"/>
        <w:rPr>
          <w:rFonts w:ascii="Palatino Linotype" w:eastAsia="Palatino Linotype" w:hAnsi="Palatino Linotype" w:cs="Palatino Linotype"/>
          <w:sz w:val="22"/>
          <w:szCs w:val="22"/>
        </w:rPr>
      </w:pPr>
    </w:p>
    <w:p w14:paraId="6F0572DA"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07942">
        <w:rPr>
          <w:rFonts w:ascii="Palatino Linotype" w:eastAsia="Palatino Linotype" w:hAnsi="Palatino Linotype" w:cs="Palatino Linotype"/>
          <w:b/>
          <w:sz w:val="22"/>
          <w:szCs w:val="22"/>
        </w:rPr>
        <w:t xml:space="preserve"> </w:t>
      </w:r>
    </w:p>
    <w:p w14:paraId="3F13F52E"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No existe obligación de elaborar documentos ad hoc para atender las solicitudes de acceso a la información.</w:t>
      </w:r>
      <w:r w:rsidRPr="0090794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BB1B369" w14:textId="77777777" w:rsidR="00DD2398" w:rsidRPr="00907942" w:rsidRDefault="00DD2398">
      <w:pPr>
        <w:spacing w:line="360" w:lineRule="auto"/>
        <w:ind w:right="-93"/>
        <w:jc w:val="both"/>
        <w:rPr>
          <w:rFonts w:ascii="Palatino Linotype" w:eastAsia="Palatino Linotype" w:hAnsi="Palatino Linotype" w:cs="Palatino Linotype"/>
          <w:sz w:val="22"/>
          <w:szCs w:val="22"/>
        </w:rPr>
      </w:pPr>
    </w:p>
    <w:p w14:paraId="6B3CAAD8"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73094C"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5386096"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w:t>
      </w:r>
      <w:r w:rsidRPr="00907942">
        <w:rPr>
          <w:rFonts w:ascii="Palatino Linotype" w:eastAsia="Palatino Linotype" w:hAnsi="Palatino Linotype" w:cs="Palatino Linotype"/>
          <w:sz w:val="22"/>
          <w:szCs w:val="22"/>
        </w:rPr>
        <w:lastRenderedPageBreak/>
        <w:t>comité de transparencia y la versión pública que emita el servidor público habilitado de cada Sujeto Obligado; como así se establece en la Ley de Transparencia y Acceso a la Información Pública del Estado de México y Municipios.</w:t>
      </w:r>
    </w:p>
    <w:p w14:paraId="5EDE01E7"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05FBE997"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3D0433" w14:textId="77777777" w:rsidR="00DD2398" w:rsidRPr="00907942" w:rsidRDefault="00DD2398">
      <w:pPr>
        <w:spacing w:line="360" w:lineRule="auto"/>
        <w:ind w:left="851" w:right="899"/>
        <w:jc w:val="both"/>
        <w:rPr>
          <w:rFonts w:ascii="Palatino Linotype" w:eastAsia="Palatino Linotype" w:hAnsi="Palatino Linotype" w:cs="Palatino Linotype"/>
          <w:i/>
          <w:sz w:val="22"/>
          <w:szCs w:val="22"/>
        </w:rPr>
      </w:pPr>
    </w:p>
    <w:p w14:paraId="3BD6D0CD"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 xml:space="preserve">Artículo 3. </w:t>
      </w:r>
      <w:r w:rsidRPr="00907942">
        <w:rPr>
          <w:rFonts w:ascii="Palatino Linotype" w:eastAsia="Palatino Linotype" w:hAnsi="Palatino Linotype" w:cs="Palatino Linotype"/>
          <w:i/>
          <w:sz w:val="22"/>
          <w:szCs w:val="22"/>
        </w:rPr>
        <w:t>Para los efectos de la presente Ley se entenderá por:</w:t>
      </w:r>
    </w:p>
    <w:p w14:paraId="3B150BC2"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3170EFAA"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XI. Documento:</w:t>
      </w:r>
      <w:r w:rsidRPr="00907942">
        <w:rPr>
          <w:rFonts w:ascii="Palatino Linotype" w:eastAsia="Palatino Linotype" w:hAnsi="Palatino Linotype" w:cs="Palatino Linotype"/>
          <w:i/>
          <w:sz w:val="22"/>
          <w:szCs w:val="22"/>
        </w:rPr>
        <w:t xml:space="preserve"> Los expedientes, reportes, estudios, actas</w:t>
      </w:r>
      <w:r w:rsidRPr="00907942">
        <w:rPr>
          <w:rFonts w:ascii="Palatino Linotype" w:eastAsia="Palatino Linotype" w:hAnsi="Palatino Linotype" w:cs="Palatino Linotype"/>
          <w:b/>
          <w:i/>
          <w:sz w:val="22"/>
          <w:szCs w:val="22"/>
        </w:rPr>
        <w:t>,</w:t>
      </w:r>
      <w:r w:rsidRPr="0090794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4A70C99" w14:textId="77777777" w:rsidR="00DD2398" w:rsidRPr="00907942" w:rsidRDefault="00DD2398">
      <w:pPr>
        <w:spacing w:line="360" w:lineRule="auto"/>
        <w:ind w:left="851" w:right="899"/>
        <w:jc w:val="both"/>
        <w:rPr>
          <w:rFonts w:ascii="Palatino Linotype" w:eastAsia="Palatino Linotype" w:hAnsi="Palatino Linotype" w:cs="Palatino Linotype"/>
          <w:sz w:val="22"/>
          <w:szCs w:val="22"/>
        </w:rPr>
      </w:pPr>
    </w:p>
    <w:p w14:paraId="279B1A22"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4647F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742CE3B" w14:textId="77777777" w:rsidR="00DD2398" w:rsidRPr="00907942" w:rsidRDefault="00D05599">
      <w:pPr>
        <w:spacing w:line="276" w:lineRule="auto"/>
        <w:ind w:left="567" w:right="616"/>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sz w:val="22"/>
          <w:szCs w:val="22"/>
        </w:rPr>
        <w:t>“</w:t>
      </w:r>
      <w:r w:rsidRPr="0090794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90794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EE7390"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En </w:t>
      </w:r>
      <w:proofErr w:type="gramStart"/>
      <w:r w:rsidRPr="00907942">
        <w:rPr>
          <w:rFonts w:ascii="Palatino Linotype" w:eastAsia="Palatino Linotype" w:hAnsi="Palatino Linotype" w:cs="Palatino Linotype"/>
          <w:i/>
          <w:sz w:val="22"/>
          <w:szCs w:val="22"/>
        </w:rPr>
        <w:t>consecuencia</w:t>
      </w:r>
      <w:proofErr w:type="gramEnd"/>
      <w:r w:rsidRPr="0090794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ED45C1D"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907942">
        <w:rPr>
          <w:rFonts w:ascii="Palatino Linotype" w:eastAsia="Palatino Linotype" w:hAnsi="Palatino Linotype" w:cs="Palatino Linotype"/>
          <w:i/>
          <w:sz w:val="22"/>
          <w:szCs w:val="22"/>
        </w:rPr>
        <w:t>que</w:t>
      </w:r>
      <w:proofErr w:type="gramEnd"/>
      <w:r w:rsidRPr="00907942">
        <w:rPr>
          <w:rFonts w:ascii="Palatino Linotype" w:eastAsia="Palatino Linotype" w:hAnsi="Palatino Linotype" w:cs="Palatino Linotype"/>
          <w:i/>
          <w:sz w:val="22"/>
          <w:szCs w:val="22"/>
        </w:rPr>
        <w:t xml:space="preserve"> en ejercicio de las atribuciones conferidas, sea generada por los Sujetos Obligados;</w:t>
      </w:r>
    </w:p>
    <w:p w14:paraId="63DEA7AA" w14:textId="77777777" w:rsidR="00DD2398" w:rsidRPr="00907942" w:rsidRDefault="00D05599">
      <w:pPr>
        <w:spacing w:line="276" w:lineRule="auto"/>
        <w:ind w:left="567" w:right="616"/>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907942">
        <w:rPr>
          <w:rFonts w:ascii="Palatino Linotype" w:eastAsia="Palatino Linotype" w:hAnsi="Palatino Linotype" w:cs="Palatino Linotype"/>
          <w:b/>
          <w:i/>
          <w:sz w:val="22"/>
          <w:szCs w:val="22"/>
        </w:rPr>
        <w:t>que</w:t>
      </w:r>
      <w:proofErr w:type="gramEnd"/>
      <w:r w:rsidRPr="00907942">
        <w:rPr>
          <w:rFonts w:ascii="Palatino Linotype" w:eastAsia="Palatino Linotype" w:hAnsi="Palatino Linotype" w:cs="Palatino Linotype"/>
          <w:b/>
          <w:i/>
          <w:sz w:val="22"/>
          <w:szCs w:val="22"/>
        </w:rPr>
        <w:t xml:space="preserve"> en ejercicio de las atribuciones conferidas, sea administrada por los Sujetos Obligados, y</w:t>
      </w:r>
    </w:p>
    <w:p w14:paraId="6FD30A95" w14:textId="77777777" w:rsidR="00DD2398" w:rsidRPr="00907942" w:rsidRDefault="00D05599">
      <w:pPr>
        <w:spacing w:line="276" w:lineRule="auto"/>
        <w:ind w:left="567" w:right="616"/>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907942">
        <w:rPr>
          <w:rFonts w:ascii="Palatino Linotype" w:eastAsia="Palatino Linotype" w:hAnsi="Palatino Linotype" w:cs="Palatino Linotype"/>
          <w:b/>
          <w:i/>
          <w:sz w:val="22"/>
          <w:szCs w:val="22"/>
        </w:rPr>
        <w:t>que</w:t>
      </w:r>
      <w:proofErr w:type="gramEnd"/>
      <w:r w:rsidRPr="00907942">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0E49F091" w14:textId="77777777" w:rsidR="00DD2398" w:rsidRPr="00907942" w:rsidRDefault="00DD2398">
      <w:pPr>
        <w:spacing w:line="276" w:lineRule="auto"/>
        <w:ind w:left="567" w:right="616"/>
        <w:jc w:val="both"/>
        <w:rPr>
          <w:rFonts w:ascii="Palatino Linotype" w:eastAsia="Palatino Linotype" w:hAnsi="Palatino Linotype" w:cs="Palatino Linotype"/>
          <w:b/>
          <w:i/>
          <w:sz w:val="22"/>
          <w:szCs w:val="22"/>
        </w:rPr>
      </w:pPr>
    </w:p>
    <w:p w14:paraId="459E96A9"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De ahí que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07942">
        <w:rPr>
          <w:rFonts w:ascii="Palatino Linotype" w:eastAsia="Palatino Linotype" w:hAnsi="Palatino Linotype" w:cs="Palatino Linotype"/>
          <w:sz w:val="22"/>
          <w:szCs w:val="22"/>
          <w:vertAlign w:val="superscript"/>
        </w:rPr>
        <w:footnoteReference w:id="1"/>
      </w:r>
      <w:r w:rsidRPr="00907942">
        <w:rPr>
          <w:rFonts w:ascii="Palatino Linotype" w:eastAsia="Palatino Linotype" w:hAnsi="Palatino Linotype" w:cs="Palatino Linotype"/>
          <w:sz w:val="22"/>
          <w:szCs w:val="22"/>
        </w:rPr>
        <w:t xml:space="preserve">, así como de interés público, es decir, aquella que resulta relevante o beneficiosa para la sociedad y no simplemente de interés individual, y cuya divulgación resulta útil para que </w:t>
      </w:r>
      <w:r w:rsidRPr="00907942">
        <w:rPr>
          <w:rFonts w:ascii="Palatino Linotype" w:eastAsia="Palatino Linotype" w:hAnsi="Palatino Linotype" w:cs="Palatino Linotype"/>
          <w:sz w:val="22"/>
          <w:szCs w:val="22"/>
        </w:rPr>
        <w:lastRenderedPageBreak/>
        <w:t>el público comprenda las actividades que llevan a cabo los Sujetos Obligados</w:t>
      </w:r>
      <w:r w:rsidRPr="00907942">
        <w:rPr>
          <w:rFonts w:ascii="Palatino Linotype" w:eastAsia="Palatino Linotype" w:hAnsi="Palatino Linotype" w:cs="Palatino Linotype"/>
          <w:sz w:val="22"/>
          <w:szCs w:val="22"/>
          <w:vertAlign w:val="superscript"/>
        </w:rPr>
        <w:footnoteReference w:id="2"/>
      </w:r>
      <w:r w:rsidRPr="00907942">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0069CC5" w14:textId="77777777" w:rsidR="00DD2398" w:rsidRPr="00907942" w:rsidRDefault="00DD2398">
      <w:pPr>
        <w:spacing w:line="360" w:lineRule="auto"/>
        <w:ind w:right="-150"/>
        <w:jc w:val="both"/>
        <w:rPr>
          <w:rFonts w:ascii="Palatino Linotype" w:eastAsia="Palatino Linotype" w:hAnsi="Palatino Linotype" w:cs="Palatino Linotype"/>
          <w:sz w:val="22"/>
          <w:szCs w:val="22"/>
        </w:rPr>
      </w:pPr>
    </w:p>
    <w:p w14:paraId="48B9276E" w14:textId="77777777" w:rsidR="00DD2398" w:rsidRPr="00907942" w:rsidRDefault="00D0559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907942">
        <w:rPr>
          <w:rFonts w:ascii="Palatino Linotype" w:eastAsia="Palatino Linotype" w:hAnsi="Palatino Linotype" w:cs="Palatino Linotype"/>
          <w:sz w:val="22"/>
          <w:szCs w:val="22"/>
        </w:rPr>
        <w:t xml:space="preserve">Para ello, conviene iniciar el presente estudio señalando que la persona solicitante requirió del </w:t>
      </w:r>
      <w:r w:rsidRPr="00907942">
        <w:rPr>
          <w:rFonts w:ascii="Palatino Linotype" w:eastAsia="Palatino Linotype" w:hAnsi="Palatino Linotype" w:cs="Palatino Linotype"/>
          <w:b/>
          <w:sz w:val="22"/>
          <w:szCs w:val="22"/>
        </w:rPr>
        <w:t xml:space="preserve">Sujeto Obligado, sobre la compra de un terreno para la construcción del nuevo panteón municipal indicado en la solicitud, </w:t>
      </w:r>
      <w:r w:rsidRPr="00907942">
        <w:rPr>
          <w:rFonts w:ascii="Palatino Linotype" w:eastAsia="Palatino Linotype" w:hAnsi="Palatino Linotype" w:cs="Palatino Linotype"/>
          <w:sz w:val="22"/>
          <w:szCs w:val="22"/>
        </w:rPr>
        <w:t>lo siguiente:</w:t>
      </w:r>
    </w:p>
    <w:p w14:paraId="022A762A" w14:textId="77777777" w:rsidR="00DD2398" w:rsidRPr="00907942" w:rsidRDefault="00DD2398">
      <w:pPr>
        <w:pBdr>
          <w:top w:val="nil"/>
          <w:left w:val="nil"/>
          <w:bottom w:val="nil"/>
          <w:right w:val="nil"/>
          <w:between w:val="nil"/>
        </w:pBdr>
        <w:spacing w:line="360" w:lineRule="auto"/>
        <w:ind w:right="-150"/>
        <w:jc w:val="both"/>
        <w:rPr>
          <w:rFonts w:ascii="Palatino Linotype" w:eastAsia="Palatino Linotype" w:hAnsi="Palatino Linotype" w:cs="Palatino Linotype"/>
          <w:i/>
          <w:sz w:val="22"/>
          <w:szCs w:val="22"/>
        </w:rPr>
      </w:pPr>
    </w:p>
    <w:p w14:paraId="3203DC83" w14:textId="77777777" w:rsidR="00DD2398" w:rsidRPr="00907942" w:rsidRDefault="00D05599">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Ubicación geográfica del nuevo panteón municipal; y</w:t>
      </w:r>
    </w:p>
    <w:p w14:paraId="592F4A5C" w14:textId="77777777" w:rsidR="00DD2398" w:rsidRPr="00907942" w:rsidRDefault="00D05599">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Los contratos, facturas, y recibos de pago.</w:t>
      </w:r>
    </w:p>
    <w:p w14:paraId="064481D1" w14:textId="77777777" w:rsidR="00DD2398" w:rsidRPr="00907942" w:rsidRDefault="00DD239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D34F2F7" w14:textId="77777777" w:rsidR="00DD2398" w:rsidRPr="00907942" w:rsidRDefault="00D0559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En respuesta,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 xml:space="preserve">por conducto del </w:t>
      </w:r>
      <w:proofErr w:type="gramStart"/>
      <w:r w:rsidRPr="00907942">
        <w:rPr>
          <w:rFonts w:ascii="Palatino Linotype" w:eastAsia="Palatino Linotype" w:hAnsi="Palatino Linotype" w:cs="Palatino Linotype"/>
          <w:sz w:val="22"/>
          <w:szCs w:val="22"/>
        </w:rPr>
        <w:t>Subdirector</w:t>
      </w:r>
      <w:proofErr w:type="gramEnd"/>
      <w:r w:rsidRPr="00907942">
        <w:rPr>
          <w:rFonts w:ascii="Palatino Linotype" w:eastAsia="Palatino Linotype" w:hAnsi="Palatino Linotype" w:cs="Palatino Linotype"/>
          <w:sz w:val="22"/>
          <w:szCs w:val="22"/>
        </w:rPr>
        <w:t xml:space="preserve"> de Catastro Municipal proporcionó mapa de la ubicación donde se encuentra el panteón requerido.</w:t>
      </w:r>
    </w:p>
    <w:p w14:paraId="43599E82" w14:textId="77777777" w:rsidR="00DD2398" w:rsidRPr="00907942" w:rsidRDefault="00DD23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22C494" w14:textId="77777777" w:rsidR="00DD2398" w:rsidRPr="00907942" w:rsidRDefault="00D05599">
      <w:pPr>
        <w:spacing w:line="360" w:lineRule="auto"/>
        <w:ind w:right="49"/>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Inconforme con la respuesta la parte </w:t>
      </w:r>
      <w:r w:rsidRPr="00907942">
        <w:rPr>
          <w:rFonts w:ascii="Palatino Linotype" w:eastAsia="Palatino Linotype" w:hAnsi="Palatino Linotype" w:cs="Palatino Linotype"/>
          <w:b/>
          <w:sz w:val="22"/>
          <w:szCs w:val="22"/>
        </w:rPr>
        <w:t xml:space="preserve">Recurrente, </w:t>
      </w:r>
      <w:r w:rsidRPr="00907942">
        <w:rPr>
          <w:rFonts w:ascii="Palatino Linotype" w:eastAsia="Palatino Linotype" w:hAnsi="Palatino Linotype" w:cs="Palatino Linotype"/>
          <w:sz w:val="22"/>
          <w:szCs w:val="22"/>
        </w:rPr>
        <w:t xml:space="preserve">promovió el presente recurso de revisión en el que a manera de motivos de inconformidad </w:t>
      </w:r>
      <w:r w:rsidRPr="00907942">
        <w:rPr>
          <w:rFonts w:ascii="Palatino Linotype" w:eastAsia="Palatino Linotype" w:hAnsi="Palatino Linotype" w:cs="Palatino Linotype"/>
          <w:b/>
          <w:sz w:val="22"/>
          <w:szCs w:val="22"/>
        </w:rPr>
        <w:t>se adolece medularmente de la entrega de información incompleta, ya que no se le hizo entrega de los contratos, facturas y recibos de pago por la compra de un terreno para la construcción del nuevo panteón municipal indicado en la solicitud.</w:t>
      </w:r>
    </w:p>
    <w:p w14:paraId="30DC5C6D"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10D28257"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Admitido el presente recurso de revisión, en términos del artículo 185 fracción II</w:t>
      </w:r>
      <w:r w:rsidRPr="00907942">
        <w:rPr>
          <w:rFonts w:ascii="Palatino Linotype" w:eastAsia="Palatino Linotype" w:hAnsi="Palatino Linotype" w:cs="Palatino Linotype"/>
          <w:sz w:val="22"/>
          <w:szCs w:val="22"/>
          <w:vertAlign w:val="superscript"/>
        </w:rPr>
        <w:footnoteReference w:id="3"/>
      </w:r>
      <w:r w:rsidRPr="00907942">
        <w:rPr>
          <w:rFonts w:ascii="Palatino Linotype" w:eastAsia="Palatino Linotype" w:hAnsi="Palatino Linotype" w:cs="Palatino Linotype"/>
          <w:sz w:val="22"/>
          <w:szCs w:val="22"/>
        </w:rPr>
        <w:t xml:space="preserve"> de la Ley de Transparencia y Acceso a la Información Pública del Estado de México y Municipios, se </w:t>
      </w:r>
      <w:r w:rsidRPr="00907942">
        <w:rPr>
          <w:rFonts w:ascii="Palatino Linotype" w:eastAsia="Palatino Linotype" w:hAnsi="Palatino Linotype" w:cs="Palatino Linotype"/>
          <w:sz w:val="22"/>
          <w:szCs w:val="22"/>
        </w:rPr>
        <w:lastRenderedPageBreak/>
        <w:t>integró el expediente y se puso a disposición de las partes para que, en un plazo máximo de siete días hábiles, manifestaran lo que a su derecho resultara conveniente.</w:t>
      </w:r>
    </w:p>
    <w:p w14:paraId="76DEF4AE"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625DB670" w14:textId="77777777" w:rsidR="00DD2398" w:rsidRPr="00907942" w:rsidRDefault="00D0559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Cabe resaltar que, durante la etapa de manifestaciones</w:t>
      </w:r>
      <w:r w:rsidRPr="00907942">
        <w:rPr>
          <w:rFonts w:ascii="Palatino Linotype" w:eastAsia="Palatino Linotype" w:hAnsi="Palatino Linotype" w:cs="Palatino Linotype"/>
          <w:b/>
          <w:sz w:val="22"/>
          <w:szCs w:val="22"/>
        </w:rPr>
        <w:t xml:space="preserve">, </w:t>
      </w:r>
      <w:r w:rsidRPr="00907942">
        <w:rPr>
          <w:rFonts w:ascii="Palatino Linotype" w:eastAsia="Palatino Linotype" w:hAnsi="Palatino Linotype" w:cs="Palatino Linotype"/>
          <w:sz w:val="22"/>
          <w:szCs w:val="22"/>
        </w:rPr>
        <w:t xml:space="preserve">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 xml:space="preserve">rindió su informe justificado, en el que de manera medular, por conducto de la Dirección de Asuntos Jurídicos se clasificó como información reservada la relativa a </w:t>
      </w:r>
      <w:r w:rsidRPr="00907942">
        <w:rPr>
          <w:rFonts w:ascii="Palatino Linotype" w:eastAsia="Palatino Linotype" w:hAnsi="Palatino Linotype" w:cs="Palatino Linotype"/>
          <w:b/>
          <w:sz w:val="22"/>
          <w:szCs w:val="22"/>
        </w:rPr>
        <w:t>los contratos, facturas y recibos de pago por la compra de un terreno adquirido para la construcción del nuevo panteón municipal</w:t>
      </w:r>
      <w:r w:rsidRPr="00907942">
        <w:rPr>
          <w:rFonts w:ascii="Palatino Linotype" w:eastAsia="Palatino Linotype" w:hAnsi="Palatino Linotype" w:cs="Palatino Linotype"/>
          <w:sz w:val="22"/>
          <w:szCs w:val="22"/>
        </w:rPr>
        <w:t xml:space="preserve">, se solicitaba su reserva en términos del artículo 140 fracción VI de la Ley de Transparencia de la Entidad, al encontrarse relacionada con un procedimiento de investigación por presuntas faltas administrativas, cuya entrega puede afectar la conducción o los derechos del debido proceso; asimismo, se adjunta el Acta del Comité de Transparencia que sustenta la clasificación de la información; documentación que no se puso a la vista de la parte </w:t>
      </w:r>
      <w:r w:rsidRPr="00907942">
        <w:rPr>
          <w:rFonts w:ascii="Palatino Linotype" w:eastAsia="Palatino Linotype" w:hAnsi="Palatino Linotype" w:cs="Palatino Linotype"/>
          <w:b/>
          <w:sz w:val="22"/>
          <w:szCs w:val="22"/>
        </w:rPr>
        <w:t xml:space="preserve">Recurrente, </w:t>
      </w:r>
      <w:r w:rsidRPr="00907942">
        <w:rPr>
          <w:rFonts w:ascii="Palatino Linotype" w:eastAsia="Palatino Linotype" w:hAnsi="Palatino Linotype" w:cs="Palatino Linotype"/>
          <w:sz w:val="22"/>
          <w:szCs w:val="22"/>
        </w:rPr>
        <w:t>en virtud de que contenía información relacionada con procedimientos por presuntas responsabilidades administrativas en contra se servidores públicos identificados.</w:t>
      </w:r>
    </w:p>
    <w:p w14:paraId="402CD103" w14:textId="77777777" w:rsidR="00DD2398" w:rsidRPr="00907942" w:rsidRDefault="00DD239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25B3044" w14:textId="77777777" w:rsidR="00DD2398" w:rsidRPr="00907942" w:rsidRDefault="00D0559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Por su lado, la parte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fue omisa en hacer valer manifestaciones o rendir alegatos que conforme a derecho resultaran procedentes.</w:t>
      </w:r>
    </w:p>
    <w:p w14:paraId="4F5761D1" w14:textId="77777777" w:rsidR="00DD2398" w:rsidRPr="00907942" w:rsidRDefault="00DD239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65062D8"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Una vez establecidas las posturas de las partes, es de indicar que, en el caso </w:t>
      </w:r>
      <w:r w:rsidRPr="00907942">
        <w:rPr>
          <w:rFonts w:ascii="Palatino Linotype" w:eastAsia="Palatino Linotype" w:hAnsi="Palatino Linotype" w:cs="Palatino Linotype"/>
          <w:b/>
          <w:sz w:val="22"/>
          <w:szCs w:val="22"/>
        </w:rPr>
        <w:t xml:space="preserve">los motivos de inconformidad no versan sobre la totalidad de los puntos de la solicitud; </w:t>
      </w:r>
      <w:r w:rsidRPr="00907942">
        <w:rPr>
          <w:rFonts w:ascii="Palatino Linotype" w:eastAsia="Palatino Linotype" w:hAnsi="Palatino Linotype" w:cs="Palatino Linotype"/>
          <w:sz w:val="22"/>
          <w:szCs w:val="22"/>
        </w:rPr>
        <w:t>sino de que no fue proporcionada la información consistente en los contratos, facturas y recibos de pago por la compra de un terreno adquirido para la construcción del nuevo panteón municipal.</w:t>
      </w:r>
    </w:p>
    <w:p w14:paraId="34ECE31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ED0D566"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Por tanto, </w:t>
      </w:r>
      <w:r w:rsidRPr="00907942">
        <w:rPr>
          <w:rFonts w:ascii="Palatino Linotype" w:eastAsia="Palatino Linotype" w:hAnsi="Palatino Linotype" w:cs="Palatino Linotype"/>
          <w:b/>
          <w:sz w:val="22"/>
          <w:szCs w:val="22"/>
        </w:rPr>
        <w:t xml:space="preserve">al no haberse impugnado la información entregada para colmar el requerimiento relativo a la ubicación geográfica del terreno adquirido donde se </w:t>
      </w:r>
      <w:r w:rsidRPr="00907942">
        <w:rPr>
          <w:rFonts w:ascii="Palatino Linotype" w:eastAsia="Palatino Linotype" w:hAnsi="Palatino Linotype" w:cs="Palatino Linotype"/>
          <w:b/>
          <w:sz w:val="22"/>
          <w:szCs w:val="22"/>
        </w:rPr>
        <w:lastRenderedPageBreak/>
        <w:t>encontrará el nuevo panteón municipal</w:t>
      </w:r>
      <w:r w:rsidRPr="00907942">
        <w:rPr>
          <w:rFonts w:ascii="Palatino Linotype" w:eastAsia="Palatino Linotype" w:hAnsi="Palatino Linotype" w:cs="Palatino Linotype"/>
          <w:sz w:val="22"/>
          <w:szCs w:val="22"/>
        </w:rPr>
        <w:t xml:space="preserve">, por ende, no pueden producirse efectos jurídicos tendentes a revocar, confirmar o modificar el acto reclamado, ya que, sobre dicha parte de la solicitud, la misma se encuentra satisfecha por la parte </w:t>
      </w:r>
      <w:r w:rsidRPr="00907942">
        <w:rPr>
          <w:rFonts w:ascii="Palatino Linotype" w:eastAsia="Palatino Linotype" w:hAnsi="Palatino Linotype" w:cs="Palatino Linotype"/>
          <w:b/>
          <w:sz w:val="22"/>
          <w:szCs w:val="22"/>
        </w:rPr>
        <w:t>Recurrente.</w:t>
      </w:r>
    </w:p>
    <w:p w14:paraId="2C97A769"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0FE3CA3"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Lo anterior es así, debido a que cuando la parte </w:t>
      </w:r>
      <w:r w:rsidRPr="00907942">
        <w:rPr>
          <w:rFonts w:ascii="Palatino Linotype" w:eastAsia="Palatino Linotype" w:hAnsi="Palatino Linotype" w:cs="Palatino Linotype"/>
          <w:b/>
          <w:sz w:val="22"/>
          <w:szCs w:val="22"/>
        </w:rPr>
        <w:t xml:space="preserve">Recurrente </w:t>
      </w:r>
      <w:r w:rsidRPr="00907942">
        <w:rPr>
          <w:rFonts w:ascii="Palatino Linotype" w:eastAsia="Palatino Linotype" w:hAnsi="Palatino Linotype" w:cs="Palatino Linotype"/>
          <w:sz w:val="22"/>
          <w:szCs w:val="22"/>
        </w:rPr>
        <w:t xml:space="preserve">impugna la respuesta del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4691CB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F7FA114" w14:textId="77777777" w:rsidR="00DD2398" w:rsidRPr="00907942" w:rsidRDefault="00D05599">
      <w:pPr>
        <w:spacing w:line="276"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xml:space="preserve">“REVISIÓN EN AMPARO. LOS RESOLUTIVOS NO COMBATIDOS DEBEN DECLARARSE FIRMES. </w:t>
      </w:r>
      <w:r w:rsidRPr="00907942">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E5334C3" w14:textId="77777777" w:rsidR="00DD2398" w:rsidRPr="00907942" w:rsidRDefault="00DD2398">
      <w:pPr>
        <w:spacing w:line="276" w:lineRule="auto"/>
        <w:ind w:left="567" w:right="616"/>
        <w:jc w:val="both"/>
        <w:rPr>
          <w:rFonts w:ascii="Palatino Linotype" w:eastAsia="Palatino Linotype" w:hAnsi="Palatino Linotype" w:cs="Palatino Linotype"/>
          <w:i/>
          <w:sz w:val="22"/>
          <w:szCs w:val="22"/>
        </w:rPr>
      </w:pPr>
    </w:p>
    <w:p w14:paraId="491BF508"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Consecuentemente, se insiste, ante la falta de impugnación en contra de todos los puntos de la solicitud, los no controvertidos deben declararse consentidos.</w:t>
      </w:r>
    </w:p>
    <w:p w14:paraId="509405BA"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9AC97E5"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Lo anterior se sustenta con lo plasmado en el criterio 01/20 emitido por el entonces Instituto Nacional de Transparencia, Acceso a la Información, y Protección de Datos Personales, INAI, que lleva por rubro y texto los siguientes: </w:t>
      </w:r>
    </w:p>
    <w:p w14:paraId="4D4C188A"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B5632A2" w14:textId="77777777" w:rsidR="00DD2398" w:rsidRPr="00907942" w:rsidRDefault="00D05599">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lastRenderedPageBreak/>
        <w:t>“</w:t>
      </w:r>
      <w:r w:rsidRPr="00907942">
        <w:rPr>
          <w:rFonts w:ascii="Palatino Linotype" w:eastAsia="Palatino Linotype" w:hAnsi="Palatino Linotype" w:cs="Palatino Linotype"/>
          <w:b/>
          <w:i/>
          <w:sz w:val="22"/>
          <w:szCs w:val="22"/>
        </w:rPr>
        <w:t xml:space="preserve">Actos consentidos tácitamente. Improcedencia de su análisis. </w:t>
      </w:r>
      <w:r w:rsidRPr="00907942">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4E15C26" w14:textId="77777777" w:rsidR="00DD2398" w:rsidRPr="00907942" w:rsidRDefault="00DD2398">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4498FBD7"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3C023F5F" w14:textId="77777777" w:rsidR="00DD2398" w:rsidRPr="00907942" w:rsidRDefault="00DD2398">
      <w:pPr>
        <w:spacing w:line="360" w:lineRule="auto"/>
        <w:ind w:left="851" w:right="900"/>
        <w:jc w:val="both"/>
        <w:rPr>
          <w:rFonts w:ascii="Palatino Linotype" w:eastAsia="Palatino Linotype" w:hAnsi="Palatino Linotype" w:cs="Palatino Linotype"/>
          <w:b/>
          <w:i/>
          <w:smallCaps/>
          <w:sz w:val="22"/>
          <w:szCs w:val="22"/>
        </w:rPr>
      </w:pPr>
    </w:p>
    <w:p w14:paraId="3D45F84D" w14:textId="77777777" w:rsidR="00DD2398" w:rsidRPr="00907942" w:rsidRDefault="00D05599">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i/>
          <w:smallCaps/>
          <w:sz w:val="22"/>
          <w:szCs w:val="22"/>
        </w:rPr>
        <w:t xml:space="preserve">“ACTOS CONSENTIDOS. SON LOS QUE NO SE IMPUGNAN MEDIANTE EL RECURSO IDÓNEO. </w:t>
      </w:r>
      <w:r w:rsidRPr="00907942">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907942">
        <w:rPr>
          <w:rFonts w:ascii="Palatino Linotype" w:eastAsia="Palatino Linotype" w:hAnsi="Palatino Linotype" w:cs="Palatino Linotype"/>
          <w:i/>
          <w:sz w:val="22"/>
          <w:szCs w:val="22"/>
        </w:rPr>
        <w:t>ya que</w:t>
      </w:r>
      <w:proofErr w:type="gramEnd"/>
      <w:r w:rsidRPr="00907942">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053852E" w14:textId="77777777" w:rsidR="00DD2398" w:rsidRPr="00907942" w:rsidRDefault="00DD239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F28FC11" w14:textId="77777777" w:rsidR="00DD2398" w:rsidRPr="00907942" w:rsidRDefault="00D0559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ese sentido, atendiendo los motivos de inconformidad, </w:t>
      </w:r>
      <w:r w:rsidRPr="00907942">
        <w:rPr>
          <w:rFonts w:ascii="Palatino Linotype" w:eastAsia="Palatino Linotype" w:hAnsi="Palatino Linotype" w:cs="Palatino Linotype"/>
          <w:b/>
          <w:sz w:val="22"/>
          <w:szCs w:val="22"/>
        </w:rPr>
        <w:t xml:space="preserve">en el presente asunto únicamente se procederá al estudio de la falta de entrega de </w:t>
      </w:r>
      <w:r w:rsidRPr="00907942">
        <w:rPr>
          <w:rFonts w:ascii="Palatino Linotype" w:eastAsia="Palatino Linotype" w:hAnsi="Palatino Linotype" w:cs="Palatino Linotype"/>
          <w:b/>
          <w:sz w:val="22"/>
          <w:szCs w:val="22"/>
          <w:u w:val="single"/>
        </w:rPr>
        <w:t>los contratos, facturas y recibos de pago por la compra de un terreno adquirido para la construcción del nuevo panteón municipal, derivado de la clasificación hecha valer por el Sujeto Obligado</w:t>
      </w:r>
      <w:r w:rsidRPr="00907942">
        <w:rPr>
          <w:rFonts w:ascii="Palatino Linotype" w:eastAsia="Palatino Linotype" w:hAnsi="Palatino Linotype" w:cs="Palatino Linotype"/>
          <w:sz w:val="22"/>
          <w:szCs w:val="22"/>
          <w:u w:val="single"/>
        </w:rPr>
        <w:t>.</w:t>
      </w:r>
    </w:p>
    <w:p w14:paraId="425B0785" w14:textId="77777777" w:rsidR="00DD2398" w:rsidRPr="00907942" w:rsidRDefault="00DD239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393C5002"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Expuesto lo anterior, en el caso se procede al análisis de la naturaleza de la información requerida y para ello, resulta conveniente señalar lo siguiente:</w:t>
      </w:r>
    </w:p>
    <w:p w14:paraId="59D63CA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AE0FFE0"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Los bienes municipales son el conjunto de muebles e inmuebles, propiedad del Municipio, adquiridos bajo cualquier forma o concepto, sea por la vía del derecho público o privado, ejemplo: </w:t>
      </w:r>
      <w:r w:rsidRPr="00907942">
        <w:rPr>
          <w:rFonts w:ascii="Palatino Linotype" w:eastAsia="Palatino Linotype" w:hAnsi="Palatino Linotype" w:cs="Palatino Linotype"/>
          <w:b/>
          <w:sz w:val="22"/>
          <w:szCs w:val="22"/>
          <w:u w:val="single"/>
        </w:rPr>
        <w:t>compraventa o donación.</w:t>
      </w:r>
    </w:p>
    <w:p w14:paraId="74C4F2DD" w14:textId="77777777" w:rsidR="00DD2398" w:rsidRPr="00907942" w:rsidRDefault="00DD2398">
      <w:pPr>
        <w:spacing w:line="360" w:lineRule="auto"/>
        <w:jc w:val="both"/>
        <w:rPr>
          <w:rFonts w:ascii="Palatino Linotype" w:eastAsia="Palatino Linotype" w:hAnsi="Palatino Linotype" w:cs="Palatino Linotype"/>
          <w:sz w:val="22"/>
          <w:szCs w:val="22"/>
        </w:rPr>
      </w:pPr>
      <w:bookmarkStart w:id="9" w:name="_heading=h.ahsv8f815ovc" w:colFirst="0" w:colLast="0"/>
      <w:bookmarkEnd w:id="9"/>
    </w:p>
    <w:p w14:paraId="42A5F4DB"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A mayor abundamiento, se trae a contexto el contenido del artículo 97, fracción I de la Ley Orgánica Municipal del Estado de México y Municipios:</w:t>
      </w:r>
    </w:p>
    <w:p w14:paraId="73AF570A"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8AB0089" w14:textId="77777777" w:rsidR="00DD2398" w:rsidRPr="00907942" w:rsidRDefault="00D05599">
      <w:pPr>
        <w:spacing w:line="360"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“Artículo 97.- La hacienda pública municipal se integra por:</w:t>
      </w:r>
    </w:p>
    <w:p w14:paraId="434062CF" w14:textId="77777777" w:rsidR="00DD2398" w:rsidRPr="00907942" w:rsidRDefault="00D05599">
      <w:pPr>
        <w:spacing w:line="360" w:lineRule="auto"/>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I. Los bienes muebles e inmuebles propiedad del municipio;</w:t>
      </w:r>
    </w:p>
    <w:p w14:paraId="181B6D47" w14:textId="77777777" w:rsidR="00DD2398" w:rsidRPr="00907942" w:rsidRDefault="00D05599">
      <w:pPr>
        <w:spacing w:line="360"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w:t>
      </w:r>
    </w:p>
    <w:p w14:paraId="6F3BFA9B"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6B0A06E4"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Por su parte la Ley de Bienes de Estado de México y Municipios establece lo siguiente: </w:t>
      </w:r>
    </w:p>
    <w:p w14:paraId="7AB738F5"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62111101" w14:textId="77777777" w:rsidR="00DD2398" w:rsidRPr="00907942" w:rsidRDefault="00D05599">
      <w:pPr>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 xml:space="preserve">“Artículo 5.- </w:t>
      </w:r>
      <w:r w:rsidRPr="00907942">
        <w:rPr>
          <w:rFonts w:ascii="Palatino Linotype" w:eastAsia="Palatino Linotype" w:hAnsi="Palatino Linotype" w:cs="Palatino Linotype"/>
          <w:i/>
          <w:sz w:val="22"/>
          <w:szCs w:val="22"/>
        </w:rPr>
        <w:t>Corresponde al Ejecutivo del Estado por conducto de la Secretaría de Finanzas y a los ayuntamientos</w:t>
      </w:r>
      <w:r w:rsidRPr="00907942">
        <w:rPr>
          <w:rFonts w:ascii="Palatino Linotype" w:eastAsia="Palatino Linotype" w:hAnsi="Palatino Linotype" w:cs="Palatino Linotype"/>
          <w:b/>
          <w:i/>
          <w:sz w:val="22"/>
          <w:szCs w:val="22"/>
        </w:rPr>
        <w:t>:</w:t>
      </w:r>
    </w:p>
    <w:p w14:paraId="43C632E6" w14:textId="77777777" w:rsidR="00DD2398" w:rsidRPr="00907942" w:rsidRDefault="00D05599">
      <w:pPr>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w:t>
      </w:r>
    </w:p>
    <w:p w14:paraId="259B6BBC" w14:textId="77777777" w:rsidR="00DD2398" w:rsidRPr="00907942" w:rsidRDefault="00D05599">
      <w:pPr>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IX. Adquirir bienes inmuebles o celebrar los actos jurídicos que impliquen la transmisión a título oneroso o gratuito de los bienes del dominio privado, conforme a lo dispuesto por el artículo 61 fracción XXXVI de la Constitución Política del Estado;</w:t>
      </w:r>
    </w:p>
    <w:p w14:paraId="5680DE64" w14:textId="77777777" w:rsidR="00DD2398" w:rsidRPr="00907942" w:rsidRDefault="00D05599">
      <w:pPr>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w:t>
      </w:r>
    </w:p>
    <w:p w14:paraId="28E08D07" w14:textId="77777777" w:rsidR="00DD2398" w:rsidRPr="00907942" w:rsidRDefault="00D05599">
      <w:pPr>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XIII. Llevar el Registro Administrativo de la Propiedad Pública Estatal o Municipal, respectivamente;”</w:t>
      </w:r>
    </w:p>
    <w:p w14:paraId="498F1232" w14:textId="77777777" w:rsidR="00DD2398" w:rsidRPr="00907942" w:rsidRDefault="00DD2398">
      <w:pPr>
        <w:ind w:left="567" w:right="560"/>
        <w:jc w:val="center"/>
        <w:rPr>
          <w:rFonts w:ascii="Palatino Linotype" w:eastAsia="Palatino Linotype" w:hAnsi="Palatino Linotype" w:cs="Palatino Linotype"/>
          <w:b/>
          <w:i/>
          <w:sz w:val="22"/>
          <w:szCs w:val="22"/>
        </w:rPr>
      </w:pPr>
    </w:p>
    <w:p w14:paraId="10B9DB0A" w14:textId="77777777" w:rsidR="00DD2398" w:rsidRPr="00907942" w:rsidRDefault="00D05599">
      <w:pPr>
        <w:ind w:left="567" w:right="560"/>
        <w:jc w:val="center"/>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DEL REGISTRO ADMINISTRATIVO DE BIENES DEL DOMINIO PÚBLICO Y PRIVADO.</w:t>
      </w:r>
    </w:p>
    <w:p w14:paraId="4514BE10" w14:textId="77777777" w:rsidR="00DD2398" w:rsidRPr="00907942" w:rsidRDefault="00D05599">
      <w:pPr>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62.-</w:t>
      </w:r>
      <w:r w:rsidRPr="00907942">
        <w:rPr>
          <w:rFonts w:ascii="Palatino Linotype" w:eastAsia="Palatino Linotype" w:hAnsi="Palatino Linotype" w:cs="Palatino Linotype"/>
          <w:i/>
          <w:sz w:val="22"/>
          <w:szCs w:val="22"/>
        </w:rPr>
        <w:t xml:space="preserve"> El Ejecutivo del Estado por conducto de la Secretaría de Finanzas y </w:t>
      </w:r>
      <w:r w:rsidRPr="00907942">
        <w:rPr>
          <w:rFonts w:ascii="Palatino Linotype" w:eastAsia="Palatino Linotype" w:hAnsi="Palatino Linotype" w:cs="Palatino Linotype"/>
          <w:b/>
          <w:i/>
          <w:sz w:val="22"/>
          <w:szCs w:val="22"/>
        </w:rPr>
        <w:t>los ayuntamientos, llevarán un registro de la propiedad de bienes del dominio público y del dominio privado que se denominará Registro Administrativo de la propiedad Pública Estatal o Municipal</w:t>
      </w:r>
      <w:r w:rsidRPr="00907942">
        <w:rPr>
          <w:rFonts w:ascii="Palatino Linotype" w:eastAsia="Palatino Linotype" w:hAnsi="Palatino Linotype" w:cs="Palatino Linotype"/>
          <w:i/>
          <w:sz w:val="22"/>
          <w:szCs w:val="22"/>
        </w:rPr>
        <w:t xml:space="preserve"> según corresponda.” </w:t>
      </w:r>
    </w:p>
    <w:p w14:paraId="47CC44D4" w14:textId="77777777" w:rsidR="00DD2398" w:rsidRPr="00907942" w:rsidRDefault="00DD2398">
      <w:pPr>
        <w:ind w:left="567" w:right="560"/>
        <w:jc w:val="both"/>
        <w:rPr>
          <w:rFonts w:ascii="Palatino Linotype" w:eastAsia="Palatino Linotype" w:hAnsi="Palatino Linotype" w:cs="Palatino Linotype"/>
          <w:i/>
          <w:sz w:val="22"/>
          <w:szCs w:val="22"/>
        </w:rPr>
      </w:pPr>
    </w:p>
    <w:p w14:paraId="02794AC4" w14:textId="77777777" w:rsidR="00DD2398" w:rsidRPr="00907942" w:rsidRDefault="00D05599">
      <w:pPr>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“Artículo 63.- En el Registro Administrativo de la Propiedad Pública Estatal o Municipal, según corresponda, se inscribirán: </w:t>
      </w:r>
    </w:p>
    <w:p w14:paraId="0235FB34" w14:textId="77777777" w:rsidR="00DD2398" w:rsidRPr="00907942" w:rsidRDefault="00D05599">
      <w:pPr>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 xml:space="preserve">I. Los títulos y documentos por los cuales se adquiera, </w:t>
      </w:r>
      <w:proofErr w:type="gramStart"/>
      <w:r w:rsidRPr="00907942">
        <w:rPr>
          <w:rFonts w:ascii="Palatino Linotype" w:eastAsia="Palatino Linotype" w:hAnsi="Palatino Linotype" w:cs="Palatino Linotype"/>
          <w:b/>
          <w:i/>
          <w:sz w:val="22"/>
          <w:szCs w:val="22"/>
        </w:rPr>
        <w:t>transmita</w:t>
      </w:r>
      <w:proofErr w:type="gramEnd"/>
      <w:r w:rsidRPr="00907942">
        <w:rPr>
          <w:rFonts w:ascii="Palatino Linotype" w:eastAsia="Palatino Linotype" w:hAnsi="Palatino Linotype" w:cs="Palatino Linotype"/>
          <w:b/>
          <w:i/>
          <w:sz w:val="22"/>
          <w:szCs w:val="22"/>
        </w:rPr>
        <w:t xml:space="preserve">, grave, modifique, afecte o extinga el dominio o la posesión y los demás derechos reales sobe los bienes inmuebles del Estado o de los municipios;” </w:t>
      </w:r>
    </w:p>
    <w:p w14:paraId="6BF29DA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59632FA"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De la normatividad plasmada, advertimos que la Hacienda Pública Municipal está conformada, entre otros elementos, por los bienes inmuebles del municipio; y que corresponde a los ayuntamientos llevar un registro de la propiedad de bienes de dominio público y privado denominado “</w:t>
      </w:r>
      <w:r w:rsidRPr="00907942">
        <w:rPr>
          <w:rFonts w:ascii="Palatino Linotype" w:eastAsia="Palatino Linotype" w:hAnsi="Palatino Linotype" w:cs="Palatino Linotype"/>
          <w:b/>
          <w:sz w:val="22"/>
          <w:szCs w:val="22"/>
        </w:rPr>
        <w:t>Registro Administrativo de la Propiedad Pública Municipal</w:t>
      </w:r>
      <w:r w:rsidRPr="00907942">
        <w:rPr>
          <w:rFonts w:ascii="Palatino Linotype" w:eastAsia="Palatino Linotype" w:hAnsi="Palatino Linotype" w:cs="Palatino Linotype"/>
          <w:sz w:val="22"/>
          <w:szCs w:val="22"/>
        </w:rPr>
        <w:t xml:space="preserve">” en el cual se inscribirán los </w:t>
      </w:r>
      <w:r w:rsidRPr="00907942">
        <w:rPr>
          <w:rFonts w:ascii="Palatino Linotype" w:eastAsia="Palatino Linotype" w:hAnsi="Palatino Linotype" w:cs="Palatino Linotype"/>
          <w:b/>
          <w:sz w:val="22"/>
          <w:szCs w:val="22"/>
          <w:u w:val="single"/>
        </w:rPr>
        <w:t>títulos y documentos por los cuales se adquiera,</w:t>
      </w:r>
      <w:r w:rsidRPr="00907942">
        <w:rPr>
          <w:rFonts w:ascii="Palatino Linotype" w:eastAsia="Palatino Linotype" w:hAnsi="Palatino Linotype" w:cs="Palatino Linotype"/>
          <w:sz w:val="22"/>
          <w:szCs w:val="22"/>
        </w:rPr>
        <w:t xml:space="preserve"> transmita, grave, modifique, afecte o extinga el dominio o la posesión y los demás derechos reales sobe los bienes inmuebles de los municipios.</w:t>
      </w:r>
    </w:p>
    <w:p w14:paraId="7E2E7F00"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8CB2F90"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Aquí, se destaca que, dentro de las formas que prevé la Ley de Bienes de Estado de México y Municipios, para adquirir los bienes inmuebles, se encuentra la </w:t>
      </w:r>
      <w:r w:rsidRPr="00907942">
        <w:rPr>
          <w:rFonts w:ascii="Palatino Linotype" w:eastAsia="Palatino Linotype" w:hAnsi="Palatino Linotype" w:cs="Palatino Linotype"/>
          <w:b/>
          <w:sz w:val="22"/>
          <w:szCs w:val="22"/>
          <w:u w:val="single"/>
        </w:rPr>
        <w:t>compraventa.</w:t>
      </w:r>
    </w:p>
    <w:p w14:paraId="05EC9E3A"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617ED4A9"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Al respecto, para adquirir bienes inmuebles por compraventa por parte de los ayuntamientos, entre otros, se deberá satisfacer lo dispuesto en el Código Civil del Estado de México; ordenamiento que por cuanto hace a la compraventa, señala lo siguiente en su artículo 7.532:</w:t>
      </w:r>
    </w:p>
    <w:p w14:paraId="59B13D1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F80C808" w14:textId="77777777" w:rsidR="00DD2398" w:rsidRPr="00907942" w:rsidRDefault="00D05599">
      <w:pPr>
        <w:spacing w:line="360"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“Artículo 7.532.- Hay compraventa cuando uno de los contratantes se obliga a transferir la propiedad de un bien o de un derecho, y el otro, a su vez, se obliga a pagar por ello un precio cierto y en dinero.”</w:t>
      </w:r>
    </w:p>
    <w:p w14:paraId="0A86DBB6"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2A791E2"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Del dispositivo legal en cita, se advierte que existe </w:t>
      </w:r>
      <w:r w:rsidRPr="00907942">
        <w:rPr>
          <w:rFonts w:ascii="Palatino Linotype" w:eastAsia="Palatino Linotype" w:hAnsi="Palatino Linotype" w:cs="Palatino Linotype"/>
          <w:b/>
          <w:sz w:val="22"/>
          <w:szCs w:val="22"/>
        </w:rPr>
        <w:t>compraventa</w:t>
      </w:r>
      <w:r w:rsidRPr="00907942">
        <w:rPr>
          <w:rFonts w:ascii="Palatino Linotype" w:eastAsia="Palatino Linotype" w:hAnsi="Palatino Linotype" w:cs="Palatino Linotype"/>
          <w:sz w:val="22"/>
          <w:szCs w:val="22"/>
        </w:rPr>
        <w:t xml:space="preserve"> cuando uno de los contratantes se obliga a transferir la propiedad de un bien o de un derecho, y el otro, a su vez, se obliga a pagar por ello un precio cierto y en dinero.</w:t>
      </w:r>
    </w:p>
    <w:p w14:paraId="219470DB"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6BA4ECF"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Es de agregar que conforme lo establecido por el Instituto de la Función Registral del Estado de México, en su página principal localizada en el siguiente link:</w:t>
      </w:r>
      <w:r w:rsidRPr="00907942">
        <w:rPr>
          <w:sz w:val="22"/>
          <w:szCs w:val="22"/>
        </w:rPr>
        <w:t xml:space="preserve"> </w:t>
      </w:r>
      <w:r w:rsidRPr="00907942">
        <w:rPr>
          <w:rFonts w:ascii="Palatino Linotype" w:eastAsia="Palatino Linotype" w:hAnsi="Palatino Linotype" w:cs="Palatino Linotype"/>
          <w:sz w:val="22"/>
          <w:szCs w:val="22"/>
        </w:rPr>
        <w:lastRenderedPageBreak/>
        <w:t>https://ifrem.edomex.gob.mx/propiedad, la propiedad consiste en dar publicidad a la situación jurídica de los bienes y derechos, así como a los actos y hechos jurídicos que conforme a la Ley deban registrarse para surtir efectos contra terceros, a fin de otorgar certeza y seguridad jurídica a los mismos; funcionando bajo la responsabilidad del Instituto de la Función Registral del Estado de México; y dentro de los documentos que son inscribibles ante dicho registro, conforme el artículo 78, fracción I del Reglamento de la Ley Registral para el Estado de México, se encuentran los siguientes:</w:t>
      </w:r>
    </w:p>
    <w:p w14:paraId="446E3F74"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4852054" w14:textId="77777777" w:rsidR="00DD2398" w:rsidRPr="00907942" w:rsidRDefault="00D05599">
      <w:pPr>
        <w:spacing w:line="276"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“Artículo 78.- Además de los actos previstos en el artículo 57 de la Ley, serán objeto de inscripción en el Registro Inmobiliario: </w:t>
      </w:r>
    </w:p>
    <w:p w14:paraId="12361288" w14:textId="77777777" w:rsidR="00DD2398" w:rsidRPr="00907942" w:rsidRDefault="00DD2398">
      <w:pPr>
        <w:spacing w:line="276" w:lineRule="auto"/>
        <w:ind w:left="567" w:right="560"/>
        <w:jc w:val="both"/>
        <w:rPr>
          <w:rFonts w:ascii="Palatino Linotype" w:eastAsia="Palatino Linotype" w:hAnsi="Palatino Linotype" w:cs="Palatino Linotype"/>
          <w:i/>
          <w:sz w:val="22"/>
          <w:szCs w:val="22"/>
        </w:rPr>
      </w:pPr>
    </w:p>
    <w:p w14:paraId="3F71A0FB" w14:textId="77777777" w:rsidR="00DD2398" w:rsidRPr="00907942" w:rsidRDefault="00D05599">
      <w:pPr>
        <w:spacing w:line="276"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I. </w:t>
      </w:r>
      <w:r w:rsidRPr="00907942">
        <w:rPr>
          <w:rFonts w:ascii="Palatino Linotype" w:eastAsia="Palatino Linotype" w:hAnsi="Palatino Linotype" w:cs="Palatino Linotype"/>
          <w:b/>
          <w:i/>
          <w:sz w:val="22"/>
          <w:szCs w:val="22"/>
        </w:rPr>
        <w:t>Los títulos</w:t>
      </w:r>
      <w:r w:rsidRPr="00907942">
        <w:rPr>
          <w:rFonts w:ascii="Palatino Linotype" w:eastAsia="Palatino Linotype" w:hAnsi="Palatino Linotype" w:cs="Palatino Linotype"/>
          <w:i/>
          <w:sz w:val="22"/>
          <w:szCs w:val="22"/>
        </w:rPr>
        <w:t xml:space="preserve"> por los cuales se cree, declare, reconozca, </w:t>
      </w:r>
      <w:r w:rsidRPr="00907942">
        <w:rPr>
          <w:rFonts w:ascii="Palatino Linotype" w:eastAsia="Palatino Linotype" w:hAnsi="Palatino Linotype" w:cs="Palatino Linotype"/>
          <w:b/>
          <w:i/>
          <w:sz w:val="22"/>
          <w:szCs w:val="22"/>
        </w:rPr>
        <w:t>adquiera,</w:t>
      </w:r>
      <w:r w:rsidRPr="00907942">
        <w:rPr>
          <w:rFonts w:ascii="Palatino Linotype" w:eastAsia="Palatino Linotype" w:hAnsi="Palatino Linotype" w:cs="Palatino Linotype"/>
          <w:i/>
          <w:sz w:val="22"/>
          <w:szCs w:val="22"/>
        </w:rPr>
        <w:t xml:space="preserve"> transmita, modifique, afecte, limite, grave o extinga </w:t>
      </w:r>
      <w:r w:rsidRPr="00907942">
        <w:rPr>
          <w:rFonts w:ascii="Palatino Linotype" w:eastAsia="Palatino Linotype" w:hAnsi="Palatino Linotype" w:cs="Palatino Linotype"/>
          <w:b/>
          <w:i/>
          <w:sz w:val="22"/>
          <w:szCs w:val="22"/>
        </w:rPr>
        <w:t>la propiedad,</w:t>
      </w:r>
      <w:r w:rsidRPr="00907942">
        <w:rPr>
          <w:rFonts w:ascii="Palatino Linotype" w:eastAsia="Palatino Linotype" w:hAnsi="Palatino Linotype" w:cs="Palatino Linotype"/>
          <w:i/>
          <w:sz w:val="22"/>
          <w:szCs w:val="22"/>
        </w:rPr>
        <w:t xml:space="preserve"> la posesión originaria </w:t>
      </w:r>
      <w:proofErr w:type="gramStart"/>
      <w:r w:rsidRPr="00907942">
        <w:rPr>
          <w:rFonts w:ascii="Palatino Linotype" w:eastAsia="Palatino Linotype" w:hAnsi="Palatino Linotype" w:cs="Palatino Linotype"/>
          <w:i/>
          <w:sz w:val="22"/>
          <w:szCs w:val="22"/>
        </w:rPr>
        <w:t>o[</w:t>
      </w:r>
      <w:proofErr w:type="gramEnd"/>
      <w:r w:rsidRPr="00907942">
        <w:rPr>
          <w:rFonts w:ascii="Palatino Linotype" w:eastAsia="Palatino Linotype" w:hAnsi="Palatino Linotype" w:cs="Palatino Linotype"/>
          <w:i/>
          <w:sz w:val="22"/>
          <w:szCs w:val="22"/>
        </w:rPr>
        <w:t>…]”</w:t>
      </w:r>
    </w:p>
    <w:p w14:paraId="0539922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CA8BB43"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Por lo que, del análisis concatenado a los preceptos legales antes citados, se tiene que, a fin de llevar a cabo una la adquisición de bienes inmuebles por </w:t>
      </w:r>
      <w:r w:rsidRPr="00907942">
        <w:rPr>
          <w:rFonts w:ascii="Palatino Linotype" w:eastAsia="Palatino Linotype" w:hAnsi="Palatino Linotype" w:cs="Palatino Linotype"/>
          <w:b/>
          <w:sz w:val="22"/>
          <w:szCs w:val="22"/>
        </w:rPr>
        <w:t>compraventa</w:t>
      </w:r>
      <w:r w:rsidRPr="00907942">
        <w:rPr>
          <w:rFonts w:ascii="Palatino Linotype" w:eastAsia="Palatino Linotype" w:hAnsi="Palatino Linotype" w:cs="Palatino Linotype"/>
          <w:sz w:val="22"/>
          <w:szCs w:val="22"/>
        </w:rPr>
        <w:t xml:space="preserve">, y por ende, para dar inicio al procedimiento de regularización e inscripción de los mismos en el Registro Público de la Propiedad, para que pasen a formar parte del patrimonio municipal, </w:t>
      </w:r>
      <w:r w:rsidRPr="00907942">
        <w:rPr>
          <w:rFonts w:ascii="Palatino Linotype" w:eastAsia="Palatino Linotype" w:hAnsi="Palatino Linotype" w:cs="Palatino Linotype"/>
          <w:b/>
          <w:sz w:val="22"/>
          <w:szCs w:val="22"/>
        </w:rPr>
        <w:t xml:space="preserve">es necesario contar con el título o documento que acredite la propiedad de los mismos, </w:t>
      </w:r>
      <w:r w:rsidRPr="00907942">
        <w:rPr>
          <w:rFonts w:ascii="Palatino Linotype" w:eastAsia="Palatino Linotype" w:hAnsi="Palatino Linotype" w:cs="Palatino Linotype"/>
          <w:sz w:val="22"/>
          <w:szCs w:val="22"/>
        </w:rPr>
        <w:t xml:space="preserve">que puede ser de manera enunciativa más no limitativa </w:t>
      </w:r>
      <w:r w:rsidRPr="00907942">
        <w:rPr>
          <w:rFonts w:ascii="Palatino Linotype" w:eastAsia="Palatino Linotype" w:hAnsi="Palatino Linotype" w:cs="Palatino Linotype"/>
          <w:b/>
          <w:sz w:val="22"/>
          <w:szCs w:val="22"/>
          <w:u w:val="single"/>
        </w:rPr>
        <w:t>el contrato de compraventa</w:t>
      </w:r>
      <w:r w:rsidRPr="00907942">
        <w:rPr>
          <w:rFonts w:ascii="Palatino Linotype" w:eastAsia="Palatino Linotype" w:hAnsi="Palatino Linotype" w:cs="Palatino Linotype"/>
          <w:sz w:val="22"/>
          <w:szCs w:val="22"/>
        </w:rPr>
        <w:t>, o bien la escritura pública.</w:t>
      </w:r>
    </w:p>
    <w:p w14:paraId="4024ABB1"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9DB8189"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De lo anterior se advierte que derivado de la adquisición de un bien inmueble que va a formar parte del patrimonio municipal, debe obrar en el archivo, en este caso del Ayuntamiento de Otzolotepec, </w:t>
      </w:r>
      <w:r w:rsidRPr="00907942">
        <w:rPr>
          <w:rFonts w:ascii="Palatino Linotype" w:eastAsia="Palatino Linotype" w:hAnsi="Palatino Linotype" w:cs="Palatino Linotype"/>
          <w:b/>
          <w:sz w:val="22"/>
          <w:szCs w:val="22"/>
        </w:rPr>
        <w:t>el documento que acredite la propiedad de dicho bien, como lo puede ser el contrato de compraventa respectivo</w:t>
      </w:r>
      <w:r w:rsidRPr="00907942">
        <w:rPr>
          <w:rFonts w:ascii="Palatino Linotype" w:eastAsia="Palatino Linotype" w:hAnsi="Palatino Linotype" w:cs="Palatino Linotype"/>
          <w:sz w:val="22"/>
          <w:szCs w:val="22"/>
        </w:rPr>
        <w:t>.</w:t>
      </w:r>
    </w:p>
    <w:p w14:paraId="5505559C"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8B230A4" w14:textId="77777777" w:rsidR="00DD2398" w:rsidRPr="00907942" w:rsidRDefault="00D05599">
      <w:pPr>
        <w:widowControl w:val="0"/>
        <w:tabs>
          <w:tab w:val="left" w:pos="7655"/>
        </w:tabs>
        <w:spacing w:line="360" w:lineRule="auto"/>
        <w:ind w:right="49"/>
        <w:jc w:val="both"/>
        <w:rPr>
          <w:sz w:val="22"/>
          <w:szCs w:val="22"/>
        </w:rPr>
      </w:pPr>
      <w:r w:rsidRPr="00907942">
        <w:rPr>
          <w:rFonts w:ascii="Palatino Linotype" w:eastAsia="Palatino Linotype" w:hAnsi="Palatino Linotype" w:cs="Palatino Linotype"/>
          <w:b/>
          <w:sz w:val="22"/>
          <w:szCs w:val="22"/>
        </w:rPr>
        <w:lastRenderedPageBreak/>
        <w:t>Ahora, por cuanto hace a las facturas y/o recibos de pago por la adquisición del terreno señalado en la solicitud de información,</w:t>
      </w:r>
      <w:r w:rsidRPr="00907942">
        <w:rPr>
          <w:rFonts w:ascii="Palatino Linotype" w:eastAsia="Palatino Linotype" w:hAnsi="Palatino Linotype" w:cs="Palatino Linotype"/>
          <w:sz w:val="22"/>
          <w:szCs w:val="22"/>
        </w:rPr>
        <w:t xml:space="preserve">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7700DDCA" w14:textId="77777777" w:rsidR="00DD2398" w:rsidRPr="00907942" w:rsidRDefault="00D05599">
      <w:pPr>
        <w:spacing w:before="120" w:after="120"/>
        <w:ind w:left="862" w:right="86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342</w:t>
      </w:r>
      <w:r w:rsidRPr="00907942">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774982E5" w14:textId="77777777" w:rsidR="00DD2398" w:rsidRPr="00907942" w:rsidRDefault="00D05599">
      <w:pPr>
        <w:spacing w:before="120" w:after="120"/>
        <w:ind w:left="862" w:right="862"/>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En el caso de los municipios,</w:t>
      </w:r>
      <w:r w:rsidRPr="00907942">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907942">
        <w:rPr>
          <w:rFonts w:ascii="Palatino Linotype" w:eastAsia="Palatino Linotype" w:hAnsi="Palatino Linotype" w:cs="Palatino Linotype"/>
          <w:b/>
          <w:i/>
          <w:sz w:val="22"/>
          <w:szCs w:val="22"/>
        </w:rPr>
        <w:t>planeación, programación, presupuestación, evaluación y contabilidad gubernamental</w:t>
      </w:r>
      <w:r w:rsidRPr="00907942">
        <w:rPr>
          <w:rFonts w:ascii="Palatino Linotype" w:eastAsia="Palatino Linotype" w:hAnsi="Palatino Linotype" w:cs="Palatino Linotype"/>
          <w:i/>
          <w:sz w:val="22"/>
          <w:szCs w:val="22"/>
        </w:rPr>
        <w:t>, que se aprueben en el marco del Sistema de Coordinación Hacendaria del Estado de México</w:t>
      </w:r>
      <w:r w:rsidRPr="00907942">
        <w:rPr>
          <w:rFonts w:ascii="Palatino Linotype" w:eastAsia="Palatino Linotype" w:hAnsi="Palatino Linotype" w:cs="Palatino Linotype"/>
          <w:b/>
          <w:i/>
          <w:sz w:val="22"/>
          <w:szCs w:val="22"/>
        </w:rPr>
        <w:t xml:space="preserve"> </w:t>
      </w:r>
    </w:p>
    <w:p w14:paraId="5A2F766A" w14:textId="77777777" w:rsidR="00DD2398" w:rsidRPr="00907942" w:rsidRDefault="00D05599">
      <w:pPr>
        <w:spacing w:before="120" w:after="120"/>
        <w:ind w:left="862" w:right="86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343.-</w:t>
      </w:r>
      <w:r w:rsidRPr="00907942">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9DE97A6" w14:textId="77777777" w:rsidR="00DD2398" w:rsidRPr="00907942" w:rsidRDefault="00D05599">
      <w:pPr>
        <w:spacing w:before="120" w:after="120"/>
        <w:ind w:left="862" w:right="862"/>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1B6C9EAA" w14:textId="77777777" w:rsidR="00DD2398" w:rsidRPr="00907942" w:rsidRDefault="00D05599">
      <w:pPr>
        <w:spacing w:before="120" w:after="120"/>
        <w:ind w:left="862" w:right="86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344</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u w:val="single"/>
        </w:rPr>
        <w:t>Los Entes Públicos</w:t>
      </w:r>
      <w:r w:rsidRPr="00907942">
        <w:rPr>
          <w:rFonts w:ascii="Palatino Linotype" w:eastAsia="Palatino Linotype" w:hAnsi="Palatino Linotype" w:cs="Palatino Linotype"/>
          <w:i/>
          <w:sz w:val="22"/>
          <w:szCs w:val="22"/>
        </w:rPr>
        <w:t xml:space="preserve">, a través de cualquiera de sus unidades administrativas, de acuerdo con su naturaleza jurídica y según corresponda, </w:t>
      </w:r>
      <w:r w:rsidRPr="00907942">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p>
    <w:p w14:paraId="310F8DB1" w14:textId="77777777" w:rsidR="00DD2398" w:rsidRPr="00907942" w:rsidRDefault="00D05599">
      <w:pPr>
        <w:spacing w:before="120" w:after="120"/>
        <w:ind w:left="862" w:right="86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w:t>
      </w:r>
      <w:r w:rsidRPr="00907942">
        <w:rPr>
          <w:rFonts w:ascii="Palatino Linotype" w:eastAsia="Palatino Linotype" w:hAnsi="Palatino Linotype" w:cs="Palatino Linotype"/>
          <w:i/>
          <w:sz w:val="22"/>
          <w:szCs w:val="22"/>
        </w:rPr>
        <w:t xml:space="preserve">, según corresponda, así como de los órganos internos de control, </w:t>
      </w:r>
      <w:r w:rsidRPr="00907942">
        <w:rPr>
          <w:rFonts w:ascii="Palatino Linotype" w:eastAsia="Palatino Linotype" w:hAnsi="Palatino Linotype" w:cs="Palatino Linotype"/>
          <w:b/>
          <w:i/>
          <w:sz w:val="22"/>
          <w:szCs w:val="22"/>
          <w:u w:val="single"/>
        </w:rPr>
        <w:t>por un término de cinco años,</w:t>
      </w:r>
      <w:r w:rsidRPr="00907942">
        <w:rPr>
          <w:rFonts w:ascii="Palatino Linotype" w:eastAsia="Palatino Linotype" w:hAnsi="Palatino Linotype" w:cs="Palatino Linotype"/>
          <w:i/>
          <w:sz w:val="22"/>
          <w:szCs w:val="22"/>
        </w:rPr>
        <w:t xml:space="preserve"> contados a partir del ejercicio presupuestal siguiente al que </w:t>
      </w:r>
      <w:r w:rsidRPr="00907942">
        <w:rPr>
          <w:rFonts w:ascii="Palatino Linotype" w:eastAsia="Palatino Linotype" w:hAnsi="Palatino Linotype" w:cs="Palatino Linotype"/>
          <w:i/>
          <w:sz w:val="22"/>
          <w:szCs w:val="22"/>
        </w:rPr>
        <w:lastRenderedPageBreak/>
        <w:t xml:space="preserve">corresponda, </w:t>
      </w:r>
      <w:r w:rsidRPr="00907942">
        <w:rPr>
          <w:rFonts w:ascii="Palatino Linotype" w:eastAsia="Palatino Linotype" w:hAnsi="Palatino Linotype" w:cs="Palatino Linotype"/>
          <w:b/>
          <w:i/>
          <w:sz w:val="22"/>
          <w:szCs w:val="22"/>
        </w:rPr>
        <w:t xml:space="preserve">en el caso de los Municipios, dicha obligación </w:t>
      </w:r>
      <w:r w:rsidRPr="00907942">
        <w:rPr>
          <w:rFonts w:ascii="Palatino Linotype" w:eastAsia="Palatino Linotype" w:hAnsi="Palatino Linotype" w:cs="Palatino Linotype"/>
          <w:b/>
          <w:i/>
          <w:sz w:val="22"/>
          <w:szCs w:val="22"/>
          <w:u w:val="single"/>
        </w:rPr>
        <w:t>corresponderá a la Tesorería</w:t>
      </w:r>
      <w:r w:rsidRPr="00907942">
        <w:rPr>
          <w:rFonts w:ascii="Palatino Linotype" w:eastAsia="Palatino Linotype" w:hAnsi="Palatino Linotype" w:cs="Palatino Linotype"/>
          <w:i/>
          <w:sz w:val="22"/>
          <w:szCs w:val="22"/>
          <w:u w:val="single"/>
        </w:rPr>
        <w:t xml:space="preserve">. </w:t>
      </w:r>
    </w:p>
    <w:p w14:paraId="3CBB800A" w14:textId="77777777" w:rsidR="00DD2398" w:rsidRPr="00907942" w:rsidRDefault="00D05599">
      <w:pPr>
        <w:spacing w:before="120" w:after="120"/>
        <w:ind w:left="862" w:right="86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Tratándose de documentos de carácter histórico, se estará a lo dispuesto por la legislación de la materia.</w:t>
      </w:r>
    </w:p>
    <w:p w14:paraId="002BD714" w14:textId="77777777" w:rsidR="00DD2398" w:rsidRPr="00907942" w:rsidRDefault="00D05599">
      <w:pPr>
        <w:spacing w:before="120" w:after="120"/>
        <w:ind w:left="862" w:right="862"/>
        <w:jc w:val="both"/>
        <w:rPr>
          <w:rFonts w:ascii="Palatino Linotype" w:eastAsia="Palatino Linotype" w:hAnsi="Palatino Linotype" w:cs="Palatino Linotype"/>
          <w:b/>
          <w:i/>
          <w:sz w:val="22"/>
          <w:szCs w:val="22"/>
          <w:u w:val="single"/>
        </w:rPr>
      </w:pPr>
      <w:r w:rsidRPr="00907942">
        <w:rPr>
          <w:rFonts w:ascii="Palatino Linotype" w:eastAsia="Palatino Linotype" w:hAnsi="Palatino Linotype" w:cs="Palatino Linotype"/>
          <w:b/>
          <w:i/>
          <w:sz w:val="22"/>
          <w:szCs w:val="22"/>
        </w:rPr>
        <w:t xml:space="preserve">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907942">
        <w:rPr>
          <w:rFonts w:ascii="Palatino Linotype" w:eastAsia="Palatino Linotype" w:hAnsi="Palatino Linotype" w:cs="Palatino Linotype"/>
          <w:b/>
          <w:i/>
          <w:sz w:val="22"/>
          <w:szCs w:val="22"/>
          <w:u w:val="single"/>
        </w:rPr>
        <w:t xml:space="preserve">Tratándose de los comprobantes fiscales digitales, estos deberán estar agregados en forma electrónica a cada póliza de registro contable. </w:t>
      </w:r>
    </w:p>
    <w:p w14:paraId="2CE6CCC5" w14:textId="77777777" w:rsidR="00DD2398" w:rsidRPr="00907942" w:rsidRDefault="00D05599">
      <w:pPr>
        <w:spacing w:before="120" w:after="120"/>
        <w:ind w:left="862" w:right="86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907942">
        <w:rPr>
          <w:rFonts w:ascii="Palatino Linotype" w:eastAsia="Palatino Linotype" w:hAnsi="Palatino Linotype" w:cs="Palatino Linotype"/>
          <w:b/>
          <w:i/>
          <w:sz w:val="22"/>
          <w:szCs w:val="22"/>
        </w:rPr>
        <w:t>deberán estar agregados en forma electrónica a cada póliza de registro contable</w:t>
      </w:r>
      <w:r w:rsidRPr="00907942">
        <w:rPr>
          <w:rFonts w:ascii="Palatino Linotype" w:eastAsia="Palatino Linotype" w:hAnsi="Palatino Linotype" w:cs="Palatino Linotype"/>
          <w:i/>
          <w:sz w:val="22"/>
          <w:szCs w:val="22"/>
        </w:rPr>
        <w:t xml:space="preserve">. </w:t>
      </w:r>
    </w:p>
    <w:p w14:paraId="2D4A6561" w14:textId="77777777" w:rsidR="00DD2398" w:rsidRPr="00907942" w:rsidRDefault="00D05599">
      <w:pPr>
        <w:spacing w:before="120" w:after="120"/>
        <w:ind w:left="862" w:right="86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p>
    <w:p w14:paraId="1A200ADD"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A4D84D8"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AEE3406"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F4EB70D"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w:t>
      </w:r>
      <w:r w:rsidRPr="00907942">
        <w:rPr>
          <w:rFonts w:ascii="Palatino Linotype" w:eastAsia="Palatino Linotype" w:hAnsi="Palatino Linotype" w:cs="Palatino Linotype"/>
          <w:sz w:val="22"/>
          <w:szCs w:val="22"/>
        </w:rPr>
        <w:lastRenderedPageBreak/>
        <w:t xml:space="preserve">“Glosario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19D144B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C45F5E7" w14:textId="77777777" w:rsidR="00DD2398" w:rsidRPr="00907942" w:rsidRDefault="00D05599">
      <w:pPr>
        <w:ind w:left="851" w:right="851"/>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 xml:space="preserve">“REGISTRO CONTABLE </w:t>
      </w:r>
    </w:p>
    <w:p w14:paraId="72F75517" w14:textId="77777777" w:rsidR="00DD2398" w:rsidRPr="00907942" w:rsidRDefault="00D05599">
      <w:pPr>
        <w:ind w:left="851" w:right="851"/>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158839B6" w14:textId="77777777" w:rsidR="00DD2398" w:rsidRPr="00907942" w:rsidRDefault="00DD2398">
      <w:pPr>
        <w:ind w:left="851" w:right="851"/>
        <w:jc w:val="both"/>
        <w:rPr>
          <w:rFonts w:ascii="Palatino Linotype" w:eastAsia="Palatino Linotype" w:hAnsi="Palatino Linotype" w:cs="Palatino Linotype"/>
          <w:b/>
          <w:i/>
          <w:sz w:val="22"/>
          <w:szCs w:val="22"/>
        </w:rPr>
      </w:pPr>
    </w:p>
    <w:p w14:paraId="261AB364" w14:textId="77777777" w:rsidR="00DD2398" w:rsidRPr="00907942" w:rsidRDefault="00D05599">
      <w:pPr>
        <w:ind w:left="851" w:right="851"/>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“REGISTRO PRESUPUESTARIO</w:t>
      </w:r>
    </w:p>
    <w:p w14:paraId="6960C69D" w14:textId="77777777" w:rsidR="00DD2398" w:rsidRPr="00907942" w:rsidRDefault="00D05599">
      <w:pPr>
        <w:ind w:left="851" w:right="851"/>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40B05338"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4775718C"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Correlativo a lo anterior, es preciso referir una definición de </w:t>
      </w:r>
      <w:r w:rsidRPr="00907942">
        <w:rPr>
          <w:rFonts w:ascii="Palatino Linotype" w:eastAsia="Palatino Linotype" w:hAnsi="Palatino Linotype" w:cs="Palatino Linotype"/>
          <w:i/>
          <w:sz w:val="22"/>
          <w:szCs w:val="22"/>
        </w:rPr>
        <w:t>póliza contable</w:t>
      </w:r>
      <w:r w:rsidRPr="00907942">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7F91D867"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927F1BD" w14:textId="77777777" w:rsidR="00DD2398" w:rsidRPr="00907942" w:rsidRDefault="00D05599">
      <w:pPr>
        <w:ind w:left="851" w:right="851"/>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PÓLIZA CONTABLE</w:t>
      </w:r>
    </w:p>
    <w:p w14:paraId="2C719F20" w14:textId="77777777" w:rsidR="00DD2398" w:rsidRPr="00907942" w:rsidRDefault="00D05599">
      <w:pPr>
        <w:ind w:left="851" w:right="851"/>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1DF262B2" w14:textId="77777777" w:rsidR="00DD2398" w:rsidRPr="00907942" w:rsidRDefault="00DD2398">
      <w:pPr>
        <w:ind w:left="851" w:right="851"/>
        <w:jc w:val="both"/>
        <w:rPr>
          <w:rFonts w:ascii="Palatino Linotype" w:eastAsia="Palatino Linotype" w:hAnsi="Palatino Linotype" w:cs="Palatino Linotype"/>
          <w:i/>
          <w:sz w:val="22"/>
          <w:szCs w:val="22"/>
        </w:rPr>
      </w:pPr>
    </w:p>
    <w:p w14:paraId="76C118DB"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Así, se advierte que la </w:t>
      </w:r>
      <w:r w:rsidRPr="00907942">
        <w:rPr>
          <w:rFonts w:ascii="Palatino Linotype" w:eastAsia="Palatino Linotype" w:hAnsi="Palatino Linotype" w:cs="Palatino Linotype"/>
          <w:i/>
          <w:sz w:val="22"/>
          <w:szCs w:val="22"/>
        </w:rPr>
        <w:t>póliza contable</w:t>
      </w:r>
      <w:r w:rsidRPr="00907942">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w:t>
      </w:r>
      <w:r w:rsidRPr="00907942">
        <w:rPr>
          <w:rFonts w:ascii="Palatino Linotype" w:eastAsia="Palatino Linotype" w:hAnsi="Palatino Linotype" w:cs="Palatino Linotype"/>
          <w:sz w:val="22"/>
          <w:szCs w:val="22"/>
          <w:u w:val="single"/>
        </w:rPr>
        <w:t>ingresos y egresos</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 xml:space="preserve">y se anexan los documentos o comprobantes que justifiquen las anotaciones y </w:t>
      </w:r>
      <w:r w:rsidRPr="00907942">
        <w:rPr>
          <w:rFonts w:ascii="Palatino Linotype" w:eastAsia="Palatino Linotype" w:hAnsi="Palatino Linotype" w:cs="Palatino Linotype"/>
          <w:b/>
          <w:sz w:val="22"/>
          <w:szCs w:val="22"/>
        </w:rPr>
        <w:lastRenderedPageBreak/>
        <w:t>cantidades en ellas registradas</w:t>
      </w:r>
      <w:r w:rsidRPr="00907942">
        <w:rPr>
          <w:rFonts w:ascii="Palatino Linotype" w:eastAsia="Palatino Linotype" w:hAnsi="Palatino Linotype" w:cs="Palatino Linotype"/>
          <w:sz w:val="22"/>
          <w:szCs w:val="22"/>
        </w:rPr>
        <w:t>, lo que permite la identificación plena de dichas operaciones.</w:t>
      </w:r>
    </w:p>
    <w:p w14:paraId="68E393B9"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DA71E4F"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907942">
        <w:rPr>
          <w:rFonts w:ascii="Palatino Linotype" w:eastAsia="Palatino Linotype" w:hAnsi="Palatino Linotype" w:cs="Palatino Linotype"/>
          <w:i/>
          <w:sz w:val="22"/>
          <w:szCs w:val="22"/>
        </w:rPr>
        <w:t>pólizas de egresos e ingresos</w:t>
      </w:r>
      <w:r w:rsidRPr="00907942">
        <w:rPr>
          <w:rFonts w:ascii="Palatino Linotype" w:eastAsia="Palatino Linotype" w:hAnsi="Palatino Linotype" w:cs="Palatino Linotype"/>
          <w:sz w:val="22"/>
          <w:szCs w:val="22"/>
        </w:rPr>
        <w:t>,</w:t>
      </w:r>
      <w:r w:rsidRPr="00907942">
        <w:rPr>
          <w:rFonts w:ascii="Palatino Linotype" w:eastAsia="Palatino Linotype" w:hAnsi="Palatino Linotype" w:cs="Palatino Linotype"/>
          <w:b/>
          <w:sz w:val="22"/>
          <w:szCs w:val="22"/>
        </w:rPr>
        <w:t xml:space="preserve"> resultando de especial importancia</w:t>
      </w:r>
      <w:r w:rsidRPr="00907942">
        <w:rPr>
          <w:rFonts w:ascii="Palatino Linotype" w:eastAsia="Palatino Linotype" w:hAnsi="Palatino Linotype" w:cs="Palatino Linotype"/>
          <w:sz w:val="22"/>
          <w:szCs w:val="22"/>
        </w:rPr>
        <w:t xml:space="preserve"> en el presente asunto, </w:t>
      </w:r>
      <w:r w:rsidRPr="00907942">
        <w:rPr>
          <w:rFonts w:ascii="Palatino Linotype" w:eastAsia="Palatino Linotype" w:hAnsi="Palatino Linotype" w:cs="Palatino Linotype"/>
          <w:b/>
          <w:sz w:val="22"/>
          <w:szCs w:val="22"/>
        </w:rPr>
        <w:t>las primeras, que son aquellas en las cuales se anotan diariamente las operaciones que representan gastos, es decir, salidas de dinero para el Sujeto Obligado,</w:t>
      </w:r>
      <w:r w:rsidRPr="00907942">
        <w:rPr>
          <w:rFonts w:ascii="Palatino Linotype" w:eastAsia="Palatino Linotype" w:hAnsi="Palatino Linotype" w:cs="Palatino Linotype"/>
          <w:sz w:val="22"/>
          <w:szCs w:val="22"/>
        </w:rPr>
        <w:t xml:space="preserve"> las </w:t>
      </w:r>
      <w:proofErr w:type="gramStart"/>
      <w:r w:rsidRPr="00907942">
        <w:rPr>
          <w:rFonts w:ascii="Palatino Linotype" w:eastAsia="Palatino Linotype" w:hAnsi="Palatino Linotype" w:cs="Palatino Linotype"/>
          <w:sz w:val="22"/>
          <w:szCs w:val="22"/>
        </w:rPr>
        <w:t>que</w:t>
      </w:r>
      <w:proofErr w:type="gramEnd"/>
      <w:r w:rsidRPr="00907942">
        <w:rPr>
          <w:rFonts w:ascii="Palatino Linotype" w:eastAsia="Palatino Linotype" w:hAnsi="Palatino Linotype" w:cs="Palatino Linotype"/>
          <w:sz w:val="22"/>
          <w:szCs w:val="22"/>
        </w:rPr>
        <w:t xml:space="preserve"> además, deben encontrarse acompañadas de las documentales que sirven de soporte de dicho movimiento.</w:t>
      </w:r>
    </w:p>
    <w:p w14:paraId="0F42B171"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C9DEF88" w14:textId="77777777" w:rsidR="00DD2398" w:rsidRPr="00907942" w:rsidRDefault="00D05599">
      <w:pPr>
        <w:spacing w:line="360" w:lineRule="auto"/>
        <w:ind w:right="51"/>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De esta manera, </w:t>
      </w:r>
      <w:r w:rsidRPr="00907942">
        <w:rPr>
          <w:rFonts w:ascii="Palatino Linotype" w:eastAsia="Palatino Linotype" w:hAnsi="Palatino Linotype" w:cs="Palatino Linotype"/>
          <w:b/>
          <w:sz w:val="22"/>
          <w:szCs w:val="22"/>
        </w:rPr>
        <w:t>todo registro contable y presupuestal deberá estar soportado con los documentos comprobatorios originales,</w:t>
      </w:r>
      <w:r w:rsidRPr="00907942">
        <w:rPr>
          <w:rFonts w:ascii="Palatino Linotype" w:eastAsia="Palatino Linotype" w:hAnsi="Palatino Linotype" w:cs="Palatino Linotype"/>
          <w:sz w:val="22"/>
          <w:szCs w:val="22"/>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21FADFB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306548DF"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Por lo tanto, el ente público se encuentra constreñido a contar con la documentación comprobatoria que soporte la erogación por la adquisición del terreno al que se hace referencia en la solicitud de información, que puede ser de manera enunciativa más no limitativa con la factura y/o recibo correspondiente.</w:t>
      </w:r>
    </w:p>
    <w:p w14:paraId="38A9613D"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5042CE9"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Ahora, en el caso es necesario recordar que quien se pronunció, sobre los contratos, facturas y recibos de pago por la compra de un terreno adquirido para la construcción del nuevo panteón municipal, fue la Dirección de Asuntos Jurídicos, área encargada de coordinar la regularización del patrimonio inmobiliario del municipio, como se sigue:</w:t>
      </w:r>
    </w:p>
    <w:p w14:paraId="1C3BD8FD" w14:textId="77777777" w:rsidR="00DD2398" w:rsidRPr="00907942" w:rsidRDefault="00D05599">
      <w:pPr>
        <w:spacing w:line="360"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lastRenderedPageBreak/>
        <w:t>“Artículo 3.46. El titular de la Dirección de Asuntos Jurídicos tiene las siguientes atribuciones:</w:t>
      </w:r>
    </w:p>
    <w:p w14:paraId="3F001C6E" w14:textId="77777777" w:rsidR="00DD2398" w:rsidRPr="00907942" w:rsidRDefault="00D05599">
      <w:pPr>
        <w:spacing w:line="360"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024F7C7C" w14:textId="77777777" w:rsidR="00DD2398" w:rsidRPr="00907942" w:rsidRDefault="00D05599">
      <w:pPr>
        <w:spacing w:line="360" w:lineRule="auto"/>
        <w:ind w:left="567" w:right="616"/>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VIII. Coordinar la regularización del patrimonio inmobiliario del municipio, ejerciendo las acciones que corresponda ante las diversas autoridades que conozcan de ella;”</w:t>
      </w:r>
    </w:p>
    <w:p w14:paraId="3E675054"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C817199"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No obstante, si bien la Dirección de Asuntos Jurídicos tiene atribuciones para coordinar la regularización del patrimonio inmobiliario del municipio, y puede tener conocimiento de las documentales que integran el expediente por la adquisición de los inmuebles que conforman el patrimonio municipal; también lo es que, existe otra área que podía conocer de lo solicitado como es el caso de </w:t>
      </w:r>
      <w:r w:rsidRPr="00907942">
        <w:rPr>
          <w:rFonts w:ascii="Palatino Linotype" w:eastAsia="Palatino Linotype" w:hAnsi="Palatino Linotype" w:cs="Palatino Linotype"/>
          <w:b/>
          <w:sz w:val="22"/>
          <w:szCs w:val="22"/>
        </w:rPr>
        <w:t>la Dirección de Administración</w:t>
      </w:r>
      <w:r w:rsidRPr="00907942">
        <w:rPr>
          <w:rFonts w:ascii="Palatino Linotype" w:eastAsia="Palatino Linotype" w:hAnsi="Palatino Linotype" w:cs="Palatino Linotype"/>
          <w:sz w:val="22"/>
          <w:szCs w:val="22"/>
        </w:rPr>
        <w:t>, misma que conforme el Manual de Organización vigente de dicha unidad administrativa,</w:t>
      </w:r>
      <w:r w:rsidRPr="00907942">
        <w:rPr>
          <w:rFonts w:ascii="Palatino Linotype" w:eastAsia="Palatino Linotype" w:hAnsi="Palatino Linotype" w:cs="Palatino Linotype"/>
          <w:b/>
          <w:sz w:val="22"/>
          <w:szCs w:val="22"/>
          <w:u w:val="single"/>
        </w:rPr>
        <w:t xml:space="preserve"> tiene dentro de sus atribuciones, la supervisión de las adquisiciones.</w:t>
      </w:r>
    </w:p>
    <w:p w14:paraId="2CEFC536"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56D7F2A"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En ese sentido, se tiene que no se pronunciaron todas las unidades administrativas competentes, conforme con el procedimiento establecido por el artículo 162 de la Ley de Transparencia y Acceso a la Información Pública del Estado de México y Municipios, que dispone que la solicitud se debe turnar al área que puede conocer de la información requerida de conformidad con la fracción XXXIX del artículo tercero de la legislación local vigente en materia de transparencia: </w:t>
      </w:r>
    </w:p>
    <w:p w14:paraId="54B419DD" w14:textId="77777777" w:rsidR="00DD2398" w:rsidRPr="00907942" w:rsidRDefault="00DD2398">
      <w:pPr>
        <w:rPr>
          <w:sz w:val="22"/>
          <w:szCs w:val="22"/>
        </w:rPr>
      </w:pPr>
    </w:p>
    <w:p w14:paraId="1C51288D" w14:textId="77777777" w:rsidR="00DD2398" w:rsidRPr="00907942" w:rsidRDefault="00D05599">
      <w:pPr>
        <w:pBdr>
          <w:top w:val="nil"/>
          <w:left w:val="nil"/>
          <w:bottom w:val="nil"/>
          <w:right w:val="nil"/>
          <w:between w:val="nil"/>
        </w:pBdr>
        <w:ind w:left="864" w:right="864"/>
        <w:jc w:val="both"/>
        <w:rPr>
          <w:sz w:val="22"/>
          <w:szCs w:val="22"/>
        </w:rPr>
      </w:pPr>
      <w:r w:rsidRPr="00907942">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08D66F6" w14:textId="77777777" w:rsidR="00DD2398" w:rsidRPr="00907942" w:rsidRDefault="00DD2398">
      <w:pPr>
        <w:rPr>
          <w:sz w:val="22"/>
          <w:szCs w:val="22"/>
        </w:rPr>
      </w:pPr>
    </w:p>
    <w:p w14:paraId="7BB3DEFA" w14:textId="77777777" w:rsidR="00DD2398" w:rsidRPr="00907942" w:rsidRDefault="00D05599">
      <w:pPr>
        <w:pBdr>
          <w:top w:val="nil"/>
          <w:left w:val="nil"/>
          <w:bottom w:val="nil"/>
          <w:right w:val="nil"/>
          <w:between w:val="nil"/>
        </w:pBdr>
        <w:shd w:val="clear" w:color="auto" w:fill="FFFFFF"/>
        <w:spacing w:line="360" w:lineRule="auto"/>
        <w:jc w:val="both"/>
        <w:rPr>
          <w:sz w:val="22"/>
          <w:szCs w:val="22"/>
        </w:rPr>
      </w:pPr>
      <w:r w:rsidRPr="00907942">
        <w:rPr>
          <w:rFonts w:ascii="Palatino Linotype" w:eastAsia="Palatino Linotype" w:hAnsi="Palatino Linotype" w:cs="Palatino Linotype"/>
          <w:sz w:val="22"/>
          <w:szCs w:val="22"/>
        </w:rPr>
        <w:lastRenderedPageBreak/>
        <w:t>En este orden de ideas, no se cumplió con lo expresado en el artículo 162 de la Ley de Transparencia y Acceso a la Información Pública del Estado de México y Municipios, el cual menciona lo siguiente:</w:t>
      </w:r>
    </w:p>
    <w:p w14:paraId="3E7E2783" w14:textId="77777777" w:rsidR="00DD2398" w:rsidRPr="00907942" w:rsidRDefault="00DD2398">
      <w:pPr>
        <w:rPr>
          <w:sz w:val="22"/>
          <w:szCs w:val="22"/>
        </w:rPr>
      </w:pPr>
    </w:p>
    <w:p w14:paraId="08BEAED3" w14:textId="77777777" w:rsidR="00DD2398" w:rsidRPr="00907942" w:rsidRDefault="00D05599">
      <w:pPr>
        <w:pBdr>
          <w:top w:val="nil"/>
          <w:left w:val="nil"/>
          <w:bottom w:val="nil"/>
          <w:right w:val="nil"/>
          <w:between w:val="nil"/>
        </w:pBdr>
        <w:ind w:left="864" w:right="864"/>
        <w:jc w:val="both"/>
        <w:rPr>
          <w:sz w:val="22"/>
          <w:szCs w:val="22"/>
        </w:rPr>
      </w:pPr>
      <w:r w:rsidRPr="00907942">
        <w:rPr>
          <w:rFonts w:ascii="Palatino Linotype" w:eastAsia="Palatino Linotype" w:hAnsi="Palatino Linotype" w:cs="Palatino Linotype"/>
          <w:i/>
          <w:sz w:val="22"/>
          <w:szCs w:val="22"/>
        </w:rPr>
        <w:t xml:space="preserve">“Artículo 162. Las unidades de transparencia deberán garantizar que las solicitudes </w:t>
      </w:r>
      <w:r w:rsidRPr="00907942">
        <w:rPr>
          <w:rFonts w:ascii="Palatino Linotype" w:eastAsia="Palatino Linotype" w:hAnsi="Palatino Linotype" w:cs="Palatino Linotype"/>
          <w:b/>
          <w:i/>
          <w:sz w:val="22"/>
          <w:szCs w:val="22"/>
        </w:rPr>
        <w:t xml:space="preserve">se turnen a todas las Áreas competentes </w:t>
      </w:r>
      <w:r w:rsidRPr="00907942">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16458D27"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544C300"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No </w:t>
      </w:r>
      <w:proofErr w:type="gramStart"/>
      <w:r w:rsidRPr="00907942">
        <w:rPr>
          <w:rFonts w:ascii="Palatino Linotype" w:eastAsia="Palatino Linotype" w:hAnsi="Palatino Linotype" w:cs="Palatino Linotype"/>
          <w:sz w:val="22"/>
          <w:szCs w:val="22"/>
        </w:rPr>
        <w:t>obstante</w:t>
      </w:r>
      <w:proofErr w:type="gramEnd"/>
      <w:r w:rsidRPr="00907942">
        <w:rPr>
          <w:rFonts w:ascii="Palatino Linotype" w:eastAsia="Palatino Linotype" w:hAnsi="Palatino Linotype" w:cs="Palatino Linotype"/>
          <w:sz w:val="22"/>
          <w:szCs w:val="22"/>
        </w:rPr>
        <w:t xml:space="preserve"> lo anterior, se procede al análisis de la clasificación como información reservada que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realizó por conducto de la Dirección de Asuntos Jurídicos que respecto de </w:t>
      </w:r>
      <w:r w:rsidRPr="00907942">
        <w:rPr>
          <w:rFonts w:ascii="Palatino Linotype" w:eastAsia="Palatino Linotype" w:hAnsi="Palatino Linotype" w:cs="Palatino Linotype"/>
          <w:b/>
          <w:sz w:val="22"/>
          <w:szCs w:val="22"/>
          <w:u w:val="single"/>
        </w:rPr>
        <w:t>los contratos, facturas y recibos de pago por la compra de un terreno adquirido para la construcción del nuevo panteón municipal</w:t>
      </w:r>
      <w:r w:rsidRPr="00907942">
        <w:rPr>
          <w:rFonts w:ascii="Palatino Linotype" w:eastAsia="Palatino Linotype" w:hAnsi="Palatino Linotype" w:cs="Palatino Linotype"/>
          <w:sz w:val="22"/>
          <w:szCs w:val="22"/>
        </w:rPr>
        <w:t>; a criterio de este Órgano Garante conviene analizar la reserva de dicha información, partiendo de las siguientes consideraciones:</w:t>
      </w:r>
    </w:p>
    <w:p w14:paraId="39F98276"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340EA9D5"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En principio, es de indicar que conforme al artículo 20 de la Ley de Transparencia y Acceso a la Información Pública del Estado de México y Municipios, </w:t>
      </w:r>
      <w:r w:rsidRPr="00907942">
        <w:rPr>
          <w:rFonts w:ascii="Palatino Linotype" w:eastAsia="Palatino Linotype" w:hAnsi="Palatino Linotype" w:cs="Palatino Linotype"/>
          <w:b/>
          <w:sz w:val="22"/>
          <w:szCs w:val="22"/>
        </w:rPr>
        <w:t>ante la negativa de acceso a la información o su inexistencia, el sujeto obligado deberá demostrar que encuentra en alguna de las excepciones establecidas en la normatividad aplicable.</w:t>
      </w:r>
    </w:p>
    <w:p w14:paraId="3196165D"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65E4BA49"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ese sentido, según Trujillo, Humberto (2019), en el “Diccionario de Transparencia y Acceso a la Información Pública” (p. 201), </w:t>
      </w:r>
      <w:r w:rsidRPr="00907942">
        <w:rPr>
          <w:rFonts w:ascii="Palatino Linotype" w:eastAsia="Palatino Linotype" w:hAnsi="Palatino Linotype" w:cs="Palatino Linotype"/>
          <w:b/>
          <w:sz w:val="22"/>
          <w:szCs w:val="22"/>
        </w:rPr>
        <w:t xml:space="preserve">la negativa de acceso a la información </w:t>
      </w:r>
      <w:r w:rsidRPr="00907942">
        <w:rPr>
          <w:rFonts w:ascii="Palatino Linotype" w:eastAsia="Palatino Linotype" w:hAnsi="Palatino Linotype" w:cs="Palatino Linotype"/>
          <w:sz w:val="22"/>
          <w:szCs w:val="22"/>
        </w:rPr>
        <w:t xml:space="preserve">ocurre cuando de manera fundada y motivada, una autoridad la niega o la limita, por alguna de las siguientes razones: </w:t>
      </w:r>
    </w:p>
    <w:p w14:paraId="12CB6DD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140C8F7" w14:textId="77777777" w:rsidR="00DD2398" w:rsidRPr="00907942" w:rsidRDefault="00D05599">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lastRenderedPageBreak/>
        <w:t xml:space="preserve">La inexistencia de la información (p. 171): </w:t>
      </w:r>
      <w:r w:rsidRPr="00907942">
        <w:rPr>
          <w:rFonts w:ascii="Palatino Linotype" w:eastAsia="Palatino Linotype" w:hAnsi="Palatino Linotype" w:cs="Palatino Linotype"/>
          <w:sz w:val="22"/>
          <w:szCs w:val="22"/>
        </w:rPr>
        <w:t>Sucede cuando la información solicitada no se encuentra en los archivos públicos o clasificados de los entes sujetos a las Leyes de Transparencia.</w:t>
      </w:r>
    </w:p>
    <w:p w14:paraId="4D6A5DA2" w14:textId="77777777" w:rsidR="00DD2398" w:rsidRPr="00907942" w:rsidRDefault="00D05599">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 xml:space="preserve">La incompetencia del Sujeto Obligado (p. 171): </w:t>
      </w:r>
      <w:r w:rsidRPr="00907942">
        <w:rPr>
          <w:rFonts w:ascii="Palatino Linotype" w:eastAsia="Palatino Linotype" w:hAnsi="Palatino Linotype" w:cs="Palatino Linotype"/>
          <w:sz w:val="22"/>
          <w:szCs w:val="22"/>
        </w:rPr>
        <w:t>Ocurre cuando el Sujeto Obligado carece de atribuciones para poseer la información peticionada.</w:t>
      </w:r>
    </w:p>
    <w:p w14:paraId="0496E8A5" w14:textId="77777777" w:rsidR="00DD2398" w:rsidRPr="00907942" w:rsidRDefault="00D05599">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 xml:space="preserve">La clasificación de la información (p. 70): </w:t>
      </w:r>
      <w:r w:rsidRPr="00907942">
        <w:rPr>
          <w:rFonts w:ascii="Palatino Linotype" w:eastAsia="Palatino Linotype" w:hAnsi="Palatino Linotype" w:cs="Palatino Linotype"/>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2C67BEC9"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30EEB61"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En ese orden de ideas y en atención a lo anterior, es de señalar que las excepciones al derecho de acceso a la información, consisten en que la documentación sea inexistente, </w:t>
      </w:r>
      <w:r w:rsidRPr="00907942">
        <w:rPr>
          <w:rFonts w:ascii="Palatino Linotype" w:eastAsia="Palatino Linotype" w:hAnsi="Palatino Linotype" w:cs="Palatino Linotype"/>
          <w:b/>
          <w:sz w:val="22"/>
          <w:szCs w:val="22"/>
        </w:rPr>
        <w:t>se encuentre clasificada</w:t>
      </w:r>
      <w:r w:rsidRPr="00907942">
        <w:rPr>
          <w:rFonts w:ascii="Palatino Linotype" w:eastAsia="Palatino Linotype" w:hAnsi="Palatino Linotype" w:cs="Palatino Linotype"/>
          <w:sz w:val="22"/>
          <w:szCs w:val="22"/>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907942">
        <w:rPr>
          <w:rFonts w:ascii="Palatino Linotype" w:eastAsia="Palatino Linotype" w:hAnsi="Palatino Linotype" w:cs="Palatino Linotype"/>
          <w:b/>
          <w:sz w:val="22"/>
          <w:szCs w:val="22"/>
        </w:rPr>
        <w:t>confidenciales o reservados.</w:t>
      </w:r>
    </w:p>
    <w:p w14:paraId="0E68B139" w14:textId="77777777" w:rsidR="00DD2398" w:rsidRPr="00907942" w:rsidRDefault="00DD2398">
      <w:pPr>
        <w:spacing w:line="360" w:lineRule="auto"/>
        <w:jc w:val="both"/>
        <w:rPr>
          <w:rFonts w:ascii="Palatino Linotype" w:eastAsia="Palatino Linotype" w:hAnsi="Palatino Linotype" w:cs="Palatino Linotype"/>
          <w:b/>
          <w:sz w:val="22"/>
          <w:szCs w:val="22"/>
        </w:rPr>
      </w:pPr>
    </w:p>
    <w:p w14:paraId="61638809"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Así, en los artículos 122, 128 y 130 de la Ley Transparencia y Acceso a la Información Pública del Estado de México y Municipios, se prevé que </w:t>
      </w:r>
      <w:r w:rsidRPr="00907942">
        <w:rPr>
          <w:rFonts w:ascii="Palatino Linotype" w:eastAsia="Palatino Linotype" w:hAnsi="Palatino Linotype" w:cs="Palatino Linotype"/>
          <w:b/>
          <w:sz w:val="22"/>
          <w:szCs w:val="22"/>
        </w:rPr>
        <w:t xml:space="preserve">la clasificación </w:t>
      </w:r>
      <w:r w:rsidRPr="00907942">
        <w:rPr>
          <w:rFonts w:ascii="Palatino Linotype" w:eastAsia="Palatino Linotype" w:hAnsi="Palatino Linotype" w:cs="Palatino Linotype"/>
          <w:sz w:val="22"/>
          <w:szCs w:val="22"/>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4266A12E"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642285E"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 xml:space="preserve">Por lo cual, en los casos en que se niegue el acceso a la información, por actualizarse alguno de los supuestos de clasificación, </w:t>
      </w:r>
      <w:r w:rsidRPr="00907942">
        <w:rPr>
          <w:rFonts w:ascii="Palatino Linotype" w:eastAsia="Palatino Linotype" w:hAnsi="Palatino Linotype" w:cs="Palatino Linotype"/>
          <w:b/>
          <w:sz w:val="22"/>
          <w:szCs w:val="22"/>
        </w:rPr>
        <w:t xml:space="preserve">el Comité de Transparencia deberá confirmar, modificar o revocar la decisión; </w:t>
      </w:r>
      <w:r w:rsidRPr="00907942">
        <w:rPr>
          <w:rFonts w:ascii="Palatino Linotype" w:eastAsia="Palatino Linotype" w:hAnsi="Palatino Linotype" w:cs="Palatino Linotype"/>
          <w:sz w:val="22"/>
          <w:szCs w:val="22"/>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3138300"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E9583B8"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Por su parte, según Bonifaz, Leticia (2016), en la “Ley General de Transparencia y Acceso a la Información Pública Comentada” (p. 342), la </w:t>
      </w:r>
      <w:r w:rsidRPr="00907942">
        <w:rPr>
          <w:rFonts w:ascii="Palatino Linotype" w:eastAsia="Palatino Linotype" w:hAnsi="Palatino Linotype" w:cs="Palatino Linotype"/>
          <w:b/>
          <w:sz w:val="22"/>
          <w:szCs w:val="22"/>
        </w:rPr>
        <w:t>clasificación de la información</w:t>
      </w:r>
      <w:r w:rsidRPr="00907942">
        <w:rPr>
          <w:rFonts w:ascii="Palatino Linotype" w:eastAsia="Palatino Linotype" w:hAnsi="Palatino Linotype" w:cs="Palatino Linotype"/>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907942">
        <w:rPr>
          <w:rFonts w:ascii="Palatino Linotype" w:eastAsia="Palatino Linotype" w:hAnsi="Palatino Linotype" w:cs="Palatino Linotype"/>
          <w:b/>
          <w:sz w:val="22"/>
          <w:szCs w:val="22"/>
        </w:rPr>
        <w:t>de manera adecuada la negativa de información.</w:t>
      </w:r>
    </w:p>
    <w:p w14:paraId="48EB1930" w14:textId="77777777" w:rsidR="00DD2398" w:rsidRPr="00907942" w:rsidRDefault="00DD2398">
      <w:pPr>
        <w:spacing w:line="360" w:lineRule="auto"/>
        <w:jc w:val="both"/>
        <w:rPr>
          <w:rFonts w:ascii="Palatino Linotype" w:eastAsia="Palatino Linotype" w:hAnsi="Palatino Linotype" w:cs="Palatino Linotype"/>
          <w:b/>
          <w:sz w:val="22"/>
          <w:szCs w:val="22"/>
        </w:rPr>
      </w:pPr>
    </w:p>
    <w:p w14:paraId="7E321D47"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Conforme a lo anterior, en el presente caso, el </w:t>
      </w:r>
      <w:r w:rsidRPr="00907942">
        <w:rPr>
          <w:rFonts w:ascii="Palatino Linotype" w:eastAsia="Palatino Linotype" w:hAnsi="Palatino Linotype" w:cs="Palatino Linotype"/>
          <w:b/>
          <w:sz w:val="22"/>
          <w:szCs w:val="22"/>
        </w:rPr>
        <w:t>Sujeto Obligado por conducto de la Dirección de Asuntos Jurídicos,</w:t>
      </w:r>
      <w:r w:rsidRPr="00907942">
        <w:rPr>
          <w:rFonts w:ascii="Palatino Linotype" w:eastAsia="Palatino Linotype" w:hAnsi="Palatino Linotype" w:cs="Palatino Linotype"/>
          <w:sz w:val="22"/>
          <w:szCs w:val="22"/>
        </w:rPr>
        <w:t xml:space="preserve"> no señaló que era inexistente la información; al contrario, precisó que no podía proporcionarla al ser reservada; esto es, aludió a una clasificación; al respecto, el </w:t>
      </w:r>
      <w:r w:rsidRPr="00907942">
        <w:rPr>
          <w:rFonts w:ascii="Palatino Linotype" w:eastAsia="Palatino Linotype" w:hAnsi="Palatino Linotype" w:cs="Palatino Linotype"/>
          <w:b/>
          <w:sz w:val="22"/>
          <w:szCs w:val="22"/>
        </w:rPr>
        <w:t>Criterio 29/10</w:t>
      </w:r>
      <w:r w:rsidRPr="00907942">
        <w:rPr>
          <w:rFonts w:ascii="Palatino Linotype" w:eastAsia="Palatino Linotype" w:hAnsi="Palatino Linotype" w:cs="Palatino Linotype"/>
          <w:sz w:val="22"/>
          <w:szCs w:val="22"/>
        </w:rPr>
        <w:t>, emitido por el Pleno del entonces Instituto Federal de Acceso a la Información y Protección de Datos, precisa lo siguiente:</w:t>
      </w:r>
    </w:p>
    <w:p w14:paraId="639A1AA3"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9FCC425" w14:textId="77777777" w:rsidR="00DD2398" w:rsidRPr="00907942" w:rsidRDefault="00D05599">
      <w:pPr>
        <w:spacing w:line="276" w:lineRule="auto"/>
        <w:ind w:left="567" w:right="567"/>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“La clasificación y la inexistencia de información son conceptos que no pueden coexistir.</w:t>
      </w:r>
      <w:r w:rsidRPr="00907942">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907942">
        <w:rPr>
          <w:rFonts w:ascii="Palatino Linotype" w:eastAsia="Palatino Linotype" w:hAnsi="Palatino Linotype" w:cs="Palatino Linotype"/>
          <w:i/>
          <w:sz w:val="22"/>
          <w:szCs w:val="22"/>
        </w:rPr>
        <w:t>contenida  en</w:t>
      </w:r>
      <w:proofErr w:type="gramEnd"/>
      <w:r w:rsidRPr="00907942">
        <w:rPr>
          <w:rFonts w:ascii="Palatino Linotype" w:eastAsia="Palatino Linotype" w:hAnsi="Palatino Linotype" w:cs="Palatino Linotype"/>
          <w:i/>
          <w:sz w:val="22"/>
          <w:szCs w:val="22"/>
        </w:rPr>
        <w:t xml:space="preserve">  un  documento  específico,  siempre  que  se  encuentre  en  los supuestos  establecidos  en  los  artículos  13  y  14  de  la  Ley  Federal  de Transparencia y Acceso a la Información Pública </w:t>
      </w:r>
      <w:r w:rsidRPr="00907942">
        <w:rPr>
          <w:rFonts w:ascii="Palatino Linotype" w:eastAsia="Palatino Linotype" w:hAnsi="Palatino Linotype" w:cs="Palatino Linotype"/>
          <w:i/>
          <w:sz w:val="22"/>
          <w:szCs w:val="22"/>
        </w:rPr>
        <w:lastRenderedPageBreak/>
        <w:t>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0FD8C9E" w14:textId="77777777" w:rsidR="00DD2398" w:rsidRPr="00907942" w:rsidRDefault="00DD2398">
      <w:pPr>
        <w:spacing w:line="360" w:lineRule="auto"/>
        <w:rPr>
          <w:rFonts w:ascii="Palatino Linotype" w:eastAsia="Palatino Linotype" w:hAnsi="Palatino Linotype" w:cs="Palatino Linotype"/>
          <w:sz w:val="22"/>
          <w:szCs w:val="22"/>
        </w:rPr>
      </w:pPr>
    </w:p>
    <w:p w14:paraId="7A0866AE" w14:textId="77777777" w:rsidR="00DD2398" w:rsidRPr="00907942" w:rsidRDefault="00D05599">
      <w:pPr>
        <w:spacing w:line="360" w:lineRule="auto"/>
        <w:jc w:val="both"/>
        <w:rPr>
          <w:rFonts w:ascii="Palatino Linotype" w:eastAsia="Palatino Linotype" w:hAnsi="Palatino Linotype" w:cs="Palatino Linotype"/>
          <w:b/>
          <w:sz w:val="22"/>
          <w:szCs w:val="22"/>
          <w:u w:val="single"/>
        </w:rPr>
      </w:pPr>
      <w:r w:rsidRPr="00907942">
        <w:rPr>
          <w:rFonts w:ascii="Palatino Linotype" w:eastAsia="Palatino Linotype" w:hAnsi="Palatino Linotype" w:cs="Palatino Linotype"/>
          <w:b/>
          <w:sz w:val="22"/>
          <w:szCs w:val="22"/>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2F5826E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63D887BD"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Conforme a lo anterior, se negó el acceso a la información peticionada por la parte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xml:space="preserve">, al considerar que estaba clasificada; tan es así, que proporcionó el Acta del Comité de Transparencia, donde se aprobó la clasificación de la información solicitada, como reservada, en términos del artículo 140, fracción VI de la Ley de Transparencia y Acceso al a Información Pública del Estado de México y Municipios; que si bien no se puso a la vista por los motivos antes precisados, será objeto de análisis en el presente asunto. </w:t>
      </w:r>
    </w:p>
    <w:p w14:paraId="04DC3D1F"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021917A" w14:textId="77777777" w:rsidR="00DD2398" w:rsidRPr="00907942" w:rsidRDefault="00D05599">
      <w:pPr>
        <w:spacing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sz w:val="22"/>
          <w:szCs w:val="22"/>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907942">
        <w:rPr>
          <w:rFonts w:ascii="Palatino Linotype" w:eastAsia="Palatino Linotype" w:hAnsi="Palatino Linotype" w:cs="Palatino Linotype"/>
          <w:b/>
          <w:sz w:val="22"/>
          <w:szCs w:val="22"/>
        </w:rPr>
        <w:t>análisis caso por caso.</w:t>
      </w:r>
    </w:p>
    <w:p w14:paraId="72D6A62C" w14:textId="77777777" w:rsidR="00DD2398" w:rsidRPr="00907942" w:rsidRDefault="00DD2398">
      <w:pPr>
        <w:spacing w:line="360" w:lineRule="auto"/>
        <w:jc w:val="both"/>
        <w:rPr>
          <w:rFonts w:ascii="Palatino Linotype" w:eastAsia="Palatino Linotype" w:hAnsi="Palatino Linotype" w:cs="Palatino Linotype"/>
          <w:b/>
          <w:sz w:val="22"/>
          <w:szCs w:val="22"/>
        </w:rPr>
      </w:pPr>
    </w:p>
    <w:p w14:paraId="2FB1D04F"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 xml:space="preserve">Además, el artículo 131 de la Ley referida, así como el Quinto de los Lineamientos Generales, establecen que los sujetos obligados </w:t>
      </w:r>
      <w:r w:rsidRPr="00907942">
        <w:rPr>
          <w:rFonts w:ascii="Palatino Linotype" w:eastAsia="Palatino Linotype" w:hAnsi="Palatino Linotype" w:cs="Palatino Linotype"/>
          <w:b/>
          <w:sz w:val="22"/>
          <w:szCs w:val="22"/>
        </w:rPr>
        <w:t>deberán fundar y motivar</w:t>
      </w:r>
      <w:r w:rsidRPr="00907942">
        <w:rPr>
          <w:rFonts w:ascii="Palatino Linotype" w:eastAsia="Palatino Linotype" w:hAnsi="Palatino Linotype" w:cs="Palatino Linotype"/>
          <w:sz w:val="22"/>
          <w:szCs w:val="22"/>
        </w:rPr>
        <w:t xml:space="preserve"> debidamente la clasificación de la información.</w:t>
      </w:r>
    </w:p>
    <w:p w14:paraId="539136F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04F5D05D"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Al respecto, el Octavo de los Lineamientos Generales, precisa lo siguiente:</w:t>
      </w:r>
    </w:p>
    <w:p w14:paraId="6547293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6053457" w14:textId="77777777" w:rsidR="00DD2398" w:rsidRPr="00907942" w:rsidRDefault="00D05599">
      <w:pPr>
        <w:numPr>
          <w:ilvl w:val="0"/>
          <w:numId w:val="9"/>
        </w:numP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Para fundar la clasificación</w:t>
      </w:r>
      <w:r w:rsidRPr="00907942">
        <w:rPr>
          <w:rFonts w:ascii="Palatino Linotype" w:eastAsia="Palatino Linotype" w:hAnsi="Palatino Linotype" w:cs="Palatino Linotype"/>
          <w:sz w:val="22"/>
          <w:szCs w:val="22"/>
        </w:rPr>
        <w:t xml:space="preserve"> de la información se deberán señalar el artículo, fracción, inciso, párrafo o numeral de la Ley aplicable;</w:t>
      </w:r>
    </w:p>
    <w:p w14:paraId="40B5D621" w14:textId="77777777" w:rsidR="00DD2398" w:rsidRPr="00907942" w:rsidRDefault="00D05599">
      <w:pPr>
        <w:numPr>
          <w:ilvl w:val="0"/>
          <w:numId w:val="9"/>
        </w:numP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Para motivar la clasificación</w:t>
      </w:r>
      <w:r w:rsidRPr="00907942">
        <w:rPr>
          <w:rFonts w:ascii="Palatino Linotype" w:eastAsia="Palatino Linotype" w:hAnsi="Palatino Linotype" w:cs="Palatino Linotype"/>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1AE498D1"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4EC741D2"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D350276" w14:textId="77777777" w:rsidR="00DD2398" w:rsidRPr="00907942" w:rsidRDefault="00D05599">
      <w:pPr>
        <w:spacing w:line="276" w:lineRule="auto"/>
        <w:ind w:left="567" w:right="567"/>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xml:space="preserve">“FUNDAMENTACION Y MOTIVACION, CONCEPTO DE. </w:t>
      </w:r>
      <w:r w:rsidRPr="00907942">
        <w:rPr>
          <w:rFonts w:ascii="Palatino Linotype" w:eastAsia="Palatino Linotype" w:hAnsi="Palatino Linotype" w:cs="Palatino Linotype"/>
          <w:i/>
          <w:sz w:val="22"/>
          <w:szCs w:val="22"/>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w:t>
      </w:r>
      <w:r w:rsidRPr="00907942">
        <w:rPr>
          <w:rFonts w:ascii="Palatino Linotype" w:eastAsia="Palatino Linotype" w:hAnsi="Palatino Linotype" w:cs="Palatino Linotype"/>
          <w:i/>
          <w:sz w:val="22"/>
          <w:szCs w:val="22"/>
        </w:rPr>
        <w:lastRenderedPageBreak/>
        <w:t>que exprese una serie de razonamientos lógico-jurídicos sobre el por qué consideró que el caso concreto se ajusta a la hipótesis normativa.”</w:t>
      </w:r>
    </w:p>
    <w:p w14:paraId="05AC354C" w14:textId="77777777" w:rsidR="00DD2398" w:rsidRPr="00907942" w:rsidRDefault="00DD2398">
      <w:pPr>
        <w:spacing w:line="276" w:lineRule="auto"/>
        <w:ind w:left="567" w:right="567"/>
        <w:jc w:val="both"/>
        <w:rPr>
          <w:rFonts w:ascii="Palatino Linotype" w:eastAsia="Palatino Linotype" w:hAnsi="Palatino Linotype" w:cs="Palatino Linotype"/>
          <w:i/>
          <w:sz w:val="22"/>
          <w:szCs w:val="22"/>
        </w:rPr>
      </w:pPr>
    </w:p>
    <w:p w14:paraId="3A856293"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Conforme a lo anterior, se advierte lo siguiente:</w:t>
      </w:r>
    </w:p>
    <w:p w14:paraId="2A23838F"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F7ADCD7" w14:textId="77777777" w:rsidR="00DD2398" w:rsidRPr="00907942" w:rsidRDefault="00D05599">
      <w:pPr>
        <w:numPr>
          <w:ilvl w:val="0"/>
          <w:numId w:val="6"/>
        </w:numPr>
        <w:spacing w:after="200"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 xml:space="preserve">Fundamentación: </w:t>
      </w:r>
      <w:r w:rsidRPr="00907942">
        <w:rPr>
          <w:rFonts w:ascii="Palatino Linotype" w:eastAsia="Palatino Linotype" w:hAnsi="Palatino Linotype" w:cs="Palatino Linotype"/>
          <w:sz w:val="22"/>
          <w:szCs w:val="22"/>
        </w:rPr>
        <w:t>Obligación de la autoridad que emite un acto, para citar los preceptos legales, sustantivos y adjetivos, en que se apoye para la determinación tomada.</w:t>
      </w:r>
    </w:p>
    <w:p w14:paraId="1777006C" w14:textId="77777777" w:rsidR="00DD2398" w:rsidRPr="00907942" w:rsidRDefault="00D05599">
      <w:pPr>
        <w:numPr>
          <w:ilvl w:val="0"/>
          <w:numId w:val="6"/>
        </w:numPr>
        <w:spacing w:after="200" w:line="360" w:lineRule="auto"/>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 xml:space="preserve">Motivación: </w:t>
      </w:r>
      <w:r w:rsidRPr="00907942">
        <w:rPr>
          <w:rFonts w:ascii="Palatino Linotype" w:eastAsia="Palatino Linotype" w:hAnsi="Palatino Linotype" w:cs="Palatino Linotype"/>
          <w:sz w:val="22"/>
          <w:szCs w:val="22"/>
        </w:rPr>
        <w:t>Razonamientos lógico-jurídicos sobre porque se consideró en el caso en concreto, que se ajusta a la hipótesis normativa.</w:t>
      </w:r>
    </w:p>
    <w:p w14:paraId="4B57DA51"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En ese orden de ideas, el Trigésimo tercero de los Lineamientos Generales, establece la forma en que se debe fundamentar y motivar la reserva de la información, es decir, a través de los siguientes pasos:</w:t>
      </w:r>
    </w:p>
    <w:p w14:paraId="045F4047"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55319804" w14:textId="77777777" w:rsidR="00DD2398" w:rsidRPr="00907942" w:rsidRDefault="00D05599">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6AA1C271" w14:textId="77777777" w:rsidR="00DD2398" w:rsidRPr="00907942" w:rsidRDefault="00D05599">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Se deberá demostrar que la publicidad de la información generaría un riesgo de perjuicio, que rebasa el interés público;</w:t>
      </w:r>
    </w:p>
    <w:p w14:paraId="5AAD65F4" w14:textId="77777777" w:rsidR="00DD2398" w:rsidRPr="00907942" w:rsidRDefault="00D05599">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Se acreditará el vínculo entre la difusión de la información y la afectación del interés jurídico tutelado;</w:t>
      </w:r>
    </w:p>
    <w:p w14:paraId="492D39FA" w14:textId="77777777" w:rsidR="00DD2398" w:rsidRPr="00907942" w:rsidRDefault="00D05599">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Se precisará las razones objetivas por las que la apertura de la información generaría una afectación, por medio del riesgo real, demostrable e identificable;</w:t>
      </w:r>
    </w:p>
    <w:p w14:paraId="6715FAB8" w14:textId="77777777" w:rsidR="00DD2398" w:rsidRPr="00907942" w:rsidRDefault="00D05599">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Se deberán señalar las circunstancias de modo, tiempo y lugar del daño, y</w:t>
      </w:r>
    </w:p>
    <w:p w14:paraId="514048F2" w14:textId="77777777" w:rsidR="00DD2398" w:rsidRPr="00907942" w:rsidRDefault="00D05599">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Se elegirá la opción de excepción al acceso a la información que menos restrinja, la cual será adecuada y proporcional para la protección del interés público.</w:t>
      </w:r>
    </w:p>
    <w:p w14:paraId="2A3B5F8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2CCA24C"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Ahora bien, toda vez que, el Comité de Transparencia reservó la información solicitada en apego a la fracción VI del artículo 140 de la Ley de Transparencia Local (homologa de la fracción IX del artículo 113 de la Ley General de Transparencia), los cuales refieren lo siguiente:</w:t>
      </w:r>
    </w:p>
    <w:p w14:paraId="3F7B18CC" w14:textId="77777777" w:rsidR="00DD2398" w:rsidRPr="00907942" w:rsidRDefault="00DD2398">
      <w:pPr>
        <w:pBdr>
          <w:top w:val="nil"/>
          <w:left w:val="nil"/>
          <w:bottom w:val="nil"/>
          <w:right w:val="nil"/>
          <w:between w:val="nil"/>
        </w:pBdr>
        <w:spacing w:line="276" w:lineRule="auto"/>
        <w:ind w:left="567" w:right="560"/>
        <w:jc w:val="center"/>
        <w:rPr>
          <w:rFonts w:ascii="Palatino Linotype" w:eastAsia="Palatino Linotype" w:hAnsi="Palatino Linotype" w:cs="Palatino Linotype"/>
          <w:i/>
          <w:sz w:val="22"/>
          <w:szCs w:val="22"/>
        </w:rPr>
      </w:pPr>
    </w:p>
    <w:p w14:paraId="7073261E" w14:textId="77777777" w:rsidR="00DD2398" w:rsidRPr="00907942" w:rsidRDefault="00D05599">
      <w:pPr>
        <w:pBdr>
          <w:top w:val="nil"/>
          <w:left w:val="nil"/>
          <w:bottom w:val="nil"/>
          <w:right w:val="nil"/>
          <w:between w:val="nil"/>
        </w:pBdr>
        <w:spacing w:line="276" w:lineRule="auto"/>
        <w:ind w:left="567" w:right="560"/>
        <w:jc w:val="center"/>
        <w:rPr>
          <w:rFonts w:ascii="Palatino Linotype" w:eastAsia="Palatino Linotype" w:hAnsi="Palatino Linotype" w:cs="Palatino Linotype"/>
          <w:b/>
          <w:i/>
          <w:sz w:val="22"/>
          <w:szCs w:val="22"/>
          <w:u w:val="single"/>
        </w:rPr>
      </w:pPr>
      <w:r w:rsidRPr="00907942">
        <w:rPr>
          <w:rFonts w:ascii="Palatino Linotype" w:eastAsia="Palatino Linotype" w:hAnsi="Palatino Linotype" w:cs="Palatino Linotype"/>
          <w:b/>
          <w:i/>
          <w:sz w:val="22"/>
          <w:szCs w:val="22"/>
          <w:u w:val="single"/>
        </w:rPr>
        <w:t>Ley de Transparencia y Acceso a la Información Pública del Estado de México y Municipios</w:t>
      </w:r>
    </w:p>
    <w:p w14:paraId="0C8A4F34" w14:textId="77777777" w:rsidR="00DD2398" w:rsidRPr="00907942" w:rsidRDefault="00DD2398">
      <w:pPr>
        <w:pBdr>
          <w:top w:val="nil"/>
          <w:left w:val="nil"/>
          <w:bottom w:val="nil"/>
          <w:right w:val="nil"/>
          <w:between w:val="nil"/>
        </w:pBdr>
        <w:spacing w:line="276" w:lineRule="auto"/>
        <w:ind w:left="567" w:right="560"/>
        <w:jc w:val="center"/>
        <w:rPr>
          <w:rFonts w:ascii="Palatino Linotype" w:eastAsia="Palatino Linotype" w:hAnsi="Palatino Linotype" w:cs="Palatino Linotype"/>
          <w:i/>
          <w:sz w:val="22"/>
          <w:szCs w:val="22"/>
        </w:rPr>
      </w:pPr>
    </w:p>
    <w:p w14:paraId="310D2C92" w14:textId="77777777" w:rsidR="00DD2398" w:rsidRPr="00907942" w:rsidRDefault="00D05599">
      <w:pPr>
        <w:pBdr>
          <w:top w:val="nil"/>
          <w:left w:val="nil"/>
          <w:bottom w:val="nil"/>
          <w:right w:val="nil"/>
          <w:between w:val="nil"/>
        </w:pBdr>
        <w:spacing w:line="276" w:lineRule="auto"/>
        <w:ind w:left="567" w:right="56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6173BD18" w14:textId="77777777" w:rsidR="00DD2398" w:rsidRPr="00907942" w:rsidRDefault="00D05599">
      <w:pPr>
        <w:pBdr>
          <w:top w:val="nil"/>
          <w:left w:val="nil"/>
          <w:bottom w:val="nil"/>
          <w:right w:val="nil"/>
          <w:between w:val="nil"/>
        </w:pBdr>
        <w:spacing w:line="276"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302A3CAD" w14:textId="77777777" w:rsidR="00DD2398" w:rsidRPr="00907942" w:rsidRDefault="00D05599">
      <w:pPr>
        <w:spacing w:line="276"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VI. Pueda causar daño u obstruya la prevención o persecución de los delitos, altere el proceso de investigación de las carpetas de investigación, </w:t>
      </w:r>
      <w:r w:rsidRPr="00907942">
        <w:rPr>
          <w:rFonts w:ascii="Palatino Linotype" w:eastAsia="Palatino Linotype" w:hAnsi="Palatino Linotype" w:cs="Palatino Linotype"/>
          <w:b/>
          <w:i/>
          <w:sz w:val="22"/>
          <w:szCs w:val="22"/>
        </w:rPr>
        <w:t>afecte o vulnere la conducción o los derechos del debido proceso en los procedimientos judiciales o administrativos, incluidos los de quejas, denuncias, inconformidades, responsabilidades administrativas</w:t>
      </w:r>
      <w:r w:rsidRPr="00907942">
        <w:rPr>
          <w:rFonts w:ascii="Palatino Linotype" w:eastAsia="Palatino Linotype" w:hAnsi="Palatino Linotype" w:cs="Palatino Linotype"/>
          <w:i/>
          <w:sz w:val="22"/>
          <w:szCs w:val="22"/>
        </w:rPr>
        <w:t xml:space="preserve"> y resarcitorias </w:t>
      </w:r>
      <w:r w:rsidRPr="00907942">
        <w:rPr>
          <w:rFonts w:ascii="Palatino Linotype" w:eastAsia="Palatino Linotype" w:hAnsi="Palatino Linotype" w:cs="Palatino Linotype"/>
          <w:b/>
          <w:i/>
          <w:sz w:val="22"/>
          <w:szCs w:val="22"/>
        </w:rPr>
        <w:t>en tanto no hayan quedado firmes</w:t>
      </w:r>
      <w:r w:rsidRPr="00907942">
        <w:rPr>
          <w:rFonts w:ascii="Palatino Linotype" w:eastAsia="Palatino Linotype" w:hAnsi="Palatino Linotype" w:cs="Palatino Linotype"/>
          <w:i/>
          <w:sz w:val="22"/>
          <w:szCs w:val="22"/>
        </w:rPr>
        <w:t xml:space="preserve"> o afecte la administración de justicia o la seguridad de un denunciante, querellante o testigo, así como sus familias, en los términos de las disposiciones jurídicas aplicables;[…]”</w:t>
      </w:r>
    </w:p>
    <w:p w14:paraId="5F669575" w14:textId="77777777" w:rsidR="00DD2398" w:rsidRPr="00907942" w:rsidRDefault="00DD2398">
      <w:pPr>
        <w:spacing w:line="276" w:lineRule="auto"/>
        <w:ind w:left="567" w:right="560"/>
        <w:jc w:val="both"/>
        <w:rPr>
          <w:rFonts w:ascii="Palatino Linotype" w:eastAsia="Palatino Linotype" w:hAnsi="Palatino Linotype" w:cs="Palatino Linotype"/>
          <w:i/>
          <w:sz w:val="22"/>
          <w:szCs w:val="22"/>
        </w:rPr>
      </w:pPr>
    </w:p>
    <w:p w14:paraId="7D8096D2" w14:textId="77777777" w:rsidR="00DD2398" w:rsidRPr="00907942" w:rsidRDefault="00D05599">
      <w:pPr>
        <w:spacing w:line="276" w:lineRule="auto"/>
        <w:ind w:left="567" w:right="560"/>
        <w:jc w:val="center"/>
        <w:rPr>
          <w:rFonts w:ascii="Palatino Linotype" w:eastAsia="Palatino Linotype" w:hAnsi="Palatino Linotype" w:cs="Palatino Linotype"/>
          <w:b/>
          <w:i/>
          <w:sz w:val="22"/>
          <w:szCs w:val="22"/>
          <w:u w:val="single"/>
        </w:rPr>
      </w:pPr>
      <w:r w:rsidRPr="00907942">
        <w:rPr>
          <w:rFonts w:ascii="Palatino Linotype" w:eastAsia="Palatino Linotype" w:hAnsi="Palatino Linotype" w:cs="Palatino Linotype"/>
          <w:b/>
          <w:i/>
          <w:sz w:val="22"/>
          <w:szCs w:val="22"/>
          <w:u w:val="single"/>
        </w:rPr>
        <w:t>Ley General de Transparencia y Acceso a la Información Pública</w:t>
      </w:r>
    </w:p>
    <w:p w14:paraId="4926F704" w14:textId="77777777" w:rsidR="00DD2398" w:rsidRPr="00907942" w:rsidRDefault="00D05599">
      <w:pPr>
        <w:spacing w:line="276"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Artículo 113. Como información reservada podrá clasificarse aquella cuya publicación:</w:t>
      </w:r>
      <w:r w:rsidRPr="00907942">
        <w:rPr>
          <w:rFonts w:ascii="Palatino Linotype" w:eastAsia="Palatino Linotype" w:hAnsi="Palatino Linotype" w:cs="Palatino Linotype"/>
          <w:i/>
          <w:sz w:val="22"/>
          <w:szCs w:val="22"/>
        </w:rPr>
        <w:br/>
        <w:t>[…]</w:t>
      </w:r>
    </w:p>
    <w:p w14:paraId="76DF30B0" w14:textId="77777777" w:rsidR="00DD2398" w:rsidRPr="00907942" w:rsidRDefault="00D05599">
      <w:pPr>
        <w:spacing w:line="276" w:lineRule="auto"/>
        <w:ind w:left="567" w:right="56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xml:space="preserve">IX. Obstruya los procedimientos para fincar responsabilidad a los Servidores Públicos, en tanto no se haya dictado la resolución </w:t>
      </w:r>
      <w:proofErr w:type="gramStart"/>
      <w:r w:rsidRPr="00907942">
        <w:rPr>
          <w:rFonts w:ascii="Palatino Linotype" w:eastAsia="Palatino Linotype" w:hAnsi="Palatino Linotype" w:cs="Palatino Linotype"/>
          <w:b/>
          <w:i/>
          <w:sz w:val="22"/>
          <w:szCs w:val="22"/>
        </w:rPr>
        <w:t>administrativa</w:t>
      </w:r>
      <w:r w:rsidRPr="00907942">
        <w:rPr>
          <w:rFonts w:ascii="Palatino Linotype" w:eastAsia="Palatino Linotype" w:hAnsi="Palatino Linotype" w:cs="Palatino Linotype"/>
          <w:i/>
          <w:sz w:val="22"/>
          <w:szCs w:val="22"/>
        </w:rPr>
        <w:t>;[</w:t>
      </w:r>
      <w:proofErr w:type="gramEnd"/>
      <w:r w:rsidRPr="00907942">
        <w:rPr>
          <w:rFonts w:ascii="Palatino Linotype" w:eastAsia="Palatino Linotype" w:hAnsi="Palatino Linotype" w:cs="Palatino Linotype"/>
          <w:i/>
          <w:sz w:val="22"/>
          <w:szCs w:val="22"/>
        </w:rPr>
        <w:t>…]”</w:t>
      </w:r>
    </w:p>
    <w:p w14:paraId="6B5BC0C7" w14:textId="77777777" w:rsidR="00DD2398" w:rsidRPr="00907942" w:rsidRDefault="00DD2398">
      <w:pPr>
        <w:spacing w:line="276" w:lineRule="auto"/>
        <w:ind w:left="567" w:right="560"/>
        <w:jc w:val="both"/>
        <w:rPr>
          <w:rFonts w:ascii="Palatino Linotype" w:eastAsia="Palatino Linotype" w:hAnsi="Palatino Linotype" w:cs="Palatino Linotype"/>
          <w:i/>
          <w:sz w:val="22"/>
          <w:szCs w:val="22"/>
        </w:rPr>
      </w:pPr>
    </w:p>
    <w:p w14:paraId="39FF816A" w14:textId="77777777" w:rsidR="00DD2398" w:rsidRPr="00907942" w:rsidRDefault="00D05599">
      <w:pPr>
        <w:spacing w:line="276" w:lineRule="auto"/>
        <w:ind w:left="567" w:right="560"/>
        <w:jc w:val="right"/>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(Énfasis añadido)</w:t>
      </w:r>
    </w:p>
    <w:p w14:paraId="1A14815F"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1FB3E664" w14:textId="77777777" w:rsidR="00DD2398" w:rsidRPr="00907942" w:rsidRDefault="00D05599">
      <w:pPr>
        <w:spacing w:line="360" w:lineRule="auto"/>
        <w:jc w:val="both"/>
        <w:rPr>
          <w:rFonts w:ascii="Palatino Linotype" w:eastAsia="Palatino Linotype" w:hAnsi="Palatino Linotype" w:cs="Palatino Linotype"/>
          <w:b/>
          <w:sz w:val="22"/>
          <w:szCs w:val="22"/>
          <w:u w:val="single"/>
        </w:rPr>
      </w:pPr>
      <w:r w:rsidRPr="00907942">
        <w:rPr>
          <w:rFonts w:ascii="Palatino Linotype" w:eastAsia="Palatino Linotype" w:hAnsi="Palatino Linotype" w:cs="Palatino Linotype"/>
          <w:sz w:val="22"/>
          <w:szCs w:val="22"/>
        </w:rPr>
        <w:t xml:space="preserve">De acuerdo con lo que establece el artículo 140, fracción VI, de la Ley de Transparencia y Acceso a la Información Pública del Estado de México y Municipios, </w:t>
      </w:r>
      <w:r w:rsidRPr="00907942">
        <w:rPr>
          <w:rFonts w:ascii="Palatino Linotype" w:eastAsia="Palatino Linotype" w:hAnsi="Palatino Linotype" w:cs="Palatino Linotype"/>
          <w:b/>
          <w:sz w:val="22"/>
          <w:szCs w:val="22"/>
          <w:u w:val="single"/>
        </w:rPr>
        <w:t>será información reservada, aquella afecte o vulnere la conducción o los derechos del debido proceso en los procedimientos judiciales o administrativos, incluidos los de quejas, denuncias, inconformidades, responsabilidades administrativas y resarcitorias en tanto no hayan quedado firmes.</w:t>
      </w:r>
    </w:p>
    <w:p w14:paraId="539A4BBD"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61588174"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Para efecto de lo anterior,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deberá acreditar que se cumplen los supuestos señalados en el Vigésimo octavo lineamiento, de los Lineamientos Generales en Materia de Clasificación y Desclasificación de la Información, así como para la elaboración de Versiones Públicas, vigentes a la fecha de la solicitud, que son del tenor literal siguiente:</w:t>
      </w:r>
    </w:p>
    <w:p w14:paraId="1B6B1948"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76B5A656" w14:textId="77777777" w:rsidR="00DD2398" w:rsidRPr="00907942" w:rsidRDefault="00D05599">
      <w:pPr>
        <w:spacing w:before="120" w:after="120"/>
        <w:ind w:left="851" w:right="902"/>
        <w:jc w:val="both"/>
        <w:rPr>
          <w:rFonts w:ascii="Palatino Linotype" w:eastAsia="Palatino Linotype" w:hAnsi="Palatino Linotype" w:cs="Palatino Linotype"/>
          <w:b/>
          <w:i/>
          <w:sz w:val="22"/>
          <w:szCs w:val="22"/>
          <w:u w:val="single"/>
        </w:rPr>
      </w:pPr>
      <w:r w:rsidRPr="00907942">
        <w:rPr>
          <w:rFonts w:ascii="Palatino Linotype" w:eastAsia="Palatino Linotype" w:hAnsi="Palatino Linotype" w:cs="Palatino Linotype"/>
          <w:b/>
          <w:i/>
          <w:sz w:val="22"/>
          <w:szCs w:val="22"/>
        </w:rPr>
        <w:t>“Vigésimo octavo</w:t>
      </w:r>
      <w:r w:rsidRPr="00907942">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w:t>
      </w:r>
      <w:r w:rsidRPr="00907942">
        <w:rPr>
          <w:rFonts w:ascii="Palatino Linotype" w:eastAsia="Palatino Linotype" w:hAnsi="Palatino Linotype" w:cs="Palatino Linotype"/>
          <w:b/>
          <w:i/>
          <w:sz w:val="22"/>
          <w:szCs w:val="22"/>
          <w:u w:val="single"/>
        </w:rPr>
        <w:t xml:space="preserve">se deberán acreditar los siguientes supuestos: </w:t>
      </w:r>
    </w:p>
    <w:p w14:paraId="31BB2083"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w:t>
      </w:r>
      <w:r w:rsidRPr="00907942">
        <w:rPr>
          <w:rFonts w:ascii="Palatino Linotype" w:eastAsia="Palatino Linotype" w:hAnsi="Palatino Linotype" w:cs="Palatino Linotype"/>
          <w:i/>
          <w:sz w:val="22"/>
          <w:szCs w:val="22"/>
        </w:rPr>
        <w:t xml:space="preserve">. La existencia de un procedimiento de responsabilidad administrativa en trámite; </w:t>
      </w:r>
    </w:p>
    <w:p w14:paraId="72DB1163"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w:t>
      </w:r>
      <w:r w:rsidRPr="00907942">
        <w:rPr>
          <w:rFonts w:ascii="Palatino Linotype" w:eastAsia="Palatino Linotype" w:hAnsi="Palatino Linotype" w:cs="Palatino Linotype"/>
          <w:i/>
          <w:sz w:val="22"/>
          <w:szCs w:val="22"/>
        </w:rPr>
        <w:t xml:space="preserve">. Que la información se refiera a actuaciones, diligencias y constancias propias del procedimiento de responsabilidad; y </w:t>
      </w:r>
    </w:p>
    <w:p w14:paraId="5936EDF6"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III.</w:t>
      </w:r>
      <w:r w:rsidRPr="00907942">
        <w:rPr>
          <w:rFonts w:ascii="Palatino Linotype" w:eastAsia="Palatino Linotype" w:hAnsi="Palatino Linotype" w:cs="Palatino Linotype"/>
          <w:i/>
          <w:sz w:val="22"/>
          <w:szCs w:val="22"/>
        </w:rPr>
        <w:t xml:space="preserve"> Que con su difusión se pueda llegar a interrumpir o menoscabar la actuación de las autoridades administrativas que impida u obstaculice su determinación en el procedimiento de responsabilidad.”</w:t>
      </w:r>
    </w:p>
    <w:p w14:paraId="2B53DEE5"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4B9AB994"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Por lo cual, se procede analizar cada uno de los requisitos señalados en los Lineamientos Generales, vigentes a la fecha de la solicitud, con la finalidad de verificar si se configura la hipótesis de reserva en estudio:</w:t>
      </w:r>
    </w:p>
    <w:p w14:paraId="09CE3A10"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7961C61" w14:textId="77777777" w:rsidR="00DD2398" w:rsidRPr="00907942" w:rsidRDefault="00D05599">
      <w:pPr>
        <w:numPr>
          <w:ilvl w:val="0"/>
          <w:numId w:val="2"/>
        </w:numPr>
        <w:pBdr>
          <w:top w:val="nil"/>
          <w:left w:val="nil"/>
          <w:bottom w:val="nil"/>
          <w:right w:val="nil"/>
          <w:between w:val="nil"/>
        </w:pBdr>
        <w:spacing w:after="160" w:line="360" w:lineRule="auto"/>
        <w:ind w:right="560"/>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 xml:space="preserve">La existencia de un procedimiento de responsabilidad administrativa en trámite, </w:t>
      </w:r>
    </w:p>
    <w:p w14:paraId="64CB814A" w14:textId="77777777" w:rsidR="00DD2398" w:rsidRPr="00907942" w:rsidRDefault="00D05599">
      <w:pPr>
        <w:numPr>
          <w:ilvl w:val="0"/>
          <w:numId w:val="2"/>
        </w:numPr>
        <w:pBdr>
          <w:top w:val="nil"/>
          <w:left w:val="nil"/>
          <w:bottom w:val="nil"/>
          <w:right w:val="nil"/>
          <w:between w:val="nil"/>
        </w:pBdr>
        <w:spacing w:after="160" w:line="360" w:lineRule="auto"/>
        <w:ind w:right="49"/>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Que la información se refiera a actuaciones, diligencias y constancias propias del procedimiento de responsabilidad,</w:t>
      </w:r>
    </w:p>
    <w:p w14:paraId="6E2BDBBB" w14:textId="77777777" w:rsidR="00DD2398" w:rsidRPr="00907942" w:rsidRDefault="00D05599">
      <w:pPr>
        <w:numPr>
          <w:ilvl w:val="0"/>
          <w:numId w:val="2"/>
        </w:numPr>
        <w:pBdr>
          <w:top w:val="nil"/>
          <w:left w:val="nil"/>
          <w:bottom w:val="nil"/>
          <w:right w:val="nil"/>
          <w:between w:val="nil"/>
        </w:pBdr>
        <w:spacing w:after="160" w:line="360" w:lineRule="auto"/>
        <w:ind w:right="49"/>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Que con su difusión se pueda llegar a interrumpir o menoscabar la actuación de las autoridades administrativas que impida u obstaculice su determinación en el procedimiento de responsabilidad.</w:t>
      </w:r>
    </w:p>
    <w:p w14:paraId="23998BB2"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549101C1"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Con base en lo expuesto, para determinar si se actualiza la causal de mérito resulta necesario analizar cada uno de los requisitos señalados en los Lineamientos Generales, con la finalidad de verificar si se configura la hipótesis de reserva en estudio:</w:t>
      </w:r>
    </w:p>
    <w:p w14:paraId="59FD3E00"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63406DA0" w14:textId="77777777" w:rsidR="00DD2398" w:rsidRPr="00907942" w:rsidRDefault="00D05599">
      <w:pPr>
        <w:numPr>
          <w:ilvl w:val="0"/>
          <w:numId w:val="11"/>
        </w:numPr>
        <w:pBdr>
          <w:top w:val="nil"/>
          <w:left w:val="nil"/>
          <w:bottom w:val="nil"/>
          <w:right w:val="nil"/>
          <w:between w:val="nil"/>
        </w:pBdr>
        <w:spacing w:after="160"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La existencia de un procedimiento de responsabilidad administrativa en trámite:</w:t>
      </w:r>
    </w:p>
    <w:p w14:paraId="39BA74FB" w14:textId="77777777" w:rsidR="00DD2398" w:rsidRPr="00907942" w:rsidRDefault="00DD2398">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4126A391"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el presente caso, 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señaló que la información no se podía entregar por encontrarse relacionada con un procedimiento por presuntas faltas administrativas en contra de servidores públicos, adjuntando el Acta del Comité de Transparencia por la que se aprueba la reserva de la información, ya que su entrega puede afectar la conducción o los derechos del debido proceso.</w:t>
      </w:r>
    </w:p>
    <w:p w14:paraId="025DB81D"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606CDA1E"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Por lo que, en el caso, se desprende que la información requerida se relaciona con procedimientos relacionados con probables faltas administrativas en contra de servidores públicos que no han quedado firmes.</w:t>
      </w:r>
    </w:p>
    <w:p w14:paraId="4AF8A9D6"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09847AA"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Sin embargo, en el presente asunto se advierte que el Sujeto Obligado no acreditó fehacientemente que los contratos, facturas y recibos de pago por la compra de un terreno adquirido para la construcción del nuevo panteón municipal tuvieran relación directa con los procedimientos que se desahogan y tampoco proporcionó elementos detallados que permitieran acreditar la existencia de procedimientos en trámite, como pudiera ser el número de radicación de los procedimientos, la etapa en la que se encuentran. </w:t>
      </w:r>
    </w:p>
    <w:p w14:paraId="2D022531"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65999E0"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Es así que, la simple referencia del Sujeto Obligado respecto de que la información requerida se relaciona con procedimientos por presuntas faltas administrativas en trámite, no basta para acreditar la existencia de dicho procedimiento y, por ende, no se actualiza la primera hipótesis. </w:t>
      </w:r>
    </w:p>
    <w:p w14:paraId="7670EE61" w14:textId="77777777" w:rsidR="00DD2398" w:rsidRPr="00907942" w:rsidRDefault="00DD2398">
      <w:pPr>
        <w:spacing w:line="360" w:lineRule="auto"/>
        <w:ind w:right="49"/>
        <w:jc w:val="both"/>
        <w:rPr>
          <w:rFonts w:ascii="Palatino Linotype" w:eastAsia="Palatino Linotype" w:hAnsi="Palatino Linotype" w:cs="Palatino Linotype"/>
          <w:b/>
          <w:sz w:val="22"/>
          <w:szCs w:val="22"/>
        </w:rPr>
      </w:pPr>
    </w:p>
    <w:p w14:paraId="6575EE6E" w14:textId="77777777" w:rsidR="00DD2398" w:rsidRPr="00907942" w:rsidRDefault="00D05599">
      <w:pPr>
        <w:numPr>
          <w:ilvl w:val="0"/>
          <w:numId w:val="1"/>
        </w:numPr>
        <w:pBdr>
          <w:top w:val="nil"/>
          <w:left w:val="nil"/>
          <w:bottom w:val="nil"/>
          <w:right w:val="nil"/>
          <w:between w:val="nil"/>
        </w:pBdr>
        <w:spacing w:after="160" w:line="360" w:lineRule="auto"/>
        <w:ind w:right="49"/>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Que la información se refiera a actuaciones, diligencias y constancias propias del procedimiento de responsabilidad,</w:t>
      </w:r>
    </w:p>
    <w:p w14:paraId="7848E114"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EEFA46B"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Ahora bien, por lo que hace a que la información se refiera a actuaciones, diligencias o constancias propias del procedimiento, es de recordar que, en el presente caso, la pretensión de la parte </w:t>
      </w:r>
      <w:r w:rsidRPr="00907942">
        <w:rPr>
          <w:rFonts w:ascii="Palatino Linotype" w:eastAsia="Palatino Linotype" w:hAnsi="Palatino Linotype" w:cs="Palatino Linotype"/>
          <w:b/>
          <w:sz w:val="22"/>
          <w:szCs w:val="22"/>
        </w:rPr>
        <w:t xml:space="preserve">Recurrente </w:t>
      </w:r>
      <w:r w:rsidRPr="00907942">
        <w:rPr>
          <w:rFonts w:ascii="Palatino Linotype" w:eastAsia="Palatino Linotype" w:hAnsi="Palatino Linotype" w:cs="Palatino Linotype"/>
          <w:sz w:val="22"/>
          <w:szCs w:val="22"/>
        </w:rPr>
        <w:t xml:space="preserve">es obtener los contratos, facturas y recibos de pago por la compra de un terreno para la construcción del nuevo panteón municipal indicado en la solicitud, los cuales a dicho de la Dirección de Asuntos Jurídicos se encuentran relacionados con un procedimientos por presunta responsabilidad administrativa en contra de servidores públicos, por la adquisición de dicho terreno; por lo que, en primera instancia se podría </w:t>
      </w:r>
      <w:r w:rsidRPr="00907942">
        <w:rPr>
          <w:rFonts w:ascii="Palatino Linotype" w:eastAsia="Palatino Linotype" w:hAnsi="Palatino Linotype" w:cs="Palatino Linotype"/>
          <w:sz w:val="22"/>
          <w:szCs w:val="22"/>
        </w:rPr>
        <w:lastRenderedPageBreak/>
        <w:t>decir que dichos documentos pueden formar parte del procedimiento de responsabilidad al constituir constancias propias del mismo.</w:t>
      </w:r>
    </w:p>
    <w:p w14:paraId="6A8362ED"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4D7717EE" w14:textId="77777777" w:rsidR="00DD2398" w:rsidRPr="00907942" w:rsidRDefault="00D05599">
      <w:pPr>
        <w:numPr>
          <w:ilvl w:val="0"/>
          <w:numId w:val="1"/>
        </w:numPr>
        <w:pBdr>
          <w:top w:val="nil"/>
          <w:left w:val="nil"/>
          <w:bottom w:val="nil"/>
          <w:right w:val="nil"/>
          <w:between w:val="nil"/>
        </w:pBdr>
        <w:spacing w:after="160" w:line="360" w:lineRule="auto"/>
        <w:ind w:right="49"/>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Que con su difusión se pueda llegar a interrumpir o menoscabar la actuación de las autoridades administrativas que impida u obstaculice su determinación en el procedimiento de responsabilidad.</w:t>
      </w:r>
    </w:p>
    <w:p w14:paraId="6CDDECA3"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De un análisis realizado y atendiendo la motivación hecha valer en el Acta del Comité de Transparencia remitida en informe justificado con la cual se pretende sustentar la reserva de la información requerida, no se acredita que la difusión de la información pueda interrumpir o menoscabar la actuación de las autoridades administrativas u obstaculice su determinación en el procedimiento de responsabilidad.</w:t>
      </w:r>
    </w:p>
    <w:p w14:paraId="18CC07A1"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664D59DE"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Lo anterior, </w:t>
      </w:r>
      <w:proofErr w:type="gramStart"/>
      <w:r w:rsidRPr="00907942">
        <w:rPr>
          <w:rFonts w:ascii="Palatino Linotype" w:eastAsia="Palatino Linotype" w:hAnsi="Palatino Linotype" w:cs="Palatino Linotype"/>
          <w:sz w:val="22"/>
          <w:szCs w:val="22"/>
        </w:rPr>
        <w:t>ya que</w:t>
      </w:r>
      <w:proofErr w:type="gramEnd"/>
      <w:r w:rsidRPr="00907942">
        <w:rPr>
          <w:rFonts w:ascii="Palatino Linotype" w:eastAsia="Palatino Linotype" w:hAnsi="Palatino Linotype" w:cs="Palatino Linotype"/>
          <w:sz w:val="22"/>
          <w:szCs w:val="22"/>
        </w:rPr>
        <w:t xml:space="preserve"> si bien se trata de constancias que obran dentro del procedimiento, corresponden a un insumo informativo o de apoyo en el mismo, que además no sufrirán modificación, pues en todo caso el efecto del procedimiento no será la revocación de la compraventa del inmueble para la construcción del nuevo panteón municipal, sino en todo caso el fincamiento de las faltas administrativas a que haya lugar por la adquisición indebida.</w:t>
      </w:r>
    </w:p>
    <w:p w14:paraId="407D8432"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2A45573E"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Máxime </w:t>
      </w:r>
      <w:proofErr w:type="gramStart"/>
      <w:r w:rsidRPr="00907942">
        <w:rPr>
          <w:rFonts w:ascii="Palatino Linotype" w:eastAsia="Palatino Linotype" w:hAnsi="Palatino Linotype" w:cs="Palatino Linotype"/>
          <w:sz w:val="22"/>
          <w:szCs w:val="22"/>
        </w:rPr>
        <w:t>que</w:t>
      </w:r>
      <w:proofErr w:type="gramEnd"/>
      <w:r w:rsidRPr="00907942">
        <w:rPr>
          <w:rFonts w:ascii="Palatino Linotype" w:eastAsia="Palatino Linotype" w:hAnsi="Palatino Linotype" w:cs="Palatino Linotype"/>
          <w:sz w:val="22"/>
          <w:szCs w:val="22"/>
        </w:rPr>
        <w:t xml:space="preserve"> en el presente asunto, como se ahondará más adelante, la motivación del ente obligado para sustentar la reserva de la información únicamente se centra en referir que de entregarse la información, se puede obstruir los procedimientos de investigación afectando o vulnerando la conducción o los derechos del debido proceso; sin precisar o acreditar ese riesgo de proporcionar la información.</w:t>
      </w:r>
    </w:p>
    <w:p w14:paraId="4130C0A3" w14:textId="77777777" w:rsidR="00DD2398" w:rsidRPr="00907942" w:rsidRDefault="00DD2398">
      <w:pPr>
        <w:spacing w:line="360" w:lineRule="auto"/>
        <w:ind w:right="49"/>
        <w:jc w:val="both"/>
        <w:rPr>
          <w:rFonts w:ascii="Palatino Linotype" w:eastAsia="Palatino Linotype" w:hAnsi="Palatino Linotype" w:cs="Palatino Linotype"/>
          <w:b/>
          <w:sz w:val="22"/>
          <w:szCs w:val="22"/>
        </w:rPr>
      </w:pPr>
    </w:p>
    <w:p w14:paraId="065B0243"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 xml:space="preserve">A mayor abundamiento, se analizará el Acta del Comité de Transparencia y su prueba de daño, a fin de establecer si esta cumple con las formalidades exigidas por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y 141, de la Ley de Transparencia y Acceso a la Información Pública del Estado de México y Municipios, se analizará lo siguiente: </w:t>
      </w:r>
    </w:p>
    <w:p w14:paraId="6C727E08" w14:textId="77777777" w:rsidR="00DD2398" w:rsidRPr="00907942" w:rsidRDefault="00DD2398">
      <w:pPr>
        <w:spacing w:line="360" w:lineRule="auto"/>
        <w:jc w:val="both"/>
        <w:rPr>
          <w:rFonts w:ascii="Palatino Linotype" w:eastAsia="Palatino Linotype" w:hAnsi="Palatino Linotype" w:cs="Palatino Linotype"/>
        </w:rPr>
      </w:pP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9515FF" w:rsidRPr="00907942" w14:paraId="470C54B7"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7F59F3DC"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18"/>
                <w:szCs w:val="18"/>
              </w:rPr>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38ED41F9"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0108BB76"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Cumple</w:t>
            </w:r>
          </w:p>
        </w:tc>
      </w:tr>
      <w:tr w:rsidR="009515FF" w:rsidRPr="00907942" w14:paraId="3F78446B" w14:textId="77777777">
        <w:tc>
          <w:tcPr>
            <w:tcW w:w="1413" w:type="dxa"/>
            <w:tcBorders>
              <w:top w:val="single" w:sz="4" w:space="0" w:color="000000"/>
              <w:left w:val="single" w:sz="4" w:space="0" w:color="000000"/>
              <w:bottom w:val="single" w:sz="4" w:space="0" w:color="000000"/>
              <w:right w:val="single" w:sz="4" w:space="0" w:color="000000"/>
            </w:tcBorders>
          </w:tcPr>
          <w:p w14:paraId="3F1AC8D3" w14:textId="77777777" w:rsidR="00DD2398" w:rsidRPr="00907942" w:rsidRDefault="00D05599">
            <w:pPr>
              <w:jc w:val="center"/>
              <w:rPr>
                <w:rFonts w:ascii="Palatino Linotype" w:eastAsia="Palatino Linotype" w:hAnsi="Palatino Linotype" w:cs="Palatino Linotype"/>
                <w:sz w:val="18"/>
                <w:szCs w:val="18"/>
              </w:rPr>
            </w:pPr>
            <w:r w:rsidRPr="00907942">
              <w:rPr>
                <w:rFonts w:ascii="Palatino Linotype" w:eastAsia="Palatino Linotype" w:hAnsi="Palatino Linotype" w:cs="Palatino Linotype"/>
                <w:b/>
                <w:sz w:val="18"/>
                <w:szCs w:val="18"/>
              </w:rPr>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01970B84" w14:textId="77777777" w:rsidR="00DD2398" w:rsidRPr="00907942" w:rsidRDefault="00D05599">
            <w:pPr>
              <w:jc w:val="center"/>
              <w:rPr>
                <w:rFonts w:ascii="Calibri" w:eastAsia="Calibri" w:hAnsi="Calibri" w:cs="Calibri"/>
                <w:sz w:val="22"/>
                <w:szCs w:val="22"/>
              </w:rPr>
            </w:pPr>
            <w:r w:rsidRPr="00907942">
              <w:rPr>
                <w:rFonts w:ascii="Calibri" w:eastAsia="Calibri" w:hAnsi="Calibri" w:cs="Calibri"/>
                <w:noProof/>
                <w:sz w:val="22"/>
                <w:szCs w:val="22"/>
              </w:rPr>
              <w:drawing>
                <wp:inline distT="0" distB="0" distL="0" distR="0" wp14:anchorId="7866D375" wp14:editId="1BCB2F09">
                  <wp:extent cx="1267002" cy="104790"/>
                  <wp:effectExtent l="0" t="0" r="0" b="0"/>
                  <wp:docPr id="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267002" cy="10479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1AA177A9" w14:textId="77777777" w:rsidR="00DD2398" w:rsidRPr="00907942" w:rsidRDefault="00D05599">
            <w:pPr>
              <w:jc w:val="center"/>
              <w:rPr>
                <w:rFonts w:ascii="Palatino Linotype" w:eastAsia="Palatino Linotype" w:hAnsi="Palatino Linotype" w:cs="Palatino Linotype"/>
                <w:b/>
                <w:sz w:val="20"/>
                <w:szCs w:val="20"/>
              </w:rPr>
            </w:pPr>
            <w:r w:rsidRPr="00907942">
              <w:rPr>
                <w:rFonts w:ascii="Palatino Linotype" w:eastAsia="Palatino Linotype" w:hAnsi="Palatino Linotype" w:cs="Palatino Linotype"/>
                <w:b/>
                <w:sz w:val="20"/>
                <w:szCs w:val="20"/>
              </w:rPr>
              <w:t>Sí</w:t>
            </w:r>
          </w:p>
        </w:tc>
      </w:tr>
      <w:tr w:rsidR="009515FF" w:rsidRPr="00907942" w14:paraId="3FB3DEBB" w14:textId="77777777">
        <w:tc>
          <w:tcPr>
            <w:tcW w:w="1413" w:type="dxa"/>
            <w:tcBorders>
              <w:top w:val="single" w:sz="4" w:space="0" w:color="000000"/>
              <w:left w:val="single" w:sz="4" w:space="0" w:color="000000"/>
              <w:bottom w:val="single" w:sz="4" w:space="0" w:color="000000"/>
              <w:right w:val="single" w:sz="4" w:space="0" w:color="000000"/>
            </w:tcBorders>
          </w:tcPr>
          <w:p w14:paraId="03E5A0CB" w14:textId="77777777" w:rsidR="00DD2398" w:rsidRPr="00907942" w:rsidRDefault="00D05599">
            <w:pPr>
              <w:jc w:val="center"/>
              <w:rPr>
                <w:rFonts w:ascii="Palatino Linotype" w:eastAsia="Palatino Linotype" w:hAnsi="Palatino Linotype" w:cs="Palatino Linotype"/>
                <w:sz w:val="18"/>
                <w:szCs w:val="18"/>
              </w:rPr>
            </w:pPr>
            <w:r w:rsidRPr="00907942">
              <w:rPr>
                <w:rFonts w:ascii="Palatino Linotype" w:eastAsia="Palatino Linotype" w:hAnsi="Palatino Linotype" w:cs="Palatino Linotype"/>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1B56345C" w14:textId="77777777" w:rsidR="00DD2398" w:rsidRPr="00907942" w:rsidRDefault="00DD2398">
            <w:pPr>
              <w:jc w:val="center"/>
              <w:rPr>
                <w:rFonts w:ascii="Palatino Linotype" w:eastAsia="Palatino Linotype" w:hAnsi="Palatino Linotype" w:cs="Palatino Linotype"/>
                <w:sz w:val="22"/>
                <w:szCs w:val="22"/>
              </w:rPr>
            </w:pPr>
          </w:p>
          <w:p w14:paraId="55237221" w14:textId="77777777" w:rsidR="00DD2398" w:rsidRPr="00907942" w:rsidRDefault="00D05599">
            <w:pPr>
              <w:jc w:val="center"/>
              <w:rPr>
                <w:rFonts w:ascii="Palatino Linotype" w:eastAsia="Palatino Linotype" w:hAnsi="Palatino Linotype" w:cs="Palatino Linotype"/>
                <w:sz w:val="22"/>
                <w:szCs w:val="22"/>
              </w:rPr>
            </w:pPr>
            <w:r w:rsidRPr="00907942">
              <w:rPr>
                <w:rFonts w:ascii="Palatino Linotype" w:eastAsia="Palatino Linotype" w:hAnsi="Palatino Linotype" w:cs="Palatino Linotype"/>
                <w:noProof/>
                <w:sz w:val="22"/>
                <w:szCs w:val="22"/>
              </w:rPr>
              <w:drawing>
                <wp:inline distT="0" distB="0" distL="0" distR="0" wp14:anchorId="5CD825BD" wp14:editId="6B2CA9B6">
                  <wp:extent cx="3193415" cy="113030"/>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33582"/>
                          <a:stretch>
                            <a:fillRect/>
                          </a:stretch>
                        </pic:blipFill>
                        <pic:spPr>
                          <a:xfrm>
                            <a:off x="0" y="0"/>
                            <a:ext cx="3193415" cy="113030"/>
                          </a:xfrm>
                          <a:prstGeom prst="rect">
                            <a:avLst/>
                          </a:prstGeom>
                          <a:ln/>
                        </pic:spPr>
                      </pic:pic>
                    </a:graphicData>
                  </a:graphic>
                </wp:inline>
              </w:drawing>
            </w:r>
          </w:p>
          <w:p w14:paraId="4BDE4B7B" w14:textId="77777777" w:rsidR="00DD2398" w:rsidRPr="00907942" w:rsidRDefault="00DD2398">
            <w:pPr>
              <w:jc w:val="center"/>
              <w:rPr>
                <w:rFonts w:ascii="Palatino Linotype" w:eastAsia="Palatino Linotype" w:hAnsi="Palatino Linotype" w:cs="Palatino Linotype"/>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2A029250" w14:textId="77777777" w:rsidR="00DD2398" w:rsidRPr="00907942" w:rsidRDefault="00D05599">
            <w:pPr>
              <w:jc w:val="center"/>
              <w:rPr>
                <w:rFonts w:ascii="Palatino Linotype" w:eastAsia="Palatino Linotype" w:hAnsi="Palatino Linotype" w:cs="Palatino Linotype"/>
                <w:sz w:val="20"/>
                <w:szCs w:val="20"/>
              </w:rPr>
            </w:pPr>
            <w:r w:rsidRPr="00907942">
              <w:rPr>
                <w:rFonts w:ascii="Palatino Linotype" w:eastAsia="Palatino Linotype" w:hAnsi="Palatino Linotype" w:cs="Palatino Linotype"/>
                <w:b/>
                <w:sz w:val="20"/>
                <w:szCs w:val="20"/>
              </w:rPr>
              <w:t>Sí</w:t>
            </w:r>
          </w:p>
        </w:tc>
      </w:tr>
      <w:tr w:rsidR="009515FF" w:rsidRPr="00907942" w14:paraId="22EAA72E" w14:textId="77777777">
        <w:tc>
          <w:tcPr>
            <w:tcW w:w="1413" w:type="dxa"/>
            <w:tcBorders>
              <w:top w:val="single" w:sz="4" w:space="0" w:color="000000"/>
              <w:left w:val="single" w:sz="4" w:space="0" w:color="000000"/>
              <w:bottom w:val="single" w:sz="4" w:space="0" w:color="000000"/>
              <w:right w:val="single" w:sz="4" w:space="0" w:color="000000"/>
            </w:tcBorders>
          </w:tcPr>
          <w:p w14:paraId="72747356" w14:textId="77777777" w:rsidR="00DD2398" w:rsidRPr="00907942" w:rsidRDefault="00D05599">
            <w:pPr>
              <w:jc w:val="center"/>
              <w:rPr>
                <w:rFonts w:ascii="Palatino Linotype" w:eastAsia="Palatino Linotype" w:hAnsi="Palatino Linotype" w:cs="Palatino Linotype"/>
                <w:sz w:val="18"/>
                <w:szCs w:val="18"/>
              </w:rPr>
            </w:pPr>
            <w:r w:rsidRPr="00907942">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7879AE6A" w14:textId="77777777" w:rsidR="00DD2398" w:rsidRPr="00907942" w:rsidRDefault="00DD2398">
            <w:pPr>
              <w:jc w:val="center"/>
              <w:rPr>
                <w:rFonts w:ascii="Calibri" w:eastAsia="Calibri" w:hAnsi="Calibri" w:cs="Calibri"/>
                <w:sz w:val="22"/>
                <w:szCs w:val="22"/>
              </w:rPr>
            </w:pPr>
          </w:p>
          <w:p w14:paraId="6F25023B" w14:textId="77777777" w:rsidR="00DD2398" w:rsidRPr="00907942" w:rsidRDefault="00D05599">
            <w:pPr>
              <w:jc w:val="center"/>
              <w:rPr>
                <w:rFonts w:ascii="Calibri" w:eastAsia="Calibri" w:hAnsi="Calibri" w:cs="Calibri"/>
                <w:sz w:val="22"/>
                <w:szCs w:val="22"/>
              </w:rPr>
            </w:pPr>
            <w:r w:rsidRPr="00907942">
              <w:rPr>
                <w:rFonts w:ascii="Calibri" w:eastAsia="Calibri" w:hAnsi="Calibri" w:cs="Calibri"/>
                <w:noProof/>
                <w:sz w:val="22"/>
                <w:szCs w:val="22"/>
              </w:rPr>
              <w:drawing>
                <wp:inline distT="0" distB="0" distL="0" distR="0" wp14:anchorId="2B779418" wp14:editId="257922A1">
                  <wp:extent cx="3193415" cy="742950"/>
                  <wp:effectExtent l="0" t="0" r="0" b="0"/>
                  <wp:docPr id="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93415" cy="742950"/>
                          </a:xfrm>
                          <a:prstGeom prst="rect">
                            <a:avLst/>
                          </a:prstGeom>
                          <a:ln/>
                        </pic:spPr>
                      </pic:pic>
                    </a:graphicData>
                  </a:graphic>
                </wp:inline>
              </w:drawing>
            </w:r>
          </w:p>
          <w:p w14:paraId="79D376A9" w14:textId="77777777" w:rsidR="00DD2398" w:rsidRPr="00907942" w:rsidRDefault="00DD2398">
            <w:pPr>
              <w:rPr>
                <w:rFonts w:ascii="Calibri" w:eastAsia="Calibri" w:hAnsi="Calibri" w:cs="Calibri"/>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407C1A85" w14:textId="77777777" w:rsidR="00DD2398" w:rsidRPr="00907942" w:rsidRDefault="00D05599">
            <w:pPr>
              <w:jc w:val="center"/>
              <w:rPr>
                <w:rFonts w:ascii="Palatino Linotype" w:eastAsia="Palatino Linotype" w:hAnsi="Palatino Linotype" w:cs="Palatino Linotype"/>
                <w:b/>
                <w:sz w:val="20"/>
                <w:szCs w:val="20"/>
              </w:rPr>
            </w:pPr>
            <w:r w:rsidRPr="00907942">
              <w:rPr>
                <w:rFonts w:ascii="Palatino Linotype" w:eastAsia="Palatino Linotype" w:hAnsi="Palatino Linotype" w:cs="Palatino Linotype"/>
                <w:b/>
                <w:sz w:val="20"/>
                <w:szCs w:val="20"/>
              </w:rPr>
              <w:t>Parcialmente</w:t>
            </w:r>
          </w:p>
          <w:p w14:paraId="74123429" w14:textId="77777777" w:rsidR="00DD2398" w:rsidRPr="00907942" w:rsidRDefault="00DD2398">
            <w:pPr>
              <w:jc w:val="center"/>
              <w:rPr>
                <w:rFonts w:ascii="Palatino Linotype" w:eastAsia="Palatino Linotype" w:hAnsi="Palatino Linotype" w:cs="Palatino Linotype"/>
                <w:b/>
                <w:sz w:val="20"/>
                <w:szCs w:val="20"/>
              </w:rPr>
            </w:pPr>
          </w:p>
          <w:p w14:paraId="7967EC8C" w14:textId="77777777" w:rsidR="00DD2398" w:rsidRPr="00907942" w:rsidRDefault="00D05599">
            <w:pPr>
              <w:jc w:val="both"/>
              <w:rPr>
                <w:rFonts w:ascii="Palatino Linotype" w:eastAsia="Palatino Linotype" w:hAnsi="Palatino Linotype" w:cs="Palatino Linotype"/>
                <w:sz w:val="20"/>
                <w:szCs w:val="20"/>
              </w:rPr>
            </w:pPr>
            <w:r w:rsidRPr="00907942">
              <w:rPr>
                <w:rFonts w:ascii="Palatino Linotype" w:eastAsia="Palatino Linotype" w:hAnsi="Palatino Linotype" w:cs="Palatino Linotype"/>
                <w:sz w:val="20"/>
                <w:szCs w:val="20"/>
              </w:rPr>
              <w:t xml:space="preserve">En virtud de que, si bien el Sujeto Obligado señaló la causal que consideraba aplicable de conformidad con el artículo 140, fracción VI de La Ley de Transparencia Local, no citó la fracción aplicable del artículo 113 de la Ley General de Transparencia, ni </w:t>
            </w:r>
            <w:proofErr w:type="gramStart"/>
            <w:r w:rsidRPr="00907942">
              <w:rPr>
                <w:rFonts w:ascii="Palatino Linotype" w:eastAsia="Palatino Linotype" w:hAnsi="Palatino Linotype" w:cs="Palatino Linotype"/>
                <w:sz w:val="20"/>
                <w:szCs w:val="20"/>
              </w:rPr>
              <w:t>la vínculo</w:t>
            </w:r>
            <w:proofErr w:type="gramEnd"/>
            <w:r w:rsidRPr="00907942">
              <w:rPr>
                <w:rFonts w:ascii="Palatino Linotype" w:eastAsia="Palatino Linotype" w:hAnsi="Palatino Linotype" w:cs="Palatino Linotype"/>
                <w:sz w:val="20"/>
                <w:szCs w:val="20"/>
              </w:rPr>
              <w:t xml:space="preserve"> con el Lineamiento vigésimo octavo.</w:t>
            </w:r>
          </w:p>
        </w:tc>
      </w:tr>
      <w:tr w:rsidR="009515FF" w:rsidRPr="00907942" w14:paraId="0FC8C52E" w14:textId="77777777">
        <w:tc>
          <w:tcPr>
            <w:tcW w:w="1413" w:type="dxa"/>
            <w:tcBorders>
              <w:top w:val="single" w:sz="4" w:space="0" w:color="000000"/>
              <w:left w:val="single" w:sz="4" w:space="0" w:color="000000"/>
              <w:bottom w:val="single" w:sz="4" w:space="0" w:color="000000"/>
              <w:right w:val="single" w:sz="4" w:space="0" w:color="000000"/>
            </w:tcBorders>
          </w:tcPr>
          <w:p w14:paraId="1F1C4DFB" w14:textId="77777777" w:rsidR="00DD2398" w:rsidRPr="00907942" w:rsidRDefault="00D05599">
            <w:pPr>
              <w:jc w:val="center"/>
              <w:rPr>
                <w:rFonts w:ascii="Palatino Linotype" w:eastAsia="Palatino Linotype" w:hAnsi="Palatino Linotype" w:cs="Palatino Linotype"/>
                <w:sz w:val="18"/>
                <w:szCs w:val="18"/>
              </w:rPr>
            </w:pPr>
            <w:r w:rsidRPr="00907942">
              <w:rPr>
                <w:rFonts w:ascii="Palatino Linotype" w:eastAsia="Palatino Linotype" w:hAnsi="Palatino Linotype" w:cs="Palatino Linotype"/>
                <w:b/>
                <w:sz w:val="18"/>
                <w:szCs w:val="18"/>
              </w:rPr>
              <w:lastRenderedPageBreak/>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1BE8477D" w14:textId="77777777" w:rsidR="00DD2398" w:rsidRPr="00907942" w:rsidRDefault="00D05599">
            <w:pPr>
              <w:rPr>
                <w:rFonts w:ascii="Calibri" w:eastAsia="Calibri" w:hAnsi="Calibri" w:cs="Calibri"/>
                <w:sz w:val="22"/>
                <w:szCs w:val="22"/>
              </w:rPr>
            </w:pPr>
            <w:r w:rsidRPr="00907942">
              <w:rPr>
                <w:rFonts w:ascii="Calibri" w:eastAsia="Calibri" w:hAnsi="Calibri" w:cs="Calibri"/>
                <w:noProof/>
                <w:sz w:val="22"/>
                <w:szCs w:val="22"/>
              </w:rPr>
              <w:drawing>
                <wp:inline distT="0" distB="0" distL="0" distR="0" wp14:anchorId="33324006" wp14:editId="29CEEF3D">
                  <wp:extent cx="3193415" cy="742950"/>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93415" cy="742950"/>
                          </a:xfrm>
                          <a:prstGeom prst="rect">
                            <a:avLst/>
                          </a:prstGeom>
                          <a:ln/>
                        </pic:spPr>
                      </pic:pic>
                    </a:graphicData>
                  </a:graphic>
                </wp:inline>
              </w:drawing>
            </w:r>
          </w:p>
          <w:p w14:paraId="390B4DD1" w14:textId="77777777" w:rsidR="00DD2398" w:rsidRPr="00907942" w:rsidRDefault="00D05599">
            <w:pPr>
              <w:jc w:val="center"/>
              <w:rPr>
                <w:rFonts w:ascii="Calibri" w:eastAsia="Calibri" w:hAnsi="Calibri" w:cs="Calibri"/>
                <w:sz w:val="22"/>
                <w:szCs w:val="22"/>
              </w:rPr>
            </w:pPr>
            <w:r w:rsidRPr="00907942">
              <w:rPr>
                <w:rFonts w:ascii="Calibri" w:eastAsia="Calibri" w:hAnsi="Calibri" w:cs="Calibri"/>
                <w:sz w:val="22"/>
                <w:szCs w:val="22"/>
              </w:rPr>
              <w:t>[…]</w:t>
            </w:r>
          </w:p>
          <w:p w14:paraId="01B528BD" w14:textId="77777777" w:rsidR="00DD2398" w:rsidRPr="00907942" w:rsidRDefault="00D05599">
            <w:pPr>
              <w:rPr>
                <w:rFonts w:ascii="Calibri" w:eastAsia="Calibri" w:hAnsi="Calibri" w:cs="Calibri"/>
                <w:sz w:val="22"/>
                <w:szCs w:val="22"/>
              </w:rPr>
            </w:pPr>
            <w:r w:rsidRPr="00907942">
              <w:rPr>
                <w:rFonts w:ascii="Calibri" w:eastAsia="Calibri" w:hAnsi="Calibri" w:cs="Calibri"/>
                <w:noProof/>
                <w:sz w:val="22"/>
                <w:szCs w:val="22"/>
              </w:rPr>
              <w:drawing>
                <wp:inline distT="0" distB="0" distL="0" distR="0" wp14:anchorId="02BCAE76" wp14:editId="1B7D9A4B">
                  <wp:extent cx="3193415" cy="685165"/>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193415" cy="685165"/>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1DE89E06" w14:textId="77777777" w:rsidR="00DD2398" w:rsidRPr="00907942" w:rsidRDefault="00D05599">
            <w:pPr>
              <w:jc w:val="center"/>
              <w:rPr>
                <w:rFonts w:ascii="Palatino Linotype" w:eastAsia="Palatino Linotype" w:hAnsi="Palatino Linotype" w:cs="Palatino Linotype"/>
                <w:b/>
                <w:sz w:val="20"/>
                <w:szCs w:val="20"/>
              </w:rPr>
            </w:pPr>
            <w:r w:rsidRPr="00907942">
              <w:rPr>
                <w:rFonts w:ascii="Palatino Linotype" w:eastAsia="Palatino Linotype" w:hAnsi="Palatino Linotype" w:cs="Palatino Linotype"/>
                <w:b/>
                <w:sz w:val="20"/>
                <w:szCs w:val="20"/>
              </w:rPr>
              <w:t xml:space="preserve">NO </w:t>
            </w:r>
          </w:p>
          <w:p w14:paraId="00030AFA" w14:textId="77777777" w:rsidR="00DD2398" w:rsidRPr="00907942" w:rsidRDefault="00D05599">
            <w:pPr>
              <w:jc w:val="both"/>
              <w:rPr>
                <w:rFonts w:ascii="Palatino Linotype" w:eastAsia="Palatino Linotype" w:hAnsi="Palatino Linotype" w:cs="Palatino Linotype"/>
                <w:sz w:val="20"/>
                <w:szCs w:val="20"/>
              </w:rPr>
            </w:pPr>
            <w:r w:rsidRPr="00907942">
              <w:rPr>
                <w:rFonts w:ascii="Palatino Linotype" w:eastAsia="Palatino Linotype" w:hAnsi="Palatino Linotype" w:cs="Palatino Linotype"/>
                <w:sz w:val="20"/>
                <w:szCs w:val="20"/>
              </w:rPr>
              <w:t xml:space="preserve">Ya que, si bien el </w:t>
            </w:r>
            <w:r w:rsidRPr="00907942">
              <w:rPr>
                <w:rFonts w:ascii="Palatino Linotype" w:eastAsia="Palatino Linotype" w:hAnsi="Palatino Linotype" w:cs="Palatino Linotype"/>
                <w:b/>
                <w:sz w:val="20"/>
                <w:szCs w:val="20"/>
              </w:rPr>
              <w:t>Sujeto Obligado</w:t>
            </w:r>
            <w:r w:rsidRPr="00907942">
              <w:rPr>
                <w:rFonts w:ascii="Palatino Linotype" w:eastAsia="Palatino Linotype" w:hAnsi="Palatino Linotype" w:cs="Palatino Linotype"/>
                <w:sz w:val="20"/>
                <w:szCs w:val="20"/>
              </w:rPr>
              <w:t xml:space="preserve"> indicó el precepto legal que contenía el supuesto de reserva que a su consideración se actualizó, atendiendo la naturaleza de la información y la motivación del ente obligado, no procede la reserva de la información.</w:t>
            </w:r>
          </w:p>
        </w:tc>
      </w:tr>
      <w:tr w:rsidR="009515FF" w:rsidRPr="00907942" w14:paraId="2F6B019C" w14:textId="77777777">
        <w:tc>
          <w:tcPr>
            <w:tcW w:w="1413" w:type="dxa"/>
            <w:tcBorders>
              <w:top w:val="single" w:sz="4" w:space="0" w:color="000000"/>
              <w:left w:val="single" w:sz="4" w:space="0" w:color="000000"/>
              <w:bottom w:val="single" w:sz="4" w:space="0" w:color="000000"/>
              <w:right w:val="single" w:sz="4" w:space="0" w:color="000000"/>
            </w:tcBorders>
          </w:tcPr>
          <w:p w14:paraId="24413D92" w14:textId="77777777" w:rsidR="00DD2398" w:rsidRPr="00907942" w:rsidRDefault="00D05599">
            <w:pPr>
              <w:rPr>
                <w:rFonts w:ascii="Palatino Linotype" w:eastAsia="Palatino Linotype" w:hAnsi="Palatino Linotype" w:cs="Palatino Linotype"/>
                <w:b/>
                <w:sz w:val="16"/>
                <w:szCs w:val="16"/>
              </w:rPr>
            </w:pPr>
            <w:r w:rsidRPr="00907942">
              <w:rPr>
                <w:rFonts w:ascii="Palatino Linotype" w:eastAsia="Palatino Linotype" w:hAnsi="Palatino Linotype" w:cs="Palatino Linotype"/>
                <w:b/>
                <w:sz w:val="16"/>
                <w:szCs w:val="16"/>
              </w:rPr>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75E3D2C1" w14:textId="77777777" w:rsidR="00DD2398" w:rsidRPr="00907942" w:rsidRDefault="00DD2398">
            <w:pPr>
              <w:rPr>
                <w:rFonts w:ascii="Calibri" w:eastAsia="Calibri" w:hAnsi="Calibri" w:cs="Calibri"/>
                <w:sz w:val="22"/>
                <w:szCs w:val="22"/>
              </w:rPr>
            </w:pPr>
          </w:p>
          <w:p w14:paraId="40192DF6" w14:textId="77777777" w:rsidR="00DD2398" w:rsidRPr="00907942" w:rsidRDefault="00D05599">
            <w:pPr>
              <w:rPr>
                <w:rFonts w:ascii="Calibri" w:eastAsia="Calibri" w:hAnsi="Calibri" w:cs="Calibri"/>
                <w:sz w:val="22"/>
                <w:szCs w:val="22"/>
              </w:rPr>
            </w:pPr>
            <w:r w:rsidRPr="00907942">
              <w:rPr>
                <w:rFonts w:ascii="Calibri" w:eastAsia="Calibri" w:hAnsi="Calibri" w:cs="Calibri"/>
                <w:noProof/>
                <w:sz w:val="22"/>
                <w:szCs w:val="22"/>
              </w:rPr>
              <w:drawing>
                <wp:inline distT="0" distB="0" distL="0" distR="0" wp14:anchorId="3C94F648" wp14:editId="39B8FA21">
                  <wp:extent cx="3193415" cy="685165"/>
                  <wp:effectExtent l="0" t="0" r="0" b="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193415" cy="685165"/>
                          </a:xfrm>
                          <a:prstGeom prst="rect">
                            <a:avLst/>
                          </a:prstGeom>
                          <a:ln/>
                        </pic:spPr>
                      </pic:pic>
                    </a:graphicData>
                  </a:graphic>
                </wp:inline>
              </w:drawing>
            </w:r>
          </w:p>
          <w:p w14:paraId="2105118F" w14:textId="77777777" w:rsidR="00DD2398" w:rsidRPr="00907942" w:rsidRDefault="00DD2398">
            <w:pPr>
              <w:rPr>
                <w:rFonts w:ascii="Calibri" w:eastAsia="Calibri" w:hAnsi="Calibri" w:cs="Calibri"/>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5A7F5099" w14:textId="77777777" w:rsidR="00DD2398" w:rsidRPr="00907942" w:rsidRDefault="00D05599">
            <w:pPr>
              <w:jc w:val="center"/>
              <w:rPr>
                <w:rFonts w:ascii="Palatino Linotype" w:eastAsia="Palatino Linotype" w:hAnsi="Palatino Linotype" w:cs="Palatino Linotype"/>
                <w:b/>
                <w:sz w:val="18"/>
                <w:szCs w:val="18"/>
              </w:rPr>
            </w:pPr>
            <w:r w:rsidRPr="00907942">
              <w:rPr>
                <w:rFonts w:ascii="Palatino Linotype" w:eastAsia="Palatino Linotype" w:hAnsi="Palatino Linotype" w:cs="Palatino Linotype"/>
                <w:b/>
                <w:sz w:val="18"/>
                <w:szCs w:val="18"/>
              </w:rPr>
              <w:t>NO</w:t>
            </w:r>
          </w:p>
          <w:p w14:paraId="6143D984" w14:textId="77777777" w:rsidR="00DD2398" w:rsidRPr="00907942" w:rsidRDefault="00D05599">
            <w:pPr>
              <w:jc w:val="both"/>
              <w:rPr>
                <w:rFonts w:ascii="Palatino Linotype" w:eastAsia="Palatino Linotype" w:hAnsi="Palatino Linotype" w:cs="Palatino Linotype"/>
                <w:sz w:val="18"/>
                <w:szCs w:val="18"/>
              </w:rPr>
            </w:pPr>
            <w:r w:rsidRPr="00907942">
              <w:rPr>
                <w:rFonts w:ascii="Palatino Linotype" w:eastAsia="Palatino Linotype" w:hAnsi="Palatino Linotype" w:cs="Palatino Linotype"/>
                <w:sz w:val="18"/>
                <w:szCs w:val="18"/>
              </w:rPr>
              <w:t xml:space="preserve">No hay conexidad entre los motivos y fundamentos por los que se reservó la información. </w:t>
            </w:r>
          </w:p>
          <w:p w14:paraId="02FC984A" w14:textId="77777777" w:rsidR="00DD2398" w:rsidRPr="00907942" w:rsidRDefault="00DD2398">
            <w:pPr>
              <w:jc w:val="both"/>
              <w:rPr>
                <w:rFonts w:ascii="Palatino Linotype" w:eastAsia="Palatino Linotype" w:hAnsi="Palatino Linotype" w:cs="Palatino Linotype"/>
                <w:sz w:val="22"/>
                <w:szCs w:val="22"/>
              </w:rPr>
            </w:pPr>
          </w:p>
        </w:tc>
      </w:tr>
      <w:tr w:rsidR="009515FF" w:rsidRPr="00907942" w14:paraId="517B4734"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37299664"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Elementos de la prueba de daño</w:t>
            </w:r>
          </w:p>
        </w:tc>
      </w:tr>
      <w:tr w:rsidR="009515FF" w:rsidRPr="00907942" w14:paraId="79E2FBE0" w14:textId="77777777">
        <w:tc>
          <w:tcPr>
            <w:tcW w:w="1413" w:type="dxa"/>
            <w:tcBorders>
              <w:top w:val="single" w:sz="4" w:space="0" w:color="000000"/>
              <w:left w:val="single" w:sz="4" w:space="0" w:color="000000"/>
              <w:bottom w:val="single" w:sz="4" w:space="0" w:color="000000"/>
              <w:right w:val="single" w:sz="4" w:space="0" w:color="000000"/>
            </w:tcBorders>
          </w:tcPr>
          <w:p w14:paraId="01677DAC" w14:textId="77777777" w:rsidR="00DD2398" w:rsidRPr="00907942" w:rsidRDefault="00D05599">
            <w:pPr>
              <w:spacing w:line="256" w:lineRule="auto"/>
              <w:jc w:val="center"/>
              <w:rPr>
                <w:rFonts w:ascii="Palatino Linotype" w:eastAsia="Palatino Linotype" w:hAnsi="Palatino Linotype" w:cs="Palatino Linotype"/>
                <w:b/>
                <w:sz w:val="16"/>
                <w:szCs w:val="16"/>
              </w:rPr>
            </w:pPr>
            <w:r w:rsidRPr="00907942">
              <w:rPr>
                <w:rFonts w:ascii="Palatino Linotype" w:eastAsia="Palatino Linotype" w:hAnsi="Palatino Linotype" w:cs="Palatino Linotype"/>
                <w:b/>
                <w:sz w:val="16"/>
                <w:szCs w:val="16"/>
              </w:rPr>
              <w:t>Riesgo Real, Demostrable e Identificable</w:t>
            </w:r>
          </w:p>
          <w:p w14:paraId="7A4CD28C"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7036455C" w14:textId="77777777" w:rsidR="00DD2398" w:rsidRPr="00907942" w:rsidRDefault="00DD2398">
            <w:pPr>
              <w:rPr>
                <w:rFonts w:ascii="Calibri" w:eastAsia="Calibri" w:hAnsi="Calibri" w:cs="Calibri"/>
                <w:sz w:val="22"/>
                <w:szCs w:val="22"/>
              </w:rPr>
            </w:pPr>
          </w:p>
          <w:p w14:paraId="6D0FD394" w14:textId="77777777" w:rsidR="00DD2398" w:rsidRPr="00907942" w:rsidRDefault="00D05599">
            <w:pPr>
              <w:rPr>
                <w:rFonts w:ascii="Calibri" w:eastAsia="Calibri" w:hAnsi="Calibri" w:cs="Calibri"/>
                <w:sz w:val="22"/>
                <w:szCs w:val="22"/>
              </w:rPr>
            </w:pPr>
            <w:r w:rsidRPr="00907942">
              <w:rPr>
                <w:rFonts w:ascii="Calibri" w:eastAsia="Calibri" w:hAnsi="Calibri" w:cs="Calibri"/>
                <w:noProof/>
                <w:sz w:val="22"/>
                <w:szCs w:val="22"/>
              </w:rPr>
              <w:drawing>
                <wp:inline distT="0" distB="0" distL="0" distR="0" wp14:anchorId="086092E4" wp14:editId="7BEFF291">
                  <wp:extent cx="3193415" cy="530860"/>
                  <wp:effectExtent l="0" t="0" r="0" b="0"/>
                  <wp:docPr id="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3193415" cy="530860"/>
                          </a:xfrm>
                          <a:prstGeom prst="rect">
                            <a:avLst/>
                          </a:prstGeom>
                          <a:ln/>
                        </pic:spPr>
                      </pic:pic>
                    </a:graphicData>
                  </a:graphic>
                </wp:inline>
              </w:drawing>
            </w:r>
          </w:p>
          <w:p w14:paraId="1334CA08"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noProof/>
                <w:sz w:val="22"/>
                <w:szCs w:val="22"/>
              </w:rPr>
              <w:drawing>
                <wp:inline distT="0" distB="0" distL="0" distR="0" wp14:anchorId="3F39984A" wp14:editId="1F943337">
                  <wp:extent cx="3193415" cy="248285"/>
                  <wp:effectExtent l="0" t="0" r="0" b="0"/>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193415" cy="248285"/>
                          </a:xfrm>
                          <a:prstGeom prst="rect">
                            <a:avLst/>
                          </a:prstGeom>
                          <a:ln/>
                        </pic:spPr>
                      </pic:pic>
                    </a:graphicData>
                  </a:graphic>
                </wp:inline>
              </w:drawing>
            </w:r>
          </w:p>
          <w:p w14:paraId="6B3752B8" w14:textId="77777777" w:rsidR="00DD2398" w:rsidRPr="00907942" w:rsidRDefault="00D05599">
            <w:pPr>
              <w:tabs>
                <w:tab w:val="left" w:pos="2610"/>
                <w:tab w:val="center" w:pos="2798"/>
              </w:tabs>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noProof/>
                <w:sz w:val="22"/>
                <w:szCs w:val="22"/>
              </w:rPr>
              <w:drawing>
                <wp:inline distT="0" distB="0" distL="0" distR="0" wp14:anchorId="137D80C7" wp14:editId="50C203D2">
                  <wp:extent cx="3193415" cy="995680"/>
                  <wp:effectExtent l="0" t="0" r="0" b="0"/>
                  <wp:docPr id="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193415" cy="995680"/>
                          </a:xfrm>
                          <a:prstGeom prst="rect">
                            <a:avLst/>
                          </a:prstGeom>
                          <a:ln/>
                        </pic:spPr>
                      </pic:pic>
                    </a:graphicData>
                  </a:graphic>
                </wp:inline>
              </w:drawing>
            </w:r>
            <w:r w:rsidRPr="00907942">
              <w:rPr>
                <w:rFonts w:ascii="Palatino Linotype" w:eastAsia="Palatino Linotype" w:hAnsi="Palatino Linotype" w:cs="Palatino Linotype"/>
                <w:b/>
                <w:noProof/>
                <w:sz w:val="22"/>
                <w:szCs w:val="22"/>
              </w:rPr>
              <w:drawing>
                <wp:inline distT="0" distB="0" distL="0" distR="0" wp14:anchorId="3E196B9A" wp14:editId="7041C464">
                  <wp:extent cx="3193415" cy="186690"/>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193415" cy="186690"/>
                          </a:xfrm>
                          <a:prstGeom prst="rect">
                            <a:avLst/>
                          </a:prstGeom>
                          <a:ln/>
                        </pic:spPr>
                      </pic:pic>
                    </a:graphicData>
                  </a:graphic>
                </wp:inline>
              </w:drawing>
            </w:r>
            <w:r w:rsidRPr="00907942">
              <w:rPr>
                <w:rFonts w:ascii="Palatino Linotype" w:eastAsia="Palatino Linotype" w:hAnsi="Palatino Linotype" w:cs="Palatino Linotype"/>
                <w:b/>
                <w:noProof/>
                <w:sz w:val="22"/>
                <w:szCs w:val="22"/>
              </w:rPr>
              <w:drawing>
                <wp:inline distT="0" distB="0" distL="0" distR="0" wp14:anchorId="26181B2E" wp14:editId="05D76817">
                  <wp:extent cx="3193415" cy="778510"/>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3193415" cy="778510"/>
                          </a:xfrm>
                          <a:prstGeom prst="rect">
                            <a:avLst/>
                          </a:prstGeom>
                          <a:ln/>
                        </pic:spPr>
                      </pic:pic>
                    </a:graphicData>
                  </a:graphic>
                </wp:inline>
              </w:drawing>
            </w:r>
            <w:r w:rsidRPr="00907942">
              <w:rPr>
                <w:rFonts w:ascii="Palatino Linotype" w:eastAsia="Palatino Linotype" w:hAnsi="Palatino Linotype" w:cs="Palatino Linotype"/>
                <w:b/>
                <w:noProof/>
                <w:sz w:val="22"/>
                <w:szCs w:val="22"/>
              </w:rPr>
              <w:drawing>
                <wp:inline distT="0" distB="0" distL="0" distR="0" wp14:anchorId="33C0EC8F" wp14:editId="0B3FF841">
                  <wp:extent cx="3193415" cy="111125"/>
                  <wp:effectExtent l="0" t="0" r="0" b="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93415" cy="111125"/>
                          </a:xfrm>
                          <a:prstGeom prst="rect">
                            <a:avLst/>
                          </a:prstGeom>
                          <a:ln/>
                        </pic:spPr>
                      </pic:pic>
                    </a:graphicData>
                  </a:graphic>
                </wp:inline>
              </w:drawing>
            </w:r>
          </w:p>
          <w:p w14:paraId="446D576D" w14:textId="77777777" w:rsidR="00DD2398" w:rsidRPr="00907942" w:rsidRDefault="00D05599">
            <w:pPr>
              <w:tabs>
                <w:tab w:val="left" w:pos="2610"/>
                <w:tab w:val="center" w:pos="2798"/>
              </w:tabs>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noProof/>
                <w:sz w:val="22"/>
                <w:szCs w:val="22"/>
              </w:rPr>
              <w:drawing>
                <wp:inline distT="0" distB="0" distL="0" distR="0" wp14:anchorId="302381F9" wp14:editId="5D3DF550">
                  <wp:extent cx="3193415" cy="379730"/>
                  <wp:effectExtent l="0" t="0" r="0" b="0"/>
                  <wp:docPr id="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193415" cy="379730"/>
                          </a:xfrm>
                          <a:prstGeom prst="rect">
                            <a:avLst/>
                          </a:prstGeom>
                          <a:ln/>
                        </pic:spPr>
                      </pic:pic>
                    </a:graphicData>
                  </a:graphic>
                </wp:inline>
              </w:drawing>
            </w:r>
          </w:p>
          <w:p w14:paraId="31BFD0BB" w14:textId="77777777" w:rsidR="00DD2398" w:rsidRPr="00907942" w:rsidRDefault="00D05599">
            <w:pPr>
              <w:tabs>
                <w:tab w:val="left" w:pos="2610"/>
                <w:tab w:val="center" w:pos="2798"/>
              </w:tabs>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noProof/>
                <w:sz w:val="22"/>
                <w:szCs w:val="22"/>
              </w:rPr>
              <w:lastRenderedPageBreak/>
              <w:drawing>
                <wp:inline distT="0" distB="0" distL="0" distR="0" wp14:anchorId="2CF8DF52" wp14:editId="629C1DC9">
                  <wp:extent cx="3193415" cy="136525"/>
                  <wp:effectExtent l="0" t="0" r="0" b="0"/>
                  <wp:docPr id="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193415" cy="136525"/>
                          </a:xfrm>
                          <a:prstGeom prst="rect">
                            <a:avLst/>
                          </a:prstGeom>
                          <a:ln/>
                        </pic:spPr>
                      </pic:pic>
                    </a:graphicData>
                  </a:graphic>
                </wp:inline>
              </w:drawing>
            </w:r>
          </w:p>
          <w:p w14:paraId="26B7717F" w14:textId="77777777" w:rsidR="00DD2398" w:rsidRPr="00907942" w:rsidRDefault="00D05599">
            <w:pPr>
              <w:tabs>
                <w:tab w:val="left" w:pos="2610"/>
                <w:tab w:val="center" w:pos="2798"/>
              </w:tabs>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noProof/>
                <w:sz w:val="22"/>
                <w:szCs w:val="22"/>
              </w:rPr>
              <w:drawing>
                <wp:inline distT="0" distB="0" distL="0" distR="0" wp14:anchorId="1A2F8F6C" wp14:editId="2D9DEF30">
                  <wp:extent cx="3193415" cy="177800"/>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193415" cy="177800"/>
                          </a:xfrm>
                          <a:prstGeom prst="rect">
                            <a:avLst/>
                          </a:prstGeom>
                          <a:ln/>
                        </pic:spPr>
                      </pic:pic>
                    </a:graphicData>
                  </a:graphic>
                </wp:inline>
              </w:drawing>
            </w:r>
          </w:p>
          <w:p w14:paraId="6689EDA0" w14:textId="77777777" w:rsidR="00DD2398" w:rsidRPr="00907942" w:rsidRDefault="00D05599">
            <w:pPr>
              <w:tabs>
                <w:tab w:val="left" w:pos="2610"/>
                <w:tab w:val="center" w:pos="2798"/>
              </w:tabs>
              <w:jc w:val="both"/>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noProof/>
                <w:sz w:val="22"/>
                <w:szCs w:val="22"/>
              </w:rPr>
              <w:drawing>
                <wp:inline distT="0" distB="0" distL="0" distR="0" wp14:anchorId="1EEDCCD2" wp14:editId="23D7599A">
                  <wp:extent cx="3193415" cy="683895"/>
                  <wp:effectExtent l="0" t="0" r="0" b="0"/>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93415" cy="683895"/>
                          </a:xfrm>
                          <a:prstGeom prst="rect">
                            <a:avLst/>
                          </a:prstGeom>
                          <a:ln/>
                        </pic:spPr>
                      </pic:pic>
                    </a:graphicData>
                  </a:graphic>
                </wp:inline>
              </w:drawing>
            </w:r>
            <w:r w:rsidRPr="00907942">
              <w:rPr>
                <w:rFonts w:ascii="Palatino Linotype" w:eastAsia="Palatino Linotype" w:hAnsi="Palatino Linotype" w:cs="Palatino Linotype"/>
                <w:b/>
                <w:sz w:val="22"/>
                <w:szCs w:val="22"/>
              </w:rPr>
              <w:tab/>
            </w:r>
          </w:p>
        </w:tc>
        <w:tc>
          <w:tcPr>
            <w:tcW w:w="2170" w:type="dxa"/>
            <w:tcBorders>
              <w:top w:val="single" w:sz="4" w:space="0" w:color="000000"/>
              <w:left w:val="single" w:sz="4" w:space="0" w:color="000000"/>
              <w:bottom w:val="single" w:sz="4" w:space="0" w:color="000000"/>
              <w:right w:val="single" w:sz="4" w:space="0" w:color="000000"/>
            </w:tcBorders>
          </w:tcPr>
          <w:p w14:paraId="546E00D2" w14:textId="77777777" w:rsidR="00DD2398" w:rsidRPr="00907942" w:rsidRDefault="00D05599">
            <w:pPr>
              <w:jc w:val="center"/>
              <w:rPr>
                <w:rFonts w:ascii="Palatino Linotype" w:eastAsia="Palatino Linotype" w:hAnsi="Palatino Linotype" w:cs="Palatino Linotype"/>
                <w:b/>
                <w:sz w:val="18"/>
                <w:szCs w:val="18"/>
              </w:rPr>
            </w:pPr>
            <w:r w:rsidRPr="00907942">
              <w:rPr>
                <w:rFonts w:ascii="Palatino Linotype" w:eastAsia="Palatino Linotype" w:hAnsi="Palatino Linotype" w:cs="Palatino Linotype"/>
                <w:b/>
                <w:sz w:val="18"/>
                <w:szCs w:val="18"/>
              </w:rPr>
              <w:lastRenderedPageBreak/>
              <w:t>NO</w:t>
            </w:r>
          </w:p>
          <w:p w14:paraId="1B224F22" w14:textId="77777777" w:rsidR="00DD2398" w:rsidRPr="00907942" w:rsidRDefault="00D05599">
            <w:pPr>
              <w:jc w:val="both"/>
              <w:rPr>
                <w:rFonts w:ascii="Palatino Linotype" w:eastAsia="Palatino Linotype" w:hAnsi="Palatino Linotype" w:cs="Palatino Linotype"/>
                <w:sz w:val="18"/>
                <w:szCs w:val="18"/>
              </w:rPr>
            </w:pPr>
            <w:r w:rsidRPr="00907942">
              <w:rPr>
                <w:rFonts w:ascii="Palatino Linotype" w:eastAsia="Palatino Linotype" w:hAnsi="Palatino Linotype" w:cs="Palatino Linotype"/>
                <w:sz w:val="18"/>
                <w:szCs w:val="18"/>
              </w:rPr>
              <w:t>Debido a que no se exponen los argumentos tendientes a demostrar el</w:t>
            </w:r>
            <w:r w:rsidRPr="00907942">
              <w:rPr>
                <w:rFonts w:ascii="Calibri" w:eastAsia="Calibri" w:hAnsi="Calibri" w:cs="Calibri"/>
              </w:rPr>
              <w:t xml:space="preserve"> </w:t>
            </w:r>
            <w:r w:rsidRPr="00907942">
              <w:rPr>
                <w:rFonts w:ascii="Palatino Linotype" w:eastAsia="Palatino Linotype" w:hAnsi="Palatino Linotype" w:cs="Palatino Linotype"/>
                <w:sz w:val="18"/>
                <w:szCs w:val="18"/>
              </w:rPr>
              <w:t>Riesgo Real, Demostrable e Identificable (circunstancias de modo, tiempo y lugar), que existe al hacer la entrega de la información.</w:t>
            </w:r>
          </w:p>
          <w:p w14:paraId="0E4292D6" w14:textId="77777777" w:rsidR="00DD2398" w:rsidRPr="00907942" w:rsidRDefault="00DD2398">
            <w:pPr>
              <w:jc w:val="both"/>
              <w:rPr>
                <w:rFonts w:ascii="Palatino Linotype" w:eastAsia="Palatino Linotype" w:hAnsi="Palatino Linotype" w:cs="Palatino Linotype"/>
                <w:sz w:val="18"/>
                <w:szCs w:val="18"/>
              </w:rPr>
            </w:pPr>
          </w:p>
          <w:p w14:paraId="2B07DA29" w14:textId="77777777" w:rsidR="00DD2398" w:rsidRPr="00907942" w:rsidRDefault="00DD2398">
            <w:pPr>
              <w:jc w:val="center"/>
              <w:rPr>
                <w:rFonts w:ascii="Palatino Linotype" w:eastAsia="Palatino Linotype" w:hAnsi="Palatino Linotype" w:cs="Palatino Linotype"/>
                <w:b/>
                <w:sz w:val="16"/>
                <w:szCs w:val="16"/>
              </w:rPr>
            </w:pPr>
          </w:p>
          <w:p w14:paraId="67491622" w14:textId="77777777" w:rsidR="00DD2398" w:rsidRPr="00907942" w:rsidRDefault="00DD2398">
            <w:pPr>
              <w:jc w:val="center"/>
              <w:rPr>
                <w:rFonts w:ascii="Palatino Linotype" w:eastAsia="Palatino Linotype" w:hAnsi="Palatino Linotype" w:cs="Palatino Linotype"/>
                <w:sz w:val="18"/>
                <w:szCs w:val="18"/>
              </w:rPr>
            </w:pPr>
          </w:p>
        </w:tc>
      </w:tr>
      <w:tr w:rsidR="009515FF" w:rsidRPr="00907942" w14:paraId="0E6E2F33" w14:textId="77777777">
        <w:tc>
          <w:tcPr>
            <w:tcW w:w="1413" w:type="dxa"/>
            <w:tcBorders>
              <w:top w:val="single" w:sz="4" w:space="0" w:color="000000"/>
              <w:left w:val="single" w:sz="4" w:space="0" w:color="000000"/>
              <w:bottom w:val="single" w:sz="4" w:space="0" w:color="000000"/>
              <w:right w:val="single" w:sz="4" w:space="0" w:color="000000"/>
            </w:tcBorders>
          </w:tcPr>
          <w:p w14:paraId="13E5C54D"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16"/>
                <w:szCs w:val="16"/>
              </w:rPr>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70CED770"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noProof/>
                <w:sz w:val="22"/>
                <w:szCs w:val="22"/>
              </w:rPr>
              <w:drawing>
                <wp:inline distT="0" distB="0" distL="0" distR="0" wp14:anchorId="17951D19" wp14:editId="4E8A0BBE">
                  <wp:extent cx="3193415" cy="190500"/>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193415" cy="19050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4A2BD3EE"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22"/>
                <w:szCs w:val="22"/>
              </w:rPr>
              <w:t>SI</w:t>
            </w:r>
          </w:p>
        </w:tc>
      </w:tr>
      <w:tr w:rsidR="00DD2398" w:rsidRPr="00907942" w14:paraId="51422E6D" w14:textId="77777777">
        <w:tc>
          <w:tcPr>
            <w:tcW w:w="1413" w:type="dxa"/>
            <w:tcBorders>
              <w:top w:val="single" w:sz="4" w:space="0" w:color="000000"/>
              <w:left w:val="single" w:sz="4" w:space="0" w:color="000000"/>
              <w:bottom w:val="single" w:sz="4" w:space="0" w:color="000000"/>
              <w:right w:val="single" w:sz="4" w:space="0" w:color="000000"/>
            </w:tcBorders>
          </w:tcPr>
          <w:p w14:paraId="341573EC" w14:textId="77777777" w:rsidR="00DD2398" w:rsidRPr="00907942" w:rsidRDefault="00D05599">
            <w:pPr>
              <w:jc w:val="center"/>
              <w:rPr>
                <w:rFonts w:ascii="Palatino Linotype" w:eastAsia="Palatino Linotype" w:hAnsi="Palatino Linotype" w:cs="Palatino Linotype"/>
                <w:b/>
                <w:sz w:val="22"/>
                <w:szCs w:val="22"/>
              </w:rPr>
            </w:pPr>
            <w:r w:rsidRPr="00907942">
              <w:rPr>
                <w:rFonts w:ascii="Palatino Linotype" w:eastAsia="Palatino Linotype" w:hAnsi="Palatino Linotype" w:cs="Palatino Linotype"/>
                <w:b/>
                <w:sz w:val="16"/>
                <w:szCs w:val="16"/>
              </w:rPr>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360CE7A5" w14:textId="77777777" w:rsidR="00DD2398" w:rsidRPr="00907942" w:rsidRDefault="00D05599">
            <w:pPr>
              <w:jc w:val="center"/>
              <w:rPr>
                <w:rFonts w:ascii="Calibri" w:eastAsia="Calibri" w:hAnsi="Calibri" w:cs="Calibri"/>
                <w:sz w:val="22"/>
                <w:szCs w:val="22"/>
              </w:rPr>
            </w:pPr>
            <w:r w:rsidRPr="00907942">
              <w:rPr>
                <w:rFonts w:ascii="Calibri" w:eastAsia="Calibri" w:hAnsi="Calibri" w:cs="Calibri"/>
                <w:noProof/>
                <w:sz w:val="22"/>
                <w:szCs w:val="22"/>
              </w:rPr>
              <w:drawing>
                <wp:inline distT="0" distB="0" distL="0" distR="0" wp14:anchorId="20F152B0" wp14:editId="64FDFB88">
                  <wp:extent cx="3193415" cy="2487295"/>
                  <wp:effectExtent l="0" t="0" r="0" b="0"/>
                  <wp:docPr id="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193415" cy="2487295"/>
                          </a:xfrm>
                          <a:prstGeom prst="rect">
                            <a:avLst/>
                          </a:prstGeom>
                          <a:ln/>
                        </pic:spPr>
                      </pic:pic>
                    </a:graphicData>
                  </a:graphic>
                </wp:inline>
              </w:drawing>
            </w:r>
          </w:p>
          <w:p w14:paraId="281F86A6" w14:textId="77777777" w:rsidR="00DD2398" w:rsidRPr="00907942" w:rsidRDefault="00DD2398">
            <w:pPr>
              <w:jc w:val="center"/>
              <w:rPr>
                <w:rFonts w:ascii="Calibri" w:eastAsia="Calibri" w:hAnsi="Calibri" w:cs="Calibri"/>
                <w:sz w:val="22"/>
                <w:szCs w:val="22"/>
              </w:rPr>
            </w:pPr>
          </w:p>
        </w:tc>
        <w:tc>
          <w:tcPr>
            <w:tcW w:w="2170" w:type="dxa"/>
            <w:tcBorders>
              <w:top w:val="single" w:sz="4" w:space="0" w:color="000000"/>
              <w:left w:val="single" w:sz="4" w:space="0" w:color="000000"/>
              <w:bottom w:val="single" w:sz="4" w:space="0" w:color="000000"/>
              <w:right w:val="single" w:sz="4" w:space="0" w:color="000000"/>
            </w:tcBorders>
          </w:tcPr>
          <w:p w14:paraId="5C7D62BF" w14:textId="77777777" w:rsidR="00DD2398" w:rsidRPr="00907942" w:rsidRDefault="00D05599">
            <w:pPr>
              <w:jc w:val="center"/>
              <w:rPr>
                <w:rFonts w:ascii="Palatino Linotype" w:eastAsia="Palatino Linotype" w:hAnsi="Palatino Linotype" w:cs="Palatino Linotype"/>
                <w:sz w:val="18"/>
                <w:szCs w:val="18"/>
              </w:rPr>
            </w:pPr>
            <w:r w:rsidRPr="00907942">
              <w:rPr>
                <w:rFonts w:ascii="Palatino Linotype" w:eastAsia="Palatino Linotype" w:hAnsi="Palatino Linotype" w:cs="Palatino Linotype"/>
                <w:b/>
                <w:sz w:val="22"/>
                <w:szCs w:val="22"/>
              </w:rPr>
              <w:t>Sí</w:t>
            </w:r>
          </w:p>
        </w:tc>
      </w:tr>
    </w:tbl>
    <w:p w14:paraId="72FBDACB" w14:textId="77777777" w:rsidR="00DD2398" w:rsidRPr="00907942" w:rsidRDefault="00DD2398">
      <w:pPr>
        <w:spacing w:line="360" w:lineRule="auto"/>
        <w:jc w:val="both"/>
        <w:rPr>
          <w:rFonts w:ascii="Palatino Linotype" w:eastAsia="Palatino Linotype" w:hAnsi="Palatino Linotype" w:cs="Palatino Linotype"/>
        </w:rPr>
      </w:pPr>
    </w:p>
    <w:p w14:paraId="43059DB9"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De lo anterior,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si bien, a través del acuerdo emitido por su Comité de Transparencia realizó la prueba de daño; </w:t>
      </w:r>
      <w:r w:rsidRPr="00907942">
        <w:rPr>
          <w:rFonts w:ascii="Palatino Linotype" w:eastAsia="Palatino Linotype" w:hAnsi="Palatino Linotype" w:cs="Palatino Linotype"/>
          <w:b/>
          <w:sz w:val="22"/>
          <w:szCs w:val="22"/>
          <w:u w:val="single"/>
        </w:rPr>
        <w:t>no acreditó las razones por las cuales la entrega de la información generaría una afectación a los procedimientos de responsabilidades administrativas que refiere aún no han quedado firmes;</w:t>
      </w:r>
      <w:r w:rsidRPr="00907942">
        <w:rPr>
          <w:rFonts w:ascii="Palatino Linotype" w:eastAsia="Palatino Linotype" w:hAnsi="Palatino Linotype" w:cs="Palatino Linotype"/>
          <w:b/>
          <w:sz w:val="22"/>
          <w:szCs w:val="22"/>
        </w:rPr>
        <w:t xml:space="preserve"> </w:t>
      </w:r>
      <w:r w:rsidRPr="00907942">
        <w:rPr>
          <w:rFonts w:ascii="Palatino Linotype" w:eastAsia="Palatino Linotype" w:hAnsi="Palatino Linotype" w:cs="Palatino Linotype"/>
          <w:sz w:val="22"/>
          <w:szCs w:val="22"/>
        </w:rPr>
        <w:t xml:space="preserve">además que no se encuentra debidamente fundado y motivado. </w:t>
      </w:r>
    </w:p>
    <w:p w14:paraId="4980A556" w14:textId="77777777" w:rsidR="00DD2398" w:rsidRPr="00907942" w:rsidRDefault="00DD2398">
      <w:pPr>
        <w:tabs>
          <w:tab w:val="left" w:pos="4962"/>
        </w:tabs>
        <w:spacing w:line="360" w:lineRule="auto"/>
        <w:jc w:val="both"/>
        <w:rPr>
          <w:rFonts w:ascii="Palatino Linotype" w:eastAsia="Palatino Linotype" w:hAnsi="Palatino Linotype" w:cs="Palatino Linotype"/>
          <w:sz w:val="22"/>
          <w:szCs w:val="22"/>
        </w:rPr>
      </w:pPr>
    </w:p>
    <w:p w14:paraId="6753B9FE"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 xml:space="preserve">Además de que se insiste, la información que se pretende reservar se trata de insumo informativo y de apoyo para los procedimientos, los cuales aún y cuando son constancias </w:t>
      </w:r>
      <w:r w:rsidRPr="00907942">
        <w:rPr>
          <w:rFonts w:ascii="Palatino Linotype" w:eastAsia="Palatino Linotype" w:hAnsi="Palatino Linotype" w:cs="Palatino Linotype"/>
          <w:b/>
          <w:sz w:val="22"/>
          <w:szCs w:val="22"/>
        </w:rPr>
        <w:lastRenderedPageBreak/>
        <w:t>del procedimiento, constituyen documentos definitivos que sufrirán modificación alguna.</w:t>
      </w:r>
    </w:p>
    <w:p w14:paraId="121338BE" w14:textId="77777777" w:rsidR="00DD2398" w:rsidRPr="00907942" w:rsidRDefault="00DD2398">
      <w:pPr>
        <w:spacing w:line="360" w:lineRule="auto"/>
        <w:ind w:right="49"/>
        <w:jc w:val="both"/>
        <w:rPr>
          <w:rFonts w:ascii="Palatino Linotype" w:eastAsia="Palatino Linotype" w:hAnsi="Palatino Linotype" w:cs="Palatino Linotype"/>
          <w:b/>
          <w:sz w:val="22"/>
          <w:szCs w:val="22"/>
        </w:rPr>
      </w:pPr>
    </w:p>
    <w:p w14:paraId="067480FB" w14:textId="77777777" w:rsidR="00DD2398" w:rsidRPr="00907942" w:rsidRDefault="00D05599">
      <w:pPr>
        <w:tabs>
          <w:tab w:val="left" w:pos="284"/>
          <w:tab w:val="left" w:pos="567"/>
        </w:tabs>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Por lo que resulta prudente tomar en consideración lo plasmado en el criterio 09/2004 emitido por la Suprema Corte de Justicia de la Nación, cuya literalidad es la siguiente:</w:t>
      </w:r>
    </w:p>
    <w:p w14:paraId="3E84DA40" w14:textId="77777777" w:rsidR="00DD2398" w:rsidRPr="00907942" w:rsidRDefault="00DD2398">
      <w:pPr>
        <w:tabs>
          <w:tab w:val="left" w:pos="4962"/>
        </w:tabs>
        <w:spacing w:line="360" w:lineRule="auto"/>
        <w:jc w:val="both"/>
        <w:rPr>
          <w:rFonts w:ascii="Palatino Linotype" w:eastAsia="Palatino Linotype" w:hAnsi="Palatino Linotype" w:cs="Palatino Linotype"/>
          <w:sz w:val="22"/>
          <w:szCs w:val="22"/>
        </w:rPr>
      </w:pPr>
    </w:p>
    <w:p w14:paraId="09B5A484" w14:textId="77777777" w:rsidR="00DD2398" w:rsidRPr="00907942" w:rsidRDefault="00D05599">
      <w:pPr>
        <w:tabs>
          <w:tab w:val="left" w:pos="4962"/>
        </w:tabs>
        <w:spacing w:line="259" w:lineRule="auto"/>
        <w:ind w:left="567" w:right="539"/>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INFORMACIÓN SUJETA A REVISIÓN. SI YA CONSTA EN UN DOCUMENTO DEFINITIVO, DEBE PERMITIRSE EL ACCESO A ÉSTE</w:t>
      </w:r>
      <w:r w:rsidRPr="00907942">
        <w:rPr>
          <w:rFonts w:ascii="Palatino Linotype" w:eastAsia="Palatino Linotype" w:hAnsi="Palatino Linotype" w:cs="Palatino Linotype"/>
          <w:i/>
          <w:sz w:val="22"/>
          <w:szCs w:val="22"/>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18751893" w14:textId="77777777" w:rsidR="00DD2398" w:rsidRPr="00907942" w:rsidRDefault="00D05599">
      <w:pPr>
        <w:tabs>
          <w:tab w:val="left" w:pos="4962"/>
        </w:tabs>
        <w:spacing w:line="259" w:lineRule="auto"/>
        <w:ind w:left="567" w:right="539"/>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Clasificación de la información 10/2004-J, 19 de mayo de 2004.</w:t>
      </w:r>
    </w:p>
    <w:p w14:paraId="5F3C70DA" w14:textId="77777777" w:rsidR="00DD2398" w:rsidRPr="00907942" w:rsidRDefault="00D05599">
      <w:pPr>
        <w:tabs>
          <w:tab w:val="left" w:pos="4962"/>
        </w:tabs>
        <w:spacing w:line="259" w:lineRule="auto"/>
        <w:ind w:left="567" w:right="539"/>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Unanimidad de votos"</w:t>
      </w:r>
    </w:p>
    <w:p w14:paraId="2CC256E7" w14:textId="77777777" w:rsidR="00DD2398" w:rsidRPr="00907942" w:rsidRDefault="00DD2398">
      <w:pPr>
        <w:tabs>
          <w:tab w:val="left" w:pos="4962"/>
        </w:tabs>
        <w:spacing w:line="360" w:lineRule="auto"/>
        <w:jc w:val="both"/>
        <w:rPr>
          <w:rFonts w:ascii="Palatino Linotype" w:eastAsia="Palatino Linotype" w:hAnsi="Palatino Linotype" w:cs="Palatino Linotype"/>
          <w:sz w:val="22"/>
          <w:szCs w:val="22"/>
        </w:rPr>
      </w:pPr>
    </w:p>
    <w:p w14:paraId="368CB17D" w14:textId="77777777" w:rsidR="00DD2398" w:rsidRPr="00907942" w:rsidRDefault="00D05599">
      <w:pPr>
        <w:tabs>
          <w:tab w:val="left" w:pos="4962"/>
        </w:tabs>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Con aplicación de manera analógica del anterior criterio, se puede deducir que para el caso de acceso sobre constancias que se encuentren en expedientes derivados de procedimientos de responsabilidades administrativas, que únicamente constituyen insumos de apoyo, no debe implicar la falta de los mismos, siempre que sean definitivos, por lo que deberá permitirse el acceso a los mismos y no así negar el acceso aludiendo a que se encuentran sujetos a un procedimiento.</w:t>
      </w:r>
    </w:p>
    <w:p w14:paraId="4E81CC85" w14:textId="77777777" w:rsidR="00DD2398" w:rsidRPr="00907942" w:rsidRDefault="00DD2398">
      <w:pPr>
        <w:tabs>
          <w:tab w:val="left" w:pos="4962"/>
        </w:tabs>
        <w:spacing w:line="360" w:lineRule="auto"/>
        <w:jc w:val="both"/>
        <w:rPr>
          <w:rFonts w:ascii="Palatino Linotype" w:eastAsia="Palatino Linotype" w:hAnsi="Palatino Linotype" w:cs="Palatino Linotype"/>
          <w:sz w:val="22"/>
          <w:szCs w:val="22"/>
        </w:rPr>
      </w:pPr>
    </w:p>
    <w:p w14:paraId="648FE86D"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Además, no escapa de la óptica de este Órgano Garante que, conforme el artículo 141 de la Ley de Transparencia y Acceso a la Información Pública del Estado de México y Municipios, las causales de reserva se deberán fundar y motivar, a través de la aplicación de la prueba </w:t>
      </w:r>
      <w:r w:rsidRPr="00907942">
        <w:rPr>
          <w:rFonts w:ascii="Palatino Linotype" w:eastAsia="Palatino Linotype" w:hAnsi="Palatino Linotype" w:cs="Palatino Linotype"/>
          <w:sz w:val="22"/>
          <w:szCs w:val="22"/>
        </w:rPr>
        <w:lastRenderedPageBreak/>
        <w:t>de daño establecida en el artículo 129 de dicho ordenamiento, que se debe justificar de la siguiente manera:</w:t>
      </w:r>
    </w:p>
    <w:p w14:paraId="7FD47CD4"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15C5CC0D" w14:textId="77777777" w:rsidR="00DD2398" w:rsidRPr="00907942" w:rsidRDefault="00D05599">
      <w:pPr>
        <w:numPr>
          <w:ilvl w:val="0"/>
          <w:numId w:val="10"/>
        </w:numPr>
        <w:spacing w:after="16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La divulgación de la información representa un riesgo real, demostrable e identificable de perjuicio significativo al interés público o a la seguridad nacional.</w:t>
      </w:r>
    </w:p>
    <w:p w14:paraId="6031CC16" w14:textId="77777777" w:rsidR="00DD2398" w:rsidRPr="00907942" w:rsidRDefault="00D05599">
      <w:pPr>
        <w:numPr>
          <w:ilvl w:val="0"/>
          <w:numId w:val="10"/>
        </w:numPr>
        <w:spacing w:after="16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El riesgo de perjuicio supera el interés público general de que se difunda.</w:t>
      </w:r>
    </w:p>
    <w:p w14:paraId="716F5F20" w14:textId="77777777" w:rsidR="00DD2398" w:rsidRPr="00907942" w:rsidRDefault="00D05599">
      <w:pPr>
        <w:numPr>
          <w:ilvl w:val="0"/>
          <w:numId w:val="10"/>
        </w:numPr>
        <w:spacing w:after="16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Que la limitación se adecua al principio de proporcionalidad y representa el medio menos restrictivo disponible para evitar el perjuicio.</w:t>
      </w:r>
    </w:p>
    <w:p w14:paraId="58A1477C"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3E403970"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De lo anterior, se tiene que, en los casos en los que se clasifique la información requerida como </w:t>
      </w:r>
      <w:r w:rsidRPr="00907942">
        <w:rPr>
          <w:rFonts w:ascii="Palatino Linotype" w:eastAsia="Palatino Linotype" w:hAnsi="Palatino Linotype" w:cs="Palatino Linotype"/>
          <w:b/>
          <w:sz w:val="22"/>
          <w:szCs w:val="22"/>
        </w:rPr>
        <w:t>reservada</w:t>
      </w:r>
      <w:r w:rsidRPr="00907942">
        <w:rPr>
          <w:rFonts w:ascii="Palatino Linotype" w:eastAsia="Palatino Linotype" w:hAnsi="Palatino Linotype" w:cs="Palatino Linotype"/>
          <w:sz w:val="22"/>
          <w:szCs w:val="22"/>
        </w:rPr>
        <w:t xml:space="preserve">,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 lo cual en el presente asunto no cumplió el ente público.</w:t>
      </w:r>
    </w:p>
    <w:p w14:paraId="40E84BEA"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AB51BC3"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Bajo las consideraciones expuestas, se considera que en el presente asunto no se actualiza la clasificación de la información como reservada, en términos del artículo 140, fracción VI, de la Ley de Transparencia y Acceso a la Información Pública del Estado de México y </w:t>
      </w:r>
      <w:r w:rsidRPr="00907942">
        <w:rPr>
          <w:rFonts w:ascii="Palatino Linotype" w:eastAsia="Palatino Linotype" w:hAnsi="Palatino Linotype" w:cs="Palatino Linotype"/>
          <w:sz w:val="22"/>
          <w:szCs w:val="22"/>
        </w:rPr>
        <w:lastRenderedPageBreak/>
        <w:t>Municipios; y, en tal virtud procede la entrega de la información requerida por el particular, de ser procedente en versión pública.</w:t>
      </w:r>
    </w:p>
    <w:p w14:paraId="00F6D3D2"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1828D9D0"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consecuencia, se considera que los motivos de inconformidad hechos valer por la parte </w:t>
      </w:r>
      <w:r w:rsidRPr="00907942">
        <w:rPr>
          <w:rFonts w:ascii="Palatino Linotype" w:eastAsia="Palatino Linotype" w:hAnsi="Palatino Linotype" w:cs="Palatino Linotype"/>
          <w:b/>
          <w:sz w:val="22"/>
          <w:szCs w:val="22"/>
        </w:rPr>
        <w:t xml:space="preserve">Recurrente </w:t>
      </w:r>
      <w:r w:rsidRPr="00907942">
        <w:rPr>
          <w:rFonts w:ascii="Palatino Linotype" w:eastAsia="Palatino Linotype" w:hAnsi="Palatino Linotype" w:cs="Palatino Linotype"/>
          <w:sz w:val="22"/>
          <w:szCs w:val="22"/>
        </w:rPr>
        <w:t xml:space="preserve">resultan </w:t>
      </w:r>
      <w:r w:rsidRPr="00907942">
        <w:rPr>
          <w:rFonts w:ascii="Palatino Linotype" w:eastAsia="Palatino Linotype" w:hAnsi="Palatino Linotype" w:cs="Palatino Linotype"/>
          <w:b/>
          <w:sz w:val="22"/>
          <w:szCs w:val="22"/>
        </w:rPr>
        <w:t xml:space="preserve">fundadas, </w:t>
      </w:r>
      <w:r w:rsidRPr="00907942">
        <w:rPr>
          <w:rFonts w:ascii="Palatino Linotype" w:eastAsia="Palatino Linotype" w:hAnsi="Palatino Linotype" w:cs="Palatino Linotype"/>
          <w:sz w:val="22"/>
          <w:szCs w:val="22"/>
        </w:rPr>
        <w:t xml:space="preserve">siendo procedente </w:t>
      </w:r>
      <w:r w:rsidRPr="00907942">
        <w:rPr>
          <w:rFonts w:ascii="Palatino Linotype" w:eastAsia="Palatino Linotype" w:hAnsi="Palatino Linotype" w:cs="Palatino Linotype"/>
          <w:b/>
          <w:i/>
          <w:sz w:val="22"/>
          <w:szCs w:val="22"/>
        </w:rPr>
        <w:t>Modificar</w:t>
      </w:r>
      <w:r w:rsidRPr="00907942">
        <w:rPr>
          <w:rFonts w:ascii="Palatino Linotype" w:eastAsia="Palatino Linotype" w:hAnsi="Palatino Linotype" w:cs="Palatino Linotype"/>
          <w:sz w:val="22"/>
          <w:szCs w:val="22"/>
        </w:rPr>
        <w:t xml:space="preserve"> la respuesta del </w:t>
      </w:r>
      <w:r w:rsidRPr="00907942">
        <w:rPr>
          <w:rFonts w:ascii="Palatino Linotype" w:eastAsia="Palatino Linotype" w:hAnsi="Palatino Linotype" w:cs="Palatino Linotype"/>
          <w:b/>
          <w:sz w:val="22"/>
          <w:szCs w:val="22"/>
        </w:rPr>
        <w:t xml:space="preserve">Sujeto Obligado </w:t>
      </w:r>
      <w:r w:rsidRPr="00907942">
        <w:rPr>
          <w:rFonts w:ascii="Palatino Linotype" w:eastAsia="Palatino Linotype" w:hAnsi="Palatino Linotype" w:cs="Palatino Linotype"/>
          <w:sz w:val="22"/>
          <w:szCs w:val="22"/>
        </w:rPr>
        <w:t xml:space="preserve">y ordenar </w:t>
      </w:r>
      <w:proofErr w:type="gramStart"/>
      <w:r w:rsidRPr="00907942">
        <w:rPr>
          <w:rFonts w:ascii="Palatino Linotype" w:eastAsia="Palatino Linotype" w:hAnsi="Palatino Linotype" w:cs="Palatino Linotype"/>
          <w:sz w:val="22"/>
          <w:szCs w:val="22"/>
        </w:rPr>
        <w:t>que</w:t>
      </w:r>
      <w:proofErr w:type="gramEnd"/>
      <w:r w:rsidRPr="00907942">
        <w:rPr>
          <w:rFonts w:ascii="Palatino Linotype" w:eastAsia="Palatino Linotype" w:hAnsi="Palatino Linotype" w:cs="Palatino Linotype"/>
          <w:sz w:val="22"/>
          <w:szCs w:val="22"/>
        </w:rPr>
        <w:t xml:space="preserve"> en cumplimiento a la presente resolución, se entregue, la información solicitada.</w:t>
      </w:r>
    </w:p>
    <w:p w14:paraId="7238AEB7"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0393A9FE" w14:textId="77777777" w:rsidR="00DD2398" w:rsidRPr="00907942" w:rsidRDefault="00D05599">
      <w:pPr>
        <w:spacing w:line="360" w:lineRule="auto"/>
        <w:ind w:right="51"/>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 xml:space="preserve">Quinto. Versión Pública. </w:t>
      </w:r>
      <w:r w:rsidRPr="00907942">
        <w:rPr>
          <w:rFonts w:ascii="Palatino Linotype" w:eastAsia="Palatino Linotype" w:hAnsi="Palatino Linotype" w:cs="Palatino Linotype"/>
          <w:sz w:val="22"/>
          <w:szCs w:val="22"/>
        </w:rPr>
        <w:t>Como fue debidamente apuntado,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2ED28C0" w14:textId="77777777" w:rsidR="00DD2398" w:rsidRPr="00907942" w:rsidRDefault="00DD2398">
      <w:pPr>
        <w:spacing w:line="360" w:lineRule="auto"/>
        <w:ind w:right="51"/>
        <w:jc w:val="both"/>
        <w:rPr>
          <w:rFonts w:ascii="Palatino Linotype" w:eastAsia="Palatino Linotype" w:hAnsi="Palatino Linotype" w:cs="Palatino Linotype"/>
          <w:sz w:val="22"/>
          <w:szCs w:val="22"/>
        </w:rPr>
      </w:pPr>
    </w:p>
    <w:p w14:paraId="6F411F6B"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05F4BA0"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52E5076D"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75AB352"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Al respecto, los artículos 3, fracciones IX, XX, XXI, XXXII, XLV; 6, 91, 132, 137, 143, fracción I, de la Ley de Transparencia y Acceso a la Información Pública del Estado de México y Municipios establecen:</w:t>
      </w:r>
    </w:p>
    <w:p w14:paraId="2D9E18A6"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sz w:val="22"/>
          <w:szCs w:val="22"/>
        </w:rPr>
        <w:t> </w:t>
      </w: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3.</w:t>
      </w:r>
      <w:r w:rsidRPr="00907942">
        <w:rPr>
          <w:rFonts w:ascii="Palatino Linotype" w:eastAsia="Palatino Linotype" w:hAnsi="Palatino Linotype" w:cs="Palatino Linotype"/>
          <w:i/>
          <w:sz w:val="22"/>
          <w:szCs w:val="22"/>
        </w:rPr>
        <w:t xml:space="preserve"> Para los efectos de la presente Ley se entenderá por:</w:t>
      </w:r>
    </w:p>
    <w:p w14:paraId="25245333"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7D989C85"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IX. Datos personales</w:t>
      </w:r>
      <w:r w:rsidRPr="0090794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2B9A814"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0771FA96"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XX. Información clasificada</w:t>
      </w:r>
      <w:r w:rsidRPr="00907942">
        <w:rPr>
          <w:rFonts w:ascii="Palatino Linotype" w:eastAsia="Palatino Linotype" w:hAnsi="Palatino Linotype" w:cs="Palatino Linotype"/>
          <w:i/>
          <w:sz w:val="22"/>
          <w:szCs w:val="22"/>
        </w:rPr>
        <w:t>: Aquella considerada por la presente Ley como reservada o confidencial;</w:t>
      </w:r>
    </w:p>
    <w:p w14:paraId="3AA6EE83"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XXI. Información confidencial</w:t>
      </w:r>
      <w:r w:rsidRPr="0090794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18DCE6"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21DF3E12"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XXXII. Protección de Datos Personales</w:t>
      </w:r>
      <w:r w:rsidRPr="0090794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C5CFC34"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66440B30" w14:textId="77777777" w:rsidR="00DD2398" w:rsidRPr="00907942" w:rsidRDefault="00D05599">
      <w:pPr>
        <w:tabs>
          <w:tab w:val="left" w:pos="1276"/>
        </w:tabs>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XLV. Versión pública</w:t>
      </w:r>
      <w:r w:rsidRPr="0090794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B6E2865"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Artículo 6</w:t>
      </w:r>
      <w:r w:rsidRPr="0090794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C10A37A"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155C51AB"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lastRenderedPageBreak/>
        <w:t>Artículo 91.</w:t>
      </w:r>
      <w:r w:rsidRPr="0090794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907942">
        <w:rPr>
          <w:rFonts w:ascii="Palatino Linotype" w:eastAsia="Palatino Linotype" w:hAnsi="Palatino Linotype" w:cs="Palatino Linotype"/>
          <w:i/>
          <w:sz w:val="22"/>
          <w:szCs w:val="22"/>
        </w:rPr>
        <w:br/>
        <w:t>…</w:t>
      </w:r>
    </w:p>
    <w:p w14:paraId="11B5D881"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132.</w:t>
      </w:r>
      <w:r w:rsidRPr="00907942">
        <w:rPr>
          <w:rFonts w:ascii="Palatino Linotype" w:eastAsia="Palatino Linotype" w:hAnsi="Palatino Linotype" w:cs="Palatino Linotype"/>
          <w:i/>
          <w:sz w:val="22"/>
          <w:szCs w:val="22"/>
        </w:rPr>
        <w:t xml:space="preserve"> La clasificación de la información se llevará a cabo en el momento en que:</w:t>
      </w:r>
    </w:p>
    <w:p w14:paraId="083F7601"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w:t>
      </w:r>
      <w:r w:rsidRPr="00907942">
        <w:rPr>
          <w:rFonts w:ascii="Palatino Linotype" w:eastAsia="Palatino Linotype" w:hAnsi="Palatino Linotype" w:cs="Palatino Linotype"/>
          <w:i/>
          <w:sz w:val="22"/>
          <w:szCs w:val="22"/>
        </w:rPr>
        <w:t>. Se reciba una solicitud de acceso a la información;</w:t>
      </w:r>
    </w:p>
    <w:p w14:paraId="059EAD21"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w:t>
      </w:r>
      <w:r w:rsidRPr="00907942">
        <w:rPr>
          <w:rFonts w:ascii="Palatino Linotype" w:eastAsia="Palatino Linotype" w:hAnsi="Palatino Linotype" w:cs="Palatino Linotype"/>
          <w:i/>
          <w:sz w:val="22"/>
          <w:szCs w:val="22"/>
        </w:rPr>
        <w:t xml:space="preserve"> Se determine mediante resolución de autoridad competente; o</w:t>
      </w:r>
    </w:p>
    <w:p w14:paraId="33647746"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III.</w:t>
      </w:r>
      <w:r w:rsidRPr="0090794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0407952"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w:t>
      </w:r>
    </w:p>
    <w:p w14:paraId="347AFDCE"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137.</w:t>
      </w:r>
      <w:r w:rsidRPr="0090794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D679875"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Artículo 143.</w:t>
      </w:r>
      <w:r w:rsidRPr="0090794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A50AB6D"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w:t>
      </w:r>
      <w:r w:rsidRPr="0090794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3CD563B"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771E2E9"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1AD771"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4BC7D8E0"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La </w:t>
      </w:r>
      <w:r w:rsidRPr="00907942">
        <w:rPr>
          <w:rFonts w:ascii="Palatino Linotype" w:eastAsia="Palatino Linotype" w:hAnsi="Palatino Linotype" w:cs="Palatino Linotype"/>
          <w:b/>
          <w:sz w:val="22"/>
          <w:szCs w:val="22"/>
        </w:rPr>
        <w:t>clave de elector</w:t>
      </w:r>
      <w:r w:rsidRPr="00907942">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07942">
        <w:rPr>
          <w:rFonts w:ascii="Palatino Linotype" w:eastAsia="Palatino Linotype" w:hAnsi="Palatino Linotype" w:cs="Palatino Linotype"/>
          <w:sz w:val="22"/>
          <w:szCs w:val="22"/>
        </w:rPr>
        <w:t>homoclave</w:t>
      </w:r>
      <w:proofErr w:type="spellEnd"/>
      <w:r w:rsidRPr="00907942">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4CD7E683"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El </w:t>
      </w:r>
      <w:r w:rsidRPr="00907942">
        <w:rPr>
          <w:rFonts w:ascii="Palatino Linotype" w:eastAsia="Palatino Linotype" w:hAnsi="Palatino Linotype" w:cs="Palatino Linotype"/>
          <w:b/>
          <w:sz w:val="22"/>
          <w:szCs w:val="22"/>
        </w:rPr>
        <w:t>número de OCR,</w:t>
      </w:r>
      <w:r w:rsidRPr="00907942">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907942">
        <w:rPr>
          <w:rFonts w:ascii="Palatino Linotype" w:eastAsia="Palatino Linotype" w:hAnsi="Palatino Linotype" w:cs="Palatino Linotype"/>
          <w:sz w:val="22"/>
          <w:szCs w:val="22"/>
        </w:rPr>
        <w:t>geoelectoral</w:t>
      </w:r>
      <w:proofErr w:type="spellEnd"/>
      <w:r w:rsidRPr="00907942">
        <w:rPr>
          <w:rFonts w:ascii="Palatino Linotype" w:eastAsia="Palatino Linotype" w:hAnsi="Palatino Linotype" w:cs="Palatino Linotype"/>
          <w:sz w:val="22"/>
          <w:szCs w:val="22"/>
        </w:rPr>
        <w:t xml:space="preserve"> ahí contenida, por lo que es susceptible de resguardarse.</w:t>
      </w:r>
    </w:p>
    <w:p w14:paraId="11B300F7"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La </w:t>
      </w:r>
      <w:r w:rsidRPr="00907942">
        <w:rPr>
          <w:rFonts w:ascii="Palatino Linotype" w:eastAsia="Palatino Linotype" w:hAnsi="Palatino Linotype" w:cs="Palatino Linotype"/>
          <w:b/>
          <w:sz w:val="22"/>
          <w:szCs w:val="22"/>
        </w:rPr>
        <w:t>clave única del registro de población,</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sz w:val="22"/>
          <w:szCs w:val="22"/>
        </w:rPr>
        <w:t xml:space="preserve">se integra por datos personales que sólo conciernen al particular titular de la misma, como lo son su nombre, apellidos, fecha de </w:t>
      </w:r>
      <w:r w:rsidRPr="00907942">
        <w:rPr>
          <w:rFonts w:ascii="Palatino Linotype" w:eastAsia="Palatino Linotype" w:hAnsi="Palatino Linotype" w:cs="Palatino Linotype"/>
          <w:sz w:val="22"/>
          <w:szCs w:val="22"/>
        </w:rPr>
        <w:lastRenderedPageBreak/>
        <w:t>nacimiento, lugar de nacimiento y sexo. Dichos datos, constituyen información que distingue plenamente a una persona física del resto de los habitantes del país, por lo está considerada como información confidencial.</w:t>
      </w:r>
    </w:p>
    <w:p w14:paraId="1B38C140"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Igualmente, resulta importante destacar que el </w:t>
      </w:r>
      <w:r w:rsidRPr="00907942">
        <w:rPr>
          <w:rFonts w:ascii="Palatino Linotype" w:eastAsia="Palatino Linotype" w:hAnsi="Palatino Linotype" w:cs="Palatino Linotype"/>
          <w:i/>
          <w:sz w:val="22"/>
          <w:szCs w:val="22"/>
        </w:rPr>
        <w:t>número de cuenta bancaria</w:t>
      </w:r>
      <w:r w:rsidRPr="00907942">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B5A6C98"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704F3D7"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40B32E1"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1CABCF49"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Es por esta razón que se debe omitir el o los números de cuentas bancarias de particulares en las versiones públicas que de las facturas se hagan, para ser entregadas.</w:t>
      </w:r>
    </w:p>
    <w:p w14:paraId="063BEC6E"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43E9E152"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7E75EAD1" w14:textId="77777777" w:rsidR="00DD2398" w:rsidRPr="00907942" w:rsidRDefault="00D05599">
      <w:pPr>
        <w:spacing w:before="240" w:after="24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“Cuentas bancarias y/o CLABE interbancaria de personas físicas y morales privadas.</w:t>
      </w:r>
      <w:r w:rsidRPr="00907942">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CBE4093" w14:textId="77777777" w:rsidR="00DD2398" w:rsidRPr="00907942" w:rsidRDefault="00D05599">
      <w:pPr>
        <w:spacing w:before="240" w:after="24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07942">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9C00990"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Por cuanto hace al </w:t>
      </w:r>
      <w:r w:rsidRPr="00907942">
        <w:rPr>
          <w:rFonts w:ascii="Palatino Linotype" w:eastAsia="Palatino Linotype" w:hAnsi="Palatino Linotype" w:cs="Palatino Linotype"/>
          <w:b/>
          <w:sz w:val="22"/>
          <w:szCs w:val="22"/>
        </w:rPr>
        <w:t xml:space="preserve">Registro Federal de Contribuyentes (RFC) </w:t>
      </w:r>
      <w:r w:rsidRPr="00907942">
        <w:rPr>
          <w:rFonts w:ascii="Palatino Linotype" w:eastAsia="Palatino Linotype" w:hAnsi="Palatino Linotype" w:cs="Palatino Linotype"/>
          <w:sz w:val="22"/>
          <w:szCs w:val="22"/>
        </w:rPr>
        <w:t>y</w:t>
      </w:r>
      <w:r w:rsidRPr="00907942">
        <w:rPr>
          <w:rFonts w:ascii="Palatino Linotype" w:eastAsia="Palatino Linotype" w:hAnsi="Palatino Linotype" w:cs="Palatino Linotype"/>
          <w:b/>
          <w:sz w:val="22"/>
          <w:szCs w:val="22"/>
        </w:rPr>
        <w:t xml:space="preserve"> el domicilio fiscal </w:t>
      </w:r>
      <w:r w:rsidRPr="00907942">
        <w:rPr>
          <w:rFonts w:ascii="Palatino Linotype" w:eastAsia="Palatino Linotype" w:hAnsi="Palatino Linotype" w:cs="Palatino Linotype"/>
          <w:sz w:val="22"/>
          <w:szCs w:val="22"/>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w:t>
      </w:r>
      <w:r w:rsidRPr="00907942">
        <w:rPr>
          <w:rFonts w:ascii="Palatino Linotype" w:eastAsia="Palatino Linotype" w:hAnsi="Palatino Linotype" w:cs="Palatino Linotype"/>
          <w:sz w:val="22"/>
          <w:szCs w:val="22"/>
        </w:rPr>
        <w:lastRenderedPageBreak/>
        <w:t>prestadores de servicios o contratistas, dichos datos no deben ser suprimidos de las facturas y contratos que vayan a ser entregados.</w:t>
      </w:r>
    </w:p>
    <w:p w14:paraId="573BC210"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A90B741"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907942">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907942">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0CD3117B"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Robustece lo anterior el criterio orientador 04/21 emitido por el Instituto Nacional de Transparencia, Acceso a la Información y Protección de Datos Personales, INAI, el cual refiere:</w:t>
      </w:r>
    </w:p>
    <w:p w14:paraId="18525F7F"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xml:space="preserve">“Registro Federal de Contribuyentes (RFC) de personas físicas proveedoras o contratistas. </w:t>
      </w:r>
      <w:r w:rsidRPr="00907942">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907942">
        <w:rPr>
          <w:rFonts w:ascii="Palatino Linotype" w:eastAsia="Palatino Linotype" w:hAnsi="Palatino Linotype" w:cs="Palatino Linotype"/>
          <w:i/>
          <w:sz w:val="22"/>
          <w:szCs w:val="22"/>
        </w:rPr>
        <w:t>ya que</w:t>
      </w:r>
      <w:proofErr w:type="gramEnd"/>
      <w:r w:rsidRPr="00907942">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2B264D60"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Relacionado con lo anterior, el </w:t>
      </w:r>
      <w:r w:rsidRPr="00907942">
        <w:rPr>
          <w:rFonts w:ascii="Palatino Linotype" w:eastAsia="Palatino Linotype" w:hAnsi="Palatino Linotype" w:cs="Palatino Linotype"/>
          <w:b/>
          <w:sz w:val="22"/>
          <w:szCs w:val="22"/>
        </w:rPr>
        <w:t>nombre de las personas físicas</w:t>
      </w:r>
      <w:r w:rsidRPr="00907942">
        <w:rPr>
          <w:rFonts w:ascii="Palatino Linotype" w:eastAsia="Palatino Linotype" w:hAnsi="Palatino Linotype" w:cs="Palatino Linotype"/>
          <w:sz w:val="22"/>
          <w:szCs w:val="22"/>
        </w:rPr>
        <w:t xml:space="preserve"> o los </w:t>
      </w:r>
      <w:r w:rsidRPr="00907942">
        <w:rPr>
          <w:rFonts w:ascii="Palatino Linotype" w:eastAsia="Palatino Linotype" w:hAnsi="Palatino Linotype" w:cs="Palatino Linotype"/>
          <w:b/>
          <w:sz w:val="22"/>
          <w:szCs w:val="22"/>
        </w:rPr>
        <w:t>representantes legales de las personas morales</w:t>
      </w:r>
      <w:r w:rsidRPr="00907942">
        <w:rPr>
          <w:rFonts w:ascii="Palatino Linotype" w:eastAsia="Palatino Linotype" w:hAnsi="Palatino Linotype" w:cs="Palatino Linotype"/>
          <w:sz w:val="22"/>
          <w:szCs w:val="22"/>
        </w:rPr>
        <w:t xml:space="preserve">, en su calidad de proveedores, contratistas o prestadores de </w:t>
      </w:r>
      <w:r w:rsidRPr="00907942">
        <w:rPr>
          <w:rFonts w:ascii="Palatino Linotype" w:eastAsia="Palatino Linotype" w:hAnsi="Palatino Linotype" w:cs="Palatino Linotype"/>
          <w:sz w:val="22"/>
          <w:szCs w:val="22"/>
        </w:rPr>
        <w:lastRenderedPageBreak/>
        <w:t>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773253A"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7681B9B"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23.</w:t>
      </w:r>
      <w:r w:rsidRPr="00907942">
        <w:rPr>
          <w:rFonts w:ascii="Palatino Linotype" w:eastAsia="Palatino Linotype" w:hAnsi="Palatino Linotype" w:cs="Palatino Linotype"/>
          <w:i/>
          <w:sz w:val="22"/>
          <w:szCs w:val="22"/>
        </w:rPr>
        <w:t xml:space="preserve"> (…)</w:t>
      </w:r>
    </w:p>
    <w:p w14:paraId="0FF7D4C4"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1AA134F" w14:textId="77777777" w:rsidR="00DD2398" w:rsidRPr="00907942" w:rsidRDefault="00D05599">
      <w:pPr>
        <w:spacing w:before="280" w:after="28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Asimismo, resulta aplicable el contenido del criterio de interpretación 01/19 emitido por el entonces Instituto Nacional de Transparencia, Acceso a la Información, y Protección de Datos Personales, INAI, que lleva por rubro y texto los siguientes;</w:t>
      </w:r>
    </w:p>
    <w:p w14:paraId="64B388B3"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“Datos de identificación del representante o apoderado legal.</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 xml:space="preserve">Naturaleza jurídica. </w:t>
      </w:r>
      <w:r w:rsidRPr="00907942">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907942">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907942">
        <w:rPr>
          <w:rFonts w:ascii="Palatino Linotype" w:eastAsia="Palatino Linotype" w:hAnsi="Palatino Linotype" w:cs="Palatino Linotype"/>
          <w:i/>
          <w:sz w:val="22"/>
          <w:szCs w:val="22"/>
        </w:rPr>
        <w:t>.”</w:t>
      </w:r>
    </w:p>
    <w:p w14:paraId="56903469" w14:textId="77777777" w:rsidR="00DD2398" w:rsidRPr="00907942" w:rsidRDefault="00D05599">
      <w:pPr>
        <w:spacing w:before="240" w:after="240" w:line="360" w:lineRule="auto"/>
        <w:ind w:right="50"/>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907942">
        <w:rPr>
          <w:rFonts w:ascii="Palatino Linotype" w:eastAsia="Palatino Linotype" w:hAnsi="Palatino Linotype" w:cs="Palatino Linotype"/>
          <w:sz w:val="22"/>
          <w:szCs w:val="22"/>
        </w:rPr>
        <w:t>Responsable</w:t>
      </w:r>
      <w:proofErr w:type="gramEnd"/>
      <w:r w:rsidRPr="00907942">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53783DF"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49.</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Los Comités de Transparencia</w:t>
      </w:r>
      <w:r w:rsidRPr="00907942">
        <w:rPr>
          <w:rFonts w:ascii="Palatino Linotype" w:eastAsia="Palatino Linotype" w:hAnsi="Palatino Linotype" w:cs="Palatino Linotype"/>
          <w:i/>
          <w:sz w:val="22"/>
          <w:szCs w:val="22"/>
        </w:rPr>
        <w:t xml:space="preserve"> tendrán las siguientes atribuciones:</w:t>
      </w:r>
    </w:p>
    <w:p w14:paraId="6DCAF925"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VIII. Aprobar, modificar o revocar la clasificación de la información</w:t>
      </w:r>
      <w:r w:rsidRPr="00907942">
        <w:rPr>
          <w:rFonts w:ascii="Palatino Linotype" w:eastAsia="Palatino Linotype" w:hAnsi="Palatino Linotype" w:cs="Palatino Linotype"/>
          <w:i/>
          <w:sz w:val="22"/>
          <w:szCs w:val="22"/>
        </w:rPr>
        <w:t>…”</w:t>
      </w:r>
    </w:p>
    <w:p w14:paraId="1EC4F974"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53.</w:t>
      </w:r>
      <w:r w:rsidRPr="00907942">
        <w:rPr>
          <w:rFonts w:ascii="Palatino Linotype" w:eastAsia="Palatino Linotype" w:hAnsi="Palatino Linotype" w:cs="Palatino Linotype"/>
          <w:i/>
          <w:sz w:val="22"/>
          <w:szCs w:val="22"/>
        </w:rPr>
        <w:t xml:space="preserve"> Las </w:t>
      </w:r>
      <w:r w:rsidRPr="00907942">
        <w:rPr>
          <w:rFonts w:ascii="Palatino Linotype" w:eastAsia="Palatino Linotype" w:hAnsi="Palatino Linotype" w:cs="Palatino Linotype"/>
          <w:b/>
          <w:i/>
          <w:sz w:val="22"/>
          <w:szCs w:val="22"/>
        </w:rPr>
        <w:t>Unidades de Transparencia</w:t>
      </w:r>
      <w:r w:rsidRPr="00907942">
        <w:rPr>
          <w:rFonts w:ascii="Palatino Linotype" w:eastAsia="Palatino Linotype" w:hAnsi="Palatino Linotype" w:cs="Palatino Linotype"/>
          <w:i/>
          <w:sz w:val="22"/>
          <w:szCs w:val="22"/>
        </w:rPr>
        <w:t xml:space="preserve"> tendrán las siguientes </w:t>
      </w:r>
      <w:r w:rsidRPr="00907942">
        <w:rPr>
          <w:rFonts w:ascii="Palatino Linotype" w:eastAsia="Palatino Linotype" w:hAnsi="Palatino Linotype" w:cs="Palatino Linotype"/>
          <w:b/>
          <w:i/>
          <w:sz w:val="22"/>
          <w:szCs w:val="22"/>
        </w:rPr>
        <w:t>funciones</w:t>
      </w:r>
      <w:r w:rsidRPr="00907942">
        <w:rPr>
          <w:rFonts w:ascii="Palatino Linotype" w:eastAsia="Palatino Linotype" w:hAnsi="Palatino Linotype" w:cs="Palatino Linotype"/>
          <w:i/>
          <w:sz w:val="22"/>
          <w:szCs w:val="22"/>
        </w:rPr>
        <w:t>:</w:t>
      </w:r>
    </w:p>
    <w:p w14:paraId="05A2981B"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X. Presentar ante el Comité, el proyecto de clasificación de información</w:t>
      </w:r>
      <w:r w:rsidRPr="00907942">
        <w:rPr>
          <w:rFonts w:ascii="Palatino Linotype" w:eastAsia="Palatino Linotype" w:hAnsi="Palatino Linotype" w:cs="Palatino Linotype"/>
          <w:i/>
          <w:sz w:val="22"/>
          <w:szCs w:val="22"/>
        </w:rPr>
        <w:t xml:space="preserve">…” </w:t>
      </w:r>
    </w:p>
    <w:p w14:paraId="49B209CB"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“Artículo 59.</w:t>
      </w:r>
      <w:r w:rsidRPr="00907942">
        <w:rPr>
          <w:rFonts w:ascii="Palatino Linotype" w:eastAsia="Palatino Linotype" w:hAnsi="Palatino Linotype" w:cs="Palatino Linotype"/>
          <w:i/>
          <w:sz w:val="22"/>
          <w:szCs w:val="22"/>
        </w:rPr>
        <w:t xml:space="preserve"> Los </w:t>
      </w:r>
      <w:r w:rsidRPr="00907942">
        <w:rPr>
          <w:rFonts w:ascii="Palatino Linotype" w:eastAsia="Palatino Linotype" w:hAnsi="Palatino Linotype" w:cs="Palatino Linotype"/>
          <w:b/>
          <w:i/>
          <w:sz w:val="22"/>
          <w:szCs w:val="22"/>
        </w:rPr>
        <w:t>servidores públicos habilitados</w:t>
      </w:r>
      <w:r w:rsidRPr="00907942">
        <w:rPr>
          <w:rFonts w:ascii="Palatino Linotype" w:eastAsia="Palatino Linotype" w:hAnsi="Palatino Linotype" w:cs="Palatino Linotype"/>
          <w:i/>
          <w:sz w:val="22"/>
          <w:szCs w:val="22"/>
        </w:rPr>
        <w:t xml:space="preserve"> tendrán las </w:t>
      </w:r>
      <w:r w:rsidRPr="00907942">
        <w:rPr>
          <w:rFonts w:ascii="Palatino Linotype" w:eastAsia="Palatino Linotype" w:hAnsi="Palatino Linotype" w:cs="Palatino Linotype"/>
          <w:b/>
          <w:i/>
          <w:sz w:val="22"/>
          <w:szCs w:val="22"/>
        </w:rPr>
        <w:t>funciones</w:t>
      </w:r>
      <w:r w:rsidRPr="00907942">
        <w:rPr>
          <w:rFonts w:ascii="Palatino Linotype" w:eastAsia="Palatino Linotype" w:hAnsi="Palatino Linotype" w:cs="Palatino Linotype"/>
          <w:i/>
          <w:sz w:val="22"/>
          <w:szCs w:val="22"/>
        </w:rPr>
        <w:t xml:space="preserve"> siguientes:</w:t>
      </w:r>
    </w:p>
    <w:p w14:paraId="4E2E7D3F"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07942">
        <w:rPr>
          <w:rFonts w:ascii="Palatino Linotype" w:eastAsia="Palatino Linotype" w:hAnsi="Palatino Linotype" w:cs="Palatino Linotype"/>
          <w:i/>
          <w:sz w:val="22"/>
          <w:szCs w:val="22"/>
        </w:rPr>
        <w:t>, la cual tendrá los fundamentos y argumentos en que se basa dicha propuesta…”</w:t>
      </w:r>
    </w:p>
    <w:p w14:paraId="6887C52F"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BA47A1C"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lastRenderedPageBreak/>
        <w:t>Para lo cual, a su vez en el caso de información de carácter confidencial, se debe atender a lo que señala el artículo 149 de la Ley de Transparencia Local vigente, que se lee como sigue:</w:t>
      </w:r>
    </w:p>
    <w:p w14:paraId="2FED5C70"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r w:rsidRPr="00907942">
        <w:rPr>
          <w:rFonts w:ascii="Palatino Linotype" w:eastAsia="Palatino Linotype" w:hAnsi="Palatino Linotype" w:cs="Palatino Linotype"/>
          <w:b/>
          <w:i/>
          <w:sz w:val="22"/>
          <w:szCs w:val="22"/>
        </w:rPr>
        <w:t>Artículo 149.</w:t>
      </w:r>
      <w:r w:rsidRPr="00907942">
        <w:rPr>
          <w:rFonts w:ascii="Palatino Linotype" w:eastAsia="Palatino Linotype" w:hAnsi="Palatino Linotype" w:cs="Palatino Linotype"/>
          <w:i/>
          <w:sz w:val="22"/>
          <w:szCs w:val="22"/>
        </w:rPr>
        <w:t xml:space="preserve"> El </w:t>
      </w:r>
      <w:r w:rsidRPr="00907942">
        <w:rPr>
          <w:rFonts w:ascii="Palatino Linotype" w:eastAsia="Palatino Linotype" w:hAnsi="Palatino Linotype" w:cs="Palatino Linotype"/>
          <w:b/>
          <w:i/>
          <w:sz w:val="22"/>
          <w:szCs w:val="22"/>
        </w:rPr>
        <w:t>acuerdo que clasifique la información como confidencial</w:t>
      </w:r>
      <w:r w:rsidRPr="0090794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0000D7A" w14:textId="77777777" w:rsidR="00DD2398" w:rsidRPr="00907942" w:rsidRDefault="00D05599">
      <w:pPr>
        <w:spacing w:before="240" w:after="240" w:line="360" w:lineRule="auto"/>
        <w:ind w:right="51"/>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Es decir,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5D11E486" w14:textId="77777777" w:rsidR="00DD2398" w:rsidRPr="00907942" w:rsidRDefault="00D05599">
      <w:pPr>
        <w:spacing w:before="240" w:after="240"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Atento a lo anterior, cabe señalar que el Comité de Transparencia del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1278D567"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 “</w:t>
      </w:r>
      <w:proofErr w:type="gramStart"/>
      <w:r w:rsidRPr="00907942">
        <w:rPr>
          <w:rFonts w:ascii="Palatino Linotype" w:eastAsia="Palatino Linotype" w:hAnsi="Palatino Linotype" w:cs="Palatino Linotype"/>
          <w:b/>
          <w:i/>
          <w:sz w:val="22"/>
          <w:szCs w:val="22"/>
        </w:rPr>
        <w:t>Segundo.-</w:t>
      </w:r>
      <w:proofErr w:type="gramEnd"/>
      <w:r w:rsidRPr="00907942">
        <w:rPr>
          <w:rFonts w:ascii="Palatino Linotype" w:eastAsia="Palatino Linotype" w:hAnsi="Palatino Linotype" w:cs="Palatino Linotype"/>
          <w:i/>
          <w:sz w:val="22"/>
          <w:szCs w:val="22"/>
        </w:rPr>
        <w:t xml:space="preserve"> Para efectos de los presentes Lineamientos Generales, se entenderá por:</w:t>
      </w:r>
    </w:p>
    <w:p w14:paraId="409F9966" w14:textId="77777777" w:rsidR="00DD2398" w:rsidRPr="00907942" w:rsidRDefault="00D05599">
      <w:pPr>
        <w:tabs>
          <w:tab w:val="left" w:pos="8222"/>
        </w:tabs>
        <w:spacing w:before="120" w:after="120"/>
        <w:ind w:left="1134"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XVIII.</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Versión pública:</w:t>
      </w:r>
      <w:r w:rsidRPr="0090794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07942">
        <w:rPr>
          <w:rFonts w:ascii="Palatino Linotype" w:eastAsia="Palatino Linotype" w:hAnsi="Palatino Linotype" w:cs="Palatino Linotype"/>
          <w:b/>
          <w:i/>
          <w:sz w:val="22"/>
          <w:szCs w:val="22"/>
        </w:rPr>
        <w:t>fundando y motivando la</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reserva o confidencialidad</w:t>
      </w:r>
      <w:r w:rsidRPr="00907942">
        <w:rPr>
          <w:rFonts w:ascii="Palatino Linotype" w:eastAsia="Palatino Linotype" w:hAnsi="Palatino Linotype" w:cs="Palatino Linotype"/>
          <w:i/>
          <w:sz w:val="22"/>
          <w:szCs w:val="22"/>
        </w:rPr>
        <w:t>, a través de la resolución que para tal efecto emita el Comité de Transparencia.</w:t>
      </w:r>
    </w:p>
    <w:p w14:paraId="45CCB4BF"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w:t>
      </w:r>
    </w:p>
    <w:p w14:paraId="593EE34B"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lastRenderedPageBreak/>
        <w:t>Cuarto.</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Para clasificar la información como</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reservada o</w:t>
      </w:r>
      <w:r w:rsidRPr="00907942">
        <w:rPr>
          <w:rFonts w:ascii="Palatino Linotype" w:eastAsia="Palatino Linotype" w:hAnsi="Palatino Linotype" w:cs="Palatino Linotype"/>
          <w:i/>
          <w:sz w:val="22"/>
          <w:szCs w:val="22"/>
        </w:rPr>
        <w:t xml:space="preserve"> </w:t>
      </w:r>
      <w:r w:rsidRPr="0090794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90794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A2A144"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611928E"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Quinto.</w:t>
      </w:r>
      <w:r w:rsidRPr="0090794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B303E28"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Sexto.</w:t>
      </w:r>
      <w:r w:rsidRPr="00907942">
        <w:rPr>
          <w:rFonts w:ascii="Palatino Linotype" w:eastAsia="Palatino Linotype" w:hAnsi="Palatino Linotype" w:cs="Palatino Linotype"/>
          <w:i/>
          <w:sz w:val="22"/>
          <w:szCs w:val="22"/>
        </w:rPr>
        <w:t xml:space="preserve"> Se deroga.</w:t>
      </w:r>
    </w:p>
    <w:p w14:paraId="14CD65F1"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Séptimo.</w:t>
      </w:r>
      <w:r w:rsidRPr="00907942">
        <w:rPr>
          <w:rFonts w:ascii="Palatino Linotype" w:eastAsia="Palatino Linotype" w:hAnsi="Palatino Linotype" w:cs="Palatino Linotype"/>
          <w:i/>
          <w:sz w:val="22"/>
          <w:szCs w:val="22"/>
        </w:rPr>
        <w:t xml:space="preserve"> La clasificación de la información se llevará a cabo en el momento en que:</w:t>
      </w:r>
    </w:p>
    <w:p w14:paraId="26CC8720" w14:textId="77777777" w:rsidR="00DD2398" w:rsidRPr="00907942" w:rsidRDefault="00D05599">
      <w:pPr>
        <w:tabs>
          <w:tab w:val="left" w:pos="8222"/>
        </w:tabs>
        <w:spacing w:before="120" w:after="120"/>
        <w:ind w:left="1134"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w:t>
      </w:r>
      <w:r w:rsidRPr="00907942">
        <w:rPr>
          <w:rFonts w:ascii="Palatino Linotype" w:eastAsia="Palatino Linotype" w:hAnsi="Palatino Linotype" w:cs="Palatino Linotype"/>
          <w:i/>
          <w:sz w:val="22"/>
          <w:szCs w:val="22"/>
        </w:rPr>
        <w:t xml:space="preserve"> Se reciba una solicitud de acceso a la información;</w:t>
      </w:r>
    </w:p>
    <w:p w14:paraId="0F688F6D" w14:textId="77777777" w:rsidR="00DD2398" w:rsidRPr="00907942" w:rsidRDefault="00D05599">
      <w:pPr>
        <w:tabs>
          <w:tab w:val="left" w:pos="8222"/>
        </w:tabs>
        <w:spacing w:before="120" w:after="120"/>
        <w:ind w:left="1134"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w:t>
      </w:r>
      <w:r w:rsidRPr="00907942">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3952EFF0" w14:textId="77777777" w:rsidR="00DD2398" w:rsidRPr="00907942" w:rsidRDefault="00D05599">
      <w:pPr>
        <w:tabs>
          <w:tab w:val="left" w:pos="8222"/>
        </w:tabs>
        <w:spacing w:before="120" w:after="120"/>
        <w:ind w:left="1134"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III.</w:t>
      </w:r>
      <w:r w:rsidRPr="0090794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DCB8B87"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i/>
          <w:sz w:val="22"/>
          <w:szCs w:val="22"/>
        </w:rPr>
        <w:t>conforme a su naturaleza, si encuadra en una causal de reserva o de confidencialidad.</w:t>
      </w:r>
    </w:p>
    <w:p w14:paraId="44B47C81"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Octavo.</w:t>
      </w:r>
      <w:r w:rsidRPr="0090794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B193F1F"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7297756E"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780EFC0"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Noveno.</w:t>
      </w:r>
      <w:r w:rsidRPr="0090794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7A7D14"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Décimo.</w:t>
      </w:r>
      <w:r w:rsidRPr="0090794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E1D4A6C"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4BCE921" w14:textId="77777777" w:rsidR="00DD2398" w:rsidRPr="00907942" w:rsidRDefault="00D05599">
      <w:pPr>
        <w:tabs>
          <w:tab w:val="left" w:pos="8222"/>
        </w:tabs>
        <w:spacing w:before="120" w:after="120"/>
        <w:ind w:left="851" w:right="1134"/>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Décimo primero.</w:t>
      </w:r>
      <w:r w:rsidRPr="0090794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E484CEF" w14:textId="77777777" w:rsidR="00DD2398" w:rsidRPr="00907942" w:rsidRDefault="00D0559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6BC64A3"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lastRenderedPageBreak/>
        <w:t xml:space="preserve"> “Quincuagésimo. </w:t>
      </w:r>
      <w:r w:rsidRPr="00907942">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46D85B3" w14:textId="77777777" w:rsidR="00DD2398" w:rsidRPr="00907942" w:rsidRDefault="00D0559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xml:space="preserve">Quincuagésimo primero. </w:t>
      </w:r>
      <w:r w:rsidRPr="00907942">
        <w:rPr>
          <w:rFonts w:ascii="Palatino Linotype" w:eastAsia="Palatino Linotype" w:hAnsi="Palatino Linotype" w:cs="Palatino Linotype"/>
          <w:i/>
          <w:sz w:val="22"/>
          <w:szCs w:val="22"/>
        </w:rPr>
        <w:t xml:space="preserve">Toda acta del Comité de Transparencia deberá contener: </w:t>
      </w:r>
    </w:p>
    <w:p w14:paraId="08AEFE9F"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w:t>
      </w:r>
      <w:r w:rsidRPr="00907942">
        <w:rPr>
          <w:rFonts w:ascii="Palatino Linotype" w:eastAsia="Palatino Linotype" w:hAnsi="Palatino Linotype" w:cs="Palatino Linotype"/>
          <w:i/>
          <w:sz w:val="22"/>
          <w:szCs w:val="22"/>
        </w:rPr>
        <w:t xml:space="preserve"> El número de sesión y fecha; </w:t>
      </w:r>
    </w:p>
    <w:p w14:paraId="3C6ABE07"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w:t>
      </w:r>
      <w:r w:rsidRPr="00907942">
        <w:rPr>
          <w:rFonts w:ascii="Palatino Linotype" w:eastAsia="Palatino Linotype" w:hAnsi="Palatino Linotype" w:cs="Palatino Linotype"/>
          <w:i/>
          <w:sz w:val="22"/>
          <w:szCs w:val="22"/>
        </w:rPr>
        <w:t xml:space="preserve">. El nombre del área que solicitó la clasificación de información; </w:t>
      </w:r>
    </w:p>
    <w:p w14:paraId="6608E915"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III</w:t>
      </w:r>
      <w:r w:rsidRPr="00907942">
        <w:rPr>
          <w:rFonts w:ascii="Palatino Linotype" w:eastAsia="Palatino Linotype" w:hAnsi="Palatino Linotype" w:cs="Palatino Linotype"/>
          <w:i/>
          <w:sz w:val="22"/>
          <w:szCs w:val="22"/>
        </w:rPr>
        <w:t xml:space="preserve">. La fundamentación legal y motivación correspondiente; </w:t>
      </w:r>
    </w:p>
    <w:p w14:paraId="7EE2C2F6"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IV</w:t>
      </w:r>
      <w:r w:rsidRPr="00907942">
        <w:rPr>
          <w:rFonts w:ascii="Palatino Linotype" w:eastAsia="Palatino Linotype" w:hAnsi="Palatino Linotype" w:cs="Palatino Linotype"/>
          <w:i/>
          <w:sz w:val="22"/>
          <w:szCs w:val="22"/>
        </w:rPr>
        <w:t xml:space="preserve">. La resolución o resoluciones aprobadas; y </w:t>
      </w:r>
    </w:p>
    <w:p w14:paraId="5C5E4CA1"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V</w:t>
      </w:r>
      <w:r w:rsidRPr="00907942">
        <w:rPr>
          <w:rFonts w:ascii="Palatino Linotype" w:eastAsia="Palatino Linotype" w:hAnsi="Palatino Linotype" w:cs="Palatino Linotype"/>
          <w:i/>
          <w:sz w:val="22"/>
          <w:szCs w:val="22"/>
        </w:rPr>
        <w:t xml:space="preserve">. La rúbrica o firma digital de cada integrante del Comité de Transparencia. </w:t>
      </w:r>
    </w:p>
    <w:p w14:paraId="28AEA0AB" w14:textId="77777777" w:rsidR="00DD2398" w:rsidRPr="00907942" w:rsidRDefault="00D0559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E569457"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w:t>
      </w:r>
      <w:r w:rsidRPr="00907942">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A85ADBC"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II</w:t>
      </w:r>
      <w:r w:rsidRPr="00907942">
        <w:rPr>
          <w:rFonts w:ascii="Palatino Linotype" w:eastAsia="Palatino Linotype" w:hAnsi="Palatino Linotype" w:cs="Palatino Linotype"/>
          <w:i/>
          <w:sz w:val="22"/>
          <w:szCs w:val="22"/>
        </w:rPr>
        <w:t>. Descripción de las partes o secciones reservadas, en caso de clasificación parcial</w:t>
      </w:r>
      <w:r w:rsidRPr="00907942">
        <w:rPr>
          <w:rFonts w:ascii="Palatino Linotype" w:eastAsia="Palatino Linotype" w:hAnsi="Palatino Linotype" w:cs="Palatino Linotype"/>
          <w:b/>
          <w:i/>
          <w:sz w:val="22"/>
          <w:szCs w:val="22"/>
        </w:rPr>
        <w:t xml:space="preserve">; </w:t>
      </w:r>
    </w:p>
    <w:p w14:paraId="25670739"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III.</w:t>
      </w:r>
      <w:r w:rsidRPr="00907942">
        <w:rPr>
          <w:rFonts w:ascii="Palatino Linotype" w:eastAsia="Palatino Linotype" w:hAnsi="Palatino Linotype" w:cs="Palatino Linotype"/>
          <w:i/>
          <w:sz w:val="22"/>
          <w:szCs w:val="22"/>
        </w:rPr>
        <w:t xml:space="preserve"> El periodo por el que mantendrá su clasificación y fecha de expiración; y </w:t>
      </w:r>
    </w:p>
    <w:p w14:paraId="7C8CEE32" w14:textId="77777777" w:rsidR="00DD2398" w:rsidRPr="00907942" w:rsidRDefault="00D0559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IV.</w:t>
      </w:r>
      <w:r w:rsidRPr="00907942">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59AE1DC" w14:textId="77777777" w:rsidR="00DD2398" w:rsidRPr="00907942" w:rsidRDefault="00D0559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1D78BC3" w14:textId="77777777" w:rsidR="00DD2398" w:rsidRPr="00907942" w:rsidRDefault="00D0559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519A5B0" w14:textId="77777777" w:rsidR="00DD2398" w:rsidRPr="00907942" w:rsidRDefault="00D05599">
      <w:pPr>
        <w:spacing w:before="240" w:after="240"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3F60F5A" w14:textId="77777777" w:rsidR="00DD2398" w:rsidRPr="00907942" w:rsidRDefault="00D05599">
      <w:pPr>
        <w:spacing w:before="120" w:after="120"/>
        <w:ind w:left="851" w:right="90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lastRenderedPageBreak/>
        <w:t>“</w:t>
      </w:r>
      <w:r w:rsidRPr="00907942">
        <w:rPr>
          <w:rFonts w:ascii="Palatino Linotype" w:eastAsia="Palatino Linotype" w:hAnsi="Palatino Linotype" w:cs="Palatino Linotype"/>
          <w:b/>
          <w:i/>
          <w:sz w:val="22"/>
          <w:szCs w:val="22"/>
        </w:rPr>
        <w:t>Quincuagésimo segundo</w:t>
      </w:r>
      <w:r w:rsidRPr="0090794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1B7D54C" w14:textId="77777777" w:rsidR="00DD2398" w:rsidRPr="00907942" w:rsidRDefault="00D05599">
      <w:pPr>
        <w:spacing w:before="120" w:after="120"/>
        <w:ind w:left="851" w:right="90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47EAA23" w14:textId="77777777" w:rsidR="00DD2398" w:rsidRPr="00907942" w:rsidRDefault="00D05599">
      <w:pPr>
        <w:spacing w:before="120" w:after="120"/>
        <w:ind w:left="1134" w:right="90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w:t>
      </w:r>
      <w:r w:rsidRPr="0090794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A51DF59" w14:textId="77777777" w:rsidR="00DD2398" w:rsidRPr="00907942" w:rsidRDefault="00D05599">
      <w:pPr>
        <w:spacing w:before="120" w:after="120"/>
        <w:ind w:left="1134" w:right="90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w:t>
      </w:r>
      <w:r w:rsidRPr="0090794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1F242FB" w14:textId="77777777" w:rsidR="00DD2398" w:rsidRPr="00907942" w:rsidRDefault="00D05599">
      <w:pPr>
        <w:spacing w:before="120" w:after="120"/>
        <w:ind w:left="1134" w:right="90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III.</w:t>
      </w:r>
      <w:r w:rsidRPr="00907942">
        <w:rPr>
          <w:rFonts w:ascii="Palatino Linotype" w:eastAsia="Palatino Linotype" w:hAnsi="Palatino Linotype" w:cs="Palatino Linotype"/>
          <w:i/>
          <w:sz w:val="22"/>
          <w:szCs w:val="22"/>
        </w:rPr>
        <w:t xml:space="preserve"> Señalar las personas o instancias autorizadas a acceder a la información clasificada.</w:t>
      </w:r>
    </w:p>
    <w:p w14:paraId="36007585" w14:textId="77777777" w:rsidR="00DD2398" w:rsidRPr="00907942" w:rsidRDefault="00D05599">
      <w:pPr>
        <w:spacing w:before="120" w:after="120"/>
        <w:ind w:left="851" w:right="90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AA93D17" w14:textId="77777777" w:rsidR="00DD2398" w:rsidRPr="00907942" w:rsidRDefault="00D05599">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w:t>
      </w:r>
    </w:p>
    <w:p w14:paraId="59998A06" w14:textId="77777777" w:rsidR="00DD2398" w:rsidRPr="00907942" w:rsidRDefault="00D05599">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 xml:space="preserve">Quincuagésimo cuarto. </w:t>
      </w:r>
      <w:r w:rsidRPr="0090794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07942">
        <w:rPr>
          <w:rFonts w:ascii="Palatino Linotype" w:eastAsia="Palatino Linotype" w:hAnsi="Palatino Linotype" w:cs="Palatino Linotype"/>
          <w:b/>
          <w:i/>
          <w:sz w:val="22"/>
          <w:szCs w:val="22"/>
        </w:rPr>
        <w:t xml:space="preserve"> </w:t>
      </w:r>
    </w:p>
    <w:p w14:paraId="7250ECE1"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 xml:space="preserve">Quincuagésimo quinto. </w:t>
      </w:r>
      <w:r w:rsidRPr="0090794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907942">
        <w:rPr>
          <w:rFonts w:ascii="Palatino Linotype" w:eastAsia="Palatino Linotype" w:hAnsi="Palatino Linotype" w:cs="Palatino Linotype"/>
          <w:i/>
          <w:sz w:val="22"/>
          <w:szCs w:val="22"/>
        </w:rPr>
        <w:t>testado</w:t>
      </w:r>
      <w:proofErr w:type="spellEnd"/>
      <w:r w:rsidRPr="0090794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59C78BD" w14:textId="77777777" w:rsidR="00DD2398" w:rsidRPr="00907942" w:rsidRDefault="00D05599">
      <w:pPr>
        <w:spacing w:before="120" w:after="120"/>
        <w:ind w:left="851" w:right="902"/>
        <w:jc w:val="both"/>
        <w:rPr>
          <w:rFonts w:ascii="Palatino Linotype" w:eastAsia="Palatino Linotype" w:hAnsi="Palatino Linotype" w:cs="Palatino Linotype"/>
          <w:b/>
          <w:i/>
          <w:sz w:val="22"/>
          <w:szCs w:val="22"/>
        </w:rPr>
      </w:pPr>
      <w:r w:rsidRPr="00907942">
        <w:rPr>
          <w:rFonts w:ascii="Palatino Linotype" w:eastAsia="Palatino Linotype" w:hAnsi="Palatino Linotype" w:cs="Palatino Linotype"/>
          <w:b/>
          <w:i/>
          <w:sz w:val="22"/>
          <w:szCs w:val="22"/>
        </w:rPr>
        <w:t>...</w:t>
      </w:r>
    </w:p>
    <w:p w14:paraId="7ED0AE04"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Quincuagésimo séptimo</w:t>
      </w:r>
      <w:r w:rsidRPr="0090794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6B0DAF9"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lastRenderedPageBreak/>
        <w:t>I</w:t>
      </w:r>
      <w:r w:rsidRPr="0090794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9CD3E53"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w:t>
      </w:r>
      <w:r w:rsidRPr="0090794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1DCD504" w14:textId="77777777" w:rsidR="00DD2398" w:rsidRPr="00907942" w:rsidRDefault="00D05599">
      <w:pPr>
        <w:spacing w:before="120" w:after="120"/>
        <w:ind w:left="1134"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III</w:t>
      </w:r>
      <w:r w:rsidRPr="0090794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FE4AC49"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2B217FB" w14:textId="77777777" w:rsidR="00DD2398" w:rsidRPr="00907942" w:rsidRDefault="00D05599">
      <w:pPr>
        <w:spacing w:before="120" w:after="120"/>
        <w:ind w:left="851" w:right="902"/>
        <w:jc w:val="both"/>
        <w:rPr>
          <w:rFonts w:ascii="Palatino Linotype" w:eastAsia="Palatino Linotype" w:hAnsi="Palatino Linotype" w:cs="Palatino Linotype"/>
          <w:i/>
          <w:sz w:val="22"/>
          <w:szCs w:val="22"/>
        </w:rPr>
      </w:pPr>
      <w:r w:rsidRPr="00907942">
        <w:rPr>
          <w:rFonts w:ascii="Palatino Linotype" w:eastAsia="Palatino Linotype" w:hAnsi="Palatino Linotype" w:cs="Palatino Linotype"/>
          <w:b/>
          <w:i/>
          <w:sz w:val="22"/>
          <w:szCs w:val="22"/>
        </w:rPr>
        <w:t>Quincuagésimo octavo</w:t>
      </w:r>
      <w:r w:rsidRPr="0090794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54ED027" w14:textId="77777777" w:rsidR="00DD2398" w:rsidRPr="00907942" w:rsidRDefault="00D0559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sz w:val="22"/>
          <w:szCs w:val="22"/>
        </w:rPr>
        <w:t>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0B942517" w14:textId="77777777" w:rsidR="00DD2398" w:rsidRPr="00907942" w:rsidRDefault="00DD23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5F8A51" w14:textId="77777777" w:rsidR="00DD2398" w:rsidRPr="00907942" w:rsidRDefault="00D05599">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907942">
        <w:rPr>
          <w:rFonts w:ascii="Palatino Linotype" w:eastAsia="Palatino Linotype" w:hAnsi="Palatino Linotype" w:cs="Palatino Linotype"/>
          <w:b/>
          <w:sz w:val="22"/>
          <w:szCs w:val="22"/>
        </w:rPr>
        <w:t>III. R E S U E L V E</w:t>
      </w:r>
    </w:p>
    <w:p w14:paraId="654A30A5" w14:textId="77777777" w:rsidR="00DD2398" w:rsidRPr="00907942" w:rsidRDefault="00DD2398">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6A39275E" w14:textId="77777777" w:rsidR="00DD2398" w:rsidRPr="00907942" w:rsidRDefault="00D05599">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907942">
        <w:rPr>
          <w:rFonts w:ascii="Palatino Linotype" w:eastAsia="Palatino Linotype" w:hAnsi="Palatino Linotype" w:cs="Palatino Linotype"/>
          <w:b/>
          <w:sz w:val="22"/>
          <w:szCs w:val="22"/>
        </w:rPr>
        <w:t xml:space="preserve">Primero. </w:t>
      </w:r>
      <w:r w:rsidRPr="00907942">
        <w:rPr>
          <w:rFonts w:ascii="Palatino Linotype" w:eastAsia="Palatino Linotype" w:hAnsi="Palatino Linotype" w:cs="Palatino Linotype"/>
          <w:sz w:val="22"/>
          <w:szCs w:val="22"/>
        </w:rPr>
        <w:t xml:space="preserve">Resultan </w:t>
      </w:r>
      <w:r w:rsidRPr="00907942">
        <w:rPr>
          <w:rFonts w:ascii="Palatino Linotype" w:eastAsia="Palatino Linotype" w:hAnsi="Palatino Linotype" w:cs="Palatino Linotype"/>
          <w:b/>
          <w:sz w:val="22"/>
          <w:szCs w:val="22"/>
        </w:rPr>
        <w:t>fundadas</w:t>
      </w:r>
      <w:r w:rsidRPr="00907942">
        <w:rPr>
          <w:rFonts w:ascii="Palatino Linotype" w:eastAsia="Palatino Linotype" w:hAnsi="Palatino Linotype" w:cs="Palatino Linotype"/>
          <w:sz w:val="22"/>
          <w:szCs w:val="22"/>
        </w:rPr>
        <w:t xml:space="preserve"> las razones o motivos de inconformidad hechos valer por la parte</w:t>
      </w:r>
      <w:r w:rsidRPr="00907942">
        <w:rPr>
          <w:rFonts w:ascii="Palatino Linotype" w:eastAsia="Palatino Linotype" w:hAnsi="Palatino Linotype" w:cs="Palatino Linotype"/>
          <w:b/>
          <w:sz w:val="22"/>
          <w:szCs w:val="22"/>
        </w:rPr>
        <w:t xml:space="preserve"> Recurrente</w:t>
      </w:r>
      <w:r w:rsidRPr="00907942">
        <w:rPr>
          <w:rFonts w:ascii="Palatino Linotype" w:eastAsia="Palatino Linotype" w:hAnsi="Palatino Linotype" w:cs="Palatino Linotype"/>
          <w:sz w:val="22"/>
          <w:szCs w:val="22"/>
        </w:rPr>
        <w:t xml:space="preserve"> en el recurso de revisión </w:t>
      </w:r>
      <w:r w:rsidRPr="00907942">
        <w:rPr>
          <w:rFonts w:ascii="Palatino Linotype" w:eastAsia="Palatino Linotype" w:hAnsi="Palatino Linotype" w:cs="Palatino Linotype"/>
          <w:b/>
          <w:sz w:val="22"/>
          <w:szCs w:val="22"/>
        </w:rPr>
        <w:t>03329/INFOEM/IP/RR/2025</w:t>
      </w:r>
      <w:r w:rsidRPr="00907942">
        <w:rPr>
          <w:rFonts w:ascii="Palatino Linotype" w:eastAsia="Palatino Linotype" w:hAnsi="Palatino Linotype" w:cs="Palatino Linotype"/>
          <w:sz w:val="22"/>
          <w:szCs w:val="22"/>
        </w:rPr>
        <w:t xml:space="preserve">; por lo que, en términos del </w:t>
      </w:r>
      <w:r w:rsidRPr="00907942">
        <w:rPr>
          <w:rFonts w:ascii="Palatino Linotype" w:eastAsia="Palatino Linotype" w:hAnsi="Palatino Linotype" w:cs="Palatino Linotype"/>
          <w:b/>
          <w:sz w:val="22"/>
          <w:szCs w:val="22"/>
        </w:rPr>
        <w:t>Considerando</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 xml:space="preserve">Cuarto </w:t>
      </w:r>
      <w:r w:rsidRPr="00907942">
        <w:rPr>
          <w:rFonts w:ascii="Palatino Linotype" w:eastAsia="Palatino Linotype" w:hAnsi="Palatino Linotype" w:cs="Palatino Linotype"/>
          <w:sz w:val="22"/>
          <w:szCs w:val="22"/>
        </w:rPr>
        <w:t xml:space="preserve">de esta resolución, se </w:t>
      </w:r>
      <w:r w:rsidRPr="00907942">
        <w:rPr>
          <w:rFonts w:ascii="Palatino Linotype" w:eastAsia="Palatino Linotype" w:hAnsi="Palatino Linotype" w:cs="Palatino Linotype"/>
          <w:b/>
          <w:sz w:val="22"/>
          <w:szCs w:val="22"/>
        </w:rPr>
        <w:t xml:space="preserve">Modifica </w:t>
      </w:r>
      <w:r w:rsidRPr="00907942">
        <w:rPr>
          <w:rFonts w:ascii="Palatino Linotype" w:eastAsia="Palatino Linotype" w:hAnsi="Palatino Linotype" w:cs="Palatino Linotype"/>
          <w:sz w:val="22"/>
          <w:szCs w:val="22"/>
        </w:rPr>
        <w:t xml:space="preserve">la respuesta emitida por el </w:t>
      </w:r>
      <w:r w:rsidRPr="00907942">
        <w:rPr>
          <w:rFonts w:ascii="Palatino Linotype" w:eastAsia="Palatino Linotype" w:hAnsi="Palatino Linotype" w:cs="Palatino Linotype"/>
          <w:b/>
          <w:sz w:val="22"/>
          <w:szCs w:val="22"/>
        </w:rPr>
        <w:t>Sujeto Obligado.</w:t>
      </w:r>
    </w:p>
    <w:p w14:paraId="2DA843E6" w14:textId="77777777" w:rsidR="00DD2398" w:rsidRPr="00907942" w:rsidRDefault="00DD2398">
      <w:pPr>
        <w:spacing w:line="360" w:lineRule="auto"/>
        <w:jc w:val="both"/>
        <w:rPr>
          <w:rFonts w:ascii="Palatino Linotype" w:eastAsia="Palatino Linotype" w:hAnsi="Palatino Linotype" w:cs="Palatino Linotype"/>
          <w:b/>
          <w:sz w:val="22"/>
          <w:szCs w:val="22"/>
        </w:rPr>
      </w:pPr>
    </w:p>
    <w:p w14:paraId="2B41A6F9" w14:textId="77777777" w:rsidR="00DD2398" w:rsidRPr="00907942" w:rsidRDefault="00D05599">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907942">
        <w:rPr>
          <w:rFonts w:ascii="Palatino Linotype" w:eastAsia="Palatino Linotype" w:hAnsi="Palatino Linotype" w:cs="Palatino Linotype"/>
          <w:b/>
          <w:sz w:val="22"/>
          <w:szCs w:val="22"/>
        </w:rPr>
        <w:lastRenderedPageBreak/>
        <w:t xml:space="preserve">Segundo. </w:t>
      </w:r>
      <w:r w:rsidRPr="00907942">
        <w:rPr>
          <w:rFonts w:ascii="Palatino Linotype" w:eastAsia="Palatino Linotype" w:hAnsi="Palatino Linotype" w:cs="Palatino Linotype"/>
          <w:sz w:val="22"/>
          <w:szCs w:val="22"/>
        </w:rPr>
        <w:t xml:space="preserve">Se </w:t>
      </w:r>
      <w:r w:rsidRPr="00907942">
        <w:rPr>
          <w:rFonts w:ascii="Palatino Linotype" w:eastAsia="Palatino Linotype" w:hAnsi="Palatino Linotype" w:cs="Palatino Linotype"/>
          <w:b/>
          <w:sz w:val="22"/>
          <w:szCs w:val="22"/>
        </w:rPr>
        <w:t>Ordena</w:t>
      </w:r>
      <w:r w:rsidRPr="00907942">
        <w:rPr>
          <w:rFonts w:ascii="Palatino Linotype" w:eastAsia="Palatino Linotype" w:hAnsi="Palatino Linotype" w:cs="Palatino Linotype"/>
          <w:sz w:val="22"/>
          <w:szCs w:val="22"/>
        </w:rPr>
        <w:t xml:space="preserve"> al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en términos de los Considerandos </w:t>
      </w:r>
      <w:r w:rsidRPr="00907942">
        <w:rPr>
          <w:rFonts w:ascii="Palatino Linotype" w:eastAsia="Palatino Linotype" w:hAnsi="Palatino Linotype" w:cs="Palatino Linotype"/>
          <w:b/>
          <w:sz w:val="22"/>
          <w:szCs w:val="22"/>
        </w:rPr>
        <w:t xml:space="preserve">Cuarto y Quinto </w:t>
      </w:r>
      <w:r w:rsidRPr="00907942">
        <w:rPr>
          <w:rFonts w:ascii="Palatino Linotype" w:eastAsia="Palatino Linotype" w:hAnsi="Palatino Linotype" w:cs="Palatino Linotype"/>
          <w:sz w:val="22"/>
          <w:szCs w:val="22"/>
        </w:rPr>
        <w:t xml:space="preserve">de esta resolución, </w:t>
      </w:r>
      <w:r w:rsidRPr="00907942">
        <w:rPr>
          <w:rFonts w:ascii="Palatino Linotype" w:eastAsia="Palatino Linotype" w:hAnsi="Palatino Linotype" w:cs="Palatino Linotype"/>
          <w:b/>
          <w:sz w:val="22"/>
          <w:szCs w:val="22"/>
        </w:rPr>
        <w:t xml:space="preserve">haga entrega vía Sistema de Acceso a la Información Mexiquense (SAIMEX), </w:t>
      </w:r>
      <w:r w:rsidRPr="00907942">
        <w:rPr>
          <w:rFonts w:ascii="Palatino Linotype" w:eastAsia="Palatino Linotype" w:hAnsi="Palatino Linotype" w:cs="Palatino Linotype"/>
          <w:sz w:val="22"/>
          <w:szCs w:val="22"/>
        </w:rPr>
        <w:t>de ser procedente en versión pública, respecto de la compra efectuada por el Ayuntamiento de Otzolotepec del terreno para la construcción del nuevo panteón municipal, sobre la cual versa la solicitud de información, los documentos donde conste o se advierta, lo siguiente:</w:t>
      </w:r>
    </w:p>
    <w:p w14:paraId="10AF5ED3"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32D57941" w14:textId="77777777" w:rsidR="00DD2398" w:rsidRPr="00907942" w:rsidRDefault="00D0559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907942">
        <w:rPr>
          <w:rFonts w:ascii="Palatino Linotype" w:eastAsia="Palatino Linotype" w:hAnsi="Palatino Linotype" w:cs="Palatino Linotype"/>
          <w:b/>
          <w:sz w:val="22"/>
          <w:szCs w:val="22"/>
          <w:u w:val="single"/>
        </w:rPr>
        <w:t>El o los contratos celebrados por la compraventa al 26 de febrero de 2025; y</w:t>
      </w:r>
    </w:p>
    <w:p w14:paraId="429979B8" w14:textId="77777777" w:rsidR="00DD2398" w:rsidRPr="00907942" w:rsidRDefault="00D0559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907942">
        <w:rPr>
          <w:rFonts w:ascii="Palatino Linotype" w:eastAsia="Palatino Linotype" w:hAnsi="Palatino Linotype" w:cs="Palatino Linotype"/>
          <w:b/>
          <w:sz w:val="22"/>
          <w:szCs w:val="22"/>
          <w:u w:val="single"/>
        </w:rPr>
        <w:t>Facturas y/o recibos de pago por la adquisición del terreno indicado al 26 de febrero de 2025.</w:t>
      </w:r>
    </w:p>
    <w:p w14:paraId="14DF7026" w14:textId="77777777" w:rsidR="00DD2398" w:rsidRPr="00907942" w:rsidRDefault="00DD239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ADE0F49" w14:textId="77777777" w:rsidR="00DD2398" w:rsidRPr="00907942" w:rsidRDefault="00D05599">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bookmarkStart w:id="14" w:name="_heading=h.59npxyxpomjd" w:colFirst="0" w:colLast="0"/>
      <w:bookmarkEnd w:id="14"/>
      <w:r w:rsidRPr="00907942">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907942">
        <w:rPr>
          <w:rFonts w:ascii="Palatino Linotype" w:eastAsia="Palatino Linotype" w:hAnsi="Palatino Linotype" w:cs="Palatino Linotype"/>
          <w:b/>
          <w:i/>
          <w:sz w:val="22"/>
          <w:szCs w:val="22"/>
        </w:rPr>
        <w:t>la parte Recurrente</w:t>
      </w:r>
      <w:r w:rsidRPr="00907942">
        <w:rPr>
          <w:rFonts w:ascii="Palatino Linotype" w:eastAsia="Palatino Linotype" w:hAnsi="Palatino Linotype" w:cs="Palatino Linotype"/>
          <w:i/>
          <w:sz w:val="22"/>
          <w:szCs w:val="22"/>
        </w:rPr>
        <w:t>, mismo que igualmente hará de su conocimiento.</w:t>
      </w:r>
    </w:p>
    <w:p w14:paraId="13FD472D" w14:textId="77777777" w:rsidR="00DD2398" w:rsidRPr="00907942" w:rsidRDefault="00DD2398">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76A05326" w14:textId="77777777" w:rsidR="00DD2398" w:rsidRPr="00907942" w:rsidRDefault="00D05599">
      <w:pPr>
        <w:spacing w:line="360" w:lineRule="auto"/>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 xml:space="preserve">Tercero. Notifíquese, </w:t>
      </w:r>
      <w:r w:rsidRPr="00907942">
        <w:rPr>
          <w:rFonts w:ascii="Palatino Linotype" w:eastAsia="Palatino Linotype" w:hAnsi="Palatino Linotype" w:cs="Palatino Linotype"/>
          <w:sz w:val="22"/>
          <w:szCs w:val="22"/>
        </w:rPr>
        <w:t xml:space="preserve">vía </w:t>
      </w:r>
      <w:r w:rsidRPr="00907942">
        <w:rPr>
          <w:rFonts w:ascii="Palatino Linotype" w:eastAsia="Palatino Linotype" w:hAnsi="Palatino Linotype" w:cs="Palatino Linotype"/>
          <w:b/>
          <w:sz w:val="22"/>
          <w:szCs w:val="22"/>
        </w:rPr>
        <w:t>SAIMEX</w:t>
      </w:r>
      <w:r w:rsidRPr="00907942">
        <w:rPr>
          <w:rFonts w:ascii="Palatino Linotype" w:eastAsia="Palatino Linotype" w:hAnsi="Palatino Linotype" w:cs="Palatino Linotype"/>
          <w:sz w:val="22"/>
          <w:szCs w:val="22"/>
        </w:rPr>
        <w:t xml:space="preserve">, al Titular de la Unidad de Transparencia del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FA2D5C8"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24F058F6"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lastRenderedPageBreak/>
        <w:t>Cuarto.</w:t>
      </w:r>
      <w:r w:rsidRPr="00907942">
        <w:rPr>
          <w:rFonts w:ascii="Palatino Linotype" w:eastAsia="Palatino Linotype" w:hAnsi="Palatino Linotype" w:cs="Palatino Linotype"/>
          <w:sz w:val="22"/>
          <w:szCs w:val="22"/>
        </w:rPr>
        <w:t xml:space="preserve"> </w:t>
      </w:r>
      <w:r w:rsidRPr="00907942">
        <w:rPr>
          <w:rFonts w:ascii="Palatino Linotype" w:eastAsia="Palatino Linotype" w:hAnsi="Palatino Linotype" w:cs="Palatino Linotype"/>
          <w:b/>
          <w:sz w:val="22"/>
          <w:szCs w:val="22"/>
        </w:rPr>
        <w:t xml:space="preserve">Notifíquese, </w:t>
      </w:r>
      <w:r w:rsidRPr="00907942">
        <w:rPr>
          <w:rFonts w:ascii="Palatino Linotype" w:eastAsia="Palatino Linotype" w:hAnsi="Palatino Linotype" w:cs="Palatino Linotype"/>
          <w:sz w:val="22"/>
          <w:szCs w:val="22"/>
        </w:rPr>
        <w:t xml:space="preserve">vía </w:t>
      </w:r>
      <w:r w:rsidRPr="00907942">
        <w:rPr>
          <w:rFonts w:ascii="Palatino Linotype" w:eastAsia="Palatino Linotype" w:hAnsi="Palatino Linotype" w:cs="Palatino Linotype"/>
          <w:b/>
          <w:sz w:val="22"/>
          <w:szCs w:val="22"/>
        </w:rPr>
        <w:t>SAIMEX</w:t>
      </w:r>
      <w:r w:rsidRPr="00907942">
        <w:rPr>
          <w:rFonts w:ascii="Palatino Linotype" w:eastAsia="Palatino Linotype" w:hAnsi="Palatino Linotype" w:cs="Palatino Linotype"/>
          <w:sz w:val="22"/>
          <w:szCs w:val="22"/>
        </w:rPr>
        <w:t xml:space="preserve">, al Titular de la Unidad de Transparencia del </w:t>
      </w:r>
      <w:r w:rsidRPr="00907942">
        <w:rPr>
          <w:rFonts w:ascii="Palatino Linotype" w:eastAsia="Palatino Linotype" w:hAnsi="Palatino Linotype" w:cs="Palatino Linotype"/>
          <w:b/>
          <w:sz w:val="22"/>
          <w:szCs w:val="22"/>
        </w:rPr>
        <w:t>Sujeto Obligado,</w:t>
      </w:r>
      <w:r w:rsidRPr="00907942">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3391A039" w14:textId="77777777" w:rsidR="00DD2398" w:rsidRPr="00907942" w:rsidRDefault="00DD2398">
      <w:pPr>
        <w:spacing w:line="360" w:lineRule="auto"/>
        <w:ind w:right="49"/>
        <w:jc w:val="both"/>
        <w:rPr>
          <w:rFonts w:ascii="Palatino Linotype" w:eastAsia="Palatino Linotype" w:hAnsi="Palatino Linotype" w:cs="Palatino Linotype"/>
          <w:sz w:val="22"/>
          <w:szCs w:val="22"/>
        </w:rPr>
      </w:pPr>
    </w:p>
    <w:p w14:paraId="74BC6FCA" w14:textId="77777777" w:rsidR="00DD2398" w:rsidRPr="00907942" w:rsidRDefault="00D05599">
      <w:pPr>
        <w:spacing w:line="360" w:lineRule="auto"/>
        <w:ind w:right="49"/>
        <w:jc w:val="both"/>
        <w:rPr>
          <w:rFonts w:ascii="Palatino Linotype" w:eastAsia="Palatino Linotype" w:hAnsi="Palatino Linotype" w:cs="Palatino Linotype"/>
          <w:sz w:val="22"/>
          <w:szCs w:val="22"/>
        </w:rPr>
      </w:pPr>
      <w:r w:rsidRPr="00907942">
        <w:rPr>
          <w:rFonts w:ascii="Palatino Linotype" w:eastAsia="Palatino Linotype" w:hAnsi="Palatino Linotype" w:cs="Palatino Linotype"/>
          <w:b/>
          <w:sz w:val="22"/>
          <w:szCs w:val="22"/>
        </w:rPr>
        <w:t xml:space="preserve">Quinto. Notifíquese vía SAIMEX, </w:t>
      </w:r>
      <w:r w:rsidRPr="00907942">
        <w:rPr>
          <w:rFonts w:ascii="Palatino Linotype" w:eastAsia="Palatino Linotype" w:hAnsi="Palatino Linotype" w:cs="Palatino Linotype"/>
          <w:sz w:val="22"/>
          <w:szCs w:val="22"/>
        </w:rPr>
        <w:t xml:space="preserve">la presente resolución a la parte </w:t>
      </w:r>
      <w:r w:rsidRPr="00907942">
        <w:rPr>
          <w:rFonts w:ascii="Palatino Linotype" w:eastAsia="Palatino Linotype" w:hAnsi="Palatino Linotype" w:cs="Palatino Linotype"/>
          <w:b/>
          <w:sz w:val="22"/>
          <w:szCs w:val="22"/>
        </w:rPr>
        <w:t>Recurrente</w:t>
      </w:r>
      <w:r w:rsidRPr="00907942">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C19845A" w14:textId="77777777" w:rsidR="00DD2398" w:rsidRPr="00907942" w:rsidRDefault="00DD2398">
      <w:pPr>
        <w:spacing w:line="360" w:lineRule="auto"/>
        <w:jc w:val="both"/>
        <w:rPr>
          <w:rFonts w:ascii="Palatino Linotype" w:eastAsia="Palatino Linotype" w:hAnsi="Palatino Linotype" w:cs="Palatino Linotype"/>
          <w:sz w:val="22"/>
          <w:szCs w:val="22"/>
        </w:rPr>
      </w:pPr>
    </w:p>
    <w:p w14:paraId="79F76727" w14:textId="77777777" w:rsidR="00DD2398" w:rsidRPr="009515FF" w:rsidRDefault="00D05599">
      <w:pPr>
        <w:spacing w:line="360" w:lineRule="auto"/>
        <w:jc w:val="both"/>
        <w:rPr>
          <w:rFonts w:ascii="Palatino Linotype" w:eastAsia="Palatino Linotype" w:hAnsi="Palatino Linotype" w:cs="Palatino Linotype"/>
          <w:sz w:val="22"/>
          <w:szCs w:val="22"/>
        </w:rPr>
      </w:pPr>
      <w:bookmarkStart w:id="15" w:name="_heading=h.67p5o5uowlpo" w:colFirst="0" w:colLast="0"/>
      <w:bookmarkEnd w:id="15"/>
      <w:r w:rsidRPr="0090794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DE JUNIO DE DOS MIL VEINTICINCO, ANTE EL SECRETARIO TÉCNICO DEL PLENO ALEXIS TAPIA RAMÍREZ.</w:t>
      </w:r>
      <w:r w:rsidRPr="009515FF">
        <w:rPr>
          <w:rFonts w:ascii="Palatino Linotype" w:eastAsia="Palatino Linotype" w:hAnsi="Palatino Linotype" w:cs="Palatino Linotype"/>
          <w:sz w:val="22"/>
          <w:szCs w:val="22"/>
        </w:rPr>
        <w:t xml:space="preserve"> </w:t>
      </w:r>
    </w:p>
    <w:p w14:paraId="233D4A1E" w14:textId="77777777" w:rsidR="00DD2398" w:rsidRPr="009515FF" w:rsidRDefault="00DD2398">
      <w:pPr>
        <w:rPr>
          <w:rFonts w:ascii="Palatino Linotype" w:eastAsia="Palatino Linotype" w:hAnsi="Palatino Linotype" w:cs="Palatino Linotype"/>
          <w:sz w:val="22"/>
          <w:szCs w:val="22"/>
        </w:rPr>
      </w:pPr>
      <w:bookmarkStart w:id="16" w:name="_heading=h.17dp8vu" w:colFirst="0" w:colLast="0"/>
      <w:bookmarkEnd w:id="16"/>
    </w:p>
    <w:p w14:paraId="015119A0" w14:textId="77777777" w:rsidR="00DD2398" w:rsidRPr="009515FF" w:rsidRDefault="00DD2398">
      <w:pPr>
        <w:rPr>
          <w:rFonts w:ascii="Palatino Linotype" w:eastAsia="Palatino Linotype" w:hAnsi="Palatino Linotype" w:cs="Palatino Linotype"/>
          <w:sz w:val="22"/>
          <w:szCs w:val="22"/>
        </w:rPr>
      </w:pPr>
    </w:p>
    <w:p w14:paraId="1F50AF7F" w14:textId="77777777" w:rsidR="00DD2398" w:rsidRPr="009515FF" w:rsidRDefault="00DD2398">
      <w:pPr>
        <w:spacing w:line="360" w:lineRule="auto"/>
        <w:jc w:val="both"/>
        <w:rPr>
          <w:rFonts w:ascii="Palatino Linotype" w:eastAsia="Palatino Linotype" w:hAnsi="Palatino Linotype" w:cs="Palatino Linotype"/>
          <w:sz w:val="22"/>
          <w:szCs w:val="22"/>
        </w:rPr>
      </w:pPr>
      <w:bookmarkStart w:id="17" w:name="_heading=h.3rdcrjn" w:colFirst="0" w:colLast="0"/>
      <w:bookmarkEnd w:id="17"/>
    </w:p>
    <w:p w14:paraId="75696098"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66AB9B2B"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606CB116" w14:textId="77777777" w:rsidR="00DD2398" w:rsidRPr="009515FF" w:rsidRDefault="00DD2398">
      <w:pPr>
        <w:spacing w:line="360" w:lineRule="auto"/>
        <w:jc w:val="both"/>
        <w:rPr>
          <w:rFonts w:ascii="Palatino Linotype" w:eastAsia="Palatino Linotype" w:hAnsi="Palatino Linotype" w:cs="Palatino Linotype"/>
          <w:sz w:val="22"/>
          <w:szCs w:val="22"/>
        </w:rPr>
      </w:pPr>
      <w:bookmarkStart w:id="18" w:name="_heading=h.1t3h5sf" w:colFirst="0" w:colLast="0"/>
      <w:bookmarkEnd w:id="18"/>
    </w:p>
    <w:p w14:paraId="44D28B7C"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5C3DDC80"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4C410D24"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76A1F478"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3E2C89FE"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4DB6AC6A"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740141DC"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6F488F94"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4DB907F1"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4E728709"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1AB33FFC"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69AA669C"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492F5420"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37BB2738"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21DC4FC9"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1BED8D97"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035D9CD8"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3956CCC8"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51FAE4FB"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212F403C" w14:textId="77777777" w:rsidR="00DD2398" w:rsidRPr="009515FF" w:rsidRDefault="00DD2398">
      <w:pPr>
        <w:spacing w:line="360" w:lineRule="auto"/>
        <w:jc w:val="both"/>
        <w:rPr>
          <w:rFonts w:ascii="Palatino Linotype" w:eastAsia="Palatino Linotype" w:hAnsi="Palatino Linotype" w:cs="Palatino Linotype"/>
          <w:sz w:val="22"/>
          <w:szCs w:val="22"/>
        </w:rPr>
      </w:pPr>
    </w:p>
    <w:p w14:paraId="2CC0097A" w14:textId="77777777" w:rsidR="00DD2398" w:rsidRPr="009515FF" w:rsidRDefault="00DD2398">
      <w:pPr>
        <w:spacing w:line="360" w:lineRule="auto"/>
        <w:jc w:val="both"/>
        <w:rPr>
          <w:rFonts w:ascii="Palatino Linotype" w:eastAsia="Palatino Linotype" w:hAnsi="Palatino Linotype" w:cs="Palatino Linotype"/>
          <w:sz w:val="22"/>
          <w:szCs w:val="22"/>
        </w:rPr>
      </w:pPr>
    </w:p>
    <w:sectPr w:rsidR="00DD2398" w:rsidRPr="009515FF">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6224A" w14:textId="77777777" w:rsidR="00B55CF2" w:rsidRDefault="00B55CF2">
      <w:r>
        <w:separator/>
      </w:r>
    </w:p>
  </w:endnote>
  <w:endnote w:type="continuationSeparator" w:id="0">
    <w:p w14:paraId="11A77F81" w14:textId="77777777" w:rsidR="00B55CF2" w:rsidRDefault="00B5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CEF4" w14:textId="77777777" w:rsidR="00F11CF3" w:rsidRDefault="00F11C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07942">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7942">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140A5251" w14:textId="77777777" w:rsidR="00F11CF3" w:rsidRDefault="00F11CF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9637" w14:textId="77777777" w:rsidR="00F11CF3" w:rsidRDefault="00F11C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0794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7942">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0049A748" w14:textId="77777777" w:rsidR="00F11CF3" w:rsidRDefault="00F11CF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78930" w14:textId="77777777" w:rsidR="00B55CF2" w:rsidRDefault="00B55CF2">
      <w:r>
        <w:separator/>
      </w:r>
    </w:p>
  </w:footnote>
  <w:footnote w:type="continuationSeparator" w:id="0">
    <w:p w14:paraId="48515042" w14:textId="77777777" w:rsidR="00B55CF2" w:rsidRDefault="00B55CF2">
      <w:r>
        <w:continuationSeparator/>
      </w:r>
    </w:p>
  </w:footnote>
  <w:footnote w:id="1">
    <w:p w14:paraId="6A1B2FB6" w14:textId="77777777" w:rsidR="00F11CF3" w:rsidRDefault="00F11CF3">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002422B" w14:textId="77777777" w:rsidR="00F11CF3" w:rsidRDefault="00F11CF3">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1B1386C" w14:textId="77777777" w:rsidR="00F11CF3" w:rsidRDefault="00F11CF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6CE680A" w14:textId="77777777" w:rsidR="00F11CF3" w:rsidRDefault="00F11CF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1C03" w14:textId="77777777" w:rsidR="00F11CF3" w:rsidRDefault="00F11CF3">
    <w:pPr>
      <w:rPr>
        <w:rFonts w:ascii="Cambria" w:eastAsia="Cambria" w:hAnsi="Cambria" w:cs="Cambria"/>
        <w:color w:val="000000"/>
      </w:rPr>
    </w:pPr>
    <w:r>
      <w:rPr>
        <w:noProof/>
      </w:rPr>
      <w:drawing>
        <wp:anchor distT="0" distB="0" distL="0" distR="0" simplePos="0" relativeHeight="251658240" behindDoc="1" locked="0" layoutInCell="1" hidden="0" allowOverlap="1" wp14:anchorId="29344656" wp14:editId="557B094A">
          <wp:simplePos x="0" y="0"/>
          <wp:positionH relativeFrom="column">
            <wp:posOffset>-1080103</wp:posOffset>
          </wp:positionH>
          <wp:positionV relativeFrom="paragraph">
            <wp:posOffset>-488278</wp:posOffset>
          </wp:positionV>
          <wp:extent cx="7809865" cy="10165715"/>
          <wp:effectExtent l="0" t="0" r="0" b="0"/>
          <wp:wrapNone/>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7087" w:type="dxa"/>
      <w:tblInd w:w="3261" w:type="dxa"/>
      <w:tblLayout w:type="fixed"/>
      <w:tblLook w:val="0400" w:firstRow="0" w:lastRow="0" w:firstColumn="0" w:lastColumn="0" w:noHBand="0" w:noVBand="1"/>
    </w:tblPr>
    <w:tblGrid>
      <w:gridCol w:w="2489"/>
      <w:gridCol w:w="4598"/>
    </w:tblGrid>
    <w:tr w:rsidR="00F11CF3" w14:paraId="41926DF1" w14:textId="77777777">
      <w:tc>
        <w:tcPr>
          <w:tcW w:w="2489" w:type="dxa"/>
          <w:shd w:val="clear" w:color="auto" w:fill="auto"/>
        </w:tcPr>
        <w:p w14:paraId="60E69999" w14:textId="77777777" w:rsidR="00F11CF3" w:rsidRDefault="00F11C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099F5BD3" w14:textId="77777777" w:rsidR="00F11CF3" w:rsidRDefault="00F11CF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03329/INFOEM/IP/RR/2025</w:t>
          </w:r>
        </w:p>
      </w:tc>
    </w:tr>
    <w:tr w:rsidR="00F11CF3" w14:paraId="48177BEB" w14:textId="77777777">
      <w:trPr>
        <w:trHeight w:val="228"/>
      </w:trPr>
      <w:tc>
        <w:tcPr>
          <w:tcW w:w="2489" w:type="dxa"/>
          <w:shd w:val="clear" w:color="auto" w:fill="auto"/>
          <w:vAlign w:val="center"/>
        </w:tcPr>
        <w:p w14:paraId="29908A8C" w14:textId="77777777" w:rsidR="00F11CF3" w:rsidRDefault="00F11C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91FE817" w14:textId="77777777" w:rsidR="00F11CF3" w:rsidRDefault="00F11CF3">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Otzolotepec</w:t>
          </w:r>
        </w:p>
      </w:tc>
    </w:tr>
    <w:tr w:rsidR="00F11CF3" w14:paraId="7B0AAEE1" w14:textId="77777777">
      <w:tc>
        <w:tcPr>
          <w:tcW w:w="2489" w:type="dxa"/>
          <w:shd w:val="clear" w:color="auto" w:fill="auto"/>
          <w:vAlign w:val="center"/>
        </w:tcPr>
        <w:p w14:paraId="47F9BDBD" w14:textId="77777777" w:rsidR="00F11CF3" w:rsidRDefault="00F11CF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2F0CD8E" w14:textId="77777777" w:rsidR="00F11CF3" w:rsidRDefault="00F11CF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E3D5F6" w14:textId="77777777" w:rsidR="00F11CF3" w:rsidRDefault="00F11CF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4E4C" w14:textId="77777777" w:rsidR="00F11CF3" w:rsidRDefault="00F11CF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C2030A0" wp14:editId="29F654AD">
          <wp:simplePos x="0" y="0"/>
          <wp:positionH relativeFrom="column">
            <wp:posOffset>-1079482</wp:posOffset>
          </wp:positionH>
          <wp:positionV relativeFrom="paragraph">
            <wp:posOffset>-328909</wp:posOffset>
          </wp:positionV>
          <wp:extent cx="7809865" cy="10165715"/>
          <wp:effectExtent l="0" t="0" r="0" b="0"/>
          <wp:wrapNone/>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6945" w:type="dxa"/>
      <w:tblInd w:w="3261" w:type="dxa"/>
      <w:tblLayout w:type="fixed"/>
      <w:tblLook w:val="0400" w:firstRow="0" w:lastRow="0" w:firstColumn="0" w:lastColumn="0" w:noHBand="0" w:noVBand="1"/>
    </w:tblPr>
    <w:tblGrid>
      <w:gridCol w:w="2551"/>
      <w:gridCol w:w="4394"/>
    </w:tblGrid>
    <w:tr w:rsidR="00F11CF3" w14:paraId="568105FA" w14:textId="77777777">
      <w:tc>
        <w:tcPr>
          <w:tcW w:w="2551" w:type="dxa"/>
          <w:shd w:val="clear" w:color="auto" w:fill="auto"/>
          <w:vAlign w:val="center"/>
        </w:tcPr>
        <w:p w14:paraId="255A9027" w14:textId="77777777" w:rsidR="00F11CF3" w:rsidRDefault="00F11CF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94" w:type="dxa"/>
          <w:shd w:val="clear" w:color="auto" w:fill="auto"/>
          <w:vAlign w:val="center"/>
        </w:tcPr>
        <w:p w14:paraId="1E58FA24" w14:textId="77777777" w:rsidR="00F11CF3" w:rsidRDefault="00F11CF3">
          <w:pPr>
            <w:tabs>
              <w:tab w:val="left" w:pos="3153"/>
            </w:tabs>
            <w:ind w:left="-45"/>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03329/INFOEM/IP/RR/2025</w:t>
          </w:r>
        </w:p>
      </w:tc>
    </w:tr>
    <w:tr w:rsidR="00F11CF3" w14:paraId="70156A95" w14:textId="77777777">
      <w:trPr>
        <w:trHeight w:val="130"/>
      </w:trPr>
      <w:tc>
        <w:tcPr>
          <w:tcW w:w="2551" w:type="dxa"/>
          <w:shd w:val="clear" w:color="auto" w:fill="auto"/>
          <w:vAlign w:val="center"/>
        </w:tcPr>
        <w:p w14:paraId="2ECF2BED" w14:textId="77777777" w:rsidR="00F11CF3" w:rsidRDefault="00F11CF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4394" w:type="dxa"/>
          <w:shd w:val="clear" w:color="auto" w:fill="auto"/>
          <w:vAlign w:val="center"/>
        </w:tcPr>
        <w:p w14:paraId="5CD4F059" w14:textId="10E845B9" w:rsidR="00F11CF3" w:rsidRDefault="00CD47F8">
          <w:pPr>
            <w:ind w:left="-45" w:right="14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 XXXX</w:t>
          </w:r>
        </w:p>
      </w:tc>
    </w:tr>
    <w:tr w:rsidR="00F11CF3" w14:paraId="5870E884" w14:textId="77777777">
      <w:trPr>
        <w:trHeight w:val="228"/>
      </w:trPr>
      <w:tc>
        <w:tcPr>
          <w:tcW w:w="2551" w:type="dxa"/>
          <w:shd w:val="clear" w:color="auto" w:fill="auto"/>
          <w:vAlign w:val="center"/>
        </w:tcPr>
        <w:p w14:paraId="00A6D7AF" w14:textId="77777777" w:rsidR="00F11CF3" w:rsidRDefault="00F11CF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94" w:type="dxa"/>
          <w:shd w:val="clear" w:color="auto" w:fill="auto"/>
          <w:vAlign w:val="center"/>
        </w:tcPr>
        <w:p w14:paraId="1BAD0A4D" w14:textId="77777777" w:rsidR="00F11CF3" w:rsidRDefault="00F11CF3">
          <w:pPr>
            <w:ind w:left="-45" w:right="1586"/>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Otzolotepec</w:t>
          </w:r>
        </w:p>
      </w:tc>
    </w:tr>
    <w:tr w:rsidR="00F11CF3" w14:paraId="7D0847AE" w14:textId="77777777">
      <w:tc>
        <w:tcPr>
          <w:tcW w:w="2551" w:type="dxa"/>
          <w:shd w:val="clear" w:color="auto" w:fill="auto"/>
          <w:vAlign w:val="center"/>
        </w:tcPr>
        <w:p w14:paraId="7E94EC4C" w14:textId="77777777" w:rsidR="00F11CF3" w:rsidRDefault="00F11CF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94" w:type="dxa"/>
          <w:shd w:val="clear" w:color="auto" w:fill="auto"/>
          <w:vAlign w:val="center"/>
        </w:tcPr>
        <w:p w14:paraId="323A2E20" w14:textId="77777777" w:rsidR="00F11CF3" w:rsidRDefault="00F11CF3">
          <w:pPr>
            <w:ind w:left="-45"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41B2D80B" w14:textId="77777777" w:rsidR="00F11CF3" w:rsidRDefault="00F11CF3">
    <w:pPr>
      <w:pBdr>
        <w:top w:val="nil"/>
        <w:left w:val="nil"/>
        <w:bottom w:val="nil"/>
        <w:right w:val="nil"/>
        <w:between w:val="nil"/>
      </w:pBdr>
      <w:tabs>
        <w:tab w:val="center" w:pos="4252"/>
        <w:tab w:val="right" w:pos="8504"/>
      </w:tabs>
      <w:rPr>
        <w:rFonts w:ascii="Cambria" w:eastAsia="Cambria" w:hAnsi="Cambria" w:cs="Cambria"/>
        <w:color w:val="000000"/>
      </w:rPr>
    </w:pPr>
  </w:p>
  <w:p w14:paraId="05170553" w14:textId="77777777" w:rsidR="00F11CF3" w:rsidRDefault="00F11C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76D8"/>
    <w:multiLevelType w:val="multilevel"/>
    <w:tmpl w:val="1ED4F6A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83505FA"/>
    <w:multiLevelType w:val="multilevel"/>
    <w:tmpl w:val="1466E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045E80"/>
    <w:multiLevelType w:val="multilevel"/>
    <w:tmpl w:val="540256A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7D7B06"/>
    <w:multiLevelType w:val="multilevel"/>
    <w:tmpl w:val="C34E3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A14179"/>
    <w:multiLevelType w:val="multilevel"/>
    <w:tmpl w:val="FF7E1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150E94"/>
    <w:multiLevelType w:val="multilevel"/>
    <w:tmpl w:val="CA62A7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75919ED"/>
    <w:multiLevelType w:val="multilevel"/>
    <w:tmpl w:val="AD2AD7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0704BD0"/>
    <w:multiLevelType w:val="multilevel"/>
    <w:tmpl w:val="8128586C"/>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8CB6782"/>
    <w:multiLevelType w:val="multilevel"/>
    <w:tmpl w:val="7BDA0020"/>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9BC7DFA"/>
    <w:multiLevelType w:val="multilevel"/>
    <w:tmpl w:val="87FA2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15501C"/>
    <w:multiLevelType w:val="multilevel"/>
    <w:tmpl w:val="20689084"/>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8"/>
  </w:num>
  <w:num w:numId="4">
    <w:abstractNumId w:val="0"/>
  </w:num>
  <w:num w:numId="5">
    <w:abstractNumId w:val="10"/>
  </w:num>
  <w:num w:numId="6">
    <w:abstractNumId w:val="4"/>
  </w:num>
  <w:num w:numId="7">
    <w:abstractNumId w:val="6"/>
  </w:num>
  <w:num w:numId="8">
    <w:abstractNumId w:val="1"/>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98"/>
    <w:rsid w:val="0018023B"/>
    <w:rsid w:val="00503D15"/>
    <w:rsid w:val="00890C7A"/>
    <w:rsid w:val="00907942"/>
    <w:rsid w:val="009515FF"/>
    <w:rsid w:val="00B55CF2"/>
    <w:rsid w:val="00CD47F8"/>
    <w:rsid w:val="00D05599"/>
    <w:rsid w:val="00DD2398"/>
    <w:rsid w:val="00F11CF3"/>
    <w:rsid w:val="00F63F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E1BD4"/>
  <w15:docId w15:val="{7F6A1DB5-CFFD-46AB-BF1F-19B6ED84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5B"/>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table" w:customStyle="1" w:styleId="4">
    <w:name w:val="4"/>
    <w:basedOn w:val="TableNormal60"/>
    <w:tblPr>
      <w:tblStyleRowBandSize w:val="1"/>
      <w:tblStyleColBandSize w:val="1"/>
      <w:tblCellMar>
        <w:left w:w="115" w:type="dxa"/>
        <w:right w:w="115" w:type="dxa"/>
      </w:tblCellMar>
    </w:tblPr>
  </w:style>
  <w:style w:type="table" w:customStyle="1" w:styleId="3">
    <w:name w:val="3"/>
    <w:basedOn w:val="TableNormal60"/>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q31XJ6cYve/Fngj9DGSL3o3g==">CgMxLjAyCWguMWZvYjl0ZTIJaC40ZDM0b2c4MghoLmdqZGd4czIJaC4zZHk2dmttMgloLjMwajB6bGwyCWguMnM4ZXlvMTIIaC50eWpjd3QyCWguM3pueXNoNzIJaC4xeTgxMHR3Mg5oLmFoc3Y4ZjgxNW92YzIOaC5panY5OHBudGNkNXMyCWguMjZpbjFyZzINaC5oN256Yjc5d2xyYTIJaC4yZXQ5MnAwMg5oLjU5bnB4eXhwb21qZDIOaC42N3A1bzV1b3dscG8yCWguMTdkcDh2dTIJaC4zcmRjcmpuMgloLjF0M2g1c2Y4AHIhMVdmOW1kODlPRjd5cHFiX0tFTHlQQmFSNDFCczF0Un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16706</Words>
  <Characters>91884</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2025-06-20T17:40:00Z</cp:lastPrinted>
  <dcterms:created xsi:type="dcterms:W3CDTF">2025-06-27T18:19:00Z</dcterms:created>
  <dcterms:modified xsi:type="dcterms:W3CDTF">2025-06-27T18:19:00Z</dcterms:modified>
</cp:coreProperties>
</file>