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2745" w14:textId="77777777" w:rsidR="000829F4" w:rsidRPr="00911B9A" w:rsidRDefault="000829F4" w:rsidP="000829F4">
      <w:pPr>
        <w:spacing w:before="120" w:after="0" w:line="360" w:lineRule="auto"/>
        <w:ind w:right="49"/>
        <w:jc w:val="both"/>
        <w:rPr>
          <w:rFonts w:ascii="Palatino Linotype" w:eastAsia="Palatino Linotype" w:hAnsi="Palatino Linotype" w:cs="Palatino Linotype"/>
          <w:strike/>
          <w:sz w:val="24"/>
          <w:szCs w:val="24"/>
        </w:rPr>
      </w:pPr>
      <w:r w:rsidRPr="00911B9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CA4F98" w:rsidRPr="00911B9A">
        <w:rPr>
          <w:rFonts w:ascii="Palatino Linotype" w:eastAsia="Palatino Linotype" w:hAnsi="Palatino Linotype" w:cs="Palatino Linotype"/>
          <w:sz w:val="24"/>
          <w:szCs w:val="24"/>
        </w:rPr>
        <w:t>catorce</w:t>
      </w:r>
      <w:r w:rsidRPr="00911B9A">
        <w:rPr>
          <w:rFonts w:ascii="Palatino Linotype" w:eastAsia="Palatino Linotype" w:hAnsi="Palatino Linotype" w:cs="Palatino Linotype"/>
          <w:sz w:val="24"/>
          <w:szCs w:val="24"/>
        </w:rPr>
        <w:t xml:space="preserve"> de mayo de dos mil veinticinco.</w:t>
      </w:r>
    </w:p>
    <w:p w14:paraId="31F05936"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p>
    <w:p w14:paraId="6C9B299B" w14:textId="1BFC325E" w:rsidR="000829F4" w:rsidRPr="00911B9A" w:rsidRDefault="000829F4" w:rsidP="000829F4">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Visto </w:t>
      </w:r>
      <w:r w:rsidRPr="00911B9A">
        <w:rPr>
          <w:rFonts w:ascii="Palatino Linotype" w:eastAsia="Palatino Linotype" w:hAnsi="Palatino Linotype" w:cs="Palatino Linotype"/>
          <w:sz w:val="24"/>
          <w:szCs w:val="24"/>
        </w:rPr>
        <w:t xml:space="preserve">el expediente relativo al recurso de revisión </w:t>
      </w:r>
      <w:r w:rsidRPr="00911B9A">
        <w:rPr>
          <w:rFonts w:ascii="Palatino Linotype" w:eastAsia="Palatino Linotype" w:hAnsi="Palatino Linotype" w:cs="Palatino Linotype"/>
          <w:b/>
          <w:sz w:val="24"/>
          <w:szCs w:val="24"/>
        </w:rPr>
        <w:t>02389/INFOEM/IP/RR/2025</w:t>
      </w:r>
      <w:r w:rsidRPr="00911B9A">
        <w:rPr>
          <w:rFonts w:ascii="Palatino Linotype" w:eastAsia="Palatino Linotype" w:hAnsi="Palatino Linotype" w:cs="Palatino Linotype"/>
          <w:sz w:val="24"/>
          <w:szCs w:val="24"/>
        </w:rPr>
        <w:t>, interpuesto por</w:t>
      </w:r>
      <w:r w:rsidRPr="00911B9A">
        <w:rPr>
          <w:rFonts w:ascii="Palatino Linotype" w:eastAsia="Palatino Linotype" w:hAnsi="Palatino Linotype" w:cs="Palatino Linotype"/>
          <w:b/>
          <w:sz w:val="24"/>
          <w:szCs w:val="24"/>
        </w:rPr>
        <w:t xml:space="preserve"> </w:t>
      </w:r>
      <w:r w:rsidR="00D70C22" w:rsidRPr="00D70C22">
        <w:rPr>
          <w:rFonts w:ascii="Palatino Linotype" w:eastAsia="Palatino Linotype" w:hAnsi="Palatino Linotype" w:cs="Palatino Linotype"/>
          <w:b/>
          <w:sz w:val="24"/>
          <w:szCs w:val="24"/>
        </w:rPr>
        <w:t>XXXXXX XXXXXXX XXXXXXXX XXXXXXX</w:t>
      </w:r>
      <w:r w:rsidRPr="00911B9A">
        <w:rPr>
          <w:rFonts w:ascii="Palatino Linotype" w:eastAsia="Palatino Linotype" w:hAnsi="Palatino Linotype" w:cs="Palatino Linotype"/>
          <w:sz w:val="24"/>
          <w:szCs w:val="24"/>
        </w:rPr>
        <w:t xml:space="preserve">, en lo sucesivo se le denominara </w:t>
      </w:r>
      <w:r w:rsidRPr="00911B9A">
        <w:rPr>
          <w:rFonts w:ascii="Palatino Linotype" w:eastAsia="Palatino Linotype" w:hAnsi="Palatino Linotype" w:cs="Palatino Linotype"/>
          <w:b/>
          <w:sz w:val="24"/>
          <w:szCs w:val="24"/>
        </w:rPr>
        <w:t>LA PARTE RECURRENTE</w:t>
      </w:r>
      <w:r w:rsidRPr="00911B9A">
        <w:rPr>
          <w:rFonts w:ascii="Palatino Linotype" w:eastAsia="Palatino Linotype" w:hAnsi="Palatino Linotype" w:cs="Palatino Linotype"/>
          <w:sz w:val="24"/>
          <w:szCs w:val="24"/>
        </w:rPr>
        <w:t xml:space="preserve">, en contra de la respuesta a la solicitud de información con número de folio </w:t>
      </w:r>
      <w:r w:rsidRPr="00911B9A">
        <w:rPr>
          <w:rFonts w:ascii="Palatino Linotype" w:eastAsia="Palatino Linotype" w:hAnsi="Palatino Linotype" w:cs="Palatino Linotype"/>
          <w:b/>
          <w:sz w:val="24"/>
          <w:szCs w:val="24"/>
        </w:rPr>
        <w:t>00657/TOLUCA/IP/2025</w:t>
      </w:r>
      <w:r w:rsidRPr="00911B9A">
        <w:rPr>
          <w:rFonts w:ascii="Palatino Linotype" w:eastAsia="Palatino Linotype" w:hAnsi="Palatino Linotype" w:cs="Palatino Linotype"/>
          <w:sz w:val="24"/>
          <w:szCs w:val="24"/>
        </w:rPr>
        <w:t xml:space="preserve">, por parte del </w:t>
      </w:r>
      <w:r w:rsidRPr="00911B9A">
        <w:rPr>
          <w:rFonts w:ascii="Palatino Linotype" w:eastAsia="Palatino Linotype" w:hAnsi="Palatino Linotype" w:cs="Palatino Linotype"/>
          <w:b/>
          <w:sz w:val="24"/>
          <w:szCs w:val="24"/>
        </w:rPr>
        <w:t>Ayuntamiento de Toluca</w:t>
      </w:r>
      <w:r w:rsidRPr="00911B9A">
        <w:rPr>
          <w:rFonts w:ascii="Palatino Linotype" w:eastAsia="Palatino Linotype" w:hAnsi="Palatino Linotype" w:cs="Palatino Linotype"/>
          <w:sz w:val="24"/>
          <w:szCs w:val="24"/>
        </w:rPr>
        <w:t>, en lo sucesivo</w:t>
      </w:r>
      <w:r w:rsidRPr="00911B9A">
        <w:rPr>
          <w:rFonts w:ascii="Palatino Linotype" w:eastAsia="Palatino Linotype" w:hAnsi="Palatino Linotype" w:cs="Palatino Linotype"/>
          <w:b/>
          <w:sz w:val="24"/>
          <w:szCs w:val="24"/>
        </w:rPr>
        <w:t xml:space="preserve"> EL SUJETO OBLIGADO; </w:t>
      </w:r>
      <w:r w:rsidRPr="00911B9A">
        <w:rPr>
          <w:rFonts w:ascii="Palatino Linotype" w:eastAsia="Palatino Linotype" w:hAnsi="Palatino Linotype" w:cs="Palatino Linotype"/>
          <w:sz w:val="24"/>
          <w:szCs w:val="24"/>
        </w:rPr>
        <w:t xml:space="preserve">se procede a dictar la presente resolución, con base en lo siguiente.  </w:t>
      </w:r>
    </w:p>
    <w:p w14:paraId="179819F8"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p>
    <w:p w14:paraId="4128FFE8" w14:textId="77777777" w:rsidR="000829F4" w:rsidRPr="00911B9A" w:rsidRDefault="000829F4" w:rsidP="000829F4">
      <w:pPr>
        <w:spacing w:after="0" w:line="360" w:lineRule="auto"/>
        <w:ind w:right="49"/>
        <w:jc w:val="center"/>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A N T E C E D E N T E S</w:t>
      </w:r>
    </w:p>
    <w:p w14:paraId="5CEE45B1" w14:textId="77777777" w:rsidR="000829F4" w:rsidRPr="00911B9A" w:rsidRDefault="000829F4" w:rsidP="000829F4">
      <w:pPr>
        <w:spacing w:after="0" w:line="360" w:lineRule="auto"/>
        <w:ind w:right="49"/>
        <w:jc w:val="center"/>
        <w:rPr>
          <w:rFonts w:ascii="Palatino Linotype" w:eastAsia="Palatino Linotype" w:hAnsi="Palatino Linotype" w:cs="Palatino Linotype"/>
          <w:sz w:val="24"/>
          <w:szCs w:val="24"/>
        </w:rPr>
      </w:pPr>
    </w:p>
    <w:p w14:paraId="3BF46C0C" w14:textId="77777777" w:rsidR="000829F4" w:rsidRPr="00911B9A" w:rsidRDefault="000829F4" w:rsidP="000829F4">
      <w:pPr>
        <w:spacing w:after="0" w:line="360" w:lineRule="auto"/>
        <w:ind w:right="49"/>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1.</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 xml:space="preserve">SOLICITUD DE INFORMACIÓN. </w:t>
      </w:r>
      <w:r w:rsidRPr="00911B9A">
        <w:rPr>
          <w:rFonts w:ascii="Palatino Linotype" w:eastAsia="Palatino Linotype" w:hAnsi="Palatino Linotype" w:cs="Palatino Linotype"/>
          <w:sz w:val="24"/>
          <w:szCs w:val="24"/>
        </w:rPr>
        <w:t xml:space="preserve">Con fecha cuatro de febrero de dos mil veinticinco, </w:t>
      </w:r>
      <w:r w:rsidRPr="00911B9A">
        <w:rPr>
          <w:rFonts w:ascii="Palatino Linotype" w:eastAsia="Palatino Linotype" w:hAnsi="Palatino Linotype" w:cs="Palatino Linotype"/>
          <w:b/>
          <w:sz w:val="24"/>
          <w:szCs w:val="24"/>
        </w:rPr>
        <w:t>LA PARTE RECURRENTE</w:t>
      </w:r>
      <w:r w:rsidRPr="00911B9A">
        <w:rPr>
          <w:rFonts w:ascii="Palatino Linotype" w:eastAsia="Palatino Linotype" w:hAnsi="Palatino Linotype" w:cs="Palatino Linotype"/>
          <w:sz w:val="24"/>
          <w:szCs w:val="24"/>
        </w:rPr>
        <w:t>, presentó a través del Sistema de Acceso a la Información Mexiquense (</w:t>
      </w:r>
      <w:r w:rsidRPr="00911B9A">
        <w:rPr>
          <w:rFonts w:ascii="Palatino Linotype" w:eastAsia="Palatino Linotype" w:hAnsi="Palatino Linotype" w:cs="Palatino Linotype"/>
          <w:b/>
          <w:sz w:val="24"/>
          <w:szCs w:val="24"/>
        </w:rPr>
        <w:t>SAIMEX)</w:t>
      </w:r>
      <w:r w:rsidRPr="00911B9A">
        <w:rPr>
          <w:rFonts w:ascii="Palatino Linotype" w:eastAsia="Palatino Linotype" w:hAnsi="Palatino Linotype" w:cs="Palatino Linotype"/>
          <w:sz w:val="24"/>
          <w:szCs w:val="24"/>
        </w:rPr>
        <w:t xml:space="preserve"> ante </w:t>
      </w: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solicitud de acceso a la información pública, registrada bajo el número de expediente</w:t>
      </w:r>
      <w:r w:rsidRPr="00911B9A">
        <w:rPr>
          <w:rFonts w:ascii="Verdana" w:eastAsia="Verdana" w:hAnsi="Verdana" w:cs="Verdana"/>
          <w:b/>
        </w:rPr>
        <w:t> </w:t>
      </w:r>
      <w:r w:rsidRPr="00911B9A">
        <w:rPr>
          <w:rFonts w:ascii="Palatino Linotype" w:eastAsia="Palatino Linotype" w:hAnsi="Palatino Linotype" w:cs="Palatino Linotype"/>
          <w:b/>
          <w:sz w:val="24"/>
          <w:szCs w:val="24"/>
        </w:rPr>
        <w:t>00657/TOLUCA/IP/2025</w:t>
      </w:r>
      <w:r w:rsidRPr="00911B9A">
        <w:rPr>
          <w:rFonts w:ascii="Palatino Linotype" w:eastAsia="Palatino Linotype" w:hAnsi="Palatino Linotype" w:cs="Palatino Linotype"/>
          <w:sz w:val="24"/>
          <w:szCs w:val="24"/>
        </w:rPr>
        <w:t>,</w:t>
      </w:r>
      <w:r w:rsidRPr="00911B9A">
        <w:rPr>
          <w:rFonts w:ascii="Palatino Linotype" w:eastAsia="Palatino Linotype" w:hAnsi="Palatino Linotype" w:cs="Palatino Linotype"/>
          <w:b/>
          <w:sz w:val="24"/>
          <w:szCs w:val="24"/>
        </w:rPr>
        <w:t xml:space="preserve"> </w:t>
      </w:r>
      <w:r w:rsidRPr="00911B9A">
        <w:rPr>
          <w:rFonts w:ascii="Palatino Linotype" w:eastAsia="Palatino Linotype" w:hAnsi="Palatino Linotype" w:cs="Palatino Linotype"/>
          <w:sz w:val="24"/>
          <w:szCs w:val="24"/>
        </w:rPr>
        <w:t>mediante la cual solicitó la siguiente información:</w:t>
      </w:r>
    </w:p>
    <w:p w14:paraId="2AE1CC8C" w14:textId="77777777" w:rsidR="000829F4" w:rsidRPr="00911B9A" w:rsidRDefault="000829F4" w:rsidP="000829F4">
      <w:pPr>
        <w:spacing w:after="0" w:line="360" w:lineRule="auto"/>
        <w:ind w:right="49"/>
        <w:jc w:val="both"/>
        <w:rPr>
          <w:rFonts w:ascii="Palatino Linotype" w:eastAsia="Palatino Linotype" w:hAnsi="Palatino Linotype" w:cs="Palatino Linotype"/>
          <w:sz w:val="24"/>
          <w:szCs w:val="24"/>
        </w:rPr>
      </w:pPr>
    </w:p>
    <w:p w14:paraId="3370D593" w14:textId="77777777" w:rsidR="000829F4" w:rsidRPr="00911B9A" w:rsidRDefault="000829F4" w:rsidP="000829F4">
      <w:pPr>
        <w:spacing w:after="0" w:line="276" w:lineRule="auto"/>
        <w:ind w:left="709" w:right="758"/>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“Solicito las facturas de papelería </w:t>
      </w:r>
      <w:proofErr w:type="spellStart"/>
      <w:proofErr w:type="gramStart"/>
      <w:r w:rsidRPr="00911B9A">
        <w:rPr>
          <w:rFonts w:ascii="Palatino Linotype" w:eastAsia="Palatino Linotype" w:hAnsi="Palatino Linotype" w:cs="Palatino Linotype"/>
          <w:i/>
        </w:rPr>
        <w:t>del</w:t>
      </w:r>
      <w:proofErr w:type="spellEnd"/>
      <w:r w:rsidRPr="00911B9A">
        <w:rPr>
          <w:rFonts w:ascii="Palatino Linotype" w:eastAsia="Palatino Linotype" w:hAnsi="Palatino Linotype" w:cs="Palatino Linotype"/>
          <w:i/>
        </w:rPr>
        <w:t xml:space="preserve"> los últimos tres meses</w:t>
      </w:r>
      <w:proofErr w:type="gramEnd"/>
      <w:r w:rsidRPr="00911B9A">
        <w:rPr>
          <w:rFonts w:ascii="Palatino Linotype" w:eastAsia="Palatino Linotype" w:hAnsi="Palatino Linotype" w:cs="Palatino Linotype"/>
          <w:i/>
        </w:rPr>
        <w:t xml:space="preserve"> del ejercicio fiscal 2024” (Sic).</w:t>
      </w:r>
    </w:p>
    <w:p w14:paraId="0ABE4385" w14:textId="77777777" w:rsidR="000829F4" w:rsidRPr="00911B9A" w:rsidRDefault="000829F4" w:rsidP="000829F4">
      <w:pPr>
        <w:spacing w:after="0" w:line="276" w:lineRule="auto"/>
        <w:ind w:left="709" w:right="758"/>
        <w:jc w:val="both"/>
        <w:rPr>
          <w:rFonts w:ascii="Palatino Linotype" w:eastAsia="Palatino Linotype" w:hAnsi="Palatino Linotype" w:cs="Palatino Linotype"/>
          <w:sz w:val="24"/>
        </w:rPr>
      </w:pPr>
    </w:p>
    <w:p w14:paraId="4030F3FF" w14:textId="77777777" w:rsidR="000829F4" w:rsidRPr="00911B9A" w:rsidRDefault="000829F4" w:rsidP="000829F4">
      <w:pPr>
        <w:spacing w:after="0" w:line="360" w:lineRule="auto"/>
        <w:ind w:right="49"/>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Modalidad de entrega: A través del SAIMEX. </w:t>
      </w:r>
    </w:p>
    <w:p w14:paraId="310D5DB2"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lastRenderedPageBreak/>
        <w:t xml:space="preserve">2. RESPUESTA.  </w:t>
      </w:r>
      <w:r w:rsidRPr="00911B9A">
        <w:rPr>
          <w:rFonts w:ascii="Palatino Linotype" w:eastAsia="Palatino Linotype" w:hAnsi="Palatino Linotype" w:cs="Palatino Linotype"/>
          <w:sz w:val="24"/>
          <w:szCs w:val="24"/>
        </w:rPr>
        <w:t xml:space="preserve">Con fecha veinticinco de febrero del dos mil veinticinco, </w:t>
      </w: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68D04A42"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p>
    <w:p w14:paraId="19BDA297" w14:textId="77777777" w:rsidR="000829F4" w:rsidRPr="00911B9A" w:rsidRDefault="000829F4" w:rsidP="000829F4">
      <w:pPr>
        <w:spacing w:after="0" w:line="276" w:lineRule="auto"/>
        <w:ind w:left="85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1341D1" w14:textId="77777777" w:rsidR="000829F4" w:rsidRPr="00911B9A" w:rsidRDefault="000829F4" w:rsidP="000829F4">
      <w:pPr>
        <w:spacing w:after="0" w:line="276" w:lineRule="auto"/>
        <w:ind w:left="85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En atención a la solicitud con folio 0657/TOLUCA/IP/2025, me permito adjuntar al presente la respuesta correspondiente. Sin más por el momento, reciba un saludo.</w:t>
      </w:r>
    </w:p>
    <w:p w14:paraId="4CD0A2ED" w14:textId="77777777" w:rsidR="000829F4" w:rsidRPr="00911B9A" w:rsidRDefault="000829F4" w:rsidP="000829F4">
      <w:pPr>
        <w:spacing w:after="0" w:line="276" w:lineRule="auto"/>
        <w:ind w:left="85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ATENTAMENTE</w:t>
      </w:r>
    </w:p>
    <w:p w14:paraId="7B073A2E" w14:textId="77777777" w:rsidR="000829F4" w:rsidRPr="00911B9A" w:rsidRDefault="000829F4" w:rsidP="000829F4">
      <w:pPr>
        <w:spacing w:after="0" w:line="276" w:lineRule="auto"/>
        <w:ind w:left="85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Dr. Nahum Miguel Mendoza Morales” (Sic).</w:t>
      </w:r>
    </w:p>
    <w:p w14:paraId="5F4FFFFA" w14:textId="77777777" w:rsidR="000829F4" w:rsidRPr="00911B9A" w:rsidRDefault="000829F4" w:rsidP="000829F4">
      <w:pPr>
        <w:spacing w:after="0" w:line="276" w:lineRule="auto"/>
        <w:ind w:right="902"/>
        <w:jc w:val="both"/>
        <w:rPr>
          <w:rFonts w:ascii="Palatino Linotype" w:eastAsia="Palatino Linotype" w:hAnsi="Palatino Linotype" w:cs="Palatino Linotype"/>
          <w:sz w:val="24"/>
          <w:szCs w:val="24"/>
        </w:rPr>
      </w:pPr>
    </w:p>
    <w:p w14:paraId="1B1C1109" w14:textId="77777777" w:rsidR="000829F4" w:rsidRPr="00911B9A" w:rsidRDefault="000829F4" w:rsidP="000829F4">
      <w:pPr>
        <w:spacing w:after="0" w:line="360" w:lineRule="auto"/>
        <w:ind w:right="51"/>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xml:space="preserve"> adjuntó para tal efecto el archivo electrónico:</w:t>
      </w:r>
    </w:p>
    <w:p w14:paraId="1EC6395F" w14:textId="77777777" w:rsidR="000829F4" w:rsidRPr="00911B9A" w:rsidRDefault="000829F4" w:rsidP="000829F4">
      <w:pPr>
        <w:spacing w:after="0" w:line="360" w:lineRule="auto"/>
        <w:ind w:right="51"/>
        <w:jc w:val="both"/>
        <w:rPr>
          <w:rFonts w:ascii="Palatino Linotype" w:eastAsia="Palatino Linotype" w:hAnsi="Palatino Linotype" w:cs="Palatino Linotype"/>
          <w:sz w:val="24"/>
          <w:szCs w:val="24"/>
        </w:rPr>
      </w:pPr>
    </w:p>
    <w:p w14:paraId="3593C6B5"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w:t>
      </w:r>
      <w:r w:rsidRPr="00911B9A">
        <w:rPr>
          <w:rFonts w:ascii="Palatino Linotype" w:eastAsia="Palatino Linotype" w:hAnsi="Palatino Linotype" w:cs="Palatino Linotype"/>
          <w:b/>
          <w:i/>
          <w:sz w:val="24"/>
          <w:szCs w:val="24"/>
          <w:u w:val="single"/>
        </w:rPr>
        <w:t>RESPUESTA 657. 2025.pdf</w:t>
      </w:r>
      <w:r w:rsidRPr="00911B9A">
        <w:rPr>
          <w:rFonts w:ascii="Palatino Linotype" w:eastAsia="Palatino Linotype" w:hAnsi="Palatino Linotype" w:cs="Palatino Linotype"/>
          <w:sz w:val="24"/>
          <w:szCs w:val="24"/>
        </w:rPr>
        <w:t>”: Oficio de fecha veinticinco de febrero de dos mil veinticinco, signado por el Titular de la Unidad de Transparencia, mediante el cual señala que la Dirección General de Administración estableció que después de una búsqueda en los archivos guarda la Dirección de Recursos Materiales</w:t>
      </w:r>
      <w:r w:rsidR="00270615" w:rsidRPr="00911B9A">
        <w:rPr>
          <w:rFonts w:ascii="Palatino Linotype" w:eastAsia="Palatino Linotype" w:hAnsi="Palatino Linotype" w:cs="Palatino Linotype"/>
          <w:sz w:val="24"/>
          <w:szCs w:val="24"/>
        </w:rPr>
        <w:t>, estableció</w:t>
      </w:r>
      <w:r w:rsidRPr="00911B9A">
        <w:rPr>
          <w:rFonts w:ascii="Palatino Linotype" w:eastAsia="Palatino Linotype" w:hAnsi="Palatino Linotype" w:cs="Palatino Linotype"/>
          <w:sz w:val="24"/>
          <w:szCs w:val="24"/>
        </w:rPr>
        <w:t xml:space="preserve"> que la información solicitada se encuentra fuera de la competencia de la Dirección y de sus Departamentos. </w:t>
      </w:r>
    </w:p>
    <w:p w14:paraId="013AD564"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p>
    <w:p w14:paraId="49190351" w14:textId="77777777" w:rsidR="000829F4" w:rsidRPr="00911B9A" w:rsidRDefault="000829F4" w:rsidP="000829F4">
      <w:pPr>
        <w:spacing w:after="0" w:line="360" w:lineRule="auto"/>
        <w:ind w:right="-234"/>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3. DEL RECURSO DE REVISIÓN. </w:t>
      </w:r>
      <w:r w:rsidRPr="00911B9A">
        <w:rPr>
          <w:rFonts w:ascii="Palatino Linotype" w:eastAsia="Palatino Linotype" w:hAnsi="Palatino Linotype" w:cs="Palatino Linotype"/>
          <w:sz w:val="24"/>
          <w:szCs w:val="24"/>
        </w:rPr>
        <w:t>Inconforme con la respuesta del</w:t>
      </w:r>
      <w:r w:rsidRPr="00911B9A">
        <w:rPr>
          <w:rFonts w:ascii="Palatino Linotype" w:eastAsia="Palatino Linotype" w:hAnsi="Palatino Linotype" w:cs="Palatino Linotype"/>
          <w:b/>
          <w:sz w:val="24"/>
          <w:szCs w:val="24"/>
        </w:rPr>
        <w:t xml:space="preserve"> SUJETO OBLIGADO, </w:t>
      </w:r>
      <w:r w:rsidRPr="00911B9A">
        <w:rPr>
          <w:rFonts w:ascii="Palatino Linotype" w:eastAsia="Palatino Linotype" w:hAnsi="Palatino Linotype" w:cs="Palatino Linotype"/>
          <w:sz w:val="24"/>
          <w:szCs w:val="24"/>
        </w:rPr>
        <w:t xml:space="preserve">en fecha </w:t>
      </w:r>
      <w:r w:rsidR="00BB4EA2" w:rsidRPr="00911B9A">
        <w:rPr>
          <w:rFonts w:ascii="Palatino Linotype" w:eastAsia="Palatino Linotype" w:hAnsi="Palatino Linotype" w:cs="Palatino Linotype"/>
          <w:sz w:val="24"/>
          <w:szCs w:val="24"/>
        </w:rPr>
        <w:t>tres</w:t>
      </w:r>
      <w:r w:rsidRPr="00911B9A">
        <w:rPr>
          <w:rFonts w:ascii="Palatino Linotype" w:eastAsia="Palatino Linotype" w:hAnsi="Palatino Linotype" w:cs="Palatino Linotype"/>
          <w:sz w:val="24"/>
          <w:szCs w:val="24"/>
        </w:rPr>
        <w:t xml:space="preserve"> de marzo de dos mil veinticinco,</w:t>
      </w:r>
      <w:r w:rsidRPr="00911B9A">
        <w:rPr>
          <w:rFonts w:ascii="Palatino Linotype" w:eastAsia="Palatino Linotype" w:hAnsi="Palatino Linotype" w:cs="Palatino Linotype"/>
          <w:b/>
          <w:sz w:val="24"/>
          <w:szCs w:val="24"/>
        </w:rPr>
        <w:t xml:space="preserve"> LA PARTE RECURRENTE </w:t>
      </w:r>
      <w:r w:rsidRPr="00911B9A">
        <w:rPr>
          <w:rFonts w:ascii="Palatino Linotype" w:eastAsia="Palatino Linotype" w:hAnsi="Palatino Linotype" w:cs="Palatino Linotype"/>
          <w:sz w:val="24"/>
          <w:szCs w:val="24"/>
        </w:rPr>
        <w:t>interpuso el recurso de revisión, el cual fue registrado</w:t>
      </w:r>
      <w:r w:rsidRPr="00911B9A">
        <w:rPr>
          <w:rFonts w:ascii="Palatino Linotype" w:eastAsia="Palatino Linotype" w:hAnsi="Palatino Linotype" w:cs="Palatino Linotype"/>
          <w:b/>
          <w:sz w:val="24"/>
          <w:szCs w:val="24"/>
        </w:rPr>
        <w:t xml:space="preserve"> </w:t>
      </w:r>
      <w:r w:rsidR="00CA4F98" w:rsidRPr="00911B9A">
        <w:rPr>
          <w:rFonts w:ascii="Palatino Linotype" w:eastAsia="Palatino Linotype" w:hAnsi="Palatino Linotype" w:cs="Palatino Linotype"/>
          <w:sz w:val="24"/>
          <w:szCs w:val="24"/>
        </w:rPr>
        <w:t xml:space="preserve">al siguiente día </w:t>
      </w:r>
      <w:r w:rsidR="00CA4F98" w:rsidRPr="00911B9A">
        <w:rPr>
          <w:rFonts w:ascii="Palatino Linotype" w:eastAsia="Palatino Linotype" w:hAnsi="Palatino Linotype" w:cs="Palatino Linotype"/>
          <w:sz w:val="24"/>
          <w:szCs w:val="24"/>
        </w:rPr>
        <w:lastRenderedPageBreak/>
        <w:t xml:space="preserve">hábil en fecha cuatro de marzo de dos mil veinticinco </w:t>
      </w:r>
      <w:r w:rsidRPr="00911B9A">
        <w:rPr>
          <w:rFonts w:ascii="Palatino Linotype" w:eastAsia="Palatino Linotype" w:hAnsi="Palatino Linotype" w:cs="Palatino Linotype"/>
          <w:sz w:val="24"/>
          <w:szCs w:val="24"/>
        </w:rPr>
        <w:t xml:space="preserve">en el sistema electrónico con el expediente número </w:t>
      </w:r>
      <w:r w:rsidR="00CA4F98" w:rsidRPr="00911B9A">
        <w:rPr>
          <w:rFonts w:ascii="Palatino Linotype" w:eastAsia="Palatino Linotype" w:hAnsi="Palatino Linotype" w:cs="Palatino Linotype"/>
          <w:b/>
          <w:sz w:val="24"/>
          <w:szCs w:val="24"/>
        </w:rPr>
        <w:t>02389/INFOEM/IP/RR/2025</w:t>
      </w:r>
      <w:r w:rsidRPr="00911B9A">
        <w:rPr>
          <w:rFonts w:ascii="Palatino Linotype" w:eastAsia="Palatino Linotype" w:hAnsi="Palatino Linotype" w:cs="Palatino Linotype"/>
          <w:sz w:val="24"/>
          <w:szCs w:val="24"/>
        </w:rPr>
        <w:t>, en el cual manifiesta, lo siguiente:</w:t>
      </w:r>
    </w:p>
    <w:p w14:paraId="5FA117C9" w14:textId="77777777" w:rsidR="000829F4" w:rsidRPr="00911B9A" w:rsidRDefault="000829F4" w:rsidP="000829F4">
      <w:pPr>
        <w:spacing w:after="0" w:line="360" w:lineRule="auto"/>
        <w:ind w:right="-234"/>
        <w:jc w:val="both"/>
        <w:rPr>
          <w:rFonts w:ascii="Palatino Linotype" w:eastAsia="Palatino Linotype" w:hAnsi="Palatino Linotype" w:cs="Palatino Linotype"/>
          <w:sz w:val="24"/>
          <w:szCs w:val="24"/>
        </w:rPr>
      </w:pPr>
    </w:p>
    <w:p w14:paraId="421A6BC3" w14:textId="77777777" w:rsidR="000829F4" w:rsidRPr="00911B9A" w:rsidRDefault="000829F4" w:rsidP="000829F4">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911B9A">
        <w:rPr>
          <w:rFonts w:ascii="Palatino Linotype" w:eastAsia="Palatino Linotype" w:hAnsi="Palatino Linotype" w:cs="Palatino Linotype"/>
          <w:b/>
          <w:i/>
          <w:sz w:val="24"/>
          <w:szCs w:val="24"/>
        </w:rPr>
        <w:t>Acto Impugnado:</w:t>
      </w:r>
    </w:p>
    <w:p w14:paraId="0AA4E758" w14:textId="77777777" w:rsidR="000829F4" w:rsidRPr="00911B9A" w:rsidRDefault="000829F4" w:rsidP="000829F4">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734BC3BA" w14:textId="77777777" w:rsidR="000829F4" w:rsidRPr="00911B9A" w:rsidRDefault="000829F4" w:rsidP="000829F4">
      <w:pPr>
        <w:tabs>
          <w:tab w:val="left" w:pos="8222"/>
        </w:tabs>
        <w:spacing w:after="0" w:line="276" w:lineRule="auto"/>
        <w:ind w:left="851" w:right="616"/>
        <w:jc w:val="both"/>
        <w:rPr>
          <w:rFonts w:ascii="Palatino Linotype" w:eastAsia="Palatino Linotype" w:hAnsi="Palatino Linotype" w:cs="Palatino Linotype"/>
          <w:i/>
        </w:rPr>
      </w:pPr>
      <w:r w:rsidRPr="00911B9A">
        <w:rPr>
          <w:rFonts w:ascii="Palatino Linotype" w:eastAsia="Palatino Linotype" w:hAnsi="Palatino Linotype" w:cs="Palatino Linotype"/>
          <w:i/>
        </w:rPr>
        <w:t>“Cómo es posible que se nieguen a entregar la información” [sic]</w:t>
      </w:r>
    </w:p>
    <w:p w14:paraId="3CA0AF94" w14:textId="77777777" w:rsidR="000829F4" w:rsidRPr="00911B9A" w:rsidRDefault="000829F4" w:rsidP="000829F4">
      <w:pPr>
        <w:tabs>
          <w:tab w:val="left" w:pos="8222"/>
        </w:tabs>
        <w:spacing w:after="0" w:line="276" w:lineRule="auto"/>
        <w:ind w:left="851" w:right="616"/>
        <w:jc w:val="both"/>
        <w:rPr>
          <w:rFonts w:ascii="Palatino Linotype" w:eastAsia="Palatino Linotype" w:hAnsi="Palatino Linotype" w:cs="Palatino Linotype"/>
          <w:i/>
        </w:rPr>
      </w:pPr>
    </w:p>
    <w:p w14:paraId="7B7CA817" w14:textId="77777777" w:rsidR="000829F4" w:rsidRPr="00911B9A" w:rsidRDefault="000829F4" w:rsidP="000829F4">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911B9A">
        <w:rPr>
          <w:rFonts w:ascii="Palatino Linotype" w:eastAsia="Palatino Linotype" w:hAnsi="Palatino Linotype" w:cs="Palatino Linotype"/>
          <w:b/>
          <w:i/>
          <w:sz w:val="24"/>
          <w:szCs w:val="24"/>
        </w:rPr>
        <w:t>Razones o Motivos de Inconformidad</w:t>
      </w:r>
      <w:r w:rsidRPr="00911B9A">
        <w:rPr>
          <w:rFonts w:ascii="Palatino Linotype" w:eastAsia="Palatino Linotype" w:hAnsi="Palatino Linotype" w:cs="Palatino Linotype"/>
          <w:i/>
          <w:sz w:val="24"/>
          <w:szCs w:val="24"/>
        </w:rPr>
        <w:t>:</w:t>
      </w:r>
    </w:p>
    <w:p w14:paraId="784966B3" w14:textId="77777777" w:rsidR="000829F4" w:rsidRPr="00911B9A" w:rsidRDefault="000829F4" w:rsidP="000829F4">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32F5D40B" w14:textId="77777777" w:rsidR="000829F4" w:rsidRPr="00911B9A" w:rsidRDefault="000829F4" w:rsidP="000829F4">
      <w:pPr>
        <w:spacing w:after="0" w:line="276" w:lineRule="auto"/>
        <w:ind w:left="851" w:right="616"/>
        <w:jc w:val="both"/>
        <w:rPr>
          <w:rFonts w:ascii="Palatino Linotype" w:eastAsia="Palatino Linotype" w:hAnsi="Palatino Linotype" w:cs="Palatino Linotype"/>
          <w:i/>
        </w:rPr>
      </w:pPr>
      <w:r w:rsidRPr="00911B9A">
        <w:rPr>
          <w:rFonts w:ascii="Palatino Linotype" w:eastAsia="Palatino Linotype" w:hAnsi="Palatino Linotype" w:cs="Palatino Linotype"/>
          <w:i/>
          <w:sz w:val="24"/>
          <w:szCs w:val="24"/>
        </w:rPr>
        <w:t>“</w:t>
      </w:r>
      <w:r w:rsidRPr="00911B9A">
        <w:rPr>
          <w:rFonts w:ascii="Palatino Linotype" w:eastAsia="Palatino Linotype" w:hAnsi="Palatino Linotype" w:cs="Palatino Linotype"/>
          <w:i/>
        </w:rPr>
        <w:t>Contestan lo que se les da la gana” [sic]</w:t>
      </w:r>
    </w:p>
    <w:p w14:paraId="1BD47CF2" w14:textId="77777777" w:rsidR="000829F4" w:rsidRPr="00911B9A" w:rsidRDefault="000829F4" w:rsidP="000829F4">
      <w:pPr>
        <w:spacing w:after="0" w:line="360" w:lineRule="auto"/>
        <w:jc w:val="both"/>
        <w:rPr>
          <w:rFonts w:ascii="Palatino Linotype" w:eastAsia="Palatino Linotype" w:hAnsi="Palatino Linotype" w:cs="Palatino Linotype"/>
          <w:b/>
          <w:sz w:val="24"/>
          <w:szCs w:val="24"/>
        </w:rPr>
      </w:pPr>
    </w:p>
    <w:p w14:paraId="41CA0650"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4. TURNO. </w:t>
      </w:r>
      <w:r w:rsidRPr="00911B9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11B9A">
        <w:rPr>
          <w:rFonts w:ascii="Palatino Linotype" w:eastAsia="Palatino Linotype" w:hAnsi="Palatino Linotype" w:cs="Palatino Linotype"/>
          <w:b/>
          <w:sz w:val="24"/>
          <w:szCs w:val="24"/>
        </w:rPr>
        <w:t xml:space="preserve">Guadalupe Ramírez Peña, </w:t>
      </w:r>
      <w:r w:rsidRPr="00911B9A">
        <w:rPr>
          <w:rFonts w:ascii="Palatino Linotype" w:eastAsia="Palatino Linotype" w:hAnsi="Palatino Linotype" w:cs="Palatino Linotype"/>
          <w:sz w:val="24"/>
          <w:szCs w:val="24"/>
        </w:rPr>
        <w:t xml:space="preserve">a efecto de que analizara sobre su admisión o su </w:t>
      </w:r>
      <w:proofErr w:type="spellStart"/>
      <w:r w:rsidRPr="00911B9A">
        <w:rPr>
          <w:rFonts w:ascii="Palatino Linotype" w:eastAsia="Palatino Linotype" w:hAnsi="Palatino Linotype" w:cs="Palatino Linotype"/>
          <w:sz w:val="24"/>
          <w:szCs w:val="24"/>
        </w:rPr>
        <w:t>desechamiento</w:t>
      </w:r>
      <w:proofErr w:type="spellEnd"/>
      <w:r w:rsidRPr="00911B9A">
        <w:rPr>
          <w:rFonts w:ascii="Palatino Linotype" w:eastAsia="Palatino Linotype" w:hAnsi="Palatino Linotype" w:cs="Palatino Linotype"/>
          <w:sz w:val="24"/>
          <w:szCs w:val="24"/>
        </w:rPr>
        <w:t>.</w:t>
      </w:r>
    </w:p>
    <w:p w14:paraId="7E60FFF4"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p>
    <w:p w14:paraId="6A482C20"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5. ADMISIÓN DEL RECURSO DE REVISIÓN.</w:t>
      </w:r>
      <w:r w:rsidRPr="00911B9A">
        <w:rPr>
          <w:rFonts w:ascii="Palatino Linotype" w:eastAsia="Palatino Linotype" w:hAnsi="Palatino Linotype" w:cs="Palatino Linotype"/>
          <w:sz w:val="24"/>
          <w:szCs w:val="24"/>
        </w:rPr>
        <w:t xml:space="preserve"> Con fecha</w:t>
      </w:r>
      <w:r w:rsidRPr="00911B9A">
        <w:rPr>
          <w:rFonts w:ascii="Palatino Linotype" w:eastAsia="Palatino Linotype" w:hAnsi="Palatino Linotype" w:cs="Palatino Linotype"/>
          <w:b/>
          <w:sz w:val="24"/>
          <w:szCs w:val="24"/>
        </w:rPr>
        <w:t xml:space="preserve"> siete de marzo de dos mil veinticinco</w:t>
      </w:r>
      <w:r w:rsidRPr="00911B9A">
        <w:rPr>
          <w:rFonts w:ascii="Palatino Linotype" w:eastAsia="Palatino Linotype" w:hAnsi="Palatino Linotype" w:cs="Palatino Linotype"/>
          <w:sz w:val="24"/>
          <w:szCs w:val="24"/>
        </w:rPr>
        <w:t>,</w:t>
      </w:r>
      <w:r w:rsidRPr="00911B9A">
        <w:rPr>
          <w:rFonts w:ascii="Palatino Linotype" w:eastAsia="Palatino Linotype" w:hAnsi="Palatino Linotype" w:cs="Palatino Linotype"/>
          <w:b/>
          <w:sz w:val="24"/>
          <w:szCs w:val="24"/>
        </w:rPr>
        <w:t xml:space="preserve"> </w:t>
      </w:r>
      <w:r w:rsidRPr="00911B9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911B9A">
        <w:rPr>
          <w:rFonts w:ascii="Palatino Linotype" w:eastAsia="Palatino Linotype" w:hAnsi="Palatino Linotype" w:cs="Palatino Linotype"/>
          <w:b/>
          <w:sz w:val="24"/>
          <w:szCs w:val="24"/>
        </w:rPr>
        <w:t xml:space="preserve">EL SUJETO OBLIGADO </w:t>
      </w:r>
      <w:r w:rsidRPr="00911B9A">
        <w:rPr>
          <w:rFonts w:ascii="Palatino Linotype" w:eastAsia="Palatino Linotype" w:hAnsi="Palatino Linotype" w:cs="Palatino Linotype"/>
          <w:sz w:val="24"/>
          <w:szCs w:val="24"/>
        </w:rPr>
        <w:t>presentará su informe justificado.</w:t>
      </w:r>
    </w:p>
    <w:p w14:paraId="6DD1A475" w14:textId="77777777" w:rsidR="000829F4" w:rsidRPr="00911B9A" w:rsidRDefault="000829F4" w:rsidP="000829F4">
      <w:pPr>
        <w:spacing w:after="0" w:line="360" w:lineRule="auto"/>
        <w:jc w:val="both"/>
        <w:rPr>
          <w:rFonts w:ascii="Palatino Linotype" w:eastAsia="Palatino Linotype" w:hAnsi="Palatino Linotype" w:cs="Palatino Linotype"/>
          <w:sz w:val="24"/>
          <w:szCs w:val="24"/>
        </w:rPr>
      </w:pPr>
    </w:p>
    <w:p w14:paraId="1E9F1EBB" w14:textId="77777777" w:rsidR="00270615" w:rsidRPr="00911B9A" w:rsidRDefault="00270615" w:rsidP="00270615">
      <w:pPr>
        <w:spacing w:after="0" w:line="360" w:lineRule="auto"/>
        <w:ind w:right="49"/>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lastRenderedPageBreak/>
        <w:t>6. MANIFESTACIONES.</w:t>
      </w:r>
      <w:r w:rsidRPr="00911B9A">
        <w:rPr>
          <w:rFonts w:ascii="Palatino Linotype" w:eastAsia="Palatino Linotype" w:hAnsi="Palatino Linotype" w:cs="Palatino Linotype"/>
          <w:sz w:val="24"/>
          <w:szCs w:val="24"/>
        </w:rPr>
        <w:t xml:space="preserve"> Con fecha diecinueve de marzo de dos mil veinticinco se recibió, a través del Sistema de Acceso a la Información Mexiquense (SAIMEX), el informe justificado del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w:t>
      </w:r>
      <w:r w:rsidRPr="00911B9A">
        <w:rPr>
          <w:rFonts w:ascii="Palatino Linotype" w:eastAsia="Palatino Linotype" w:hAnsi="Palatino Linotype" w:cs="Palatino Linotype"/>
          <w:b/>
          <w:sz w:val="24"/>
          <w:szCs w:val="24"/>
        </w:rPr>
        <w:t xml:space="preserve"> </w:t>
      </w:r>
      <w:r w:rsidRPr="00911B9A">
        <w:rPr>
          <w:rFonts w:ascii="Palatino Linotype" w:eastAsia="Palatino Linotype" w:hAnsi="Palatino Linotype" w:cs="Palatino Linotype"/>
          <w:sz w:val="24"/>
          <w:szCs w:val="24"/>
        </w:rPr>
        <w:t xml:space="preserve">a través del siguiente archivo electrónico: </w:t>
      </w:r>
    </w:p>
    <w:p w14:paraId="596ABA15" w14:textId="77777777" w:rsidR="00270615" w:rsidRPr="00911B9A" w:rsidRDefault="00270615" w:rsidP="00270615">
      <w:pPr>
        <w:spacing w:after="0" w:line="360" w:lineRule="auto"/>
        <w:ind w:right="49"/>
        <w:contextualSpacing/>
        <w:jc w:val="both"/>
        <w:rPr>
          <w:rFonts w:ascii="Palatino Linotype" w:eastAsia="Palatino Linotype" w:hAnsi="Palatino Linotype" w:cs="Palatino Linotype"/>
          <w:sz w:val="24"/>
          <w:szCs w:val="24"/>
        </w:rPr>
      </w:pPr>
    </w:p>
    <w:p w14:paraId="6E71A2C6" w14:textId="77777777" w:rsidR="00270615" w:rsidRPr="00911B9A" w:rsidRDefault="00270615" w:rsidP="00270615">
      <w:pPr>
        <w:spacing w:line="360" w:lineRule="auto"/>
        <w:contextualSpacing/>
        <w:jc w:val="both"/>
        <w:rPr>
          <w:rFonts w:ascii="Palatino Linotype" w:hAnsi="Palatino Linotype"/>
          <w:sz w:val="24"/>
          <w:szCs w:val="24"/>
        </w:rPr>
      </w:pPr>
      <w:r w:rsidRPr="00911B9A">
        <w:rPr>
          <w:rFonts w:ascii="Palatino Linotype" w:eastAsia="Palatino Linotype" w:hAnsi="Palatino Linotype" w:cs="Palatino Linotype"/>
          <w:sz w:val="24"/>
          <w:szCs w:val="24"/>
        </w:rPr>
        <w:t>“</w:t>
      </w:r>
      <w:r w:rsidRPr="00911B9A">
        <w:rPr>
          <w:rFonts w:ascii="Palatino Linotype" w:eastAsia="Palatino Linotype" w:hAnsi="Palatino Linotype" w:cs="Palatino Linotype"/>
          <w:b/>
          <w:i/>
          <w:sz w:val="24"/>
          <w:szCs w:val="24"/>
          <w:u w:val="single"/>
        </w:rPr>
        <w:t>Informe Justificado 02389.pdf</w:t>
      </w:r>
      <w:r w:rsidRPr="00911B9A">
        <w:rPr>
          <w:rFonts w:ascii="Palatino Linotype" w:eastAsia="Palatino Linotype" w:hAnsi="Palatino Linotype" w:cs="Palatino Linotype"/>
          <w:sz w:val="24"/>
          <w:szCs w:val="24"/>
        </w:rPr>
        <w:t xml:space="preserve">”: Oficio de fecha diecinueve de marzo de dos mil veinticinco, signado por el Titular de la Unidad de Transparencia, mediante el cual ratifica en términos generales su respuesta inicial. </w:t>
      </w:r>
    </w:p>
    <w:p w14:paraId="187E7C65"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4776E8E9" w14:textId="77777777" w:rsidR="00270615" w:rsidRPr="00911B9A" w:rsidRDefault="00270615" w:rsidP="00270615">
      <w:pPr>
        <w:spacing w:after="0" w:line="360" w:lineRule="auto"/>
        <w:ind w:right="51"/>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Documento que se puso a la vista de </w:t>
      </w:r>
      <w:r w:rsidRPr="00911B9A">
        <w:rPr>
          <w:rFonts w:ascii="Palatino Linotype" w:eastAsia="Palatino Linotype" w:hAnsi="Palatino Linotype" w:cs="Palatino Linotype"/>
          <w:b/>
          <w:sz w:val="24"/>
          <w:szCs w:val="24"/>
        </w:rPr>
        <w:t xml:space="preserve">LA PARTE RECURRENTE </w:t>
      </w:r>
      <w:r w:rsidRPr="00911B9A">
        <w:rPr>
          <w:rFonts w:ascii="Palatino Linotype" w:eastAsia="Palatino Linotype" w:hAnsi="Palatino Linotype" w:cs="Palatino Linotype"/>
          <w:sz w:val="24"/>
          <w:szCs w:val="24"/>
        </w:rPr>
        <w:t>en fecha veinti</w:t>
      </w:r>
      <w:r w:rsidR="00CA4F98" w:rsidRPr="00911B9A">
        <w:rPr>
          <w:rFonts w:ascii="Palatino Linotype" w:eastAsia="Palatino Linotype" w:hAnsi="Palatino Linotype" w:cs="Palatino Linotype"/>
          <w:sz w:val="24"/>
          <w:szCs w:val="24"/>
        </w:rPr>
        <w:t xml:space="preserve">cuatro </w:t>
      </w:r>
      <w:r w:rsidRPr="00911B9A">
        <w:rPr>
          <w:rFonts w:ascii="Palatino Linotype" w:eastAsia="Palatino Linotype" w:hAnsi="Palatino Linotype" w:cs="Palatino Linotype"/>
          <w:sz w:val="24"/>
          <w:szCs w:val="24"/>
        </w:rPr>
        <w:t xml:space="preserve">de abril de dos mil veinticinco, mismo que resultó omiso de emitir sus manifestaciones conforme a derecho le corresponde. </w:t>
      </w:r>
    </w:p>
    <w:p w14:paraId="37D211A8" w14:textId="77777777" w:rsidR="00270615" w:rsidRPr="00911B9A" w:rsidRDefault="00270615" w:rsidP="000829F4">
      <w:pPr>
        <w:spacing w:after="0" w:line="360" w:lineRule="auto"/>
        <w:jc w:val="both"/>
        <w:rPr>
          <w:rFonts w:ascii="Palatino Linotype" w:eastAsia="Palatino Linotype" w:hAnsi="Palatino Linotype" w:cs="Palatino Linotype"/>
          <w:sz w:val="24"/>
          <w:szCs w:val="24"/>
        </w:rPr>
      </w:pPr>
    </w:p>
    <w:p w14:paraId="10FC19CC"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7. AMPLIACIÓN DEL TÉRMINO PARA RESOLVER. </w:t>
      </w:r>
      <w:r w:rsidRPr="00911B9A">
        <w:rPr>
          <w:rFonts w:ascii="Palatino Linotype" w:eastAsia="Palatino Linotype" w:hAnsi="Palatino Linotype" w:cs="Palatino Linotype"/>
          <w:sz w:val="24"/>
          <w:szCs w:val="24"/>
        </w:rPr>
        <w:t xml:space="preserve">El </w:t>
      </w:r>
      <w:r w:rsidR="00CA4F98" w:rsidRPr="00911B9A">
        <w:rPr>
          <w:rFonts w:ascii="Palatino Linotype" w:eastAsia="Palatino Linotype" w:hAnsi="Palatino Linotype" w:cs="Palatino Linotype"/>
          <w:sz w:val="24"/>
          <w:szCs w:val="24"/>
        </w:rPr>
        <w:t>siete</w:t>
      </w:r>
      <w:r w:rsidRPr="00911B9A">
        <w:rPr>
          <w:rFonts w:ascii="Palatino Linotype" w:eastAsia="Palatino Linotype" w:hAnsi="Palatino Linotype" w:cs="Palatino Linotype"/>
          <w:sz w:val="24"/>
          <w:szCs w:val="24"/>
        </w:rPr>
        <w:t xml:space="preserve"> </w:t>
      </w:r>
      <w:r w:rsidR="00CA4F98" w:rsidRPr="00911B9A">
        <w:rPr>
          <w:rFonts w:ascii="Palatino Linotype" w:eastAsia="Palatino Linotype" w:hAnsi="Palatino Linotype" w:cs="Palatino Linotype"/>
          <w:sz w:val="24"/>
          <w:szCs w:val="24"/>
        </w:rPr>
        <w:t>de mayo</w:t>
      </w:r>
      <w:r w:rsidRPr="00911B9A">
        <w:rPr>
          <w:rFonts w:ascii="Palatino Linotype" w:eastAsia="Palatino Linotype" w:hAnsi="Palatino Linotype" w:cs="Palatino Linotype"/>
          <w:sz w:val="24"/>
          <w:szCs w:val="24"/>
        </w:rPr>
        <w:t xml:space="preserve">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327670B1" w14:textId="77777777" w:rsidR="00270615" w:rsidRPr="00911B9A" w:rsidRDefault="00270615" w:rsidP="00270615">
      <w:pPr>
        <w:spacing w:after="0" w:line="360" w:lineRule="auto"/>
        <w:jc w:val="both"/>
        <w:rPr>
          <w:rFonts w:ascii="Palatino Linotype" w:eastAsia="Palatino Linotype" w:hAnsi="Palatino Linotype" w:cs="Palatino Linotype"/>
          <w:b/>
          <w:sz w:val="24"/>
          <w:szCs w:val="24"/>
        </w:rPr>
      </w:pPr>
    </w:p>
    <w:p w14:paraId="04CDF804"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8. CIERRE DE INSTRUCCIÓN. </w:t>
      </w:r>
      <w:r w:rsidRPr="00911B9A">
        <w:rPr>
          <w:rFonts w:ascii="Palatino Linotype" w:eastAsia="Palatino Linotype" w:hAnsi="Palatino Linotype" w:cs="Palatino Linotype"/>
          <w:sz w:val="24"/>
          <w:szCs w:val="24"/>
        </w:rPr>
        <w:t xml:space="preserve">El </w:t>
      </w:r>
      <w:r w:rsidR="00CA4F98" w:rsidRPr="00911B9A">
        <w:rPr>
          <w:rFonts w:ascii="Palatino Linotype" w:eastAsia="Palatino Linotype" w:hAnsi="Palatino Linotype" w:cs="Palatino Linotype"/>
          <w:sz w:val="24"/>
          <w:szCs w:val="24"/>
        </w:rPr>
        <w:t>siete</w:t>
      </w:r>
      <w:r w:rsidRPr="00911B9A">
        <w:rPr>
          <w:rFonts w:ascii="Palatino Linotype" w:eastAsia="Palatino Linotype" w:hAnsi="Palatino Linotype" w:cs="Palatino Linotype"/>
          <w:sz w:val="24"/>
          <w:szCs w:val="24"/>
        </w:rPr>
        <w:t xml:space="preserve"> de </w:t>
      </w:r>
      <w:r w:rsidR="00CA4F98" w:rsidRPr="00911B9A">
        <w:rPr>
          <w:rFonts w:ascii="Palatino Linotype" w:eastAsia="Palatino Linotype" w:hAnsi="Palatino Linotype" w:cs="Palatino Linotype"/>
          <w:sz w:val="24"/>
          <w:szCs w:val="24"/>
        </w:rPr>
        <w:t>mayo</w:t>
      </w:r>
      <w:r w:rsidRPr="00911B9A">
        <w:rPr>
          <w:rFonts w:ascii="Palatino Linotype" w:eastAsia="Palatino Linotype" w:hAnsi="Palatino Linotype" w:cs="Palatino Linotype"/>
          <w:sz w:val="24"/>
          <w:szCs w:val="24"/>
        </w:rPr>
        <w:t xml:space="preserve">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w:t>
      </w:r>
      <w:r w:rsidRPr="00911B9A">
        <w:rPr>
          <w:rFonts w:ascii="Palatino Linotype" w:eastAsia="Palatino Linotype" w:hAnsi="Palatino Linotype" w:cs="Palatino Linotype"/>
          <w:sz w:val="24"/>
          <w:szCs w:val="24"/>
        </w:rPr>
        <w:lastRenderedPageBreak/>
        <w:t>Información Pública del Estado de México y Municipios, iniciando el término legal para dictar resolución definitiva del asunto.</w:t>
      </w:r>
    </w:p>
    <w:p w14:paraId="6CB07064"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47D49C59"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27ECB16"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1541F325" w14:textId="77777777" w:rsidR="00270615" w:rsidRPr="00911B9A" w:rsidRDefault="00270615" w:rsidP="00270615">
      <w:pPr>
        <w:widowControl w:val="0"/>
        <w:spacing w:after="0" w:line="360" w:lineRule="auto"/>
        <w:jc w:val="center"/>
        <w:rPr>
          <w:rFonts w:ascii="Palatino Linotype" w:eastAsia="Palatino Linotype" w:hAnsi="Palatino Linotype" w:cs="Palatino Linotype"/>
          <w:b/>
          <w:sz w:val="24"/>
          <w:szCs w:val="24"/>
        </w:rPr>
      </w:pPr>
      <w:r w:rsidRPr="00911B9A">
        <w:rPr>
          <w:rFonts w:ascii="Palatino Linotype" w:eastAsia="Palatino Linotype" w:hAnsi="Palatino Linotype" w:cs="Palatino Linotype"/>
          <w:b/>
          <w:sz w:val="24"/>
          <w:szCs w:val="24"/>
        </w:rPr>
        <w:t>C O N S I D E R A N D O S</w:t>
      </w:r>
    </w:p>
    <w:p w14:paraId="1E19985A" w14:textId="77777777" w:rsidR="00270615" w:rsidRPr="00911B9A" w:rsidRDefault="00270615" w:rsidP="00270615">
      <w:pPr>
        <w:widowControl w:val="0"/>
        <w:spacing w:after="0" w:line="360" w:lineRule="auto"/>
        <w:jc w:val="center"/>
        <w:rPr>
          <w:rFonts w:ascii="Palatino Linotype" w:eastAsia="Palatino Linotype" w:hAnsi="Palatino Linotype" w:cs="Palatino Linotype"/>
          <w:b/>
          <w:sz w:val="24"/>
          <w:szCs w:val="24"/>
        </w:rPr>
      </w:pPr>
    </w:p>
    <w:p w14:paraId="56F67A3A"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PRIMERO. COMPETENCIA.</w:t>
      </w:r>
      <w:r w:rsidRPr="00911B9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8BBF27D" w14:textId="77777777" w:rsidR="00270615" w:rsidRPr="00911B9A" w:rsidRDefault="00270615" w:rsidP="000829F4">
      <w:pPr>
        <w:spacing w:after="0" w:line="360" w:lineRule="auto"/>
        <w:jc w:val="both"/>
        <w:rPr>
          <w:rFonts w:ascii="Palatino Linotype" w:eastAsia="Palatino Linotype" w:hAnsi="Palatino Linotype" w:cs="Palatino Linotype"/>
          <w:sz w:val="24"/>
          <w:szCs w:val="24"/>
        </w:rPr>
      </w:pPr>
    </w:p>
    <w:p w14:paraId="6D528311" w14:textId="77777777" w:rsidR="00270615" w:rsidRPr="00911B9A" w:rsidRDefault="00270615" w:rsidP="00270615">
      <w:pPr>
        <w:spacing w:after="0" w:line="360" w:lineRule="auto"/>
        <w:ind w:right="49"/>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SEGUNDO. OPORTUNIDAD Y PROCEDIBILIDAD DEL RECURSO DE REVISIÓN.  </w:t>
      </w:r>
      <w:r w:rsidRPr="00911B9A">
        <w:rPr>
          <w:rFonts w:ascii="Palatino Linotype" w:eastAsia="Palatino Linotype" w:hAnsi="Palatino Linotype" w:cs="Palatino Linotype"/>
          <w:sz w:val="24"/>
          <w:szCs w:val="24"/>
        </w:rPr>
        <w:t xml:space="preserve">Previo al estudio del fondo del asunto, se procede a analizar los </w:t>
      </w:r>
      <w:r w:rsidRPr="00911B9A">
        <w:rPr>
          <w:rFonts w:ascii="Palatino Linotype" w:eastAsia="Palatino Linotype" w:hAnsi="Palatino Linotype" w:cs="Palatino Linotype"/>
          <w:sz w:val="24"/>
          <w:szCs w:val="24"/>
        </w:rPr>
        <w:lastRenderedPageBreak/>
        <w:t>requisitos de oportunidad y procedibilidad que debe reunir el recurso de revisión interpuesto, previsto en el artículo 178 y 180 de la Ley de Transparencia y Acceso a la Información Pública del Estado de México y Municipios.</w:t>
      </w:r>
    </w:p>
    <w:p w14:paraId="117B2554"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3C53CEA0"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911B9A">
        <w:rPr>
          <w:rFonts w:ascii="Palatino Linotype" w:eastAsia="Palatino Linotype" w:hAnsi="Palatino Linotype" w:cs="Palatino Linotype"/>
          <w:b/>
          <w:sz w:val="24"/>
          <w:szCs w:val="24"/>
        </w:rPr>
        <w:t xml:space="preserve"> EL SUJETO OBLIGADO </w:t>
      </w:r>
      <w:r w:rsidRPr="00911B9A">
        <w:rPr>
          <w:rFonts w:ascii="Palatino Linotype" w:eastAsia="Palatino Linotype" w:hAnsi="Palatino Linotype" w:cs="Palatino Linotype"/>
          <w:sz w:val="24"/>
          <w:szCs w:val="24"/>
        </w:rPr>
        <w:t xml:space="preserve">emitió la respuesta, toda vez que esta fue pronunciada el día veinticinco de febrero del año dos mil veinticinco, mientras que </w:t>
      </w:r>
      <w:r w:rsidRPr="00911B9A">
        <w:rPr>
          <w:rFonts w:ascii="Palatino Linotype" w:eastAsia="Palatino Linotype" w:hAnsi="Palatino Linotype" w:cs="Palatino Linotype"/>
          <w:b/>
          <w:sz w:val="24"/>
          <w:szCs w:val="24"/>
        </w:rPr>
        <w:t>LA PARTE</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RECURRENTE</w:t>
      </w:r>
      <w:r w:rsidRPr="00911B9A">
        <w:rPr>
          <w:rFonts w:ascii="Palatino Linotype" w:eastAsia="Palatino Linotype" w:hAnsi="Palatino Linotype" w:cs="Palatino Linotype"/>
          <w:sz w:val="24"/>
          <w:szCs w:val="24"/>
        </w:rPr>
        <w:t xml:space="preserve"> interpuso el recurso de revisión en fecha cuatro de marzo de dos mil veinticinco, es decir, al cuarto día hábil de haber recibido la respuesta. </w:t>
      </w:r>
    </w:p>
    <w:p w14:paraId="762A920F" w14:textId="77777777" w:rsidR="00270615" w:rsidRPr="00911B9A" w:rsidRDefault="00270615" w:rsidP="000829F4">
      <w:pPr>
        <w:spacing w:after="0" w:line="360" w:lineRule="auto"/>
        <w:jc w:val="both"/>
        <w:rPr>
          <w:rFonts w:ascii="Palatino Linotype" w:eastAsia="Palatino Linotype" w:hAnsi="Palatino Linotype" w:cs="Palatino Linotype"/>
          <w:sz w:val="24"/>
          <w:szCs w:val="24"/>
        </w:rPr>
      </w:pPr>
    </w:p>
    <w:p w14:paraId="5A3243A8" w14:textId="77777777" w:rsidR="00270615" w:rsidRPr="00911B9A" w:rsidRDefault="00270615" w:rsidP="00270615">
      <w:pPr>
        <w:spacing w:after="0" w:line="360" w:lineRule="auto"/>
        <w:jc w:val="both"/>
        <w:rPr>
          <w:rFonts w:ascii="Palatino Linotype" w:eastAsia="Palatino Linotype" w:hAnsi="Palatino Linotype" w:cs="Palatino Linotype"/>
          <w:b/>
          <w:sz w:val="24"/>
          <w:szCs w:val="24"/>
        </w:rPr>
      </w:pPr>
      <w:r w:rsidRPr="00911B9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11B9A">
        <w:rPr>
          <w:rFonts w:ascii="Palatino Linotype" w:eastAsia="Palatino Linotype" w:hAnsi="Palatino Linotype" w:cs="Palatino Linotype"/>
          <w:b/>
          <w:sz w:val="24"/>
          <w:szCs w:val="24"/>
        </w:rPr>
        <w:t xml:space="preserve">EL SAIMEX.  </w:t>
      </w:r>
    </w:p>
    <w:p w14:paraId="555A67C3"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084B749E" w14:textId="77777777" w:rsidR="00270615" w:rsidRPr="00911B9A" w:rsidRDefault="00270615" w:rsidP="00270615">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Finalmente, resulta procedente la interposición del recurso, según lo aducido por </w:t>
      </w:r>
      <w:r w:rsidRPr="00911B9A">
        <w:rPr>
          <w:rFonts w:ascii="Palatino Linotype" w:eastAsia="Palatino Linotype" w:hAnsi="Palatino Linotype" w:cs="Palatino Linotype"/>
          <w:b/>
          <w:sz w:val="24"/>
          <w:szCs w:val="24"/>
        </w:rPr>
        <w:t>LA PARTE RECURRENTE</w:t>
      </w:r>
      <w:r w:rsidRPr="00911B9A">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51C57D88" w14:textId="77777777" w:rsidR="00270615" w:rsidRPr="00911B9A" w:rsidRDefault="00270615" w:rsidP="00270615">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206DA3B9" w14:textId="77777777" w:rsidR="00270615" w:rsidRPr="00911B9A" w:rsidRDefault="00270615" w:rsidP="00270615">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lastRenderedPageBreak/>
        <w:t>“Artículo 179</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El recurso de revisión</w:t>
      </w:r>
      <w:r w:rsidRPr="00911B9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11B9A">
        <w:rPr>
          <w:rFonts w:ascii="Palatino Linotype" w:eastAsia="Palatino Linotype" w:hAnsi="Palatino Linotype" w:cs="Palatino Linotype"/>
          <w:b/>
          <w:i/>
        </w:rPr>
        <w:t>, y procederá en contra de las siguientes causas</w:t>
      </w:r>
      <w:r w:rsidRPr="00911B9A">
        <w:rPr>
          <w:rFonts w:ascii="Palatino Linotype" w:eastAsia="Palatino Linotype" w:hAnsi="Palatino Linotype" w:cs="Palatino Linotype"/>
          <w:i/>
        </w:rPr>
        <w:t>:</w:t>
      </w:r>
    </w:p>
    <w:p w14:paraId="292EB777" w14:textId="77777777" w:rsidR="00270615" w:rsidRPr="00911B9A" w:rsidRDefault="00270615" w:rsidP="00270615">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i/>
        </w:rPr>
        <w:t>I. La negativa a la información solicitada;”</w:t>
      </w:r>
    </w:p>
    <w:p w14:paraId="0041201C"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5D797769"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TERCERO. MATERIA DE LA REVISIÓN. </w:t>
      </w:r>
      <w:r w:rsidRPr="00911B9A">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911B9A">
        <w:rPr>
          <w:rFonts w:ascii="Palatino Linotype" w:eastAsia="Palatino Linotype" w:hAnsi="Palatino Linotype" w:cs="Palatino Linotype"/>
          <w:b/>
          <w:sz w:val="24"/>
          <w:szCs w:val="24"/>
        </w:rPr>
        <w:t>EL</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 xml:space="preserve"> satisface el derecho de acceso a la información pública de </w:t>
      </w:r>
      <w:r w:rsidRPr="00911B9A">
        <w:rPr>
          <w:rFonts w:ascii="Palatino Linotype" w:eastAsia="Palatino Linotype" w:hAnsi="Palatino Linotype" w:cs="Palatino Linotype"/>
          <w:b/>
          <w:sz w:val="24"/>
          <w:szCs w:val="24"/>
        </w:rPr>
        <w:t>LA PARTE</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RECURRENTE</w:t>
      </w:r>
      <w:r w:rsidRPr="00911B9A">
        <w:rPr>
          <w:rFonts w:ascii="Palatino Linotype" w:eastAsia="Palatino Linotype" w:hAnsi="Palatino Linotype" w:cs="Palatino Linotype"/>
          <w:sz w:val="24"/>
          <w:szCs w:val="24"/>
        </w:rPr>
        <w:t>, o en su defecto, en caso de ser procedente, ordenar la entrega de información.</w:t>
      </w:r>
    </w:p>
    <w:p w14:paraId="17E6DB8D"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0E818160"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CUARTO. ESTUDIO Y RESOLUCIÓN DEL ASUNTO.  </w:t>
      </w:r>
      <w:r w:rsidRPr="00911B9A">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94CE87D"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367FC81F" w14:textId="77777777" w:rsidR="00270615" w:rsidRPr="00911B9A" w:rsidRDefault="00270615" w:rsidP="00270615">
      <w:pPr>
        <w:tabs>
          <w:tab w:val="left" w:pos="709"/>
        </w:tabs>
        <w:spacing w:after="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11B9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F2D1664" w14:textId="77777777" w:rsidR="00270615" w:rsidRPr="00911B9A" w:rsidRDefault="00270615" w:rsidP="00270615">
      <w:pPr>
        <w:tabs>
          <w:tab w:val="left" w:pos="709"/>
        </w:tabs>
        <w:spacing w:after="0" w:line="276" w:lineRule="auto"/>
        <w:ind w:left="851" w:right="850"/>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lastRenderedPageBreak/>
        <w:t>Las normas relativas a los derechos humanos se interpretarán de conformidad con esta Constitución y con los tratados internacionales de la materia favoreciendo en todo tiempo a las personas la protección más amplia.</w:t>
      </w:r>
    </w:p>
    <w:p w14:paraId="5FC0DEF5" w14:textId="77777777" w:rsidR="00270615" w:rsidRPr="00911B9A" w:rsidRDefault="00270615" w:rsidP="00270615">
      <w:pPr>
        <w:tabs>
          <w:tab w:val="left" w:pos="709"/>
        </w:tabs>
        <w:spacing w:after="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11B9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53634AD" w14:textId="77777777" w:rsidR="00270615" w:rsidRPr="00911B9A" w:rsidRDefault="00270615" w:rsidP="00270615">
      <w:pPr>
        <w:tabs>
          <w:tab w:val="left" w:pos="709"/>
        </w:tabs>
        <w:spacing w:after="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p>
    <w:p w14:paraId="0B8F71E5"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“Artículo 6o.</w:t>
      </w:r>
    </w:p>
    <w:p w14:paraId="191115A4"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w:t>
      </w:r>
    </w:p>
    <w:p w14:paraId="3F77F7F0"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 xml:space="preserve">A. Para el ejercicio del derecho de acceso a la información, la Federación </w:t>
      </w:r>
      <w:r w:rsidRPr="00911B9A">
        <w:rPr>
          <w:rFonts w:ascii="Palatino Linotype" w:eastAsia="Palatino Linotype" w:hAnsi="Palatino Linotype" w:cs="Palatino Linotype"/>
          <w:i/>
        </w:rPr>
        <w:t>y las entidades federativas, en el ámbito de sus respectivas competencias, se regirán por los siguientes principios y bases:</w:t>
      </w:r>
    </w:p>
    <w:p w14:paraId="786F9756"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0DC6AF"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678C1EEF"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058B9E4E"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5844C3E4"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611BEC73"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74AE3D4"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5F12ECA4"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740D4B5B"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p>
    <w:p w14:paraId="3D10E4F5"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4C2C716E"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los sujetos obligados.</w:t>
      </w:r>
    </w:p>
    <w:p w14:paraId="60086E6A"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p>
    <w:p w14:paraId="3E80B019"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69F095E2"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i/>
        </w:rPr>
      </w:pPr>
    </w:p>
    <w:p w14:paraId="4DB2E108" w14:textId="77777777" w:rsidR="00270615" w:rsidRPr="00911B9A" w:rsidRDefault="00270615" w:rsidP="00270615">
      <w:pPr>
        <w:spacing w:after="0" w:line="276" w:lineRule="auto"/>
        <w:ind w:left="851" w:right="901"/>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911B9A">
        <w:rPr>
          <w:rFonts w:ascii="Palatino Linotype" w:eastAsia="Palatino Linotype" w:hAnsi="Palatino Linotype" w:cs="Palatino Linotype"/>
          <w:sz w:val="24"/>
          <w:szCs w:val="24"/>
        </w:rPr>
        <w:t xml:space="preserve"> </w:t>
      </w:r>
    </w:p>
    <w:p w14:paraId="626FD941" w14:textId="77777777" w:rsidR="00270615" w:rsidRPr="00911B9A" w:rsidRDefault="00270615" w:rsidP="00270615">
      <w:pPr>
        <w:spacing w:after="0" w:line="276" w:lineRule="auto"/>
        <w:ind w:left="851" w:right="851"/>
        <w:jc w:val="both"/>
        <w:rPr>
          <w:rFonts w:ascii="Palatino Linotype" w:eastAsia="Palatino Linotype" w:hAnsi="Palatino Linotype" w:cs="Palatino Linotype"/>
          <w:sz w:val="24"/>
          <w:szCs w:val="24"/>
        </w:rPr>
      </w:pPr>
    </w:p>
    <w:p w14:paraId="77EE7B49" w14:textId="77777777" w:rsidR="00270615" w:rsidRPr="00911B9A" w:rsidRDefault="00270615" w:rsidP="00270615">
      <w:pPr>
        <w:tabs>
          <w:tab w:val="left" w:pos="709"/>
        </w:tabs>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2FC9636" w14:textId="77777777" w:rsidR="00270615" w:rsidRPr="00911B9A" w:rsidRDefault="00270615" w:rsidP="00270615">
      <w:pPr>
        <w:tabs>
          <w:tab w:val="left" w:pos="709"/>
        </w:tabs>
        <w:spacing w:after="0" w:line="360" w:lineRule="auto"/>
        <w:jc w:val="both"/>
        <w:rPr>
          <w:rFonts w:ascii="Palatino Linotype" w:eastAsia="Palatino Linotype" w:hAnsi="Palatino Linotype" w:cs="Palatino Linotype"/>
          <w:sz w:val="24"/>
          <w:szCs w:val="24"/>
        </w:rPr>
      </w:pPr>
    </w:p>
    <w:p w14:paraId="7F1B3E4D" w14:textId="77777777" w:rsidR="00270615" w:rsidRPr="00911B9A" w:rsidRDefault="00270615" w:rsidP="00270615">
      <w:pPr>
        <w:tabs>
          <w:tab w:val="left" w:pos="709"/>
        </w:tabs>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En primer lugar, es conveniente analizar si la respuesta del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3320203" w14:textId="77777777" w:rsidR="00270615" w:rsidRPr="00911B9A" w:rsidRDefault="00270615" w:rsidP="00270615">
      <w:pPr>
        <w:tabs>
          <w:tab w:val="left" w:pos="709"/>
        </w:tabs>
        <w:spacing w:after="0" w:line="360" w:lineRule="auto"/>
        <w:jc w:val="both"/>
        <w:rPr>
          <w:rFonts w:ascii="Palatino Linotype" w:eastAsia="Palatino Linotype" w:hAnsi="Palatino Linotype" w:cs="Palatino Linotype"/>
          <w:sz w:val="24"/>
          <w:szCs w:val="24"/>
        </w:rPr>
      </w:pPr>
    </w:p>
    <w:p w14:paraId="4084189D" w14:textId="77777777" w:rsidR="00270615" w:rsidRPr="00911B9A" w:rsidRDefault="00270615" w:rsidP="00270615">
      <w:pPr>
        <w:spacing w:after="0" w:line="276" w:lineRule="auto"/>
        <w:ind w:left="709" w:right="76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Artículo 4.</w:t>
      </w:r>
      <w:r w:rsidRPr="00911B9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6B10B9D" w14:textId="77777777" w:rsidR="00270615" w:rsidRPr="00911B9A" w:rsidRDefault="00270615" w:rsidP="00270615">
      <w:pPr>
        <w:spacing w:after="0" w:line="276" w:lineRule="auto"/>
        <w:ind w:left="709" w:right="76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11B9A">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w:t>
      </w:r>
      <w:r w:rsidRPr="00911B9A">
        <w:rPr>
          <w:rFonts w:ascii="Palatino Linotype" w:eastAsia="Palatino Linotype" w:hAnsi="Palatino Linotype" w:cs="Palatino Linotype"/>
          <w:i/>
        </w:rPr>
        <w:lastRenderedPageBreak/>
        <w:t>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1751EF" w14:textId="77777777" w:rsidR="00270615" w:rsidRPr="00911B9A" w:rsidRDefault="00270615" w:rsidP="00270615">
      <w:pPr>
        <w:spacing w:after="0" w:line="276" w:lineRule="auto"/>
        <w:ind w:left="709" w:right="76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11B9A">
        <w:rPr>
          <w:rFonts w:ascii="Palatino Linotype" w:eastAsia="Palatino Linotype" w:hAnsi="Palatino Linotype" w:cs="Palatino Linotype"/>
          <w:i/>
        </w:rPr>
        <w:t>.”</w:t>
      </w:r>
    </w:p>
    <w:p w14:paraId="26AF3E1A" w14:textId="77777777" w:rsidR="00270615" w:rsidRPr="00911B9A" w:rsidRDefault="00270615" w:rsidP="00270615">
      <w:pPr>
        <w:spacing w:after="0" w:line="276" w:lineRule="auto"/>
        <w:ind w:left="709" w:right="760"/>
        <w:jc w:val="both"/>
        <w:rPr>
          <w:rFonts w:ascii="Palatino Linotype" w:eastAsia="Palatino Linotype" w:hAnsi="Palatino Linotype" w:cs="Palatino Linotype"/>
          <w:sz w:val="24"/>
        </w:rPr>
      </w:pPr>
    </w:p>
    <w:p w14:paraId="2BEE4416"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EB6D542"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772039F0" w14:textId="77777777" w:rsidR="00270615" w:rsidRPr="00911B9A" w:rsidRDefault="00270615" w:rsidP="00270615">
      <w:pPr>
        <w:spacing w:after="0" w:line="276" w:lineRule="auto"/>
        <w:ind w:left="567" w:right="76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Artículo 12.-</w:t>
      </w:r>
      <w:r w:rsidRPr="00911B9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A5B9ADC" w14:textId="77777777" w:rsidR="00270615" w:rsidRPr="00911B9A" w:rsidRDefault="00270615" w:rsidP="00270615">
      <w:pPr>
        <w:spacing w:after="0" w:line="276" w:lineRule="auto"/>
        <w:ind w:left="567" w:right="76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1750A857"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0C56D0D9" w14:textId="77777777" w:rsidR="00270615" w:rsidRPr="00911B9A" w:rsidRDefault="00270615" w:rsidP="00270615">
      <w:pPr>
        <w:spacing w:after="0" w:line="360" w:lineRule="auto"/>
        <w:jc w:val="both"/>
        <w:rPr>
          <w:rFonts w:ascii="Palatino Linotype" w:eastAsia="Palatino Linotype" w:hAnsi="Palatino Linotype" w:cs="Palatino Linotype"/>
          <w:strike/>
          <w:sz w:val="24"/>
          <w:szCs w:val="24"/>
        </w:rPr>
      </w:pPr>
      <w:r w:rsidRPr="00911B9A">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w:t>
      </w:r>
      <w:r w:rsidRPr="00911B9A">
        <w:rPr>
          <w:rFonts w:ascii="Palatino Linotype" w:eastAsia="Palatino Linotype" w:hAnsi="Palatino Linotype" w:cs="Palatino Linotype"/>
          <w:sz w:val="24"/>
          <w:szCs w:val="24"/>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r w:rsidRPr="00911B9A">
        <w:rPr>
          <w:rFonts w:ascii="Palatino Linotype" w:eastAsia="Palatino Linotype" w:hAnsi="Palatino Linotype" w:cs="Palatino Linotype"/>
          <w:strike/>
          <w:sz w:val="24"/>
          <w:szCs w:val="24"/>
        </w:rPr>
        <w:t xml:space="preserve"> </w:t>
      </w:r>
    </w:p>
    <w:p w14:paraId="7996D3FE" w14:textId="77777777" w:rsidR="00270615" w:rsidRPr="00911B9A" w:rsidRDefault="00270615" w:rsidP="00270615">
      <w:pPr>
        <w:spacing w:after="0" w:line="360" w:lineRule="auto"/>
        <w:jc w:val="both"/>
        <w:rPr>
          <w:rFonts w:ascii="Palatino Linotype" w:eastAsia="Palatino Linotype" w:hAnsi="Palatino Linotype" w:cs="Palatino Linotype"/>
          <w:strike/>
          <w:sz w:val="24"/>
          <w:szCs w:val="24"/>
        </w:rPr>
      </w:pPr>
    </w:p>
    <w:p w14:paraId="2A4FBC33" w14:textId="77777777" w:rsidR="00270615" w:rsidRPr="00911B9A" w:rsidRDefault="00270615" w:rsidP="00270615">
      <w:pPr>
        <w:spacing w:after="0" w:line="360" w:lineRule="auto"/>
        <w:ind w:right="49"/>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FF3ACFE" w14:textId="77777777" w:rsidR="00270615" w:rsidRPr="00911B9A" w:rsidRDefault="00270615" w:rsidP="00270615">
      <w:pPr>
        <w:spacing w:after="0" w:line="360" w:lineRule="auto"/>
        <w:ind w:right="49"/>
        <w:jc w:val="both"/>
        <w:rPr>
          <w:rFonts w:ascii="Palatino Linotype" w:eastAsia="Palatino Linotype" w:hAnsi="Palatino Linotype" w:cs="Palatino Linotype"/>
          <w:sz w:val="24"/>
          <w:szCs w:val="24"/>
        </w:rPr>
      </w:pPr>
    </w:p>
    <w:p w14:paraId="52407C84"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0EF5B18B"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02A8CFF5" w14:textId="77777777" w:rsidR="00270615" w:rsidRPr="00911B9A" w:rsidRDefault="00270615" w:rsidP="00270615">
      <w:pPr>
        <w:spacing w:after="0" w:line="276" w:lineRule="auto"/>
        <w:ind w:left="851" w:right="85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18.</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911B9A">
        <w:rPr>
          <w:rFonts w:ascii="Palatino Linotype" w:eastAsia="Palatino Linotype" w:hAnsi="Palatino Linotype" w:cs="Palatino Linotype"/>
          <w:i/>
        </w:rPr>
        <w:t xml:space="preserve"> y reutilización de la información que generen.</w:t>
      </w:r>
    </w:p>
    <w:p w14:paraId="213E8ECC" w14:textId="77777777" w:rsidR="00270615" w:rsidRPr="00911B9A" w:rsidRDefault="00270615" w:rsidP="00270615">
      <w:pPr>
        <w:spacing w:after="0" w:line="276" w:lineRule="auto"/>
        <w:ind w:left="851" w:right="85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 xml:space="preserve">Artículo 19. </w:t>
      </w:r>
      <w:r w:rsidRPr="00911B9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911B9A">
        <w:rPr>
          <w:rFonts w:ascii="Palatino Linotype" w:eastAsia="Palatino Linotype" w:hAnsi="Palatino Linotype" w:cs="Palatino Linotype"/>
          <w:i/>
        </w:rPr>
        <w:t>.</w:t>
      </w:r>
    </w:p>
    <w:p w14:paraId="77F8E2B4" w14:textId="77777777" w:rsidR="00270615" w:rsidRPr="00911B9A" w:rsidRDefault="00270615" w:rsidP="00270615">
      <w:pPr>
        <w:spacing w:after="0" w:line="276" w:lineRule="auto"/>
        <w:ind w:left="851" w:right="85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221E05E2" w14:textId="77777777" w:rsidR="00270615" w:rsidRPr="00911B9A" w:rsidRDefault="00270615" w:rsidP="00270615">
      <w:pPr>
        <w:spacing w:after="0" w:line="276" w:lineRule="auto"/>
        <w:ind w:left="851" w:right="85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4D4778E" w14:textId="77777777" w:rsidR="00270615" w:rsidRPr="00911B9A" w:rsidRDefault="00270615" w:rsidP="00270615">
      <w:pPr>
        <w:spacing w:after="0" w:line="276" w:lineRule="auto"/>
        <w:ind w:left="851" w:right="851"/>
        <w:contextualSpacing/>
        <w:jc w:val="both"/>
        <w:rPr>
          <w:rFonts w:ascii="Palatino Linotype" w:eastAsia="Palatino Linotype" w:hAnsi="Palatino Linotype" w:cs="Palatino Linotype"/>
          <w:i/>
        </w:rPr>
      </w:pPr>
    </w:p>
    <w:p w14:paraId="15FB753B"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ACD089C"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56D04101"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E5AB8C7"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496F75F8"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lastRenderedPageBreak/>
        <w:t>“</w:t>
      </w:r>
      <w:r w:rsidRPr="00911B9A">
        <w:rPr>
          <w:rFonts w:ascii="Palatino Linotype" w:eastAsia="Palatino Linotype" w:hAnsi="Palatino Linotype" w:cs="Palatino Linotype"/>
          <w:b/>
          <w:i/>
        </w:rPr>
        <w:t xml:space="preserve">Artículo 3. </w:t>
      </w:r>
      <w:r w:rsidRPr="00911B9A">
        <w:rPr>
          <w:rFonts w:ascii="Palatino Linotype" w:eastAsia="Palatino Linotype" w:hAnsi="Palatino Linotype" w:cs="Palatino Linotype"/>
          <w:i/>
        </w:rPr>
        <w:t>Para los efectos de la presente Ley se entenderá por:</w:t>
      </w:r>
    </w:p>
    <w:p w14:paraId="540D9677"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p>
    <w:p w14:paraId="2852383C"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XI. Documento:</w:t>
      </w:r>
      <w:r w:rsidRPr="00911B9A">
        <w:rPr>
          <w:rFonts w:ascii="Palatino Linotype" w:eastAsia="Palatino Linotype" w:hAnsi="Palatino Linotype" w:cs="Palatino Linotype"/>
          <w:i/>
        </w:rPr>
        <w:t xml:space="preserve"> Los expedientes, reportes, estudios, actas</w:t>
      </w:r>
      <w:r w:rsidRPr="00911B9A">
        <w:rPr>
          <w:rFonts w:ascii="Palatino Linotype" w:eastAsia="Palatino Linotype" w:hAnsi="Palatino Linotype" w:cs="Palatino Linotype"/>
          <w:b/>
          <w:i/>
        </w:rPr>
        <w:t>,</w:t>
      </w:r>
      <w:r w:rsidRPr="00911B9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54429F0" w14:textId="77777777" w:rsidR="00270615" w:rsidRPr="00911B9A" w:rsidRDefault="00270615" w:rsidP="00270615">
      <w:pPr>
        <w:spacing w:after="0" w:line="360" w:lineRule="auto"/>
        <w:ind w:left="851" w:right="899"/>
        <w:jc w:val="both"/>
        <w:rPr>
          <w:rFonts w:ascii="Palatino Linotype" w:eastAsia="Palatino Linotype" w:hAnsi="Palatino Linotype" w:cs="Palatino Linotype"/>
          <w:sz w:val="24"/>
          <w:szCs w:val="24"/>
        </w:rPr>
      </w:pPr>
    </w:p>
    <w:p w14:paraId="5309DBB7"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C3EDB50"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5270721D"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rPr>
        <w:t>“</w:t>
      </w:r>
      <w:r w:rsidRPr="00911B9A">
        <w:rPr>
          <w:rFonts w:ascii="Palatino Linotype" w:eastAsia="Palatino Linotype" w:hAnsi="Palatino Linotype" w:cs="Palatino Linotype"/>
          <w:b/>
          <w:i/>
        </w:rPr>
        <w:t>CRITERIO 0002-11</w:t>
      </w:r>
    </w:p>
    <w:p w14:paraId="3ED6AB83"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11B9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7E866C"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En </w:t>
      </w:r>
      <w:proofErr w:type="gramStart"/>
      <w:r w:rsidRPr="00911B9A">
        <w:rPr>
          <w:rFonts w:ascii="Palatino Linotype" w:eastAsia="Palatino Linotype" w:hAnsi="Palatino Linotype" w:cs="Palatino Linotype"/>
          <w:i/>
        </w:rPr>
        <w:t>consecuencia</w:t>
      </w:r>
      <w:proofErr w:type="gramEnd"/>
      <w:r w:rsidRPr="00911B9A">
        <w:rPr>
          <w:rFonts w:ascii="Palatino Linotype" w:eastAsia="Palatino Linotype" w:hAnsi="Palatino Linotype" w:cs="Palatino Linotype"/>
          <w:i/>
        </w:rPr>
        <w:t xml:space="preserve"> el acceso a la información se refiere a que se cumplan cualquiera de los siguientes tres supuestos:</w:t>
      </w:r>
    </w:p>
    <w:p w14:paraId="2CF7C22A"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1) Que se trate de información registrada en cualquier soporte documental, </w:t>
      </w:r>
      <w:proofErr w:type="gramStart"/>
      <w:r w:rsidRPr="00911B9A">
        <w:rPr>
          <w:rFonts w:ascii="Palatino Linotype" w:eastAsia="Palatino Linotype" w:hAnsi="Palatino Linotype" w:cs="Palatino Linotype"/>
          <w:i/>
        </w:rPr>
        <w:t>que</w:t>
      </w:r>
      <w:proofErr w:type="gramEnd"/>
      <w:r w:rsidRPr="00911B9A">
        <w:rPr>
          <w:rFonts w:ascii="Palatino Linotype" w:eastAsia="Palatino Linotype" w:hAnsi="Palatino Linotype" w:cs="Palatino Linotype"/>
          <w:i/>
        </w:rPr>
        <w:t xml:space="preserve"> en ejercicio de las atribuciones conferidas, sea generada por los Sujetos Obligados;</w:t>
      </w:r>
    </w:p>
    <w:p w14:paraId="37E0926F"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lastRenderedPageBreak/>
        <w:t xml:space="preserve">2) Que se trate de información registrada en cualquier soporte documental, </w:t>
      </w:r>
      <w:proofErr w:type="gramStart"/>
      <w:r w:rsidRPr="00911B9A">
        <w:rPr>
          <w:rFonts w:ascii="Palatino Linotype" w:eastAsia="Palatino Linotype" w:hAnsi="Palatino Linotype" w:cs="Palatino Linotype"/>
          <w:i/>
        </w:rPr>
        <w:t>que</w:t>
      </w:r>
      <w:proofErr w:type="gramEnd"/>
      <w:r w:rsidRPr="00911B9A">
        <w:rPr>
          <w:rFonts w:ascii="Palatino Linotype" w:eastAsia="Palatino Linotype" w:hAnsi="Palatino Linotype" w:cs="Palatino Linotype"/>
          <w:i/>
        </w:rPr>
        <w:t xml:space="preserve"> en ejercicio de las atribuciones conferidas, sea administrada por los Sujetos Obligados, y</w:t>
      </w:r>
    </w:p>
    <w:p w14:paraId="3D5E899C" w14:textId="77777777" w:rsidR="00270615" w:rsidRPr="00911B9A" w:rsidRDefault="00270615" w:rsidP="00270615">
      <w:pPr>
        <w:spacing w:after="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3) Que se trate de información registrada en cualquier soporte documental, </w:t>
      </w:r>
      <w:proofErr w:type="gramStart"/>
      <w:r w:rsidRPr="00911B9A">
        <w:rPr>
          <w:rFonts w:ascii="Palatino Linotype" w:eastAsia="Palatino Linotype" w:hAnsi="Palatino Linotype" w:cs="Palatino Linotype"/>
          <w:i/>
        </w:rPr>
        <w:t>que</w:t>
      </w:r>
      <w:proofErr w:type="gramEnd"/>
      <w:r w:rsidRPr="00911B9A">
        <w:rPr>
          <w:rFonts w:ascii="Palatino Linotype" w:eastAsia="Palatino Linotype" w:hAnsi="Palatino Linotype" w:cs="Palatino Linotype"/>
          <w:i/>
        </w:rPr>
        <w:t xml:space="preserve"> en ejercicio de las atribuciones conferidas, se encuentre en posesión de los Sujetos Obligados.” </w:t>
      </w:r>
    </w:p>
    <w:p w14:paraId="6ED204FA" w14:textId="77777777" w:rsidR="00270615" w:rsidRPr="00911B9A" w:rsidRDefault="00270615" w:rsidP="00270615">
      <w:pPr>
        <w:spacing w:after="0" w:line="276" w:lineRule="auto"/>
        <w:ind w:left="851" w:right="899"/>
        <w:jc w:val="both"/>
        <w:rPr>
          <w:rFonts w:ascii="Palatino Linotype" w:eastAsia="Palatino Linotype" w:hAnsi="Palatino Linotype" w:cs="Palatino Linotype"/>
          <w:sz w:val="24"/>
          <w:szCs w:val="24"/>
        </w:rPr>
      </w:pPr>
    </w:p>
    <w:p w14:paraId="0A15ECD3"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De ahí que </w:t>
      </w: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11B9A">
        <w:rPr>
          <w:rFonts w:ascii="Palatino Linotype" w:eastAsia="Palatino Linotype" w:hAnsi="Palatino Linotype" w:cs="Palatino Linotype"/>
          <w:sz w:val="24"/>
          <w:szCs w:val="24"/>
          <w:vertAlign w:val="superscript"/>
        </w:rPr>
        <w:footnoteReference w:id="1"/>
      </w:r>
      <w:r w:rsidRPr="00911B9A">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11B9A">
        <w:rPr>
          <w:rFonts w:ascii="Palatino Linotype" w:eastAsia="Palatino Linotype" w:hAnsi="Palatino Linotype" w:cs="Palatino Linotype"/>
          <w:sz w:val="24"/>
          <w:szCs w:val="24"/>
          <w:vertAlign w:val="superscript"/>
        </w:rPr>
        <w:footnoteReference w:id="2"/>
      </w:r>
      <w:r w:rsidRPr="00911B9A">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062B13D4" w14:textId="77777777" w:rsidR="00270615" w:rsidRPr="00911B9A" w:rsidRDefault="00270615" w:rsidP="00270615">
      <w:pPr>
        <w:spacing w:after="0" w:line="360" w:lineRule="auto"/>
        <w:jc w:val="both"/>
        <w:rPr>
          <w:rFonts w:ascii="Palatino Linotype" w:eastAsia="Palatino Linotype" w:hAnsi="Palatino Linotype" w:cs="Palatino Linotype"/>
          <w:sz w:val="24"/>
          <w:szCs w:val="24"/>
        </w:rPr>
      </w:pPr>
    </w:p>
    <w:p w14:paraId="3DA44FD5" w14:textId="77777777" w:rsidR="00270615" w:rsidRPr="00911B9A" w:rsidRDefault="00270615" w:rsidP="000829F4">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911B9A">
        <w:rPr>
          <w:rFonts w:ascii="Palatino Linotype" w:eastAsia="Palatino Linotype" w:hAnsi="Palatino Linotype" w:cs="Palatino Linotype"/>
          <w:b/>
          <w:sz w:val="24"/>
          <w:szCs w:val="24"/>
        </w:rPr>
        <w:t>EL</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 xml:space="preserve">, a efecto de determinar si </w:t>
      </w:r>
      <w:r w:rsidRPr="00911B9A">
        <w:rPr>
          <w:rFonts w:ascii="Palatino Linotype" w:eastAsia="Palatino Linotype" w:hAnsi="Palatino Linotype" w:cs="Palatino Linotype"/>
          <w:sz w:val="24"/>
          <w:szCs w:val="24"/>
        </w:rPr>
        <w:lastRenderedPageBreak/>
        <w:t xml:space="preserve">es suficiente para tener por colmado el derecho de acceso a la información de </w:t>
      </w:r>
      <w:r w:rsidRPr="00911B9A">
        <w:rPr>
          <w:rFonts w:ascii="Palatino Linotype" w:eastAsia="Palatino Linotype" w:hAnsi="Palatino Linotype" w:cs="Palatino Linotype"/>
          <w:b/>
          <w:sz w:val="24"/>
          <w:szCs w:val="24"/>
        </w:rPr>
        <w:t>LA PARTE</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RECURRENTE</w:t>
      </w:r>
      <w:r w:rsidRPr="00911B9A">
        <w:rPr>
          <w:rFonts w:ascii="Palatino Linotype" w:eastAsia="Palatino Linotype" w:hAnsi="Palatino Linotype" w:cs="Palatino Linotype"/>
          <w:sz w:val="24"/>
          <w:szCs w:val="24"/>
        </w:rPr>
        <w:t>, o en su defecto ordenar la entrega del o los documentos que lo satisfagan.</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1276"/>
      </w:tblGrid>
      <w:tr w:rsidR="009A1FEB" w:rsidRPr="00911B9A" w14:paraId="2B622272" w14:textId="77777777" w:rsidTr="00B63FA2">
        <w:tc>
          <w:tcPr>
            <w:tcW w:w="3397" w:type="dxa"/>
            <w:shd w:val="clear" w:color="auto" w:fill="AEAAAA"/>
          </w:tcPr>
          <w:p w14:paraId="63977179" w14:textId="77777777" w:rsidR="00270615" w:rsidRPr="00911B9A" w:rsidRDefault="00270615" w:rsidP="00B63FA2">
            <w:pPr>
              <w:spacing w:line="360" w:lineRule="auto"/>
              <w:jc w:val="center"/>
              <w:rPr>
                <w:rFonts w:ascii="Palatino Linotype" w:eastAsia="Palatino Linotype" w:hAnsi="Palatino Linotype" w:cs="Palatino Linotype"/>
                <w:b/>
                <w:sz w:val="20"/>
                <w:szCs w:val="20"/>
              </w:rPr>
            </w:pPr>
            <w:r w:rsidRPr="00911B9A">
              <w:rPr>
                <w:rFonts w:ascii="Palatino Linotype" w:eastAsia="Palatino Linotype" w:hAnsi="Palatino Linotype" w:cs="Palatino Linotype"/>
                <w:b/>
                <w:sz w:val="20"/>
                <w:szCs w:val="20"/>
              </w:rPr>
              <w:t>Solicitud</w:t>
            </w:r>
          </w:p>
        </w:tc>
        <w:tc>
          <w:tcPr>
            <w:tcW w:w="4111" w:type="dxa"/>
            <w:shd w:val="clear" w:color="auto" w:fill="AEAAAA"/>
          </w:tcPr>
          <w:p w14:paraId="43E919A8" w14:textId="77777777" w:rsidR="00270615" w:rsidRPr="00911B9A" w:rsidRDefault="00270615" w:rsidP="00B63FA2">
            <w:pPr>
              <w:spacing w:line="360" w:lineRule="auto"/>
              <w:jc w:val="center"/>
              <w:rPr>
                <w:rFonts w:ascii="Palatino Linotype" w:eastAsia="Palatino Linotype" w:hAnsi="Palatino Linotype" w:cs="Palatino Linotype"/>
                <w:b/>
                <w:sz w:val="20"/>
                <w:szCs w:val="20"/>
              </w:rPr>
            </w:pPr>
            <w:r w:rsidRPr="00911B9A">
              <w:rPr>
                <w:rFonts w:ascii="Palatino Linotype" w:eastAsia="Palatino Linotype" w:hAnsi="Palatino Linotype" w:cs="Palatino Linotype"/>
                <w:b/>
                <w:sz w:val="20"/>
                <w:szCs w:val="20"/>
              </w:rPr>
              <w:t>Respuesta</w:t>
            </w:r>
          </w:p>
        </w:tc>
        <w:tc>
          <w:tcPr>
            <w:tcW w:w="1276" w:type="dxa"/>
            <w:shd w:val="clear" w:color="auto" w:fill="AEAAAA"/>
          </w:tcPr>
          <w:p w14:paraId="608A0EAE" w14:textId="77777777" w:rsidR="00270615" w:rsidRPr="00911B9A" w:rsidRDefault="00270615" w:rsidP="00B63FA2">
            <w:pPr>
              <w:spacing w:line="360" w:lineRule="auto"/>
              <w:jc w:val="center"/>
              <w:rPr>
                <w:rFonts w:ascii="Palatino Linotype" w:eastAsia="Palatino Linotype" w:hAnsi="Palatino Linotype" w:cs="Palatino Linotype"/>
                <w:b/>
                <w:sz w:val="20"/>
                <w:szCs w:val="20"/>
              </w:rPr>
            </w:pPr>
            <w:r w:rsidRPr="00911B9A">
              <w:rPr>
                <w:rFonts w:ascii="Palatino Linotype" w:eastAsia="Palatino Linotype" w:hAnsi="Palatino Linotype" w:cs="Palatino Linotype"/>
                <w:b/>
                <w:sz w:val="20"/>
                <w:szCs w:val="20"/>
              </w:rPr>
              <w:t>Informe Justificado</w:t>
            </w:r>
          </w:p>
        </w:tc>
      </w:tr>
      <w:tr w:rsidR="00270615" w:rsidRPr="00911B9A" w14:paraId="73F386EB" w14:textId="77777777" w:rsidTr="00B63FA2">
        <w:tc>
          <w:tcPr>
            <w:tcW w:w="3397" w:type="dxa"/>
            <w:shd w:val="clear" w:color="auto" w:fill="auto"/>
          </w:tcPr>
          <w:p w14:paraId="6ED04534" w14:textId="77777777" w:rsidR="00270615" w:rsidRPr="00911B9A" w:rsidRDefault="00270615" w:rsidP="00B63FA2">
            <w:pPr>
              <w:spacing w:line="240" w:lineRule="auto"/>
              <w:jc w:val="both"/>
              <w:rPr>
                <w:rFonts w:ascii="Palatino Linotype" w:eastAsia="Palatino Linotype" w:hAnsi="Palatino Linotype" w:cs="Palatino Linotype"/>
                <w:sz w:val="20"/>
                <w:szCs w:val="18"/>
              </w:rPr>
            </w:pPr>
            <w:r w:rsidRPr="00911B9A">
              <w:rPr>
                <w:rFonts w:ascii="Palatino Linotype" w:eastAsia="Palatino Linotype" w:hAnsi="Palatino Linotype" w:cs="Palatino Linotype"/>
                <w:sz w:val="20"/>
                <w:szCs w:val="18"/>
              </w:rPr>
              <w:t>Facturas de papelería de los últimos tres meses del ejercicio fiscal 2024</w:t>
            </w:r>
          </w:p>
        </w:tc>
        <w:tc>
          <w:tcPr>
            <w:tcW w:w="4111" w:type="dxa"/>
            <w:shd w:val="clear" w:color="auto" w:fill="auto"/>
          </w:tcPr>
          <w:p w14:paraId="46FBDB45" w14:textId="77777777" w:rsidR="00270615" w:rsidRPr="00911B9A" w:rsidRDefault="00270615" w:rsidP="00B63FA2">
            <w:pPr>
              <w:spacing w:line="240" w:lineRule="auto"/>
              <w:jc w:val="both"/>
              <w:rPr>
                <w:rFonts w:ascii="Palatino Linotype" w:eastAsia="Palatino Linotype" w:hAnsi="Palatino Linotype" w:cs="Palatino Linotype"/>
                <w:sz w:val="20"/>
                <w:szCs w:val="18"/>
              </w:rPr>
            </w:pPr>
            <w:r w:rsidRPr="00911B9A">
              <w:rPr>
                <w:rFonts w:ascii="Palatino Linotype" w:eastAsia="Palatino Linotype" w:hAnsi="Palatino Linotype" w:cs="Palatino Linotype"/>
                <w:sz w:val="20"/>
                <w:szCs w:val="18"/>
              </w:rPr>
              <w:t>La Dirección General de Administración estableció que después de una búsqueda en los archivos guarda la Dirección de Recursos Materiales, estableció que la información solicitada se encuentra fuera de la competencia de la Dirección y de sus Departamentos.</w:t>
            </w:r>
          </w:p>
        </w:tc>
        <w:tc>
          <w:tcPr>
            <w:tcW w:w="1276" w:type="dxa"/>
          </w:tcPr>
          <w:p w14:paraId="4717B7D0" w14:textId="77777777" w:rsidR="00270615" w:rsidRPr="00911B9A" w:rsidRDefault="00270615" w:rsidP="00B63FA2">
            <w:pPr>
              <w:spacing w:line="240" w:lineRule="auto"/>
              <w:jc w:val="both"/>
              <w:rPr>
                <w:rFonts w:ascii="Palatino Linotype" w:eastAsia="Palatino Linotype" w:hAnsi="Palatino Linotype" w:cs="Palatino Linotype"/>
                <w:sz w:val="20"/>
                <w:szCs w:val="18"/>
              </w:rPr>
            </w:pPr>
            <w:r w:rsidRPr="00911B9A">
              <w:rPr>
                <w:rFonts w:ascii="Palatino Linotype" w:eastAsia="Palatino Linotype" w:hAnsi="Palatino Linotype" w:cs="Palatino Linotype"/>
                <w:sz w:val="20"/>
                <w:szCs w:val="18"/>
              </w:rPr>
              <w:t xml:space="preserve">Ratifica. </w:t>
            </w:r>
          </w:p>
        </w:tc>
      </w:tr>
    </w:tbl>
    <w:p w14:paraId="608BD5D6" w14:textId="77777777" w:rsidR="00270615" w:rsidRPr="00911B9A" w:rsidRDefault="00270615" w:rsidP="000829F4">
      <w:pPr>
        <w:spacing w:after="0" w:line="360" w:lineRule="auto"/>
        <w:jc w:val="both"/>
        <w:rPr>
          <w:rFonts w:ascii="Palatino Linotype" w:eastAsia="Palatino Linotype" w:hAnsi="Palatino Linotype" w:cs="Palatino Linotype"/>
          <w:sz w:val="24"/>
          <w:szCs w:val="24"/>
        </w:rPr>
      </w:pPr>
    </w:p>
    <w:p w14:paraId="6F97654E" w14:textId="77777777" w:rsidR="00583338" w:rsidRPr="00911B9A" w:rsidRDefault="00583338" w:rsidP="00583338">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En primera instancia, es de mencionar que la respuesta fue proporcionada por la Dirección General de Administración, quien cuenta con las siguientes atribuciones:</w:t>
      </w:r>
    </w:p>
    <w:p w14:paraId="1E165720" w14:textId="77777777" w:rsidR="00583338" w:rsidRPr="00911B9A" w:rsidRDefault="00583338" w:rsidP="00583338">
      <w:pPr>
        <w:spacing w:after="0" w:line="360" w:lineRule="auto"/>
        <w:jc w:val="both"/>
        <w:rPr>
          <w:rFonts w:ascii="Palatino Linotype" w:eastAsia="Palatino Linotype" w:hAnsi="Palatino Linotype" w:cs="Palatino Linotype"/>
          <w:sz w:val="24"/>
          <w:szCs w:val="24"/>
        </w:rPr>
      </w:pPr>
    </w:p>
    <w:p w14:paraId="5A192EC8" w14:textId="77777777" w:rsidR="00583338" w:rsidRPr="00911B9A" w:rsidRDefault="00583338" w:rsidP="00583338">
      <w:pPr>
        <w:spacing w:after="0" w:line="276" w:lineRule="auto"/>
        <w:ind w:left="851" w:right="902"/>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CÓDIGO REGLAMENTARIO MUNICIPAL DE TOLUCA</w:t>
      </w:r>
      <w:r w:rsidRPr="00911B9A">
        <w:rPr>
          <w:rFonts w:ascii="Palatino Linotype" w:eastAsia="Palatino Linotype" w:hAnsi="Palatino Linotype" w:cs="Palatino Linotype"/>
          <w:b/>
          <w:i/>
        </w:rPr>
        <w:cr/>
      </w:r>
    </w:p>
    <w:p w14:paraId="1324856D" w14:textId="77777777" w:rsidR="00583338" w:rsidRPr="00911B9A" w:rsidRDefault="00583338" w:rsidP="00583338">
      <w:pPr>
        <w:spacing w:after="0" w:line="276" w:lineRule="auto"/>
        <w:ind w:left="851" w:right="902"/>
        <w:contextualSpacing/>
        <w:jc w:val="both"/>
        <w:rPr>
          <w:rFonts w:ascii="Palatino Linotype" w:hAnsi="Palatino Linotype"/>
          <w:b/>
          <w:i/>
        </w:rPr>
      </w:pPr>
      <w:r w:rsidRPr="00911B9A">
        <w:rPr>
          <w:rFonts w:ascii="Palatino Linotype" w:hAnsi="Palatino Linotype"/>
          <w:b/>
          <w:i/>
        </w:rPr>
        <w:t xml:space="preserve">Artículo 3.40. </w:t>
      </w:r>
      <w:r w:rsidRPr="00911B9A">
        <w:rPr>
          <w:rFonts w:ascii="Palatino Linotype" w:hAnsi="Palatino Linotype"/>
          <w:i/>
        </w:rPr>
        <w:t>La o el titular de la Dirección General de Administración, tiene las siguientes atribuciones:</w:t>
      </w:r>
      <w:r w:rsidRPr="00911B9A">
        <w:rPr>
          <w:rFonts w:ascii="Palatino Linotype" w:hAnsi="Palatino Linotype"/>
          <w:b/>
          <w:i/>
        </w:rPr>
        <w:t xml:space="preserve"> </w:t>
      </w:r>
    </w:p>
    <w:p w14:paraId="7B1F671C" w14:textId="77777777" w:rsidR="00583338" w:rsidRPr="00911B9A" w:rsidRDefault="00583338" w:rsidP="00583338">
      <w:pPr>
        <w:spacing w:after="0" w:line="276" w:lineRule="auto"/>
        <w:ind w:left="851" w:right="902"/>
        <w:contextualSpacing/>
        <w:jc w:val="both"/>
        <w:rPr>
          <w:rFonts w:ascii="Palatino Linotype" w:hAnsi="Palatino Linotype"/>
          <w:b/>
          <w:i/>
        </w:rPr>
      </w:pPr>
      <w:r w:rsidRPr="00911B9A">
        <w:rPr>
          <w:rFonts w:ascii="Palatino Linotype" w:hAnsi="Palatino Linotype"/>
          <w:i/>
        </w:rPr>
        <w:t>(…)</w:t>
      </w:r>
    </w:p>
    <w:p w14:paraId="7EC38611" w14:textId="77777777" w:rsidR="00583338" w:rsidRPr="00911B9A" w:rsidRDefault="00583338" w:rsidP="00583338">
      <w:pPr>
        <w:spacing w:after="0" w:line="276" w:lineRule="auto"/>
        <w:ind w:left="851" w:right="902"/>
        <w:contextualSpacing/>
        <w:jc w:val="both"/>
        <w:rPr>
          <w:rFonts w:ascii="Palatino Linotype" w:hAnsi="Palatino Linotype"/>
          <w:i/>
        </w:rPr>
      </w:pPr>
      <w:r w:rsidRPr="00911B9A">
        <w:rPr>
          <w:rFonts w:ascii="Palatino Linotype" w:hAnsi="Palatino Linotype"/>
          <w:i/>
        </w:rPr>
        <w:t>VIII. Coordinar la elaboración del programa anual de adquisiciones del Ayuntamiento, con base en los montos establecidos para cada partida por objeto de gasto en el presupuesto, con el fin de ponerlo a disposición de los comités para su debida aprobación;</w:t>
      </w:r>
    </w:p>
    <w:p w14:paraId="2DFB45C5" w14:textId="77777777" w:rsidR="00583338" w:rsidRPr="00911B9A" w:rsidRDefault="00583338" w:rsidP="00583338">
      <w:pPr>
        <w:spacing w:after="0" w:line="276" w:lineRule="auto"/>
        <w:ind w:left="851" w:right="902"/>
        <w:contextualSpacing/>
        <w:jc w:val="both"/>
        <w:rPr>
          <w:rFonts w:ascii="Palatino Linotype" w:hAnsi="Palatino Linotype"/>
          <w:i/>
        </w:rPr>
      </w:pPr>
      <w:r w:rsidRPr="00911B9A">
        <w:rPr>
          <w:rFonts w:ascii="Palatino Linotype" w:hAnsi="Palatino Linotype"/>
          <w:i/>
        </w:rPr>
        <w:t>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14:paraId="1BB05954" w14:textId="77777777" w:rsidR="00583338" w:rsidRPr="00911B9A" w:rsidRDefault="00583338" w:rsidP="00583338">
      <w:pPr>
        <w:spacing w:after="0" w:line="276" w:lineRule="auto"/>
        <w:ind w:left="851" w:right="902"/>
        <w:contextualSpacing/>
        <w:jc w:val="both"/>
        <w:rPr>
          <w:rFonts w:ascii="Palatino Linotype" w:hAnsi="Palatino Linotype"/>
          <w:i/>
        </w:rPr>
      </w:pPr>
      <w:r w:rsidRPr="00911B9A">
        <w:rPr>
          <w:rFonts w:ascii="Palatino Linotype" w:hAnsi="Palatino Linotype"/>
          <w:i/>
        </w:rPr>
        <w:lastRenderedPageBreak/>
        <w:t>X. Supervisar y vigilar que los procedimientos de licitaciones públicas, así como sus excepciones, se desarrollen conforme lo establece la normatividad respectiva y en estricto apego a los lineamientos establecidos de eficiencia, eficacia, honradez y transparencia;</w:t>
      </w:r>
    </w:p>
    <w:p w14:paraId="575FBF49" w14:textId="77777777" w:rsidR="00583338" w:rsidRPr="00911B9A" w:rsidRDefault="00583338" w:rsidP="00583338">
      <w:pPr>
        <w:spacing w:after="0" w:line="276" w:lineRule="auto"/>
        <w:ind w:left="851" w:right="902"/>
        <w:contextualSpacing/>
        <w:jc w:val="both"/>
        <w:rPr>
          <w:rFonts w:ascii="Palatino Linotype" w:hAnsi="Palatino Linotype"/>
          <w:i/>
        </w:rPr>
      </w:pPr>
    </w:p>
    <w:p w14:paraId="0F3A3036" w14:textId="77777777" w:rsidR="00583338" w:rsidRPr="00911B9A" w:rsidRDefault="00583338" w:rsidP="00583338">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De acuerdo a lo anterior, la Dirección General de Administración, coordina la elaboración del programa anual de adquisiciones del Ayuntamiento, con base en los montos establecidos para cada partida por objeto de gasto en el presupuesto, integra el catálogo general de proveedores y supervisa y vigila que los procedimientos de licitaciones públicas, así como sus excepciones, se desarrollen conforme lo establece la normatividad respectiva.</w:t>
      </w:r>
    </w:p>
    <w:p w14:paraId="46582F2E" w14:textId="77777777" w:rsidR="00583338" w:rsidRPr="00911B9A" w:rsidRDefault="00583338" w:rsidP="00583338">
      <w:pPr>
        <w:spacing w:after="0" w:line="360" w:lineRule="auto"/>
        <w:jc w:val="both"/>
        <w:rPr>
          <w:rFonts w:ascii="Palatino Linotype" w:eastAsia="Palatino Linotype" w:hAnsi="Palatino Linotype" w:cs="Palatino Linotype"/>
          <w:sz w:val="24"/>
          <w:szCs w:val="24"/>
        </w:rPr>
      </w:pPr>
    </w:p>
    <w:p w14:paraId="4016CDF4" w14:textId="77777777" w:rsidR="00583338" w:rsidRPr="00911B9A" w:rsidRDefault="00583338" w:rsidP="00583338">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No obstante, es necesario </w:t>
      </w:r>
      <w:r w:rsidR="00B63FA2" w:rsidRPr="00911B9A">
        <w:rPr>
          <w:rFonts w:ascii="Palatino Linotype" w:eastAsia="Palatino Linotype" w:hAnsi="Palatino Linotype" w:cs="Palatino Linotype"/>
          <w:sz w:val="24"/>
          <w:szCs w:val="24"/>
        </w:rPr>
        <w:t xml:space="preserve">puntualizar lo siguiente: </w:t>
      </w:r>
    </w:p>
    <w:p w14:paraId="45E7E61A" w14:textId="77777777" w:rsidR="00D016B4" w:rsidRPr="00911B9A" w:rsidRDefault="00D016B4" w:rsidP="000829F4">
      <w:pPr>
        <w:spacing w:after="0" w:line="360" w:lineRule="auto"/>
        <w:jc w:val="both"/>
        <w:rPr>
          <w:rFonts w:ascii="Palatino Linotype" w:eastAsia="Palatino Linotype" w:hAnsi="Palatino Linotype" w:cs="Palatino Linotype"/>
          <w:sz w:val="24"/>
          <w:szCs w:val="24"/>
        </w:rPr>
      </w:pPr>
    </w:p>
    <w:p w14:paraId="6C7352D4" w14:textId="77777777" w:rsidR="00B63FA2" w:rsidRPr="00911B9A" w:rsidRDefault="00B63FA2" w:rsidP="00B63FA2">
      <w:pPr>
        <w:spacing w:after="0" w:line="276" w:lineRule="auto"/>
        <w:ind w:left="851" w:right="902"/>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CÓDIGO REGLAMENTARIO MUNICIPAL DE TOLUCA</w:t>
      </w:r>
      <w:r w:rsidRPr="00911B9A">
        <w:rPr>
          <w:rFonts w:ascii="Palatino Linotype" w:eastAsia="Palatino Linotype" w:hAnsi="Palatino Linotype" w:cs="Palatino Linotype"/>
          <w:b/>
          <w:i/>
        </w:rPr>
        <w:cr/>
      </w:r>
    </w:p>
    <w:p w14:paraId="1F3D71A0" w14:textId="77777777" w:rsidR="00B63FA2" w:rsidRPr="00911B9A" w:rsidRDefault="00B63FA2" w:rsidP="00B63FA2">
      <w:pPr>
        <w:spacing w:after="0" w:line="276" w:lineRule="auto"/>
        <w:ind w:left="851" w:right="902"/>
        <w:contextualSpacing/>
        <w:jc w:val="both"/>
        <w:rPr>
          <w:rFonts w:ascii="Palatino Linotype" w:hAnsi="Palatino Linotype"/>
          <w:i/>
        </w:rPr>
      </w:pPr>
      <w:r w:rsidRPr="00911B9A">
        <w:rPr>
          <w:rFonts w:ascii="Palatino Linotype" w:hAnsi="Palatino Linotype"/>
          <w:b/>
          <w:i/>
        </w:rPr>
        <w:t xml:space="preserve">Artículo 3.19. </w:t>
      </w:r>
      <w:r w:rsidRPr="00911B9A">
        <w:rPr>
          <w:rFonts w:ascii="Palatino Linotype" w:hAnsi="Palatino Linotype"/>
          <w:i/>
        </w:rPr>
        <w:t xml:space="preserve">La o el titular de la Tesorería Municipal tendrá las siguientes atribuciones: </w:t>
      </w:r>
    </w:p>
    <w:p w14:paraId="133CBC1A" w14:textId="77777777" w:rsidR="00B63FA2" w:rsidRPr="00911B9A" w:rsidRDefault="00B63FA2" w:rsidP="00B63FA2">
      <w:pPr>
        <w:spacing w:after="0" w:line="276" w:lineRule="auto"/>
        <w:ind w:left="851" w:right="902"/>
        <w:contextualSpacing/>
        <w:jc w:val="both"/>
        <w:rPr>
          <w:rFonts w:ascii="Palatino Linotype" w:hAnsi="Palatino Linotype"/>
          <w:i/>
        </w:rPr>
      </w:pPr>
      <w:r w:rsidRPr="00911B9A">
        <w:rPr>
          <w:rFonts w:ascii="Palatino Linotype" w:hAnsi="Palatino Linotype"/>
          <w:i/>
        </w:rPr>
        <w:t>(…)</w:t>
      </w:r>
    </w:p>
    <w:p w14:paraId="1C08F508" w14:textId="77777777" w:rsidR="00B63FA2" w:rsidRPr="00911B9A" w:rsidRDefault="00B63FA2" w:rsidP="00B63FA2">
      <w:pPr>
        <w:spacing w:after="0" w:line="276" w:lineRule="auto"/>
        <w:ind w:left="851" w:right="902"/>
        <w:contextualSpacing/>
        <w:jc w:val="both"/>
        <w:rPr>
          <w:rFonts w:ascii="Palatino Linotype" w:hAnsi="Palatino Linotype"/>
          <w:i/>
        </w:rPr>
      </w:pPr>
      <w:r w:rsidRPr="00911B9A">
        <w:rPr>
          <w:rFonts w:ascii="Palatino Linotype" w:hAnsi="Palatino Linotype"/>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1EAD079A" w14:textId="77777777" w:rsidR="00B63FA2" w:rsidRPr="00911B9A" w:rsidRDefault="00B63FA2" w:rsidP="000829F4">
      <w:pPr>
        <w:spacing w:after="0" w:line="360" w:lineRule="auto"/>
        <w:jc w:val="both"/>
        <w:rPr>
          <w:rFonts w:ascii="Palatino Linotype" w:eastAsia="Palatino Linotype" w:hAnsi="Palatino Linotype" w:cs="Palatino Linotype"/>
          <w:sz w:val="24"/>
          <w:szCs w:val="24"/>
        </w:rPr>
      </w:pPr>
    </w:p>
    <w:p w14:paraId="6F0974A9"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De acuerdo a lo anterior, la Tesorería Municipal, supervisa el registro y control de las operaciones financieras presupuestales y contables, revisar y autorizar la integración de los informes mensuales y la cuenta pública anual del Municipio para </w:t>
      </w:r>
      <w:r w:rsidRPr="00911B9A">
        <w:rPr>
          <w:rFonts w:ascii="Palatino Linotype" w:eastAsia="Palatino Linotype" w:hAnsi="Palatino Linotype" w:cs="Palatino Linotype"/>
          <w:sz w:val="24"/>
          <w:szCs w:val="24"/>
        </w:rPr>
        <w:lastRenderedPageBreak/>
        <w:t>que se entregue de manera oportuna y con apego a los lineamientos establecidos en los ordenamientos jurídicos aplicables</w:t>
      </w:r>
    </w:p>
    <w:p w14:paraId="58CD6FCE" w14:textId="77777777" w:rsidR="00B63FA2" w:rsidRPr="00911B9A" w:rsidRDefault="00B63FA2" w:rsidP="000829F4">
      <w:pPr>
        <w:spacing w:after="0" w:line="360" w:lineRule="auto"/>
        <w:jc w:val="both"/>
        <w:rPr>
          <w:rFonts w:ascii="Palatino Linotype" w:eastAsia="Palatino Linotype" w:hAnsi="Palatino Linotype" w:cs="Palatino Linotype"/>
          <w:sz w:val="24"/>
          <w:szCs w:val="24"/>
        </w:rPr>
      </w:pPr>
    </w:p>
    <w:p w14:paraId="5C4707C7" w14:textId="77777777" w:rsidR="00B63FA2" w:rsidRPr="00911B9A" w:rsidRDefault="00B63FA2" w:rsidP="00B63FA2">
      <w:pPr>
        <w:spacing w:line="360" w:lineRule="auto"/>
        <w:ind w:right="49"/>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Por ende, al no pronunciarse todas las áreas competentes, se determina que la respuesta no fue proporcionada por las Unidades Administrativas Competentes,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C02443F" w14:textId="77777777" w:rsidR="00B63FA2" w:rsidRPr="00911B9A" w:rsidRDefault="00B63FA2" w:rsidP="00B63FA2">
      <w:pPr>
        <w:spacing w:line="360" w:lineRule="auto"/>
        <w:ind w:right="49"/>
        <w:contextualSpacing/>
        <w:jc w:val="both"/>
        <w:rPr>
          <w:rFonts w:ascii="Palatino Linotype" w:eastAsia="Palatino Linotype" w:hAnsi="Palatino Linotype" w:cs="Palatino Linotype"/>
          <w:sz w:val="24"/>
          <w:szCs w:val="24"/>
        </w:rPr>
      </w:pPr>
    </w:p>
    <w:p w14:paraId="6E00EE64" w14:textId="77777777" w:rsidR="00B63FA2" w:rsidRPr="00911B9A" w:rsidRDefault="00B63FA2" w:rsidP="00B63FA2">
      <w:pPr>
        <w:pBdr>
          <w:top w:val="nil"/>
          <w:left w:val="nil"/>
          <w:bottom w:val="nil"/>
          <w:right w:val="nil"/>
          <w:between w:val="nil"/>
        </w:pBdr>
        <w:spacing w:line="276" w:lineRule="auto"/>
        <w:ind w:left="862" w:right="862"/>
        <w:contextualSpacing/>
        <w:jc w:val="both"/>
        <w:rPr>
          <w:sz w:val="24"/>
          <w:szCs w:val="24"/>
        </w:rPr>
      </w:pPr>
      <w:r w:rsidRPr="00911B9A">
        <w:rPr>
          <w:rFonts w:ascii="Palatino Linotype" w:eastAsia="Palatino Linotype" w:hAnsi="Palatino Linotype" w:cs="Palatino Linotype"/>
          <w:i/>
          <w:sz w:val="24"/>
          <w:szCs w:val="24"/>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4C65370" w14:textId="77777777" w:rsidR="00B63FA2" w:rsidRPr="00911B9A" w:rsidRDefault="00B63FA2" w:rsidP="00B63FA2">
      <w:pPr>
        <w:spacing w:line="360" w:lineRule="auto"/>
        <w:contextualSpacing/>
        <w:rPr>
          <w:rFonts w:ascii="Palatino Linotype" w:hAnsi="Palatino Linotype"/>
          <w:sz w:val="24"/>
          <w:szCs w:val="24"/>
        </w:rPr>
      </w:pPr>
    </w:p>
    <w:p w14:paraId="377BB2C0" w14:textId="77777777" w:rsidR="00B63FA2" w:rsidRPr="00911B9A" w:rsidRDefault="00B63FA2" w:rsidP="00B63FA2">
      <w:pPr>
        <w:pBdr>
          <w:top w:val="nil"/>
          <w:left w:val="nil"/>
          <w:bottom w:val="nil"/>
          <w:right w:val="nil"/>
          <w:between w:val="nil"/>
        </w:pBdr>
        <w:shd w:val="clear" w:color="auto" w:fill="FFFFFF"/>
        <w:spacing w:line="360" w:lineRule="auto"/>
        <w:contextualSpacing/>
        <w:jc w:val="both"/>
        <w:rPr>
          <w:sz w:val="24"/>
          <w:szCs w:val="24"/>
        </w:rPr>
      </w:pPr>
      <w:r w:rsidRPr="00911B9A">
        <w:rPr>
          <w:rFonts w:ascii="Palatino Linotype" w:eastAsia="Palatino Linotype" w:hAnsi="Palatino Linotype" w:cs="Palatino Linotype"/>
          <w:sz w:val="24"/>
          <w:szCs w:val="24"/>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1F853908" w14:textId="77777777" w:rsidR="00B63FA2" w:rsidRPr="00911B9A" w:rsidRDefault="00B63FA2" w:rsidP="00B63FA2">
      <w:pPr>
        <w:spacing w:line="360" w:lineRule="auto"/>
        <w:contextualSpacing/>
        <w:rPr>
          <w:rFonts w:ascii="Palatino Linotype" w:hAnsi="Palatino Linotype"/>
          <w:sz w:val="24"/>
          <w:szCs w:val="24"/>
        </w:rPr>
      </w:pPr>
    </w:p>
    <w:p w14:paraId="54E9B41B" w14:textId="77777777" w:rsidR="00B63FA2" w:rsidRPr="00911B9A" w:rsidRDefault="00B63FA2" w:rsidP="00B63FA2">
      <w:pPr>
        <w:pBdr>
          <w:top w:val="nil"/>
          <w:left w:val="nil"/>
          <w:bottom w:val="nil"/>
          <w:right w:val="nil"/>
          <w:between w:val="nil"/>
        </w:pBdr>
        <w:spacing w:line="276" w:lineRule="auto"/>
        <w:ind w:left="862" w:right="862"/>
        <w:contextualSpacing/>
        <w:jc w:val="both"/>
        <w:rPr>
          <w:rFonts w:ascii="Palatino Linotype" w:eastAsia="Palatino Linotype" w:hAnsi="Palatino Linotype" w:cs="Palatino Linotype"/>
          <w:i/>
          <w:szCs w:val="24"/>
        </w:rPr>
      </w:pPr>
      <w:r w:rsidRPr="00911B9A">
        <w:rPr>
          <w:rFonts w:ascii="Palatino Linotype" w:eastAsia="Palatino Linotype" w:hAnsi="Palatino Linotype" w:cs="Palatino Linotype"/>
          <w:i/>
          <w:szCs w:val="24"/>
        </w:rPr>
        <w:t xml:space="preserve">“Artículo 162. Las unidades de transparencia deberán garantizar que las solicitudes </w:t>
      </w:r>
      <w:r w:rsidRPr="00911B9A">
        <w:rPr>
          <w:rFonts w:ascii="Palatino Linotype" w:eastAsia="Palatino Linotype" w:hAnsi="Palatino Linotype" w:cs="Palatino Linotype"/>
          <w:b/>
          <w:i/>
          <w:szCs w:val="24"/>
        </w:rPr>
        <w:t xml:space="preserve">se turnen a todas las Áreas competentes </w:t>
      </w:r>
      <w:r w:rsidRPr="00911B9A">
        <w:rPr>
          <w:rFonts w:ascii="Palatino Linotype" w:eastAsia="Palatino Linotype" w:hAnsi="Palatino Linotype" w:cs="Palatino Linotype"/>
          <w:i/>
          <w:szCs w:val="24"/>
        </w:rPr>
        <w:t xml:space="preserve">que cuenten con la información o deban tenerla de acuerdo a sus facultades, competencias y </w:t>
      </w:r>
      <w:r w:rsidRPr="00911B9A">
        <w:rPr>
          <w:rFonts w:ascii="Palatino Linotype" w:eastAsia="Palatino Linotype" w:hAnsi="Palatino Linotype" w:cs="Palatino Linotype"/>
          <w:i/>
          <w:szCs w:val="24"/>
        </w:rPr>
        <w:lastRenderedPageBreak/>
        <w:t>funciones, con el objeto de que realicen una búsqueda exhaustiva y razonable de la información solicitada.”</w:t>
      </w:r>
    </w:p>
    <w:p w14:paraId="24AF6599" w14:textId="77777777" w:rsidR="00B63FA2" w:rsidRPr="00911B9A" w:rsidRDefault="00B63FA2" w:rsidP="00B63FA2">
      <w:pPr>
        <w:pBdr>
          <w:top w:val="nil"/>
          <w:left w:val="nil"/>
          <w:bottom w:val="nil"/>
          <w:right w:val="nil"/>
          <w:between w:val="nil"/>
        </w:pBdr>
        <w:spacing w:line="360" w:lineRule="auto"/>
        <w:ind w:left="864" w:right="864"/>
        <w:contextualSpacing/>
        <w:jc w:val="both"/>
        <w:rPr>
          <w:rFonts w:ascii="Palatino Linotype" w:hAnsi="Palatino Linotype"/>
          <w:sz w:val="24"/>
          <w:szCs w:val="24"/>
        </w:rPr>
      </w:pPr>
    </w:p>
    <w:p w14:paraId="77D966BC" w14:textId="77777777" w:rsidR="00B63FA2" w:rsidRPr="00911B9A" w:rsidRDefault="00B63FA2" w:rsidP="00B63FA2">
      <w:pPr>
        <w:spacing w:before="240" w:after="240" w:line="360" w:lineRule="auto"/>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Por consiguiente, se tiene que el procedimiento de búsqueda de la información no se ejecutó conforme a derecho.</w:t>
      </w:r>
    </w:p>
    <w:p w14:paraId="6A47376D" w14:textId="77777777" w:rsidR="00B63FA2" w:rsidRPr="00911B9A" w:rsidRDefault="00B63FA2" w:rsidP="000829F4">
      <w:pPr>
        <w:spacing w:after="0" w:line="360" w:lineRule="auto"/>
        <w:jc w:val="both"/>
        <w:rPr>
          <w:rFonts w:ascii="Palatino Linotype" w:eastAsia="Palatino Linotype" w:hAnsi="Palatino Linotype" w:cs="Palatino Linotype"/>
          <w:sz w:val="24"/>
          <w:szCs w:val="24"/>
        </w:rPr>
      </w:pPr>
    </w:p>
    <w:p w14:paraId="492637A0" w14:textId="77777777" w:rsidR="00B63FA2" w:rsidRPr="00911B9A" w:rsidRDefault="00B63FA2" w:rsidP="00B63FA2">
      <w:pPr>
        <w:spacing w:before="240" w:after="240" w:line="360" w:lineRule="auto"/>
        <w:contextualSpacing/>
        <w:jc w:val="both"/>
        <w:rPr>
          <w:rFonts w:ascii="Palatino Linotype" w:eastAsia="Palatino Linotype" w:hAnsi="Palatino Linotype" w:cs="Palatino Linotype"/>
          <w:sz w:val="24"/>
        </w:rPr>
      </w:pPr>
      <w:r w:rsidRPr="00911B9A">
        <w:rPr>
          <w:rFonts w:ascii="Palatino Linotype" w:eastAsia="Palatino Linotype" w:hAnsi="Palatino Linotype" w:cs="Palatino Linotype"/>
          <w:sz w:val="24"/>
        </w:rPr>
        <w:t xml:space="preserve">Ahora bien, sobre la naturaleza de la información requerida, es necesario señalar que la Ley de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entre ellos </w:t>
      </w:r>
      <w:r w:rsidRPr="00911B9A">
        <w:rPr>
          <w:rFonts w:ascii="Palatino Linotype" w:eastAsia="Palatino Linotype" w:hAnsi="Palatino Linotype" w:cs="Palatino Linotype"/>
          <w:b/>
          <w:sz w:val="24"/>
        </w:rPr>
        <w:t>EL SUJETO OBLIGADO</w:t>
      </w:r>
      <w:r w:rsidRPr="00911B9A">
        <w:rPr>
          <w:rFonts w:ascii="Palatino Linotype" w:eastAsia="Palatino Linotype" w:hAnsi="Palatino Linotype" w:cs="Palatino Linotype"/>
          <w:sz w:val="24"/>
        </w:rPr>
        <w:t>, los cuales se adjudicarán a través de licitación pública, invitación restringida o adjudicación directa, tal y como lo establecen los artículos 4, 26 y 27 de dicha Ley, los cuales son del tenor siguiente:</w:t>
      </w:r>
    </w:p>
    <w:p w14:paraId="5A30C599" w14:textId="77777777" w:rsidR="00B63FA2" w:rsidRPr="00911B9A" w:rsidRDefault="00B63FA2" w:rsidP="00B63FA2">
      <w:pPr>
        <w:spacing w:before="240" w:after="240" w:line="360" w:lineRule="auto"/>
        <w:contextualSpacing/>
        <w:jc w:val="both"/>
        <w:rPr>
          <w:rFonts w:ascii="Palatino Linotype" w:eastAsia="Palatino Linotype" w:hAnsi="Palatino Linotype" w:cs="Palatino Linotype"/>
          <w:sz w:val="24"/>
        </w:rPr>
      </w:pPr>
    </w:p>
    <w:p w14:paraId="1C195B92" w14:textId="77777777" w:rsidR="00B63FA2" w:rsidRPr="00911B9A" w:rsidRDefault="00B63FA2" w:rsidP="00B63FA2">
      <w:pPr>
        <w:spacing w:before="120" w:after="12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4.-</w:t>
      </w:r>
      <w:r w:rsidRPr="00911B9A">
        <w:rPr>
          <w:rFonts w:ascii="Palatino Linotype" w:eastAsia="Palatino Linotype" w:hAnsi="Palatino Linotype" w:cs="Palatino Linotype"/>
          <w:i/>
        </w:rPr>
        <w:t xml:space="preserve"> Para los efectos de esta Ley, </w:t>
      </w:r>
      <w:r w:rsidRPr="00911B9A">
        <w:rPr>
          <w:rFonts w:ascii="Palatino Linotype" w:eastAsia="Palatino Linotype" w:hAnsi="Palatino Linotype" w:cs="Palatino Linotype"/>
          <w:b/>
          <w:i/>
        </w:rPr>
        <w:t>en las adquisiciones, enajenaciones, arrendamientos y servicios, quedan comprendidos</w:t>
      </w:r>
      <w:r w:rsidRPr="00911B9A">
        <w:rPr>
          <w:rFonts w:ascii="Palatino Linotype" w:eastAsia="Palatino Linotype" w:hAnsi="Palatino Linotype" w:cs="Palatino Linotype"/>
          <w:i/>
        </w:rPr>
        <w:t>:</w:t>
      </w:r>
    </w:p>
    <w:p w14:paraId="13DAB37A"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I.</w:t>
      </w:r>
      <w:r w:rsidRPr="00911B9A">
        <w:rPr>
          <w:rFonts w:ascii="Palatino Linotype" w:eastAsia="Palatino Linotype" w:hAnsi="Palatino Linotype" w:cs="Palatino Linotype"/>
          <w:i/>
        </w:rPr>
        <w:t xml:space="preserve"> La adquisición de bienes muebles.</w:t>
      </w:r>
    </w:p>
    <w:p w14:paraId="48241514"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II</w:t>
      </w:r>
      <w:r w:rsidRPr="00911B9A">
        <w:rPr>
          <w:rFonts w:ascii="Palatino Linotype" w:eastAsia="Palatino Linotype" w:hAnsi="Palatino Linotype" w:cs="Palatino Linotype"/>
          <w:i/>
        </w:rPr>
        <w:t>. La adquisición de bienes inmuebles, a través de compraventa.</w:t>
      </w:r>
    </w:p>
    <w:p w14:paraId="2B497E3A"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III.</w:t>
      </w:r>
      <w:r w:rsidRPr="00911B9A">
        <w:rPr>
          <w:rFonts w:ascii="Palatino Linotype" w:eastAsia="Palatino Linotype" w:hAnsi="Palatino Linotype" w:cs="Palatino Linotype"/>
          <w:i/>
        </w:rPr>
        <w:t xml:space="preserve"> La enajenación de bienes muebles e inmuebles.</w:t>
      </w:r>
    </w:p>
    <w:p w14:paraId="3D7C485E"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IV.</w:t>
      </w:r>
      <w:r w:rsidRPr="00911B9A">
        <w:rPr>
          <w:rFonts w:ascii="Palatino Linotype" w:eastAsia="Palatino Linotype" w:hAnsi="Palatino Linotype" w:cs="Palatino Linotype"/>
          <w:i/>
        </w:rPr>
        <w:t xml:space="preserve"> El arrendamiento de bienes muebles e inmuebles. </w:t>
      </w:r>
    </w:p>
    <w:p w14:paraId="63F11B0F"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V</w:t>
      </w:r>
      <w:r w:rsidRPr="00911B9A">
        <w:rPr>
          <w:rFonts w:ascii="Palatino Linotype" w:eastAsia="Palatino Linotype" w:hAnsi="Palatino Linotype" w:cs="Palatino Linotype"/>
          <w:i/>
        </w:rPr>
        <w:t>. La contratación de los servicios, relacionados con bienes muebles que se encuentran incorporados o adheridos a bienes inmuebles, cuya instalación o mantenimiento no implique modificación al bien inmueble.</w:t>
      </w:r>
    </w:p>
    <w:p w14:paraId="33A7F148"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VI.</w:t>
      </w:r>
      <w:r w:rsidRPr="00911B9A">
        <w:rPr>
          <w:rFonts w:ascii="Palatino Linotype" w:eastAsia="Palatino Linotype" w:hAnsi="Palatino Linotype" w:cs="Palatino Linotype"/>
          <w:i/>
        </w:rPr>
        <w:t xml:space="preserve"> La contratación de los servicios de reconstrucción y mantenimiento de bienes muebles. </w:t>
      </w:r>
    </w:p>
    <w:p w14:paraId="4CE02109"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lastRenderedPageBreak/>
        <w:t>VII.</w:t>
      </w:r>
      <w:r w:rsidRPr="00911B9A">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14:paraId="4D6033DB"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VIII.</w:t>
      </w:r>
      <w:r w:rsidRPr="00911B9A">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14:paraId="7EB22D60" w14:textId="77777777" w:rsidR="00B63FA2" w:rsidRPr="00911B9A" w:rsidRDefault="00B63FA2" w:rsidP="00B63FA2">
      <w:pPr>
        <w:spacing w:before="120" w:after="12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En general, otros actos que impliquen la contratación de servicios de cualquier naturaleza</w:t>
      </w:r>
    </w:p>
    <w:p w14:paraId="1483AD65" w14:textId="77777777" w:rsidR="00B63FA2" w:rsidRPr="00911B9A" w:rsidRDefault="00B63FA2" w:rsidP="00B63FA2">
      <w:pPr>
        <w:spacing w:before="120" w:after="12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26.-</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Las adquisiciones, arrendamientos y servicios se adjudicarán a través de licitaciones públicas</w:t>
      </w:r>
      <w:r w:rsidRPr="00911B9A">
        <w:rPr>
          <w:rFonts w:ascii="Palatino Linotype" w:eastAsia="Palatino Linotype" w:hAnsi="Palatino Linotype" w:cs="Palatino Linotype"/>
          <w:i/>
        </w:rPr>
        <w:t xml:space="preserve">, mediante convocatoria pública. </w:t>
      </w:r>
    </w:p>
    <w:p w14:paraId="1A9FB65D" w14:textId="77777777" w:rsidR="00B63FA2" w:rsidRPr="00911B9A" w:rsidRDefault="00B63FA2" w:rsidP="00B63FA2">
      <w:pPr>
        <w:spacing w:before="120" w:after="120" w:line="276" w:lineRule="auto"/>
        <w:ind w:left="851"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27.</w:t>
      </w:r>
      <w:r w:rsidRPr="00911B9A">
        <w:rPr>
          <w:rFonts w:ascii="Palatino Linotype" w:eastAsia="Palatino Linotype" w:hAnsi="Palatino Linotype" w:cs="Palatino Linotype"/>
          <w:i/>
        </w:rPr>
        <w:t xml:space="preserve">- La Secretaría, las entidades, los tribunales administrativos y los ayuntamientos podrán </w:t>
      </w:r>
      <w:r w:rsidRPr="00911B9A">
        <w:rPr>
          <w:rFonts w:ascii="Palatino Linotype" w:eastAsia="Palatino Linotype" w:hAnsi="Palatino Linotype" w:cs="Palatino Linotype"/>
          <w:b/>
          <w:i/>
        </w:rPr>
        <w:t>adjudicar adquisiciones, arrendamientos y servicios, mediante las excepciones al procedimiento de licitación</w:t>
      </w:r>
      <w:r w:rsidRPr="00911B9A">
        <w:rPr>
          <w:rFonts w:ascii="Palatino Linotype" w:eastAsia="Palatino Linotype" w:hAnsi="Palatino Linotype" w:cs="Palatino Linotype"/>
          <w:i/>
        </w:rPr>
        <w:t xml:space="preserve"> que a continuación se señalan:</w:t>
      </w:r>
    </w:p>
    <w:p w14:paraId="7C23C9E0"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I</w:t>
      </w:r>
      <w:r w:rsidRPr="00911B9A">
        <w:rPr>
          <w:rFonts w:ascii="Palatino Linotype" w:eastAsia="Palatino Linotype" w:hAnsi="Palatino Linotype" w:cs="Palatino Linotype"/>
          <w:i/>
        </w:rPr>
        <w:t>. Invitación restringida.</w:t>
      </w:r>
    </w:p>
    <w:p w14:paraId="04048A25"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II.</w:t>
      </w:r>
      <w:r w:rsidRPr="00911B9A">
        <w:rPr>
          <w:rFonts w:ascii="Palatino Linotype" w:eastAsia="Palatino Linotype" w:hAnsi="Palatino Linotype" w:cs="Palatino Linotype"/>
          <w:i/>
        </w:rPr>
        <w:t xml:space="preserve"> Adjudicación directa.”</w:t>
      </w:r>
    </w:p>
    <w:p w14:paraId="3D3452FB" w14:textId="77777777" w:rsidR="00B63FA2" w:rsidRPr="00911B9A" w:rsidRDefault="00B63FA2" w:rsidP="00B63FA2">
      <w:pPr>
        <w:spacing w:before="120" w:after="120" w:line="276" w:lineRule="auto"/>
        <w:ind w:left="1134" w:right="902"/>
        <w:contextualSpacing/>
        <w:jc w:val="both"/>
        <w:rPr>
          <w:rFonts w:ascii="Palatino Linotype" w:eastAsia="Palatino Linotype" w:hAnsi="Palatino Linotype" w:cs="Palatino Linotype"/>
          <w:sz w:val="24"/>
        </w:rPr>
      </w:pPr>
    </w:p>
    <w:p w14:paraId="1B60411A" w14:textId="77777777" w:rsidR="00B63FA2" w:rsidRPr="00911B9A" w:rsidRDefault="00B63FA2" w:rsidP="00B63FA2">
      <w:pPr>
        <w:spacing w:before="240" w:after="240" w:line="360" w:lineRule="auto"/>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Con base en los preceptos citados se advierte que, por regla general, las adquisiciones,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14:paraId="56AE34B9" w14:textId="77777777" w:rsidR="00B63FA2" w:rsidRPr="00911B9A" w:rsidRDefault="00B63FA2" w:rsidP="00B63FA2">
      <w:pPr>
        <w:spacing w:before="240" w:after="240" w:line="360" w:lineRule="auto"/>
        <w:contextualSpacing/>
        <w:jc w:val="both"/>
        <w:rPr>
          <w:rFonts w:ascii="Palatino Linotype" w:eastAsia="Palatino Linotype" w:hAnsi="Palatino Linotype" w:cs="Palatino Linotype"/>
          <w:sz w:val="24"/>
          <w:szCs w:val="24"/>
        </w:rPr>
      </w:pPr>
    </w:p>
    <w:p w14:paraId="74297279" w14:textId="77777777" w:rsidR="00B63FA2" w:rsidRPr="00911B9A" w:rsidRDefault="00B63FA2" w:rsidP="00B63FA2">
      <w:pPr>
        <w:spacing w:before="240" w:after="240" w:line="360" w:lineRule="auto"/>
        <w:ind w:right="51"/>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w:t>
      </w:r>
      <w:r w:rsidRPr="00911B9A">
        <w:rPr>
          <w:rFonts w:ascii="Palatino Linotype" w:eastAsia="Palatino Linotype" w:hAnsi="Palatino Linotype" w:cs="Palatino Linotype"/>
          <w:sz w:val="24"/>
          <w:szCs w:val="24"/>
        </w:rPr>
        <w:lastRenderedPageBreak/>
        <w:t>invitación restringida, y licitación de cualquier naturaleza, incluyendo la versión pública del expediente respectivo y de los contratos celebrados, a saber:</w:t>
      </w:r>
    </w:p>
    <w:p w14:paraId="751980EB" w14:textId="77777777" w:rsidR="00B63FA2" w:rsidRPr="00911B9A" w:rsidRDefault="00B63FA2" w:rsidP="00B63FA2">
      <w:pPr>
        <w:spacing w:before="240" w:after="240" w:line="360" w:lineRule="auto"/>
        <w:ind w:right="51"/>
        <w:contextualSpacing/>
        <w:jc w:val="both"/>
        <w:rPr>
          <w:rFonts w:ascii="Palatino Linotype" w:eastAsia="Palatino Linotype" w:hAnsi="Palatino Linotype" w:cs="Palatino Linotype"/>
          <w:sz w:val="24"/>
          <w:szCs w:val="24"/>
        </w:rPr>
      </w:pPr>
    </w:p>
    <w:p w14:paraId="6E73A60A" w14:textId="77777777" w:rsidR="00B63FA2" w:rsidRPr="00911B9A" w:rsidRDefault="00B63FA2" w:rsidP="00B63FA2">
      <w:pPr>
        <w:ind w:left="85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Artículo 92</w:t>
      </w:r>
      <w:r w:rsidRPr="00911B9A">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B5B269" w14:textId="77777777" w:rsidR="00B63FA2" w:rsidRPr="00911B9A" w:rsidRDefault="00B63FA2" w:rsidP="00B63FA2">
      <w:pPr>
        <w:tabs>
          <w:tab w:val="left" w:pos="426"/>
        </w:tabs>
        <w:spacing w:before="120" w:after="120"/>
        <w:ind w:left="1134"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p>
    <w:p w14:paraId="068A4BD3" w14:textId="77777777" w:rsidR="00B63FA2" w:rsidRPr="00911B9A" w:rsidRDefault="00B63FA2" w:rsidP="00B63FA2">
      <w:pPr>
        <w:tabs>
          <w:tab w:val="left" w:pos="426"/>
        </w:tabs>
        <w:spacing w:before="120" w:after="120"/>
        <w:ind w:left="1134"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XXIX.</w:t>
      </w:r>
      <w:r w:rsidRPr="00911B9A">
        <w:rPr>
          <w:rFonts w:ascii="Palatino Linotype" w:eastAsia="Palatino Linotype" w:hAnsi="Palatino Linotype" w:cs="Palatino Linotype"/>
          <w:i/>
        </w:rPr>
        <w:t xml:space="preserve"> La </w:t>
      </w:r>
      <w:r w:rsidRPr="00911B9A">
        <w:rPr>
          <w:rFonts w:ascii="Palatino Linotype" w:eastAsia="Palatino Linotype" w:hAnsi="Palatino Linotype" w:cs="Palatino Linotype"/>
          <w:b/>
          <w:i/>
        </w:rPr>
        <w:t xml:space="preserve">información sobre los procesos y resultados </w:t>
      </w:r>
      <w:r w:rsidRPr="00911B9A">
        <w:rPr>
          <w:rFonts w:ascii="Palatino Linotype" w:eastAsia="Palatino Linotype" w:hAnsi="Palatino Linotype" w:cs="Palatino Linotype"/>
          <w:b/>
          <w:i/>
          <w:u w:val="single"/>
        </w:rPr>
        <w:t>sobre procedimientos de adjudicación directa, invitación restringida y licitación de cualquier naturaleza</w:t>
      </w:r>
      <w:r w:rsidRPr="00911B9A">
        <w:rPr>
          <w:rFonts w:ascii="Palatino Linotype" w:eastAsia="Palatino Linotype" w:hAnsi="Palatino Linotype" w:cs="Palatino Linotype"/>
          <w:i/>
          <w:u w:val="single"/>
        </w:rPr>
        <w:t xml:space="preserve">, </w:t>
      </w:r>
      <w:r w:rsidRPr="00911B9A">
        <w:rPr>
          <w:rFonts w:ascii="Palatino Linotype" w:eastAsia="Palatino Linotype" w:hAnsi="Palatino Linotype" w:cs="Palatino Linotype"/>
          <w:b/>
          <w:i/>
        </w:rPr>
        <w:t>incluyendo la versión pública</w:t>
      </w:r>
      <w:r w:rsidRPr="00911B9A">
        <w:rPr>
          <w:rFonts w:ascii="Palatino Linotype" w:eastAsia="Palatino Linotype" w:hAnsi="Palatino Linotype" w:cs="Palatino Linotype"/>
          <w:i/>
        </w:rPr>
        <w:t xml:space="preserve"> del expediente respectivo y </w:t>
      </w:r>
      <w:r w:rsidRPr="00911B9A">
        <w:rPr>
          <w:rFonts w:ascii="Palatino Linotype" w:eastAsia="Palatino Linotype" w:hAnsi="Palatino Linotype" w:cs="Palatino Linotype"/>
          <w:b/>
          <w:i/>
        </w:rPr>
        <w:t>de los contratos celebrados</w:t>
      </w:r>
      <w:r w:rsidRPr="00911B9A">
        <w:rPr>
          <w:rFonts w:ascii="Palatino Linotype" w:eastAsia="Palatino Linotype" w:hAnsi="Palatino Linotype" w:cs="Palatino Linotype"/>
          <w:i/>
        </w:rPr>
        <w:t>, que deberán contener, por los menos, lo siguiente:</w:t>
      </w:r>
    </w:p>
    <w:p w14:paraId="028BA3CA" w14:textId="77777777" w:rsidR="00B63FA2" w:rsidRPr="00911B9A" w:rsidRDefault="00B63FA2" w:rsidP="00B63FA2">
      <w:pPr>
        <w:tabs>
          <w:tab w:val="left" w:pos="426"/>
        </w:tabs>
        <w:spacing w:before="120" w:after="120"/>
        <w:ind w:left="1418" w:right="902"/>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a) De licitaciones públicas o procedimientos de invitación restringida:</w:t>
      </w:r>
    </w:p>
    <w:p w14:paraId="42173075"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1)</w:t>
      </w:r>
      <w:r w:rsidRPr="00911B9A">
        <w:rPr>
          <w:rFonts w:ascii="Palatino Linotype" w:eastAsia="Palatino Linotype" w:hAnsi="Palatino Linotype" w:cs="Palatino Linotype"/>
          <w:i/>
        </w:rPr>
        <w:t xml:space="preserve"> La convocatoria o invitación emitida, así como los fundamentos legales aplicados para llevarla a cabo;</w:t>
      </w:r>
    </w:p>
    <w:p w14:paraId="0EAADB91"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2)</w:t>
      </w:r>
      <w:r w:rsidRPr="00911B9A">
        <w:rPr>
          <w:rFonts w:ascii="Palatino Linotype" w:eastAsia="Palatino Linotype" w:hAnsi="Palatino Linotype" w:cs="Palatino Linotype"/>
          <w:i/>
        </w:rPr>
        <w:t xml:space="preserve"> Los nombres de los participantes o invitados;</w:t>
      </w:r>
    </w:p>
    <w:p w14:paraId="4BB5F2BC"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b/>
          <w:i/>
          <w:u w:val="single"/>
        </w:rPr>
      </w:pPr>
      <w:r w:rsidRPr="00911B9A">
        <w:rPr>
          <w:rFonts w:ascii="Palatino Linotype" w:eastAsia="Palatino Linotype" w:hAnsi="Palatino Linotype" w:cs="Palatino Linotype"/>
          <w:b/>
          <w:i/>
        </w:rPr>
        <w:t>3</w:t>
      </w:r>
      <w:r w:rsidRPr="00911B9A">
        <w:rPr>
          <w:rFonts w:ascii="Palatino Linotype" w:eastAsia="Palatino Linotype" w:hAnsi="Palatino Linotype" w:cs="Palatino Linotype"/>
          <w:i/>
        </w:rPr>
        <w:t>) El nombre del ganador y las razones que lo justifican;</w:t>
      </w:r>
    </w:p>
    <w:p w14:paraId="1E2E04D2"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4)</w:t>
      </w:r>
      <w:r w:rsidRPr="00911B9A">
        <w:rPr>
          <w:rFonts w:ascii="Palatino Linotype" w:eastAsia="Palatino Linotype" w:hAnsi="Palatino Linotype" w:cs="Palatino Linotype"/>
          <w:i/>
        </w:rPr>
        <w:t xml:space="preserve"> El área solicitante y la responsable de su ejecución;</w:t>
      </w:r>
    </w:p>
    <w:p w14:paraId="667B9CB1"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5)</w:t>
      </w:r>
      <w:r w:rsidRPr="00911B9A">
        <w:rPr>
          <w:rFonts w:ascii="Palatino Linotype" w:eastAsia="Palatino Linotype" w:hAnsi="Palatino Linotype" w:cs="Palatino Linotype"/>
          <w:i/>
        </w:rPr>
        <w:t xml:space="preserve"> Las convocatorias e invitaciones emitidas; </w:t>
      </w:r>
    </w:p>
    <w:p w14:paraId="2F37192E"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bCs/>
          <w:i/>
        </w:rPr>
      </w:pPr>
      <w:r w:rsidRPr="00911B9A">
        <w:rPr>
          <w:rFonts w:ascii="Palatino Linotype" w:eastAsia="Palatino Linotype" w:hAnsi="Palatino Linotype" w:cs="Palatino Linotype"/>
          <w:bCs/>
          <w:i/>
        </w:rPr>
        <w:t>6) Los dictámenes y fallo de adjudicación;</w:t>
      </w:r>
    </w:p>
    <w:p w14:paraId="6FCDBC3F"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bCs/>
          <w:i/>
        </w:rPr>
      </w:pPr>
      <w:r w:rsidRPr="00911B9A">
        <w:rPr>
          <w:rFonts w:ascii="Palatino Linotype" w:eastAsia="Palatino Linotype" w:hAnsi="Palatino Linotype" w:cs="Palatino Linotype"/>
          <w:bCs/>
          <w:i/>
        </w:rPr>
        <w:t xml:space="preserve">7) El contrato y, en su caso, sus anexos; </w:t>
      </w:r>
    </w:p>
    <w:p w14:paraId="42BBA21D"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8)</w:t>
      </w:r>
      <w:r w:rsidRPr="00911B9A">
        <w:rPr>
          <w:rFonts w:ascii="Palatino Linotype" w:eastAsia="Palatino Linotype" w:hAnsi="Palatino Linotype" w:cs="Palatino Linotype"/>
          <w:i/>
        </w:rPr>
        <w:t xml:space="preserve"> Los mecanismos de vigilancia y supervisión, incluyendo en su caso, los estudios de impacto urbano y ambiental, según corresponda;</w:t>
      </w:r>
    </w:p>
    <w:p w14:paraId="33471BA9"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9) La partida presupuestal, de conformidad con el clasificador por objeto del gasto, en el caso de ser aplicable; </w:t>
      </w:r>
    </w:p>
    <w:p w14:paraId="49FCF62A"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lastRenderedPageBreak/>
        <w:t>10)</w:t>
      </w:r>
      <w:r w:rsidRPr="00911B9A">
        <w:rPr>
          <w:rFonts w:ascii="Palatino Linotype" w:eastAsia="Palatino Linotype" w:hAnsi="Palatino Linotype" w:cs="Palatino Linotype"/>
          <w:i/>
        </w:rPr>
        <w:t xml:space="preserve"> Origen de los recursos especificando si son federales, estatales o municipales, así como el tipo de fondo de participación o aportación respectiva;</w:t>
      </w:r>
    </w:p>
    <w:p w14:paraId="087C85F3"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11)</w:t>
      </w:r>
      <w:r w:rsidRPr="00911B9A">
        <w:rPr>
          <w:rFonts w:ascii="Palatino Linotype" w:eastAsia="Palatino Linotype" w:hAnsi="Palatino Linotype" w:cs="Palatino Linotype"/>
          <w:i/>
        </w:rPr>
        <w:t xml:space="preserve"> Los convenios modificatorios que, en su caso, sean firmados, precisando el objeto y la fecha de celebración;</w:t>
      </w:r>
    </w:p>
    <w:p w14:paraId="2C2B62D7"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12)</w:t>
      </w:r>
      <w:r w:rsidRPr="00911B9A">
        <w:rPr>
          <w:rFonts w:ascii="Palatino Linotype" w:eastAsia="Palatino Linotype" w:hAnsi="Palatino Linotype" w:cs="Palatino Linotype"/>
          <w:i/>
        </w:rPr>
        <w:t xml:space="preserve"> Los informes de avance físico y financiero sobre las obras o servicios contratados; </w:t>
      </w:r>
    </w:p>
    <w:p w14:paraId="177BA85A"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13) El convenio de terminación; </w:t>
      </w:r>
    </w:p>
    <w:p w14:paraId="7DF63ACA"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14) El finiquito.</w:t>
      </w:r>
    </w:p>
    <w:p w14:paraId="6A3A5D21" w14:textId="77777777" w:rsidR="00B63FA2" w:rsidRPr="00911B9A" w:rsidRDefault="00B63FA2" w:rsidP="00B63FA2">
      <w:pPr>
        <w:tabs>
          <w:tab w:val="left" w:pos="426"/>
        </w:tabs>
        <w:spacing w:before="120" w:after="120"/>
        <w:ind w:left="1418" w:right="902"/>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 xml:space="preserve">b) De las adjudicaciones directas: </w:t>
      </w:r>
    </w:p>
    <w:p w14:paraId="5C139DAB"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1)</w:t>
      </w:r>
      <w:r w:rsidRPr="00911B9A">
        <w:rPr>
          <w:rFonts w:ascii="Palatino Linotype" w:eastAsia="Palatino Linotype" w:hAnsi="Palatino Linotype" w:cs="Palatino Linotype"/>
          <w:i/>
        </w:rPr>
        <w:t xml:space="preserve"> La propuesta enviada por el participante; </w:t>
      </w:r>
    </w:p>
    <w:p w14:paraId="77948B6D"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2)</w:t>
      </w:r>
      <w:r w:rsidRPr="00911B9A">
        <w:rPr>
          <w:rFonts w:ascii="Palatino Linotype" w:eastAsia="Palatino Linotype" w:hAnsi="Palatino Linotype" w:cs="Palatino Linotype"/>
          <w:i/>
        </w:rPr>
        <w:t xml:space="preserve"> Los motivos y fundamentos legales aplicados para llevarla a cabo;</w:t>
      </w:r>
    </w:p>
    <w:p w14:paraId="18B5BA6E"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3) La autorización del ejercicio de la opción; </w:t>
      </w:r>
    </w:p>
    <w:p w14:paraId="0EBDBBBF"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4) En su caso, las cotizaciones consideradas, especificando los nombres de los proveedores y sus montos; </w:t>
      </w:r>
    </w:p>
    <w:p w14:paraId="1FD84131"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5) El nombre de la persona física o jurídica colectiva adjudicada; </w:t>
      </w:r>
    </w:p>
    <w:p w14:paraId="4649AE1F"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6)</w:t>
      </w:r>
      <w:r w:rsidRPr="00911B9A">
        <w:rPr>
          <w:rFonts w:ascii="Palatino Linotype" w:eastAsia="Palatino Linotype" w:hAnsi="Palatino Linotype" w:cs="Palatino Linotype"/>
          <w:i/>
        </w:rPr>
        <w:t xml:space="preserve"> La unidad administrativa solicitante y la responsable de su ejecución; </w:t>
      </w:r>
    </w:p>
    <w:p w14:paraId="13A9B361"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7</w:t>
      </w:r>
      <w:r w:rsidRPr="00911B9A">
        <w:rPr>
          <w:rFonts w:ascii="Palatino Linotype" w:eastAsia="Palatino Linotype" w:hAnsi="Palatino Linotype" w:cs="Palatino Linotype"/>
          <w:i/>
        </w:rPr>
        <w:t xml:space="preserve">) El número, fecha, el monto del contrato y el plazo de entrega o de ejecución de los servicios u obra; </w:t>
      </w:r>
    </w:p>
    <w:p w14:paraId="70535B17"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8)</w:t>
      </w:r>
      <w:r w:rsidRPr="00911B9A">
        <w:rPr>
          <w:rFonts w:ascii="Palatino Linotype" w:eastAsia="Palatino Linotype" w:hAnsi="Palatino Linotype" w:cs="Palatino Linotype"/>
          <w:i/>
        </w:rPr>
        <w:t xml:space="preserve"> Los mecanismos de vigilancia y supervisión, incluyendo, en su caso, los estudios de impacto urbano y ambiental, según corresponda; </w:t>
      </w:r>
    </w:p>
    <w:p w14:paraId="48DA6CCD"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b/>
          <w:i/>
        </w:rPr>
        <w:t>9)</w:t>
      </w:r>
      <w:r w:rsidRPr="00911B9A">
        <w:rPr>
          <w:rFonts w:ascii="Palatino Linotype" w:eastAsia="Palatino Linotype" w:hAnsi="Palatino Linotype" w:cs="Palatino Linotype"/>
          <w:i/>
        </w:rPr>
        <w:t xml:space="preserve"> Los informes de avance sobre las obras o servicios contratados; </w:t>
      </w:r>
    </w:p>
    <w:p w14:paraId="7E8CE097"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10) El convenio de terminación; y </w:t>
      </w:r>
    </w:p>
    <w:p w14:paraId="7D91052D"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11) El finiquito;”</w:t>
      </w:r>
    </w:p>
    <w:p w14:paraId="3F808729" w14:textId="77777777" w:rsidR="00B63FA2" w:rsidRPr="00911B9A" w:rsidRDefault="00B63FA2" w:rsidP="00B63FA2">
      <w:pPr>
        <w:tabs>
          <w:tab w:val="left" w:pos="426"/>
        </w:tabs>
        <w:spacing w:before="120" w:after="120"/>
        <w:ind w:left="1701" w:right="902"/>
        <w:jc w:val="both"/>
        <w:rPr>
          <w:rFonts w:ascii="Palatino Linotype" w:eastAsia="Palatino Linotype" w:hAnsi="Palatino Linotype" w:cs="Palatino Linotype"/>
          <w:sz w:val="24"/>
        </w:rPr>
      </w:pPr>
    </w:p>
    <w:p w14:paraId="40CDF474" w14:textId="77777777" w:rsidR="00B63FA2" w:rsidRPr="00911B9A" w:rsidRDefault="00B63FA2" w:rsidP="00B63FA2">
      <w:pPr>
        <w:spacing w:before="240" w:after="240" w:line="360" w:lineRule="auto"/>
        <w:ind w:right="51"/>
        <w:contextualSpacing/>
        <w:jc w:val="both"/>
        <w:rPr>
          <w:rFonts w:ascii="Palatino Linotype" w:eastAsia="Palatino Linotype" w:hAnsi="Palatino Linotype" w:cs="Palatino Linotype"/>
          <w:sz w:val="24"/>
        </w:rPr>
      </w:pPr>
      <w:r w:rsidRPr="00911B9A">
        <w:rPr>
          <w:rFonts w:ascii="Palatino Linotype" w:eastAsia="Palatino Linotype" w:hAnsi="Palatino Linotype" w:cs="Palatino Linotype"/>
          <w:sz w:val="24"/>
        </w:rPr>
        <w:t xml:space="preserve">Por ende, de acuerdo a los </w:t>
      </w:r>
      <w:r w:rsidRPr="00911B9A">
        <w:rPr>
          <w:rFonts w:ascii="Palatino Linotype" w:eastAsia="Palatino Linotype" w:hAnsi="Palatino Linotype" w:cs="Palatino Linotype"/>
          <w:i/>
          <w:sz w:val="24"/>
        </w:rPr>
        <w:t xml:space="preserve">Lineamientos Técnicos Generales para la publicación, homologación y estandarización de la información de las obligaciones establecidas en el título quinto y en la fracción IV del artículo 31 de la Ley General de Transparencia y Acceso a la </w:t>
      </w:r>
      <w:r w:rsidRPr="00911B9A">
        <w:rPr>
          <w:rFonts w:ascii="Palatino Linotype" w:eastAsia="Palatino Linotype" w:hAnsi="Palatino Linotype" w:cs="Palatino Linotype"/>
          <w:i/>
          <w:sz w:val="24"/>
        </w:rPr>
        <w:lastRenderedPageBreak/>
        <w:t>Información Pública</w:t>
      </w:r>
      <w:r w:rsidRPr="00911B9A">
        <w:rPr>
          <w:rFonts w:ascii="Palatino Linotype" w:eastAsia="Palatino Linotype" w:hAnsi="Palatino Linotype" w:cs="Palatino Linotype"/>
          <w:sz w:val="24"/>
        </w:rPr>
        <w:t xml:space="preserve">, que deben de difundir los sujetos obligados en los portales de Internet y en la Plataforma Nacional de Transparencia, para el cumplimiento de la obligación de transparencia señalada en el artículo 70  fracción XXVIII de la </w:t>
      </w:r>
      <w:r w:rsidRPr="00911B9A">
        <w:rPr>
          <w:rFonts w:ascii="Palatino Linotype" w:eastAsia="Palatino Linotype" w:hAnsi="Palatino Linotype" w:cs="Palatino Linotype"/>
          <w:i/>
          <w:sz w:val="24"/>
        </w:rPr>
        <w:t>Ley General de Transparencia y Acceso a la Información Pública</w:t>
      </w:r>
      <w:r w:rsidRPr="00911B9A">
        <w:rPr>
          <w:rFonts w:ascii="Palatino Linotype" w:eastAsia="Palatino Linotype" w:hAnsi="Palatino Linotype" w:cs="Palatino Linotype"/>
          <w:sz w:val="24"/>
        </w:rPr>
        <w:t xml:space="preserve">, los sujetos obligados deben publicar información sobre los actos, contratos y convenios celebrados, misma que </w:t>
      </w:r>
      <w:r w:rsidRPr="00911B9A">
        <w:rPr>
          <w:rFonts w:ascii="Palatino Linotype" w:eastAsia="Palatino Linotype" w:hAnsi="Palatino Linotype" w:cs="Palatino Linotype"/>
          <w:b/>
          <w:sz w:val="24"/>
        </w:rPr>
        <w:t xml:space="preserve">debe presentarse en una base de datos en la que cada registro se hará por tipo de procedimiento, ya sea licitación pública, invitación restringida </w:t>
      </w:r>
      <w:r w:rsidRPr="00911B9A">
        <w:rPr>
          <w:rFonts w:ascii="Palatino Linotype" w:eastAsia="Palatino Linotype" w:hAnsi="Palatino Linotype" w:cs="Palatino Linotype"/>
          <w:sz w:val="24"/>
        </w:rPr>
        <w:t xml:space="preserve">o adjudicación directa, especificando para cada tipo de procedimiento la materia, así como el carácter de cada uno, es decir, nacional o internacional, además se debe elaborar versión pública los documentos fuente que deban ser publicados en este apartado, tales como </w:t>
      </w:r>
      <w:r w:rsidRPr="00911B9A">
        <w:rPr>
          <w:rFonts w:ascii="Palatino Linotype" w:eastAsia="Palatino Linotype" w:hAnsi="Palatino Linotype" w:cs="Palatino Linotype"/>
          <w:b/>
          <w:sz w:val="24"/>
          <w:u w:val="single"/>
        </w:rPr>
        <w:t>contratos, facturas, registros contables, pólizas, finiquitos, los dictámenes y fallo de adjudicación,  la autorización del ejercicio, la partida presupuestal, de conformidad con el clasificador por objeto del gasto, en el caso de ser aplicable, entre otros, incluyendo sus anexos correspondientes</w:t>
      </w:r>
      <w:r w:rsidRPr="00911B9A">
        <w:rPr>
          <w:rFonts w:ascii="Palatino Linotype" w:eastAsia="Palatino Linotype" w:hAnsi="Palatino Linotype" w:cs="Palatino Linotype"/>
          <w:sz w:val="24"/>
        </w:rPr>
        <w:t xml:space="preserve">, información que debe ser actualizada de manera trimestral, y conservarse la generada en el ejercicio en curso y la correspondiente a dos ejercicios anteriores. </w:t>
      </w:r>
    </w:p>
    <w:p w14:paraId="3827E7B3" w14:textId="77777777" w:rsidR="00B63FA2" w:rsidRPr="00911B9A" w:rsidRDefault="00B63FA2" w:rsidP="00B63FA2">
      <w:pPr>
        <w:spacing w:before="240" w:after="240" w:line="360" w:lineRule="auto"/>
        <w:ind w:right="51"/>
        <w:contextualSpacing/>
        <w:jc w:val="both"/>
        <w:rPr>
          <w:rFonts w:ascii="Palatino Linotype" w:eastAsia="Palatino Linotype" w:hAnsi="Palatino Linotype" w:cs="Palatino Linotype"/>
          <w:sz w:val="24"/>
        </w:rPr>
      </w:pPr>
    </w:p>
    <w:p w14:paraId="6DF08488" w14:textId="77777777" w:rsidR="00B63FA2" w:rsidRPr="00911B9A" w:rsidRDefault="00B63FA2" w:rsidP="00B63FA2">
      <w:pPr>
        <w:spacing w:before="240" w:after="240" w:line="360" w:lineRule="auto"/>
        <w:ind w:right="51"/>
        <w:contextualSpacing/>
        <w:jc w:val="both"/>
        <w:rPr>
          <w:rFonts w:ascii="Palatino Linotype" w:eastAsia="Palatino Linotype" w:hAnsi="Palatino Linotype" w:cs="Palatino Linotype"/>
          <w:sz w:val="24"/>
        </w:rPr>
      </w:pPr>
      <w:r w:rsidRPr="00911B9A">
        <w:rPr>
          <w:rFonts w:ascii="Palatino Linotype" w:eastAsia="Palatino Linotype" w:hAnsi="Palatino Linotype" w:cs="Palatino Linotype"/>
          <w:sz w:val="24"/>
          <w:szCs w:val="24"/>
        </w:rPr>
        <w:t>Por ello, es de mencionar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3F1952B0" w14:textId="77777777" w:rsidR="00B63FA2" w:rsidRPr="00911B9A" w:rsidRDefault="00B63FA2" w:rsidP="00B63FA2">
      <w:pPr>
        <w:spacing w:before="240" w:after="0" w:line="360" w:lineRule="auto"/>
        <w:contextualSpacing/>
        <w:jc w:val="both"/>
        <w:rPr>
          <w:rFonts w:ascii="Palatino Linotype" w:eastAsia="Palatino Linotype" w:hAnsi="Palatino Linotype" w:cs="Palatino Linotype"/>
          <w:sz w:val="24"/>
        </w:rPr>
      </w:pPr>
    </w:p>
    <w:p w14:paraId="4985F863" w14:textId="77777777" w:rsidR="00B63FA2" w:rsidRPr="00911B9A" w:rsidRDefault="00B63FA2" w:rsidP="00B63FA2">
      <w:pPr>
        <w:spacing w:after="12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Artículo 342.-</w:t>
      </w:r>
      <w:r w:rsidRPr="00911B9A">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w:t>
      </w:r>
      <w:r w:rsidRPr="00911B9A">
        <w:rPr>
          <w:rFonts w:ascii="Palatino Linotype" w:eastAsia="Palatino Linotype" w:hAnsi="Palatino Linotype" w:cs="Palatino Linotype"/>
          <w:i/>
        </w:rPr>
        <w:lastRenderedPageBreak/>
        <w:t xml:space="preserve">se aprueben en materia de planeación, programación, presupuestación, evaluación y contabilidad gubernamental. </w:t>
      </w:r>
    </w:p>
    <w:p w14:paraId="3396CEA0" w14:textId="77777777" w:rsidR="00B63FA2" w:rsidRPr="00911B9A" w:rsidRDefault="00B63FA2" w:rsidP="00B63FA2">
      <w:pPr>
        <w:spacing w:before="120" w:after="120" w:line="276" w:lineRule="auto"/>
        <w:ind w:left="851" w:right="850"/>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w:t>
      </w:r>
    </w:p>
    <w:p w14:paraId="3B818FBD" w14:textId="77777777" w:rsidR="00B63FA2" w:rsidRPr="00911B9A" w:rsidRDefault="00B63FA2" w:rsidP="00B63FA2">
      <w:pPr>
        <w:spacing w:before="120" w:after="12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343.-</w:t>
      </w:r>
      <w:r w:rsidRPr="00911B9A">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47427AA" w14:textId="77777777" w:rsidR="00B63FA2" w:rsidRPr="00911B9A" w:rsidRDefault="00B63FA2" w:rsidP="00B63FA2">
      <w:pPr>
        <w:spacing w:before="120" w:after="12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27229514" w14:textId="77777777" w:rsidR="00B63FA2" w:rsidRPr="00911B9A" w:rsidRDefault="00B63FA2" w:rsidP="00B63FA2">
      <w:pPr>
        <w:spacing w:before="120" w:after="12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11B9A">
        <w:rPr>
          <w:rFonts w:ascii="Palatino Linotype" w:eastAsia="Palatino Linotype" w:hAnsi="Palatino Linotype" w:cs="Palatino Linotype"/>
          <w:i/>
        </w:rPr>
        <w:t xml:space="preserve">en el caso de los Municipios se hará por la Tesorería. </w:t>
      </w:r>
    </w:p>
    <w:p w14:paraId="74BDDE87" w14:textId="77777777" w:rsidR="00B63FA2" w:rsidRPr="00911B9A" w:rsidRDefault="00B63FA2" w:rsidP="00B63FA2">
      <w:pPr>
        <w:spacing w:before="120" w:after="120" w:line="276" w:lineRule="auto"/>
        <w:ind w:left="851" w:right="5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Derogado. </w:t>
      </w:r>
    </w:p>
    <w:p w14:paraId="330EDF13" w14:textId="77777777" w:rsidR="00B63FA2" w:rsidRPr="00911B9A" w:rsidRDefault="00B63FA2" w:rsidP="00B63FA2">
      <w:pPr>
        <w:spacing w:before="120" w:after="12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11B9A">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5C90A375" w14:textId="77777777" w:rsidR="00B63FA2" w:rsidRPr="00911B9A" w:rsidRDefault="00B63FA2" w:rsidP="00B63FA2">
      <w:pPr>
        <w:spacing w:before="120" w:after="120" w:line="276" w:lineRule="auto"/>
        <w:ind w:left="851" w:right="5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p>
    <w:p w14:paraId="33DBAB40" w14:textId="77777777" w:rsidR="00B63FA2" w:rsidRPr="00911B9A" w:rsidRDefault="00B63FA2" w:rsidP="00B63FA2">
      <w:pPr>
        <w:spacing w:before="120" w:after="12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345.-</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911B9A">
        <w:rPr>
          <w:rFonts w:ascii="Palatino Linotype" w:eastAsia="Palatino Linotype" w:hAnsi="Palatino Linotype" w:cs="Palatino Linotype"/>
          <w:i/>
        </w:rPr>
        <w:t xml:space="preserve">, la remitirán en un plazo que no excederá de seis meses al Archivo Contable Gubernamental. </w:t>
      </w:r>
      <w:r w:rsidRPr="00911B9A">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911B9A">
        <w:rPr>
          <w:rFonts w:ascii="Palatino Linotype" w:eastAsia="Palatino Linotype" w:hAnsi="Palatino Linotype" w:cs="Palatino Linotype"/>
          <w:i/>
        </w:rPr>
        <w:t xml:space="preserve">. </w:t>
      </w:r>
    </w:p>
    <w:p w14:paraId="0D4597BC" w14:textId="77777777" w:rsidR="00B63FA2" w:rsidRPr="00911B9A" w:rsidRDefault="00B63FA2" w:rsidP="00B63FA2">
      <w:pPr>
        <w:spacing w:before="120" w:after="12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 </w:t>
      </w:r>
    </w:p>
    <w:p w14:paraId="41DAC6D6" w14:textId="77777777" w:rsidR="00B63FA2" w:rsidRPr="00911B9A" w:rsidRDefault="00B63FA2" w:rsidP="00B63FA2">
      <w:pPr>
        <w:spacing w:before="120"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lastRenderedPageBreak/>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10ADAC9"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1877F8BC" w14:textId="77777777" w:rsidR="00B63FA2" w:rsidRPr="00911B9A" w:rsidRDefault="00B63FA2" w:rsidP="00B63FA2">
      <w:pPr>
        <w:spacing w:after="0" w:line="360" w:lineRule="auto"/>
        <w:ind w:right="-232"/>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4D8E021D" w14:textId="77777777" w:rsidR="00B63FA2" w:rsidRPr="00911B9A" w:rsidRDefault="00B63FA2" w:rsidP="00B63FA2">
      <w:pPr>
        <w:spacing w:after="0" w:line="360" w:lineRule="auto"/>
        <w:ind w:right="-232"/>
        <w:jc w:val="both"/>
        <w:rPr>
          <w:rFonts w:ascii="Palatino Linotype" w:eastAsia="Palatino Linotype" w:hAnsi="Palatino Linotype" w:cs="Palatino Linotype"/>
          <w:sz w:val="24"/>
          <w:szCs w:val="24"/>
        </w:rPr>
      </w:pPr>
    </w:p>
    <w:p w14:paraId="5BF3F241" w14:textId="77777777" w:rsidR="00B63FA2" w:rsidRPr="00911B9A" w:rsidRDefault="00B63FA2" w:rsidP="00B63FA2">
      <w:pPr>
        <w:spacing w:after="120"/>
        <w:ind w:left="851" w:right="902"/>
        <w:jc w:val="both"/>
        <w:rPr>
          <w:rFonts w:ascii="Palatino Linotype" w:eastAsia="Palatino Linotype" w:hAnsi="Palatino Linotype" w:cs="Palatino Linotype"/>
          <w:b/>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FACTURA</w:t>
      </w:r>
    </w:p>
    <w:p w14:paraId="38A1965C" w14:textId="77777777" w:rsidR="00B63FA2" w:rsidRPr="00911B9A" w:rsidRDefault="00B63FA2" w:rsidP="00B63FA2">
      <w:pPr>
        <w:spacing w:before="120" w:after="120"/>
        <w:ind w:left="851" w:right="902"/>
        <w:jc w:val="both"/>
        <w:rPr>
          <w:rFonts w:ascii="Palatino Linotype" w:eastAsia="Palatino Linotype" w:hAnsi="Palatino Linotype" w:cs="Palatino Linotype"/>
          <w:i/>
        </w:rPr>
      </w:pPr>
      <w:r w:rsidRPr="00911B9A">
        <w:rPr>
          <w:rFonts w:ascii="Palatino Linotype" w:eastAsia="Palatino Linotype" w:hAnsi="Palatino Linotype" w:cs="Palatino Linotype"/>
          <w:i/>
        </w:rPr>
        <w:t>Es el documento fiscal que emite la persona física o moral para comprobar la venta o adquisición de un bien y/o servicio.” (Sic)</w:t>
      </w:r>
    </w:p>
    <w:p w14:paraId="2A120CBB" w14:textId="77777777" w:rsidR="00B63FA2" w:rsidRPr="00911B9A" w:rsidRDefault="00B63FA2" w:rsidP="00B63FA2">
      <w:pPr>
        <w:spacing w:before="120" w:after="120"/>
        <w:ind w:left="851" w:right="902"/>
        <w:jc w:val="both"/>
        <w:rPr>
          <w:rFonts w:ascii="Palatino Linotype" w:eastAsia="Palatino Linotype" w:hAnsi="Palatino Linotype" w:cs="Palatino Linotype"/>
          <w:i/>
          <w:sz w:val="24"/>
        </w:rPr>
      </w:pPr>
    </w:p>
    <w:p w14:paraId="117F3C73" w14:textId="77777777" w:rsidR="00B63FA2" w:rsidRPr="00911B9A" w:rsidRDefault="00B63FA2" w:rsidP="00B63FA2">
      <w:pPr>
        <w:spacing w:before="120"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93ECB70"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590F6259"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w:t>
      </w:r>
      <w:r w:rsidRPr="00911B9A">
        <w:rPr>
          <w:rFonts w:ascii="Palatino Linotype" w:eastAsia="Palatino Linotype" w:hAnsi="Palatino Linotype" w:cs="Palatino Linotype"/>
          <w:sz w:val="24"/>
          <w:szCs w:val="24"/>
        </w:rPr>
        <w:lastRenderedPageBreak/>
        <w:t xml:space="preserve">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E3CE84B"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41A857AB" w14:textId="77777777" w:rsidR="00B63FA2" w:rsidRPr="00911B9A" w:rsidRDefault="00B63FA2" w:rsidP="00B63FA2">
      <w:pPr>
        <w:spacing w:after="120" w:line="276" w:lineRule="auto"/>
        <w:ind w:firstLine="708"/>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 xml:space="preserve">“REGISTRO CONTABLE </w:t>
      </w:r>
    </w:p>
    <w:p w14:paraId="72380D77" w14:textId="77777777" w:rsidR="00B63FA2" w:rsidRPr="00911B9A" w:rsidRDefault="00B63FA2" w:rsidP="00B63FA2">
      <w:pPr>
        <w:spacing w:before="120" w:after="120" w:line="276" w:lineRule="auto"/>
        <w:ind w:left="851" w:right="899"/>
        <w:jc w:val="both"/>
        <w:rPr>
          <w:rFonts w:ascii="Palatino Linotype" w:eastAsia="Palatino Linotype" w:hAnsi="Palatino Linotype" w:cs="Palatino Linotype"/>
          <w:i/>
        </w:rPr>
      </w:pPr>
      <w:r w:rsidRPr="00911B9A">
        <w:rPr>
          <w:rFonts w:ascii="Palatino Linotype" w:eastAsia="Palatino Linotype" w:hAnsi="Palatino Linotype" w:cs="Palatino Linotype"/>
          <w:i/>
        </w:rPr>
        <w:t>Asiento que se realiza en los libros de contabilidad de las actividades relacionadas con el ingreso y egresos de un ente económico.” (Sic)</w:t>
      </w:r>
    </w:p>
    <w:p w14:paraId="6B697FF8" w14:textId="77777777" w:rsidR="00B63FA2" w:rsidRPr="00911B9A" w:rsidRDefault="00B63FA2" w:rsidP="00B63FA2">
      <w:pPr>
        <w:spacing w:before="120" w:after="120" w:line="276" w:lineRule="auto"/>
        <w:ind w:right="899" w:firstLine="708"/>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“REGISTRO PRESUPUESTARIO</w:t>
      </w:r>
    </w:p>
    <w:p w14:paraId="495F431B" w14:textId="77777777" w:rsidR="00B63FA2" w:rsidRPr="00911B9A" w:rsidRDefault="00B63FA2" w:rsidP="00B63FA2">
      <w:pPr>
        <w:spacing w:before="120" w:after="120" w:line="276" w:lineRule="auto"/>
        <w:ind w:left="708" w:right="899"/>
        <w:jc w:val="both"/>
        <w:rPr>
          <w:rFonts w:ascii="Palatino Linotype" w:eastAsia="Palatino Linotype" w:hAnsi="Palatino Linotype" w:cs="Palatino Linotype"/>
          <w:i/>
        </w:rPr>
      </w:pPr>
      <w:r w:rsidRPr="00911B9A">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669E3FF1" w14:textId="77777777" w:rsidR="00B63FA2" w:rsidRPr="00911B9A" w:rsidRDefault="00B63FA2" w:rsidP="00B63FA2">
      <w:pPr>
        <w:spacing w:before="120" w:after="0" w:line="360" w:lineRule="auto"/>
        <w:jc w:val="both"/>
        <w:rPr>
          <w:rFonts w:ascii="Palatino Linotype" w:eastAsia="Palatino Linotype" w:hAnsi="Palatino Linotype" w:cs="Palatino Linotype"/>
          <w:sz w:val="24"/>
          <w:szCs w:val="24"/>
        </w:rPr>
      </w:pPr>
    </w:p>
    <w:p w14:paraId="6007F849"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w:t>
      </w:r>
    </w:p>
    <w:p w14:paraId="2CCCEC67"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4C95E3C3"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Igualmente, los preceptos legales citados señalan que los Sujetos Obligados deben contar con una unidad administrativa que registra contablemente el efecto </w:t>
      </w:r>
      <w:r w:rsidRPr="00911B9A">
        <w:rPr>
          <w:rFonts w:ascii="Palatino Linotype" w:eastAsia="Palatino Linotype" w:hAnsi="Palatino Linotype" w:cs="Palatino Linotype"/>
          <w:sz w:val="24"/>
          <w:szCs w:val="24"/>
        </w:rPr>
        <w:lastRenderedPageBreak/>
        <w:t>patrimonial y presupuestal de las operaciones financieras que realizan, en el momento en que ocurran, con base en el sistema y políticas de registro establecidas.</w:t>
      </w:r>
    </w:p>
    <w:p w14:paraId="2D4FA075"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Correlativo a lo anterior, es preciso referir una definición de </w:t>
      </w:r>
      <w:r w:rsidRPr="00911B9A">
        <w:rPr>
          <w:rFonts w:ascii="Palatino Linotype" w:eastAsia="Palatino Linotype" w:hAnsi="Palatino Linotype" w:cs="Palatino Linotype"/>
          <w:i/>
          <w:sz w:val="24"/>
          <w:szCs w:val="24"/>
        </w:rPr>
        <w:t>póliza contable</w:t>
      </w:r>
      <w:r w:rsidRPr="00911B9A">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62CB8291" w14:textId="77777777" w:rsidR="00B63FA2" w:rsidRPr="00911B9A" w:rsidRDefault="00B63FA2" w:rsidP="00B63FA2">
      <w:pPr>
        <w:spacing w:after="120"/>
        <w:ind w:left="851" w:right="899"/>
        <w:jc w:val="both"/>
        <w:rPr>
          <w:rFonts w:ascii="Palatino Linotype" w:eastAsia="Palatino Linotype" w:hAnsi="Palatino Linotype" w:cs="Palatino Linotype"/>
          <w:i/>
          <w:sz w:val="24"/>
        </w:rPr>
      </w:pPr>
    </w:p>
    <w:p w14:paraId="345CDB41" w14:textId="77777777" w:rsidR="00B63FA2" w:rsidRPr="00911B9A" w:rsidRDefault="00B63FA2" w:rsidP="00B63FA2">
      <w:pPr>
        <w:spacing w:after="120"/>
        <w:ind w:left="851" w:right="899"/>
        <w:jc w:val="both"/>
        <w:rPr>
          <w:rFonts w:ascii="Palatino Linotype" w:eastAsia="Palatino Linotype" w:hAnsi="Palatino Linotype" w:cs="Palatino Linotype"/>
          <w:b/>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PÓLIZA CONTABLE</w:t>
      </w:r>
    </w:p>
    <w:p w14:paraId="695419A3" w14:textId="77777777" w:rsidR="00B63FA2" w:rsidRPr="00911B9A" w:rsidRDefault="00B63FA2" w:rsidP="00B63FA2">
      <w:pPr>
        <w:spacing w:before="120" w:after="120"/>
        <w:ind w:left="851" w:right="899"/>
        <w:jc w:val="both"/>
        <w:rPr>
          <w:rFonts w:ascii="Palatino Linotype" w:eastAsia="Palatino Linotype" w:hAnsi="Palatino Linotype" w:cs="Palatino Linotype"/>
          <w:i/>
        </w:rPr>
      </w:pPr>
      <w:r w:rsidRPr="00911B9A">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5A6877ED" w14:textId="77777777" w:rsidR="00B63FA2" w:rsidRPr="00911B9A" w:rsidRDefault="00B63FA2" w:rsidP="00B63FA2">
      <w:pPr>
        <w:spacing w:before="120" w:after="120"/>
        <w:ind w:left="851" w:right="899"/>
        <w:jc w:val="both"/>
        <w:rPr>
          <w:rFonts w:ascii="Palatino Linotype" w:eastAsia="Palatino Linotype" w:hAnsi="Palatino Linotype" w:cs="Palatino Linotype"/>
          <w:i/>
          <w:sz w:val="24"/>
        </w:rPr>
      </w:pPr>
    </w:p>
    <w:p w14:paraId="74CDA6A5" w14:textId="77777777" w:rsidR="00B63FA2" w:rsidRPr="00911B9A" w:rsidRDefault="00B63FA2" w:rsidP="00B63FA2">
      <w:pPr>
        <w:spacing w:before="120" w:after="0" w:line="360" w:lineRule="auto"/>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Así, se advierte que la </w:t>
      </w:r>
      <w:r w:rsidRPr="00911B9A">
        <w:rPr>
          <w:rFonts w:ascii="Palatino Linotype" w:eastAsia="Palatino Linotype" w:hAnsi="Palatino Linotype" w:cs="Palatino Linotype"/>
          <w:i/>
          <w:sz w:val="24"/>
          <w:szCs w:val="24"/>
        </w:rPr>
        <w:t>póliza contable</w:t>
      </w:r>
      <w:r w:rsidRPr="00911B9A">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07F0932" w14:textId="77777777" w:rsidR="00B63FA2" w:rsidRPr="00911B9A" w:rsidRDefault="00B63FA2" w:rsidP="00B63FA2">
      <w:pPr>
        <w:spacing w:before="120" w:after="0" w:line="360" w:lineRule="auto"/>
        <w:contextualSpacing/>
        <w:jc w:val="both"/>
        <w:rPr>
          <w:rFonts w:ascii="Palatino Linotype" w:eastAsia="Palatino Linotype" w:hAnsi="Palatino Linotype" w:cs="Palatino Linotype"/>
          <w:sz w:val="24"/>
          <w:szCs w:val="24"/>
        </w:rPr>
      </w:pPr>
    </w:p>
    <w:p w14:paraId="74908360" w14:textId="77777777" w:rsidR="00B63FA2" w:rsidRPr="00911B9A" w:rsidRDefault="00B63FA2" w:rsidP="00B63FA2">
      <w:pPr>
        <w:spacing w:after="0" w:line="360" w:lineRule="auto"/>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911B9A">
        <w:rPr>
          <w:rFonts w:ascii="Palatino Linotype" w:eastAsia="Palatino Linotype" w:hAnsi="Palatino Linotype" w:cs="Palatino Linotype"/>
          <w:i/>
          <w:sz w:val="24"/>
          <w:szCs w:val="24"/>
        </w:rPr>
        <w:t>pólizas de egresos</w:t>
      </w:r>
      <w:r w:rsidRPr="00911B9A">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670CED43" w14:textId="77777777" w:rsidR="00B63FA2" w:rsidRPr="00911B9A" w:rsidRDefault="00B63FA2" w:rsidP="00B63FA2">
      <w:pPr>
        <w:spacing w:after="0" w:line="360" w:lineRule="auto"/>
        <w:contextualSpacing/>
        <w:jc w:val="both"/>
        <w:rPr>
          <w:rFonts w:ascii="Palatino Linotype" w:eastAsia="Palatino Linotype" w:hAnsi="Palatino Linotype" w:cs="Palatino Linotype"/>
          <w:sz w:val="24"/>
          <w:szCs w:val="24"/>
        </w:rPr>
      </w:pPr>
    </w:p>
    <w:p w14:paraId="75F7190D" w14:textId="77777777" w:rsidR="00B63FA2" w:rsidRPr="00911B9A" w:rsidRDefault="00B63FA2" w:rsidP="00B63FA2">
      <w:pPr>
        <w:spacing w:after="0" w:line="360" w:lineRule="auto"/>
        <w:ind w:right="50"/>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lastRenderedPageBreak/>
        <w:t xml:space="preserve">De este modo, </w:t>
      </w: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2388EF47" w14:textId="77777777" w:rsidR="00B63FA2" w:rsidRPr="00911B9A" w:rsidRDefault="00B63FA2" w:rsidP="00B63FA2">
      <w:pPr>
        <w:spacing w:after="0" w:line="360" w:lineRule="auto"/>
        <w:ind w:right="50"/>
        <w:contextualSpacing/>
        <w:jc w:val="both"/>
        <w:rPr>
          <w:rFonts w:ascii="Palatino Linotype" w:eastAsia="Palatino Linotype" w:hAnsi="Palatino Linotype" w:cs="Palatino Linotype"/>
          <w:sz w:val="24"/>
          <w:szCs w:val="24"/>
        </w:rPr>
      </w:pPr>
    </w:p>
    <w:p w14:paraId="57502B77" w14:textId="77777777" w:rsidR="00B63FA2" w:rsidRPr="00911B9A" w:rsidRDefault="00B63FA2" w:rsidP="00B63FA2">
      <w:pPr>
        <w:spacing w:after="0" w:line="360" w:lineRule="auto"/>
        <w:ind w:right="50"/>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39A068AB" w14:textId="77777777" w:rsidR="00B63FA2" w:rsidRPr="00911B9A" w:rsidRDefault="00B63FA2" w:rsidP="00B63FA2">
      <w:pPr>
        <w:spacing w:after="0" w:line="360" w:lineRule="auto"/>
        <w:ind w:right="50"/>
        <w:contextualSpacing/>
        <w:jc w:val="both"/>
        <w:rPr>
          <w:rFonts w:ascii="Palatino Linotype" w:eastAsia="Palatino Linotype" w:hAnsi="Palatino Linotype" w:cs="Palatino Linotype"/>
          <w:sz w:val="24"/>
          <w:szCs w:val="24"/>
        </w:rPr>
      </w:pPr>
    </w:p>
    <w:p w14:paraId="59DC4C4D" w14:textId="77777777" w:rsidR="00B63FA2" w:rsidRPr="00911B9A" w:rsidRDefault="00B63FA2" w:rsidP="00B63FA2">
      <w:pPr>
        <w:spacing w:line="276" w:lineRule="auto"/>
        <w:ind w:left="851" w:right="901"/>
        <w:contextualSpacing/>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 xml:space="preserve"> “Artículo 23…</w:t>
      </w:r>
    </w:p>
    <w:p w14:paraId="7367FA30" w14:textId="77777777" w:rsidR="00B63FA2" w:rsidRPr="00911B9A" w:rsidRDefault="00B63FA2" w:rsidP="00B63FA2">
      <w:pPr>
        <w:spacing w:line="276" w:lineRule="auto"/>
        <w:ind w:left="851" w:right="901"/>
        <w:contextualSpacing/>
        <w:jc w:val="both"/>
        <w:rPr>
          <w:rFonts w:ascii="Palatino Linotype" w:eastAsia="Palatino Linotype" w:hAnsi="Palatino Linotype" w:cs="Palatino Linotype"/>
          <w:i/>
        </w:rPr>
      </w:pPr>
    </w:p>
    <w:p w14:paraId="76F609EE" w14:textId="77777777" w:rsidR="00B63FA2" w:rsidRPr="00911B9A" w:rsidRDefault="00B63FA2" w:rsidP="00B63FA2">
      <w:pPr>
        <w:spacing w:line="276" w:lineRule="auto"/>
        <w:ind w:left="851" w:right="901"/>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7E7F176" w14:textId="77777777" w:rsidR="00B63FA2" w:rsidRPr="00911B9A" w:rsidRDefault="00B63FA2" w:rsidP="00B63FA2">
      <w:pPr>
        <w:spacing w:after="0" w:line="276" w:lineRule="auto"/>
        <w:ind w:left="851" w:right="850"/>
        <w:contextualSpacing/>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 (…)”</w:t>
      </w:r>
    </w:p>
    <w:p w14:paraId="78271B66" w14:textId="77777777" w:rsidR="00B63FA2" w:rsidRPr="00911B9A" w:rsidRDefault="00B63FA2" w:rsidP="00B63FA2">
      <w:pPr>
        <w:spacing w:after="0" w:line="276" w:lineRule="auto"/>
        <w:ind w:left="851" w:right="850"/>
        <w:contextualSpacing/>
        <w:jc w:val="both"/>
        <w:rPr>
          <w:rFonts w:ascii="Palatino Linotype" w:eastAsia="Palatino Linotype" w:hAnsi="Palatino Linotype" w:cs="Palatino Linotype"/>
          <w:i/>
        </w:rPr>
      </w:pPr>
    </w:p>
    <w:p w14:paraId="0F53089A" w14:textId="77777777" w:rsidR="00F504B9" w:rsidRPr="00911B9A" w:rsidRDefault="00B63FA2" w:rsidP="00F504B9">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Es por todo lo anterior que resulta procedente ordenar las facturas generadas para los insumos de papelería de los meses de octubre, noviembre y diciembre del ejercicio fiscal dos mil veinticuatro, de ser procedente en versión pública, en </w:t>
      </w:r>
      <w:r w:rsidRPr="00911B9A">
        <w:rPr>
          <w:rFonts w:ascii="Palatino Linotype" w:eastAsia="Palatino Linotype" w:hAnsi="Palatino Linotype" w:cs="Palatino Linotype"/>
          <w:sz w:val="24"/>
          <w:szCs w:val="24"/>
        </w:rPr>
        <w:lastRenderedPageBreak/>
        <w:t>té</w:t>
      </w:r>
      <w:r w:rsidR="00F504B9" w:rsidRPr="00911B9A">
        <w:rPr>
          <w:rFonts w:ascii="Palatino Linotype" w:eastAsia="Palatino Linotype" w:hAnsi="Palatino Linotype" w:cs="Palatino Linotype"/>
          <w:sz w:val="24"/>
          <w:szCs w:val="24"/>
        </w:rPr>
        <w:t xml:space="preserve">rminos del considerando quinto, </w:t>
      </w:r>
      <w:r w:rsidR="00F504B9" w:rsidRPr="00911B9A">
        <w:rPr>
          <w:rFonts w:ascii="Palatino Linotype" w:hAnsi="Palatino Linotype"/>
          <w:sz w:val="24"/>
          <w:lang w:val="es-ES"/>
        </w:rPr>
        <w:t xml:space="preserve">sin embargo, </w:t>
      </w:r>
      <w:r w:rsidR="00F504B9" w:rsidRPr="00911B9A">
        <w:rPr>
          <w:rFonts w:ascii="Palatino Linotype" w:eastAsia="Palatino Linotype" w:hAnsi="Palatino Linotype" w:cs="Palatino Linotype"/>
          <w:sz w:val="24"/>
          <w:szCs w:val="24"/>
        </w:rPr>
        <w:t>en caso de que no se llegara a localizar dicha información se ordenan por no haberse generado</w:t>
      </w:r>
      <w:r w:rsidR="00E6037F" w:rsidRPr="00911B9A">
        <w:rPr>
          <w:rFonts w:ascii="Palatino Linotype" w:eastAsia="Palatino Linotype" w:hAnsi="Palatino Linotype" w:cs="Palatino Linotype"/>
          <w:sz w:val="24"/>
          <w:szCs w:val="24"/>
        </w:rPr>
        <w:t xml:space="preserve"> compras por el concepto de papelería en algunos de los meses en referencia</w:t>
      </w:r>
      <w:r w:rsidR="00F504B9" w:rsidRPr="00911B9A">
        <w:rPr>
          <w:rFonts w:ascii="Palatino Linotype" w:eastAsia="Palatino Linotype" w:hAnsi="Palatino Linotype" w:cs="Palatino Linotype"/>
          <w:sz w:val="24"/>
          <w:szCs w:val="24"/>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7F7DA8D3" w14:textId="77777777" w:rsidR="00F504B9" w:rsidRPr="00911B9A" w:rsidRDefault="00F504B9" w:rsidP="00F504B9">
      <w:pPr>
        <w:spacing w:after="0" w:line="360" w:lineRule="auto"/>
        <w:jc w:val="both"/>
        <w:rPr>
          <w:rFonts w:ascii="Palatino Linotype" w:eastAsia="Palatino Linotype" w:hAnsi="Palatino Linotype" w:cs="Palatino Linotype"/>
          <w:sz w:val="24"/>
          <w:szCs w:val="24"/>
        </w:rPr>
      </w:pPr>
    </w:p>
    <w:p w14:paraId="12C29F4A" w14:textId="77777777" w:rsidR="00F504B9" w:rsidRPr="00911B9A" w:rsidRDefault="00F504B9" w:rsidP="00F504B9">
      <w:pPr>
        <w:spacing w:line="276" w:lineRule="auto"/>
        <w:ind w:left="1134" w:right="899"/>
        <w:jc w:val="both"/>
        <w:rPr>
          <w:rFonts w:ascii="Palatino Linotype" w:eastAsia="Palatino Linotype" w:hAnsi="Palatino Linotype" w:cs="Palatino Linotype"/>
          <w:i/>
          <w:sz w:val="20"/>
        </w:rPr>
      </w:pP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i/>
          <w:szCs w:val="24"/>
        </w:rPr>
        <w:t>“Artículo 19…</w:t>
      </w:r>
    </w:p>
    <w:p w14:paraId="4F659E71" w14:textId="77777777" w:rsidR="00F504B9" w:rsidRPr="00911B9A" w:rsidRDefault="00F504B9" w:rsidP="00F504B9">
      <w:pPr>
        <w:spacing w:line="276" w:lineRule="auto"/>
        <w:ind w:left="1134" w:right="899"/>
        <w:jc w:val="both"/>
        <w:rPr>
          <w:rFonts w:ascii="Palatino Linotype" w:eastAsia="Palatino Linotype" w:hAnsi="Palatino Linotype" w:cs="Palatino Linotype"/>
          <w:i/>
          <w:szCs w:val="24"/>
        </w:rPr>
      </w:pPr>
      <w:r w:rsidRPr="00911B9A">
        <w:rPr>
          <w:rFonts w:ascii="Palatino Linotype" w:eastAsia="Palatino Linotype" w:hAnsi="Palatino Linotype" w:cs="Palatino Linotype"/>
          <w:i/>
          <w:szCs w:val="24"/>
        </w:rPr>
        <w:t>En los casos en que ciertas facultades, competencias o funciones no se hayan ejercido, se debe motivar la respuesta en función de las causas que motiven tal circunstancia.”</w:t>
      </w:r>
    </w:p>
    <w:p w14:paraId="087C369C" w14:textId="77777777" w:rsidR="00AA667B" w:rsidRPr="00911B9A" w:rsidRDefault="00AA667B" w:rsidP="00F504B9">
      <w:pPr>
        <w:spacing w:after="0" w:line="360" w:lineRule="auto"/>
        <w:jc w:val="both"/>
        <w:rPr>
          <w:rFonts w:ascii="Palatino Linotype" w:eastAsia="Palatino Linotype" w:hAnsi="Palatino Linotype" w:cs="Palatino Linotype"/>
          <w:strike/>
          <w:sz w:val="24"/>
          <w:szCs w:val="24"/>
        </w:rPr>
      </w:pPr>
    </w:p>
    <w:p w14:paraId="2047C52F" w14:textId="77777777" w:rsidR="00E6037F" w:rsidRPr="00911B9A" w:rsidRDefault="00E6037F" w:rsidP="00E6037F">
      <w:pPr>
        <w:pStyle w:val="NormalWeb"/>
        <w:spacing w:before="0" w:beforeAutospacing="0" w:after="160" w:afterAutospacing="0" w:line="360" w:lineRule="auto"/>
        <w:contextualSpacing/>
        <w:jc w:val="both"/>
        <w:rPr>
          <w:rFonts w:ascii="Palatino Linotype" w:hAnsi="Palatino Linotype"/>
        </w:rPr>
      </w:pPr>
      <w:r w:rsidRPr="00911B9A">
        <w:rPr>
          <w:rFonts w:ascii="Palatino Linotype" w:hAnsi="Palatino Linotype"/>
        </w:rPr>
        <w:t xml:space="preserve">Asimismo, no pasa desapercibido que la persona solicitante realizó diversos planteamientos subjetivos como parte de su recurso de revisión, tales como  </w:t>
      </w:r>
      <w:r w:rsidRPr="00911B9A">
        <w:rPr>
          <w:rFonts w:ascii="Palatino Linotype" w:eastAsia="Palatino Linotype" w:hAnsi="Palatino Linotype" w:cs="Palatino Linotype"/>
          <w:i/>
        </w:rPr>
        <w:t>“Contestan lo que se les da la gana” [sic]</w:t>
      </w:r>
      <w:r w:rsidRPr="00911B9A">
        <w:rPr>
          <w:rFonts w:ascii="Palatino Linotype" w:hAnsi="Palatino Linotype"/>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inconformidad. En este sentido, se </w:t>
      </w:r>
      <w:r w:rsidRPr="00911B9A">
        <w:rPr>
          <w:rFonts w:ascii="Palatino Linotype" w:hAnsi="Palatino Linotype"/>
        </w:rPr>
        <w:lastRenderedPageBreak/>
        <w:t>trata de manifestaciones sobre las cuales este Instituto no está facultado para pronunciarse.</w:t>
      </w:r>
    </w:p>
    <w:p w14:paraId="7C644CA0" w14:textId="77777777" w:rsidR="00E6037F" w:rsidRPr="00911B9A" w:rsidRDefault="00E6037F" w:rsidP="00E6037F">
      <w:pPr>
        <w:pStyle w:val="NormalWeb"/>
        <w:spacing w:before="0" w:beforeAutospacing="0" w:after="160" w:afterAutospacing="0" w:line="360" w:lineRule="auto"/>
        <w:contextualSpacing/>
        <w:jc w:val="both"/>
        <w:rPr>
          <w:rFonts w:ascii="Palatino Linotype" w:hAnsi="Palatino Linotype"/>
        </w:rPr>
      </w:pPr>
    </w:p>
    <w:p w14:paraId="2EDC8AF1" w14:textId="77777777" w:rsidR="00E6037F" w:rsidRPr="00911B9A" w:rsidRDefault="00B63FA2" w:rsidP="00E6037F">
      <w:pPr>
        <w:pStyle w:val="NormalWeb"/>
        <w:spacing w:before="0" w:beforeAutospacing="0" w:after="160" w:afterAutospacing="0" w:line="360" w:lineRule="auto"/>
        <w:contextualSpacing/>
        <w:jc w:val="both"/>
        <w:rPr>
          <w:rFonts w:ascii="Palatino Linotype" w:eastAsia="Palatino Linotype" w:hAnsi="Palatino Linotype" w:cs="Palatino Linotype"/>
        </w:rPr>
      </w:pPr>
      <w:r w:rsidRPr="00911B9A">
        <w:rPr>
          <w:rFonts w:ascii="Palatino Linotype" w:eastAsia="Palatino Linotype" w:hAnsi="Palatino Linotype" w:cs="Palatino Linotype"/>
          <w:b/>
        </w:rPr>
        <w:t xml:space="preserve">QUINTO. VERSIÓN PÚBLICA. </w:t>
      </w:r>
      <w:r w:rsidRPr="00911B9A">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911B9A">
        <w:rPr>
          <w:rFonts w:ascii="Palatino Linotype" w:eastAsia="Palatino Linotype" w:hAnsi="Palatino Linotype" w:cs="Palatino Linotype"/>
          <w:b/>
        </w:rPr>
        <w:t>LA PARTE</w:t>
      </w:r>
      <w:r w:rsidRPr="00911B9A">
        <w:rPr>
          <w:rFonts w:ascii="Palatino Linotype" w:eastAsia="Palatino Linotype" w:hAnsi="Palatino Linotype" w:cs="Palatino Linotype"/>
        </w:rPr>
        <w:t xml:space="preserve"> </w:t>
      </w:r>
      <w:r w:rsidRPr="00911B9A">
        <w:rPr>
          <w:rFonts w:ascii="Palatino Linotype" w:eastAsia="Palatino Linotype" w:hAnsi="Palatino Linotype" w:cs="Palatino Linotype"/>
          <w:b/>
        </w:rPr>
        <w:t>RECURRENTE</w:t>
      </w:r>
      <w:r w:rsidRPr="00911B9A">
        <w:rPr>
          <w:rFonts w:ascii="Palatino Linotype" w:eastAsia="Palatino Linotype" w:hAnsi="Palatino Linotype" w:cs="Palatino Linotype"/>
        </w:rPr>
        <w:t xml:space="preserve"> sin menoscabar el derecho a la protección de los datos personales de terceros.</w:t>
      </w:r>
    </w:p>
    <w:p w14:paraId="5DCAF9EB" w14:textId="77777777" w:rsidR="00E6037F" w:rsidRPr="00911B9A" w:rsidRDefault="00E6037F" w:rsidP="00E6037F">
      <w:pPr>
        <w:pStyle w:val="NormalWeb"/>
        <w:spacing w:before="0" w:beforeAutospacing="0" w:after="160" w:afterAutospacing="0" w:line="360" w:lineRule="auto"/>
        <w:contextualSpacing/>
        <w:jc w:val="both"/>
        <w:rPr>
          <w:rFonts w:ascii="Palatino Linotype" w:eastAsia="Palatino Linotype" w:hAnsi="Palatino Linotype" w:cs="Palatino Linotype"/>
        </w:rPr>
      </w:pPr>
    </w:p>
    <w:p w14:paraId="4EE29951" w14:textId="77777777" w:rsidR="00B63FA2" w:rsidRPr="00911B9A" w:rsidRDefault="00B63FA2" w:rsidP="00E6037F">
      <w:pPr>
        <w:pStyle w:val="NormalWeb"/>
        <w:spacing w:before="0" w:beforeAutospacing="0" w:after="160" w:afterAutospacing="0" w:line="360" w:lineRule="auto"/>
        <w:contextualSpacing/>
        <w:jc w:val="both"/>
      </w:pPr>
      <w:r w:rsidRPr="00911B9A">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620964F" w14:textId="77777777" w:rsidR="00B63FA2" w:rsidRPr="00911B9A" w:rsidRDefault="00B63FA2" w:rsidP="00B63FA2">
      <w:pPr>
        <w:spacing w:after="240" w:line="360" w:lineRule="auto"/>
        <w:ind w:right="51"/>
        <w:contextualSpacing/>
        <w:jc w:val="both"/>
        <w:rPr>
          <w:rFonts w:ascii="Palatino Linotype" w:eastAsia="Palatino Linotype" w:hAnsi="Palatino Linotype" w:cs="Palatino Linotype"/>
          <w:sz w:val="24"/>
          <w:szCs w:val="24"/>
        </w:rPr>
      </w:pPr>
    </w:p>
    <w:p w14:paraId="0B334565"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 xml:space="preserve"> “Artículo 3. Para los efectos de la presente Ley se entenderá por:</w:t>
      </w:r>
    </w:p>
    <w:p w14:paraId="48F9EE5C"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IX. Datos personales:</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La información concerniente a una persona, identificada o identificable</w:t>
      </w:r>
      <w:r w:rsidRPr="00911B9A">
        <w:rPr>
          <w:rFonts w:ascii="Palatino Linotype" w:eastAsia="Palatino Linotype" w:hAnsi="Palatino Linotype" w:cs="Palatino Linotype"/>
          <w:i/>
        </w:rPr>
        <w:t xml:space="preserve"> según lo dispuesto por la Ley de Protección de Datos Personales del Estado de México;</w:t>
      </w:r>
    </w:p>
    <w:p w14:paraId="373A21E1"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XX. Información clasificada:</w:t>
      </w:r>
      <w:r w:rsidRPr="00911B9A">
        <w:rPr>
          <w:rFonts w:ascii="Palatino Linotype" w:eastAsia="Palatino Linotype" w:hAnsi="Palatino Linotype" w:cs="Palatino Linotype"/>
          <w:i/>
        </w:rPr>
        <w:t xml:space="preserve"> Aquella considerada por la presente Ley como reservada o confidencial;</w:t>
      </w:r>
    </w:p>
    <w:p w14:paraId="4C328224"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XXXII. Protección de Datos Personales:</w:t>
      </w:r>
      <w:r w:rsidRPr="00911B9A">
        <w:rPr>
          <w:rFonts w:ascii="Palatino Linotype" w:eastAsia="Palatino Linotype" w:hAnsi="Palatino Linotype" w:cs="Palatino Linotype"/>
          <w:i/>
        </w:rPr>
        <w:t xml:space="preserve"> Derecho humano que tutela la privacidad de datos personales en poder de los sujetos obligados y sujetos particulares;</w:t>
      </w:r>
    </w:p>
    <w:p w14:paraId="48B76AE8"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lastRenderedPageBreak/>
        <w:t>XLV. Versión pública</w:t>
      </w:r>
      <w:r w:rsidRPr="00911B9A">
        <w:rPr>
          <w:rFonts w:ascii="Palatino Linotype" w:eastAsia="Palatino Linotype" w:hAnsi="Palatino Linotype" w:cs="Palatino Linotype"/>
          <w:i/>
        </w:rPr>
        <w:t>: Documento en el que se elimine, suprime o borra la información clasificada como reservada o confidencial para permitir su acceso.”</w:t>
      </w:r>
    </w:p>
    <w:p w14:paraId="3F8D193A"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p>
    <w:p w14:paraId="230DA2D5"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6.</w:t>
      </w:r>
      <w:r w:rsidRPr="00911B9A">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D2C9A45"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p>
    <w:p w14:paraId="1327418E"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b/>
          <w:i/>
        </w:rPr>
      </w:pPr>
      <w:r w:rsidRPr="00911B9A">
        <w:rPr>
          <w:rFonts w:ascii="Palatino Linotype" w:eastAsia="Palatino Linotype" w:hAnsi="Palatino Linotype" w:cs="Palatino Linotype"/>
          <w:b/>
          <w:i/>
        </w:rPr>
        <w:t>“Artículo 137.</w:t>
      </w:r>
      <w:r w:rsidRPr="00911B9A">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40A9B0F"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143</w:t>
      </w:r>
      <w:r w:rsidRPr="00911B9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5EB6A51"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I.</w:t>
      </w:r>
      <w:r w:rsidRPr="00911B9A">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335A4D10"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A4B3C06"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234A8A86" w14:textId="77777777" w:rsidR="00B63FA2" w:rsidRPr="00911B9A" w:rsidRDefault="00B63FA2" w:rsidP="00B63FA2">
      <w:pPr>
        <w:ind w:left="993" w:right="1041"/>
        <w:jc w:val="both"/>
        <w:rPr>
          <w:rFonts w:ascii="Palatino Linotype" w:eastAsia="Palatino Linotype" w:hAnsi="Palatino Linotype" w:cs="Palatino Linotype"/>
          <w:i/>
        </w:rPr>
      </w:pPr>
    </w:p>
    <w:p w14:paraId="7DB0F012"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911B9A">
        <w:rPr>
          <w:rFonts w:ascii="Palatino Linotype" w:eastAsia="Palatino Linotype" w:hAnsi="Palatino Linotype" w:cs="Palatino Linotype"/>
          <w:sz w:val="24"/>
          <w:szCs w:val="24"/>
        </w:rPr>
        <w:lastRenderedPageBreak/>
        <w:t xml:space="preserve">mismo, testando las secciones o datos que deban ser clasificados; por ende EL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 xml:space="preserve"> deberá proceder a testar los datos personales que se encuentren contenidos en los documentos a entregar para satisfacer el derecho de acceso a la información pública de </w:t>
      </w:r>
      <w:r w:rsidRPr="00911B9A">
        <w:rPr>
          <w:rFonts w:ascii="Palatino Linotype" w:eastAsia="Palatino Linotype" w:hAnsi="Palatino Linotype" w:cs="Palatino Linotype"/>
          <w:b/>
          <w:sz w:val="24"/>
          <w:szCs w:val="24"/>
        </w:rPr>
        <w:t>LA PARTE</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RECURRENTE</w:t>
      </w:r>
      <w:r w:rsidRPr="00911B9A">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7F6E7FD"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p>
    <w:p w14:paraId="262E9BB8"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518AE45"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p>
    <w:p w14:paraId="7EE27164"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Por ende, la clasificación de la información no opera con la simple supresión de datos que se haga en los documentos de que se trate o con la simple decisión que tome el Servidor Público Habilitado o el </w:t>
      </w:r>
      <w:proofErr w:type="gramStart"/>
      <w:r w:rsidRPr="00911B9A">
        <w:rPr>
          <w:rFonts w:ascii="Palatino Linotype" w:eastAsia="Palatino Linotype" w:hAnsi="Palatino Linotype" w:cs="Palatino Linotype"/>
          <w:sz w:val="24"/>
          <w:szCs w:val="24"/>
        </w:rPr>
        <w:t>Responsable</w:t>
      </w:r>
      <w:proofErr w:type="gramEnd"/>
      <w:r w:rsidRPr="00911B9A">
        <w:rPr>
          <w:rFonts w:ascii="Palatino Linotype" w:eastAsia="Palatino Linotype" w:hAnsi="Palatino Linotype" w:cs="Palatino Linotype"/>
          <w:sz w:val="24"/>
          <w:szCs w:val="24"/>
        </w:rPr>
        <w:t xml:space="preserve"> de la Unidad de Transparencia del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14:paraId="502511D9"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p>
    <w:p w14:paraId="392A89E0"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lastRenderedPageBreak/>
        <w:t>“Artículo 49.</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Los Comités de Transparencia</w:t>
      </w:r>
      <w:r w:rsidRPr="00911B9A">
        <w:rPr>
          <w:rFonts w:ascii="Palatino Linotype" w:eastAsia="Palatino Linotype" w:hAnsi="Palatino Linotype" w:cs="Palatino Linotype"/>
          <w:i/>
        </w:rPr>
        <w:t xml:space="preserve"> tendrán las siguientes atribuciones:</w:t>
      </w:r>
    </w:p>
    <w:p w14:paraId="2FF81A43"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VIII. Aprobar, modificar o revocar la clasificación de la información</w:t>
      </w:r>
      <w:r w:rsidRPr="00911B9A">
        <w:rPr>
          <w:rFonts w:ascii="Palatino Linotype" w:eastAsia="Palatino Linotype" w:hAnsi="Palatino Linotype" w:cs="Palatino Linotype"/>
          <w:i/>
        </w:rPr>
        <w:t>…”</w:t>
      </w:r>
    </w:p>
    <w:p w14:paraId="5C14458B"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Artículo 53.</w:t>
      </w:r>
      <w:r w:rsidRPr="00911B9A">
        <w:rPr>
          <w:rFonts w:ascii="Palatino Linotype" w:eastAsia="Palatino Linotype" w:hAnsi="Palatino Linotype" w:cs="Palatino Linotype"/>
          <w:i/>
        </w:rPr>
        <w:t xml:space="preserve"> Las </w:t>
      </w:r>
      <w:r w:rsidRPr="00911B9A">
        <w:rPr>
          <w:rFonts w:ascii="Palatino Linotype" w:eastAsia="Palatino Linotype" w:hAnsi="Palatino Linotype" w:cs="Palatino Linotype"/>
          <w:b/>
          <w:i/>
        </w:rPr>
        <w:t>Unidades de Transparencia</w:t>
      </w:r>
      <w:r w:rsidRPr="00911B9A">
        <w:rPr>
          <w:rFonts w:ascii="Palatino Linotype" w:eastAsia="Palatino Linotype" w:hAnsi="Palatino Linotype" w:cs="Palatino Linotype"/>
          <w:i/>
        </w:rPr>
        <w:t xml:space="preserve"> tendrán las siguientes </w:t>
      </w:r>
      <w:r w:rsidRPr="00911B9A">
        <w:rPr>
          <w:rFonts w:ascii="Palatino Linotype" w:eastAsia="Palatino Linotype" w:hAnsi="Palatino Linotype" w:cs="Palatino Linotype"/>
          <w:b/>
          <w:i/>
        </w:rPr>
        <w:t>funciones</w:t>
      </w:r>
      <w:r w:rsidRPr="00911B9A">
        <w:rPr>
          <w:rFonts w:ascii="Palatino Linotype" w:eastAsia="Palatino Linotype" w:hAnsi="Palatino Linotype" w:cs="Palatino Linotype"/>
          <w:i/>
        </w:rPr>
        <w:t>:</w:t>
      </w:r>
    </w:p>
    <w:p w14:paraId="10BCD119"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X. Presentar ante el Comité, el proyecto de clasificación de información</w:t>
      </w:r>
      <w:r w:rsidRPr="00911B9A">
        <w:rPr>
          <w:rFonts w:ascii="Palatino Linotype" w:eastAsia="Palatino Linotype" w:hAnsi="Palatino Linotype" w:cs="Palatino Linotype"/>
          <w:i/>
        </w:rPr>
        <w:t xml:space="preserve">…” </w:t>
      </w:r>
    </w:p>
    <w:p w14:paraId="36AE5944"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“Artículo 59.</w:t>
      </w:r>
      <w:r w:rsidRPr="00911B9A">
        <w:rPr>
          <w:rFonts w:ascii="Palatino Linotype" w:eastAsia="Palatino Linotype" w:hAnsi="Palatino Linotype" w:cs="Palatino Linotype"/>
          <w:i/>
        </w:rPr>
        <w:t xml:space="preserve"> Los </w:t>
      </w:r>
      <w:r w:rsidRPr="00911B9A">
        <w:rPr>
          <w:rFonts w:ascii="Palatino Linotype" w:eastAsia="Palatino Linotype" w:hAnsi="Palatino Linotype" w:cs="Palatino Linotype"/>
          <w:b/>
          <w:i/>
        </w:rPr>
        <w:t>servidores públicos habilitados</w:t>
      </w:r>
      <w:r w:rsidRPr="00911B9A">
        <w:rPr>
          <w:rFonts w:ascii="Palatino Linotype" w:eastAsia="Palatino Linotype" w:hAnsi="Palatino Linotype" w:cs="Palatino Linotype"/>
          <w:i/>
        </w:rPr>
        <w:t xml:space="preserve"> tendrán las </w:t>
      </w:r>
      <w:r w:rsidRPr="00911B9A">
        <w:rPr>
          <w:rFonts w:ascii="Palatino Linotype" w:eastAsia="Palatino Linotype" w:hAnsi="Palatino Linotype" w:cs="Palatino Linotype"/>
          <w:b/>
          <w:i/>
        </w:rPr>
        <w:t>funciones</w:t>
      </w:r>
      <w:r w:rsidRPr="00911B9A">
        <w:rPr>
          <w:rFonts w:ascii="Palatino Linotype" w:eastAsia="Palatino Linotype" w:hAnsi="Palatino Linotype" w:cs="Palatino Linotype"/>
          <w:i/>
        </w:rPr>
        <w:t xml:space="preserve"> siguientes:</w:t>
      </w:r>
    </w:p>
    <w:p w14:paraId="59A34D7C"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b/>
          <w:i/>
        </w:rPr>
        <w:t>V. Integrar y presentar al responsable de la Unidad de Transparencia la propuesta de clasificación de información</w:t>
      </w:r>
      <w:r w:rsidRPr="00911B9A">
        <w:rPr>
          <w:rFonts w:ascii="Palatino Linotype" w:eastAsia="Palatino Linotype" w:hAnsi="Palatino Linotype" w:cs="Palatino Linotype"/>
          <w:i/>
        </w:rPr>
        <w:t xml:space="preserve">, la cual tendrá los fundamentos y argumentos en que se basa dicha propuesta…” </w:t>
      </w:r>
    </w:p>
    <w:p w14:paraId="68E06855" w14:textId="77777777" w:rsidR="00B63FA2" w:rsidRPr="00911B9A" w:rsidRDefault="00B63FA2" w:rsidP="00B63FA2">
      <w:pPr>
        <w:spacing w:after="0" w:line="276" w:lineRule="auto"/>
        <w:ind w:left="992" w:right="1043"/>
        <w:jc w:val="both"/>
        <w:rPr>
          <w:rFonts w:ascii="Palatino Linotype" w:eastAsia="Palatino Linotype" w:hAnsi="Palatino Linotype" w:cs="Palatino Linotype"/>
          <w:i/>
        </w:rPr>
      </w:pPr>
    </w:p>
    <w:p w14:paraId="040F805D"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BC3072"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0B9B7C41"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66FA803C"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33166799" w14:textId="77777777" w:rsidR="00B63FA2" w:rsidRPr="00911B9A" w:rsidRDefault="00B63FA2" w:rsidP="00B63FA2">
      <w:pPr>
        <w:spacing w:after="0"/>
        <w:ind w:left="992" w:right="1043"/>
        <w:jc w:val="both"/>
        <w:rPr>
          <w:rFonts w:ascii="Palatino Linotype" w:eastAsia="Palatino Linotype" w:hAnsi="Palatino Linotype" w:cs="Palatino Linotype"/>
          <w:i/>
        </w:rPr>
      </w:pPr>
      <w:r w:rsidRPr="00911B9A">
        <w:rPr>
          <w:rFonts w:ascii="Palatino Linotype" w:eastAsia="Palatino Linotype" w:hAnsi="Palatino Linotype" w:cs="Palatino Linotype"/>
          <w:i/>
        </w:rPr>
        <w:lastRenderedPageBreak/>
        <w:t>“</w:t>
      </w:r>
      <w:r w:rsidRPr="00911B9A">
        <w:rPr>
          <w:rFonts w:ascii="Palatino Linotype" w:eastAsia="Palatino Linotype" w:hAnsi="Palatino Linotype" w:cs="Palatino Linotype"/>
          <w:b/>
          <w:i/>
        </w:rPr>
        <w:t>Artículo 149.</w:t>
      </w:r>
      <w:r w:rsidRPr="00911B9A">
        <w:rPr>
          <w:rFonts w:ascii="Palatino Linotype" w:eastAsia="Palatino Linotype" w:hAnsi="Palatino Linotype" w:cs="Palatino Linotype"/>
          <w:i/>
        </w:rPr>
        <w:t xml:space="preserve"> El </w:t>
      </w:r>
      <w:r w:rsidRPr="00911B9A">
        <w:rPr>
          <w:rFonts w:ascii="Palatino Linotype" w:eastAsia="Palatino Linotype" w:hAnsi="Palatino Linotype" w:cs="Palatino Linotype"/>
          <w:b/>
          <w:i/>
        </w:rPr>
        <w:t>acuerdo que clasifique la información como confidencial</w:t>
      </w:r>
      <w:r w:rsidRPr="00911B9A">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7D911E56" w14:textId="77777777" w:rsidR="00B63FA2" w:rsidRPr="00911B9A" w:rsidRDefault="00B63FA2" w:rsidP="00B63FA2">
      <w:pPr>
        <w:spacing w:line="360" w:lineRule="auto"/>
        <w:ind w:right="51"/>
        <w:jc w:val="both"/>
        <w:rPr>
          <w:rFonts w:ascii="Palatino Linotype" w:eastAsia="Palatino Linotype" w:hAnsi="Palatino Linotype" w:cs="Palatino Linotype"/>
          <w:i/>
        </w:rPr>
      </w:pPr>
    </w:p>
    <w:p w14:paraId="4345CD91"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Es decir, </w:t>
      </w: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7EC051F"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p>
    <w:p w14:paraId="648D611C" w14:textId="77777777" w:rsidR="00B63FA2" w:rsidRPr="00911B9A" w:rsidRDefault="00B63FA2" w:rsidP="00B63FA2">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Respecto del </w:t>
      </w:r>
      <w:r w:rsidRPr="00911B9A">
        <w:rPr>
          <w:rFonts w:ascii="Palatino Linotype" w:eastAsia="Palatino Linotype" w:hAnsi="Palatino Linotype" w:cs="Palatino Linotype"/>
          <w:b/>
          <w:sz w:val="24"/>
          <w:szCs w:val="24"/>
        </w:rPr>
        <w:t>nombre de las personas físicas</w:t>
      </w:r>
      <w:r w:rsidRPr="00911B9A">
        <w:rPr>
          <w:rFonts w:ascii="Palatino Linotype" w:eastAsia="Palatino Linotype" w:hAnsi="Palatino Linotype" w:cs="Palatino Linotype"/>
          <w:sz w:val="24"/>
          <w:szCs w:val="24"/>
        </w:rPr>
        <w:t xml:space="preserve"> o los </w:t>
      </w:r>
      <w:r w:rsidRPr="00911B9A">
        <w:rPr>
          <w:rFonts w:ascii="Palatino Linotype" w:eastAsia="Palatino Linotype" w:hAnsi="Palatino Linotype" w:cs="Palatino Linotype"/>
          <w:b/>
          <w:sz w:val="24"/>
          <w:szCs w:val="24"/>
        </w:rPr>
        <w:t>representantes legales de las personas morales</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en su calidad de proveedores, contratistas o prestadores de servicios, y la firma y rúbrica de estos</w:t>
      </w:r>
      <w:r w:rsidRPr="00911B9A">
        <w:rPr>
          <w:rFonts w:ascii="Palatino Linotype" w:eastAsia="Palatino Linotype" w:hAnsi="Palatino Linotype" w:cs="Palatino Linotype"/>
          <w:sz w:val="24"/>
          <w:szCs w:val="24"/>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ED349C3" w14:textId="77777777" w:rsidR="00B63FA2" w:rsidRPr="00911B9A" w:rsidRDefault="00B63FA2" w:rsidP="00B63FA2">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2AC18878" w14:textId="77777777" w:rsidR="00B63FA2" w:rsidRPr="00911B9A" w:rsidRDefault="00B63FA2" w:rsidP="00B63FA2">
      <w:pPr>
        <w:pBdr>
          <w:top w:val="nil"/>
          <w:left w:val="nil"/>
          <w:bottom w:val="nil"/>
          <w:right w:val="nil"/>
          <w:between w:val="nil"/>
        </w:pBdr>
        <w:spacing w:after="0" w:line="360" w:lineRule="auto"/>
        <w:ind w:right="50"/>
        <w:jc w:val="both"/>
        <w:rPr>
          <w:sz w:val="24"/>
          <w:szCs w:val="24"/>
        </w:rPr>
      </w:pPr>
    </w:p>
    <w:p w14:paraId="5D9D3A22" w14:textId="77777777" w:rsidR="00B63FA2" w:rsidRPr="00911B9A" w:rsidRDefault="00B63FA2" w:rsidP="00B63FA2">
      <w:pPr>
        <w:pBdr>
          <w:top w:val="nil"/>
          <w:left w:val="nil"/>
          <w:bottom w:val="nil"/>
          <w:right w:val="nil"/>
          <w:between w:val="nil"/>
        </w:pBdr>
        <w:spacing w:after="120"/>
        <w:ind w:left="851" w:right="902"/>
        <w:jc w:val="both"/>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Artículo 23.</w:t>
      </w:r>
      <w:r w:rsidRPr="00911B9A">
        <w:rPr>
          <w:rFonts w:ascii="Palatino Linotype" w:eastAsia="Palatino Linotype" w:hAnsi="Palatino Linotype" w:cs="Palatino Linotype"/>
          <w:i/>
        </w:rPr>
        <w:t xml:space="preserve"> (…)</w:t>
      </w:r>
    </w:p>
    <w:p w14:paraId="73CC22AF" w14:textId="77777777" w:rsidR="00B63FA2" w:rsidRPr="00911B9A" w:rsidRDefault="00B63FA2" w:rsidP="00B63FA2">
      <w:pPr>
        <w:pBdr>
          <w:top w:val="nil"/>
          <w:left w:val="nil"/>
          <w:bottom w:val="nil"/>
          <w:right w:val="nil"/>
          <w:between w:val="nil"/>
        </w:pBdr>
        <w:spacing w:before="120" w:after="120"/>
        <w:ind w:left="851" w:right="902"/>
        <w:jc w:val="both"/>
      </w:pPr>
      <w:r w:rsidRPr="00911B9A">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95B88D5" w14:textId="77777777" w:rsidR="00B63FA2" w:rsidRPr="00911B9A" w:rsidRDefault="00B63FA2" w:rsidP="00B63FA2">
      <w:pPr>
        <w:pBdr>
          <w:top w:val="nil"/>
          <w:left w:val="nil"/>
          <w:bottom w:val="nil"/>
          <w:right w:val="nil"/>
          <w:between w:val="nil"/>
        </w:pBdr>
        <w:spacing w:before="280" w:after="280" w:line="360" w:lineRule="auto"/>
        <w:jc w:val="both"/>
      </w:pPr>
      <w:r w:rsidRPr="00911B9A">
        <w:rPr>
          <w:rFonts w:ascii="Palatino Linotype" w:eastAsia="Palatino Linotype" w:hAnsi="Palatino Linotype" w:cs="Palatino Linotype"/>
          <w:sz w:val="24"/>
          <w:szCs w:val="24"/>
        </w:rPr>
        <w:t>Asimismo, resulta aplicable el contenido del criterio de interpretación 01/19 emitido por el Instituto Nacional de Transparencia, Acceso a la Información, y Protección de Datos Personales, INAI, que lleva por rubro y texto los siguientes</w:t>
      </w:r>
    </w:p>
    <w:p w14:paraId="479D5DEC" w14:textId="77777777" w:rsidR="00B63FA2" w:rsidRPr="00911B9A" w:rsidRDefault="00B63FA2" w:rsidP="00B63FA2">
      <w:pPr>
        <w:pBdr>
          <w:top w:val="nil"/>
          <w:left w:val="nil"/>
          <w:bottom w:val="nil"/>
          <w:right w:val="nil"/>
          <w:between w:val="nil"/>
        </w:pBdr>
        <w:spacing w:after="0" w:line="276" w:lineRule="auto"/>
        <w:ind w:left="851" w:right="902"/>
        <w:jc w:val="both"/>
      </w:pPr>
      <w:r w:rsidRPr="00911B9A">
        <w:rPr>
          <w:rFonts w:ascii="Palatino Linotype" w:eastAsia="Palatino Linotype" w:hAnsi="Palatino Linotype" w:cs="Palatino Linotype"/>
          <w:b/>
          <w:i/>
        </w:rPr>
        <w:t>“Datos de identificación del representante o apoderado legal.</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 xml:space="preserve">Naturaleza jurídica. El nombre, la </w:t>
      </w:r>
      <w:r w:rsidRPr="00911B9A">
        <w:rPr>
          <w:rFonts w:ascii="Palatino Linotype" w:eastAsia="Palatino Linotype" w:hAnsi="Palatino Linotype" w:cs="Palatino Linotype"/>
          <w:b/>
          <w:i/>
          <w:u w:val="single"/>
        </w:rPr>
        <w:t>firma y la rúbrica</w:t>
      </w:r>
      <w:r w:rsidRPr="00911B9A">
        <w:rPr>
          <w:rFonts w:ascii="Palatino Linotype" w:eastAsia="Palatino Linotype" w:hAnsi="Palatino Linotype" w:cs="Palatino Linotype"/>
          <w:i/>
        </w:rPr>
        <w:t xml:space="preserve"> de una persona física, que actúe como representante o apoderado legal de un tercero que haya celebrado un acto jurídico, con algún sujeto obligado, </w:t>
      </w:r>
      <w:r w:rsidRPr="00911B9A">
        <w:rPr>
          <w:rFonts w:ascii="Palatino Linotype" w:eastAsia="Palatino Linotype" w:hAnsi="Palatino Linotype" w:cs="Palatino Linotype"/>
          <w:b/>
          <w:i/>
          <w:u w:val="single"/>
        </w:rPr>
        <w:t>es información pública</w:t>
      </w:r>
      <w:r w:rsidRPr="00911B9A">
        <w:rPr>
          <w:rFonts w:ascii="Palatino Linotype" w:eastAsia="Palatino Linotype" w:hAnsi="Palatino Linotype" w:cs="Palatino Linotype"/>
          <w:b/>
          <w:i/>
        </w:rPr>
        <w:t>, en razón de que tales datos fueron proporcionados con el objeto de expresar el consentimiento obligacional del tercero y otorgar validez a dicho instrumento jurídico</w:t>
      </w:r>
      <w:r w:rsidRPr="00911B9A">
        <w:rPr>
          <w:rFonts w:ascii="Palatino Linotype" w:eastAsia="Palatino Linotype" w:hAnsi="Palatino Linotype" w:cs="Palatino Linotype"/>
          <w:i/>
        </w:rPr>
        <w:t>.”</w:t>
      </w:r>
    </w:p>
    <w:p w14:paraId="7B28FB07"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6E3322A4"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AC4EB62"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p>
    <w:p w14:paraId="2F86E78B"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56D8A46" w14:textId="77777777" w:rsidR="00B63FA2" w:rsidRPr="00911B9A" w:rsidRDefault="00B63FA2" w:rsidP="00B63FA2">
      <w:pPr>
        <w:spacing w:after="0" w:line="360" w:lineRule="auto"/>
        <w:ind w:right="51"/>
        <w:jc w:val="both"/>
        <w:rPr>
          <w:rFonts w:ascii="Palatino Linotype" w:eastAsia="Palatino Linotype" w:hAnsi="Palatino Linotype" w:cs="Palatino Linotype"/>
          <w:sz w:val="24"/>
          <w:szCs w:val="24"/>
        </w:rPr>
      </w:pPr>
    </w:p>
    <w:p w14:paraId="365E83E9"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Lo anterior encuentra sustento en el criterio 10/17 emitido por el Instituto Nacional de Transparencia y Acceso a la Información Pública del Estado de México y Municipios, que a la letra dicen:</w:t>
      </w:r>
    </w:p>
    <w:p w14:paraId="62F74B5F"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p>
    <w:p w14:paraId="44137186" w14:textId="77777777" w:rsidR="00B63FA2" w:rsidRPr="00911B9A" w:rsidRDefault="00B63FA2" w:rsidP="00B63FA2">
      <w:pPr>
        <w:spacing w:after="0" w:line="276" w:lineRule="auto"/>
        <w:ind w:left="851" w:right="1134"/>
        <w:jc w:val="both"/>
        <w:rPr>
          <w:rFonts w:ascii="Palatino Linotype" w:eastAsia="Palatino Linotype" w:hAnsi="Palatino Linotype" w:cs="Palatino Linotype"/>
          <w:i/>
        </w:rPr>
      </w:pPr>
      <w:r w:rsidRPr="00911B9A">
        <w:rPr>
          <w:rFonts w:ascii="Palatino Linotype" w:eastAsia="Palatino Linotype" w:hAnsi="Palatino Linotype" w:cs="Palatino Linotype"/>
          <w:b/>
          <w:i/>
        </w:rPr>
        <w:t>“Cuentas bancarias y/o CLABE interbancaria de personas físicas y morales privadas.</w:t>
      </w:r>
      <w:r w:rsidRPr="00911B9A">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8F6FEBE" w14:textId="77777777" w:rsidR="00B63FA2" w:rsidRPr="00911B9A" w:rsidRDefault="00B63FA2" w:rsidP="00B63FA2">
      <w:pPr>
        <w:ind w:left="851" w:right="899"/>
        <w:jc w:val="center"/>
        <w:rPr>
          <w:rFonts w:ascii="Palatino Linotype" w:eastAsia="Palatino Linotype" w:hAnsi="Palatino Linotype" w:cs="Palatino Linotype"/>
          <w:b/>
          <w:i/>
        </w:rPr>
      </w:pPr>
    </w:p>
    <w:p w14:paraId="7697896D"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w:t>
      </w:r>
      <w:r w:rsidRPr="00911B9A">
        <w:rPr>
          <w:rFonts w:ascii="Palatino Linotype" w:eastAsia="Palatino Linotype" w:hAnsi="Palatino Linotype" w:cs="Palatino Linotype"/>
          <w:sz w:val="24"/>
          <w:szCs w:val="24"/>
        </w:rPr>
        <w:lastRenderedPageBreak/>
        <w:t>Acceso a la Información Pública del Estado de México y Municipios, el cual para mayor referencia se inserta a continuación:</w:t>
      </w:r>
    </w:p>
    <w:p w14:paraId="2E800299"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p>
    <w:p w14:paraId="7FF085EA" w14:textId="77777777" w:rsidR="00B63FA2" w:rsidRPr="00911B9A" w:rsidRDefault="00B63FA2" w:rsidP="00B63FA2">
      <w:pPr>
        <w:spacing w:after="0" w:line="276" w:lineRule="auto"/>
        <w:ind w:left="851" w:right="1134"/>
        <w:jc w:val="both"/>
        <w:rPr>
          <w:rFonts w:ascii="Palatino Linotype" w:eastAsia="Palatino Linotype" w:hAnsi="Palatino Linotype" w:cs="Palatino Linotype"/>
          <w:i/>
        </w:rPr>
      </w:pPr>
      <w:r w:rsidRPr="00911B9A">
        <w:rPr>
          <w:rFonts w:ascii="Palatino Linotype" w:eastAsia="Palatino Linotype" w:hAnsi="Palatino Linotype" w:cs="Palatino Linotype"/>
          <w:i/>
        </w:rPr>
        <w:t>“</w:t>
      </w:r>
      <w:r w:rsidRPr="00911B9A">
        <w:rPr>
          <w:rFonts w:ascii="Palatino Linotype" w:eastAsia="Palatino Linotype" w:hAnsi="Palatino Linotype" w:cs="Palatino Linotype"/>
          <w:b/>
          <w:i/>
        </w:rPr>
        <w:t>Cuentas bancarias y/o CLABE interbancaria de sujetos obligados que reciben y/o transfieren recursos públicos, son información pública.</w:t>
      </w:r>
      <w:r w:rsidRPr="00911B9A">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94E5625" w14:textId="77777777" w:rsidR="00B63FA2" w:rsidRPr="00911B9A" w:rsidRDefault="00B63FA2" w:rsidP="00B63FA2">
      <w:pPr>
        <w:spacing w:after="0" w:line="360" w:lineRule="auto"/>
        <w:ind w:left="851" w:right="1134"/>
        <w:jc w:val="both"/>
        <w:rPr>
          <w:rFonts w:ascii="Palatino Linotype" w:eastAsia="Palatino Linotype" w:hAnsi="Palatino Linotype" w:cs="Palatino Linotype"/>
          <w:i/>
        </w:rPr>
      </w:pPr>
    </w:p>
    <w:p w14:paraId="5D4BB842"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Sobre el </w:t>
      </w:r>
      <w:r w:rsidRPr="00911B9A">
        <w:rPr>
          <w:rFonts w:ascii="Palatino Linotype" w:eastAsia="Palatino Linotype" w:hAnsi="Palatino Linotype" w:cs="Palatino Linotype"/>
          <w:b/>
          <w:sz w:val="24"/>
          <w:szCs w:val="24"/>
        </w:rPr>
        <w:t>RFC</w:t>
      </w:r>
      <w:r w:rsidRPr="00911B9A">
        <w:rPr>
          <w:rFonts w:ascii="Palatino Linotype" w:eastAsia="Palatino Linotype" w:hAnsi="Palatino Linotype" w:cs="Palatino Linotype"/>
          <w:sz w:val="24"/>
          <w:szCs w:val="24"/>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CE8AE9E"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p>
    <w:p w14:paraId="457FB9CA"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00764C8"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p>
    <w:p w14:paraId="46B223CC"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B142C77" w14:textId="77777777" w:rsidR="00B63FA2" w:rsidRPr="00911B9A" w:rsidRDefault="00B63FA2" w:rsidP="00B63FA2">
      <w:pPr>
        <w:spacing w:after="0" w:line="360" w:lineRule="auto"/>
        <w:ind w:right="50"/>
        <w:jc w:val="both"/>
        <w:rPr>
          <w:rFonts w:ascii="Palatino Linotype" w:eastAsia="Palatino Linotype" w:hAnsi="Palatino Linotype" w:cs="Palatino Linotype"/>
          <w:sz w:val="24"/>
          <w:szCs w:val="24"/>
        </w:rPr>
      </w:pPr>
    </w:p>
    <w:p w14:paraId="0FFAA587"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Al respecto, se destaca que la versión pública que elabore </w:t>
      </w: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11B9A">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911B9A">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DACECC9" w14:textId="77777777" w:rsidR="00B63FA2" w:rsidRPr="00911B9A" w:rsidRDefault="00B63FA2" w:rsidP="00B63FA2">
      <w:pPr>
        <w:ind w:left="709" w:right="709"/>
        <w:jc w:val="both"/>
        <w:rPr>
          <w:rFonts w:ascii="Palatino Linotype" w:eastAsia="Palatino Linotype" w:hAnsi="Palatino Linotype" w:cs="Palatino Linotype"/>
          <w:b/>
          <w:i/>
        </w:rPr>
      </w:pPr>
    </w:p>
    <w:p w14:paraId="0E048C1A"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5F7F73F2"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t>“</w:t>
      </w:r>
      <w:proofErr w:type="gramStart"/>
      <w:r w:rsidRPr="00911B9A">
        <w:rPr>
          <w:rFonts w:ascii="Palatino Linotype" w:eastAsia="Palatino Linotype" w:hAnsi="Palatino Linotype" w:cs="Palatino Linotype"/>
          <w:b/>
          <w:i/>
        </w:rPr>
        <w:t>Segundo.-</w:t>
      </w:r>
      <w:proofErr w:type="gramEnd"/>
      <w:r w:rsidRPr="00911B9A">
        <w:rPr>
          <w:rFonts w:ascii="Palatino Linotype" w:eastAsia="Palatino Linotype" w:hAnsi="Palatino Linotype" w:cs="Palatino Linotype"/>
          <w:i/>
        </w:rPr>
        <w:t xml:space="preserve"> Para efectos de los presentes Lineamientos Generales, se entenderá por:</w:t>
      </w:r>
    </w:p>
    <w:p w14:paraId="378FF517"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lastRenderedPageBreak/>
        <w:t>XVIII.</w:t>
      </w:r>
      <w:r w:rsidRPr="00911B9A">
        <w:rPr>
          <w:rFonts w:ascii="Palatino Linotype" w:eastAsia="Palatino Linotype" w:hAnsi="Palatino Linotype" w:cs="Palatino Linotype"/>
          <w:i/>
        </w:rPr>
        <w:t xml:space="preserve"> </w:t>
      </w:r>
      <w:r w:rsidRPr="00911B9A">
        <w:rPr>
          <w:rFonts w:ascii="Palatino Linotype" w:eastAsia="Palatino Linotype" w:hAnsi="Palatino Linotype" w:cs="Palatino Linotype"/>
          <w:b/>
          <w:i/>
        </w:rPr>
        <w:t>Versión pública:</w:t>
      </w:r>
      <w:r w:rsidRPr="00911B9A">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11B9A">
        <w:rPr>
          <w:rFonts w:ascii="Palatino Linotype" w:eastAsia="Palatino Linotype" w:hAnsi="Palatino Linotype" w:cs="Palatino Linotype"/>
          <w:b/>
          <w:i/>
          <w:u w:val="single"/>
        </w:rPr>
        <w:t>fundando y motivando la</w:t>
      </w:r>
      <w:r w:rsidRPr="00911B9A">
        <w:rPr>
          <w:rFonts w:ascii="Palatino Linotype" w:eastAsia="Palatino Linotype" w:hAnsi="Palatino Linotype" w:cs="Palatino Linotype"/>
          <w:i/>
        </w:rPr>
        <w:t xml:space="preserve"> reserva o </w:t>
      </w:r>
      <w:r w:rsidRPr="00911B9A">
        <w:rPr>
          <w:rFonts w:ascii="Palatino Linotype" w:eastAsia="Palatino Linotype" w:hAnsi="Palatino Linotype" w:cs="Palatino Linotype"/>
          <w:b/>
          <w:i/>
          <w:u w:val="single"/>
        </w:rPr>
        <w:t>confidencialidad</w:t>
      </w:r>
      <w:r w:rsidRPr="00911B9A">
        <w:rPr>
          <w:rFonts w:ascii="Palatino Linotype" w:eastAsia="Palatino Linotype" w:hAnsi="Palatino Linotype" w:cs="Palatino Linotype"/>
          <w:i/>
        </w:rPr>
        <w:t>, a través de la resolución que para tal efecto emita el Comité de Transparencia.</w:t>
      </w:r>
    </w:p>
    <w:p w14:paraId="28BA3598"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Cuarto.</w:t>
      </w:r>
      <w:r w:rsidRPr="00911B9A">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A6D194"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CC2C793"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Quinto.</w:t>
      </w:r>
      <w:r w:rsidRPr="00911B9A">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6F1DB5"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w:t>
      </w:r>
    </w:p>
    <w:p w14:paraId="1CD37149"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Séptimo.</w:t>
      </w:r>
      <w:r w:rsidRPr="00911B9A">
        <w:rPr>
          <w:rFonts w:ascii="Palatino Linotype" w:eastAsia="Palatino Linotype" w:hAnsi="Palatino Linotype" w:cs="Palatino Linotype"/>
          <w:i/>
        </w:rPr>
        <w:t xml:space="preserve"> La clasificación de la información se llevará a cabo en el momento en que:</w:t>
      </w:r>
    </w:p>
    <w:p w14:paraId="76ADD0C3"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I.</w:t>
      </w:r>
      <w:r w:rsidRPr="00911B9A">
        <w:rPr>
          <w:rFonts w:ascii="Palatino Linotype" w:eastAsia="Palatino Linotype" w:hAnsi="Palatino Linotype" w:cs="Palatino Linotype"/>
          <w:i/>
        </w:rPr>
        <w:t xml:space="preserve"> Se reciba una solicitud de acceso a la información;</w:t>
      </w:r>
    </w:p>
    <w:p w14:paraId="052EC17A"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b/>
          <w:i/>
        </w:rPr>
        <w:t>II.</w:t>
      </w:r>
      <w:r w:rsidRPr="00911B9A">
        <w:rPr>
          <w:rFonts w:ascii="Palatino Linotype" w:eastAsia="Palatino Linotype" w:hAnsi="Palatino Linotype" w:cs="Palatino Linotype"/>
          <w:i/>
        </w:rPr>
        <w:t xml:space="preserve"> </w:t>
      </w:r>
      <w:proofErr w:type="gramStart"/>
      <w:r w:rsidRPr="00911B9A">
        <w:rPr>
          <w:rFonts w:ascii="Palatino Linotype" w:eastAsia="Palatino Linotype" w:hAnsi="Palatino Linotype" w:cs="Palatino Linotype"/>
          <w:i/>
        </w:rPr>
        <w:t>Se  determine</w:t>
      </w:r>
      <w:proofErr w:type="gramEnd"/>
      <w:r w:rsidRPr="00911B9A">
        <w:rPr>
          <w:rFonts w:ascii="Palatino Linotype" w:eastAsia="Palatino Linotype" w:hAnsi="Palatino Linotype" w:cs="Palatino Linotype"/>
          <w:i/>
        </w:rPr>
        <w:t xml:space="preserve"> mediante resolución del Comité de Transparencia, el órgano garante </w:t>
      </w:r>
    </w:p>
    <w:p w14:paraId="6DC129E1"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t>competente, o en cumplimiento a una sentencia del Poder Judicial; o</w:t>
      </w:r>
    </w:p>
    <w:p w14:paraId="26707E4C"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III.</w:t>
      </w:r>
      <w:r w:rsidRPr="00911B9A">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4A9F044"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4673458E"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Octavo.</w:t>
      </w:r>
      <w:r w:rsidRPr="00911B9A">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F404528"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lastRenderedPageBreak/>
        <w:t>Para motivar la clasificación se deberán señalar las razones o circunstancias especiales que lo llevaron a concluir que el caso particular se ajusta al supuesto previsto por la norma legal invocada como fundamento.</w:t>
      </w:r>
    </w:p>
    <w:p w14:paraId="6FA9F0EF"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658D061F"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Noveno.</w:t>
      </w:r>
      <w:r w:rsidRPr="00911B9A">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30B27E"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b/>
          <w:i/>
        </w:rPr>
        <w:t>Décimo.</w:t>
      </w:r>
      <w:r w:rsidRPr="00911B9A">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D3C86CE"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760C7090"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b/>
          <w:i/>
        </w:rPr>
        <w:t>Décimo primero.</w:t>
      </w:r>
      <w:r w:rsidRPr="00911B9A">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473B73" w14:textId="77777777" w:rsidR="00B63FA2" w:rsidRPr="00911B9A" w:rsidRDefault="00B63FA2" w:rsidP="00B63FA2">
      <w:pPr>
        <w:pBdr>
          <w:top w:val="nil"/>
          <w:left w:val="nil"/>
          <w:bottom w:val="nil"/>
          <w:right w:val="nil"/>
          <w:between w:val="nil"/>
        </w:pBdr>
        <w:spacing w:after="0" w:line="276" w:lineRule="auto"/>
        <w:ind w:right="709"/>
        <w:jc w:val="both"/>
      </w:pPr>
    </w:p>
    <w:p w14:paraId="05C07D6D"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t>[…]</w:t>
      </w:r>
    </w:p>
    <w:p w14:paraId="44987F7C" w14:textId="77777777" w:rsidR="00B63FA2" w:rsidRPr="00911B9A" w:rsidRDefault="00B63FA2" w:rsidP="00B63FA2">
      <w:pPr>
        <w:pBdr>
          <w:top w:val="nil"/>
          <w:left w:val="nil"/>
          <w:bottom w:val="nil"/>
          <w:right w:val="nil"/>
          <w:between w:val="nil"/>
        </w:pBdr>
        <w:spacing w:after="0" w:line="276" w:lineRule="auto"/>
        <w:ind w:left="709" w:right="709"/>
        <w:jc w:val="center"/>
      </w:pPr>
      <w:r w:rsidRPr="00911B9A">
        <w:rPr>
          <w:rFonts w:ascii="Palatino Linotype" w:eastAsia="Palatino Linotype" w:hAnsi="Palatino Linotype" w:cs="Palatino Linotype"/>
          <w:b/>
          <w:i/>
        </w:rPr>
        <w:t>CAPÍTULO VIII</w:t>
      </w:r>
    </w:p>
    <w:p w14:paraId="295F9D6D" w14:textId="77777777" w:rsidR="00B63FA2" w:rsidRPr="00911B9A" w:rsidRDefault="00B63FA2" w:rsidP="00B63FA2">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b/>
          <w:i/>
        </w:rPr>
      </w:pPr>
      <w:r w:rsidRPr="00911B9A">
        <w:rPr>
          <w:rFonts w:ascii="Palatino Linotype" w:eastAsia="Palatino Linotype" w:hAnsi="Palatino Linotype" w:cs="Palatino Linotype"/>
          <w:b/>
          <w:i/>
        </w:rPr>
        <w:t>DE LOS ELEMENTOS PARA LA CLASIFICACIÓN</w:t>
      </w:r>
    </w:p>
    <w:p w14:paraId="54272F38"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b/>
          <w:i/>
        </w:rPr>
        <w:t>Quincuagésimo</w:t>
      </w:r>
      <w:r w:rsidRPr="00911B9A">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E4B6243"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b/>
          <w:i/>
        </w:rPr>
        <w:lastRenderedPageBreak/>
        <w:t>Quincuagésimo primero</w:t>
      </w:r>
      <w:r w:rsidRPr="00911B9A">
        <w:rPr>
          <w:rFonts w:ascii="Palatino Linotype" w:eastAsia="Palatino Linotype" w:hAnsi="Palatino Linotype" w:cs="Palatino Linotype"/>
          <w:i/>
        </w:rPr>
        <w:t>. Toda acta del Comité de Transparencia deberá contener:</w:t>
      </w:r>
    </w:p>
    <w:p w14:paraId="2D05AC43"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I. El número de sesión y fecha; </w:t>
      </w:r>
    </w:p>
    <w:p w14:paraId="4DAE4CFF"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II. El nombre del área que solicitó la clasificación de información;</w:t>
      </w:r>
    </w:p>
    <w:p w14:paraId="32CCB77E"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III. La fundamentación legal y motivación correspondiente;</w:t>
      </w:r>
    </w:p>
    <w:p w14:paraId="72A822FA"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IV. La resolución o resoluciones aprobadas; y</w:t>
      </w:r>
    </w:p>
    <w:p w14:paraId="3752D897"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V. La rúbrica o firma digital de cada integrante del Comité de Transparencia. </w:t>
      </w:r>
    </w:p>
    <w:p w14:paraId="004BF7CB"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7D6DDF8A"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 Los motivos y razonamientos que sustenten la confirmación o modificación de la prueba de daño;</w:t>
      </w:r>
    </w:p>
    <w:p w14:paraId="7B25A532"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II. Descripción de las partes o secciones reservadas, en caso de clasificación parcial;</w:t>
      </w:r>
    </w:p>
    <w:p w14:paraId="6E3F6553"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III. El periodo por el que mantendrá su clasificación y fecha de expiración; y</w:t>
      </w:r>
    </w:p>
    <w:p w14:paraId="111F0C3A"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IV. El nombre del titular y área encargada de realizar la versión pública del documento, en su caso.</w:t>
      </w:r>
    </w:p>
    <w:p w14:paraId="6F24D646"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33D2706"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C0F0B17"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b/>
          <w:i/>
        </w:rPr>
        <w:t>Quincuagésimo segundo</w:t>
      </w:r>
      <w:r w:rsidRPr="00911B9A">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8293936"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2084ADE0"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 Fijar la fecha en que se elaboró la versión pública y la fecha en la cual el Comité de Transparencia confirmó dicha versión;</w:t>
      </w:r>
    </w:p>
    <w:p w14:paraId="1D0F3B60"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C6592E9"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III. Señalar las personas o instancias autorizadas a acceder a la información clasificada.</w:t>
      </w:r>
    </w:p>
    <w:p w14:paraId="0FC1E7F6"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1CEC90D3" w14:textId="77777777" w:rsidR="00B63FA2" w:rsidRPr="00911B9A" w:rsidRDefault="00B63FA2" w:rsidP="00B63FA2">
      <w:pPr>
        <w:pBdr>
          <w:top w:val="nil"/>
          <w:left w:val="nil"/>
          <w:bottom w:val="nil"/>
          <w:right w:val="nil"/>
          <w:between w:val="nil"/>
        </w:pBdr>
        <w:spacing w:line="276" w:lineRule="auto"/>
        <w:ind w:left="709" w:right="709"/>
        <w:jc w:val="both"/>
      </w:pPr>
      <w:r w:rsidRPr="00911B9A">
        <w:rPr>
          <w:rFonts w:ascii="Palatino Linotype" w:eastAsia="Palatino Linotype" w:hAnsi="Palatino Linotype" w:cs="Palatino Linotype"/>
          <w:b/>
          <w:i/>
        </w:rPr>
        <w:t>…</w:t>
      </w:r>
    </w:p>
    <w:p w14:paraId="3A7CBAEE" w14:textId="77777777" w:rsidR="00B63FA2" w:rsidRPr="00911B9A" w:rsidRDefault="00B63FA2" w:rsidP="00B63FA2">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11B9A">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E1C12DA" w14:textId="77777777" w:rsidR="00B63FA2" w:rsidRPr="00911B9A" w:rsidRDefault="00B63FA2" w:rsidP="00B63FA2">
      <w:pPr>
        <w:pBdr>
          <w:top w:val="nil"/>
          <w:left w:val="nil"/>
          <w:bottom w:val="nil"/>
          <w:right w:val="nil"/>
          <w:between w:val="nil"/>
        </w:pBdr>
        <w:spacing w:after="0" w:line="276" w:lineRule="auto"/>
        <w:ind w:left="709" w:right="709"/>
        <w:jc w:val="both"/>
      </w:pPr>
      <w:r w:rsidRPr="00911B9A">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911B9A">
        <w:rPr>
          <w:rFonts w:ascii="Palatino Linotype" w:eastAsia="Palatino Linotype" w:hAnsi="Palatino Linotype" w:cs="Palatino Linotype"/>
          <w:i/>
        </w:rPr>
        <w:t>testado</w:t>
      </w:r>
      <w:proofErr w:type="spellEnd"/>
      <w:r w:rsidRPr="00911B9A">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760C1F97" w14:textId="77777777" w:rsidR="00B63FA2" w:rsidRPr="00911B9A" w:rsidRDefault="00B63FA2" w:rsidP="00B63FA2">
      <w:pPr>
        <w:jc w:val="both"/>
      </w:pPr>
    </w:p>
    <w:p w14:paraId="4A24E15C"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03E669DB"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3977AB75" w14:textId="77777777" w:rsidR="00B63FA2" w:rsidRPr="00911B9A" w:rsidRDefault="00B63FA2" w:rsidP="00B63FA2">
      <w:pPr>
        <w:shd w:val="clear" w:color="auto" w:fill="FFFFFF"/>
        <w:spacing w:after="0" w:line="360" w:lineRule="auto"/>
        <w:ind w:right="51"/>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911B9A">
        <w:rPr>
          <w:rFonts w:ascii="Palatino Linotype" w:eastAsia="Palatino Linotype" w:hAnsi="Palatino Linotype" w:cs="Palatino Linotype"/>
          <w:sz w:val="24"/>
          <w:szCs w:val="24"/>
        </w:rPr>
        <w:lastRenderedPageBreak/>
        <w:t xml:space="preserve">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911B9A">
        <w:rPr>
          <w:rFonts w:ascii="Palatino Linotype" w:eastAsia="Palatino Linotype" w:hAnsi="Palatino Linotype" w:cs="Palatino Linotype"/>
          <w:b/>
          <w:sz w:val="24"/>
          <w:szCs w:val="24"/>
        </w:rPr>
        <w:t>LA PARTE</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RECURRENTE</w:t>
      </w:r>
      <w:r w:rsidRPr="00911B9A">
        <w:rPr>
          <w:rFonts w:ascii="Palatino Linotype" w:eastAsia="Palatino Linotype" w:hAnsi="Palatino Linotype" w:cs="Palatino Linotype"/>
          <w:sz w:val="24"/>
          <w:szCs w:val="24"/>
        </w:rPr>
        <w:t>.</w:t>
      </w:r>
    </w:p>
    <w:p w14:paraId="3EF98A7C" w14:textId="77777777" w:rsidR="00B63FA2" w:rsidRPr="00911B9A" w:rsidRDefault="00B63FA2" w:rsidP="00B63FA2">
      <w:pPr>
        <w:shd w:val="clear" w:color="auto" w:fill="FFFFFF"/>
        <w:spacing w:after="0" w:line="360" w:lineRule="auto"/>
        <w:ind w:right="51"/>
        <w:jc w:val="both"/>
        <w:rPr>
          <w:rFonts w:ascii="Palatino Linotype" w:eastAsia="Palatino Linotype" w:hAnsi="Palatino Linotype" w:cs="Palatino Linotype"/>
          <w:sz w:val="24"/>
          <w:szCs w:val="24"/>
        </w:rPr>
      </w:pPr>
    </w:p>
    <w:p w14:paraId="06428EDE"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szCs w:val="24"/>
        </w:rPr>
        <w:t>Por lo anteriormente expuesto y con fundamento en lo prescrito en los artículos 5 párrafos trigésimo séptimo, trigésimo octavo y trigésimo noveno de la Constitución Política del Estado Libre y Soberano de México; 2, fracción II; 29, 36 fracciones I y II; 176, 178, 181, 185 y 186 fracción III de la Ley de Transparencia y Acceso a la Información Pública del Estado de México y Municipios, este Pleno:</w:t>
      </w:r>
    </w:p>
    <w:p w14:paraId="426F89A1" w14:textId="77777777" w:rsidR="00B63FA2" w:rsidRPr="00911B9A" w:rsidRDefault="00B63FA2" w:rsidP="000829F4">
      <w:pPr>
        <w:spacing w:after="0" w:line="360" w:lineRule="auto"/>
        <w:jc w:val="both"/>
        <w:rPr>
          <w:rFonts w:ascii="Palatino Linotype" w:eastAsia="Palatino Linotype" w:hAnsi="Palatino Linotype" w:cs="Palatino Linotype"/>
          <w:sz w:val="24"/>
          <w:szCs w:val="24"/>
        </w:rPr>
      </w:pPr>
    </w:p>
    <w:p w14:paraId="4BFFBB0E" w14:textId="77777777" w:rsidR="00B63FA2" w:rsidRPr="00911B9A" w:rsidRDefault="00B63FA2" w:rsidP="00B63FA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911B9A">
        <w:rPr>
          <w:rFonts w:ascii="Palatino Linotype" w:eastAsia="Palatino Linotype" w:hAnsi="Palatino Linotype" w:cs="Palatino Linotype"/>
          <w:b/>
          <w:sz w:val="24"/>
          <w:szCs w:val="24"/>
        </w:rPr>
        <w:t>R E S U E L V E:</w:t>
      </w:r>
    </w:p>
    <w:p w14:paraId="2CB7F28F" w14:textId="77777777" w:rsidR="00B63FA2" w:rsidRPr="00911B9A" w:rsidRDefault="00B63FA2" w:rsidP="00B63FA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27E13610" w14:textId="77777777" w:rsidR="00B63FA2" w:rsidRPr="00911B9A" w:rsidRDefault="00B63FA2" w:rsidP="00B63FA2">
      <w:pPr>
        <w:spacing w:after="0" w:line="360" w:lineRule="auto"/>
        <w:jc w:val="both"/>
        <w:rPr>
          <w:rFonts w:ascii="Palatino Linotype" w:eastAsia="Palatino Linotype" w:hAnsi="Palatino Linotype" w:cs="Palatino Linotype"/>
          <w:b/>
          <w:sz w:val="24"/>
          <w:szCs w:val="24"/>
        </w:rPr>
      </w:pPr>
      <w:bookmarkStart w:id="0" w:name="_heading=h.3znysh7" w:colFirst="0" w:colLast="0"/>
      <w:bookmarkEnd w:id="0"/>
      <w:r w:rsidRPr="00911B9A">
        <w:rPr>
          <w:rFonts w:ascii="Palatino Linotype" w:eastAsia="Palatino Linotype" w:hAnsi="Palatino Linotype" w:cs="Palatino Linotype"/>
          <w:b/>
          <w:sz w:val="24"/>
          <w:szCs w:val="24"/>
        </w:rPr>
        <w:t xml:space="preserve">PRIMERO. </w:t>
      </w:r>
      <w:r w:rsidRPr="00911B9A">
        <w:rPr>
          <w:rFonts w:ascii="Palatino Linotype" w:eastAsia="Palatino Linotype" w:hAnsi="Palatino Linotype" w:cs="Palatino Linotype"/>
          <w:sz w:val="24"/>
          <w:szCs w:val="24"/>
        </w:rPr>
        <w:t xml:space="preserve">Resultan </w:t>
      </w:r>
      <w:r w:rsidRPr="00911B9A">
        <w:rPr>
          <w:rFonts w:ascii="Palatino Linotype" w:eastAsia="Palatino Linotype" w:hAnsi="Palatino Linotype" w:cs="Palatino Linotype"/>
          <w:b/>
          <w:sz w:val="24"/>
          <w:szCs w:val="24"/>
        </w:rPr>
        <w:t>fundadas</w:t>
      </w:r>
      <w:r w:rsidRPr="00911B9A">
        <w:rPr>
          <w:rFonts w:ascii="Palatino Linotype" w:eastAsia="Palatino Linotype" w:hAnsi="Palatino Linotype" w:cs="Palatino Linotype"/>
          <w:sz w:val="24"/>
          <w:szCs w:val="24"/>
        </w:rPr>
        <w:t xml:space="preserve"> las razones o motivos de inconformidad hechos valer por </w:t>
      </w:r>
      <w:r w:rsidRPr="00911B9A">
        <w:rPr>
          <w:rFonts w:ascii="Palatino Linotype" w:eastAsia="Palatino Linotype" w:hAnsi="Palatino Linotype" w:cs="Palatino Linotype"/>
          <w:b/>
          <w:sz w:val="24"/>
          <w:szCs w:val="24"/>
        </w:rPr>
        <w:t>LA PARTE RECURRENTE</w:t>
      </w:r>
      <w:r w:rsidRPr="00911B9A">
        <w:rPr>
          <w:rFonts w:ascii="Palatino Linotype" w:eastAsia="Palatino Linotype" w:hAnsi="Palatino Linotype" w:cs="Palatino Linotype"/>
          <w:sz w:val="24"/>
          <w:szCs w:val="24"/>
        </w:rPr>
        <w:t xml:space="preserve"> en el recurso de revisión </w:t>
      </w:r>
      <w:r w:rsidRPr="00911B9A">
        <w:rPr>
          <w:rFonts w:ascii="Palatino Linotype" w:eastAsia="Palatino Linotype" w:hAnsi="Palatino Linotype" w:cs="Palatino Linotype"/>
          <w:b/>
          <w:sz w:val="24"/>
          <w:szCs w:val="24"/>
        </w:rPr>
        <w:t>02389/INFOEM/IP/RR/2025</w:t>
      </w:r>
      <w:r w:rsidRPr="00911B9A">
        <w:rPr>
          <w:rFonts w:ascii="Palatino Linotype" w:eastAsia="Palatino Linotype" w:hAnsi="Palatino Linotype" w:cs="Palatino Linotype"/>
          <w:sz w:val="24"/>
          <w:szCs w:val="24"/>
        </w:rPr>
        <w:t xml:space="preserve">; por lo que, en términos del </w:t>
      </w:r>
      <w:r w:rsidRPr="00911B9A">
        <w:rPr>
          <w:rFonts w:ascii="Palatino Linotype" w:eastAsia="Palatino Linotype" w:hAnsi="Palatino Linotype" w:cs="Palatino Linotype"/>
          <w:b/>
          <w:sz w:val="24"/>
          <w:szCs w:val="24"/>
        </w:rPr>
        <w:t>Considerando</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 xml:space="preserve">Cuarto </w:t>
      </w:r>
      <w:r w:rsidRPr="00911B9A">
        <w:rPr>
          <w:rFonts w:ascii="Palatino Linotype" w:eastAsia="Palatino Linotype" w:hAnsi="Palatino Linotype" w:cs="Palatino Linotype"/>
          <w:sz w:val="24"/>
          <w:szCs w:val="24"/>
        </w:rPr>
        <w:t xml:space="preserve">de esta resolución, se </w:t>
      </w:r>
      <w:r w:rsidRPr="00911B9A">
        <w:rPr>
          <w:rFonts w:ascii="Palatino Linotype" w:eastAsia="Palatino Linotype" w:hAnsi="Palatino Linotype" w:cs="Palatino Linotype"/>
          <w:b/>
          <w:sz w:val="24"/>
          <w:szCs w:val="24"/>
        </w:rPr>
        <w:t xml:space="preserve">REVOCA </w:t>
      </w:r>
      <w:r w:rsidRPr="00911B9A">
        <w:rPr>
          <w:rFonts w:ascii="Palatino Linotype" w:eastAsia="Palatino Linotype" w:hAnsi="Palatino Linotype" w:cs="Palatino Linotype"/>
          <w:sz w:val="24"/>
          <w:szCs w:val="24"/>
        </w:rPr>
        <w:t xml:space="preserve">la respuesta emitida por </w:t>
      </w:r>
      <w:r w:rsidRPr="00911B9A">
        <w:rPr>
          <w:rFonts w:ascii="Palatino Linotype" w:eastAsia="Palatino Linotype" w:hAnsi="Palatino Linotype" w:cs="Palatino Linotype"/>
          <w:b/>
          <w:sz w:val="24"/>
          <w:szCs w:val="24"/>
        </w:rPr>
        <w:t>EL SUJETO OBLIGADO.</w:t>
      </w:r>
    </w:p>
    <w:p w14:paraId="05E3BCB0"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0CCA5A3F" w14:textId="77777777" w:rsidR="00B63FA2" w:rsidRPr="00911B9A" w:rsidRDefault="00B63FA2" w:rsidP="00B63FA2">
      <w:pPr>
        <w:spacing w:after="0" w:line="360" w:lineRule="auto"/>
        <w:ind w:right="51"/>
        <w:contextualSpacing/>
        <w:jc w:val="both"/>
        <w:rPr>
          <w:rFonts w:ascii="Palatino Linotype" w:eastAsia="Palatino Linotype" w:hAnsi="Palatino Linotype" w:cs="Palatino Linotype"/>
          <w:b/>
          <w:sz w:val="24"/>
          <w:szCs w:val="24"/>
        </w:rPr>
      </w:pPr>
      <w:bookmarkStart w:id="1" w:name="_heading=h.1fob9te" w:colFirst="0" w:colLast="0"/>
      <w:bookmarkEnd w:id="1"/>
      <w:r w:rsidRPr="00911B9A">
        <w:rPr>
          <w:rFonts w:ascii="Palatino Linotype" w:eastAsia="Palatino Linotype" w:hAnsi="Palatino Linotype" w:cs="Palatino Linotype"/>
          <w:b/>
          <w:sz w:val="24"/>
          <w:szCs w:val="24"/>
        </w:rPr>
        <w:t xml:space="preserve">SEGUNDO. </w:t>
      </w:r>
      <w:r w:rsidRPr="00911B9A">
        <w:rPr>
          <w:rFonts w:ascii="Palatino Linotype" w:eastAsia="Palatino Linotype" w:hAnsi="Palatino Linotype" w:cs="Palatino Linotype"/>
          <w:sz w:val="24"/>
          <w:szCs w:val="24"/>
        </w:rPr>
        <w:t xml:space="preserve">Se </w:t>
      </w:r>
      <w:r w:rsidRPr="00911B9A">
        <w:rPr>
          <w:rFonts w:ascii="Palatino Linotype" w:eastAsia="Palatino Linotype" w:hAnsi="Palatino Linotype" w:cs="Palatino Linotype"/>
          <w:b/>
          <w:sz w:val="24"/>
          <w:szCs w:val="24"/>
        </w:rPr>
        <w:t xml:space="preserve">Ordena </w:t>
      </w:r>
      <w:r w:rsidRPr="00911B9A">
        <w:rPr>
          <w:rFonts w:ascii="Palatino Linotype" w:eastAsia="Palatino Linotype" w:hAnsi="Palatino Linotype" w:cs="Palatino Linotype"/>
          <w:sz w:val="24"/>
          <w:szCs w:val="24"/>
        </w:rPr>
        <w:t xml:space="preserve">al </w:t>
      </w:r>
      <w:r w:rsidRPr="00911B9A">
        <w:rPr>
          <w:rFonts w:ascii="Palatino Linotype" w:eastAsia="Palatino Linotype" w:hAnsi="Palatino Linotype" w:cs="Palatino Linotype"/>
          <w:b/>
          <w:sz w:val="24"/>
          <w:szCs w:val="24"/>
        </w:rPr>
        <w:t>SUJETO OBLIGADO</w:t>
      </w:r>
      <w:r w:rsidRPr="00911B9A">
        <w:rPr>
          <w:rFonts w:ascii="Palatino Linotype" w:eastAsia="Palatino Linotype" w:hAnsi="Palatino Linotype" w:cs="Palatino Linotype"/>
          <w:sz w:val="24"/>
          <w:szCs w:val="24"/>
        </w:rPr>
        <w:t xml:space="preserve"> entregue, a</w:t>
      </w:r>
      <w:r w:rsidRPr="00911B9A">
        <w:rPr>
          <w:rFonts w:ascii="Palatino Linotype" w:eastAsia="Palatino Linotype" w:hAnsi="Palatino Linotype" w:cs="Palatino Linotype"/>
          <w:b/>
          <w:sz w:val="24"/>
          <w:szCs w:val="24"/>
        </w:rPr>
        <w:t xml:space="preserve"> LA PARTE</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RECURRENTE</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 xml:space="preserve">vía SAIMEX, </w:t>
      </w:r>
      <w:r w:rsidRPr="00911B9A">
        <w:rPr>
          <w:rFonts w:ascii="Palatino Linotype" w:eastAsia="Palatino Linotype" w:hAnsi="Palatino Linotype" w:cs="Palatino Linotype"/>
          <w:bCs/>
          <w:sz w:val="24"/>
          <w:szCs w:val="24"/>
        </w:rPr>
        <w:t xml:space="preserve">previa búsqueda exhaustiva y razonable, </w:t>
      </w:r>
      <w:r w:rsidRPr="00911B9A">
        <w:rPr>
          <w:rFonts w:ascii="Palatino Linotype" w:eastAsia="Palatino Linotype" w:hAnsi="Palatino Linotype" w:cs="Palatino Linotype"/>
          <w:sz w:val="24"/>
          <w:szCs w:val="24"/>
        </w:rPr>
        <w:t>en términos de los</w:t>
      </w:r>
      <w:r w:rsidRPr="00911B9A">
        <w:rPr>
          <w:rFonts w:ascii="Palatino Linotype" w:eastAsia="Palatino Linotype" w:hAnsi="Palatino Linotype" w:cs="Palatino Linotype"/>
          <w:b/>
          <w:sz w:val="24"/>
          <w:szCs w:val="24"/>
        </w:rPr>
        <w:t xml:space="preserve"> Considerandos</w:t>
      </w:r>
      <w:r w:rsidRPr="00911B9A">
        <w:rPr>
          <w:rFonts w:ascii="Palatino Linotype" w:eastAsia="Palatino Linotype" w:hAnsi="Palatino Linotype" w:cs="Palatino Linotype"/>
          <w:sz w:val="24"/>
          <w:szCs w:val="24"/>
        </w:rPr>
        <w:t xml:space="preserve"> </w:t>
      </w:r>
      <w:r w:rsidRPr="00911B9A">
        <w:rPr>
          <w:rFonts w:ascii="Palatino Linotype" w:eastAsia="Palatino Linotype" w:hAnsi="Palatino Linotype" w:cs="Palatino Linotype"/>
          <w:b/>
          <w:sz w:val="24"/>
          <w:szCs w:val="24"/>
        </w:rPr>
        <w:t xml:space="preserve">Cuarto y Quinto, </w:t>
      </w:r>
      <w:r w:rsidRPr="00911B9A">
        <w:rPr>
          <w:rFonts w:ascii="Palatino Linotype" w:eastAsia="Palatino Linotype" w:hAnsi="Palatino Linotype" w:cs="Palatino Linotype"/>
          <w:sz w:val="24"/>
          <w:szCs w:val="24"/>
        </w:rPr>
        <w:t>en versión pública, de lo siguiente:</w:t>
      </w:r>
    </w:p>
    <w:p w14:paraId="49F4E01A" w14:textId="77777777" w:rsidR="00F504B9" w:rsidRPr="00911B9A" w:rsidRDefault="00F504B9" w:rsidP="00B63FA2">
      <w:pPr>
        <w:spacing w:after="0" w:line="360" w:lineRule="auto"/>
        <w:ind w:right="51"/>
        <w:contextualSpacing/>
        <w:jc w:val="both"/>
        <w:rPr>
          <w:rFonts w:ascii="Palatino Linotype" w:eastAsia="Palatino Linotype" w:hAnsi="Palatino Linotype" w:cs="Palatino Linotype"/>
          <w:b/>
          <w:sz w:val="24"/>
          <w:szCs w:val="24"/>
        </w:rPr>
      </w:pPr>
    </w:p>
    <w:p w14:paraId="52462EA5" w14:textId="77777777" w:rsidR="00F504B9" w:rsidRPr="00911B9A" w:rsidRDefault="00F504B9" w:rsidP="00F504B9">
      <w:pPr>
        <w:pStyle w:val="Prrafodelista"/>
        <w:numPr>
          <w:ilvl w:val="0"/>
          <w:numId w:val="3"/>
        </w:numPr>
        <w:spacing w:after="0" w:line="360" w:lineRule="auto"/>
        <w:ind w:right="51"/>
        <w:jc w:val="both"/>
        <w:rPr>
          <w:rFonts w:ascii="Palatino Linotype" w:eastAsia="Palatino Linotype" w:hAnsi="Palatino Linotype" w:cs="Palatino Linotype"/>
          <w:b/>
          <w:sz w:val="24"/>
          <w:szCs w:val="24"/>
        </w:rPr>
      </w:pPr>
      <w:r w:rsidRPr="00911B9A">
        <w:rPr>
          <w:rFonts w:ascii="Palatino Linotype" w:eastAsia="Palatino Linotype" w:hAnsi="Palatino Linotype" w:cs="Palatino Linotype"/>
          <w:sz w:val="24"/>
          <w:szCs w:val="24"/>
        </w:rPr>
        <w:lastRenderedPageBreak/>
        <w:t>Facturas generadas por</w:t>
      </w:r>
      <w:r w:rsidR="00CA4F98" w:rsidRPr="00911B9A">
        <w:rPr>
          <w:rFonts w:ascii="Palatino Linotype" w:eastAsia="Palatino Linotype" w:hAnsi="Palatino Linotype" w:cs="Palatino Linotype"/>
          <w:sz w:val="24"/>
          <w:szCs w:val="24"/>
        </w:rPr>
        <w:t xml:space="preserve"> la compra</w:t>
      </w:r>
      <w:r w:rsidRPr="00911B9A">
        <w:rPr>
          <w:rFonts w:ascii="Palatino Linotype" w:eastAsia="Palatino Linotype" w:hAnsi="Palatino Linotype" w:cs="Palatino Linotype"/>
          <w:sz w:val="24"/>
          <w:szCs w:val="24"/>
        </w:rPr>
        <w:t xml:space="preserve"> </w:t>
      </w:r>
      <w:r w:rsidR="00CA4F98" w:rsidRPr="00911B9A">
        <w:rPr>
          <w:rFonts w:ascii="Palatino Linotype" w:eastAsia="Palatino Linotype" w:hAnsi="Palatino Linotype" w:cs="Palatino Linotype"/>
          <w:sz w:val="24"/>
          <w:szCs w:val="24"/>
        </w:rPr>
        <w:t>de</w:t>
      </w:r>
      <w:r w:rsidRPr="00911B9A">
        <w:rPr>
          <w:rFonts w:ascii="Palatino Linotype" w:eastAsia="Palatino Linotype" w:hAnsi="Palatino Linotype" w:cs="Palatino Linotype"/>
          <w:sz w:val="24"/>
          <w:szCs w:val="24"/>
        </w:rPr>
        <w:t xml:space="preserve"> insumos de papelería de los meses de octubre, noviembre y diciembre del ejercicio fiscal dos mil veinticuatro</w:t>
      </w:r>
      <w:r w:rsidR="00CA4F98" w:rsidRPr="00911B9A">
        <w:rPr>
          <w:rFonts w:ascii="Palatino Linotype" w:eastAsia="Palatino Linotype" w:hAnsi="Palatino Linotype" w:cs="Palatino Linotype"/>
          <w:sz w:val="24"/>
          <w:szCs w:val="24"/>
        </w:rPr>
        <w:t>.</w:t>
      </w:r>
    </w:p>
    <w:p w14:paraId="69784AAD" w14:textId="77777777" w:rsidR="00F504B9" w:rsidRPr="00911B9A" w:rsidRDefault="00F504B9" w:rsidP="00B63FA2">
      <w:pPr>
        <w:spacing w:after="0" w:line="360" w:lineRule="auto"/>
        <w:ind w:right="51"/>
        <w:contextualSpacing/>
        <w:jc w:val="both"/>
        <w:rPr>
          <w:rFonts w:ascii="Palatino Linotype" w:eastAsia="Palatino Linotype" w:hAnsi="Palatino Linotype" w:cs="Palatino Linotype"/>
          <w:b/>
          <w:sz w:val="24"/>
          <w:szCs w:val="24"/>
        </w:rPr>
      </w:pPr>
    </w:p>
    <w:p w14:paraId="46D5CDC7" w14:textId="77777777" w:rsidR="00B63FA2" w:rsidRPr="00911B9A" w:rsidRDefault="00B63FA2" w:rsidP="00B63FA2">
      <w:pPr>
        <w:spacing w:before="240" w:after="240" w:line="276" w:lineRule="auto"/>
        <w:ind w:right="51"/>
        <w:contextualSpacing/>
        <w:jc w:val="both"/>
        <w:rPr>
          <w:rFonts w:ascii="Palatino Linotype" w:eastAsia="Palatino Linotype" w:hAnsi="Palatino Linotype" w:cs="Palatino Linotype"/>
          <w:i/>
        </w:rPr>
      </w:pPr>
      <w:bookmarkStart w:id="2" w:name="_heading=h.1t3h5sf" w:colFirst="0" w:colLast="0"/>
      <w:bookmarkEnd w:id="2"/>
      <w:r w:rsidRPr="00911B9A">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911B9A">
        <w:rPr>
          <w:rFonts w:ascii="Palatino Linotype" w:eastAsia="Palatino Linotype" w:hAnsi="Palatino Linotype" w:cs="Palatino Linotype"/>
          <w:b/>
          <w:i/>
        </w:rPr>
        <w:t>LA PARTE RECURRENTE</w:t>
      </w:r>
      <w:r w:rsidRPr="00911B9A">
        <w:rPr>
          <w:rFonts w:ascii="Palatino Linotype" w:eastAsia="Palatino Linotype" w:hAnsi="Palatino Linotype" w:cs="Palatino Linotype"/>
          <w:i/>
        </w:rPr>
        <w:t>.</w:t>
      </w:r>
    </w:p>
    <w:p w14:paraId="13441999" w14:textId="77777777" w:rsidR="00B63FA2" w:rsidRPr="00911B9A" w:rsidRDefault="00B63FA2" w:rsidP="00B63FA2">
      <w:pPr>
        <w:spacing w:before="240" w:after="240" w:line="276" w:lineRule="auto"/>
        <w:ind w:right="51"/>
        <w:contextualSpacing/>
        <w:jc w:val="both"/>
        <w:rPr>
          <w:rFonts w:ascii="Palatino Linotype" w:eastAsia="Palatino Linotype" w:hAnsi="Palatino Linotype" w:cs="Palatino Linotype"/>
          <w:i/>
        </w:rPr>
      </w:pPr>
    </w:p>
    <w:p w14:paraId="3696AEF1" w14:textId="77777777" w:rsidR="00B63FA2" w:rsidRPr="00911B9A" w:rsidRDefault="00B63FA2" w:rsidP="00B63FA2">
      <w:pPr>
        <w:pBdr>
          <w:top w:val="nil"/>
          <w:left w:val="nil"/>
          <w:bottom w:val="nil"/>
          <w:right w:val="nil"/>
          <w:between w:val="nil"/>
        </w:pBdr>
        <w:spacing w:line="276" w:lineRule="auto"/>
        <w:contextualSpacing/>
        <w:jc w:val="both"/>
        <w:rPr>
          <w:rFonts w:ascii="Palatino Linotype" w:hAnsi="Palatino Linotype"/>
          <w:i/>
          <w:iCs/>
        </w:rPr>
      </w:pPr>
      <w:r w:rsidRPr="00911B9A">
        <w:rPr>
          <w:rFonts w:ascii="Palatino Linotype" w:hAnsi="Palatino Linotype"/>
          <w:i/>
          <w:iCs/>
        </w:rPr>
        <w:t xml:space="preserve">En el supuesto que no cuente con la información que se ordena por </w:t>
      </w:r>
      <w:r w:rsidR="00E6037F" w:rsidRPr="00911B9A">
        <w:rPr>
          <w:rFonts w:ascii="Palatino Linotype" w:hAnsi="Palatino Linotype"/>
          <w:i/>
          <w:iCs/>
        </w:rPr>
        <w:t>no contar con compra de insumos de papelería</w:t>
      </w:r>
      <w:r w:rsidR="00740FC7" w:rsidRPr="00911B9A">
        <w:rPr>
          <w:rFonts w:ascii="Palatino Linotype" w:hAnsi="Palatino Linotype"/>
          <w:i/>
          <w:iCs/>
        </w:rPr>
        <w:t xml:space="preserve"> en alguno de los meses referidos</w:t>
      </w:r>
      <w:r w:rsidRPr="00911B9A">
        <w:rPr>
          <w:rFonts w:ascii="Palatino Linotype" w:hAnsi="Palatino Linotype"/>
          <w:i/>
          <w:iCs/>
        </w:rPr>
        <w:t xml:space="preserve">, bastará con que así lo haga del conocimiento de </w:t>
      </w:r>
      <w:r w:rsidRPr="00911B9A">
        <w:rPr>
          <w:rFonts w:ascii="Palatino Linotype" w:hAnsi="Palatino Linotype"/>
          <w:b/>
          <w:i/>
          <w:iCs/>
        </w:rPr>
        <w:t>LA PARTE RECURRENTE</w:t>
      </w:r>
      <w:r w:rsidRPr="00911B9A">
        <w:rPr>
          <w:rFonts w:ascii="Palatino Linotype" w:hAnsi="Palatino Linotype"/>
          <w:i/>
          <w:iCs/>
        </w:rPr>
        <w:t>, de manera fundada y motivada, en términos del artículo 19, párrafo segundo de la Ley de Transparencia y Acceso a la Información Pública del Estado de México y Municipios, para tener por colmado el requerimiento de información.</w:t>
      </w:r>
    </w:p>
    <w:p w14:paraId="4DC21B68" w14:textId="77777777" w:rsidR="00E6037F" w:rsidRPr="00911B9A" w:rsidRDefault="00E6037F" w:rsidP="00E6037F">
      <w:pPr>
        <w:spacing w:before="240" w:after="0" w:line="360" w:lineRule="auto"/>
        <w:ind w:right="51"/>
        <w:contextualSpacing/>
        <w:jc w:val="both"/>
        <w:rPr>
          <w:rFonts w:ascii="Palatino Linotype" w:eastAsia="Palatino Linotype" w:hAnsi="Palatino Linotype" w:cs="Palatino Linotype"/>
          <w:sz w:val="24"/>
          <w:szCs w:val="24"/>
        </w:rPr>
      </w:pPr>
    </w:p>
    <w:p w14:paraId="2AA2460A" w14:textId="77777777" w:rsidR="00B63FA2" w:rsidRPr="00911B9A" w:rsidRDefault="00B63FA2" w:rsidP="00E6037F">
      <w:pPr>
        <w:spacing w:before="240" w:after="0" w:line="360" w:lineRule="auto"/>
        <w:ind w:right="51"/>
        <w:contextualSpacing/>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TERCERO.  Notifíquese vía SAIMEX, </w:t>
      </w:r>
      <w:r w:rsidRPr="00911B9A">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5BEA2" w14:textId="77777777" w:rsidR="00B63FA2" w:rsidRPr="00911B9A" w:rsidRDefault="00B63FA2" w:rsidP="00B63FA2">
      <w:pPr>
        <w:spacing w:after="0" w:line="360" w:lineRule="auto"/>
        <w:ind w:right="49"/>
        <w:jc w:val="both"/>
        <w:rPr>
          <w:rFonts w:ascii="Palatino Linotype" w:eastAsia="Palatino Linotype" w:hAnsi="Palatino Linotype" w:cs="Palatino Linotype"/>
          <w:sz w:val="24"/>
          <w:szCs w:val="24"/>
        </w:rPr>
      </w:pPr>
    </w:p>
    <w:p w14:paraId="104F0DE4"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lastRenderedPageBreak/>
        <w:t xml:space="preserve">CUARTO. </w:t>
      </w:r>
      <w:r w:rsidRPr="00911B9A">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911B9A">
        <w:rPr>
          <w:rFonts w:ascii="Palatino Linotype" w:eastAsia="Palatino Linotype" w:hAnsi="Palatino Linotype" w:cs="Palatino Linotype"/>
          <w:b/>
          <w:sz w:val="24"/>
          <w:szCs w:val="24"/>
        </w:rPr>
        <w:t>EL SUJETO OBLIGADO</w:t>
      </w:r>
      <w:r w:rsidRPr="00911B9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3D4B0C8" w14:textId="77777777" w:rsidR="00B63FA2" w:rsidRPr="00911B9A" w:rsidRDefault="00B63FA2" w:rsidP="00B63FA2">
      <w:pPr>
        <w:spacing w:after="0" w:line="360" w:lineRule="auto"/>
        <w:jc w:val="both"/>
        <w:rPr>
          <w:rFonts w:ascii="Palatino Linotype" w:eastAsia="Palatino Linotype" w:hAnsi="Palatino Linotype" w:cs="Palatino Linotype"/>
          <w:sz w:val="24"/>
          <w:szCs w:val="24"/>
        </w:rPr>
      </w:pPr>
    </w:p>
    <w:p w14:paraId="518EB109" w14:textId="77777777" w:rsidR="00B63FA2" w:rsidRPr="00911B9A" w:rsidRDefault="00B63FA2" w:rsidP="00B63FA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b/>
          <w:sz w:val="24"/>
          <w:szCs w:val="24"/>
        </w:rPr>
        <w:t xml:space="preserve">QUINTO. Notifíquese, </w:t>
      </w:r>
      <w:r w:rsidRPr="00911B9A">
        <w:rPr>
          <w:rFonts w:ascii="Palatino Linotype" w:eastAsia="Palatino Linotype" w:hAnsi="Palatino Linotype" w:cs="Palatino Linotype"/>
          <w:sz w:val="24"/>
          <w:szCs w:val="24"/>
        </w:rPr>
        <w:t xml:space="preserve">vía </w:t>
      </w:r>
      <w:r w:rsidRPr="00911B9A">
        <w:rPr>
          <w:rFonts w:ascii="Palatino Linotype" w:eastAsia="Palatino Linotype" w:hAnsi="Palatino Linotype" w:cs="Palatino Linotype"/>
          <w:b/>
          <w:sz w:val="24"/>
          <w:szCs w:val="24"/>
        </w:rPr>
        <w:t>SAIMEX</w:t>
      </w:r>
      <w:r w:rsidRPr="00911B9A">
        <w:rPr>
          <w:rFonts w:ascii="Palatino Linotype" w:eastAsia="Palatino Linotype" w:hAnsi="Palatino Linotype" w:cs="Palatino Linotype"/>
          <w:sz w:val="24"/>
          <w:szCs w:val="24"/>
        </w:rPr>
        <w:t xml:space="preserve">, a </w:t>
      </w:r>
      <w:r w:rsidRPr="00911B9A">
        <w:rPr>
          <w:rFonts w:ascii="Palatino Linotype" w:eastAsia="Palatino Linotype" w:hAnsi="Palatino Linotype" w:cs="Palatino Linotype"/>
          <w:b/>
          <w:sz w:val="24"/>
          <w:szCs w:val="24"/>
        </w:rPr>
        <w:t>LA PARTE RECURRENTE</w:t>
      </w:r>
      <w:r w:rsidRPr="00911B9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A2A91F0" w14:textId="77777777" w:rsidR="00740FC7" w:rsidRPr="00911B9A" w:rsidRDefault="00740FC7" w:rsidP="00B63FA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E2DA510" w14:textId="77777777" w:rsidR="00F504B9" w:rsidRPr="009A1FEB" w:rsidRDefault="00F504B9" w:rsidP="00F504B9">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911B9A">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382240D6" w14:textId="77777777" w:rsidR="00B63FA2" w:rsidRPr="009A1FEB" w:rsidRDefault="00B63FA2" w:rsidP="000829F4">
      <w:pPr>
        <w:spacing w:after="0" w:line="360" w:lineRule="auto"/>
        <w:jc w:val="both"/>
        <w:rPr>
          <w:rFonts w:ascii="Palatino Linotype" w:eastAsia="Palatino Linotype" w:hAnsi="Palatino Linotype" w:cs="Palatino Linotype"/>
          <w:sz w:val="24"/>
          <w:szCs w:val="24"/>
        </w:rPr>
      </w:pPr>
    </w:p>
    <w:p w14:paraId="151E2C7C" w14:textId="77777777" w:rsidR="00BB4EA2" w:rsidRPr="009A1FEB" w:rsidRDefault="00BB4EA2" w:rsidP="000829F4">
      <w:pPr>
        <w:spacing w:after="0" w:line="360" w:lineRule="auto"/>
        <w:jc w:val="both"/>
        <w:rPr>
          <w:rFonts w:ascii="Palatino Linotype" w:eastAsia="Palatino Linotype" w:hAnsi="Palatino Linotype" w:cs="Palatino Linotype"/>
          <w:sz w:val="24"/>
          <w:szCs w:val="24"/>
        </w:rPr>
      </w:pPr>
    </w:p>
    <w:p w14:paraId="419D4340" w14:textId="77777777" w:rsidR="00BB4EA2" w:rsidRPr="009A1FEB" w:rsidRDefault="00BB4EA2" w:rsidP="000829F4">
      <w:pPr>
        <w:spacing w:after="0" w:line="360" w:lineRule="auto"/>
        <w:jc w:val="both"/>
        <w:rPr>
          <w:rFonts w:ascii="Palatino Linotype" w:eastAsia="Palatino Linotype" w:hAnsi="Palatino Linotype" w:cs="Palatino Linotype"/>
          <w:sz w:val="24"/>
          <w:szCs w:val="24"/>
        </w:rPr>
      </w:pPr>
    </w:p>
    <w:p w14:paraId="4929BC8D" w14:textId="77777777" w:rsidR="00BB4EA2" w:rsidRPr="009A1FEB" w:rsidRDefault="00BB4EA2" w:rsidP="000829F4">
      <w:pPr>
        <w:spacing w:after="0" w:line="360" w:lineRule="auto"/>
        <w:jc w:val="both"/>
        <w:rPr>
          <w:rFonts w:ascii="Palatino Linotype" w:eastAsia="Palatino Linotype" w:hAnsi="Palatino Linotype" w:cs="Palatino Linotype"/>
          <w:sz w:val="24"/>
          <w:szCs w:val="24"/>
        </w:rPr>
      </w:pPr>
    </w:p>
    <w:p w14:paraId="61333FF1" w14:textId="77777777" w:rsidR="00BB4EA2" w:rsidRPr="009A1FEB" w:rsidRDefault="00BB4EA2" w:rsidP="000829F4">
      <w:pPr>
        <w:spacing w:after="0" w:line="360" w:lineRule="auto"/>
        <w:jc w:val="both"/>
        <w:rPr>
          <w:rFonts w:ascii="Palatino Linotype" w:eastAsia="Palatino Linotype" w:hAnsi="Palatino Linotype" w:cs="Palatino Linotype"/>
          <w:sz w:val="24"/>
          <w:szCs w:val="24"/>
        </w:rPr>
      </w:pPr>
    </w:p>
    <w:sectPr w:rsidR="00BB4EA2" w:rsidRPr="009A1FEB" w:rsidSect="002F181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B2D9" w14:textId="77777777" w:rsidR="00122122" w:rsidRDefault="00122122" w:rsidP="002F1811">
      <w:pPr>
        <w:spacing w:after="0" w:line="240" w:lineRule="auto"/>
      </w:pPr>
      <w:r>
        <w:separator/>
      </w:r>
    </w:p>
  </w:endnote>
  <w:endnote w:type="continuationSeparator" w:id="0">
    <w:p w14:paraId="1B11CE30" w14:textId="77777777" w:rsidR="00122122" w:rsidRDefault="00122122" w:rsidP="002F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B3A5" w14:textId="77777777" w:rsidR="00B63FA2" w:rsidRDefault="00B63FA2" w:rsidP="00270615">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E06EA">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E06EA">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165091DE" w14:textId="77777777" w:rsidR="00B63FA2" w:rsidRDefault="00B63F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C3ED" w14:textId="77777777" w:rsidR="00B63FA2" w:rsidRDefault="00B63FA2" w:rsidP="00270615">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E06E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E06EA">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2856341D" w14:textId="77777777" w:rsidR="00B63FA2" w:rsidRDefault="00B63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814E" w14:textId="77777777" w:rsidR="00122122" w:rsidRDefault="00122122" w:rsidP="002F1811">
      <w:pPr>
        <w:spacing w:after="0" w:line="240" w:lineRule="auto"/>
      </w:pPr>
      <w:r>
        <w:separator/>
      </w:r>
    </w:p>
  </w:footnote>
  <w:footnote w:type="continuationSeparator" w:id="0">
    <w:p w14:paraId="72B5098F" w14:textId="77777777" w:rsidR="00122122" w:rsidRDefault="00122122" w:rsidP="002F1811">
      <w:pPr>
        <w:spacing w:after="0" w:line="240" w:lineRule="auto"/>
      </w:pPr>
      <w:r>
        <w:continuationSeparator/>
      </w:r>
    </w:p>
  </w:footnote>
  <w:footnote w:id="1">
    <w:p w14:paraId="71AC26F0" w14:textId="77777777" w:rsidR="00B63FA2" w:rsidRDefault="00B63FA2" w:rsidP="0027061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45EAF95" w14:textId="77777777" w:rsidR="00B63FA2" w:rsidRDefault="00B63FA2" w:rsidP="0027061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B63FA2" w14:paraId="3C4ED76A" w14:textId="77777777" w:rsidTr="00B63FA2">
      <w:trPr>
        <w:trHeight w:val="246"/>
      </w:trPr>
      <w:tc>
        <w:tcPr>
          <w:tcW w:w="5716" w:type="dxa"/>
        </w:tcPr>
        <w:p w14:paraId="7B96B571" w14:textId="77777777" w:rsidR="00B63FA2" w:rsidRDefault="00B63FA2" w:rsidP="002F181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5FBBA251" w14:textId="77777777" w:rsidR="00B63FA2" w:rsidRDefault="00B63FA2" w:rsidP="002F1811">
          <w:pPr>
            <w:spacing w:after="120"/>
            <w:ind w:left="-486" w:right="214" w:firstLine="1408"/>
            <w:jc w:val="right"/>
            <w:rPr>
              <w:rFonts w:ascii="Palatino Linotype" w:eastAsia="Palatino Linotype" w:hAnsi="Palatino Linotype" w:cs="Palatino Linotype"/>
              <w:sz w:val="24"/>
              <w:szCs w:val="24"/>
            </w:rPr>
          </w:pPr>
          <w:r w:rsidRPr="002F1811">
            <w:rPr>
              <w:rFonts w:ascii="Palatino Linotype" w:eastAsia="Palatino Linotype" w:hAnsi="Palatino Linotype" w:cs="Palatino Linotype"/>
              <w:sz w:val="24"/>
              <w:szCs w:val="24"/>
            </w:rPr>
            <w:t>02389/INFOEM/IP/RR/2025</w:t>
          </w:r>
          <w:r>
            <w:rPr>
              <w:rFonts w:ascii="Palatino Linotype" w:eastAsia="Palatino Linotype" w:hAnsi="Palatino Linotype" w:cs="Palatino Linotype"/>
              <w:sz w:val="24"/>
              <w:szCs w:val="24"/>
            </w:rPr>
            <w:t>.</w:t>
          </w:r>
        </w:p>
      </w:tc>
    </w:tr>
    <w:tr w:rsidR="00B63FA2" w14:paraId="3F893056" w14:textId="77777777" w:rsidTr="00B63FA2">
      <w:trPr>
        <w:trHeight w:val="212"/>
      </w:trPr>
      <w:tc>
        <w:tcPr>
          <w:tcW w:w="5716" w:type="dxa"/>
        </w:tcPr>
        <w:p w14:paraId="37AADD1E" w14:textId="77777777" w:rsidR="00B63FA2" w:rsidRDefault="00B63FA2" w:rsidP="002F181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30F1990C" w14:textId="77777777" w:rsidR="00B63FA2" w:rsidRDefault="00B63FA2" w:rsidP="002F1811">
          <w:pPr>
            <w:spacing w:after="120"/>
            <w:ind w:left="-486" w:right="214" w:firstLine="567"/>
            <w:jc w:val="right"/>
            <w:rPr>
              <w:rFonts w:ascii="Palatino Linotype" w:eastAsia="Palatino Linotype" w:hAnsi="Palatino Linotype" w:cs="Palatino Linotype"/>
              <w:sz w:val="24"/>
              <w:szCs w:val="24"/>
            </w:rPr>
          </w:pPr>
        </w:p>
      </w:tc>
    </w:tr>
    <w:tr w:rsidR="00B63FA2" w14:paraId="1AEACE33" w14:textId="77777777" w:rsidTr="00B63FA2">
      <w:trPr>
        <w:trHeight w:val="264"/>
      </w:trPr>
      <w:tc>
        <w:tcPr>
          <w:tcW w:w="5716" w:type="dxa"/>
        </w:tcPr>
        <w:p w14:paraId="0D1017F4" w14:textId="77777777" w:rsidR="00B63FA2" w:rsidRDefault="00B63FA2" w:rsidP="002F181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3D73B4C5" w14:textId="77777777" w:rsidR="00B63FA2" w:rsidRDefault="00E6037F" w:rsidP="002F1811">
          <w:pPr>
            <w:spacing w:after="0"/>
            <w:ind w:left="-495" w:right="214" w:firstLine="567"/>
            <w:jc w:val="right"/>
            <w:rPr>
              <w:rFonts w:ascii="Palatino Linotype" w:eastAsia="Palatino Linotype" w:hAnsi="Palatino Linotype" w:cs="Palatino Linotype"/>
              <w:sz w:val="24"/>
              <w:szCs w:val="24"/>
            </w:rPr>
          </w:pPr>
          <w:r w:rsidRPr="002F1811">
            <w:rPr>
              <w:rFonts w:ascii="Palatino Linotype" w:eastAsia="Palatino Linotype" w:hAnsi="Palatino Linotype" w:cs="Palatino Linotype"/>
              <w:sz w:val="24"/>
              <w:szCs w:val="24"/>
            </w:rPr>
            <w:t>Ayuntamiento de Toluca</w:t>
          </w:r>
          <w:r>
            <w:rPr>
              <w:rFonts w:ascii="Palatino Linotype" w:eastAsia="Palatino Linotype" w:hAnsi="Palatino Linotype" w:cs="Palatino Linotype"/>
              <w:sz w:val="24"/>
              <w:szCs w:val="24"/>
            </w:rPr>
            <w:t>.</w:t>
          </w:r>
        </w:p>
      </w:tc>
    </w:tr>
    <w:tr w:rsidR="00B63FA2" w14:paraId="0F1169D5" w14:textId="77777777" w:rsidTr="00B63FA2">
      <w:trPr>
        <w:trHeight w:val="373"/>
      </w:trPr>
      <w:tc>
        <w:tcPr>
          <w:tcW w:w="5716" w:type="dxa"/>
        </w:tcPr>
        <w:p w14:paraId="3CF52BD5" w14:textId="77777777" w:rsidR="00B63FA2" w:rsidRDefault="00B63FA2" w:rsidP="002F181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249F51CA" w14:textId="77777777" w:rsidR="00B63FA2" w:rsidRDefault="00B63FA2" w:rsidP="002F181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A15D3BE" w14:textId="77777777" w:rsidR="00B63FA2" w:rsidRDefault="00B63FA2">
    <w:pPr>
      <w:pStyle w:val="Encabezado"/>
    </w:pPr>
    <w:r>
      <w:rPr>
        <w:noProof/>
        <w:lang w:eastAsia="es-MX"/>
      </w:rPr>
      <w:drawing>
        <wp:anchor distT="0" distB="0" distL="0" distR="0" simplePos="0" relativeHeight="251661312" behindDoc="1" locked="0" layoutInCell="1" hidden="0" allowOverlap="1" wp14:anchorId="36C0520F" wp14:editId="0B18D594">
          <wp:simplePos x="0" y="0"/>
          <wp:positionH relativeFrom="page">
            <wp:align>right</wp:align>
          </wp:positionH>
          <wp:positionV relativeFrom="paragraph">
            <wp:posOffset>-1400175</wp:posOffset>
          </wp:positionV>
          <wp:extent cx="7353300" cy="8658225"/>
          <wp:effectExtent l="0" t="0" r="0" b="952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B63FA2" w14:paraId="2EA50725" w14:textId="77777777" w:rsidTr="00B63FA2">
      <w:trPr>
        <w:trHeight w:val="246"/>
      </w:trPr>
      <w:tc>
        <w:tcPr>
          <w:tcW w:w="5716" w:type="dxa"/>
        </w:tcPr>
        <w:p w14:paraId="7DE082EA" w14:textId="77777777" w:rsidR="00B63FA2" w:rsidRDefault="00B63FA2" w:rsidP="002F1811">
          <w:pPr>
            <w:spacing w:after="120"/>
            <w:ind w:right="204"/>
            <w:jc w:val="right"/>
            <w:rPr>
              <w:rFonts w:ascii="Palatino Linotype" w:eastAsia="Palatino Linotype" w:hAnsi="Palatino Linotype" w:cs="Palatino Linotype"/>
              <w:b/>
              <w:sz w:val="24"/>
              <w:szCs w:val="24"/>
            </w:rPr>
          </w:pPr>
          <w:r>
            <w:rPr>
              <w:noProof/>
              <w:lang w:eastAsia="es-MX"/>
            </w:rPr>
            <w:drawing>
              <wp:anchor distT="0" distB="0" distL="0" distR="0" simplePos="0" relativeHeight="251659264" behindDoc="1" locked="0" layoutInCell="1" hidden="0" allowOverlap="1" wp14:anchorId="52C65738" wp14:editId="1E0CF1FD">
                <wp:simplePos x="0" y="0"/>
                <wp:positionH relativeFrom="page">
                  <wp:posOffset>148590</wp:posOffset>
                </wp:positionH>
                <wp:positionV relativeFrom="paragraph">
                  <wp:posOffset>-5080</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290B3961" w14:textId="77777777" w:rsidR="00B63FA2" w:rsidRDefault="00B63FA2" w:rsidP="002F1811">
          <w:pPr>
            <w:spacing w:after="120"/>
            <w:ind w:left="-486" w:right="214" w:firstLine="1408"/>
            <w:jc w:val="right"/>
            <w:rPr>
              <w:rFonts w:ascii="Palatino Linotype" w:eastAsia="Palatino Linotype" w:hAnsi="Palatino Linotype" w:cs="Palatino Linotype"/>
              <w:sz w:val="24"/>
              <w:szCs w:val="24"/>
            </w:rPr>
          </w:pPr>
          <w:r w:rsidRPr="002F1811">
            <w:rPr>
              <w:rFonts w:ascii="Palatino Linotype" w:eastAsia="Palatino Linotype" w:hAnsi="Palatino Linotype" w:cs="Palatino Linotype"/>
              <w:sz w:val="24"/>
              <w:szCs w:val="24"/>
            </w:rPr>
            <w:t>02389/INFOEM/IP/RR/2025</w:t>
          </w:r>
          <w:r>
            <w:rPr>
              <w:rFonts w:ascii="Palatino Linotype" w:eastAsia="Palatino Linotype" w:hAnsi="Palatino Linotype" w:cs="Palatino Linotype"/>
              <w:sz w:val="24"/>
              <w:szCs w:val="24"/>
            </w:rPr>
            <w:t>.</w:t>
          </w:r>
        </w:p>
      </w:tc>
    </w:tr>
    <w:tr w:rsidR="00B63FA2" w14:paraId="1953862B" w14:textId="77777777" w:rsidTr="00B63FA2">
      <w:trPr>
        <w:trHeight w:val="212"/>
      </w:trPr>
      <w:tc>
        <w:tcPr>
          <w:tcW w:w="5716" w:type="dxa"/>
        </w:tcPr>
        <w:p w14:paraId="0C0FE62B" w14:textId="77777777" w:rsidR="00B63FA2" w:rsidRDefault="00B63FA2" w:rsidP="002F181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58FDBD49" w14:textId="1F0AC0FC" w:rsidR="00B63FA2" w:rsidRDefault="00D70C22" w:rsidP="002F181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XXXXXXX XXXXXXXX XXXXXXX</w:t>
          </w:r>
          <w:r w:rsidR="00B63FA2">
            <w:rPr>
              <w:rFonts w:ascii="Palatino Linotype" w:eastAsia="Palatino Linotype" w:hAnsi="Palatino Linotype" w:cs="Palatino Linotype"/>
              <w:sz w:val="24"/>
              <w:szCs w:val="24"/>
            </w:rPr>
            <w:t>.</w:t>
          </w:r>
        </w:p>
      </w:tc>
    </w:tr>
    <w:tr w:rsidR="00B63FA2" w14:paraId="2794FF4B" w14:textId="77777777" w:rsidTr="00B63FA2">
      <w:trPr>
        <w:trHeight w:val="264"/>
      </w:trPr>
      <w:tc>
        <w:tcPr>
          <w:tcW w:w="5716" w:type="dxa"/>
        </w:tcPr>
        <w:p w14:paraId="344EE1A2" w14:textId="77777777" w:rsidR="00B63FA2" w:rsidRDefault="00B63FA2" w:rsidP="002F181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5132DEAA" w14:textId="77777777" w:rsidR="00B63FA2" w:rsidRDefault="00B63FA2" w:rsidP="002F1811">
          <w:pPr>
            <w:tabs>
              <w:tab w:val="left" w:pos="2685"/>
            </w:tabs>
            <w:spacing w:after="0"/>
            <w:ind w:left="-495" w:right="214" w:firstLine="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sidRPr="002F1811">
            <w:rPr>
              <w:rFonts w:ascii="Palatino Linotype" w:eastAsia="Palatino Linotype" w:hAnsi="Palatino Linotype" w:cs="Palatino Linotype"/>
              <w:sz w:val="24"/>
              <w:szCs w:val="24"/>
            </w:rPr>
            <w:t>Ayuntamiento de Toluca</w:t>
          </w:r>
          <w:r>
            <w:rPr>
              <w:rFonts w:ascii="Palatino Linotype" w:eastAsia="Palatino Linotype" w:hAnsi="Palatino Linotype" w:cs="Palatino Linotype"/>
              <w:sz w:val="24"/>
              <w:szCs w:val="24"/>
            </w:rPr>
            <w:t>.</w:t>
          </w:r>
        </w:p>
      </w:tc>
    </w:tr>
    <w:tr w:rsidR="00B63FA2" w14:paraId="5ED872FF" w14:textId="77777777" w:rsidTr="00B63FA2">
      <w:trPr>
        <w:trHeight w:val="373"/>
      </w:trPr>
      <w:tc>
        <w:tcPr>
          <w:tcW w:w="5716" w:type="dxa"/>
        </w:tcPr>
        <w:p w14:paraId="1A12AA6E" w14:textId="77777777" w:rsidR="00B63FA2" w:rsidRDefault="00B63FA2" w:rsidP="002F181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5920EAB1" w14:textId="77777777" w:rsidR="00B63FA2" w:rsidRDefault="00B63FA2" w:rsidP="002F181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0C093A7" w14:textId="77777777" w:rsidR="00B63FA2" w:rsidRDefault="00B63F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5075"/>
    <w:multiLevelType w:val="multilevel"/>
    <w:tmpl w:val="B510B7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C4089"/>
    <w:multiLevelType w:val="hybridMultilevel"/>
    <w:tmpl w:val="372C0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7C17EE"/>
    <w:multiLevelType w:val="hybridMultilevel"/>
    <w:tmpl w:val="ABCEA3F4"/>
    <w:lvl w:ilvl="0" w:tplc="EE28280C">
      <w:start w:val="7"/>
      <w:numFmt w:val="bullet"/>
      <w:lvlText w:val="-"/>
      <w:lvlJc w:val="left"/>
      <w:pPr>
        <w:ind w:left="720" w:hanging="360"/>
      </w:pPr>
      <w:rPr>
        <w:rFonts w:ascii="Palatino Linotype" w:eastAsia="Palatino Linotype" w:hAnsi="Palatino Linotype" w:cs="Palatino Linotype" w:hint="default"/>
        <w:b w:val="0"/>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11"/>
    <w:rsid w:val="000829F4"/>
    <w:rsid w:val="00122122"/>
    <w:rsid w:val="00207F5F"/>
    <w:rsid w:val="00270615"/>
    <w:rsid w:val="002F1811"/>
    <w:rsid w:val="004E06EA"/>
    <w:rsid w:val="00583338"/>
    <w:rsid w:val="00730C61"/>
    <w:rsid w:val="00740FC7"/>
    <w:rsid w:val="008E0911"/>
    <w:rsid w:val="00911B9A"/>
    <w:rsid w:val="009A1FEB"/>
    <w:rsid w:val="00AA667B"/>
    <w:rsid w:val="00B35A1D"/>
    <w:rsid w:val="00B63FA2"/>
    <w:rsid w:val="00BB4EA2"/>
    <w:rsid w:val="00C93FD8"/>
    <w:rsid w:val="00CA4F98"/>
    <w:rsid w:val="00D016B4"/>
    <w:rsid w:val="00D70C22"/>
    <w:rsid w:val="00DF79F1"/>
    <w:rsid w:val="00E6037F"/>
    <w:rsid w:val="00F504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EB7E"/>
  <w15:chartTrackingRefBased/>
  <w15:docId w15:val="{58A764A2-463A-417B-B3A9-6BD20C43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9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18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811"/>
  </w:style>
  <w:style w:type="paragraph" w:styleId="Piedepgina">
    <w:name w:val="footer"/>
    <w:basedOn w:val="Normal"/>
    <w:link w:val="PiedepginaCar"/>
    <w:uiPriority w:val="99"/>
    <w:unhideWhenUsed/>
    <w:rsid w:val="002F18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811"/>
  </w:style>
  <w:style w:type="paragraph" w:styleId="Prrafodelista">
    <w:name w:val="List Paragraph"/>
    <w:basedOn w:val="Normal"/>
    <w:uiPriority w:val="34"/>
    <w:qFormat/>
    <w:rsid w:val="00B63FA2"/>
    <w:pPr>
      <w:ind w:left="720"/>
      <w:contextualSpacing/>
    </w:pPr>
  </w:style>
  <w:style w:type="paragraph" w:styleId="NormalWeb">
    <w:name w:val="Normal (Web)"/>
    <w:basedOn w:val="Normal"/>
    <w:uiPriority w:val="99"/>
    <w:unhideWhenUsed/>
    <w:rsid w:val="00E6037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8AFD-A53E-4828-9E25-F876C43A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11368</Words>
  <Characters>62525</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2025-05-16T18:24:00Z</cp:lastPrinted>
  <dcterms:created xsi:type="dcterms:W3CDTF">2025-05-29T18:13:00Z</dcterms:created>
  <dcterms:modified xsi:type="dcterms:W3CDTF">2025-05-29T18:13:00Z</dcterms:modified>
</cp:coreProperties>
</file>