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38EEB" w14:textId="77777777" w:rsidR="00387AAC" w:rsidRDefault="00387AAC">
      <w:pPr>
        <w:widowControl w:val="0"/>
        <w:pBdr>
          <w:top w:val="nil"/>
          <w:left w:val="nil"/>
          <w:bottom w:val="nil"/>
          <w:right w:val="nil"/>
          <w:between w:val="nil"/>
        </w:pBdr>
        <w:spacing w:line="276" w:lineRule="auto"/>
        <w:jc w:val="left"/>
      </w:pPr>
    </w:p>
    <w:p w14:paraId="32CEA8A3" w14:textId="77777777" w:rsidR="00387AAC" w:rsidRPr="00CA1725" w:rsidRDefault="00387AAC">
      <w:pPr>
        <w:rPr>
          <w:rFonts w:ascii="Palatino Linotype" w:eastAsia="Palatino Linotype" w:hAnsi="Palatino Linotype" w:cs="Palatino Linotype"/>
        </w:rPr>
      </w:pPr>
    </w:p>
    <w:p w14:paraId="3D2831D5" w14:textId="77777777" w:rsidR="00387AAC" w:rsidRPr="00CA1725" w:rsidRDefault="00D714A6">
      <w:pPr>
        <w:keepNext/>
        <w:keepLines/>
        <w:pBdr>
          <w:top w:val="nil"/>
          <w:left w:val="nil"/>
          <w:bottom w:val="nil"/>
          <w:right w:val="nil"/>
          <w:between w:val="nil"/>
        </w:pBdr>
        <w:jc w:val="center"/>
        <w:rPr>
          <w:rFonts w:ascii="Palatino Linotype" w:eastAsia="Palatino Linotype" w:hAnsi="Palatino Linotype" w:cs="Palatino Linotype"/>
          <w:color w:val="000000"/>
        </w:rPr>
      </w:pPr>
      <w:r w:rsidRPr="00CA1725">
        <w:rPr>
          <w:rFonts w:ascii="Palatino Linotype" w:eastAsia="Palatino Linotype" w:hAnsi="Palatino Linotype" w:cs="Palatino Linotype"/>
          <w:color w:val="000000"/>
        </w:rPr>
        <w:t>RESOLUCIÓN DEL RECURSO DE REVISIÓN 02926/INFOEM/IP/RR/2025</w:t>
      </w:r>
    </w:p>
    <w:sdt>
      <w:sdtPr>
        <w:rPr>
          <w:rFonts w:ascii="Calibri" w:eastAsia="Calibri" w:hAnsi="Calibri" w:cs="Calibri"/>
          <w:color w:val="auto"/>
          <w:sz w:val="22"/>
          <w:szCs w:val="22"/>
          <w:lang w:val="es-ES"/>
        </w:rPr>
        <w:id w:val="107092374"/>
        <w:docPartObj>
          <w:docPartGallery w:val="Table of Contents"/>
          <w:docPartUnique/>
        </w:docPartObj>
      </w:sdtPr>
      <w:sdtEndPr>
        <w:rPr>
          <w:b/>
          <w:bCs/>
        </w:rPr>
      </w:sdtEndPr>
      <w:sdtContent>
        <w:p w14:paraId="4A0C9032" w14:textId="77777777" w:rsidR="008225E7" w:rsidRPr="00CA1725" w:rsidRDefault="008225E7">
          <w:pPr>
            <w:pStyle w:val="TtulodeTDC"/>
          </w:pPr>
        </w:p>
        <w:p w14:paraId="5F04A381" w14:textId="77777777" w:rsidR="008225E7" w:rsidRPr="00CA1725" w:rsidRDefault="008225E7">
          <w:pPr>
            <w:pStyle w:val="TDC1"/>
            <w:tabs>
              <w:tab w:val="right" w:leader="dot" w:pos="8828"/>
            </w:tabs>
            <w:rPr>
              <w:rFonts w:asciiTheme="minorHAnsi" w:eastAsiaTheme="minorEastAsia" w:hAnsiTheme="minorHAnsi" w:cstheme="minorBidi"/>
              <w:noProof/>
            </w:rPr>
          </w:pPr>
          <w:r w:rsidRPr="00CA1725">
            <w:rPr>
              <w:lang w:val="es-ES"/>
            </w:rPr>
            <w:fldChar w:fldCharType="begin"/>
          </w:r>
          <w:r w:rsidRPr="00CA1725">
            <w:rPr>
              <w:lang w:val="es-ES"/>
            </w:rPr>
            <w:instrText xml:space="preserve"> TOC \o "1-3" \h \z \u </w:instrText>
          </w:r>
          <w:r w:rsidRPr="00CA1725">
            <w:rPr>
              <w:lang w:val="es-ES"/>
            </w:rPr>
            <w:fldChar w:fldCharType="separate"/>
          </w:r>
          <w:hyperlink w:anchor="_Toc196925087" w:history="1">
            <w:r w:rsidRPr="00CA1725">
              <w:rPr>
                <w:rStyle w:val="Hipervnculo"/>
                <w:rFonts w:ascii="Palatino Linotype" w:eastAsia="Palatino Linotype" w:hAnsi="Palatino Linotype" w:cs="Palatino Linotype"/>
                <w:noProof/>
              </w:rPr>
              <w:t>A N T E C E D E N T E S</w:t>
            </w:r>
            <w:r w:rsidRPr="00CA1725">
              <w:rPr>
                <w:noProof/>
                <w:webHidden/>
              </w:rPr>
              <w:tab/>
            </w:r>
            <w:r w:rsidRPr="00CA1725">
              <w:rPr>
                <w:noProof/>
                <w:webHidden/>
              </w:rPr>
              <w:fldChar w:fldCharType="begin"/>
            </w:r>
            <w:r w:rsidRPr="00CA1725">
              <w:rPr>
                <w:noProof/>
                <w:webHidden/>
              </w:rPr>
              <w:instrText xml:space="preserve"> PAGEREF _Toc196925087 \h </w:instrText>
            </w:r>
            <w:r w:rsidRPr="00CA1725">
              <w:rPr>
                <w:noProof/>
                <w:webHidden/>
              </w:rPr>
            </w:r>
            <w:r w:rsidRPr="00CA1725">
              <w:rPr>
                <w:noProof/>
                <w:webHidden/>
              </w:rPr>
              <w:fldChar w:fldCharType="separate"/>
            </w:r>
            <w:r w:rsidR="001354AD">
              <w:rPr>
                <w:noProof/>
                <w:webHidden/>
              </w:rPr>
              <w:t>2</w:t>
            </w:r>
            <w:r w:rsidRPr="00CA1725">
              <w:rPr>
                <w:noProof/>
                <w:webHidden/>
              </w:rPr>
              <w:fldChar w:fldCharType="end"/>
            </w:r>
          </w:hyperlink>
        </w:p>
        <w:p w14:paraId="500187CB"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88" w:history="1">
            <w:r w:rsidR="008225E7" w:rsidRPr="00CA1725">
              <w:rPr>
                <w:rStyle w:val="Hipervnculo"/>
                <w:rFonts w:ascii="Palatino Linotype" w:eastAsia="Palatino Linotype" w:hAnsi="Palatino Linotype" w:cs="Palatino Linotype"/>
                <w:noProof/>
              </w:rPr>
              <w:t>I. Presentación de la solicitud de información</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_Toc196925088 \h </w:instrText>
            </w:r>
            <w:r w:rsidR="008225E7" w:rsidRPr="00CA1725">
              <w:rPr>
                <w:noProof/>
                <w:webHidden/>
              </w:rPr>
            </w:r>
            <w:r w:rsidR="008225E7" w:rsidRPr="00CA1725">
              <w:rPr>
                <w:noProof/>
                <w:webHidden/>
              </w:rPr>
              <w:fldChar w:fldCharType="separate"/>
            </w:r>
            <w:r w:rsidR="001354AD">
              <w:rPr>
                <w:noProof/>
                <w:webHidden/>
              </w:rPr>
              <w:t>2</w:t>
            </w:r>
            <w:r w:rsidR="008225E7" w:rsidRPr="00CA1725">
              <w:rPr>
                <w:noProof/>
                <w:webHidden/>
              </w:rPr>
              <w:fldChar w:fldCharType="end"/>
            </w:r>
          </w:hyperlink>
        </w:p>
        <w:p w14:paraId="65C36138"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89" w:history="1">
            <w:r w:rsidR="008225E7" w:rsidRPr="00CA1725">
              <w:rPr>
                <w:rStyle w:val="Hipervnculo"/>
                <w:rFonts w:ascii="Palatino Linotype" w:eastAsia="Palatino Linotype" w:hAnsi="Palatino Linotype" w:cs="Palatino Linotype"/>
                <w:noProof/>
              </w:rPr>
              <w:t>II. Respuesta del Sujeto Obligado</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_Toc196925089 \h </w:instrText>
            </w:r>
            <w:r w:rsidR="008225E7" w:rsidRPr="00CA1725">
              <w:rPr>
                <w:noProof/>
                <w:webHidden/>
              </w:rPr>
            </w:r>
            <w:r w:rsidR="008225E7" w:rsidRPr="00CA1725">
              <w:rPr>
                <w:noProof/>
                <w:webHidden/>
              </w:rPr>
              <w:fldChar w:fldCharType="separate"/>
            </w:r>
            <w:r w:rsidR="001354AD">
              <w:rPr>
                <w:noProof/>
                <w:webHidden/>
              </w:rPr>
              <w:t>3</w:t>
            </w:r>
            <w:r w:rsidR="008225E7" w:rsidRPr="00CA1725">
              <w:rPr>
                <w:noProof/>
                <w:webHidden/>
              </w:rPr>
              <w:fldChar w:fldCharType="end"/>
            </w:r>
          </w:hyperlink>
        </w:p>
        <w:p w14:paraId="13757F75" w14:textId="77777777" w:rsidR="008225E7" w:rsidRPr="00CA1725" w:rsidRDefault="00C74B63">
          <w:pPr>
            <w:pStyle w:val="TDC2"/>
            <w:tabs>
              <w:tab w:val="left" w:pos="660"/>
              <w:tab w:val="right" w:leader="dot" w:pos="8828"/>
            </w:tabs>
            <w:rPr>
              <w:rFonts w:asciiTheme="minorHAnsi" w:eastAsiaTheme="minorEastAsia" w:hAnsiTheme="minorHAnsi" w:cstheme="minorBidi"/>
              <w:noProof/>
            </w:rPr>
          </w:pPr>
          <w:hyperlink w:anchor="_Toc196925090" w:history="1">
            <w:r w:rsidR="008225E7" w:rsidRPr="00CA1725">
              <w:rPr>
                <w:rStyle w:val="Hipervnculo"/>
                <w:rFonts w:ascii="Palatino Linotype" w:eastAsia="Palatino Linotype" w:hAnsi="Palatino Linotype" w:cs="Palatino Linotype"/>
                <w:noProof/>
              </w:rPr>
              <w:t>I</w:t>
            </w:r>
            <w:r w:rsidR="008225E7" w:rsidRPr="00CA1725">
              <w:rPr>
                <w:rFonts w:asciiTheme="minorHAnsi" w:eastAsiaTheme="minorEastAsia" w:hAnsiTheme="minorHAnsi" w:cstheme="minorBidi"/>
                <w:noProof/>
              </w:rPr>
              <w:tab/>
            </w:r>
            <w:r w:rsidR="008225E7" w:rsidRPr="00CA1725">
              <w:rPr>
                <w:rStyle w:val="Hipervnculo"/>
                <w:rFonts w:ascii="Palatino Linotype" w:eastAsia="Palatino Linotype" w:hAnsi="Palatino Linotype" w:cs="Palatino Linotype"/>
                <w:noProof/>
              </w:rPr>
              <w:t>II. Interposición de los Recursos de Revisión</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_Toc196925090 \h </w:instrText>
            </w:r>
            <w:r w:rsidR="008225E7" w:rsidRPr="00CA1725">
              <w:rPr>
                <w:noProof/>
                <w:webHidden/>
              </w:rPr>
            </w:r>
            <w:r w:rsidR="008225E7" w:rsidRPr="00CA1725">
              <w:rPr>
                <w:noProof/>
                <w:webHidden/>
              </w:rPr>
              <w:fldChar w:fldCharType="separate"/>
            </w:r>
            <w:r w:rsidR="001354AD">
              <w:rPr>
                <w:noProof/>
                <w:webHidden/>
              </w:rPr>
              <w:t>3</w:t>
            </w:r>
            <w:r w:rsidR="008225E7" w:rsidRPr="00CA1725">
              <w:rPr>
                <w:noProof/>
                <w:webHidden/>
              </w:rPr>
              <w:fldChar w:fldCharType="end"/>
            </w:r>
          </w:hyperlink>
        </w:p>
        <w:p w14:paraId="1DA76460"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1" w:history="1">
            <w:r w:rsidR="008225E7" w:rsidRPr="00CA1725">
              <w:rPr>
                <w:rStyle w:val="Hipervnculo"/>
                <w:rFonts w:ascii="Palatino Linotype" w:eastAsia="Palatino Linotype" w:hAnsi="Palatino Linotype" w:cs="Palatino Linotype"/>
                <w:noProof/>
              </w:rPr>
              <w:t>IV. Trámite del Recurso de Revisión ante este Instituto</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_Toc196925091 \h </w:instrText>
            </w:r>
            <w:r w:rsidR="008225E7" w:rsidRPr="00CA1725">
              <w:rPr>
                <w:noProof/>
                <w:webHidden/>
              </w:rPr>
            </w:r>
            <w:r w:rsidR="008225E7" w:rsidRPr="00CA1725">
              <w:rPr>
                <w:noProof/>
                <w:webHidden/>
              </w:rPr>
              <w:fldChar w:fldCharType="separate"/>
            </w:r>
            <w:r w:rsidR="001354AD">
              <w:rPr>
                <w:noProof/>
                <w:webHidden/>
              </w:rPr>
              <w:t>4</w:t>
            </w:r>
            <w:r w:rsidR="008225E7" w:rsidRPr="00CA1725">
              <w:rPr>
                <w:noProof/>
                <w:webHidden/>
              </w:rPr>
              <w:fldChar w:fldCharType="end"/>
            </w:r>
          </w:hyperlink>
        </w:p>
        <w:p w14:paraId="39C28B8B" w14:textId="77777777" w:rsidR="008225E7" w:rsidRPr="00CA1725" w:rsidRDefault="00C74B63">
          <w:pPr>
            <w:pStyle w:val="TDC1"/>
            <w:tabs>
              <w:tab w:val="right" w:leader="dot" w:pos="8828"/>
            </w:tabs>
            <w:rPr>
              <w:rFonts w:asciiTheme="minorHAnsi" w:eastAsiaTheme="minorEastAsia" w:hAnsiTheme="minorHAnsi" w:cstheme="minorBidi"/>
              <w:noProof/>
            </w:rPr>
          </w:pPr>
          <w:hyperlink w:anchor="_Toc196925092" w:history="1">
            <w:r w:rsidR="008225E7" w:rsidRPr="00CA1725">
              <w:rPr>
                <w:rStyle w:val="Hipervnculo"/>
                <w:rFonts w:ascii="Palatino Linotype" w:eastAsia="Palatino Linotype" w:hAnsi="Palatino Linotype" w:cs="Palatino Linotype"/>
                <w:noProof/>
              </w:rPr>
              <w:t>C O N S I D E R A N D O S</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_Toc196925092 \h </w:instrText>
            </w:r>
            <w:r w:rsidR="008225E7" w:rsidRPr="00CA1725">
              <w:rPr>
                <w:noProof/>
                <w:webHidden/>
              </w:rPr>
            </w:r>
            <w:r w:rsidR="008225E7" w:rsidRPr="00CA1725">
              <w:rPr>
                <w:noProof/>
                <w:webHidden/>
              </w:rPr>
              <w:fldChar w:fldCharType="separate"/>
            </w:r>
            <w:r w:rsidR="001354AD">
              <w:rPr>
                <w:noProof/>
                <w:webHidden/>
              </w:rPr>
              <w:t>5</w:t>
            </w:r>
            <w:r w:rsidR="008225E7" w:rsidRPr="00CA1725">
              <w:rPr>
                <w:noProof/>
                <w:webHidden/>
              </w:rPr>
              <w:fldChar w:fldCharType="end"/>
            </w:r>
          </w:hyperlink>
        </w:p>
        <w:p w14:paraId="77703713"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3" w:history="1">
            <w:r w:rsidR="008225E7" w:rsidRPr="00CA1725">
              <w:rPr>
                <w:rStyle w:val="Hipervnculo"/>
                <w:rFonts w:ascii="Palatino Linotype" w:eastAsia="Palatino Linotype" w:hAnsi="Palatino Linotype" w:cs="Palatino Linotype"/>
                <w:noProof/>
              </w:rPr>
              <w:t>PRIMERO. Competencia</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_Toc196925093 \h </w:instrText>
            </w:r>
            <w:r w:rsidR="008225E7" w:rsidRPr="00CA1725">
              <w:rPr>
                <w:noProof/>
                <w:webHidden/>
              </w:rPr>
            </w:r>
            <w:r w:rsidR="008225E7" w:rsidRPr="00CA1725">
              <w:rPr>
                <w:noProof/>
                <w:webHidden/>
              </w:rPr>
              <w:fldChar w:fldCharType="separate"/>
            </w:r>
            <w:r w:rsidR="001354AD">
              <w:rPr>
                <w:noProof/>
                <w:webHidden/>
              </w:rPr>
              <w:t>5</w:t>
            </w:r>
            <w:r w:rsidR="008225E7" w:rsidRPr="00CA1725">
              <w:rPr>
                <w:noProof/>
                <w:webHidden/>
              </w:rPr>
              <w:fldChar w:fldCharType="end"/>
            </w:r>
          </w:hyperlink>
        </w:p>
        <w:p w14:paraId="26FDBD1B"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4" w:history="1">
            <w:r w:rsidR="008225E7" w:rsidRPr="00CA1725">
              <w:rPr>
                <w:rStyle w:val="Hipervnculo"/>
                <w:rFonts w:ascii="Palatino Linotype" w:eastAsia="Palatino Linotype" w:hAnsi="Palatino Linotype" w:cs="Palatino Linotype"/>
                <w:noProof/>
              </w:rPr>
              <w:t>SEGUNDO. Causales de improcedencia y sobreseimiento</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_Toc196925094 \h </w:instrText>
            </w:r>
            <w:r w:rsidR="008225E7" w:rsidRPr="00CA1725">
              <w:rPr>
                <w:noProof/>
                <w:webHidden/>
              </w:rPr>
            </w:r>
            <w:r w:rsidR="008225E7" w:rsidRPr="00CA1725">
              <w:rPr>
                <w:noProof/>
                <w:webHidden/>
              </w:rPr>
              <w:fldChar w:fldCharType="separate"/>
            </w:r>
            <w:r w:rsidR="001354AD">
              <w:rPr>
                <w:noProof/>
                <w:webHidden/>
              </w:rPr>
              <w:t>6</w:t>
            </w:r>
            <w:r w:rsidR="008225E7" w:rsidRPr="00CA1725">
              <w:rPr>
                <w:noProof/>
                <w:webHidden/>
              </w:rPr>
              <w:fldChar w:fldCharType="end"/>
            </w:r>
          </w:hyperlink>
        </w:p>
        <w:p w14:paraId="6F4C692E"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5" w:history="1">
            <w:r w:rsidR="008225E7" w:rsidRPr="00CA1725">
              <w:rPr>
                <w:rStyle w:val="Hipervnculo"/>
                <w:rFonts w:ascii="Palatino Linotype" w:eastAsia="Palatino Linotype" w:hAnsi="Palatino Linotype" w:cs="Palatino Linotype"/>
                <w:noProof/>
              </w:rPr>
              <w:t>TERCERO. Determinación de la Controversia</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_Toc196925095 \h </w:instrText>
            </w:r>
            <w:r w:rsidR="008225E7" w:rsidRPr="00CA1725">
              <w:rPr>
                <w:noProof/>
                <w:webHidden/>
              </w:rPr>
            </w:r>
            <w:r w:rsidR="008225E7" w:rsidRPr="00CA1725">
              <w:rPr>
                <w:noProof/>
                <w:webHidden/>
              </w:rPr>
              <w:fldChar w:fldCharType="separate"/>
            </w:r>
            <w:r w:rsidR="001354AD">
              <w:rPr>
                <w:noProof/>
                <w:webHidden/>
              </w:rPr>
              <w:t>8</w:t>
            </w:r>
            <w:r w:rsidR="008225E7" w:rsidRPr="00CA1725">
              <w:rPr>
                <w:noProof/>
                <w:webHidden/>
              </w:rPr>
              <w:fldChar w:fldCharType="end"/>
            </w:r>
          </w:hyperlink>
        </w:p>
        <w:p w14:paraId="616C08A3"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6" w:history="1">
            <w:r w:rsidR="008225E7" w:rsidRPr="00CA1725">
              <w:rPr>
                <w:rStyle w:val="Hipervnculo"/>
                <w:rFonts w:ascii="Palatino Linotype" w:eastAsia="Palatino Linotype" w:hAnsi="Palatino Linotype" w:cs="Palatino Linotype"/>
                <w:noProof/>
              </w:rPr>
              <w:t>CUARTO. Marco normativo aplicable en materia de transparencia y acceso a la información pública</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_Toc196925096 \h </w:instrText>
            </w:r>
            <w:r w:rsidR="008225E7" w:rsidRPr="00CA1725">
              <w:rPr>
                <w:noProof/>
                <w:webHidden/>
              </w:rPr>
            </w:r>
            <w:r w:rsidR="008225E7" w:rsidRPr="00CA1725">
              <w:rPr>
                <w:noProof/>
                <w:webHidden/>
              </w:rPr>
              <w:fldChar w:fldCharType="separate"/>
            </w:r>
            <w:r w:rsidR="001354AD">
              <w:rPr>
                <w:noProof/>
                <w:webHidden/>
              </w:rPr>
              <w:t>9</w:t>
            </w:r>
            <w:r w:rsidR="008225E7" w:rsidRPr="00CA1725">
              <w:rPr>
                <w:noProof/>
                <w:webHidden/>
              </w:rPr>
              <w:fldChar w:fldCharType="end"/>
            </w:r>
          </w:hyperlink>
        </w:p>
        <w:p w14:paraId="08944A08"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7" w:history="1">
            <w:r w:rsidR="008225E7" w:rsidRPr="00CA1725">
              <w:rPr>
                <w:rStyle w:val="Hipervnculo"/>
                <w:rFonts w:ascii="Palatino Linotype" w:eastAsia="Palatino Linotype" w:hAnsi="Palatino Linotype" w:cs="Palatino Linotype"/>
                <w:noProof/>
              </w:rPr>
              <w:t>QUINTO. Estudio de Fondo</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_Toc196925097 \h </w:instrText>
            </w:r>
            <w:r w:rsidR="008225E7" w:rsidRPr="00CA1725">
              <w:rPr>
                <w:noProof/>
                <w:webHidden/>
              </w:rPr>
            </w:r>
            <w:r w:rsidR="008225E7" w:rsidRPr="00CA1725">
              <w:rPr>
                <w:noProof/>
                <w:webHidden/>
              </w:rPr>
              <w:fldChar w:fldCharType="separate"/>
            </w:r>
            <w:r w:rsidR="001354AD">
              <w:rPr>
                <w:noProof/>
                <w:webHidden/>
              </w:rPr>
              <w:t>10</w:t>
            </w:r>
            <w:r w:rsidR="008225E7" w:rsidRPr="00CA1725">
              <w:rPr>
                <w:noProof/>
                <w:webHidden/>
              </w:rPr>
              <w:fldChar w:fldCharType="end"/>
            </w:r>
          </w:hyperlink>
        </w:p>
        <w:p w14:paraId="3BE8CF33" w14:textId="77777777" w:rsidR="008225E7" w:rsidRPr="00CA1725" w:rsidRDefault="00C74B63">
          <w:pPr>
            <w:pStyle w:val="TDC2"/>
            <w:tabs>
              <w:tab w:val="right" w:leader="dot" w:pos="8828"/>
            </w:tabs>
            <w:rPr>
              <w:rFonts w:asciiTheme="minorHAnsi" w:eastAsiaTheme="minorEastAsia" w:hAnsiTheme="minorHAnsi" w:cstheme="minorBidi"/>
              <w:noProof/>
            </w:rPr>
          </w:pPr>
          <w:hyperlink w:anchor="_Toc196925098" w:history="1">
            <w:r w:rsidR="008225E7" w:rsidRPr="00CA1725">
              <w:rPr>
                <w:rStyle w:val="Hipervnculo"/>
                <w:rFonts w:ascii="Palatino Linotype" w:eastAsia="Palatino Linotype" w:hAnsi="Palatino Linotype" w:cs="Palatino Linotype"/>
                <w:noProof/>
              </w:rPr>
              <w:t>SEXTO. Decisión</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_Toc196925098 \h </w:instrText>
            </w:r>
            <w:r w:rsidR="008225E7" w:rsidRPr="00CA1725">
              <w:rPr>
                <w:noProof/>
                <w:webHidden/>
              </w:rPr>
            </w:r>
            <w:r w:rsidR="008225E7" w:rsidRPr="00CA1725">
              <w:rPr>
                <w:noProof/>
                <w:webHidden/>
              </w:rPr>
              <w:fldChar w:fldCharType="separate"/>
            </w:r>
            <w:r w:rsidR="001354AD">
              <w:rPr>
                <w:noProof/>
                <w:webHidden/>
              </w:rPr>
              <w:t>17</w:t>
            </w:r>
            <w:r w:rsidR="008225E7" w:rsidRPr="00CA1725">
              <w:rPr>
                <w:noProof/>
                <w:webHidden/>
              </w:rPr>
              <w:fldChar w:fldCharType="end"/>
            </w:r>
          </w:hyperlink>
        </w:p>
        <w:p w14:paraId="6D61BD81" w14:textId="77777777" w:rsidR="008225E7" w:rsidRPr="00CA1725" w:rsidRDefault="00C74B63">
          <w:pPr>
            <w:pStyle w:val="TDC1"/>
            <w:tabs>
              <w:tab w:val="right" w:leader="dot" w:pos="8828"/>
            </w:tabs>
            <w:rPr>
              <w:rFonts w:asciiTheme="minorHAnsi" w:eastAsiaTheme="minorEastAsia" w:hAnsiTheme="minorHAnsi" w:cstheme="minorBidi"/>
              <w:noProof/>
            </w:rPr>
          </w:pPr>
          <w:hyperlink w:anchor="_Toc196925099" w:history="1">
            <w:r w:rsidR="008225E7" w:rsidRPr="00CA1725">
              <w:rPr>
                <w:rStyle w:val="Hipervnculo"/>
                <w:rFonts w:ascii="Palatino Linotype" w:eastAsia="Palatino Linotype" w:hAnsi="Palatino Linotype" w:cs="Palatino Linotype"/>
                <w:noProof/>
              </w:rPr>
              <w:t>R E S U E L V E</w:t>
            </w:r>
            <w:r w:rsidR="008225E7" w:rsidRPr="00CA1725">
              <w:rPr>
                <w:noProof/>
                <w:webHidden/>
              </w:rPr>
              <w:tab/>
            </w:r>
            <w:r w:rsidR="008225E7" w:rsidRPr="00CA1725">
              <w:rPr>
                <w:noProof/>
                <w:webHidden/>
              </w:rPr>
              <w:fldChar w:fldCharType="begin"/>
            </w:r>
            <w:r w:rsidR="008225E7" w:rsidRPr="00CA1725">
              <w:rPr>
                <w:noProof/>
                <w:webHidden/>
              </w:rPr>
              <w:instrText xml:space="preserve"> PAGEREF _Toc196925099 \h </w:instrText>
            </w:r>
            <w:r w:rsidR="008225E7" w:rsidRPr="00CA1725">
              <w:rPr>
                <w:noProof/>
                <w:webHidden/>
              </w:rPr>
            </w:r>
            <w:r w:rsidR="008225E7" w:rsidRPr="00CA1725">
              <w:rPr>
                <w:noProof/>
                <w:webHidden/>
              </w:rPr>
              <w:fldChar w:fldCharType="separate"/>
            </w:r>
            <w:r w:rsidR="001354AD">
              <w:rPr>
                <w:noProof/>
                <w:webHidden/>
              </w:rPr>
              <w:t>18</w:t>
            </w:r>
            <w:r w:rsidR="008225E7" w:rsidRPr="00CA1725">
              <w:rPr>
                <w:noProof/>
                <w:webHidden/>
              </w:rPr>
              <w:fldChar w:fldCharType="end"/>
            </w:r>
          </w:hyperlink>
        </w:p>
        <w:p w14:paraId="59AFDFDE" w14:textId="77777777" w:rsidR="008225E7" w:rsidRDefault="008225E7">
          <w:r w:rsidRPr="00CA1725">
            <w:rPr>
              <w:lang w:val="es-ES"/>
            </w:rPr>
            <w:fldChar w:fldCharType="end"/>
          </w:r>
        </w:p>
      </w:sdtContent>
    </w:sdt>
    <w:p w14:paraId="4B2C37F7" w14:textId="77777777" w:rsidR="00387AAC" w:rsidRDefault="00387AAC">
      <w:pPr>
        <w:rPr>
          <w:rFonts w:ascii="Palatino Linotype" w:eastAsia="Palatino Linotype" w:hAnsi="Palatino Linotype" w:cs="Palatino Linotype"/>
        </w:rPr>
      </w:pPr>
    </w:p>
    <w:p w14:paraId="7A6BE348" w14:textId="77777777" w:rsidR="00387AAC" w:rsidRDefault="00387AAC">
      <w:pPr>
        <w:rPr>
          <w:rFonts w:ascii="Palatino Linotype" w:eastAsia="Palatino Linotype" w:hAnsi="Palatino Linotype" w:cs="Palatino Linotype"/>
        </w:rPr>
      </w:pPr>
    </w:p>
    <w:p w14:paraId="1BA887F3" w14:textId="77777777" w:rsidR="00387AAC" w:rsidRDefault="00387AAC">
      <w:pPr>
        <w:rPr>
          <w:rFonts w:ascii="Palatino Linotype" w:eastAsia="Palatino Linotype" w:hAnsi="Palatino Linotype" w:cs="Palatino Linotype"/>
        </w:rPr>
      </w:pPr>
    </w:p>
    <w:p w14:paraId="2B743352"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lastRenderedPageBreak/>
        <w:t>Resolución del Pleno del Instituto de Transparencia, Acceso a la Información Pública y Protección de Datos Personales del Estado de México y Municipios, con domicilio en Metepec, Estado de México, de fecha treinta de abril de dos mil veinticinco.</w:t>
      </w:r>
    </w:p>
    <w:p w14:paraId="23E1938D" w14:textId="77777777" w:rsidR="00387AAC" w:rsidRDefault="00387AAC">
      <w:pPr>
        <w:rPr>
          <w:rFonts w:ascii="Palatino Linotype" w:eastAsia="Palatino Linotype" w:hAnsi="Palatino Linotype" w:cs="Palatino Linotype"/>
          <w:color w:val="FF0000"/>
        </w:rPr>
      </w:pPr>
    </w:p>
    <w:p w14:paraId="1FE65BFF"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b/>
        </w:rPr>
        <w:t xml:space="preserve">VISTO </w:t>
      </w:r>
      <w:r>
        <w:rPr>
          <w:rFonts w:ascii="Palatino Linotype" w:eastAsia="Palatino Linotype" w:hAnsi="Palatino Linotype" w:cs="Palatino Linotype"/>
        </w:rPr>
        <w:t xml:space="preserve">el expediente conformado con motivo del Recurso de Revisión </w:t>
      </w:r>
      <w:r w:rsidRPr="00314FA6">
        <w:rPr>
          <w:rFonts w:ascii="Palatino Linotype" w:eastAsia="Palatino Linotype" w:hAnsi="Palatino Linotype" w:cs="Palatino Linotype"/>
          <w:b/>
        </w:rPr>
        <w:t>02926/INFOEM/IP/RR/2025</w:t>
      </w:r>
      <w:r>
        <w:rPr>
          <w:rFonts w:ascii="Palatino Linotype" w:eastAsia="Palatino Linotype" w:hAnsi="Palatino Linotype" w:cs="Palatino Linotype"/>
        </w:rPr>
        <w:t xml:space="preserve">, interpuesto por el Recurrente o Particular, en contra de la respuesta del Sujeto Obligado, </w:t>
      </w:r>
      <w:bookmarkStart w:id="0" w:name="_GoBack"/>
      <w:r w:rsidRPr="00314FA6">
        <w:rPr>
          <w:rFonts w:ascii="Palatino Linotype" w:eastAsia="Palatino Linotype" w:hAnsi="Palatino Linotype" w:cs="Palatino Linotype"/>
          <w:b/>
        </w:rPr>
        <w:t>Ayuntamiento de Toluca</w:t>
      </w:r>
      <w:bookmarkEnd w:id="0"/>
      <w:r>
        <w:rPr>
          <w:rFonts w:ascii="Palatino Linotype" w:eastAsia="Palatino Linotype" w:hAnsi="Palatino Linotype" w:cs="Palatino Linotype"/>
        </w:rPr>
        <w:t>, a la solicitud de acceso a la información pública 00970/TOLUCA/IP/2025, se emite la presente Resolución, con base en los Antecedentes y Considerandos que a continuación se exponen:</w:t>
      </w:r>
    </w:p>
    <w:p w14:paraId="6363FBF5" w14:textId="77777777" w:rsidR="00387AAC" w:rsidRDefault="00387AAC">
      <w:pPr>
        <w:tabs>
          <w:tab w:val="center" w:pos="4522"/>
          <w:tab w:val="left" w:pos="7245"/>
        </w:tabs>
        <w:jc w:val="center"/>
        <w:rPr>
          <w:rFonts w:ascii="Palatino Linotype" w:eastAsia="Palatino Linotype" w:hAnsi="Palatino Linotype" w:cs="Palatino Linotype"/>
          <w:b/>
        </w:rPr>
      </w:pPr>
    </w:p>
    <w:p w14:paraId="0DC5DA4C" w14:textId="77777777" w:rsidR="00387AAC" w:rsidRDefault="00D714A6">
      <w:pPr>
        <w:pStyle w:val="Ttulo1"/>
        <w:spacing w:before="0"/>
        <w:jc w:val="center"/>
        <w:rPr>
          <w:rFonts w:ascii="Palatino Linotype" w:eastAsia="Palatino Linotype" w:hAnsi="Palatino Linotype" w:cs="Palatino Linotype"/>
          <w:b/>
          <w:color w:val="000000"/>
          <w:sz w:val="22"/>
          <w:szCs w:val="22"/>
        </w:rPr>
      </w:pPr>
      <w:bookmarkStart w:id="1" w:name="_Toc196925087"/>
      <w:r>
        <w:rPr>
          <w:rFonts w:ascii="Palatino Linotype" w:eastAsia="Palatino Linotype" w:hAnsi="Palatino Linotype" w:cs="Palatino Linotype"/>
          <w:b/>
          <w:color w:val="000000"/>
          <w:sz w:val="22"/>
          <w:szCs w:val="22"/>
        </w:rPr>
        <w:t>A N T E C E D E N T E S</w:t>
      </w:r>
      <w:bookmarkEnd w:id="1"/>
    </w:p>
    <w:p w14:paraId="7A54457C" w14:textId="77777777" w:rsidR="00387AAC" w:rsidRDefault="00387AAC">
      <w:pPr>
        <w:pBdr>
          <w:top w:val="nil"/>
          <w:left w:val="nil"/>
          <w:bottom w:val="nil"/>
          <w:right w:val="nil"/>
          <w:between w:val="nil"/>
        </w:pBdr>
        <w:tabs>
          <w:tab w:val="left" w:pos="567"/>
        </w:tabs>
        <w:ind w:left="567"/>
        <w:rPr>
          <w:rFonts w:ascii="Palatino Linotype" w:eastAsia="Palatino Linotype" w:hAnsi="Palatino Linotype" w:cs="Palatino Linotype"/>
          <w:color w:val="FF0000"/>
        </w:rPr>
      </w:pPr>
    </w:p>
    <w:p w14:paraId="0DFAA8E0"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2" w:name="_Toc196925088"/>
      <w:r>
        <w:rPr>
          <w:rFonts w:ascii="Palatino Linotype" w:eastAsia="Palatino Linotype" w:hAnsi="Palatino Linotype" w:cs="Palatino Linotype"/>
          <w:b/>
          <w:color w:val="000000"/>
          <w:sz w:val="22"/>
          <w:szCs w:val="22"/>
        </w:rPr>
        <w:t>I. Presentación de la solicitud de información</w:t>
      </w:r>
      <w:bookmarkEnd w:id="2"/>
    </w:p>
    <w:p w14:paraId="642D528B" w14:textId="77777777" w:rsidR="00387AAC" w:rsidRDefault="00387AAC">
      <w:pPr>
        <w:pBdr>
          <w:top w:val="nil"/>
          <w:left w:val="nil"/>
          <w:bottom w:val="nil"/>
          <w:right w:val="nil"/>
          <w:between w:val="nil"/>
        </w:pBdr>
        <w:tabs>
          <w:tab w:val="left" w:pos="567"/>
        </w:tabs>
        <w:rPr>
          <w:rFonts w:ascii="Palatino Linotype" w:eastAsia="Palatino Linotype" w:hAnsi="Palatino Linotype" w:cs="Palatino Linotype"/>
        </w:rPr>
      </w:pPr>
    </w:p>
    <w:p w14:paraId="39C48F0A" w14:textId="77777777" w:rsidR="00387AAC" w:rsidRDefault="00D714A6">
      <w:pPr>
        <w:pBdr>
          <w:top w:val="nil"/>
          <w:left w:val="nil"/>
          <w:bottom w:val="nil"/>
          <w:right w:val="nil"/>
          <w:between w:val="nil"/>
        </w:pBdr>
        <w:tabs>
          <w:tab w:val="left" w:pos="567"/>
        </w:tabs>
        <w:rPr>
          <w:rFonts w:ascii="Palatino Linotype" w:eastAsia="Palatino Linotype" w:hAnsi="Palatino Linotype" w:cs="Palatino Linotype"/>
        </w:rPr>
      </w:pPr>
      <w:r>
        <w:rPr>
          <w:rFonts w:ascii="Palatino Linotype" w:eastAsia="Palatino Linotype" w:hAnsi="Palatino Linotype" w:cs="Palatino Linotype"/>
        </w:rPr>
        <w:t>El dieciocho de febrero de dos mil veinticinco, el Particular presentó la solicitud de acceso a la información pública, a través del Sistema de Acceso a la Información Mexiquense (SAIMEX), ante el Ayuntamiento de Toluca, mediante las cuales requirió lo siguiente:</w:t>
      </w:r>
    </w:p>
    <w:p w14:paraId="44B045BA" w14:textId="77777777" w:rsidR="00387AAC" w:rsidRDefault="00387AAC">
      <w:pPr>
        <w:pBdr>
          <w:top w:val="nil"/>
          <w:left w:val="nil"/>
          <w:bottom w:val="nil"/>
          <w:right w:val="nil"/>
          <w:between w:val="nil"/>
        </w:pBdr>
        <w:tabs>
          <w:tab w:val="left" w:pos="567"/>
        </w:tabs>
        <w:rPr>
          <w:rFonts w:ascii="Palatino Linotype" w:eastAsia="Palatino Linotype" w:hAnsi="Palatino Linotype" w:cs="Palatino Linotype"/>
          <w:b/>
          <w:color w:val="FF0000"/>
        </w:rPr>
      </w:pPr>
    </w:p>
    <w:p w14:paraId="396FDB45" w14:textId="77777777" w:rsidR="00387AAC" w:rsidRDefault="00D714A6">
      <w:pPr>
        <w:tabs>
          <w:tab w:val="left" w:pos="4667"/>
        </w:tabs>
        <w:ind w:left="567" w:right="567"/>
        <w:jc w:val="left"/>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“DESCRIPCIÓN CLARA Y PRECISA DE LA INFORMACIÓN SOLICITADA</w:t>
      </w:r>
    </w:p>
    <w:p w14:paraId="133BB2B9" w14:textId="77777777" w:rsidR="00387AAC" w:rsidRDefault="00D714A6">
      <w:pPr>
        <w:tabs>
          <w:tab w:val="left" w:pos="4667"/>
        </w:tabs>
        <w:ind w:left="567" w:right="567"/>
        <w:jc w:val="left"/>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Necesito conocer si Toluca tiene Programa para la Prevención y Gestión Integral de Residuos Sólidos vigente y/o anteriores, además de conocer la forma de consultarlo” (Sic.)</w:t>
      </w:r>
    </w:p>
    <w:p w14:paraId="74440FB6" w14:textId="77777777" w:rsidR="00387AAC" w:rsidRDefault="00387AAC">
      <w:pPr>
        <w:tabs>
          <w:tab w:val="left" w:pos="4667"/>
        </w:tabs>
        <w:ind w:right="567"/>
        <w:jc w:val="left"/>
        <w:rPr>
          <w:rFonts w:ascii="Palatino Linotype" w:eastAsia="Palatino Linotype" w:hAnsi="Palatino Linotype" w:cs="Palatino Linotype"/>
          <w:b/>
          <w:i/>
          <w:sz w:val="20"/>
          <w:szCs w:val="20"/>
        </w:rPr>
      </w:pPr>
    </w:p>
    <w:p w14:paraId="721BB545" w14:textId="77777777" w:rsidR="00387AAC" w:rsidRDefault="00D714A6">
      <w:pPr>
        <w:tabs>
          <w:tab w:val="left" w:pos="4667"/>
        </w:tabs>
        <w:ind w:left="567" w:right="567"/>
        <w:jc w:val="left"/>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“MODALIDAD DE ENTREGA</w:t>
      </w:r>
    </w:p>
    <w:p w14:paraId="2C061785" w14:textId="77777777" w:rsidR="00387AAC" w:rsidRDefault="00D714A6">
      <w:pPr>
        <w:tabs>
          <w:tab w:val="left" w:pos="4667"/>
        </w:tabs>
        <w:ind w:left="567" w:right="567"/>
        <w:jc w:val="left"/>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 través del SAIMEX”</w:t>
      </w:r>
    </w:p>
    <w:p w14:paraId="00C1221C" w14:textId="77777777" w:rsidR="00387AAC" w:rsidRDefault="00387AAC">
      <w:pPr>
        <w:tabs>
          <w:tab w:val="left" w:pos="4667"/>
        </w:tabs>
        <w:ind w:right="567"/>
        <w:rPr>
          <w:rFonts w:ascii="Palatino Linotype" w:eastAsia="Palatino Linotype" w:hAnsi="Palatino Linotype" w:cs="Palatino Linotype"/>
        </w:rPr>
      </w:pPr>
    </w:p>
    <w:p w14:paraId="0C464904"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3" w:name="_Toc196925089"/>
      <w:r>
        <w:rPr>
          <w:rFonts w:ascii="Palatino Linotype" w:eastAsia="Palatino Linotype" w:hAnsi="Palatino Linotype" w:cs="Palatino Linotype"/>
          <w:b/>
          <w:color w:val="000000"/>
          <w:sz w:val="22"/>
          <w:szCs w:val="22"/>
        </w:rPr>
        <w:lastRenderedPageBreak/>
        <w:t>II. Respuesta del Sujeto Obligado</w:t>
      </w:r>
      <w:bookmarkEnd w:id="3"/>
    </w:p>
    <w:p w14:paraId="7F6BE4CF" w14:textId="77777777" w:rsidR="00387AAC" w:rsidRDefault="00387AAC">
      <w:pPr>
        <w:tabs>
          <w:tab w:val="left" w:pos="4667"/>
        </w:tabs>
        <w:ind w:right="567"/>
        <w:rPr>
          <w:rFonts w:ascii="Palatino Linotype" w:eastAsia="Palatino Linotype" w:hAnsi="Palatino Linotype" w:cs="Palatino Linotype"/>
          <w:b/>
          <w:color w:val="FF0000"/>
        </w:rPr>
      </w:pPr>
    </w:p>
    <w:p w14:paraId="6935D40B"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Con fecha doce de marzo de dos mil veinticinco, el</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Sujeto Obligado dio respuesta a la solicitud de acceso a la información a través del Sistema de Acceso a la Información Mexiquense (SAIMEX), conforme a lo siguiente: </w:t>
      </w:r>
    </w:p>
    <w:p w14:paraId="51148F60" w14:textId="77777777" w:rsidR="00387AAC" w:rsidRDefault="00387AAC">
      <w:pPr>
        <w:rPr>
          <w:rFonts w:ascii="Palatino Linotype" w:eastAsia="Palatino Linotype" w:hAnsi="Palatino Linotype" w:cs="Palatino Linotype"/>
          <w:color w:val="FF0000"/>
        </w:rPr>
      </w:pPr>
    </w:p>
    <w:p w14:paraId="1CCD2680"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 xml:space="preserve">i) Escrito de fecha doce de marzo de dos mil veinticinco, suscrito por el Titular de la Unidad de Transparencia, dirigido al Solicitante, por medio del cual se menciona lo siguiente: </w:t>
      </w:r>
    </w:p>
    <w:p w14:paraId="054AC110" w14:textId="77777777" w:rsidR="00387AAC" w:rsidRDefault="00387AAC">
      <w:pPr>
        <w:tabs>
          <w:tab w:val="left" w:pos="4667"/>
        </w:tabs>
        <w:ind w:left="567"/>
        <w:rPr>
          <w:rFonts w:ascii="Palatino Linotype" w:eastAsia="Palatino Linotype" w:hAnsi="Palatino Linotype" w:cs="Palatino Linotype"/>
          <w:i/>
          <w:color w:val="FF0000"/>
        </w:rPr>
      </w:pPr>
    </w:p>
    <w:p w14:paraId="1FDD3E02" w14:textId="77777777" w:rsidR="00387AAC" w:rsidRDefault="00D714A6">
      <w:pPr>
        <w:tabs>
          <w:tab w:val="left" w:pos="4667"/>
        </w:tabs>
        <w:ind w:left="567" w:right="567"/>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se hace de su conocimiento que la </w:t>
      </w:r>
      <w:r>
        <w:rPr>
          <w:rFonts w:ascii="Palatino Linotype" w:eastAsia="Palatino Linotype" w:hAnsi="Palatino Linotype" w:cs="Palatino Linotype"/>
          <w:b/>
          <w:i/>
          <w:sz w:val="20"/>
          <w:szCs w:val="20"/>
        </w:rPr>
        <w:t xml:space="preserve">Dirección General de Servicios Públicos y Servidor Público Habilitado, </w:t>
      </w:r>
      <w:r>
        <w:rPr>
          <w:rFonts w:ascii="Palatino Linotype" w:eastAsia="Palatino Linotype" w:hAnsi="Palatino Linotype" w:cs="Palatino Linotype"/>
          <w:i/>
          <w:sz w:val="20"/>
          <w:szCs w:val="20"/>
        </w:rPr>
        <w:t>inform</w:t>
      </w:r>
      <w:r>
        <w:rPr>
          <w:rFonts w:ascii="Palatino Linotype" w:eastAsia="Palatino Linotype" w:hAnsi="Palatino Linotype" w:cs="Palatino Linotype"/>
          <w:b/>
          <w:i/>
          <w:sz w:val="20"/>
          <w:szCs w:val="20"/>
        </w:rPr>
        <w:t xml:space="preserve">o </w:t>
      </w:r>
      <w:r>
        <w:rPr>
          <w:rFonts w:ascii="Palatino Linotype" w:eastAsia="Palatino Linotype" w:hAnsi="Palatino Linotype" w:cs="Palatino Linotype"/>
          <w:i/>
          <w:sz w:val="20"/>
          <w:szCs w:val="20"/>
        </w:rPr>
        <w:t>que esta administración actualmente no cuenta con un programa para la prevención y gestión integral de residuos sólidos urbanos, por lo que se rige con el publicado en la gaceta de gobierno no. 45 de fecha 10 de marzo de 2009, la cual se puede consultar en el siguiente link</w:t>
      </w:r>
    </w:p>
    <w:p w14:paraId="05A0993D" w14:textId="77777777" w:rsidR="00387AAC" w:rsidRDefault="00387AAC">
      <w:pPr>
        <w:tabs>
          <w:tab w:val="left" w:pos="4667"/>
        </w:tabs>
        <w:ind w:left="567" w:right="567"/>
        <w:rPr>
          <w:rFonts w:ascii="Palatino Linotype" w:eastAsia="Palatino Linotype" w:hAnsi="Palatino Linotype" w:cs="Palatino Linotype"/>
          <w:i/>
          <w:sz w:val="20"/>
          <w:szCs w:val="20"/>
        </w:rPr>
      </w:pPr>
    </w:p>
    <w:p w14:paraId="7D2369B6" w14:textId="77777777" w:rsidR="00387AAC" w:rsidRDefault="00C74B63">
      <w:pPr>
        <w:numPr>
          <w:ilvl w:val="0"/>
          <w:numId w:val="1"/>
        </w:numPr>
        <w:pBdr>
          <w:top w:val="nil"/>
          <w:left w:val="nil"/>
          <w:bottom w:val="nil"/>
          <w:right w:val="nil"/>
          <w:between w:val="nil"/>
        </w:pBdr>
        <w:tabs>
          <w:tab w:val="left" w:pos="4667"/>
        </w:tabs>
        <w:ind w:right="567"/>
        <w:rPr>
          <w:rFonts w:ascii="Palatino Linotype" w:eastAsia="Palatino Linotype" w:hAnsi="Palatino Linotype" w:cs="Palatino Linotype"/>
          <w:i/>
          <w:color w:val="000000"/>
          <w:sz w:val="20"/>
          <w:szCs w:val="20"/>
        </w:rPr>
      </w:pPr>
      <w:hyperlink r:id="rId9">
        <w:r w:rsidR="00D714A6">
          <w:rPr>
            <w:rFonts w:ascii="Palatino Linotype" w:eastAsia="Palatino Linotype" w:hAnsi="Palatino Linotype" w:cs="Palatino Linotype"/>
            <w:i/>
            <w:color w:val="0000FF"/>
            <w:sz w:val="20"/>
            <w:szCs w:val="20"/>
            <w:u w:val="single"/>
          </w:rPr>
          <w:t>https://legislacion.edomex.gob.mx/sites/legislacion.edomex.gob.mx/files/files/pdf/gct/2009/mar103.pdf</w:t>
        </w:r>
      </w:hyperlink>
      <w:r w:rsidR="00D714A6">
        <w:rPr>
          <w:rFonts w:ascii="Palatino Linotype" w:eastAsia="Palatino Linotype" w:hAnsi="Palatino Linotype" w:cs="Palatino Linotype"/>
          <w:i/>
          <w:color w:val="000000"/>
          <w:sz w:val="20"/>
          <w:szCs w:val="20"/>
        </w:rPr>
        <w:t>.</w:t>
      </w:r>
    </w:p>
    <w:p w14:paraId="529B5FEE" w14:textId="77777777" w:rsidR="00387AAC" w:rsidRDefault="00D714A6">
      <w:pPr>
        <w:tabs>
          <w:tab w:val="left" w:pos="4667"/>
        </w:tabs>
        <w:ind w:left="567" w:right="567"/>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p>
    <w:p w14:paraId="2DBC0E32" w14:textId="77777777" w:rsidR="00387AAC" w:rsidRDefault="00387AAC">
      <w:pPr>
        <w:tabs>
          <w:tab w:val="left" w:pos="4667"/>
        </w:tabs>
        <w:rPr>
          <w:rFonts w:ascii="Palatino Linotype" w:eastAsia="Palatino Linotype" w:hAnsi="Palatino Linotype" w:cs="Palatino Linotype"/>
        </w:rPr>
      </w:pPr>
    </w:p>
    <w:p w14:paraId="22795AC0"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4" w:name="_Toc196925090"/>
      <w:r>
        <w:rPr>
          <w:rFonts w:ascii="Palatino Linotype" w:eastAsia="Palatino Linotype" w:hAnsi="Palatino Linotype" w:cs="Palatino Linotype"/>
          <w:b/>
          <w:color w:val="000000"/>
          <w:sz w:val="22"/>
          <w:szCs w:val="22"/>
        </w:rPr>
        <w:t>I</w:t>
      </w:r>
      <w:r>
        <w:rPr>
          <w:rFonts w:ascii="Palatino Linotype" w:eastAsia="Palatino Linotype" w:hAnsi="Palatino Linotype" w:cs="Palatino Linotype"/>
          <w:b/>
          <w:color w:val="000000"/>
          <w:sz w:val="22"/>
          <w:szCs w:val="22"/>
        </w:rPr>
        <w:tab/>
        <w:t>II. Interposición de los Recursos de Revisión</w:t>
      </w:r>
      <w:bookmarkEnd w:id="4"/>
    </w:p>
    <w:p w14:paraId="249B2F46" w14:textId="77777777" w:rsidR="00387AAC" w:rsidRDefault="00387AAC">
      <w:pPr>
        <w:ind w:right="567"/>
        <w:rPr>
          <w:rFonts w:ascii="Palatino Linotype" w:eastAsia="Palatino Linotype" w:hAnsi="Palatino Linotype" w:cs="Palatino Linotype"/>
          <w:color w:val="FF0000"/>
        </w:rPr>
      </w:pPr>
    </w:p>
    <w:p w14:paraId="70715AC2" w14:textId="77777777" w:rsidR="00387AAC" w:rsidRDefault="00D714A6">
      <w:pPr>
        <w:ind w:right="567"/>
        <w:rPr>
          <w:rFonts w:ascii="Palatino Linotype" w:eastAsia="Palatino Linotype" w:hAnsi="Palatino Linotype" w:cs="Palatino Linotype"/>
        </w:rPr>
      </w:pPr>
      <w:r>
        <w:rPr>
          <w:rFonts w:ascii="Palatino Linotype" w:eastAsia="Palatino Linotype" w:hAnsi="Palatino Linotype" w:cs="Palatino Linotype"/>
        </w:rPr>
        <w:t>El trece de marzo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14:paraId="47B3A582" w14:textId="77777777" w:rsidR="00387AAC" w:rsidRDefault="00387AAC">
      <w:pPr>
        <w:ind w:left="567" w:right="567"/>
        <w:rPr>
          <w:rFonts w:ascii="Palatino Linotype" w:eastAsia="Palatino Linotype" w:hAnsi="Palatino Linotype" w:cs="Palatino Linotype"/>
        </w:rPr>
      </w:pPr>
    </w:p>
    <w:p w14:paraId="51E14EC2" w14:textId="77777777" w:rsidR="00387AAC" w:rsidRDefault="00D714A6">
      <w:pPr>
        <w:ind w:left="567" w:right="567"/>
        <w:rPr>
          <w:rFonts w:ascii="Palatino Linotype" w:eastAsia="Palatino Linotype" w:hAnsi="Palatino Linotype" w:cs="Palatino Linotype"/>
          <w:b/>
          <w:i/>
          <w:sz w:val="20"/>
          <w:szCs w:val="20"/>
        </w:rPr>
      </w:pPr>
      <w:r>
        <w:rPr>
          <w:rFonts w:ascii="Palatino Linotype" w:eastAsia="Palatino Linotype" w:hAnsi="Palatino Linotype" w:cs="Palatino Linotype"/>
          <w:b/>
          <w:sz w:val="20"/>
          <w:szCs w:val="20"/>
        </w:rPr>
        <w:lastRenderedPageBreak/>
        <w:t>‘</w:t>
      </w:r>
      <w:r>
        <w:rPr>
          <w:rFonts w:ascii="Palatino Linotype" w:eastAsia="Palatino Linotype" w:hAnsi="Palatino Linotype" w:cs="Palatino Linotype"/>
          <w:b/>
          <w:i/>
          <w:sz w:val="20"/>
          <w:szCs w:val="20"/>
        </w:rPr>
        <w:t>’ACTO IMPUGNADO</w:t>
      </w:r>
    </w:p>
    <w:p w14:paraId="4B973CD8" w14:textId="77777777" w:rsidR="00387AAC" w:rsidRDefault="00D714A6">
      <w:pPr>
        <w:ind w:left="567" w:right="567"/>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entrega el programa” (Sic.)</w:t>
      </w:r>
    </w:p>
    <w:p w14:paraId="0406188B" w14:textId="77777777" w:rsidR="00387AAC" w:rsidRDefault="00387AAC">
      <w:pPr>
        <w:ind w:left="567" w:right="567"/>
        <w:rPr>
          <w:rFonts w:ascii="Palatino Linotype" w:eastAsia="Palatino Linotype" w:hAnsi="Palatino Linotype" w:cs="Palatino Linotype"/>
          <w:i/>
          <w:sz w:val="20"/>
          <w:szCs w:val="20"/>
        </w:rPr>
      </w:pPr>
    </w:p>
    <w:p w14:paraId="78E83973" w14:textId="77777777" w:rsidR="00387AAC" w:rsidRDefault="00D714A6">
      <w:pPr>
        <w:ind w:left="567" w:right="567"/>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‘’RAZONES O MOTIVOS DE LA INCONFORMIDAD</w:t>
      </w:r>
    </w:p>
    <w:p w14:paraId="7FF0F060" w14:textId="77777777" w:rsidR="00387AAC" w:rsidRDefault="00D714A6">
      <w:pPr>
        <w:ind w:left="567" w:right="567"/>
        <w:rPr>
          <w:rFonts w:ascii="Palatino Linotype" w:eastAsia="Palatino Linotype" w:hAnsi="Palatino Linotype" w:cs="Palatino Linotype"/>
          <w:i/>
          <w:sz w:val="18"/>
          <w:szCs w:val="18"/>
        </w:rPr>
      </w:pPr>
      <w:r>
        <w:rPr>
          <w:rFonts w:ascii="Palatino Linotype" w:eastAsia="Palatino Linotype" w:hAnsi="Palatino Linotype" w:cs="Palatino Linotype"/>
          <w:i/>
          <w:sz w:val="20"/>
          <w:szCs w:val="20"/>
        </w:rPr>
        <w:t>No entrega el programa” (Sic)</w:t>
      </w:r>
    </w:p>
    <w:p w14:paraId="59429FF7" w14:textId="77777777" w:rsidR="00387AAC" w:rsidRDefault="00387AAC">
      <w:pPr>
        <w:ind w:left="567" w:right="567"/>
        <w:rPr>
          <w:rFonts w:ascii="Palatino Linotype" w:eastAsia="Palatino Linotype" w:hAnsi="Palatino Linotype" w:cs="Palatino Linotype"/>
          <w:i/>
          <w:sz w:val="20"/>
          <w:szCs w:val="20"/>
        </w:rPr>
      </w:pPr>
    </w:p>
    <w:p w14:paraId="6BFFA1C4"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5" w:name="_Toc196925091"/>
      <w:r>
        <w:rPr>
          <w:rFonts w:ascii="Palatino Linotype" w:eastAsia="Palatino Linotype" w:hAnsi="Palatino Linotype" w:cs="Palatino Linotype"/>
          <w:b/>
          <w:color w:val="000000"/>
          <w:sz w:val="22"/>
          <w:szCs w:val="22"/>
        </w:rPr>
        <w:t>IV. Trámite del Recurso de Revisión ante este Instituto</w:t>
      </w:r>
      <w:bookmarkEnd w:id="5"/>
    </w:p>
    <w:p w14:paraId="48EDD0A4" w14:textId="77777777" w:rsidR="00387AAC" w:rsidRDefault="00387AAC">
      <w:pPr>
        <w:rPr>
          <w:rFonts w:ascii="Palatino Linotype" w:eastAsia="Palatino Linotype" w:hAnsi="Palatino Linotype" w:cs="Palatino Linotype"/>
          <w:b/>
          <w:color w:val="FF0000"/>
        </w:rPr>
      </w:pPr>
    </w:p>
    <w:p w14:paraId="666A07E8"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b/>
        </w:rPr>
        <w:t>a) Turno del Medio de Impugnación</w:t>
      </w:r>
      <w:r>
        <w:rPr>
          <w:rFonts w:ascii="Palatino Linotype" w:eastAsia="Palatino Linotype" w:hAnsi="Palatino Linotype" w:cs="Palatino Linotype"/>
        </w:rPr>
        <w:t>. El trece de marzo de dos mil veinticinco, el Sistema de Acceso a la Información Mexiquense (SAIMEX), asignó el número de expediente 02926/INFOEM/IP/RR/2025,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0CBE3171" w14:textId="77777777" w:rsidR="00387AAC" w:rsidRDefault="00387AAC">
      <w:pPr>
        <w:rPr>
          <w:rFonts w:ascii="Palatino Linotype" w:eastAsia="Palatino Linotype" w:hAnsi="Palatino Linotype" w:cs="Palatino Linotype"/>
          <w:b/>
        </w:rPr>
      </w:pPr>
    </w:p>
    <w:p w14:paraId="777B6D93" w14:textId="77777777" w:rsidR="00387AAC" w:rsidRDefault="00D714A6">
      <w:pPr>
        <w:rPr>
          <w:rFonts w:ascii="Palatino Linotype" w:eastAsia="Palatino Linotype" w:hAnsi="Palatino Linotype" w:cs="Palatino Linotype"/>
          <w:b/>
        </w:rPr>
      </w:pPr>
      <w:r>
        <w:rPr>
          <w:rFonts w:ascii="Palatino Linotype" w:eastAsia="Palatino Linotype" w:hAnsi="Palatino Linotype" w:cs="Palatino Linotype"/>
          <w:b/>
        </w:rPr>
        <w:t xml:space="preserve">b) Admisión del Recurso de Revisión. </w:t>
      </w:r>
      <w:r>
        <w:rPr>
          <w:rFonts w:ascii="Palatino Linotype" w:eastAsia="Palatino Linotype" w:hAnsi="Palatino Linotype" w:cs="Palatino Linotype"/>
        </w:rPr>
        <w:t>El veinte de marzo de dos mil veinticinco, se</w:t>
      </w:r>
      <w:r>
        <w:rPr>
          <w:rFonts w:ascii="Palatino Linotype" w:eastAsia="Palatino Linotype" w:hAnsi="Palatino Linotype" w:cs="Palatino Linotype"/>
          <w:b/>
        </w:rPr>
        <w:t xml:space="preserve"> </w:t>
      </w:r>
      <w:r>
        <w:rPr>
          <w:rFonts w:ascii="Palatino Linotype" w:eastAsia="Palatino Linotype" w:hAnsi="Palatino Linotype" w:cs="Palatino Linotype"/>
        </w:rPr>
        <w:t>acordó la admisión del Recurso de Revisión interpuesto por la persona Recurrente en</w:t>
      </w:r>
      <w:r>
        <w:rPr>
          <w:rFonts w:ascii="Palatino Linotype" w:eastAsia="Palatino Linotype" w:hAnsi="Palatino Linotype" w:cs="Palatino Linotype"/>
          <w:b/>
        </w:rPr>
        <w:t xml:space="preserve"> </w:t>
      </w:r>
      <w:r>
        <w:rPr>
          <w:rFonts w:ascii="Palatino Linotype" w:eastAsia="Palatino Linotype" w:hAnsi="Palatino Linotype" w:cs="Palatino Linotype"/>
        </w:rPr>
        <w:t>contra del Sujeto Obligado, en términos del artículo 185, fracciones I y II de la Ley de</w:t>
      </w:r>
      <w:r>
        <w:rPr>
          <w:rFonts w:ascii="Palatino Linotype" w:eastAsia="Palatino Linotype" w:hAnsi="Palatino Linotype" w:cs="Palatino Linotype"/>
          <w:b/>
        </w:rPr>
        <w:t xml:space="preserve"> </w:t>
      </w:r>
      <w:r>
        <w:rPr>
          <w:rFonts w:ascii="Palatino Linotype" w:eastAsia="Palatino Linotype" w:hAnsi="Palatino Linotype" w:cs="Palatino Linotype"/>
        </w:rPr>
        <w:t>Transparencia y Acceso a la Información Pública del Estado de México y Municipios, el</w:t>
      </w:r>
      <w:r>
        <w:rPr>
          <w:rFonts w:ascii="Palatino Linotype" w:eastAsia="Palatino Linotype" w:hAnsi="Palatino Linotype" w:cs="Palatino Linotype"/>
          <w:b/>
        </w:rPr>
        <w:t xml:space="preserve"> </w:t>
      </w:r>
      <w:r>
        <w:rPr>
          <w:rFonts w:ascii="Palatino Linotype" w:eastAsia="Palatino Linotype" w:hAnsi="Palatino Linotype" w:cs="Palatino Linotype"/>
        </w:rPr>
        <w:t>cual fue notificado a las partes el mismo día, a través del Sistema de Acceso a la</w:t>
      </w:r>
      <w:r>
        <w:rPr>
          <w:rFonts w:ascii="Palatino Linotype" w:eastAsia="Palatino Linotype" w:hAnsi="Palatino Linotype" w:cs="Palatino Linotype"/>
          <w:b/>
        </w:rPr>
        <w:t xml:space="preserve"> </w:t>
      </w:r>
      <w:r>
        <w:rPr>
          <w:rFonts w:ascii="Palatino Linotype" w:eastAsia="Palatino Linotype" w:hAnsi="Palatino Linotype" w:cs="Palatino Linotype"/>
        </w:rPr>
        <w:t>Información Mexiquense (SAIMEX), en el que se les otorgó un plazo de siete días hábiles</w:t>
      </w:r>
      <w:r>
        <w:rPr>
          <w:rFonts w:ascii="Palatino Linotype" w:eastAsia="Palatino Linotype" w:hAnsi="Palatino Linotype" w:cs="Palatino Linotype"/>
          <w:b/>
        </w:rPr>
        <w:t xml:space="preserve"> </w:t>
      </w:r>
      <w:r>
        <w:rPr>
          <w:rFonts w:ascii="Palatino Linotype" w:eastAsia="Palatino Linotype" w:hAnsi="Palatino Linotype" w:cs="Palatino Linotype"/>
        </w:rPr>
        <w:t>posteriores a la misma, para que manifestaran lo que a su derecho conviniera y formularan alegatos.</w:t>
      </w:r>
    </w:p>
    <w:p w14:paraId="5527A314" w14:textId="77777777" w:rsidR="00387AAC" w:rsidRDefault="00387AAC">
      <w:pPr>
        <w:rPr>
          <w:rFonts w:ascii="Palatino Linotype" w:eastAsia="Palatino Linotype" w:hAnsi="Palatino Linotype" w:cs="Palatino Linotype"/>
          <w:color w:val="FF0000"/>
        </w:rPr>
      </w:pPr>
    </w:p>
    <w:p w14:paraId="6CA807B6"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b/>
        </w:rPr>
        <w:t xml:space="preserve">c) Informe Justificado o Manifestaciones. </w:t>
      </w:r>
      <w:r>
        <w:rPr>
          <w:rFonts w:ascii="Palatino Linotype" w:eastAsia="Palatino Linotype" w:hAnsi="Palatino Linotype" w:cs="Palatino Linotype"/>
        </w:rPr>
        <w:t xml:space="preserve">El veinte de marzo de dos mil veinticinco, a través del Sistema de Acceso a la Información Mexiquense (SAIMEX), se recibió en este </w:t>
      </w:r>
      <w:r>
        <w:rPr>
          <w:rFonts w:ascii="Palatino Linotype" w:eastAsia="Palatino Linotype" w:hAnsi="Palatino Linotype" w:cs="Palatino Linotype"/>
        </w:rPr>
        <w:lastRenderedPageBreak/>
        <w:t>Instituto el informe Justificado por parte del Sujeto Obligado por medio del cual ratifico su respuesta.</w:t>
      </w:r>
    </w:p>
    <w:p w14:paraId="053CBBF8" w14:textId="77777777" w:rsidR="00387AAC" w:rsidRDefault="00387AAC">
      <w:pPr>
        <w:rPr>
          <w:rFonts w:ascii="Palatino Linotype" w:eastAsia="Palatino Linotype" w:hAnsi="Palatino Linotype" w:cs="Palatino Linotype"/>
          <w:color w:val="FF0000"/>
        </w:rPr>
      </w:pPr>
    </w:p>
    <w:p w14:paraId="0603CD79" w14:textId="77777777" w:rsidR="00387AAC" w:rsidRDefault="00D714A6">
      <w:pPr>
        <w:rPr>
          <w:rFonts w:ascii="Palatino Linotype" w:eastAsia="Palatino Linotype" w:hAnsi="Palatino Linotype" w:cs="Palatino Linotype"/>
          <w:b/>
        </w:rPr>
      </w:pPr>
      <w:r>
        <w:rPr>
          <w:rFonts w:ascii="Palatino Linotype" w:eastAsia="Palatino Linotype" w:hAnsi="Palatino Linotype" w:cs="Palatino Linotype"/>
          <w:b/>
        </w:rPr>
        <w:t>d) Vista del Informe Justificado.</w:t>
      </w:r>
      <w:r>
        <w:rPr>
          <w:rFonts w:ascii="Palatino Linotype" w:eastAsia="Palatino Linotype" w:hAnsi="Palatino Linotype" w:cs="Palatino Linotype"/>
        </w:rPr>
        <w:t xml:space="preserve"> El veintidós de abril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Pr>
          <w:rFonts w:ascii="Palatino Linotype" w:eastAsia="Palatino Linotype" w:hAnsi="Palatino Linotype" w:cs="Palatino Linotype"/>
          <w:b/>
        </w:rPr>
        <w:t>Cabe señalar que el Particular fue omiso en realizar manifestación alguna.</w:t>
      </w:r>
    </w:p>
    <w:p w14:paraId="5AEE4D28" w14:textId="77777777" w:rsidR="00387AAC" w:rsidRDefault="00387AAC">
      <w:pPr>
        <w:rPr>
          <w:rFonts w:ascii="Palatino Linotype" w:eastAsia="Palatino Linotype" w:hAnsi="Palatino Linotype" w:cs="Palatino Linotype"/>
          <w:b/>
          <w:color w:val="FF0000"/>
        </w:rPr>
      </w:pPr>
    </w:p>
    <w:p w14:paraId="0312EC33" w14:textId="77777777" w:rsidR="00387AAC" w:rsidRDefault="00D714A6">
      <w:pPr>
        <w:rPr>
          <w:rFonts w:ascii="Palatino Linotype" w:eastAsia="Palatino Linotype" w:hAnsi="Palatino Linotype" w:cs="Palatino Linotype"/>
        </w:rPr>
      </w:pPr>
      <w:bookmarkStart w:id="6" w:name="_heading=h.gjdgxs" w:colFirst="0" w:colLast="0"/>
      <w:bookmarkEnd w:id="6"/>
      <w:r>
        <w:rPr>
          <w:rFonts w:ascii="Palatino Linotype" w:eastAsia="Palatino Linotype" w:hAnsi="Palatino Linotype" w:cs="Palatino Linotype"/>
          <w:b/>
        </w:rPr>
        <w:t xml:space="preserve">e) Cierre de instrucción. </w:t>
      </w:r>
      <w:r>
        <w:rPr>
          <w:rFonts w:ascii="Palatino Linotype" w:eastAsia="Palatino Linotype" w:hAnsi="Palatino Linotype" w:cs="Palatino Linotype"/>
        </w:rPr>
        <w:t>El veintiocho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7FC0CE3" w14:textId="77777777" w:rsidR="00387AAC" w:rsidRDefault="00387AAC">
      <w:pPr>
        <w:rPr>
          <w:rFonts w:ascii="Palatino Linotype" w:eastAsia="Palatino Linotype" w:hAnsi="Palatino Linotype" w:cs="Palatino Linotype"/>
        </w:rPr>
      </w:pPr>
    </w:p>
    <w:p w14:paraId="6B872852"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En razón de que fue debidamente sustanciado e integrado el expediente electrónico y no existe diligencia pendiente de desahogo, se emite la resolución que conforme a Derecho proceda, de acuerdo a los siguientes:</w:t>
      </w:r>
    </w:p>
    <w:p w14:paraId="3B22CA0A" w14:textId="77777777" w:rsidR="00387AAC" w:rsidRDefault="00387AAC">
      <w:pPr>
        <w:rPr>
          <w:rFonts w:ascii="Palatino Linotype" w:eastAsia="Palatino Linotype" w:hAnsi="Palatino Linotype" w:cs="Palatino Linotype"/>
        </w:rPr>
      </w:pPr>
    </w:p>
    <w:p w14:paraId="40ADC0B8" w14:textId="77777777" w:rsidR="00387AAC" w:rsidRDefault="00D714A6">
      <w:pPr>
        <w:pStyle w:val="Ttulo1"/>
        <w:spacing w:before="0"/>
        <w:jc w:val="center"/>
        <w:rPr>
          <w:rFonts w:ascii="Palatino Linotype" w:eastAsia="Palatino Linotype" w:hAnsi="Palatino Linotype" w:cs="Palatino Linotype"/>
          <w:b/>
          <w:color w:val="000000"/>
          <w:sz w:val="22"/>
          <w:szCs w:val="22"/>
        </w:rPr>
      </w:pPr>
      <w:bookmarkStart w:id="7" w:name="_Toc196925092"/>
      <w:r>
        <w:rPr>
          <w:rFonts w:ascii="Palatino Linotype" w:eastAsia="Palatino Linotype" w:hAnsi="Palatino Linotype" w:cs="Palatino Linotype"/>
          <w:b/>
          <w:color w:val="000000"/>
          <w:sz w:val="22"/>
          <w:szCs w:val="22"/>
        </w:rPr>
        <w:t>C O N S I D E R A N D O S</w:t>
      </w:r>
      <w:bookmarkEnd w:id="7"/>
    </w:p>
    <w:p w14:paraId="64C71993" w14:textId="77777777" w:rsidR="00387AAC" w:rsidRDefault="00387AAC">
      <w:pPr>
        <w:jc w:val="center"/>
        <w:rPr>
          <w:rFonts w:ascii="Palatino Linotype" w:eastAsia="Palatino Linotype" w:hAnsi="Palatino Linotype" w:cs="Palatino Linotype"/>
          <w:b/>
        </w:rPr>
      </w:pPr>
    </w:p>
    <w:p w14:paraId="452D0839"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8" w:name="_Toc196925093"/>
      <w:r>
        <w:rPr>
          <w:rFonts w:ascii="Palatino Linotype" w:eastAsia="Palatino Linotype" w:hAnsi="Palatino Linotype" w:cs="Palatino Linotype"/>
          <w:b/>
          <w:color w:val="000000"/>
          <w:sz w:val="22"/>
          <w:szCs w:val="22"/>
        </w:rPr>
        <w:t>PRIMERO. Competencia</w:t>
      </w:r>
      <w:bookmarkEnd w:id="8"/>
    </w:p>
    <w:p w14:paraId="6BA15B28" w14:textId="77777777" w:rsidR="00387AAC" w:rsidRDefault="00387AAC">
      <w:pPr>
        <w:rPr>
          <w:rFonts w:ascii="Palatino Linotype" w:eastAsia="Palatino Linotype" w:hAnsi="Palatino Linotype" w:cs="Palatino Linotype"/>
          <w:b/>
        </w:rPr>
      </w:pPr>
    </w:p>
    <w:p w14:paraId="2832EF51"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4513AB8D"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EA911BF" w14:textId="77777777" w:rsidR="00387AAC" w:rsidRDefault="00387AAC">
      <w:pPr>
        <w:rPr>
          <w:rFonts w:ascii="Palatino Linotype" w:eastAsia="Palatino Linotype" w:hAnsi="Palatino Linotype" w:cs="Palatino Linotype"/>
          <w:color w:val="FF0000"/>
        </w:rPr>
      </w:pPr>
    </w:p>
    <w:p w14:paraId="571A97D7"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9" w:name="_Toc196925094"/>
      <w:r>
        <w:rPr>
          <w:rFonts w:ascii="Palatino Linotype" w:eastAsia="Palatino Linotype" w:hAnsi="Palatino Linotype" w:cs="Palatino Linotype"/>
          <w:b/>
          <w:color w:val="000000"/>
          <w:sz w:val="22"/>
          <w:szCs w:val="22"/>
        </w:rPr>
        <w:t>SEGUNDO. Causales de improcedencia y sobreseimiento</w:t>
      </w:r>
      <w:bookmarkEnd w:id="9"/>
    </w:p>
    <w:p w14:paraId="323FE993" w14:textId="77777777" w:rsidR="00387AAC" w:rsidRDefault="00387AAC">
      <w:pPr>
        <w:rPr>
          <w:rFonts w:ascii="Palatino Linotype" w:eastAsia="Palatino Linotype" w:hAnsi="Palatino Linotype" w:cs="Palatino Linotype"/>
          <w:b/>
          <w:color w:val="FF0000"/>
        </w:rPr>
      </w:pPr>
    </w:p>
    <w:p w14:paraId="58F07768"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 xml:space="preserve">De las constancias que forma parte del Recurso de Revisión que se analiza, se advierte que previo al estudio del fondo de la </w:t>
      </w:r>
      <w:r>
        <w:rPr>
          <w:rFonts w:ascii="Palatino Linotype" w:eastAsia="Palatino Linotype" w:hAnsi="Palatino Linotype" w:cs="Palatino Linotype"/>
          <w:i/>
        </w:rPr>
        <w:t>litis</w:t>
      </w:r>
      <w:r>
        <w:rPr>
          <w:rFonts w:ascii="Palatino Linotype" w:eastAsia="Palatino Linotype" w:hAnsi="Palatino Linotype" w:cs="Palatino Linotype"/>
        </w:rPr>
        <w:t>, es necesario estudiar las causales de improcedencia y sobreseimiento que se adviertan, para determinar lo que en Derecho proceda.</w:t>
      </w:r>
    </w:p>
    <w:p w14:paraId="1C21A3CE" w14:textId="77777777" w:rsidR="00387AAC" w:rsidRDefault="00387AAC">
      <w:pPr>
        <w:rPr>
          <w:rFonts w:ascii="Palatino Linotype" w:eastAsia="Palatino Linotype" w:hAnsi="Palatino Linotype" w:cs="Palatino Linotype"/>
          <w:b/>
          <w:color w:val="FF0000"/>
        </w:rPr>
      </w:pPr>
    </w:p>
    <w:p w14:paraId="5195D334" w14:textId="77777777" w:rsidR="00387AAC" w:rsidRDefault="00D714A6">
      <w:pPr>
        <w:rPr>
          <w:rFonts w:ascii="Palatino Linotype" w:eastAsia="Palatino Linotype" w:hAnsi="Palatino Linotype" w:cs="Palatino Linotype"/>
          <w:b/>
        </w:rPr>
      </w:pPr>
      <w:r>
        <w:rPr>
          <w:rFonts w:ascii="Palatino Linotype" w:eastAsia="Palatino Linotype" w:hAnsi="Palatino Linotype" w:cs="Palatino Linotype"/>
          <w:b/>
        </w:rPr>
        <w:t>Causales de improcedencia</w:t>
      </w:r>
    </w:p>
    <w:p w14:paraId="7BD442A9" w14:textId="77777777" w:rsidR="00387AAC" w:rsidRDefault="00387AAC">
      <w:pPr>
        <w:rPr>
          <w:rFonts w:ascii="Palatino Linotype" w:eastAsia="Palatino Linotype" w:hAnsi="Palatino Linotype" w:cs="Palatino Linotype"/>
          <w:color w:val="FF0000"/>
        </w:rPr>
      </w:pPr>
    </w:p>
    <w:p w14:paraId="190E4642"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Pr>
          <w:rFonts w:ascii="Palatino Linotype" w:eastAsia="Palatino Linotype" w:hAnsi="Palatino Linotype" w:cs="Palatino Linotype"/>
        </w:rPr>
        <w:lastRenderedPageBreak/>
        <w:t>actualice alguno de los supuestos establecidos en el artículo 191 de la Ley de Transparencia y Acceso a la Información Pública del Estado de México y Municipios, por ser improcedente.</w:t>
      </w:r>
    </w:p>
    <w:p w14:paraId="53AA0500" w14:textId="77777777" w:rsidR="00387AAC" w:rsidRDefault="00387AAC">
      <w:pPr>
        <w:rPr>
          <w:rFonts w:ascii="Palatino Linotype" w:eastAsia="Palatino Linotype" w:hAnsi="Palatino Linotype" w:cs="Palatino Linotype"/>
          <w:color w:val="FF0000"/>
        </w:rPr>
      </w:pPr>
    </w:p>
    <w:p w14:paraId="3C8EC597"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C3EFD9C" w14:textId="77777777" w:rsidR="00387AAC" w:rsidRDefault="00387AAC">
      <w:pPr>
        <w:rPr>
          <w:rFonts w:ascii="Palatino Linotype" w:eastAsia="Palatino Linotype" w:hAnsi="Palatino Linotype" w:cs="Palatino Linotype"/>
        </w:rPr>
      </w:pPr>
    </w:p>
    <w:p w14:paraId="279415A7"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Asimismo, se actualiza la causal de procedencia del Recurso de Revisión establecida en el artículo 179, fracción V, de la Ley de Transparencia y Acceso a la Información Pública del Estado de México y Municipios, referente a la entrega de información incompleta.</w:t>
      </w:r>
    </w:p>
    <w:p w14:paraId="770F622F" w14:textId="77777777" w:rsidR="00387AAC" w:rsidRDefault="00387AAC">
      <w:pPr>
        <w:rPr>
          <w:rFonts w:ascii="Palatino Linotype" w:eastAsia="Palatino Linotype" w:hAnsi="Palatino Linotype" w:cs="Palatino Linotype"/>
        </w:rPr>
      </w:pPr>
    </w:p>
    <w:p w14:paraId="24369FF5"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b/>
        </w:rPr>
        <w:t>Causales de sobreseimiento</w:t>
      </w:r>
    </w:p>
    <w:p w14:paraId="5EA34FA5" w14:textId="77777777" w:rsidR="00387AAC" w:rsidRDefault="00387AAC">
      <w:pPr>
        <w:rPr>
          <w:rFonts w:ascii="Palatino Linotype" w:eastAsia="Palatino Linotype" w:hAnsi="Palatino Linotype" w:cs="Palatino Linotype"/>
          <w:color w:val="FF0000"/>
        </w:rPr>
      </w:pPr>
    </w:p>
    <w:p w14:paraId="3A335E62"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Por ser de previo y especial pronunciamiento, este Instituto analiza si se actualiza alguna causal de sobreseimiento.</w:t>
      </w:r>
    </w:p>
    <w:p w14:paraId="5FB8AF97" w14:textId="77777777" w:rsidR="00387AAC" w:rsidRDefault="00387AAC">
      <w:pPr>
        <w:rPr>
          <w:rFonts w:ascii="Palatino Linotype" w:eastAsia="Palatino Linotype" w:hAnsi="Palatino Linotype" w:cs="Palatino Linotype"/>
        </w:rPr>
      </w:pPr>
    </w:p>
    <w:p w14:paraId="4B351377"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w:t>
      </w:r>
      <w:r>
        <w:rPr>
          <w:rFonts w:ascii="Palatino Linotype" w:eastAsia="Palatino Linotype" w:hAnsi="Palatino Linotype" w:cs="Palatino Linotype"/>
        </w:rPr>
        <w:lastRenderedPageBreak/>
        <w:t>recurso, haya fallecido, sobreviniera alguna causal de improcedencia, que el Sujeto Obligado hubiese modificado o revocado el acto impugnado o bien, haya quedado sin materia.</w:t>
      </w:r>
    </w:p>
    <w:p w14:paraId="4E388D61" w14:textId="77777777" w:rsidR="00387AAC" w:rsidRDefault="00387AAC">
      <w:pPr>
        <w:rPr>
          <w:rFonts w:ascii="Palatino Linotype" w:eastAsia="Palatino Linotype" w:hAnsi="Palatino Linotype" w:cs="Palatino Linotype"/>
        </w:rPr>
      </w:pPr>
    </w:p>
    <w:p w14:paraId="6A949136"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 xml:space="preserve">Por tales motivos, se considera procedente entrar al fondo del presente asunto. </w:t>
      </w:r>
    </w:p>
    <w:p w14:paraId="6093AFB0" w14:textId="77777777" w:rsidR="00387AAC" w:rsidRDefault="00387AAC">
      <w:pPr>
        <w:tabs>
          <w:tab w:val="left" w:pos="4962"/>
        </w:tabs>
        <w:rPr>
          <w:rFonts w:ascii="Palatino Linotype" w:eastAsia="Palatino Linotype" w:hAnsi="Palatino Linotype" w:cs="Palatino Linotype"/>
          <w:b/>
        </w:rPr>
      </w:pPr>
    </w:p>
    <w:p w14:paraId="1CC7E26F"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10" w:name="_Toc196925095"/>
      <w:r>
        <w:rPr>
          <w:rFonts w:ascii="Palatino Linotype" w:eastAsia="Palatino Linotype" w:hAnsi="Palatino Linotype" w:cs="Palatino Linotype"/>
          <w:b/>
          <w:color w:val="000000"/>
          <w:sz w:val="22"/>
          <w:szCs w:val="22"/>
        </w:rPr>
        <w:t>TERCERO. Determinación de la Controversia</w:t>
      </w:r>
      <w:bookmarkEnd w:id="10"/>
    </w:p>
    <w:p w14:paraId="3B467A97" w14:textId="77777777" w:rsidR="00387AAC" w:rsidRDefault="00387AAC">
      <w:pPr>
        <w:tabs>
          <w:tab w:val="left" w:pos="4962"/>
        </w:tabs>
        <w:rPr>
          <w:rFonts w:ascii="Palatino Linotype" w:eastAsia="Palatino Linotype" w:hAnsi="Palatino Linotype" w:cs="Palatino Linotype"/>
          <w:color w:val="FF0000"/>
        </w:rPr>
      </w:pPr>
    </w:p>
    <w:p w14:paraId="19D9CA86" w14:textId="77777777" w:rsidR="00387AAC" w:rsidRDefault="00387AAC">
      <w:pPr>
        <w:tabs>
          <w:tab w:val="left" w:pos="4962"/>
        </w:tabs>
        <w:rPr>
          <w:rFonts w:ascii="Palatino Linotype" w:eastAsia="Palatino Linotype" w:hAnsi="Palatino Linotype" w:cs="Palatino Linotype"/>
          <w:color w:val="FF0000"/>
        </w:rPr>
      </w:pPr>
    </w:p>
    <w:p w14:paraId="533B3E16"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rPr>
        <w:t>Con el objeto de ilustrar la controversia planteada, resulta conveniente realizar un cuadro, con la solicitud de información, la respuesta y el agravio, para lo cual se desprende que el Particular requirió conocer el Programa para la Prevención y Gestión Integral de Residuos vigente y/o anteriores y como consultarlo.</w:t>
      </w:r>
    </w:p>
    <w:p w14:paraId="22C9AFCE" w14:textId="77777777" w:rsidR="00387AAC" w:rsidRDefault="00387AAC">
      <w:pPr>
        <w:widowControl w:val="0"/>
        <w:rPr>
          <w:rFonts w:ascii="Palatino Linotype" w:eastAsia="Palatino Linotype" w:hAnsi="Palatino Linotype" w:cs="Palatino Linotype"/>
          <w:color w:val="FF0000"/>
        </w:rPr>
      </w:pPr>
    </w:p>
    <w:p w14:paraId="2E6A3533"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rPr>
        <w:t>En respuesta, el Sujeto Obligado a través de la Dirección General de Servicios Públicos, señaló que actualmente no contaba con un programa, pero que se regía bajo el ultimo publicado en la gaceta de gobierno correspondiente al año dos mil nueve y anexó un link para su consulta;  ante circunstancia, el Particular se inconformó de la entrega de información incompleta, lo cual actualiza las causales de procedencia previstas en las fracciones  V del artículo 179, de la Ley de Transparencia y Acceso a la Información Pública del Estado de México y Municipios.</w:t>
      </w:r>
      <w:r>
        <w:t xml:space="preserve"> </w:t>
      </w:r>
      <w:r>
        <w:rPr>
          <w:rFonts w:ascii="Palatino Linotype" w:eastAsia="Palatino Linotype" w:hAnsi="Palatino Linotype" w:cs="Palatino Linotype"/>
        </w:rPr>
        <w:t>Municipios. Así, las cosas, una vez admitido y notificado el Recurso de Revisión el Sujeto Obligado presento su informe justificado por medio del cual, ratifico su respuesta.</w:t>
      </w:r>
    </w:p>
    <w:p w14:paraId="3B87A451" w14:textId="77777777" w:rsidR="00387AAC" w:rsidRDefault="00387AAC">
      <w:pPr>
        <w:rPr>
          <w:rFonts w:ascii="Palatino Linotype" w:eastAsia="Palatino Linotype" w:hAnsi="Palatino Linotype" w:cs="Palatino Linotype"/>
          <w:color w:val="FF0000"/>
        </w:rPr>
      </w:pPr>
    </w:p>
    <w:p w14:paraId="5DB79981"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Lo anterior, se desprende de las documentales que obran en el expediente de referencia, materia de la presente resolución, consistente en las solicitudes de acceso a la información, las respuestas, los escritos recursales y los informes justificados; instrumentales que se toman en cuenta a efecto de resolver el presente medio de impugnación, conforme a lo dispuesto por el artículo 185, fracción IV, de la Ley de Transparencia y Acceso a la Información Pública del Estado de México y Municipios. </w:t>
      </w:r>
    </w:p>
    <w:p w14:paraId="6788E126" w14:textId="77777777" w:rsidR="00387AAC" w:rsidRDefault="00387AAC">
      <w:pPr>
        <w:tabs>
          <w:tab w:val="left" w:pos="4962"/>
        </w:tabs>
        <w:rPr>
          <w:rFonts w:ascii="Palatino Linotype" w:eastAsia="Palatino Linotype" w:hAnsi="Palatino Linotype" w:cs="Palatino Linotype"/>
          <w:color w:val="FF0000"/>
        </w:rPr>
      </w:pPr>
    </w:p>
    <w:p w14:paraId="09324F3E"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11" w:name="_Toc196925096"/>
      <w:r>
        <w:rPr>
          <w:rFonts w:ascii="Palatino Linotype" w:eastAsia="Palatino Linotype" w:hAnsi="Palatino Linotype" w:cs="Palatino Linotype"/>
          <w:b/>
          <w:color w:val="000000"/>
          <w:sz w:val="22"/>
          <w:szCs w:val="22"/>
        </w:rPr>
        <w:t>CUARTO. Marco normativo aplicable en materia de transparencia y acceso a la información pública</w:t>
      </w:r>
      <w:bookmarkEnd w:id="11"/>
    </w:p>
    <w:p w14:paraId="6A16A83B" w14:textId="77777777" w:rsidR="00387AAC" w:rsidRDefault="00387AAC">
      <w:pPr>
        <w:rPr>
          <w:rFonts w:ascii="Palatino Linotype" w:eastAsia="Palatino Linotype" w:hAnsi="Palatino Linotype" w:cs="Palatino Linotype"/>
          <w:b/>
          <w:color w:val="000000"/>
        </w:rPr>
      </w:pPr>
    </w:p>
    <w:p w14:paraId="0240CDCF"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B2420AB" w14:textId="77777777" w:rsidR="00387AAC" w:rsidRDefault="00387AAC">
      <w:pPr>
        <w:rPr>
          <w:rFonts w:ascii="Palatino Linotype" w:eastAsia="Palatino Linotype" w:hAnsi="Palatino Linotype" w:cs="Palatino Linotype"/>
          <w:b/>
          <w:color w:val="000000"/>
        </w:rPr>
      </w:pPr>
    </w:p>
    <w:p w14:paraId="040608E2"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68F7884" w14:textId="77777777" w:rsidR="00387AAC" w:rsidRDefault="00387AAC">
      <w:pPr>
        <w:widowControl w:val="0"/>
        <w:rPr>
          <w:rFonts w:ascii="Palatino Linotype" w:eastAsia="Palatino Linotype" w:hAnsi="Palatino Linotype" w:cs="Palatino Linotype"/>
          <w:color w:val="000000"/>
        </w:rPr>
      </w:pPr>
    </w:p>
    <w:p w14:paraId="790F5A43"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la Ley de Transparencia y Acceso a la Información Pública del Estado de México y Municipios (Reglamentaria del artículo 5° de la Constitución Local), establece lo siguiente:</w:t>
      </w:r>
    </w:p>
    <w:p w14:paraId="5D06AE74" w14:textId="77777777" w:rsidR="00387AAC" w:rsidRDefault="00387AAC">
      <w:pPr>
        <w:widowControl w:val="0"/>
        <w:rPr>
          <w:rFonts w:ascii="Palatino Linotype" w:eastAsia="Palatino Linotype" w:hAnsi="Palatino Linotype" w:cs="Palatino Linotype"/>
          <w:color w:val="000000"/>
        </w:rPr>
      </w:pPr>
    </w:p>
    <w:p w14:paraId="645F8A8E"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12, que, quienes generen, recopilen, administren, manejen, procesen, archiven o </w:t>
      </w:r>
      <w:r>
        <w:rPr>
          <w:rFonts w:ascii="Palatino Linotype" w:eastAsia="Palatino Linotype" w:hAnsi="Palatino Linotype" w:cs="Palatino Linotype"/>
          <w:color w:val="000000"/>
        </w:rPr>
        <w:lastRenderedPageBreak/>
        <w:t>conserven información pública serán responsables de la misma.</w:t>
      </w:r>
    </w:p>
    <w:p w14:paraId="40535170" w14:textId="77777777" w:rsidR="00387AAC" w:rsidRDefault="00387AAC">
      <w:pPr>
        <w:widowControl w:val="0"/>
        <w:rPr>
          <w:rFonts w:ascii="Palatino Linotype" w:eastAsia="Palatino Linotype" w:hAnsi="Palatino Linotype" w:cs="Palatino Linotype"/>
          <w:color w:val="000000"/>
        </w:rPr>
      </w:pPr>
    </w:p>
    <w:p w14:paraId="57680616"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CBE5002" w14:textId="77777777" w:rsidR="00387AAC" w:rsidRDefault="00387AAC">
      <w:pPr>
        <w:widowControl w:val="0"/>
        <w:rPr>
          <w:rFonts w:ascii="Palatino Linotype" w:eastAsia="Palatino Linotype" w:hAnsi="Palatino Linotype" w:cs="Palatino Linotype"/>
          <w:color w:val="000000"/>
        </w:rPr>
      </w:pPr>
    </w:p>
    <w:p w14:paraId="3C104AA6"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80C87B0" w14:textId="77777777" w:rsidR="00387AAC" w:rsidRDefault="00387AAC">
      <w:pPr>
        <w:tabs>
          <w:tab w:val="left" w:pos="4962"/>
        </w:tabs>
        <w:rPr>
          <w:rFonts w:ascii="Palatino Linotype" w:eastAsia="Palatino Linotype" w:hAnsi="Palatino Linotype" w:cs="Palatino Linotype"/>
          <w:color w:val="ED0000"/>
        </w:rPr>
      </w:pPr>
    </w:p>
    <w:p w14:paraId="73BE4C6B"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12" w:name="_Toc196925097"/>
      <w:r>
        <w:rPr>
          <w:rFonts w:ascii="Palatino Linotype" w:eastAsia="Palatino Linotype" w:hAnsi="Palatino Linotype" w:cs="Palatino Linotype"/>
          <w:b/>
          <w:color w:val="000000"/>
          <w:sz w:val="22"/>
          <w:szCs w:val="22"/>
        </w:rPr>
        <w:t>QUINTO. Estudio de Fondo</w:t>
      </w:r>
      <w:bookmarkEnd w:id="12"/>
    </w:p>
    <w:p w14:paraId="66868AC6" w14:textId="77777777" w:rsidR="00387AAC" w:rsidRDefault="00387AAC">
      <w:pPr>
        <w:rPr>
          <w:rFonts w:ascii="Palatino Linotype" w:eastAsia="Palatino Linotype" w:hAnsi="Palatino Linotype" w:cs="Palatino Linotype"/>
          <w:b/>
          <w:color w:val="FF0000"/>
        </w:rPr>
      </w:pPr>
    </w:p>
    <w:p w14:paraId="5286A8F7"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Expuestas las posturas de las partes, se procede a realizar el análisis del agravio hecho valer por la ahora Recurrente, concerniente a la entrega de información incompleta por lo que, en principio es necesario contextualizar las solicitudes de información.</w:t>
      </w:r>
    </w:p>
    <w:p w14:paraId="130D002C" w14:textId="77777777" w:rsidR="00387AAC" w:rsidRDefault="00387AAC">
      <w:pPr>
        <w:tabs>
          <w:tab w:val="left" w:pos="4962"/>
        </w:tabs>
        <w:rPr>
          <w:rFonts w:ascii="Palatino Linotype" w:eastAsia="Palatino Linotype" w:hAnsi="Palatino Linotype" w:cs="Palatino Linotype"/>
        </w:rPr>
      </w:pPr>
    </w:p>
    <w:p w14:paraId="74CC55CC"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Al respecto, el artículo 5º, fracción X, de la Ley General para la Prevención y Gestión Integral de los Residuos, establece que la Gestión Integral de Residuos es el conjunto articulado e interrelacionado de acciones normativas, operativas y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w:t>
      </w:r>
    </w:p>
    <w:p w14:paraId="5E046DB1" w14:textId="77777777" w:rsidR="00387AAC" w:rsidRDefault="00387AAC">
      <w:pPr>
        <w:tabs>
          <w:tab w:val="left" w:pos="4962"/>
        </w:tabs>
        <w:rPr>
          <w:rFonts w:ascii="Palatino Linotype" w:eastAsia="Palatino Linotype" w:hAnsi="Palatino Linotype" w:cs="Palatino Linotype"/>
        </w:rPr>
      </w:pPr>
    </w:p>
    <w:p w14:paraId="6AF0FF6E"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lastRenderedPageBreak/>
        <w:t>Además, el artículo 26 de dicho ordenamiento, establece que las Entidades Federativas y Municipios, en coordinación con la Federación, deberán elaborar e instrumentar los programas locales para la prevención y gestión integral de los residuos, que deberán contener el diagnóstico básico, la política local, la definición de objetivos y metas</w:t>
      </w:r>
      <w:r>
        <w:t xml:space="preserve"> p</w:t>
      </w:r>
      <w:r>
        <w:rPr>
          <w:rFonts w:ascii="Palatino Linotype" w:eastAsia="Palatino Linotype" w:hAnsi="Palatino Linotype" w:cs="Palatino Linotype"/>
        </w:rPr>
        <w:t>ara la prevención de la generación y el mejoramiento de la gestión de los residuos, los medios de financiamiento, entre otros.</w:t>
      </w:r>
    </w:p>
    <w:p w14:paraId="3A8420E3" w14:textId="77777777" w:rsidR="00387AAC" w:rsidRDefault="00387AAC">
      <w:pPr>
        <w:tabs>
          <w:tab w:val="left" w:pos="4962"/>
        </w:tabs>
        <w:rPr>
          <w:rFonts w:ascii="Palatino Linotype" w:eastAsia="Palatino Linotype" w:hAnsi="Palatino Linotype" w:cs="Palatino Linotype"/>
        </w:rPr>
      </w:pPr>
    </w:p>
    <w:p w14:paraId="79EE7D1A"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Lo cual toma relevancia, pues conforme a lo establecido en la página oficial de la Secretaría de Medio Ambiente y Recursos Naturales (https://www.gob.mx/semarnat/acciones-y-programas/programa-para-la-prevencion-y-gestion-integral-de-residuos), el Programa para la Prevención y Gestión Integral de Residuos, busca fomentar el manejo y la gestión integral de</w:t>
      </w:r>
      <w:r>
        <w:t xml:space="preserve"> </w:t>
      </w:r>
      <w:r>
        <w:rPr>
          <w:rFonts w:ascii="Palatino Linotype" w:eastAsia="Palatino Linotype" w:hAnsi="Palatino Linotype" w:cs="Palatino Linotype"/>
        </w:rPr>
        <w:t>los residuos sólidos urbanos a través del financiamiento de estudios o programas de prevención y gestión integral y proyectos.</w:t>
      </w:r>
    </w:p>
    <w:p w14:paraId="4D424A14" w14:textId="77777777" w:rsidR="00387AAC" w:rsidRDefault="00387AAC">
      <w:pPr>
        <w:tabs>
          <w:tab w:val="left" w:pos="4962"/>
        </w:tabs>
        <w:rPr>
          <w:rFonts w:ascii="Palatino Linotype" w:eastAsia="Palatino Linotype" w:hAnsi="Palatino Linotype" w:cs="Palatino Linotype"/>
        </w:rPr>
      </w:pPr>
    </w:p>
    <w:p w14:paraId="0320B005"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En ese contexto, el artículo 4.5, fracciones V, VIII y IX del Código para la Biodiversidad del Estado de México, precisa lo siguiente:</w:t>
      </w:r>
    </w:p>
    <w:p w14:paraId="180D5FA0" w14:textId="77777777" w:rsidR="00387AAC" w:rsidRDefault="00387AAC">
      <w:pPr>
        <w:tabs>
          <w:tab w:val="left" w:pos="4962"/>
        </w:tabs>
        <w:rPr>
          <w:rFonts w:ascii="Palatino Linotype" w:eastAsia="Palatino Linotype" w:hAnsi="Palatino Linotype" w:cs="Palatino Linotype"/>
        </w:rPr>
      </w:pPr>
    </w:p>
    <w:p w14:paraId="541A2C42" w14:textId="77777777" w:rsidR="00387AAC" w:rsidRDefault="00D714A6">
      <w:pPr>
        <w:numPr>
          <w:ilvl w:val="0"/>
          <w:numId w:val="1"/>
        </w:numPr>
        <w:pBdr>
          <w:top w:val="nil"/>
          <w:left w:val="nil"/>
          <w:bottom w:val="nil"/>
          <w:right w:val="nil"/>
          <w:between w:val="nil"/>
        </w:pBdr>
        <w:tabs>
          <w:tab w:val="left" w:pos="4962"/>
        </w:tabs>
        <w:ind w:left="709"/>
        <w:rPr>
          <w:rFonts w:ascii="Palatino Linotype" w:eastAsia="Palatino Linotype" w:hAnsi="Palatino Linotype" w:cs="Palatino Linotype"/>
          <w:color w:val="000000"/>
        </w:rPr>
      </w:pPr>
      <w:r>
        <w:rPr>
          <w:rFonts w:ascii="Palatino Linotype" w:eastAsia="Palatino Linotype" w:hAnsi="Palatino Linotype" w:cs="Palatino Linotype"/>
          <w:b/>
          <w:color w:val="000000"/>
        </w:rPr>
        <w:t>Gestión:</w:t>
      </w:r>
      <w:r>
        <w:rPr>
          <w:rFonts w:ascii="Palatino Linotype" w:eastAsia="Palatino Linotype" w:hAnsi="Palatino Linotype" w:cs="Palatino Linotype"/>
          <w:color w:val="000000"/>
        </w:rPr>
        <w:t xml:space="preserve"> La recolección, el almacenamiento, el transporte, la valorización y la eliminación o disposición final de los residuos incluida la vigilancia de estas actividades, así como la vigilancia de los lugares de depósito o vertido después de su cierre. Se entiende por gestión integral al conjunto articulado e interrelacionado de acciones y normas operativas, financieras, de planeación, administrativas, sociales, educativas, de monitoreo, supervisión y evaluación para el manejo de los residuos desde su generación hasta su disposición final.</w:t>
      </w:r>
    </w:p>
    <w:p w14:paraId="0B20B420" w14:textId="77777777" w:rsidR="00387AAC" w:rsidRDefault="00387AAC">
      <w:pPr>
        <w:pBdr>
          <w:top w:val="nil"/>
          <w:left w:val="nil"/>
          <w:bottom w:val="nil"/>
          <w:right w:val="nil"/>
          <w:between w:val="nil"/>
        </w:pBdr>
        <w:tabs>
          <w:tab w:val="left" w:pos="4962"/>
        </w:tabs>
        <w:ind w:left="709"/>
        <w:rPr>
          <w:rFonts w:ascii="Palatino Linotype" w:eastAsia="Palatino Linotype" w:hAnsi="Palatino Linotype" w:cs="Palatino Linotype"/>
          <w:color w:val="000000"/>
        </w:rPr>
      </w:pPr>
    </w:p>
    <w:p w14:paraId="00AAE26E" w14:textId="77777777" w:rsidR="00387AAC" w:rsidRDefault="00D714A6">
      <w:pPr>
        <w:numPr>
          <w:ilvl w:val="0"/>
          <w:numId w:val="1"/>
        </w:numPr>
        <w:pBdr>
          <w:top w:val="nil"/>
          <w:left w:val="nil"/>
          <w:bottom w:val="nil"/>
          <w:right w:val="nil"/>
          <w:between w:val="nil"/>
        </w:pBdr>
        <w:tabs>
          <w:tab w:val="left" w:pos="4962"/>
        </w:tabs>
        <w:ind w:left="709"/>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Prevención:</w:t>
      </w:r>
      <w:r>
        <w:rPr>
          <w:rFonts w:ascii="Palatino Linotype" w:eastAsia="Palatino Linotype" w:hAnsi="Palatino Linotype" w:cs="Palatino Linotype"/>
          <w:color w:val="000000"/>
        </w:rPr>
        <w:t xml:space="preserve"> El conjunto de medidas destinadas a evitar la generación de residuos o a conseguir su reducción de la cantidad de sustancias peligrosas o contaminantes presentes en ellos.</w:t>
      </w:r>
    </w:p>
    <w:p w14:paraId="36BD4F48" w14:textId="77777777" w:rsidR="00387AAC" w:rsidRDefault="00387AAC">
      <w:pPr>
        <w:pBdr>
          <w:top w:val="nil"/>
          <w:left w:val="nil"/>
          <w:bottom w:val="nil"/>
          <w:right w:val="nil"/>
          <w:between w:val="nil"/>
        </w:pBdr>
        <w:ind w:left="720"/>
        <w:rPr>
          <w:rFonts w:ascii="Palatino Linotype" w:eastAsia="Palatino Linotype" w:hAnsi="Palatino Linotype" w:cs="Palatino Linotype"/>
          <w:color w:val="000000"/>
        </w:rPr>
      </w:pPr>
    </w:p>
    <w:p w14:paraId="17975547" w14:textId="77777777" w:rsidR="00387AAC" w:rsidRDefault="00D714A6">
      <w:pPr>
        <w:numPr>
          <w:ilvl w:val="0"/>
          <w:numId w:val="1"/>
        </w:numPr>
        <w:pBdr>
          <w:top w:val="nil"/>
          <w:left w:val="nil"/>
          <w:bottom w:val="nil"/>
          <w:right w:val="nil"/>
          <w:between w:val="nil"/>
        </w:pBdr>
        <w:tabs>
          <w:tab w:val="left" w:pos="4962"/>
        </w:tabs>
        <w:ind w:left="709"/>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Programa: </w:t>
      </w:r>
      <w:r>
        <w:rPr>
          <w:rFonts w:ascii="Palatino Linotype" w:eastAsia="Palatino Linotype" w:hAnsi="Palatino Linotype" w:cs="Palatino Linotype"/>
          <w:color w:val="000000"/>
        </w:rPr>
        <w:t>Programa de la Prevención y Gestión Integral de Residuos y de Manejo Especial del Estado de México.</w:t>
      </w:r>
    </w:p>
    <w:p w14:paraId="23AF34C0" w14:textId="77777777" w:rsidR="00387AAC" w:rsidRDefault="00387AAC">
      <w:pPr>
        <w:pBdr>
          <w:top w:val="nil"/>
          <w:left w:val="nil"/>
          <w:bottom w:val="nil"/>
          <w:right w:val="nil"/>
          <w:between w:val="nil"/>
        </w:pBdr>
        <w:ind w:left="720"/>
        <w:rPr>
          <w:rFonts w:ascii="Palatino Linotype" w:eastAsia="Palatino Linotype" w:hAnsi="Palatino Linotype" w:cs="Palatino Linotype"/>
          <w:color w:val="000000"/>
        </w:rPr>
      </w:pPr>
    </w:p>
    <w:p w14:paraId="138766D2"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En ese orden de ideas, conforme al artículo 4.11 del Código mencionado, la Secretaría del Medio Ambiente y Desarrollo Sostenible del Estado de México con la participación de las autoridades municipales competentes y de representantes de los distintos sectores sociales elaborará y desarrollará el Programa para la Prevención y Gestión Integral de Residuos Sólidos Urbanos y de Manejo Especial del Estado de México.</w:t>
      </w:r>
    </w:p>
    <w:p w14:paraId="4C803B30" w14:textId="77777777" w:rsidR="00387AAC" w:rsidRDefault="00387AAC">
      <w:pPr>
        <w:tabs>
          <w:tab w:val="left" w:pos="4962"/>
        </w:tabs>
        <w:ind w:left="4962" w:hanging="4962"/>
        <w:rPr>
          <w:rFonts w:ascii="Palatino Linotype" w:eastAsia="Palatino Linotype" w:hAnsi="Palatino Linotype" w:cs="Palatino Linotype"/>
          <w:color w:val="FF0000"/>
        </w:rPr>
      </w:pPr>
    </w:p>
    <w:p w14:paraId="6E6B836A" w14:textId="77777777" w:rsidR="00387AAC" w:rsidRDefault="00D714A6">
      <w:pPr>
        <w:ind w:right="-28"/>
        <w:rPr>
          <w:rFonts w:ascii="Palatino Linotype" w:eastAsia="Palatino Linotype" w:hAnsi="Palatino Linotype" w:cs="Palatino Linotype"/>
        </w:rPr>
      </w:pPr>
      <w:r>
        <w:rPr>
          <w:rFonts w:ascii="Palatino Linotype" w:eastAsia="Palatino Linotype" w:hAnsi="Palatino Linotype" w:cs="Palatino Linotype"/>
        </w:rPr>
        <w:t>Ahora bien, dentro del Código Reglamentario de Toluca en su artículo 6.54 la dirección de residuos en ejercicio de sus atribuciones, en concordancia con  la Dirección General de Medio Ambiente coadyuvará la Dirección General de Servicios Públicos en materia de gestión integral de residuos sólidos urbanos.</w:t>
      </w:r>
    </w:p>
    <w:p w14:paraId="2D9D77B0" w14:textId="77777777" w:rsidR="00387AAC" w:rsidRDefault="00387AAC">
      <w:pPr>
        <w:ind w:right="-28"/>
        <w:rPr>
          <w:rFonts w:ascii="Palatino Linotype" w:eastAsia="Palatino Linotype" w:hAnsi="Palatino Linotype" w:cs="Palatino Linotype"/>
        </w:rPr>
      </w:pPr>
    </w:p>
    <w:p w14:paraId="0D057049" w14:textId="77777777" w:rsidR="00387AAC" w:rsidRDefault="00D714A6">
      <w:pPr>
        <w:ind w:right="-28"/>
        <w:rPr>
          <w:rFonts w:ascii="Palatino Linotype" w:eastAsia="Palatino Linotype" w:hAnsi="Palatino Linotype" w:cs="Palatino Linotype"/>
        </w:rPr>
      </w:pPr>
      <w:r>
        <w:rPr>
          <w:rFonts w:ascii="Palatino Linotype" w:eastAsia="Palatino Linotype" w:hAnsi="Palatino Linotype" w:cs="Palatino Linotype"/>
        </w:rPr>
        <w:t>En esa misma consecución de ideas el gobierno municipal de Toluca implementa acciones en pro del medio ambiente, una de ellas #ClasificaTusResiduos encaminada a disminuir la cantidad de residuos generados que se envían al relleno sanitario, a través de la cultura del reciclaje, alternativa que permite reutilizar los recursos ya existentes en procesos productivos para fabricar nuevos productos.</w:t>
      </w:r>
    </w:p>
    <w:p w14:paraId="24B14FBA" w14:textId="77777777" w:rsidR="00387AAC" w:rsidRDefault="00387AAC">
      <w:pPr>
        <w:ind w:right="-28"/>
        <w:rPr>
          <w:rFonts w:ascii="Palatino Linotype" w:eastAsia="Palatino Linotype" w:hAnsi="Palatino Linotype" w:cs="Palatino Linotype"/>
        </w:rPr>
      </w:pPr>
    </w:p>
    <w:p w14:paraId="414C56AE" w14:textId="77777777" w:rsidR="00387AAC" w:rsidRDefault="00D714A6">
      <w:pPr>
        <w:ind w:right="-28"/>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su parte, dentro del Bando Municipal de </w:t>
      </w:r>
      <w:r>
        <w:rPr>
          <w:rFonts w:ascii="Palatino Linotype" w:eastAsia="Palatino Linotype" w:hAnsi="Palatino Linotype" w:cs="Palatino Linotype"/>
        </w:rPr>
        <w:tab/>
        <w:t>Toluca en su artículo 92 fracción VIII, el titular de la Dirección General de Servicios Públicos, será responsable de la planeación, coordinación y administración de los servicios públicos municipales, asegurando su prestación eficiente y con el menor impacto ambiental. Asimismo, supervisará el mantenimiento y expansión del sistema de alumbrado público, en coordinación con los diversos órdenes de gobierno, También, gestionará la conservación de parques, jardines y panteones, coordinando la poda y remoción de la vegetación urbana, así como el mantenimiento de la infraestructura municipal, garantizando la seguridad, bienestar colectivo y promoviendo la participación ciudadana. Además, dirigirá la recolección, transporte y disposición final de residuos sólidos urbanos, fomentando su separación y reutilización.</w:t>
      </w:r>
    </w:p>
    <w:p w14:paraId="28A62F53" w14:textId="77777777" w:rsidR="00387AAC" w:rsidRDefault="00387AAC">
      <w:pPr>
        <w:ind w:right="-28"/>
        <w:rPr>
          <w:rFonts w:ascii="Palatino Linotype" w:eastAsia="Palatino Linotype" w:hAnsi="Palatino Linotype" w:cs="Palatino Linotype"/>
        </w:rPr>
      </w:pPr>
    </w:p>
    <w:p w14:paraId="0A723C07" w14:textId="77777777" w:rsidR="00387AAC" w:rsidRDefault="00D714A6">
      <w:pPr>
        <w:ind w:right="-28"/>
        <w:rPr>
          <w:rFonts w:ascii="Palatino Linotype" w:eastAsia="Palatino Linotype" w:hAnsi="Palatino Linotype" w:cs="Palatino Linotype"/>
        </w:rPr>
      </w:pPr>
      <w:r>
        <w:rPr>
          <w:rFonts w:ascii="Palatino Linotype" w:eastAsia="Palatino Linotype" w:hAnsi="Palatino Linotype" w:cs="Palatino Linotype"/>
        </w:rPr>
        <w:t xml:space="preserve">Además, el artículo 45 del Bando mencionado, también refiere que el gobierno municipal, en colaboración con la comunidad, organizaciones civiles, instituciones académicas y el sector productivo, diseñará, implementará y difundirá recomendaciones de cuidado ambiental, promoviendo la corresponsabilidad y la participación ciudadana en acciones de mitigación, adaptación al cambio climático y protección de la biodiversidad. </w:t>
      </w:r>
    </w:p>
    <w:p w14:paraId="5B7586D9" w14:textId="77777777" w:rsidR="00387AAC" w:rsidRDefault="00387AAC">
      <w:pPr>
        <w:ind w:right="-28"/>
        <w:rPr>
          <w:rFonts w:ascii="Palatino Linotype" w:eastAsia="Palatino Linotype" w:hAnsi="Palatino Linotype" w:cs="Palatino Linotype"/>
        </w:rPr>
      </w:pPr>
    </w:p>
    <w:p w14:paraId="46C31669" w14:textId="77777777" w:rsidR="00387AAC" w:rsidRDefault="00D714A6">
      <w:pPr>
        <w:ind w:right="-28"/>
        <w:rPr>
          <w:rFonts w:ascii="Palatino Linotype" w:eastAsia="Palatino Linotype" w:hAnsi="Palatino Linotype" w:cs="Palatino Linotype"/>
        </w:rPr>
      </w:pPr>
      <w:r>
        <w:rPr>
          <w:rFonts w:ascii="Palatino Linotype" w:eastAsia="Palatino Linotype" w:hAnsi="Palatino Linotype" w:cs="Palatino Linotype"/>
        </w:rPr>
        <w:t>Por lo que, podrá establecer y participar en planes de manejo para minimizar la generación y maximizar la valoración de residuos sólidos urbanos, residuos de manejo especial y residuos peligrosos, bajo criterios de eficiencia ambiental, tecnológica, económica y social. Estas iniciativas se basarán en evidencia científica, buscarán el bienestar común y respetarán la dignidad de todas las formas de vida, impulsando una cultura de sostenibilidad y respeto al entorno natural.</w:t>
      </w:r>
    </w:p>
    <w:p w14:paraId="453FA358" w14:textId="77777777" w:rsidR="00387AAC" w:rsidRDefault="00387AAC">
      <w:pPr>
        <w:ind w:right="-28"/>
        <w:rPr>
          <w:rFonts w:ascii="Palatino Linotype" w:eastAsia="Palatino Linotype" w:hAnsi="Palatino Linotype" w:cs="Palatino Linotype"/>
        </w:rPr>
      </w:pPr>
    </w:p>
    <w:p w14:paraId="356A41B5"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rPr>
        <w:lastRenderedPageBreak/>
        <w:t>Conforme a lo anterior, se logra vislumbrar que la pretensión del Recurrente, es obtener el Programa para la Prevención y Gestión Integral de Residuos utilizado por el Ayuntamiento, al dieciocho de febrero de dos mil veinticinco.</w:t>
      </w:r>
    </w:p>
    <w:p w14:paraId="48679552" w14:textId="77777777" w:rsidR="00387AAC" w:rsidRDefault="00387AAC">
      <w:pPr>
        <w:widowControl w:val="0"/>
        <w:rPr>
          <w:rFonts w:ascii="Palatino Linotype" w:eastAsia="Palatino Linotype" w:hAnsi="Palatino Linotype" w:cs="Palatino Linotype"/>
          <w:color w:val="FF0000"/>
        </w:rPr>
      </w:pPr>
    </w:p>
    <w:p w14:paraId="48D83917"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rPr>
        <w:t xml:space="preserve">Establecida dicha circunstancia, es necesario precisar que de las constancias que obran en el expediente se logra vislumbrar que el Sujeto Obligado turno la solicitud de información a la </w:t>
      </w:r>
    </w:p>
    <w:p w14:paraId="2A12FA14"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rPr>
        <w:t xml:space="preserve">Dirección General de Servicios Públicos, por lo que, es necesario hacer referencia al </w:t>
      </w:r>
      <w:r>
        <w:rPr>
          <w:rFonts w:ascii="Palatino Linotype" w:eastAsia="Palatino Linotype" w:hAnsi="Palatino Linotype" w:cs="Palatino Linotype"/>
          <w:b/>
        </w:rPr>
        <w:t>procedimiento de búsqueda que deben de seguir los Sujetos Obligados para localizar la información,</w:t>
      </w:r>
      <w:r>
        <w:rPr>
          <w:rFonts w:ascii="Palatino Linotype" w:eastAsia="Palatino Linotype" w:hAnsi="Palatino Linotype" w:cs="Palatino Linotype"/>
        </w:rPr>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las facultades, competencias y funciones-, con</w:t>
      </w:r>
      <w:r>
        <w:t xml:space="preserve"> </w:t>
      </w:r>
      <w:r>
        <w:rPr>
          <w:rFonts w:ascii="Palatino Linotype" w:eastAsia="Palatino Linotype" w:hAnsi="Palatino Linotype" w:cs="Palatino Linotype"/>
        </w:rPr>
        <w:t>el objeto de que dichas áreas realicen una búsqueda exhaustiva y razonable de la información requerida.</w:t>
      </w:r>
    </w:p>
    <w:p w14:paraId="3510991F" w14:textId="77777777" w:rsidR="00387AAC" w:rsidRDefault="00387AAC">
      <w:pPr>
        <w:rPr>
          <w:rFonts w:ascii="Palatino Linotype" w:eastAsia="Palatino Linotype" w:hAnsi="Palatino Linotype" w:cs="Palatino Linotype"/>
          <w:b/>
        </w:rPr>
      </w:pPr>
    </w:p>
    <w:p w14:paraId="58CF1B84"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Conforme a lo analizado, se logra colegir que el Sujeto Obligado cumplió con el procedimiento de búsqueda previamente referido, toda vez que turnó la solicitud al área competente, ya que ve las cuestiones relacionadas con los residuos sólidos, al tener a su cargo el servicio público de recolección y limpia.</w:t>
      </w:r>
    </w:p>
    <w:p w14:paraId="1C5F8E51" w14:textId="77777777" w:rsidR="00387AAC" w:rsidRDefault="00387AAC">
      <w:pPr>
        <w:rPr>
          <w:rFonts w:ascii="Palatino Linotype" w:eastAsia="Palatino Linotype" w:hAnsi="Palatino Linotype" w:cs="Palatino Linotype"/>
          <w:b/>
        </w:rPr>
      </w:pPr>
    </w:p>
    <w:p w14:paraId="18E37A77"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Ahora bien, tanto en respuesta, como Informe Justificado, la Dirección General de Servicios Públicos, señaló que no contaban con un programa propio, por lo que se regía con el publicado en la gaceta de gobierno, el diez de marzo de dos mil nueve, es decir, señaló que dicho documento era el que daba cuenta de lo peticionado.</w:t>
      </w:r>
    </w:p>
    <w:p w14:paraId="69DDF42E" w14:textId="77777777" w:rsidR="00387AAC" w:rsidRDefault="00387AAC">
      <w:pPr>
        <w:rPr>
          <w:rFonts w:ascii="Palatino Linotype" w:eastAsia="Palatino Linotype" w:hAnsi="Palatino Linotype" w:cs="Palatino Linotype"/>
          <w:b/>
        </w:rPr>
      </w:pPr>
    </w:p>
    <w:p w14:paraId="02ED7776"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lastRenderedPageBreak/>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B0C88CF" w14:textId="77777777" w:rsidR="00387AAC" w:rsidRDefault="00387AAC">
      <w:pPr>
        <w:rPr>
          <w:rFonts w:ascii="Palatino Linotype" w:eastAsia="Palatino Linotype" w:hAnsi="Palatino Linotype" w:cs="Palatino Linotype"/>
        </w:rPr>
      </w:pPr>
    </w:p>
    <w:p w14:paraId="5AE96E14"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4830D001" w14:textId="77777777" w:rsidR="00387AAC" w:rsidRDefault="00387AAC">
      <w:pPr>
        <w:rPr>
          <w:rFonts w:ascii="Palatino Linotype" w:eastAsia="Palatino Linotype" w:hAnsi="Palatino Linotype" w:cs="Palatino Linotype"/>
          <w:b/>
        </w:rPr>
      </w:pPr>
    </w:p>
    <w:p w14:paraId="13A88EEE"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se considera que el documento que da cuenta de lo peticionado es el programa publicado en el dos mil nueve, al ser el que utiliza el Ayuntamiento.</w:t>
      </w:r>
    </w:p>
    <w:p w14:paraId="44800EC3" w14:textId="77777777" w:rsidR="00387AAC" w:rsidRDefault="00387AAC">
      <w:pPr>
        <w:rPr>
          <w:rFonts w:ascii="Palatino Linotype" w:eastAsia="Palatino Linotype" w:hAnsi="Palatino Linotype" w:cs="Palatino Linotype"/>
          <w:b/>
        </w:rPr>
      </w:pPr>
    </w:p>
    <w:p w14:paraId="7FC3218F" w14:textId="77777777" w:rsidR="00387AAC" w:rsidRDefault="00D714A6">
      <w:pPr>
        <w:rPr>
          <w:rFonts w:ascii="Palatino Linotype" w:eastAsia="Palatino Linotype" w:hAnsi="Palatino Linotype" w:cs="Palatino Linotype"/>
          <w:color w:val="222222"/>
        </w:rPr>
      </w:pPr>
      <w:r>
        <w:rPr>
          <w:rFonts w:ascii="Palatino Linotype" w:eastAsia="Palatino Linotype" w:hAnsi="Palatino Linotype" w:cs="Palatino Linotype"/>
        </w:rPr>
        <w:t xml:space="preserve">Ahora bien, dicha área proporcionó un vínculo electrónico, donde señaló que se localizaba el Programa para la Prevención y Gestión Integral de Residuos Sólidos, sin embargo, </w:t>
      </w:r>
      <w:r>
        <w:rPr>
          <w:rFonts w:ascii="Palatino Linotype" w:eastAsia="Palatino Linotype" w:hAnsi="Palatino Linotype" w:cs="Palatino Linotype"/>
          <w:color w:val="222222"/>
        </w:rPr>
        <w:t xml:space="preserve">se logra vislumbrar que se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w:t>
      </w:r>
      <w:r>
        <w:rPr>
          <w:rFonts w:ascii="Palatino Linotype" w:eastAsia="Palatino Linotype" w:hAnsi="Palatino Linotype" w:cs="Palatino Linotype"/>
          <w:color w:val="222222"/>
        </w:rPr>
        <w:lastRenderedPageBreak/>
        <w:t>garantizar su interoperabilidad, lo cual se traduce al hecho a que la información contenga datos en formatos y estándares abiertos para su reproducción y reutilización electrónica de manera libre y sin ninguna restricción.</w:t>
      </w:r>
    </w:p>
    <w:p w14:paraId="7BEB592A"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222222"/>
        </w:rPr>
        <w:t> </w:t>
      </w:r>
    </w:p>
    <w:p w14:paraId="0EC8A7F5"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42E013AE" w14:textId="77777777" w:rsidR="00387AAC" w:rsidRDefault="00387AAC">
      <w:pPr>
        <w:widowControl w:val="0"/>
        <w:rPr>
          <w:rFonts w:ascii="Palatino Linotype" w:eastAsia="Palatino Linotype" w:hAnsi="Palatino Linotype" w:cs="Palatino Linotype"/>
          <w:color w:val="000000"/>
        </w:rPr>
      </w:pPr>
    </w:p>
    <w:p w14:paraId="295FE476"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ECC4C12"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14:paraId="5E8F3A22" w14:textId="77777777" w:rsidR="00387AAC" w:rsidRDefault="00D714A6">
      <w:pPr>
        <w:widowControl w:val="0"/>
        <w:numPr>
          <w:ilvl w:val="0"/>
          <w:numId w:val="2"/>
        </w:num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Dato abierto:</w:t>
      </w:r>
      <w:r>
        <w:rPr>
          <w:rFonts w:ascii="Palatino Linotype" w:eastAsia="Palatino Linotype" w:hAnsi="Palatino Linotype" w:cs="Palatino Linotype"/>
          <w:color w:val="000000"/>
        </w:rPr>
        <w:t> Datos digitales de carácter público que son accesibles en línea que pueden ser usados, reutilizados y redistribuidos por cualquier persona, mismos que se conforman de diversas características, entre las cuales se encuentra que se encuentren en formatos abiertos. </w:t>
      </w:r>
    </w:p>
    <w:p w14:paraId="37B62443" w14:textId="77777777" w:rsidR="00387AAC" w:rsidRDefault="00387AAC">
      <w:pPr>
        <w:widowControl w:val="0"/>
        <w:ind w:left="720"/>
        <w:rPr>
          <w:rFonts w:ascii="Palatino Linotype" w:eastAsia="Palatino Linotype" w:hAnsi="Palatino Linotype" w:cs="Palatino Linotype"/>
          <w:color w:val="000000"/>
        </w:rPr>
      </w:pPr>
    </w:p>
    <w:p w14:paraId="6199E61F" w14:textId="77777777" w:rsidR="00387AAC" w:rsidRDefault="00D714A6">
      <w:pPr>
        <w:widowControl w:val="0"/>
        <w:numPr>
          <w:ilvl w:val="0"/>
          <w:numId w:val="2"/>
        </w:num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Formato accesible:</w:t>
      </w:r>
      <w:r>
        <w:rPr>
          <w:rFonts w:ascii="Palatino Linotype" w:eastAsia="Palatino Linotype" w:hAnsi="Palatino Linotype" w:cs="Palatino Linotype"/>
          <w:color w:val="000000"/>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81E0D8C" w14:textId="77777777" w:rsidR="00387AAC" w:rsidRDefault="00D714A6">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14:paraId="63FAAF57"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 lo cual no aconteció, pues si bien señaló que en dicho vinculo se localizaba lo peticionado, no lo entregó en un formato accesible para el Solicitante, por lo cual se incumplió con el artículo 161 de la Ley de Transparencia y Acceso a la Información Pública del Estado de México y Municipios, por lo que, se considera que el agravio e</w:t>
      </w:r>
      <w:r>
        <w:rPr>
          <w:rFonts w:ascii="Palatino Linotype" w:eastAsia="Palatino Linotype" w:hAnsi="Palatino Linotype" w:cs="Palatino Linotype"/>
        </w:rPr>
        <w:t xml:space="preserve">s </w:t>
      </w:r>
      <w:r>
        <w:rPr>
          <w:rFonts w:ascii="Palatino Linotype" w:eastAsia="Palatino Linotype" w:hAnsi="Palatino Linotype" w:cs="Palatino Linotype"/>
          <w:b/>
        </w:rPr>
        <w:t>FUNDADO.</w:t>
      </w:r>
    </w:p>
    <w:p w14:paraId="232583A2" w14:textId="77777777" w:rsidR="00387AAC" w:rsidRDefault="00387AAC">
      <w:pPr>
        <w:rPr>
          <w:rFonts w:ascii="Palatino Linotype" w:eastAsia="Palatino Linotype" w:hAnsi="Palatino Linotype" w:cs="Palatino Linotype"/>
        </w:rPr>
      </w:pPr>
    </w:p>
    <w:p w14:paraId="7137AE52"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Sin menoscabar, lo anterior este Instituto realizó la búsqueda de la Gaceta mencionada por el Ayuntamiento y localizó que el documento que da cuenta de lo peticionado, es el Programa para la Prevención y Gestión Integral de Residuos Sólidos Urbanos y de Manejo Especial del Estado de México, publicado el diez de marzo de dos mil nueve, por lo que, deberá entregarlo para dar cumplimiento al artículo 12 y 160 de la Ley de la materia; además que deberá entregar de manera íntegra, pues de su revisión no contiene ningún dato clasificable.</w:t>
      </w:r>
    </w:p>
    <w:p w14:paraId="00278325" w14:textId="77777777" w:rsidR="00387AAC" w:rsidRDefault="00387AAC">
      <w:pPr>
        <w:rPr>
          <w:rFonts w:ascii="Palatino Linotype" w:eastAsia="Palatino Linotype" w:hAnsi="Palatino Linotype" w:cs="Palatino Linotype"/>
          <w:b/>
        </w:rPr>
      </w:pPr>
    </w:p>
    <w:p w14:paraId="06DEBF98" w14:textId="77777777" w:rsidR="00387AAC" w:rsidRDefault="00D714A6">
      <w:pPr>
        <w:pStyle w:val="Ttulo2"/>
        <w:spacing w:before="0"/>
        <w:rPr>
          <w:rFonts w:ascii="Palatino Linotype" w:eastAsia="Palatino Linotype" w:hAnsi="Palatino Linotype" w:cs="Palatino Linotype"/>
          <w:b/>
          <w:color w:val="000000"/>
          <w:sz w:val="22"/>
          <w:szCs w:val="22"/>
        </w:rPr>
      </w:pPr>
      <w:bookmarkStart w:id="13" w:name="_Toc196925098"/>
      <w:r>
        <w:rPr>
          <w:rFonts w:ascii="Palatino Linotype" w:eastAsia="Palatino Linotype" w:hAnsi="Palatino Linotype" w:cs="Palatino Linotype"/>
          <w:b/>
          <w:color w:val="000000"/>
          <w:sz w:val="22"/>
          <w:szCs w:val="22"/>
        </w:rPr>
        <w:t>SEXTO. Decisión</w:t>
      </w:r>
      <w:bookmarkEnd w:id="13"/>
    </w:p>
    <w:p w14:paraId="2A68D096" w14:textId="77777777" w:rsidR="00387AAC" w:rsidRDefault="00387AAC">
      <w:pPr>
        <w:rPr>
          <w:rFonts w:ascii="Palatino Linotype" w:eastAsia="Palatino Linotype" w:hAnsi="Palatino Linotype" w:cs="Palatino Linotype"/>
          <w:b/>
          <w:sz w:val="20"/>
          <w:szCs w:val="20"/>
        </w:rPr>
      </w:pPr>
    </w:p>
    <w:p w14:paraId="1216CC59" w14:textId="77777777" w:rsidR="00387AAC" w:rsidRDefault="00D714A6">
      <w:pPr>
        <w:tabs>
          <w:tab w:val="left" w:pos="4962"/>
        </w:tabs>
        <w:rPr>
          <w:rFonts w:ascii="Palatino Linotype" w:eastAsia="Palatino Linotype" w:hAnsi="Palatino Linotype" w:cs="Palatino Linotype"/>
        </w:rPr>
      </w:pPr>
      <w:r>
        <w:rPr>
          <w:rFonts w:ascii="Palatino Linotype" w:eastAsia="Palatino Linotype" w:hAnsi="Palatino Linotype" w:cs="Palatino Linotype"/>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otorgada a la solicitud de información 00970/TOLUCA/IP/2025,   a efecto de que, proporcione los documentos precisados en respuesta. </w:t>
      </w:r>
    </w:p>
    <w:p w14:paraId="0FAA2FF7" w14:textId="77777777" w:rsidR="00387AAC" w:rsidRDefault="00387AAC">
      <w:pPr>
        <w:tabs>
          <w:tab w:val="left" w:pos="4962"/>
        </w:tabs>
        <w:rPr>
          <w:rFonts w:ascii="Palatino Linotype" w:eastAsia="Palatino Linotype" w:hAnsi="Palatino Linotype" w:cs="Palatino Linotype"/>
          <w:b/>
        </w:rPr>
      </w:pPr>
    </w:p>
    <w:p w14:paraId="0EFEC65A" w14:textId="77777777" w:rsidR="00387AAC" w:rsidRDefault="00D714A6">
      <w:pPr>
        <w:rPr>
          <w:rFonts w:ascii="Palatino Linotype" w:eastAsia="Palatino Linotype" w:hAnsi="Palatino Linotype" w:cs="Palatino Linotype"/>
          <w:b/>
        </w:rPr>
      </w:pPr>
      <w:r>
        <w:rPr>
          <w:rFonts w:ascii="Palatino Linotype" w:eastAsia="Palatino Linotype" w:hAnsi="Palatino Linotype" w:cs="Palatino Linotype"/>
          <w:b/>
        </w:rPr>
        <w:t>Términos de la Resolución para conocimiento del Particular</w:t>
      </w:r>
    </w:p>
    <w:p w14:paraId="5F0C1B96" w14:textId="77777777" w:rsidR="00387AAC" w:rsidRDefault="00387AAC">
      <w:pPr>
        <w:rPr>
          <w:rFonts w:ascii="Palatino Linotype" w:eastAsia="Palatino Linotype" w:hAnsi="Palatino Linotype" w:cs="Palatino Linotype"/>
          <w:b/>
        </w:rPr>
      </w:pPr>
    </w:p>
    <w:p w14:paraId="6E8B241E" w14:textId="77777777" w:rsidR="00387AAC" w:rsidRDefault="00D714A6">
      <w:pPr>
        <w:rPr>
          <w:rFonts w:ascii="Palatino Linotype" w:eastAsia="Palatino Linotype" w:hAnsi="Palatino Linotype" w:cs="Palatino Linotype"/>
        </w:rPr>
      </w:pPr>
      <w:bookmarkStart w:id="14" w:name="_heading=h.1fob9te" w:colFirst="0" w:colLast="0"/>
      <w:bookmarkEnd w:id="14"/>
      <w:r>
        <w:rPr>
          <w:rFonts w:ascii="Palatino Linotype" w:eastAsia="Palatino Linotype" w:hAnsi="Palatino Linotype" w:cs="Palatino Linotype"/>
        </w:rPr>
        <w:t>Se le hace del conocimiento al ahora Recurrente que, en el presente asunto, se le concede la razón, pues si bien el Sujeto Obligado desde respuesta, proporciono documentos que dan cuenta de lo solicitado lo hizo de manera incompleta, por lo que, deberá entregar el Programa para la Prevención y Gestión Integral de Residuos Sólidos referido en respuesta.</w:t>
      </w:r>
    </w:p>
    <w:p w14:paraId="6AF57427" w14:textId="77777777" w:rsidR="00387AAC" w:rsidRDefault="00387AAC">
      <w:pPr>
        <w:rPr>
          <w:rFonts w:ascii="Palatino Linotype" w:eastAsia="Palatino Linotype" w:hAnsi="Palatino Linotype" w:cs="Palatino Linotype"/>
        </w:rPr>
      </w:pPr>
    </w:p>
    <w:p w14:paraId="6575F3AD"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79122942" w14:textId="77777777" w:rsidR="00387AAC" w:rsidRDefault="00387AAC">
      <w:pPr>
        <w:rPr>
          <w:rFonts w:ascii="Palatino Linotype" w:eastAsia="Palatino Linotype" w:hAnsi="Palatino Linotype" w:cs="Palatino Linotype"/>
        </w:rPr>
      </w:pPr>
    </w:p>
    <w:p w14:paraId="48C5BB04"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rPr>
        <w:t>Por lo expuesto y fundado, este Pleno:</w:t>
      </w:r>
    </w:p>
    <w:p w14:paraId="64A473F9" w14:textId="77777777" w:rsidR="00387AAC" w:rsidRDefault="00387AAC">
      <w:pPr>
        <w:rPr>
          <w:rFonts w:ascii="Palatino Linotype" w:eastAsia="Palatino Linotype" w:hAnsi="Palatino Linotype" w:cs="Palatino Linotype"/>
          <w:b/>
        </w:rPr>
      </w:pPr>
    </w:p>
    <w:p w14:paraId="14020A66" w14:textId="77777777" w:rsidR="00387AAC" w:rsidRDefault="00D714A6">
      <w:pPr>
        <w:pStyle w:val="Ttulo1"/>
        <w:spacing w:before="0"/>
        <w:jc w:val="center"/>
        <w:rPr>
          <w:rFonts w:ascii="Palatino Linotype" w:eastAsia="Palatino Linotype" w:hAnsi="Palatino Linotype" w:cs="Palatino Linotype"/>
          <w:b/>
          <w:color w:val="000000"/>
          <w:sz w:val="22"/>
          <w:szCs w:val="22"/>
        </w:rPr>
      </w:pPr>
      <w:bookmarkStart w:id="15" w:name="_Toc196925099"/>
      <w:r>
        <w:rPr>
          <w:rFonts w:ascii="Palatino Linotype" w:eastAsia="Palatino Linotype" w:hAnsi="Palatino Linotype" w:cs="Palatino Linotype"/>
          <w:b/>
          <w:color w:val="000000"/>
          <w:sz w:val="22"/>
          <w:szCs w:val="22"/>
        </w:rPr>
        <w:t>R E S U E L V E</w:t>
      </w:r>
      <w:bookmarkEnd w:id="15"/>
    </w:p>
    <w:p w14:paraId="2D55B6F5" w14:textId="77777777" w:rsidR="00387AAC" w:rsidRDefault="00387AAC">
      <w:pPr>
        <w:ind w:right="-28"/>
        <w:rPr>
          <w:rFonts w:ascii="Palatino Linotype" w:eastAsia="Palatino Linotype" w:hAnsi="Palatino Linotype" w:cs="Palatino Linotype"/>
          <w:b/>
        </w:rPr>
      </w:pPr>
    </w:p>
    <w:p w14:paraId="4C58AEEB" w14:textId="77777777" w:rsidR="00387AAC" w:rsidRDefault="00D714A6">
      <w:pPr>
        <w:widowControl w:val="0"/>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la</w:t>
      </w:r>
      <w:r>
        <w:rPr>
          <w:rFonts w:ascii="Palatino Linotype" w:eastAsia="Palatino Linotype" w:hAnsi="Palatino Linotype" w:cs="Palatino Linotype"/>
          <w:b/>
        </w:rPr>
        <w:t xml:space="preserve"> </w:t>
      </w:r>
      <w:r>
        <w:rPr>
          <w:rFonts w:ascii="Palatino Linotype" w:eastAsia="Palatino Linotype" w:hAnsi="Palatino Linotype" w:cs="Palatino Linotype"/>
        </w:rPr>
        <w:t>respuesta entregada por el Ayuntamiento de Toluca a la solicitud de información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00970/TOLUCA/IP/2025, por resultar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el Recurrente en términos de los considerandos QUINTO Y SEXTO de la presente Resolución.</w:t>
      </w:r>
    </w:p>
    <w:p w14:paraId="013B4604" w14:textId="77777777" w:rsidR="00387AAC" w:rsidRDefault="00387AAC">
      <w:pPr>
        <w:widowControl w:val="0"/>
        <w:rPr>
          <w:rFonts w:ascii="Palatino Linotype" w:eastAsia="Palatino Linotype" w:hAnsi="Palatino Linotype" w:cs="Palatino Linotype"/>
          <w:color w:val="FF0000"/>
        </w:rPr>
      </w:pPr>
    </w:p>
    <w:p w14:paraId="59F9B65B" w14:textId="77777777" w:rsidR="00387AAC" w:rsidRDefault="00D714A6">
      <w:pPr>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Ente Recurrido</w:t>
      </w:r>
      <w:r>
        <w:rPr>
          <w:rFonts w:ascii="Palatino Linotype" w:eastAsia="Palatino Linotype" w:hAnsi="Palatino Linotype" w:cs="Palatino Linotype"/>
          <w:b/>
        </w:rPr>
        <w:t xml:space="preserve">, </w:t>
      </w:r>
      <w:r>
        <w:rPr>
          <w:rFonts w:ascii="Palatino Linotype" w:eastAsia="Palatino Linotype" w:hAnsi="Palatino Linotype" w:cs="Palatino Linotype"/>
        </w:rPr>
        <w:t>a efecto de que entregue a través del Sistema de Acceso a la Información Mexiquense (SAIMEX), lo siguiente:</w:t>
      </w:r>
    </w:p>
    <w:p w14:paraId="5BD5B605" w14:textId="77777777" w:rsidR="00387AAC" w:rsidRDefault="00387AAC">
      <w:pPr>
        <w:rPr>
          <w:rFonts w:ascii="Palatino Linotype" w:eastAsia="Palatino Linotype" w:hAnsi="Palatino Linotype" w:cs="Palatino Linotype"/>
        </w:rPr>
      </w:pPr>
    </w:p>
    <w:p w14:paraId="30B4D7E0" w14:textId="77777777" w:rsidR="00387AAC" w:rsidRDefault="00D714A6">
      <w:pPr>
        <w:numPr>
          <w:ilvl w:val="0"/>
          <w:numId w:val="1"/>
        </w:numPr>
        <w:pBdr>
          <w:top w:val="nil"/>
          <w:left w:val="nil"/>
          <w:bottom w:val="nil"/>
          <w:right w:val="nil"/>
          <w:between w:val="nil"/>
        </w:pBdr>
        <w:ind w:left="851"/>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Programa para la Prevención y Gestión Integral de Residuos Sólidos Urbanos y de Manejo Especial del Estado de México, publicado el diez de marzo de dos mil nueve.</w:t>
      </w:r>
    </w:p>
    <w:p w14:paraId="24CA8218" w14:textId="77777777" w:rsidR="00387AAC" w:rsidRDefault="00387AAC">
      <w:pPr>
        <w:rPr>
          <w:rFonts w:ascii="Palatino Linotype" w:eastAsia="Palatino Linotype" w:hAnsi="Palatino Linotype" w:cs="Palatino Linotype"/>
        </w:rPr>
      </w:pPr>
    </w:p>
    <w:p w14:paraId="07EDA4C5" w14:textId="77777777" w:rsidR="00387AAC" w:rsidRDefault="00D714A6">
      <w:pPr>
        <w:ind w:right="-28"/>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TERCERO. NOTIFÍQUESE POR SAIMEX </w:t>
      </w:r>
      <w:r>
        <w:rPr>
          <w:rFonts w:ascii="Palatino Linotype" w:eastAsia="Palatino Linotype" w:hAnsi="Palatino Linotype" w:cs="Palatino Linotype"/>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2D6C912" w14:textId="77777777" w:rsidR="00387AAC" w:rsidRDefault="00387AAC">
      <w:pPr>
        <w:ind w:right="-28"/>
        <w:rPr>
          <w:rFonts w:ascii="Palatino Linotype" w:eastAsia="Palatino Linotype" w:hAnsi="Palatino Linotype" w:cs="Palatino Linotype"/>
          <w:color w:val="000000"/>
        </w:rPr>
      </w:pPr>
    </w:p>
    <w:p w14:paraId="44EC9786"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el artículo 198 de la Ley de la materia, de considerarlo procedente, el Sujeto Obligado de manera fundada y motivada, podrá solicitar una ampliación de plazo para el cumplimiento de la presente resolución.</w:t>
      </w:r>
    </w:p>
    <w:p w14:paraId="437DBD4E" w14:textId="77777777" w:rsidR="00387AAC" w:rsidRDefault="00387AAC">
      <w:pPr>
        <w:rPr>
          <w:rFonts w:ascii="Palatino Linotype" w:eastAsia="Palatino Linotype" w:hAnsi="Palatino Linotype" w:cs="Palatino Linotype"/>
          <w:color w:val="000000"/>
        </w:rPr>
      </w:pPr>
    </w:p>
    <w:p w14:paraId="49D43A11"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 NOTIFÍQUESE POR SAIMEX</w:t>
      </w:r>
      <w:r>
        <w:rPr>
          <w:rFonts w:ascii="Palatino Linotype" w:eastAsia="Palatino Linotype" w:hAnsi="Palatino Linotype" w:cs="Palatino Linotype"/>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DC48B1E" w14:textId="77777777" w:rsidR="00387AAC" w:rsidRDefault="00387AAC">
      <w:pPr>
        <w:ind w:right="-93"/>
        <w:rPr>
          <w:rFonts w:ascii="Palatino Linotype" w:eastAsia="Palatino Linotype" w:hAnsi="Palatino Linotype" w:cs="Palatino Linotype"/>
          <w:color w:val="0D0D0D"/>
        </w:rPr>
      </w:pPr>
    </w:p>
    <w:p w14:paraId="281A0226"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ASÍ LO RESUELVE, POR </w:t>
      </w:r>
      <w:r>
        <w:rPr>
          <w:rFonts w:ascii="Palatino Linotype" w:eastAsia="Palatino Linotype" w:hAnsi="Palatino Linotype" w:cs="Palatino Linotype"/>
          <w:b/>
          <w:color w:val="000000"/>
        </w:rPr>
        <w:t>UNANIMIDAD</w:t>
      </w:r>
      <w:r>
        <w:rPr>
          <w:rFonts w:ascii="Palatino Linotype" w:eastAsia="Palatino Linotype" w:hAnsi="Palatino Linotype" w:cs="Palatino Linotype"/>
          <w:color w:val="000000"/>
        </w:rPr>
        <w:t xml:space="preserve"> DE VOTOS EL PLENO DEL INSTITUTO DE TRANSPARENCIA, ACCESO A LA INFORMACIÓN PÚBLICA Y PROTECCIÓN DE DATOS PERSONALES DEL ESTADO DE MÉXICO Y MUNICIPIOS, CONFORMADO POR</w:t>
      </w:r>
    </w:p>
    <w:p w14:paraId="08D13636" w14:textId="77777777" w:rsidR="00387AAC" w:rsidRDefault="00D714A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5D197741" w14:textId="77777777" w:rsidR="00387AAC" w:rsidRDefault="00387AAC">
      <w:pPr>
        <w:rPr>
          <w:rFonts w:ascii="Palatino Linotype" w:eastAsia="Palatino Linotype" w:hAnsi="Palatino Linotype" w:cs="Palatino Linotype"/>
          <w:color w:val="FF0000"/>
          <w:sz w:val="20"/>
          <w:szCs w:val="20"/>
        </w:rPr>
      </w:pPr>
    </w:p>
    <w:p w14:paraId="3500D6F3" w14:textId="77777777" w:rsidR="00387AAC" w:rsidRDefault="00387AAC">
      <w:pPr>
        <w:rPr>
          <w:rFonts w:ascii="Palatino Linotype" w:eastAsia="Palatino Linotype" w:hAnsi="Palatino Linotype" w:cs="Palatino Linotype"/>
          <w:color w:val="FF0000"/>
          <w:sz w:val="20"/>
          <w:szCs w:val="20"/>
        </w:rPr>
      </w:pPr>
    </w:p>
    <w:p w14:paraId="7C42F60D" w14:textId="77777777" w:rsidR="00387AAC" w:rsidRDefault="00387AAC">
      <w:pPr>
        <w:rPr>
          <w:rFonts w:ascii="Palatino Linotype" w:eastAsia="Palatino Linotype" w:hAnsi="Palatino Linotype" w:cs="Palatino Linotype"/>
          <w:color w:val="FF0000"/>
          <w:sz w:val="20"/>
          <w:szCs w:val="20"/>
        </w:rPr>
      </w:pPr>
    </w:p>
    <w:p w14:paraId="2FE63F65" w14:textId="77777777" w:rsidR="00387AAC" w:rsidRDefault="00387AAC">
      <w:pPr>
        <w:rPr>
          <w:rFonts w:ascii="Palatino Linotype" w:eastAsia="Palatino Linotype" w:hAnsi="Palatino Linotype" w:cs="Palatino Linotype"/>
          <w:color w:val="FF0000"/>
          <w:sz w:val="20"/>
          <w:szCs w:val="20"/>
        </w:rPr>
      </w:pPr>
    </w:p>
    <w:p w14:paraId="2F1AC41C" w14:textId="77777777" w:rsidR="00387AAC" w:rsidRDefault="00387AAC">
      <w:pPr>
        <w:rPr>
          <w:rFonts w:ascii="Palatino Linotype" w:eastAsia="Palatino Linotype" w:hAnsi="Palatino Linotype" w:cs="Palatino Linotype"/>
          <w:color w:val="FF0000"/>
          <w:sz w:val="20"/>
          <w:szCs w:val="20"/>
        </w:rPr>
      </w:pPr>
    </w:p>
    <w:p w14:paraId="30E2256A" w14:textId="77777777" w:rsidR="00387AAC" w:rsidRDefault="00387AAC">
      <w:pPr>
        <w:rPr>
          <w:rFonts w:ascii="Palatino Linotype" w:eastAsia="Palatino Linotype" w:hAnsi="Palatino Linotype" w:cs="Palatino Linotype"/>
          <w:color w:val="FF0000"/>
          <w:sz w:val="20"/>
          <w:szCs w:val="20"/>
        </w:rPr>
      </w:pPr>
    </w:p>
    <w:p w14:paraId="6EC212AB" w14:textId="77777777" w:rsidR="00387AAC" w:rsidRDefault="00387AAC">
      <w:pPr>
        <w:rPr>
          <w:rFonts w:ascii="Palatino Linotype" w:eastAsia="Palatino Linotype" w:hAnsi="Palatino Linotype" w:cs="Palatino Linotype"/>
          <w:color w:val="FF0000"/>
          <w:sz w:val="20"/>
          <w:szCs w:val="20"/>
        </w:rPr>
      </w:pPr>
    </w:p>
    <w:p w14:paraId="044B409C" w14:textId="77777777" w:rsidR="00CA1725" w:rsidRDefault="00CA1725">
      <w:pPr>
        <w:rPr>
          <w:rFonts w:ascii="Palatino Linotype" w:eastAsia="Palatino Linotype" w:hAnsi="Palatino Linotype" w:cs="Palatino Linotype"/>
          <w:color w:val="FF0000"/>
          <w:sz w:val="20"/>
          <w:szCs w:val="20"/>
        </w:rPr>
      </w:pPr>
    </w:p>
    <w:p w14:paraId="1F7EA97A" w14:textId="77777777" w:rsidR="00CA1725" w:rsidRDefault="00CA1725">
      <w:pPr>
        <w:rPr>
          <w:rFonts w:ascii="Palatino Linotype" w:eastAsia="Palatino Linotype" w:hAnsi="Palatino Linotype" w:cs="Palatino Linotype"/>
          <w:color w:val="FF0000"/>
          <w:sz w:val="20"/>
          <w:szCs w:val="20"/>
        </w:rPr>
      </w:pPr>
    </w:p>
    <w:p w14:paraId="64EBAC80" w14:textId="77777777" w:rsidR="00CA1725" w:rsidRDefault="00CA1725">
      <w:pPr>
        <w:rPr>
          <w:rFonts w:ascii="Palatino Linotype" w:eastAsia="Palatino Linotype" w:hAnsi="Palatino Linotype" w:cs="Palatino Linotype"/>
          <w:color w:val="FF0000"/>
          <w:sz w:val="20"/>
          <w:szCs w:val="20"/>
        </w:rPr>
      </w:pPr>
    </w:p>
    <w:p w14:paraId="49B2E415" w14:textId="77777777" w:rsidR="00CA1725" w:rsidRDefault="00CA1725">
      <w:pPr>
        <w:rPr>
          <w:rFonts w:ascii="Palatino Linotype" w:eastAsia="Palatino Linotype" w:hAnsi="Palatino Linotype" w:cs="Palatino Linotype"/>
          <w:color w:val="FF0000"/>
          <w:sz w:val="20"/>
          <w:szCs w:val="20"/>
        </w:rPr>
      </w:pPr>
    </w:p>
    <w:p w14:paraId="5C326D06" w14:textId="77777777" w:rsidR="00CA1725" w:rsidRDefault="00CA1725">
      <w:pPr>
        <w:rPr>
          <w:rFonts w:ascii="Palatino Linotype" w:eastAsia="Palatino Linotype" w:hAnsi="Palatino Linotype" w:cs="Palatino Linotype"/>
          <w:color w:val="FF0000"/>
          <w:sz w:val="20"/>
          <w:szCs w:val="20"/>
        </w:rPr>
      </w:pPr>
    </w:p>
    <w:p w14:paraId="6A7A680A" w14:textId="77777777" w:rsidR="00CA1725" w:rsidRDefault="00CA1725">
      <w:pPr>
        <w:rPr>
          <w:rFonts w:ascii="Palatino Linotype" w:eastAsia="Palatino Linotype" w:hAnsi="Palatino Linotype" w:cs="Palatino Linotype"/>
          <w:color w:val="FF0000"/>
          <w:sz w:val="20"/>
          <w:szCs w:val="20"/>
        </w:rPr>
      </w:pPr>
    </w:p>
    <w:p w14:paraId="23071E44" w14:textId="77777777" w:rsidR="00CA1725" w:rsidRDefault="00CA1725">
      <w:pPr>
        <w:rPr>
          <w:rFonts w:ascii="Palatino Linotype" w:eastAsia="Palatino Linotype" w:hAnsi="Palatino Linotype" w:cs="Palatino Linotype"/>
          <w:color w:val="FF0000"/>
          <w:sz w:val="20"/>
          <w:szCs w:val="20"/>
        </w:rPr>
      </w:pPr>
    </w:p>
    <w:p w14:paraId="0031E7C3" w14:textId="77777777" w:rsidR="00CA1725" w:rsidRDefault="00CA1725">
      <w:pPr>
        <w:rPr>
          <w:rFonts w:ascii="Palatino Linotype" w:eastAsia="Palatino Linotype" w:hAnsi="Palatino Linotype" w:cs="Palatino Linotype"/>
          <w:color w:val="FF0000"/>
          <w:sz w:val="20"/>
          <w:szCs w:val="20"/>
        </w:rPr>
      </w:pPr>
    </w:p>
    <w:p w14:paraId="07C4EABE" w14:textId="77777777" w:rsidR="00CA1725" w:rsidRDefault="00CA1725">
      <w:pPr>
        <w:rPr>
          <w:rFonts w:ascii="Palatino Linotype" w:eastAsia="Palatino Linotype" w:hAnsi="Palatino Linotype" w:cs="Palatino Linotype"/>
          <w:color w:val="FF0000"/>
          <w:sz w:val="20"/>
          <w:szCs w:val="20"/>
        </w:rPr>
      </w:pPr>
    </w:p>
    <w:p w14:paraId="28CE5D9E" w14:textId="77777777" w:rsidR="00CA1725" w:rsidRDefault="00CA1725">
      <w:pPr>
        <w:rPr>
          <w:rFonts w:ascii="Palatino Linotype" w:eastAsia="Palatino Linotype" w:hAnsi="Palatino Linotype" w:cs="Palatino Linotype"/>
          <w:color w:val="FF0000"/>
          <w:sz w:val="20"/>
          <w:szCs w:val="20"/>
        </w:rPr>
      </w:pPr>
    </w:p>
    <w:p w14:paraId="2674BB1E" w14:textId="77777777" w:rsidR="00CA1725" w:rsidRDefault="00CA1725">
      <w:pPr>
        <w:rPr>
          <w:rFonts w:ascii="Palatino Linotype" w:eastAsia="Palatino Linotype" w:hAnsi="Palatino Linotype" w:cs="Palatino Linotype"/>
          <w:color w:val="FF0000"/>
          <w:sz w:val="20"/>
          <w:szCs w:val="20"/>
        </w:rPr>
      </w:pPr>
    </w:p>
    <w:p w14:paraId="63E66140" w14:textId="77777777" w:rsidR="00CA1725" w:rsidRDefault="00CA1725">
      <w:pPr>
        <w:rPr>
          <w:rFonts w:ascii="Palatino Linotype" w:eastAsia="Palatino Linotype" w:hAnsi="Palatino Linotype" w:cs="Palatino Linotype"/>
          <w:color w:val="FF0000"/>
          <w:sz w:val="20"/>
          <w:szCs w:val="20"/>
        </w:rPr>
      </w:pPr>
    </w:p>
    <w:p w14:paraId="2E175C06" w14:textId="77777777" w:rsidR="00CA1725" w:rsidRDefault="00CA1725">
      <w:pPr>
        <w:rPr>
          <w:rFonts w:ascii="Palatino Linotype" w:eastAsia="Palatino Linotype" w:hAnsi="Palatino Linotype" w:cs="Palatino Linotype"/>
          <w:color w:val="FF0000"/>
          <w:sz w:val="20"/>
          <w:szCs w:val="20"/>
        </w:rPr>
      </w:pPr>
    </w:p>
    <w:p w14:paraId="0D314918" w14:textId="77777777" w:rsidR="00CA1725" w:rsidRDefault="00CA1725">
      <w:pPr>
        <w:rPr>
          <w:rFonts w:ascii="Palatino Linotype" w:eastAsia="Palatino Linotype" w:hAnsi="Palatino Linotype" w:cs="Palatino Linotype"/>
          <w:color w:val="FF0000"/>
          <w:sz w:val="20"/>
          <w:szCs w:val="20"/>
        </w:rPr>
      </w:pPr>
    </w:p>
    <w:p w14:paraId="26532F0C" w14:textId="77777777" w:rsidR="00387AAC" w:rsidRDefault="00D714A6">
      <w:pPr>
        <w:rPr>
          <w:color w:val="FF0000"/>
        </w:rPr>
      </w:pPr>
      <w:r>
        <w:rPr>
          <w:color w:val="FF0000"/>
        </w:rPr>
        <w:t xml:space="preserve"> </w:t>
      </w:r>
    </w:p>
    <w:sectPr w:rsidR="00387AA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6835" w14:textId="77777777" w:rsidR="00C74B63" w:rsidRDefault="00C74B63">
      <w:pPr>
        <w:spacing w:line="240" w:lineRule="auto"/>
      </w:pPr>
      <w:r>
        <w:separator/>
      </w:r>
    </w:p>
  </w:endnote>
  <w:endnote w:type="continuationSeparator" w:id="0">
    <w:p w14:paraId="279A67CE" w14:textId="77777777" w:rsidR="00C74B63" w:rsidRDefault="00C74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F4ED" w14:textId="77777777" w:rsidR="00387AAC" w:rsidRDefault="00D714A6">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sidR="001354AD">
      <w:rPr>
        <w:rFonts w:ascii="Palatino Linotype" w:eastAsia="Palatino Linotype" w:hAnsi="Palatino Linotype" w:cs="Palatino Linotype"/>
        <w:b/>
        <w:color w:val="000000"/>
      </w:rPr>
      <w:fldChar w:fldCharType="separate"/>
    </w:r>
    <w:r w:rsidR="001354AD">
      <w:rPr>
        <w:rFonts w:ascii="Palatino Linotype" w:eastAsia="Palatino Linotype" w:hAnsi="Palatino Linotype" w:cs="Palatino Linotype"/>
        <w:b/>
        <w:noProof/>
        <w:color w:val="000000"/>
      </w:rPr>
      <w:t>21</w:t>
    </w:r>
    <w:r>
      <w:rPr>
        <w:rFonts w:ascii="Palatino Linotype" w:eastAsia="Palatino Linotype" w:hAnsi="Palatino Linotype" w:cs="Palatino Linotype"/>
        <w:b/>
        <w:color w:val="000000"/>
      </w:rPr>
      <w:fldChar w:fldCharType="end"/>
    </w:r>
  </w:p>
  <w:p w14:paraId="7EC1EB74" w14:textId="77777777" w:rsidR="00387AAC" w:rsidRDefault="00387AA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2B42" w14:textId="77777777" w:rsidR="00387AAC" w:rsidRDefault="00D714A6">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1354AD">
      <w:rPr>
        <w:rFonts w:ascii="Palatino Linotype" w:eastAsia="Palatino Linotype" w:hAnsi="Palatino Linotype" w:cs="Palatino Linotype"/>
        <w:b/>
        <w:noProof/>
        <w:color w:val="000000"/>
      </w:rPr>
      <w:t>20</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1354AD">
      <w:rPr>
        <w:rFonts w:ascii="Palatino Linotype" w:eastAsia="Palatino Linotype" w:hAnsi="Palatino Linotype" w:cs="Palatino Linotype"/>
        <w:b/>
        <w:noProof/>
        <w:color w:val="000000"/>
      </w:rPr>
      <w:t>21</w:t>
    </w:r>
    <w:r>
      <w:rPr>
        <w:rFonts w:ascii="Palatino Linotype" w:eastAsia="Palatino Linotype" w:hAnsi="Palatino Linotype" w:cs="Palatino Linotype"/>
        <w:b/>
        <w:color w:val="000000"/>
      </w:rPr>
      <w:fldChar w:fldCharType="end"/>
    </w:r>
  </w:p>
  <w:p w14:paraId="5CE28846" w14:textId="77777777" w:rsidR="00387AAC" w:rsidRDefault="00387AAC">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E62B" w14:textId="77777777" w:rsidR="00387AAC" w:rsidRDefault="00D714A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1354AD">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1354AD">
      <w:rPr>
        <w:rFonts w:ascii="Palatino Linotype" w:eastAsia="Palatino Linotype" w:hAnsi="Palatino Linotype" w:cs="Palatino Linotype"/>
        <w:b/>
        <w:noProof/>
        <w:color w:val="000000"/>
      </w:rPr>
      <w:t>21</w:t>
    </w:r>
    <w:r>
      <w:rPr>
        <w:rFonts w:ascii="Palatino Linotype" w:eastAsia="Palatino Linotype" w:hAnsi="Palatino Linotype" w:cs="Palatino Linotype"/>
        <w:b/>
        <w:color w:val="000000"/>
      </w:rPr>
      <w:fldChar w:fldCharType="end"/>
    </w:r>
  </w:p>
  <w:p w14:paraId="09B8B3A0" w14:textId="77777777" w:rsidR="00387AAC" w:rsidRDefault="00387AA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DC590" w14:textId="77777777" w:rsidR="00C74B63" w:rsidRDefault="00C74B63">
      <w:pPr>
        <w:spacing w:line="240" w:lineRule="auto"/>
      </w:pPr>
      <w:r>
        <w:separator/>
      </w:r>
    </w:p>
  </w:footnote>
  <w:footnote w:type="continuationSeparator" w:id="0">
    <w:p w14:paraId="7FBE28A0" w14:textId="77777777" w:rsidR="00C74B63" w:rsidRDefault="00C74B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C7B9B" w14:textId="77777777" w:rsidR="00387AAC" w:rsidRDefault="00387AAC">
    <w:pPr>
      <w:widowControl w:val="0"/>
      <w:pBdr>
        <w:top w:val="nil"/>
        <w:left w:val="nil"/>
        <w:bottom w:val="nil"/>
        <w:right w:val="nil"/>
        <w:between w:val="nil"/>
      </w:pBdr>
      <w:spacing w:line="276" w:lineRule="auto"/>
      <w:rPr>
        <w:color w:val="000000"/>
      </w:rPr>
    </w:pPr>
  </w:p>
  <w:tbl>
    <w:tblPr>
      <w:tblStyle w:val="a"/>
      <w:tblW w:w="9705" w:type="dxa"/>
      <w:tblInd w:w="0" w:type="dxa"/>
      <w:tblLayout w:type="fixed"/>
      <w:tblLook w:val="0400" w:firstRow="0" w:lastRow="0" w:firstColumn="0" w:lastColumn="0" w:noHBand="0" w:noVBand="1"/>
    </w:tblPr>
    <w:tblGrid>
      <w:gridCol w:w="2972"/>
      <w:gridCol w:w="6733"/>
    </w:tblGrid>
    <w:tr w:rsidR="00387AAC" w14:paraId="68176859" w14:textId="77777777">
      <w:trPr>
        <w:trHeight w:val="1435"/>
      </w:trPr>
      <w:tc>
        <w:tcPr>
          <w:tcW w:w="2972" w:type="dxa"/>
        </w:tcPr>
        <w:p w14:paraId="775EBC2D" w14:textId="77777777" w:rsidR="00387AAC" w:rsidRDefault="00387AAC">
          <w:pPr>
            <w:tabs>
              <w:tab w:val="right" w:pos="4273"/>
            </w:tabs>
            <w:spacing w:line="256" w:lineRule="auto"/>
            <w:rPr>
              <w:rFonts w:ascii="Garamond" w:eastAsia="Garamond" w:hAnsi="Garamond" w:cs="Garamond"/>
            </w:rPr>
          </w:pPr>
        </w:p>
      </w:tc>
      <w:tc>
        <w:tcPr>
          <w:tcW w:w="6733" w:type="dxa"/>
        </w:tcPr>
        <w:p w14:paraId="08660682" w14:textId="77777777" w:rsidR="00387AAC" w:rsidRDefault="00387AAC">
          <w:pPr>
            <w:widowControl w:val="0"/>
            <w:pBdr>
              <w:top w:val="nil"/>
              <w:left w:val="nil"/>
              <w:bottom w:val="nil"/>
              <w:right w:val="nil"/>
              <w:between w:val="nil"/>
            </w:pBdr>
            <w:spacing w:line="276" w:lineRule="auto"/>
            <w:rPr>
              <w:rFonts w:ascii="Garamond" w:eastAsia="Garamond" w:hAnsi="Garamond" w:cs="Garamond"/>
            </w:rPr>
          </w:pPr>
        </w:p>
        <w:tbl>
          <w:tblPr>
            <w:tblStyle w:val="a0"/>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387AAC" w14:paraId="42CE174C" w14:textId="77777777">
            <w:trPr>
              <w:trHeight w:val="144"/>
            </w:trPr>
            <w:tc>
              <w:tcPr>
                <w:tcW w:w="2447" w:type="dxa"/>
              </w:tcPr>
              <w:p w14:paraId="4D145BF4" w14:textId="77777777" w:rsidR="00387AAC" w:rsidRDefault="00D714A6">
                <w:pPr>
                  <w:tabs>
                    <w:tab w:val="right" w:pos="8838"/>
                  </w:tabs>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88" w:type="dxa"/>
              </w:tcPr>
              <w:p w14:paraId="2118785C" w14:textId="77777777" w:rsidR="00387AAC" w:rsidRDefault="00D714A6">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02946/INFOEM/IP/RR/2021</w:t>
                </w:r>
              </w:p>
            </w:tc>
          </w:tr>
          <w:tr w:rsidR="00387AAC" w14:paraId="0FA35AA9" w14:textId="77777777">
            <w:trPr>
              <w:trHeight w:val="283"/>
            </w:trPr>
            <w:tc>
              <w:tcPr>
                <w:tcW w:w="2447" w:type="dxa"/>
              </w:tcPr>
              <w:p w14:paraId="77608916" w14:textId="77777777" w:rsidR="00387AAC" w:rsidRDefault="00D714A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88" w:type="dxa"/>
              </w:tcPr>
              <w:p w14:paraId="4D77FFF6" w14:textId="77777777" w:rsidR="00387AAC" w:rsidRDefault="00D714A6">
                <w:pPr>
                  <w:tabs>
                    <w:tab w:val="left" w:pos="2834"/>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rPr>
                  <w:t>Ayuntamiento de San Antonio la Isla</w:t>
                </w:r>
              </w:p>
            </w:tc>
          </w:tr>
          <w:tr w:rsidR="00387AAC" w14:paraId="1EE1532F" w14:textId="77777777">
            <w:trPr>
              <w:trHeight w:val="283"/>
            </w:trPr>
            <w:tc>
              <w:tcPr>
                <w:tcW w:w="2447" w:type="dxa"/>
              </w:tcPr>
              <w:p w14:paraId="08D9B427" w14:textId="77777777" w:rsidR="00387AAC" w:rsidRDefault="00D714A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088" w:type="dxa"/>
              </w:tcPr>
              <w:p w14:paraId="22E0FCD5" w14:textId="77777777" w:rsidR="00387AAC" w:rsidRDefault="00D714A6">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p w14:paraId="2C5047DA" w14:textId="77777777" w:rsidR="00387AAC" w:rsidRDefault="00387AAC">
                <w:pPr>
                  <w:tabs>
                    <w:tab w:val="right" w:pos="8838"/>
                  </w:tabs>
                  <w:ind w:left="-74" w:right="-105"/>
                  <w:rPr>
                    <w:rFonts w:ascii="Palatino Linotype" w:eastAsia="Palatino Linotype" w:hAnsi="Palatino Linotype" w:cs="Palatino Linotype"/>
                    <w:b/>
                  </w:rPr>
                </w:pPr>
              </w:p>
            </w:tc>
          </w:tr>
        </w:tbl>
        <w:p w14:paraId="4540F582" w14:textId="77777777" w:rsidR="00387AAC" w:rsidRDefault="00387AAC">
          <w:pPr>
            <w:tabs>
              <w:tab w:val="right" w:pos="8838"/>
            </w:tabs>
            <w:spacing w:line="256" w:lineRule="auto"/>
            <w:ind w:left="-28"/>
            <w:rPr>
              <w:rFonts w:ascii="Arial" w:eastAsia="Arial" w:hAnsi="Arial" w:cs="Arial"/>
              <w:b/>
            </w:rPr>
          </w:pPr>
        </w:p>
      </w:tc>
    </w:tr>
  </w:tbl>
  <w:p w14:paraId="650AFC4A" w14:textId="77777777" w:rsidR="00387AAC" w:rsidRDefault="00D714A6">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rPr>
      <w:drawing>
        <wp:anchor distT="0" distB="0" distL="0" distR="0" simplePos="0" relativeHeight="251657728" behindDoc="1" locked="0" layoutInCell="1" hidden="0" allowOverlap="1" wp14:anchorId="33657482" wp14:editId="563378C4">
          <wp:simplePos x="0" y="0"/>
          <wp:positionH relativeFrom="margin">
            <wp:posOffset>-1381123</wp:posOffset>
          </wp:positionH>
          <wp:positionV relativeFrom="margin">
            <wp:posOffset>-1611628</wp:posOffset>
          </wp:positionV>
          <wp:extent cx="5612130" cy="7308215"/>
          <wp:effectExtent l="0" t="0" r="0" b="0"/>
          <wp:wrapNone/>
          <wp:docPr id="18874022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A367" w14:textId="77777777" w:rsidR="00387AAC" w:rsidRDefault="00387AAC">
    <w:pPr>
      <w:widowControl w:val="0"/>
      <w:pBdr>
        <w:top w:val="nil"/>
        <w:left w:val="nil"/>
        <w:bottom w:val="nil"/>
        <w:right w:val="nil"/>
        <w:between w:val="nil"/>
      </w:pBdr>
      <w:spacing w:line="276" w:lineRule="auto"/>
    </w:pPr>
  </w:p>
  <w:tbl>
    <w:tblPr>
      <w:tblStyle w:val="a1"/>
      <w:tblW w:w="9330" w:type="dxa"/>
      <w:tblInd w:w="15" w:type="dxa"/>
      <w:tblLayout w:type="fixed"/>
      <w:tblLook w:val="0400" w:firstRow="0" w:lastRow="0" w:firstColumn="0" w:lastColumn="0" w:noHBand="0" w:noVBand="1"/>
    </w:tblPr>
    <w:tblGrid>
      <w:gridCol w:w="1965"/>
      <w:gridCol w:w="7365"/>
    </w:tblGrid>
    <w:tr w:rsidR="00387AAC" w14:paraId="46A84EA5" w14:textId="77777777">
      <w:trPr>
        <w:trHeight w:val="1435"/>
      </w:trPr>
      <w:tc>
        <w:tcPr>
          <w:tcW w:w="1965" w:type="dxa"/>
        </w:tcPr>
        <w:p w14:paraId="32EFAF9D" w14:textId="77777777" w:rsidR="00387AAC" w:rsidRDefault="00D714A6">
          <w:pPr>
            <w:tabs>
              <w:tab w:val="right" w:pos="4273"/>
            </w:tabs>
            <w:spacing w:line="256" w:lineRule="auto"/>
            <w:rPr>
              <w:rFonts w:ascii="Garamond" w:eastAsia="Garamond" w:hAnsi="Garamond" w:cs="Garamond"/>
            </w:rPr>
          </w:pPr>
          <w:r>
            <w:rPr>
              <w:noProof/>
            </w:rPr>
            <w:drawing>
              <wp:anchor distT="0" distB="0" distL="0" distR="0" simplePos="0" relativeHeight="251656704" behindDoc="1" locked="0" layoutInCell="1" hidden="0" allowOverlap="1" wp14:anchorId="0FACD35E" wp14:editId="396B51FA">
                <wp:simplePos x="0" y="0"/>
                <wp:positionH relativeFrom="column">
                  <wp:posOffset>-1223010</wp:posOffset>
                </wp:positionH>
                <wp:positionV relativeFrom="paragraph">
                  <wp:posOffset>-434340</wp:posOffset>
                </wp:positionV>
                <wp:extent cx="7835900" cy="10203815"/>
                <wp:effectExtent l="0" t="0" r="0" b="0"/>
                <wp:wrapNone/>
                <wp:docPr id="18874022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7365" w:type="dxa"/>
        </w:tcPr>
        <w:p w14:paraId="3030E3FE" w14:textId="77777777" w:rsidR="00387AAC" w:rsidRDefault="00387AAC">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6763" w:type="dxa"/>
            <w:tblInd w:w="1586" w:type="dxa"/>
            <w:tblBorders>
              <w:top w:val="nil"/>
              <w:left w:val="nil"/>
              <w:bottom w:val="nil"/>
              <w:right w:val="nil"/>
              <w:insideH w:val="nil"/>
              <w:insideV w:val="nil"/>
            </w:tblBorders>
            <w:tblLayout w:type="fixed"/>
            <w:tblLook w:val="0400" w:firstRow="0" w:lastRow="0" w:firstColumn="0" w:lastColumn="0" w:noHBand="0" w:noVBand="1"/>
          </w:tblPr>
          <w:tblGrid>
            <w:gridCol w:w="2410"/>
            <w:gridCol w:w="3544"/>
            <w:gridCol w:w="809"/>
          </w:tblGrid>
          <w:tr w:rsidR="00387AAC" w14:paraId="6CF1B860" w14:textId="77777777">
            <w:trPr>
              <w:trHeight w:val="194"/>
            </w:trPr>
            <w:tc>
              <w:tcPr>
                <w:tcW w:w="2410" w:type="dxa"/>
              </w:tcPr>
              <w:p w14:paraId="5EA74576" w14:textId="77777777" w:rsidR="00387AAC" w:rsidRDefault="00D714A6">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w:t>
                </w:r>
              </w:p>
              <w:p w14:paraId="5220B6ED" w14:textId="77777777" w:rsidR="00387AAC" w:rsidRDefault="00D714A6">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4" w:type="dxa"/>
              </w:tcPr>
              <w:p w14:paraId="4C1693FD" w14:textId="77777777" w:rsidR="00387AAC" w:rsidRDefault="00387AAC">
                <w:pPr>
                  <w:tabs>
                    <w:tab w:val="right" w:pos="8838"/>
                  </w:tabs>
                  <w:spacing w:line="276" w:lineRule="auto"/>
                  <w:ind w:left="-114" w:right="454"/>
                  <w:rPr>
                    <w:rFonts w:ascii="Palatino Linotype" w:eastAsia="Palatino Linotype" w:hAnsi="Palatino Linotype" w:cs="Palatino Linotype"/>
                  </w:rPr>
                </w:pPr>
              </w:p>
              <w:p w14:paraId="19382E59" w14:textId="77777777" w:rsidR="00387AAC" w:rsidRDefault="00D714A6">
                <w:pPr>
                  <w:tabs>
                    <w:tab w:val="right" w:pos="8838"/>
                  </w:tabs>
                  <w:spacing w:line="276" w:lineRule="auto"/>
                  <w:ind w:left="-114" w:right="454"/>
                  <w:rPr>
                    <w:rFonts w:ascii="Palatino Linotype" w:eastAsia="Palatino Linotype" w:hAnsi="Palatino Linotype" w:cs="Palatino Linotype"/>
                  </w:rPr>
                </w:pPr>
                <w:r>
                  <w:rPr>
                    <w:rFonts w:ascii="Palatino Linotype" w:eastAsia="Palatino Linotype" w:hAnsi="Palatino Linotype" w:cs="Palatino Linotype"/>
                  </w:rPr>
                  <w:t xml:space="preserve">02926/INFOEM/IP/RR/2025 </w:t>
                </w:r>
              </w:p>
            </w:tc>
            <w:tc>
              <w:tcPr>
                <w:tcW w:w="809" w:type="dxa"/>
              </w:tcPr>
              <w:p w14:paraId="1B56D337" w14:textId="77777777" w:rsidR="00387AAC" w:rsidRDefault="00387AAC">
                <w:pPr>
                  <w:tabs>
                    <w:tab w:val="right" w:pos="8838"/>
                  </w:tabs>
                  <w:spacing w:line="276" w:lineRule="auto"/>
                  <w:ind w:left="-114" w:right="-105"/>
                  <w:rPr>
                    <w:rFonts w:ascii="Palatino Linotype" w:eastAsia="Palatino Linotype" w:hAnsi="Palatino Linotype" w:cs="Palatino Linotype"/>
                  </w:rPr>
                </w:pPr>
              </w:p>
            </w:tc>
          </w:tr>
          <w:tr w:rsidR="00387AAC" w14:paraId="0EAF3C6A" w14:textId="77777777">
            <w:trPr>
              <w:trHeight w:val="87"/>
            </w:trPr>
            <w:tc>
              <w:tcPr>
                <w:tcW w:w="2410" w:type="dxa"/>
              </w:tcPr>
              <w:p w14:paraId="103B1B16" w14:textId="77777777" w:rsidR="00387AAC" w:rsidRDefault="00D714A6">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14:paraId="468AD729" w14:textId="77777777" w:rsidR="00387AAC" w:rsidRDefault="00D714A6">
                <w:pPr>
                  <w:tabs>
                    <w:tab w:val="left" w:pos="2834"/>
                    <w:tab w:val="right" w:pos="8838"/>
                  </w:tabs>
                  <w:spacing w:line="276" w:lineRule="auto"/>
                  <w:ind w:left="-114"/>
                  <w:rPr>
                    <w:rFonts w:ascii="Palatino Linotype" w:eastAsia="Palatino Linotype" w:hAnsi="Palatino Linotype" w:cs="Palatino Linotype"/>
                    <w:b/>
                  </w:rPr>
                </w:pPr>
                <w:r>
                  <w:rPr>
                    <w:rFonts w:ascii="Palatino Linotype" w:eastAsia="Palatino Linotype" w:hAnsi="Palatino Linotype" w:cs="Palatino Linotype"/>
                  </w:rPr>
                  <w:t>Ayuntamiento de Toluca</w:t>
                </w:r>
              </w:p>
            </w:tc>
            <w:tc>
              <w:tcPr>
                <w:tcW w:w="809" w:type="dxa"/>
              </w:tcPr>
              <w:p w14:paraId="576D1443" w14:textId="77777777" w:rsidR="00387AAC" w:rsidRDefault="00387AAC">
                <w:pPr>
                  <w:tabs>
                    <w:tab w:val="left" w:pos="2834"/>
                    <w:tab w:val="right" w:pos="8838"/>
                  </w:tabs>
                  <w:spacing w:line="276" w:lineRule="auto"/>
                  <w:ind w:left="-114"/>
                  <w:rPr>
                    <w:rFonts w:ascii="Palatino Linotype" w:eastAsia="Palatino Linotype" w:hAnsi="Palatino Linotype" w:cs="Palatino Linotype"/>
                  </w:rPr>
                </w:pPr>
              </w:p>
            </w:tc>
          </w:tr>
          <w:tr w:rsidR="00387AAC" w14:paraId="00E4A3C2" w14:textId="77777777">
            <w:trPr>
              <w:trHeight w:val="383"/>
            </w:trPr>
            <w:tc>
              <w:tcPr>
                <w:tcW w:w="2410" w:type="dxa"/>
              </w:tcPr>
              <w:p w14:paraId="73AD5B76" w14:textId="77777777" w:rsidR="00387AAC" w:rsidRDefault="00D714A6">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544" w:type="dxa"/>
              </w:tcPr>
              <w:p w14:paraId="5C9ABD78" w14:textId="77777777" w:rsidR="00387AAC" w:rsidRDefault="00D714A6">
                <w:pPr>
                  <w:tabs>
                    <w:tab w:val="right" w:pos="8838"/>
                  </w:tabs>
                  <w:spacing w:line="276" w:lineRule="auto"/>
                  <w:ind w:left="-11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c>
              <w:tcPr>
                <w:tcW w:w="809" w:type="dxa"/>
              </w:tcPr>
              <w:p w14:paraId="37638B52" w14:textId="77777777" w:rsidR="00387AAC" w:rsidRDefault="00387AAC">
                <w:pPr>
                  <w:tabs>
                    <w:tab w:val="right" w:pos="8838"/>
                  </w:tabs>
                  <w:spacing w:line="276" w:lineRule="auto"/>
                  <w:ind w:left="-114" w:right="-105"/>
                  <w:rPr>
                    <w:rFonts w:ascii="Palatino Linotype" w:eastAsia="Palatino Linotype" w:hAnsi="Palatino Linotype" w:cs="Palatino Linotype"/>
                  </w:rPr>
                </w:pPr>
              </w:p>
            </w:tc>
          </w:tr>
        </w:tbl>
        <w:p w14:paraId="5E6AEA38" w14:textId="77777777" w:rsidR="00387AAC" w:rsidRDefault="00387AAC">
          <w:pPr>
            <w:tabs>
              <w:tab w:val="right" w:pos="8838"/>
            </w:tabs>
            <w:spacing w:line="276" w:lineRule="auto"/>
            <w:ind w:left="-28"/>
            <w:rPr>
              <w:rFonts w:ascii="Arial" w:eastAsia="Arial" w:hAnsi="Arial" w:cs="Arial"/>
              <w:b/>
            </w:rPr>
          </w:pPr>
        </w:p>
      </w:tc>
    </w:tr>
  </w:tbl>
  <w:p w14:paraId="41DDEF40" w14:textId="77777777" w:rsidR="00387AAC" w:rsidRDefault="00387AAC">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826E" w14:textId="77777777" w:rsidR="00387AAC" w:rsidRDefault="00C74B63">
    <w:pPr>
      <w:widowControl w:val="0"/>
      <w:pBdr>
        <w:top w:val="nil"/>
        <w:left w:val="nil"/>
        <w:bottom w:val="nil"/>
        <w:right w:val="nil"/>
        <w:between w:val="nil"/>
      </w:pBdr>
      <w:spacing w:line="276" w:lineRule="auto"/>
      <w:rPr>
        <w:color w:val="000000"/>
      </w:rPr>
    </w:pPr>
    <w:r>
      <w:rPr>
        <w:rFonts w:ascii="Garamond" w:eastAsia="Garamond" w:hAnsi="Garamond" w:cs="Garamond"/>
        <w:color w:val="000000"/>
      </w:rPr>
      <w:pict w14:anchorId="4395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5.25pt;margin-top:-142pt;width:663.5pt;height:12in;z-index:-251657728;mso-position-horizontal-relative:margin;mso-position-vertical-relative:margin">
          <v:imagedata r:id="rId1" o:title="image1"/>
          <w10:wrap anchorx="margin" anchory="margin"/>
        </v:shape>
      </w:pict>
    </w:r>
  </w:p>
  <w:tbl>
    <w:tblPr>
      <w:tblStyle w:val="a3"/>
      <w:tblW w:w="9498" w:type="dxa"/>
      <w:tblInd w:w="0" w:type="dxa"/>
      <w:tblLayout w:type="fixed"/>
      <w:tblLook w:val="0400" w:firstRow="0" w:lastRow="0" w:firstColumn="0" w:lastColumn="0" w:noHBand="0" w:noVBand="1"/>
    </w:tblPr>
    <w:tblGrid>
      <w:gridCol w:w="2977"/>
      <w:gridCol w:w="6521"/>
    </w:tblGrid>
    <w:tr w:rsidR="00387AAC" w14:paraId="6F49635E" w14:textId="77777777">
      <w:trPr>
        <w:trHeight w:val="1435"/>
      </w:trPr>
      <w:tc>
        <w:tcPr>
          <w:tcW w:w="2977" w:type="dxa"/>
        </w:tcPr>
        <w:p w14:paraId="328B7354" w14:textId="77777777" w:rsidR="00387AAC" w:rsidRDefault="00387AAC">
          <w:pPr>
            <w:tabs>
              <w:tab w:val="right" w:pos="4273"/>
            </w:tabs>
            <w:spacing w:line="256" w:lineRule="auto"/>
            <w:rPr>
              <w:rFonts w:ascii="Garamond" w:eastAsia="Garamond" w:hAnsi="Garamond" w:cs="Garamond"/>
            </w:rPr>
          </w:pPr>
        </w:p>
      </w:tc>
      <w:tc>
        <w:tcPr>
          <w:tcW w:w="6521" w:type="dxa"/>
        </w:tcPr>
        <w:p w14:paraId="2AD42E4A" w14:textId="77777777" w:rsidR="00387AAC" w:rsidRDefault="00387AAC">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5605" w:type="dxa"/>
            <w:tblInd w:w="334" w:type="dxa"/>
            <w:tblBorders>
              <w:top w:val="nil"/>
              <w:left w:val="nil"/>
              <w:bottom w:val="nil"/>
              <w:right w:val="nil"/>
              <w:insideH w:val="nil"/>
              <w:insideV w:val="nil"/>
            </w:tblBorders>
            <w:tblLayout w:type="fixed"/>
            <w:tblLook w:val="0400" w:firstRow="0" w:lastRow="0" w:firstColumn="0" w:lastColumn="0" w:noHBand="0" w:noVBand="1"/>
          </w:tblPr>
          <w:tblGrid>
            <w:gridCol w:w="2393"/>
            <w:gridCol w:w="3123"/>
            <w:gridCol w:w="89"/>
          </w:tblGrid>
          <w:tr w:rsidR="00387AAC" w14:paraId="4C807FD8" w14:textId="77777777">
            <w:trPr>
              <w:gridAfter w:val="1"/>
              <w:wAfter w:w="89" w:type="dxa"/>
              <w:trHeight w:val="114"/>
            </w:trPr>
            <w:tc>
              <w:tcPr>
                <w:tcW w:w="2393" w:type="dxa"/>
              </w:tcPr>
              <w:p w14:paraId="29009F61" w14:textId="77777777" w:rsidR="00387AAC" w:rsidRDefault="00D714A6">
                <w:pPr>
                  <w:tabs>
                    <w:tab w:val="right" w:pos="8838"/>
                  </w:tabs>
                  <w:spacing w:line="276" w:lineRule="auto"/>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23" w:type="dxa"/>
              </w:tcPr>
              <w:p w14:paraId="17EF258E" w14:textId="77777777" w:rsidR="00387AAC" w:rsidRDefault="00D714A6">
                <w:pPr>
                  <w:tabs>
                    <w:tab w:val="right" w:pos="8838"/>
                  </w:tabs>
                  <w:spacing w:line="276" w:lineRule="auto"/>
                  <w:ind w:left="-74" w:right="-105"/>
                  <w:rPr>
                    <w:rFonts w:ascii="Palatino Linotype" w:eastAsia="Palatino Linotype" w:hAnsi="Palatino Linotype" w:cs="Palatino Linotype"/>
                  </w:rPr>
                </w:pPr>
                <w:r>
                  <w:rPr>
                    <w:rFonts w:ascii="Palatino Linotype" w:eastAsia="Palatino Linotype" w:hAnsi="Palatino Linotype" w:cs="Palatino Linotype"/>
                  </w:rPr>
                  <w:t>02926/INFOEM/IP/RR/2025</w:t>
                </w:r>
              </w:p>
            </w:tc>
          </w:tr>
          <w:tr w:rsidR="00387AAC" w14:paraId="60FE8D84" w14:textId="77777777">
            <w:trPr>
              <w:gridAfter w:val="1"/>
              <w:wAfter w:w="89" w:type="dxa"/>
              <w:trHeight w:val="114"/>
            </w:trPr>
            <w:tc>
              <w:tcPr>
                <w:tcW w:w="2393" w:type="dxa"/>
              </w:tcPr>
              <w:p w14:paraId="78B55157" w14:textId="77777777" w:rsidR="00387AAC" w:rsidRDefault="00D714A6">
                <w:pPr>
                  <w:tabs>
                    <w:tab w:val="right" w:pos="8838"/>
                  </w:tabs>
                  <w:spacing w:line="276" w:lineRule="auto"/>
                  <w:ind w:left="-74"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23" w:type="dxa"/>
              </w:tcPr>
              <w:p w14:paraId="5EFE6892" w14:textId="77777777" w:rsidR="00387AAC" w:rsidRDefault="00387AAC">
                <w:pPr>
                  <w:tabs>
                    <w:tab w:val="left" w:pos="2834"/>
                    <w:tab w:val="right" w:pos="8838"/>
                  </w:tabs>
                  <w:spacing w:line="276" w:lineRule="auto"/>
                  <w:ind w:left="-74"/>
                  <w:rPr>
                    <w:rFonts w:ascii="Palatino Linotype" w:eastAsia="Palatino Linotype" w:hAnsi="Palatino Linotype" w:cs="Palatino Linotype"/>
                  </w:rPr>
                </w:pPr>
              </w:p>
            </w:tc>
          </w:tr>
          <w:tr w:rsidR="00387AAC" w14:paraId="512D0EC9" w14:textId="77777777">
            <w:trPr>
              <w:gridAfter w:val="1"/>
              <w:wAfter w:w="89" w:type="dxa"/>
              <w:trHeight w:val="226"/>
            </w:trPr>
            <w:tc>
              <w:tcPr>
                <w:tcW w:w="2393" w:type="dxa"/>
              </w:tcPr>
              <w:p w14:paraId="2087F10C" w14:textId="77777777" w:rsidR="00387AAC" w:rsidRDefault="00D714A6">
                <w:pPr>
                  <w:tabs>
                    <w:tab w:val="right" w:pos="8838"/>
                  </w:tabs>
                  <w:spacing w:line="276" w:lineRule="auto"/>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23" w:type="dxa"/>
              </w:tcPr>
              <w:p w14:paraId="1A372903" w14:textId="77777777" w:rsidR="00387AAC" w:rsidRDefault="00D714A6">
                <w:pPr>
                  <w:tabs>
                    <w:tab w:val="left" w:pos="2834"/>
                    <w:tab w:val="right" w:pos="8838"/>
                  </w:tabs>
                  <w:spacing w:line="276" w:lineRule="auto"/>
                  <w:ind w:left="-74"/>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387AAC" w14:paraId="7F6C3626" w14:textId="77777777">
            <w:trPr>
              <w:trHeight w:val="226"/>
            </w:trPr>
            <w:tc>
              <w:tcPr>
                <w:tcW w:w="2393" w:type="dxa"/>
              </w:tcPr>
              <w:p w14:paraId="489D25C9" w14:textId="77777777" w:rsidR="00387AAC" w:rsidRDefault="00D714A6">
                <w:pPr>
                  <w:tabs>
                    <w:tab w:val="right" w:pos="8838"/>
                  </w:tabs>
                  <w:spacing w:line="276" w:lineRule="auto"/>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212" w:type="dxa"/>
                <w:gridSpan w:val="2"/>
              </w:tcPr>
              <w:p w14:paraId="4FBF7805" w14:textId="77777777" w:rsidR="00387AAC" w:rsidRDefault="00D714A6">
                <w:pPr>
                  <w:tabs>
                    <w:tab w:val="right" w:pos="8838"/>
                  </w:tabs>
                  <w:spacing w:line="276" w:lineRule="auto"/>
                  <w:ind w:left="-7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14:paraId="756643F1" w14:textId="77777777" w:rsidR="00387AAC" w:rsidRDefault="00387AAC">
          <w:pPr>
            <w:tabs>
              <w:tab w:val="right" w:pos="8838"/>
            </w:tabs>
            <w:spacing w:line="256" w:lineRule="auto"/>
            <w:ind w:left="-28"/>
            <w:rPr>
              <w:rFonts w:ascii="Arial" w:eastAsia="Arial" w:hAnsi="Arial" w:cs="Arial"/>
              <w:b/>
            </w:rPr>
          </w:pPr>
        </w:p>
      </w:tc>
    </w:tr>
  </w:tbl>
  <w:p w14:paraId="6D75FFDC" w14:textId="77777777" w:rsidR="00387AAC" w:rsidRDefault="00387AA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13DB"/>
    <w:multiLevelType w:val="multilevel"/>
    <w:tmpl w:val="E2AA4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6789D"/>
    <w:multiLevelType w:val="multilevel"/>
    <w:tmpl w:val="C65C5F3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AC"/>
    <w:rsid w:val="001354AD"/>
    <w:rsid w:val="00221E6D"/>
    <w:rsid w:val="00314FA6"/>
    <w:rsid w:val="00387AAC"/>
    <w:rsid w:val="005F1FFF"/>
    <w:rsid w:val="00803362"/>
    <w:rsid w:val="008225E7"/>
    <w:rsid w:val="00C74B63"/>
    <w:rsid w:val="00CA1725"/>
    <w:rsid w:val="00D71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07A1D"/>
  <w15:docId w15:val="{C8BC62A1-9C9D-410A-A333-BDE876C1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13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A13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B2008"/>
    <w:rPr>
      <w:color w:val="0000FF"/>
      <w:u w:val="single"/>
    </w:rPr>
  </w:style>
  <w:style w:type="paragraph" w:styleId="Prrafodelista">
    <w:name w:val="List Paragraph"/>
    <w:basedOn w:val="Normal"/>
    <w:uiPriority w:val="34"/>
    <w:qFormat/>
    <w:rsid w:val="00EF3A6B"/>
    <w:pPr>
      <w:ind w:left="720"/>
      <w:contextualSpacing/>
    </w:pPr>
  </w:style>
  <w:style w:type="character" w:customStyle="1" w:styleId="Mencinsinresolver1">
    <w:name w:val="Mención sin resolver1"/>
    <w:basedOn w:val="Fuentedeprrafopredeter"/>
    <w:uiPriority w:val="99"/>
    <w:semiHidden/>
    <w:unhideWhenUsed/>
    <w:rsid w:val="004A3F27"/>
    <w:rPr>
      <w:color w:val="605E5C"/>
      <w:shd w:val="clear" w:color="auto" w:fill="E1DFDD"/>
    </w:rPr>
  </w:style>
  <w:style w:type="table" w:styleId="Tablaconcuadrcula">
    <w:name w:val="Table Grid"/>
    <w:basedOn w:val="Tablanormal"/>
    <w:uiPriority w:val="39"/>
    <w:rsid w:val="002209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136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A136E"/>
    <w:rPr>
      <w:rFonts w:asciiTheme="majorHAnsi" w:eastAsiaTheme="majorEastAsia" w:hAnsiTheme="majorHAnsi" w:cstheme="majorBidi"/>
      <w:color w:val="2F5496" w:themeColor="accent1" w:themeShade="BF"/>
      <w:sz w:val="26"/>
      <w:szCs w:val="26"/>
    </w:rPr>
  </w:style>
  <w:style w:type="paragraph" w:styleId="TtulodeTDC">
    <w:name w:val="TOC Heading"/>
    <w:basedOn w:val="Ttulo1"/>
    <w:next w:val="Normal"/>
    <w:uiPriority w:val="39"/>
    <w:unhideWhenUsed/>
    <w:qFormat/>
    <w:rsid w:val="00075226"/>
    <w:pPr>
      <w:spacing w:line="259" w:lineRule="auto"/>
      <w:jc w:val="left"/>
      <w:outlineLvl w:val="9"/>
    </w:pPr>
  </w:style>
  <w:style w:type="paragraph" w:styleId="TDC1">
    <w:name w:val="toc 1"/>
    <w:basedOn w:val="Normal"/>
    <w:next w:val="Normal"/>
    <w:autoRedefine/>
    <w:uiPriority w:val="39"/>
    <w:unhideWhenUsed/>
    <w:rsid w:val="00075226"/>
    <w:pPr>
      <w:spacing w:after="100"/>
    </w:pPr>
  </w:style>
  <w:style w:type="paragraph" w:styleId="TDC2">
    <w:name w:val="toc 2"/>
    <w:basedOn w:val="Normal"/>
    <w:next w:val="Normal"/>
    <w:autoRedefine/>
    <w:uiPriority w:val="39"/>
    <w:unhideWhenUsed/>
    <w:rsid w:val="00075226"/>
    <w:pPr>
      <w:spacing w:after="100"/>
      <w:ind w:left="220"/>
    </w:pPr>
  </w:style>
  <w:style w:type="character" w:styleId="Hipervnculovisitado">
    <w:name w:val="FollowedHyperlink"/>
    <w:basedOn w:val="Fuentedeprrafopredeter"/>
    <w:uiPriority w:val="99"/>
    <w:semiHidden/>
    <w:unhideWhenUsed/>
    <w:rsid w:val="0022686A"/>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cion.edomex.gob.mx/sites/legislacion.edomex.gob.mx/files/files/pdf/gct/2009/mar103.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riMAk8ynVa0At8Zci9NrWRkpA==">CgMxLjAyDmguOGpnd3F6Nm82NTQyMg5oLjZ0cXN6MHN1cG9sNzIOaC5hdGE3amNkcTNubjYyDmgueHB2ZjJibnh2ODB4Mg5oLnk3d3hocDEyeWdrOTIIaC5namRneHMyDmguNWxjNTZkMWYwMms3Mg5oLnVrdGQydWEzMDFxdjIOaC5hZjNlOG9objY0YzgyDmgubWV3dzZ2N2QwcWtuMg5oLnhhaWpvZjE2ZDNidTINaC5sczBvN3hjMWNnODIOaC42MWJwZGQ3dng5cm0yCWguMWZvYjl0ZTIOaC5lbTRxdjNwYTdzbjQ4AHIhMVdZRDhMY043eVF6WjJYTlFmUjgxZHZiZm10UzB5ZG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860026-E62F-4D73-8252-F937CBFA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4515</Words>
  <Characters>24833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 Gs</dc:creator>
  <cp:lastModifiedBy>USUARIO</cp:lastModifiedBy>
  <cp:revision>3</cp:revision>
  <cp:lastPrinted>2025-05-06T18:16:00Z</cp:lastPrinted>
  <dcterms:created xsi:type="dcterms:W3CDTF">2025-05-06T18:16:00Z</dcterms:created>
  <dcterms:modified xsi:type="dcterms:W3CDTF">2025-05-06T18:16:00Z</dcterms:modified>
</cp:coreProperties>
</file>