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displacedByCustomXml="next"/>
    <w:bookmarkEnd w:id="0" w:displacedByCustomXml="next"/>
    <w:sdt>
      <w:sdtPr>
        <w:rPr>
          <w:rFonts w:ascii="Palatino Linotype" w:hAnsi="Palatino Linotype"/>
          <w:color w:val="auto"/>
          <w:sz w:val="22"/>
          <w:szCs w:val="22"/>
          <w:lang w:val="es-ES"/>
        </w:rPr>
        <w:id w:val="-1101874039"/>
        <w:docPartObj>
          <w:docPartGallery w:val="Table of Contents"/>
          <w:docPartUnique/>
        </w:docPartObj>
      </w:sdtPr>
      <w:sdtEndPr>
        <w:rPr>
          <w:b/>
          <w:bCs/>
        </w:rPr>
      </w:sdtEndPr>
      <w:sdtContent>
        <w:p w14:paraId="690B2AA5" w14:textId="77777777" w:rsidR="00523B27" w:rsidRPr="001D1971" w:rsidRDefault="00523B27" w:rsidP="001D1971">
          <w:pPr>
            <w:pStyle w:val="TtulodeTDC"/>
            <w:rPr>
              <w:color w:val="auto"/>
            </w:rPr>
          </w:pPr>
          <w:r w:rsidRPr="001D1971">
            <w:rPr>
              <w:color w:val="auto"/>
              <w:lang w:val="es-ES"/>
            </w:rPr>
            <w:t>Contenido</w:t>
          </w:r>
        </w:p>
        <w:p w14:paraId="0611DC99" w14:textId="5DA30A7C" w:rsidR="001D1971" w:rsidRPr="001D1971" w:rsidRDefault="00523B27" w:rsidP="001D1971">
          <w:pPr>
            <w:pStyle w:val="TDC1"/>
            <w:tabs>
              <w:tab w:val="right" w:leader="dot" w:pos="9034"/>
            </w:tabs>
            <w:rPr>
              <w:rFonts w:asciiTheme="minorHAnsi" w:eastAsiaTheme="minorEastAsia" w:hAnsiTheme="minorHAnsi" w:cstheme="minorBidi"/>
              <w:noProof/>
            </w:rPr>
          </w:pPr>
          <w:r w:rsidRPr="001D1971">
            <w:rPr>
              <w:b/>
              <w:bCs/>
              <w:lang w:val="es-ES"/>
            </w:rPr>
            <w:fldChar w:fldCharType="begin"/>
          </w:r>
          <w:r w:rsidRPr="001D1971">
            <w:rPr>
              <w:b/>
              <w:bCs/>
              <w:lang w:val="es-ES"/>
            </w:rPr>
            <w:instrText xml:space="preserve"> TOC \o "1-3" \h \z \u </w:instrText>
          </w:r>
          <w:r w:rsidRPr="001D1971">
            <w:rPr>
              <w:b/>
              <w:bCs/>
              <w:lang w:val="es-ES"/>
            </w:rPr>
            <w:fldChar w:fldCharType="separate"/>
          </w:r>
          <w:hyperlink w:anchor="_Toc206614545" w:history="1">
            <w:r w:rsidR="001D1971" w:rsidRPr="001D1971">
              <w:rPr>
                <w:rStyle w:val="Hipervnculo"/>
                <w:noProof/>
                <w:color w:val="auto"/>
              </w:rPr>
              <w:t>ANTECEDENTES</w:t>
            </w:r>
            <w:r w:rsidR="001D1971" w:rsidRPr="001D1971">
              <w:rPr>
                <w:noProof/>
                <w:webHidden/>
              </w:rPr>
              <w:tab/>
            </w:r>
            <w:r w:rsidR="001D1971" w:rsidRPr="001D1971">
              <w:rPr>
                <w:noProof/>
                <w:webHidden/>
              </w:rPr>
              <w:fldChar w:fldCharType="begin"/>
            </w:r>
            <w:r w:rsidR="001D1971" w:rsidRPr="001D1971">
              <w:rPr>
                <w:noProof/>
                <w:webHidden/>
              </w:rPr>
              <w:instrText xml:space="preserve"> PAGEREF _Toc206614545 \h </w:instrText>
            </w:r>
            <w:r w:rsidR="001D1971" w:rsidRPr="001D1971">
              <w:rPr>
                <w:noProof/>
                <w:webHidden/>
              </w:rPr>
            </w:r>
            <w:r w:rsidR="001D1971" w:rsidRPr="001D1971">
              <w:rPr>
                <w:noProof/>
                <w:webHidden/>
              </w:rPr>
              <w:fldChar w:fldCharType="separate"/>
            </w:r>
            <w:r w:rsidR="00424514">
              <w:rPr>
                <w:noProof/>
                <w:webHidden/>
              </w:rPr>
              <w:t>1</w:t>
            </w:r>
            <w:r w:rsidR="001D1971" w:rsidRPr="001D1971">
              <w:rPr>
                <w:noProof/>
                <w:webHidden/>
              </w:rPr>
              <w:fldChar w:fldCharType="end"/>
            </w:r>
          </w:hyperlink>
        </w:p>
        <w:p w14:paraId="76489812" w14:textId="69FF6212" w:rsidR="001D1971" w:rsidRPr="001D1971" w:rsidRDefault="00424514" w:rsidP="001D1971">
          <w:pPr>
            <w:pStyle w:val="TDC2"/>
            <w:rPr>
              <w:rFonts w:asciiTheme="minorHAnsi" w:eastAsiaTheme="minorEastAsia" w:hAnsiTheme="minorHAnsi" w:cstheme="minorBidi"/>
              <w:noProof/>
            </w:rPr>
          </w:pPr>
          <w:hyperlink w:anchor="_Toc206614546" w:history="1">
            <w:r w:rsidR="001D1971" w:rsidRPr="001D1971">
              <w:rPr>
                <w:rStyle w:val="Hipervnculo"/>
                <w:noProof/>
                <w:color w:val="auto"/>
              </w:rPr>
              <w:t>DE LA SOLICITUD DE INFORMACIÓN</w:t>
            </w:r>
            <w:r w:rsidR="001D1971" w:rsidRPr="001D1971">
              <w:rPr>
                <w:noProof/>
                <w:webHidden/>
              </w:rPr>
              <w:tab/>
            </w:r>
            <w:r w:rsidR="001D1971" w:rsidRPr="001D1971">
              <w:rPr>
                <w:noProof/>
                <w:webHidden/>
              </w:rPr>
              <w:fldChar w:fldCharType="begin"/>
            </w:r>
            <w:r w:rsidR="001D1971" w:rsidRPr="001D1971">
              <w:rPr>
                <w:noProof/>
                <w:webHidden/>
              </w:rPr>
              <w:instrText xml:space="preserve"> PAGEREF _Toc206614546 \h </w:instrText>
            </w:r>
            <w:r w:rsidR="001D1971" w:rsidRPr="001D1971">
              <w:rPr>
                <w:noProof/>
                <w:webHidden/>
              </w:rPr>
            </w:r>
            <w:r w:rsidR="001D1971" w:rsidRPr="001D1971">
              <w:rPr>
                <w:noProof/>
                <w:webHidden/>
              </w:rPr>
              <w:fldChar w:fldCharType="separate"/>
            </w:r>
            <w:r>
              <w:rPr>
                <w:noProof/>
                <w:webHidden/>
              </w:rPr>
              <w:t>1</w:t>
            </w:r>
            <w:r w:rsidR="001D1971" w:rsidRPr="001D1971">
              <w:rPr>
                <w:noProof/>
                <w:webHidden/>
              </w:rPr>
              <w:fldChar w:fldCharType="end"/>
            </w:r>
          </w:hyperlink>
        </w:p>
        <w:p w14:paraId="59FED71C" w14:textId="75A4D442" w:rsidR="001D1971" w:rsidRPr="001D1971" w:rsidRDefault="00424514" w:rsidP="001D1971">
          <w:pPr>
            <w:pStyle w:val="TDC3"/>
            <w:rPr>
              <w:rFonts w:asciiTheme="minorHAnsi" w:eastAsiaTheme="minorEastAsia" w:hAnsiTheme="minorHAnsi" w:cstheme="minorBidi"/>
              <w:noProof/>
            </w:rPr>
          </w:pPr>
          <w:hyperlink w:anchor="_Toc206614547" w:history="1">
            <w:r w:rsidR="001D1971" w:rsidRPr="001D1971">
              <w:rPr>
                <w:rStyle w:val="Hipervnculo"/>
                <w:noProof/>
                <w:color w:val="auto"/>
              </w:rPr>
              <w:t>a) Solicitud de información</w:t>
            </w:r>
            <w:r w:rsidR="001D1971" w:rsidRPr="001D1971">
              <w:rPr>
                <w:noProof/>
                <w:webHidden/>
              </w:rPr>
              <w:tab/>
            </w:r>
            <w:r w:rsidR="001D1971" w:rsidRPr="001D1971">
              <w:rPr>
                <w:noProof/>
                <w:webHidden/>
              </w:rPr>
              <w:fldChar w:fldCharType="begin"/>
            </w:r>
            <w:r w:rsidR="001D1971" w:rsidRPr="001D1971">
              <w:rPr>
                <w:noProof/>
                <w:webHidden/>
              </w:rPr>
              <w:instrText xml:space="preserve"> PAGEREF _Toc206614547 \h </w:instrText>
            </w:r>
            <w:r w:rsidR="001D1971" w:rsidRPr="001D1971">
              <w:rPr>
                <w:noProof/>
                <w:webHidden/>
              </w:rPr>
            </w:r>
            <w:r w:rsidR="001D1971" w:rsidRPr="001D1971">
              <w:rPr>
                <w:noProof/>
                <w:webHidden/>
              </w:rPr>
              <w:fldChar w:fldCharType="separate"/>
            </w:r>
            <w:r>
              <w:rPr>
                <w:noProof/>
                <w:webHidden/>
              </w:rPr>
              <w:t>1</w:t>
            </w:r>
            <w:r w:rsidR="001D1971" w:rsidRPr="001D1971">
              <w:rPr>
                <w:noProof/>
                <w:webHidden/>
              </w:rPr>
              <w:fldChar w:fldCharType="end"/>
            </w:r>
          </w:hyperlink>
        </w:p>
        <w:p w14:paraId="208F2EA8" w14:textId="79C273E5" w:rsidR="001D1971" w:rsidRPr="001D1971" w:rsidRDefault="00424514" w:rsidP="001D1971">
          <w:pPr>
            <w:pStyle w:val="TDC3"/>
            <w:rPr>
              <w:rFonts w:asciiTheme="minorHAnsi" w:eastAsiaTheme="minorEastAsia" w:hAnsiTheme="minorHAnsi" w:cstheme="minorBidi"/>
              <w:noProof/>
            </w:rPr>
          </w:pPr>
          <w:hyperlink w:anchor="_Toc206614548" w:history="1">
            <w:r w:rsidR="001D1971" w:rsidRPr="001D1971">
              <w:rPr>
                <w:rStyle w:val="Hipervnculo"/>
                <w:noProof/>
                <w:color w:val="auto"/>
              </w:rPr>
              <w:t>b) Turno de la solicitud de información</w:t>
            </w:r>
            <w:r w:rsidR="001D1971" w:rsidRPr="001D1971">
              <w:rPr>
                <w:noProof/>
                <w:webHidden/>
              </w:rPr>
              <w:tab/>
            </w:r>
            <w:r w:rsidR="001D1971" w:rsidRPr="001D1971">
              <w:rPr>
                <w:noProof/>
                <w:webHidden/>
              </w:rPr>
              <w:fldChar w:fldCharType="begin"/>
            </w:r>
            <w:r w:rsidR="001D1971" w:rsidRPr="001D1971">
              <w:rPr>
                <w:noProof/>
                <w:webHidden/>
              </w:rPr>
              <w:instrText xml:space="preserve"> PAGEREF _Toc206614548 \h </w:instrText>
            </w:r>
            <w:r w:rsidR="001D1971" w:rsidRPr="001D1971">
              <w:rPr>
                <w:noProof/>
                <w:webHidden/>
              </w:rPr>
            </w:r>
            <w:r w:rsidR="001D1971" w:rsidRPr="001D1971">
              <w:rPr>
                <w:noProof/>
                <w:webHidden/>
              </w:rPr>
              <w:fldChar w:fldCharType="separate"/>
            </w:r>
            <w:r>
              <w:rPr>
                <w:noProof/>
                <w:webHidden/>
              </w:rPr>
              <w:t>2</w:t>
            </w:r>
            <w:r w:rsidR="001D1971" w:rsidRPr="001D1971">
              <w:rPr>
                <w:noProof/>
                <w:webHidden/>
              </w:rPr>
              <w:fldChar w:fldCharType="end"/>
            </w:r>
          </w:hyperlink>
        </w:p>
        <w:p w14:paraId="2FFDA292" w14:textId="0B9C0AF8" w:rsidR="001D1971" w:rsidRPr="001D1971" w:rsidRDefault="00424514" w:rsidP="001D1971">
          <w:pPr>
            <w:pStyle w:val="TDC3"/>
            <w:rPr>
              <w:rFonts w:asciiTheme="minorHAnsi" w:eastAsiaTheme="minorEastAsia" w:hAnsiTheme="minorHAnsi" w:cstheme="minorBidi"/>
              <w:noProof/>
            </w:rPr>
          </w:pPr>
          <w:hyperlink w:anchor="_Toc206614549" w:history="1">
            <w:r w:rsidR="001D1971" w:rsidRPr="001D1971">
              <w:rPr>
                <w:rStyle w:val="Hipervnculo"/>
                <w:noProof/>
                <w:color w:val="auto"/>
              </w:rPr>
              <w:t>c) Respuesta del Sujeto Obligado</w:t>
            </w:r>
            <w:r w:rsidR="001D1971" w:rsidRPr="001D1971">
              <w:rPr>
                <w:noProof/>
                <w:webHidden/>
              </w:rPr>
              <w:tab/>
            </w:r>
            <w:r w:rsidR="001D1971" w:rsidRPr="001D1971">
              <w:rPr>
                <w:noProof/>
                <w:webHidden/>
              </w:rPr>
              <w:fldChar w:fldCharType="begin"/>
            </w:r>
            <w:r w:rsidR="001D1971" w:rsidRPr="001D1971">
              <w:rPr>
                <w:noProof/>
                <w:webHidden/>
              </w:rPr>
              <w:instrText xml:space="preserve"> PAGEREF _Toc206614549 \h </w:instrText>
            </w:r>
            <w:r w:rsidR="001D1971" w:rsidRPr="001D1971">
              <w:rPr>
                <w:noProof/>
                <w:webHidden/>
              </w:rPr>
            </w:r>
            <w:r w:rsidR="001D1971" w:rsidRPr="001D1971">
              <w:rPr>
                <w:noProof/>
                <w:webHidden/>
              </w:rPr>
              <w:fldChar w:fldCharType="separate"/>
            </w:r>
            <w:r>
              <w:rPr>
                <w:noProof/>
                <w:webHidden/>
              </w:rPr>
              <w:t>2</w:t>
            </w:r>
            <w:r w:rsidR="001D1971" w:rsidRPr="001D1971">
              <w:rPr>
                <w:noProof/>
                <w:webHidden/>
              </w:rPr>
              <w:fldChar w:fldCharType="end"/>
            </w:r>
          </w:hyperlink>
        </w:p>
        <w:p w14:paraId="30529614" w14:textId="50E09859" w:rsidR="001D1971" w:rsidRPr="001D1971" w:rsidRDefault="00424514" w:rsidP="001D1971">
          <w:pPr>
            <w:pStyle w:val="TDC2"/>
            <w:rPr>
              <w:rFonts w:asciiTheme="minorHAnsi" w:eastAsiaTheme="minorEastAsia" w:hAnsiTheme="minorHAnsi" w:cstheme="minorBidi"/>
              <w:noProof/>
            </w:rPr>
          </w:pPr>
          <w:hyperlink w:anchor="_Toc206614550" w:history="1">
            <w:r w:rsidR="001D1971" w:rsidRPr="001D1971">
              <w:rPr>
                <w:rStyle w:val="Hipervnculo"/>
                <w:noProof/>
                <w:color w:val="auto"/>
              </w:rPr>
              <w:t>DEL RECURSO DE REVISIÓN</w:t>
            </w:r>
            <w:r w:rsidR="001D1971" w:rsidRPr="001D1971">
              <w:rPr>
                <w:noProof/>
                <w:webHidden/>
              </w:rPr>
              <w:tab/>
            </w:r>
            <w:r w:rsidR="001D1971" w:rsidRPr="001D1971">
              <w:rPr>
                <w:noProof/>
                <w:webHidden/>
              </w:rPr>
              <w:fldChar w:fldCharType="begin"/>
            </w:r>
            <w:r w:rsidR="001D1971" w:rsidRPr="001D1971">
              <w:rPr>
                <w:noProof/>
                <w:webHidden/>
              </w:rPr>
              <w:instrText xml:space="preserve"> PAGEREF _Toc206614550 \h </w:instrText>
            </w:r>
            <w:r w:rsidR="001D1971" w:rsidRPr="001D1971">
              <w:rPr>
                <w:noProof/>
                <w:webHidden/>
              </w:rPr>
            </w:r>
            <w:r w:rsidR="001D1971" w:rsidRPr="001D1971">
              <w:rPr>
                <w:noProof/>
                <w:webHidden/>
              </w:rPr>
              <w:fldChar w:fldCharType="separate"/>
            </w:r>
            <w:r>
              <w:rPr>
                <w:noProof/>
                <w:webHidden/>
              </w:rPr>
              <w:t>3</w:t>
            </w:r>
            <w:r w:rsidR="001D1971" w:rsidRPr="001D1971">
              <w:rPr>
                <w:noProof/>
                <w:webHidden/>
              </w:rPr>
              <w:fldChar w:fldCharType="end"/>
            </w:r>
          </w:hyperlink>
        </w:p>
        <w:p w14:paraId="6B544B57" w14:textId="531926CD" w:rsidR="001D1971" w:rsidRPr="001D1971" w:rsidRDefault="00424514" w:rsidP="001D1971">
          <w:pPr>
            <w:pStyle w:val="TDC3"/>
            <w:rPr>
              <w:rFonts w:asciiTheme="minorHAnsi" w:eastAsiaTheme="minorEastAsia" w:hAnsiTheme="minorHAnsi" w:cstheme="minorBidi"/>
              <w:noProof/>
            </w:rPr>
          </w:pPr>
          <w:hyperlink w:anchor="_Toc206614551" w:history="1">
            <w:r w:rsidR="001D1971" w:rsidRPr="001D1971">
              <w:rPr>
                <w:rStyle w:val="Hipervnculo"/>
                <w:noProof/>
                <w:color w:val="auto"/>
              </w:rPr>
              <w:t>a) Interposición del Recurso de Revisión</w:t>
            </w:r>
            <w:r w:rsidR="001D1971" w:rsidRPr="001D1971">
              <w:rPr>
                <w:noProof/>
                <w:webHidden/>
              </w:rPr>
              <w:tab/>
            </w:r>
            <w:r w:rsidR="001D1971" w:rsidRPr="001D1971">
              <w:rPr>
                <w:noProof/>
                <w:webHidden/>
              </w:rPr>
              <w:fldChar w:fldCharType="begin"/>
            </w:r>
            <w:r w:rsidR="001D1971" w:rsidRPr="001D1971">
              <w:rPr>
                <w:noProof/>
                <w:webHidden/>
              </w:rPr>
              <w:instrText xml:space="preserve"> PAGEREF _Toc206614551 \h </w:instrText>
            </w:r>
            <w:r w:rsidR="001D1971" w:rsidRPr="001D1971">
              <w:rPr>
                <w:noProof/>
                <w:webHidden/>
              </w:rPr>
            </w:r>
            <w:r w:rsidR="001D1971" w:rsidRPr="001D1971">
              <w:rPr>
                <w:noProof/>
                <w:webHidden/>
              </w:rPr>
              <w:fldChar w:fldCharType="separate"/>
            </w:r>
            <w:r>
              <w:rPr>
                <w:noProof/>
                <w:webHidden/>
              </w:rPr>
              <w:t>3</w:t>
            </w:r>
            <w:r w:rsidR="001D1971" w:rsidRPr="001D1971">
              <w:rPr>
                <w:noProof/>
                <w:webHidden/>
              </w:rPr>
              <w:fldChar w:fldCharType="end"/>
            </w:r>
          </w:hyperlink>
        </w:p>
        <w:p w14:paraId="1BDB2CCA" w14:textId="6D0295E9" w:rsidR="001D1971" w:rsidRPr="001D1971" w:rsidRDefault="00424514" w:rsidP="001D1971">
          <w:pPr>
            <w:pStyle w:val="TDC3"/>
            <w:rPr>
              <w:rFonts w:asciiTheme="minorHAnsi" w:eastAsiaTheme="minorEastAsia" w:hAnsiTheme="minorHAnsi" w:cstheme="minorBidi"/>
              <w:noProof/>
            </w:rPr>
          </w:pPr>
          <w:hyperlink w:anchor="_Toc206614552" w:history="1">
            <w:r w:rsidR="001D1971" w:rsidRPr="001D1971">
              <w:rPr>
                <w:rStyle w:val="Hipervnculo"/>
                <w:noProof/>
                <w:color w:val="auto"/>
              </w:rPr>
              <w:t>b) Turno del Recurso de Revisión</w:t>
            </w:r>
            <w:r w:rsidR="001D1971" w:rsidRPr="001D1971">
              <w:rPr>
                <w:noProof/>
                <w:webHidden/>
              </w:rPr>
              <w:tab/>
            </w:r>
            <w:r w:rsidR="001D1971" w:rsidRPr="001D1971">
              <w:rPr>
                <w:noProof/>
                <w:webHidden/>
              </w:rPr>
              <w:fldChar w:fldCharType="begin"/>
            </w:r>
            <w:r w:rsidR="001D1971" w:rsidRPr="001D1971">
              <w:rPr>
                <w:noProof/>
                <w:webHidden/>
              </w:rPr>
              <w:instrText xml:space="preserve"> PAGEREF _Toc206614552 \h </w:instrText>
            </w:r>
            <w:r w:rsidR="001D1971" w:rsidRPr="001D1971">
              <w:rPr>
                <w:noProof/>
                <w:webHidden/>
              </w:rPr>
            </w:r>
            <w:r w:rsidR="001D1971" w:rsidRPr="001D1971">
              <w:rPr>
                <w:noProof/>
                <w:webHidden/>
              </w:rPr>
              <w:fldChar w:fldCharType="separate"/>
            </w:r>
            <w:r>
              <w:rPr>
                <w:noProof/>
                <w:webHidden/>
              </w:rPr>
              <w:t>3</w:t>
            </w:r>
            <w:r w:rsidR="001D1971" w:rsidRPr="001D1971">
              <w:rPr>
                <w:noProof/>
                <w:webHidden/>
              </w:rPr>
              <w:fldChar w:fldCharType="end"/>
            </w:r>
          </w:hyperlink>
        </w:p>
        <w:p w14:paraId="4251EF50" w14:textId="6F6C43BF" w:rsidR="001D1971" w:rsidRPr="001D1971" w:rsidRDefault="00424514" w:rsidP="001D1971">
          <w:pPr>
            <w:pStyle w:val="TDC3"/>
            <w:rPr>
              <w:rFonts w:asciiTheme="minorHAnsi" w:eastAsiaTheme="minorEastAsia" w:hAnsiTheme="minorHAnsi" w:cstheme="minorBidi"/>
              <w:noProof/>
            </w:rPr>
          </w:pPr>
          <w:hyperlink w:anchor="_Toc206614553" w:history="1">
            <w:r w:rsidR="001D1971" w:rsidRPr="001D1971">
              <w:rPr>
                <w:rStyle w:val="Hipervnculo"/>
                <w:noProof/>
                <w:color w:val="auto"/>
              </w:rPr>
              <w:t>c) Admisión del Recurso de Revisión</w:t>
            </w:r>
            <w:r w:rsidR="001D1971" w:rsidRPr="001D1971">
              <w:rPr>
                <w:noProof/>
                <w:webHidden/>
              </w:rPr>
              <w:tab/>
            </w:r>
            <w:r w:rsidR="001D1971" w:rsidRPr="001D1971">
              <w:rPr>
                <w:noProof/>
                <w:webHidden/>
              </w:rPr>
              <w:fldChar w:fldCharType="begin"/>
            </w:r>
            <w:r w:rsidR="001D1971" w:rsidRPr="001D1971">
              <w:rPr>
                <w:noProof/>
                <w:webHidden/>
              </w:rPr>
              <w:instrText xml:space="preserve"> PAGEREF _Toc206614553 \h </w:instrText>
            </w:r>
            <w:r w:rsidR="001D1971" w:rsidRPr="001D1971">
              <w:rPr>
                <w:noProof/>
                <w:webHidden/>
              </w:rPr>
            </w:r>
            <w:r w:rsidR="001D1971" w:rsidRPr="001D1971">
              <w:rPr>
                <w:noProof/>
                <w:webHidden/>
              </w:rPr>
              <w:fldChar w:fldCharType="separate"/>
            </w:r>
            <w:r>
              <w:rPr>
                <w:noProof/>
                <w:webHidden/>
              </w:rPr>
              <w:t>3</w:t>
            </w:r>
            <w:r w:rsidR="001D1971" w:rsidRPr="001D1971">
              <w:rPr>
                <w:noProof/>
                <w:webHidden/>
              </w:rPr>
              <w:fldChar w:fldCharType="end"/>
            </w:r>
          </w:hyperlink>
        </w:p>
        <w:p w14:paraId="5C56B72A" w14:textId="014B705F" w:rsidR="001D1971" w:rsidRPr="001D1971" w:rsidRDefault="00424514" w:rsidP="001D1971">
          <w:pPr>
            <w:pStyle w:val="TDC3"/>
            <w:rPr>
              <w:rFonts w:asciiTheme="minorHAnsi" w:eastAsiaTheme="minorEastAsia" w:hAnsiTheme="minorHAnsi" w:cstheme="minorBidi"/>
              <w:noProof/>
            </w:rPr>
          </w:pPr>
          <w:hyperlink w:anchor="_Toc206614554" w:history="1">
            <w:r w:rsidR="001D1971" w:rsidRPr="001D1971">
              <w:rPr>
                <w:rStyle w:val="Hipervnculo"/>
                <w:noProof/>
                <w:color w:val="auto"/>
              </w:rPr>
              <w:t>d) Informe Justificado del Sujeto Obligado</w:t>
            </w:r>
            <w:r w:rsidR="001D1971" w:rsidRPr="001D1971">
              <w:rPr>
                <w:noProof/>
                <w:webHidden/>
              </w:rPr>
              <w:tab/>
            </w:r>
            <w:r w:rsidR="001D1971" w:rsidRPr="001D1971">
              <w:rPr>
                <w:noProof/>
                <w:webHidden/>
              </w:rPr>
              <w:fldChar w:fldCharType="begin"/>
            </w:r>
            <w:r w:rsidR="001D1971" w:rsidRPr="001D1971">
              <w:rPr>
                <w:noProof/>
                <w:webHidden/>
              </w:rPr>
              <w:instrText xml:space="preserve"> PAGEREF _Toc206614554 \h </w:instrText>
            </w:r>
            <w:r w:rsidR="001D1971" w:rsidRPr="001D1971">
              <w:rPr>
                <w:noProof/>
                <w:webHidden/>
              </w:rPr>
            </w:r>
            <w:r w:rsidR="001D1971" w:rsidRPr="001D1971">
              <w:rPr>
                <w:noProof/>
                <w:webHidden/>
              </w:rPr>
              <w:fldChar w:fldCharType="separate"/>
            </w:r>
            <w:r>
              <w:rPr>
                <w:noProof/>
                <w:webHidden/>
              </w:rPr>
              <w:t>4</w:t>
            </w:r>
            <w:r w:rsidR="001D1971" w:rsidRPr="001D1971">
              <w:rPr>
                <w:noProof/>
                <w:webHidden/>
              </w:rPr>
              <w:fldChar w:fldCharType="end"/>
            </w:r>
          </w:hyperlink>
        </w:p>
        <w:p w14:paraId="05BD9DB4" w14:textId="4CE4C26B" w:rsidR="001D1971" w:rsidRPr="001D1971" w:rsidRDefault="00424514" w:rsidP="001D1971">
          <w:pPr>
            <w:pStyle w:val="TDC3"/>
            <w:rPr>
              <w:rFonts w:asciiTheme="minorHAnsi" w:eastAsiaTheme="minorEastAsia" w:hAnsiTheme="minorHAnsi" w:cstheme="minorBidi"/>
              <w:noProof/>
            </w:rPr>
          </w:pPr>
          <w:hyperlink w:anchor="_Toc206614555" w:history="1">
            <w:r w:rsidR="001D1971" w:rsidRPr="001D1971">
              <w:rPr>
                <w:rStyle w:val="Hipervnculo"/>
                <w:noProof/>
                <w:color w:val="auto"/>
              </w:rPr>
              <w:t>e) Manifestaciones de la Parte Recurrente</w:t>
            </w:r>
            <w:r w:rsidR="001D1971" w:rsidRPr="001D1971">
              <w:rPr>
                <w:noProof/>
                <w:webHidden/>
              </w:rPr>
              <w:tab/>
            </w:r>
            <w:r w:rsidR="001D1971" w:rsidRPr="001D1971">
              <w:rPr>
                <w:noProof/>
                <w:webHidden/>
              </w:rPr>
              <w:fldChar w:fldCharType="begin"/>
            </w:r>
            <w:r w:rsidR="001D1971" w:rsidRPr="001D1971">
              <w:rPr>
                <w:noProof/>
                <w:webHidden/>
              </w:rPr>
              <w:instrText xml:space="preserve"> PAGEREF _Toc206614555 \h </w:instrText>
            </w:r>
            <w:r w:rsidR="001D1971" w:rsidRPr="001D1971">
              <w:rPr>
                <w:noProof/>
                <w:webHidden/>
              </w:rPr>
            </w:r>
            <w:r w:rsidR="001D1971" w:rsidRPr="001D1971">
              <w:rPr>
                <w:noProof/>
                <w:webHidden/>
              </w:rPr>
              <w:fldChar w:fldCharType="separate"/>
            </w:r>
            <w:r>
              <w:rPr>
                <w:noProof/>
                <w:webHidden/>
              </w:rPr>
              <w:t>4</w:t>
            </w:r>
            <w:r w:rsidR="001D1971" w:rsidRPr="001D1971">
              <w:rPr>
                <w:noProof/>
                <w:webHidden/>
              </w:rPr>
              <w:fldChar w:fldCharType="end"/>
            </w:r>
          </w:hyperlink>
        </w:p>
        <w:p w14:paraId="5657B4E4" w14:textId="7EF1AAE7" w:rsidR="001D1971" w:rsidRPr="001D1971" w:rsidRDefault="00424514" w:rsidP="001D1971">
          <w:pPr>
            <w:pStyle w:val="TDC3"/>
            <w:rPr>
              <w:rFonts w:asciiTheme="minorHAnsi" w:eastAsiaTheme="minorEastAsia" w:hAnsiTheme="minorHAnsi" w:cstheme="minorBidi"/>
              <w:noProof/>
            </w:rPr>
          </w:pPr>
          <w:hyperlink w:anchor="_Toc206614556" w:history="1">
            <w:r w:rsidR="001D1971" w:rsidRPr="001D1971">
              <w:rPr>
                <w:rStyle w:val="Hipervnculo"/>
                <w:noProof/>
                <w:color w:val="auto"/>
              </w:rPr>
              <w:t>f) Ampliación de Plazo para Resolver</w:t>
            </w:r>
            <w:r w:rsidR="001D1971" w:rsidRPr="001D1971">
              <w:rPr>
                <w:noProof/>
                <w:webHidden/>
              </w:rPr>
              <w:tab/>
            </w:r>
            <w:r w:rsidR="001D1971" w:rsidRPr="001D1971">
              <w:rPr>
                <w:noProof/>
                <w:webHidden/>
              </w:rPr>
              <w:fldChar w:fldCharType="begin"/>
            </w:r>
            <w:r w:rsidR="001D1971" w:rsidRPr="001D1971">
              <w:rPr>
                <w:noProof/>
                <w:webHidden/>
              </w:rPr>
              <w:instrText xml:space="preserve"> PAGEREF _Toc206614556 \h </w:instrText>
            </w:r>
            <w:r w:rsidR="001D1971" w:rsidRPr="001D1971">
              <w:rPr>
                <w:noProof/>
                <w:webHidden/>
              </w:rPr>
            </w:r>
            <w:r w:rsidR="001D1971" w:rsidRPr="001D1971">
              <w:rPr>
                <w:noProof/>
                <w:webHidden/>
              </w:rPr>
              <w:fldChar w:fldCharType="separate"/>
            </w:r>
            <w:r>
              <w:rPr>
                <w:noProof/>
                <w:webHidden/>
              </w:rPr>
              <w:t>4</w:t>
            </w:r>
            <w:r w:rsidR="001D1971" w:rsidRPr="001D1971">
              <w:rPr>
                <w:noProof/>
                <w:webHidden/>
              </w:rPr>
              <w:fldChar w:fldCharType="end"/>
            </w:r>
          </w:hyperlink>
        </w:p>
        <w:p w14:paraId="7DC37900" w14:textId="68170AAB" w:rsidR="001D1971" w:rsidRPr="001D1971" w:rsidRDefault="00424514" w:rsidP="001D1971">
          <w:pPr>
            <w:pStyle w:val="TDC3"/>
            <w:rPr>
              <w:rFonts w:asciiTheme="minorHAnsi" w:eastAsiaTheme="minorEastAsia" w:hAnsiTheme="minorHAnsi" w:cstheme="minorBidi"/>
              <w:noProof/>
            </w:rPr>
          </w:pPr>
          <w:hyperlink w:anchor="_Toc206614557" w:history="1">
            <w:r w:rsidR="001D1971" w:rsidRPr="001D1971">
              <w:rPr>
                <w:rStyle w:val="Hipervnculo"/>
                <w:noProof/>
                <w:color w:val="auto"/>
              </w:rPr>
              <w:t>g) Cierre de instrucción</w:t>
            </w:r>
            <w:r w:rsidR="001D1971" w:rsidRPr="001D1971">
              <w:rPr>
                <w:noProof/>
                <w:webHidden/>
              </w:rPr>
              <w:tab/>
            </w:r>
            <w:r w:rsidR="001D1971" w:rsidRPr="001D1971">
              <w:rPr>
                <w:noProof/>
                <w:webHidden/>
              </w:rPr>
              <w:fldChar w:fldCharType="begin"/>
            </w:r>
            <w:r w:rsidR="001D1971" w:rsidRPr="001D1971">
              <w:rPr>
                <w:noProof/>
                <w:webHidden/>
              </w:rPr>
              <w:instrText xml:space="preserve"> PAGEREF _Toc206614557 \h </w:instrText>
            </w:r>
            <w:r w:rsidR="001D1971" w:rsidRPr="001D1971">
              <w:rPr>
                <w:noProof/>
                <w:webHidden/>
              </w:rPr>
            </w:r>
            <w:r w:rsidR="001D1971" w:rsidRPr="001D1971">
              <w:rPr>
                <w:noProof/>
                <w:webHidden/>
              </w:rPr>
              <w:fldChar w:fldCharType="separate"/>
            </w:r>
            <w:r>
              <w:rPr>
                <w:noProof/>
                <w:webHidden/>
              </w:rPr>
              <w:t>7</w:t>
            </w:r>
            <w:r w:rsidR="001D1971" w:rsidRPr="001D1971">
              <w:rPr>
                <w:noProof/>
                <w:webHidden/>
              </w:rPr>
              <w:fldChar w:fldCharType="end"/>
            </w:r>
          </w:hyperlink>
        </w:p>
        <w:p w14:paraId="4F05DD99" w14:textId="6C1AE56D" w:rsidR="001D1971" w:rsidRPr="001D1971" w:rsidRDefault="00424514" w:rsidP="001D1971">
          <w:pPr>
            <w:pStyle w:val="TDC1"/>
            <w:tabs>
              <w:tab w:val="right" w:leader="dot" w:pos="9034"/>
            </w:tabs>
            <w:rPr>
              <w:rFonts w:asciiTheme="minorHAnsi" w:eastAsiaTheme="minorEastAsia" w:hAnsiTheme="minorHAnsi" w:cstheme="minorBidi"/>
              <w:noProof/>
            </w:rPr>
          </w:pPr>
          <w:hyperlink w:anchor="_Toc206614558" w:history="1">
            <w:r w:rsidR="001D1971" w:rsidRPr="001D1971">
              <w:rPr>
                <w:rStyle w:val="Hipervnculo"/>
                <w:noProof/>
                <w:color w:val="auto"/>
              </w:rPr>
              <w:t>CONSIDERANDOS</w:t>
            </w:r>
            <w:r w:rsidR="001D1971" w:rsidRPr="001D1971">
              <w:rPr>
                <w:noProof/>
                <w:webHidden/>
              </w:rPr>
              <w:tab/>
            </w:r>
            <w:r w:rsidR="001D1971" w:rsidRPr="001D1971">
              <w:rPr>
                <w:noProof/>
                <w:webHidden/>
              </w:rPr>
              <w:fldChar w:fldCharType="begin"/>
            </w:r>
            <w:r w:rsidR="001D1971" w:rsidRPr="001D1971">
              <w:rPr>
                <w:noProof/>
                <w:webHidden/>
              </w:rPr>
              <w:instrText xml:space="preserve"> PAGEREF _Toc206614558 \h </w:instrText>
            </w:r>
            <w:r w:rsidR="001D1971" w:rsidRPr="001D1971">
              <w:rPr>
                <w:noProof/>
                <w:webHidden/>
              </w:rPr>
            </w:r>
            <w:r w:rsidR="001D1971" w:rsidRPr="001D1971">
              <w:rPr>
                <w:noProof/>
                <w:webHidden/>
              </w:rPr>
              <w:fldChar w:fldCharType="separate"/>
            </w:r>
            <w:r>
              <w:rPr>
                <w:noProof/>
                <w:webHidden/>
              </w:rPr>
              <w:t>8</w:t>
            </w:r>
            <w:r w:rsidR="001D1971" w:rsidRPr="001D1971">
              <w:rPr>
                <w:noProof/>
                <w:webHidden/>
              </w:rPr>
              <w:fldChar w:fldCharType="end"/>
            </w:r>
          </w:hyperlink>
        </w:p>
        <w:p w14:paraId="2F13264D" w14:textId="0349C850" w:rsidR="001D1971" w:rsidRPr="001D1971" w:rsidRDefault="00424514" w:rsidP="001D1971">
          <w:pPr>
            <w:pStyle w:val="TDC2"/>
            <w:rPr>
              <w:rFonts w:asciiTheme="minorHAnsi" w:eastAsiaTheme="minorEastAsia" w:hAnsiTheme="minorHAnsi" w:cstheme="minorBidi"/>
              <w:noProof/>
            </w:rPr>
          </w:pPr>
          <w:hyperlink w:anchor="_Toc206614559" w:history="1">
            <w:r w:rsidR="001D1971" w:rsidRPr="001D1971">
              <w:rPr>
                <w:rStyle w:val="Hipervnculo"/>
                <w:noProof/>
                <w:color w:val="auto"/>
              </w:rPr>
              <w:t>PRIMERO. Procedibilidad</w:t>
            </w:r>
            <w:r w:rsidR="001D1971" w:rsidRPr="001D1971">
              <w:rPr>
                <w:noProof/>
                <w:webHidden/>
              </w:rPr>
              <w:tab/>
            </w:r>
            <w:r w:rsidR="001D1971" w:rsidRPr="001D1971">
              <w:rPr>
                <w:noProof/>
                <w:webHidden/>
              </w:rPr>
              <w:fldChar w:fldCharType="begin"/>
            </w:r>
            <w:r w:rsidR="001D1971" w:rsidRPr="001D1971">
              <w:rPr>
                <w:noProof/>
                <w:webHidden/>
              </w:rPr>
              <w:instrText xml:space="preserve"> PAGEREF _Toc206614559 \h </w:instrText>
            </w:r>
            <w:r w:rsidR="001D1971" w:rsidRPr="001D1971">
              <w:rPr>
                <w:noProof/>
                <w:webHidden/>
              </w:rPr>
            </w:r>
            <w:r w:rsidR="001D1971" w:rsidRPr="001D1971">
              <w:rPr>
                <w:noProof/>
                <w:webHidden/>
              </w:rPr>
              <w:fldChar w:fldCharType="separate"/>
            </w:r>
            <w:r>
              <w:rPr>
                <w:noProof/>
                <w:webHidden/>
              </w:rPr>
              <w:t>8</w:t>
            </w:r>
            <w:r w:rsidR="001D1971" w:rsidRPr="001D1971">
              <w:rPr>
                <w:noProof/>
                <w:webHidden/>
              </w:rPr>
              <w:fldChar w:fldCharType="end"/>
            </w:r>
          </w:hyperlink>
        </w:p>
        <w:p w14:paraId="0CB12B26" w14:textId="302BA366" w:rsidR="001D1971" w:rsidRPr="001D1971" w:rsidRDefault="00424514" w:rsidP="001D1971">
          <w:pPr>
            <w:pStyle w:val="TDC3"/>
            <w:rPr>
              <w:rFonts w:asciiTheme="minorHAnsi" w:eastAsiaTheme="minorEastAsia" w:hAnsiTheme="minorHAnsi" w:cstheme="minorBidi"/>
              <w:noProof/>
            </w:rPr>
          </w:pPr>
          <w:hyperlink w:anchor="_Toc206614560" w:history="1">
            <w:r w:rsidR="001D1971" w:rsidRPr="001D1971">
              <w:rPr>
                <w:rStyle w:val="Hipervnculo"/>
                <w:noProof/>
                <w:color w:val="auto"/>
              </w:rPr>
              <w:t>a) Competencia del Instituto</w:t>
            </w:r>
            <w:r w:rsidR="001D1971" w:rsidRPr="001D1971">
              <w:rPr>
                <w:noProof/>
                <w:webHidden/>
              </w:rPr>
              <w:tab/>
            </w:r>
            <w:r w:rsidR="001D1971" w:rsidRPr="001D1971">
              <w:rPr>
                <w:noProof/>
                <w:webHidden/>
              </w:rPr>
              <w:fldChar w:fldCharType="begin"/>
            </w:r>
            <w:r w:rsidR="001D1971" w:rsidRPr="001D1971">
              <w:rPr>
                <w:noProof/>
                <w:webHidden/>
              </w:rPr>
              <w:instrText xml:space="preserve"> PAGEREF _Toc206614560 \h </w:instrText>
            </w:r>
            <w:r w:rsidR="001D1971" w:rsidRPr="001D1971">
              <w:rPr>
                <w:noProof/>
                <w:webHidden/>
              </w:rPr>
            </w:r>
            <w:r w:rsidR="001D1971" w:rsidRPr="001D1971">
              <w:rPr>
                <w:noProof/>
                <w:webHidden/>
              </w:rPr>
              <w:fldChar w:fldCharType="separate"/>
            </w:r>
            <w:r>
              <w:rPr>
                <w:noProof/>
                <w:webHidden/>
              </w:rPr>
              <w:t>8</w:t>
            </w:r>
            <w:r w:rsidR="001D1971" w:rsidRPr="001D1971">
              <w:rPr>
                <w:noProof/>
                <w:webHidden/>
              </w:rPr>
              <w:fldChar w:fldCharType="end"/>
            </w:r>
          </w:hyperlink>
        </w:p>
        <w:p w14:paraId="03D0F5C0" w14:textId="0B6873F2" w:rsidR="001D1971" w:rsidRPr="001D1971" w:rsidRDefault="00424514" w:rsidP="001D1971">
          <w:pPr>
            <w:pStyle w:val="TDC3"/>
            <w:rPr>
              <w:rFonts w:asciiTheme="minorHAnsi" w:eastAsiaTheme="minorEastAsia" w:hAnsiTheme="minorHAnsi" w:cstheme="minorBidi"/>
              <w:noProof/>
            </w:rPr>
          </w:pPr>
          <w:hyperlink w:anchor="_Toc206614561" w:history="1">
            <w:r w:rsidR="001D1971" w:rsidRPr="001D1971">
              <w:rPr>
                <w:rStyle w:val="Hipervnculo"/>
                <w:noProof/>
                <w:color w:val="auto"/>
              </w:rPr>
              <w:t>b) Legitimidad de la parte recurrente</w:t>
            </w:r>
            <w:r w:rsidR="001D1971" w:rsidRPr="001D1971">
              <w:rPr>
                <w:noProof/>
                <w:webHidden/>
              </w:rPr>
              <w:tab/>
            </w:r>
            <w:r w:rsidR="001D1971" w:rsidRPr="001D1971">
              <w:rPr>
                <w:noProof/>
                <w:webHidden/>
              </w:rPr>
              <w:fldChar w:fldCharType="begin"/>
            </w:r>
            <w:r w:rsidR="001D1971" w:rsidRPr="001D1971">
              <w:rPr>
                <w:noProof/>
                <w:webHidden/>
              </w:rPr>
              <w:instrText xml:space="preserve"> PAGEREF _Toc206614561 \h </w:instrText>
            </w:r>
            <w:r w:rsidR="001D1971" w:rsidRPr="001D1971">
              <w:rPr>
                <w:noProof/>
                <w:webHidden/>
              </w:rPr>
            </w:r>
            <w:r w:rsidR="001D1971" w:rsidRPr="001D1971">
              <w:rPr>
                <w:noProof/>
                <w:webHidden/>
              </w:rPr>
              <w:fldChar w:fldCharType="separate"/>
            </w:r>
            <w:r>
              <w:rPr>
                <w:noProof/>
                <w:webHidden/>
              </w:rPr>
              <w:t>8</w:t>
            </w:r>
            <w:r w:rsidR="001D1971" w:rsidRPr="001D1971">
              <w:rPr>
                <w:noProof/>
                <w:webHidden/>
              </w:rPr>
              <w:fldChar w:fldCharType="end"/>
            </w:r>
          </w:hyperlink>
        </w:p>
        <w:p w14:paraId="027068EC" w14:textId="0B33B20C" w:rsidR="001D1971" w:rsidRPr="001D1971" w:rsidRDefault="00424514" w:rsidP="001D1971">
          <w:pPr>
            <w:pStyle w:val="TDC3"/>
            <w:rPr>
              <w:rFonts w:asciiTheme="minorHAnsi" w:eastAsiaTheme="minorEastAsia" w:hAnsiTheme="minorHAnsi" w:cstheme="minorBidi"/>
              <w:noProof/>
            </w:rPr>
          </w:pPr>
          <w:hyperlink w:anchor="_Toc206614562" w:history="1">
            <w:r w:rsidR="001D1971" w:rsidRPr="001D1971">
              <w:rPr>
                <w:rStyle w:val="Hipervnculo"/>
                <w:noProof/>
                <w:color w:val="auto"/>
              </w:rPr>
              <w:t>c) Plazo para interponer el recurso</w:t>
            </w:r>
            <w:r w:rsidR="001D1971" w:rsidRPr="001D1971">
              <w:rPr>
                <w:noProof/>
                <w:webHidden/>
              </w:rPr>
              <w:tab/>
            </w:r>
            <w:r w:rsidR="001D1971" w:rsidRPr="001D1971">
              <w:rPr>
                <w:noProof/>
                <w:webHidden/>
              </w:rPr>
              <w:fldChar w:fldCharType="begin"/>
            </w:r>
            <w:r w:rsidR="001D1971" w:rsidRPr="001D1971">
              <w:rPr>
                <w:noProof/>
                <w:webHidden/>
              </w:rPr>
              <w:instrText xml:space="preserve"> PAGEREF _Toc206614562 \h </w:instrText>
            </w:r>
            <w:r w:rsidR="001D1971" w:rsidRPr="001D1971">
              <w:rPr>
                <w:noProof/>
                <w:webHidden/>
              </w:rPr>
            </w:r>
            <w:r w:rsidR="001D1971" w:rsidRPr="001D1971">
              <w:rPr>
                <w:noProof/>
                <w:webHidden/>
              </w:rPr>
              <w:fldChar w:fldCharType="separate"/>
            </w:r>
            <w:r>
              <w:rPr>
                <w:noProof/>
                <w:webHidden/>
              </w:rPr>
              <w:t>8</w:t>
            </w:r>
            <w:r w:rsidR="001D1971" w:rsidRPr="001D1971">
              <w:rPr>
                <w:noProof/>
                <w:webHidden/>
              </w:rPr>
              <w:fldChar w:fldCharType="end"/>
            </w:r>
          </w:hyperlink>
        </w:p>
        <w:p w14:paraId="2D75D29E" w14:textId="54AB3231" w:rsidR="001D1971" w:rsidRPr="001D1971" w:rsidRDefault="00424514" w:rsidP="001D1971">
          <w:pPr>
            <w:pStyle w:val="TDC3"/>
            <w:rPr>
              <w:rFonts w:asciiTheme="minorHAnsi" w:eastAsiaTheme="minorEastAsia" w:hAnsiTheme="minorHAnsi" w:cstheme="minorBidi"/>
              <w:noProof/>
            </w:rPr>
          </w:pPr>
          <w:hyperlink w:anchor="_Toc206614563" w:history="1">
            <w:r w:rsidR="001D1971" w:rsidRPr="001D1971">
              <w:rPr>
                <w:rStyle w:val="Hipervnculo"/>
                <w:noProof/>
                <w:color w:val="auto"/>
              </w:rPr>
              <w:t>d) Causal de Procedencia</w:t>
            </w:r>
            <w:r w:rsidR="001D1971" w:rsidRPr="001D1971">
              <w:rPr>
                <w:noProof/>
                <w:webHidden/>
              </w:rPr>
              <w:tab/>
            </w:r>
            <w:r w:rsidR="001D1971" w:rsidRPr="001D1971">
              <w:rPr>
                <w:noProof/>
                <w:webHidden/>
              </w:rPr>
              <w:fldChar w:fldCharType="begin"/>
            </w:r>
            <w:r w:rsidR="001D1971" w:rsidRPr="001D1971">
              <w:rPr>
                <w:noProof/>
                <w:webHidden/>
              </w:rPr>
              <w:instrText xml:space="preserve"> PAGEREF _Toc206614563 \h </w:instrText>
            </w:r>
            <w:r w:rsidR="001D1971" w:rsidRPr="001D1971">
              <w:rPr>
                <w:noProof/>
                <w:webHidden/>
              </w:rPr>
            </w:r>
            <w:r w:rsidR="001D1971" w:rsidRPr="001D1971">
              <w:rPr>
                <w:noProof/>
                <w:webHidden/>
              </w:rPr>
              <w:fldChar w:fldCharType="separate"/>
            </w:r>
            <w:r>
              <w:rPr>
                <w:noProof/>
                <w:webHidden/>
              </w:rPr>
              <w:t>9</w:t>
            </w:r>
            <w:r w:rsidR="001D1971" w:rsidRPr="001D1971">
              <w:rPr>
                <w:noProof/>
                <w:webHidden/>
              </w:rPr>
              <w:fldChar w:fldCharType="end"/>
            </w:r>
          </w:hyperlink>
        </w:p>
        <w:p w14:paraId="1C1DC9AD" w14:textId="5640AA6A" w:rsidR="001D1971" w:rsidRPr="001D1971" w:rsidRDefault="00424514" w:rsidP="001D1971">
          <w:pPr>
            <w:pStyle w:val="TDC3"/>
            <w:rPr>
              <w:rFonts w:asciiTheme="minorHAnsi" w:eastAsiaTheme="minorEastAsia" w:hAnsiTheme="minorHAnsi" w:cstheme="minorBidi"/>
              <w:noProof/>
            </w:rPr>
          </w:pPr>
          <w:hyperlink w:anchor="_Toc206614564" w:history="1">
            <w:r w:rsidR="001D1971" w:rsidRPr="001D1971">
              <w:rPr>
                <w:rStyle w:val="Hipervnculo"/>
                <w:noProof/>
                <w:color w:val="auto"/>
              </w:rPr>
              <w:t>e) Requisitos formales para la interposición del recurso</w:t>
            </w:r>
            <w:r w:rsidR="001D1971" w:rsidRPr="001D1971">
              <w:rPr>
                <w:noProof/>
                <w:webHidden/>
              </w:rPr>
              <w:tab/>
            </w:r>
            <w:r w:rsidR="001D1971" w:rsidRPr="001D1971">
              <w:rPr>
                <w:noProof/>
                <w:webHidden/>
              </w:rPr>
              <w:fldChar w:fldCharType="begin"/>
            </w:r>
            <w:r w:rsidR="001D1971" w:rsidRPr="001D1971">
              <w:rPr>
                <w:noProof/>
                <w:webHidden/>
              </w:rPr>
              <w:instrText xml:space="preserve"> PAGEREF _Toc206614564 \h </w:instrText>
            </w:r>
            <w:r w:rsidR="001D1971" w:rsidRPr="001D1971">
              <w:rPr>
                <w:noProof/>
                <w:webHidden/>
              </w:rPr>
            </w:r>
            <w:r w:rsidR="001D1971" w:rsidRPr="001D1971">
              <w:rPr>
                <w:noProof/>
                <w:webHidden/>
              </w:rPr>
              <w:fldChar w:fldCharType="separate"/>
            </w:r>
            <w:r>
              <w:rPr>
                <w:noProof/>
                <w:webHidden/>
              </w:rPr>
              <w:t>9</w:t>
            </w:r>
            <w:r w:rsidR="001D1971" w:rsidRPr="001D1971">
              <w:rPr>
                <w:noProof/>
                <w:webHidden/>
              </w:rPr>
              <w:fldChar w:fldCharType="end"/>
            </w:r>
          </w:hyperlink>
        </w:p>
        <w:p w14:paraId="3DCEA6E6" w14:textId="49074C56" w:rsidR="001D1971" w:rsidRPr="001D1971" w:rsidRDefault="00424514" w:rsidP="001D1971">
          <w:pPr>
            <w:pStyle w:val="TDC2"/>
            <w:rPr>
              <w:rFonts w:asciiTheme="minorHAnsi" w:eastAsiaTheme="minorEastAsia" w:hAnsiTheme="minorHAnsi" w:cstheme="minorBidi"/>
              <w:noProof/>
            </w:rPr>
          </w:pPr>
          <w:hyperlink w:anchor="_Toc206614565" w:history="1">
            <w:r w:rsidR="001D1971" w:rsidRPr="001D1971">
              <w:rPr>
                <w:rStyle w:val="Hipervnculo"/>
                <w:noProof/>
                <w:color w:val="auto"/>
              </w:rPr>
              <w:t>SEGUNDO. Estudio de Fondo</w:t>
            </w:r>
            <w:r w:rsidR="001D1971" w:rsidRPr="001D1971">
              <w:rPr>
                <w:noProof/>
                <w:webHidden/>
              </w:rPr>
              <w:tab/>
            </w:r>
            <w:r w:rsidR="001D1971" w:rsidRPr="001D1971">
              <w:rPr>
                <w:noProof/>
                <w:webHidden/>
              </w:rPr>
              <w:fldChar w:fldCharType="begin"/>
            </w:r>
            <w:r w:rsidR="001D1971" w:rsidRPr="001D1971">
              <w:rPr>
                <w:noProof/>
                <w:webHidden/>
              </w:rPr>
              <w:instrText xml:space="preserve"> PAGEREF _Toc206614565 \h </w:instrText>
            </w:r>
            <w:r w:rsidR="001D1971" w:rsidRPr="001D1971">
              <w:rPr>
                <w:noProof/>
                <w:webHidden/>
              </w:rPr>
            </w:r>
            <w:r w:rsidR="001D1971" w:rsidRPr="001D1971">
              <w:rPr>
                <w:noProof/>
                <w:webHidden/>
              </w:rPr>
              <w:fldChar w:fldCharType="separate"/>
            </w:r>
            <w:r>
              <w:rPr>
                <w:noProof/>
                <w:webHidden/>
              </w:rPr>
              <w:t>10</w:t>
            </w:r>
            <w:r w:rsidR="001D1971" w:rsidRPr="001D1971">
              <w:rPr>
                <w:noProof/>
                <w:webHidden/>
              </w:rPr>
              <w:fldChar w:fldCharType="end"/>
            </w:r>
          </w:hyperlink>
        </w:p>
        <w:p w14:paraId="3BE5901C" w14:textId="0C725B71" w:rsidR="001D1971" w:rsidRPr="001D1971" w:rsidRDefault="00424514" w:rsidP="001D1971">
          <w:pPr>
            <w:pStyle w:val="TDC3"/>
            <w:rPr>
              <w:rFonts w:asciiTheme="minorHAnsi" w:eastAsiaTheme="minorEastAsia" w:hAnsiTheme="minorHAnsi" w:cstheme="minorBidi"/>
              <w:noProof/>
            </w:rPr>
          </w:pPr>
          <w:hyperlink w:anchor="_Toc206614566" w:history="1">
            <w:r w:rsidR="001D1971" w:rsidRPr="001D1971">
              <w:rPr>
                <w:rStyle w:val="Hipervnculo"/>
                <w:noProof/>
                <w:color w:val="auto"/>
              </w:rPr>
              <w:t>a) Mandato de transparencia y responsabilidad del Sujeto Obligado</w:t>
            </w:r>
            <w:r w:rsidR="001D1971" w:rsidRPr="001D1971">
              <w:rPr>
                <w:noProof/>
                <w:webHidden/>
              </w:rPr>
              <w:tab/>
            </w:r>
            <w:r w:rsidR="001D1971" w:rsidRPr="001D1971">
              <w:rPr>
                <w:noProof/>
                <w:webHidden/>
              </w:rPr>
              <w:fldChar w:fldCharType="begin"/>
            </w:r>
            <w:r w:rsidR="001D1971" w:rsidRPr="001D1971">
              <w:rPr>
                <w:noProof/>
                <w:webHidden/>
              </w:rPr>
              <w:instrText xml:space="preserve"> PAGEREF _Toc206614566 \h </w:instrText>
            </w:r>
            <w:r w:rsidR="001D1971" w:rsidRPr="001D1971">
              <w:rPr>
                <w:noProof/>
                <w:webHidden/>
              </w:rPr>
            </w:r>
            <w:r w:rsidR="001D1971" w:rsidRPr="001D1971">
              <w:rPr>
                <w:noProof/>
                <w:webHidden/>
              </w:rPr>
              <w:fldChar w:fldCharType="separate"/>
            </w:r>
            <w:r>
              <w:rPr>
                <w:noProof/>
                <w:webHidden/>
              </w:rPr>
              <w:t>10</w:t>
            </w:r>
            <w:r w:rsidR="001D1971" w:rsidRPr="001D1971">
              <w:rPr>
                <w:noProof/>
                <w:webHidden/>
              </w:rPr>
              <w:fldChar w:fldCharType="end"/>
            </w:r>
          </w:hyperlink>
        </w:p>
        <w:p w14:paraId="70D651BE" w14:textId="7415D007" w:rsidR="001D1971" w:rsidRPr="001D1971" w:rsidRDefault="00424514" w:rsidP="001D1971">
          <w:pPr>
            <w:pStyle w:val="TDC3"/>
            <w:rPr>
              <w:rFonts w:asciiTheme="minorHAnsi" w:eastAsiaTheme="minorEastAsia" w:hAnsiTheme="minorHAnsi" w:cstheme="minorBidi"/>
              <w:noProof/>
            </w:rPr>
          </w:pPr>
          <w:hyperlink w:anchor="_Toc206614567" w:history="1">
            <w:r w:rsidR="001D1971" w:rsidRPr="001D1971">
              <w:rPr>
                <w:rStyle w:val="Hipervnculo"/>
                <w:noProof/>
                <w:color w:val="auto"/>
              </w:rPr>
              <w:t>b) Controversia a resolver</w:t>
            </w:r>
            <w:r w:rsidR="001D1971" w:rsidRPr="001D1971">
              <w:rPr>
                <w:noProof/>
                <w:webHidden/>
              </w:rPr>
              <w:tab/>
            </w:r>
            <w:r w:rsidR="001D1971" w:rsidRPr="001D1971">
              <w:rPr>
                <w:noProof/>
                <w:webHidden/>
              </w:rPr>
              <w:fldChar w:fldCharType="begin"/>
            </w:r>
            <w:r w:rsidR="001D1971" w:rsidRPr="001D1971">
              <w:rPr>
                <w:noProof/>
                <w:webHidden/>
              </w:rPr>
              <w:instrText xml:space="preserve"> PAGEREF _Toc206614567 \h </w:instrText>
            </w:r>
            <w:r w:rsidR="001D1971" w:rsidRPr="001D1971">
              <w:rPr>
                <w:noProof/>
                <w:webHidden/>
              </w:rPr>
            </w:r>
            <w:r w:rsidR="001D1971" w:rsidRPr="001D1971">
              <w:rPr>
                <w:noProof/>
                <w:webHidden/>
              </w:rPr>
              <w:fldChar w:fldCharType="separate"/>
            </w:r>
            <w:r>
              <w:rPr>
                <w:noProof/>
                <w:webHidden/>
              </w:rPr>
              <w:t>12</w:t>
            </w:r>
            <w:r w:rsidR="001D1971" w:rsidRPr="001D1971">
              <w:rPr>
                <w:noProof/>
                <w:webHidden/>
              </w:rPr>
              <w:fldChar w:fldCharType="end"/>
            </w:r>
          </w:hyperlink>
        </w:p>
        <w:p w14:paraId="690AE27A" w14:textId="387F98B6" w:rsidR="001D1971" w:rsidRPr="001D1971" w:rsidRDefault="00424514" w:rsidP="001D1971">
          <w:pPr>
            <w:pStyle w:val="TDC3"/>
            <w:rPr>
              <w:rFonts w:asciiTheme="minorHAnsi" w:eastAsiaTheme="minorEastAsia" w:hAnsiTheme="minorHAnsi" w:cstheme="minorBidi"/>
              <w:noProof/>
            </w:rPr>
          </w:pPr>
          <w:hyperlink w:anchor="_Toc206614568" w:history="1">
            <w:r w:rsidR="001D1971" w:rsidRPr="001D1971">
              <w:rPr>
                <w:rStyle w:val="Hipervnculo"/>
                <w:noProof/>
                <w:color w:val="auto"/>
              </w:rPr>
              <w:t>c) Estudio de la controversia</w:t>
            </w:r>
            <w:r w:rsidR="001D1971" w:rsidRPr="001D1971">
              <w:rPr>
                <w:noProof/>
                <w:webHidden/>
              </w:rPr>
              <w:tab/>
            </w:r>
            <w:r w:rsidR="001D1971" w:rsidRPr="001D1971">
              <w:rPr>
                <w:noProof/>
                <w:webHidden/>
              </w:rPr>
              <w:fldChar w:fldCharType="begin"/>
            </w:r>
            <w:r w:rsidR="001D1971" w:rsidRPr="001D1971">
              <w:rPr>
                <w:noProof/>
                <w:webHidden/>
              </w:rPr>
              <w:instrText xml:space="preserve"> PAGEREF _Toc206614568 \h </w:instrText>
            </w:r>
            <w:r w:rsidR="001D1971" w:rsidRPr="001D1971">
              <w:rPr>
                <w:noProof/>
                <w:webHidden/>
              </w:rPr>
            </w:r>
            <w:r w:rsidR="001D1971" w:rsidRPr="001D1971">
              <w:rPr>
                <w:noProof/>
                <w:webHidden/>
              </w:rPr>
              <w:fldChar w:fldCharType="separate"/>
            </w:r>
            <w:r>
              <w:rPr>
                <w:noProof/>
                <w:webHidden/>
              </w:rPr>
              <w:t>13</w:t>
            </w:r>
            <w:r w:rsidR="001D1971" w:rsidRPr="001D1971">
              <w:rPr>
                <w:noProof/>
                <w:webHidden/>
              </w:rPr>
              <w:fldChar w:fldCharType="end"/>
            </w:r>
          </w:hyperlink>
        </w:p>
        <w:p w14:paraId="619F5748" w14:textId="76FBB135" w:rsidR="001D1971" w:rsidRPr="001D1971" w:rsidRDefault="00424514" w:rsidP="001D1971">
          <w:pPr>
            <w:pStyle w:val="TDC3"/>
            <w:rPr>
              <w:rFonts w:asciiTheme="minorHAnsi" w:eastAsiaTheme="minorEastAsia" w:hAnsiTheme="minorHAnsi" w:cstheme="minorBidi"/>
              <w:noProof/>
            </w:rPr>
          </w:pPr>
          <w:hyperlink w:anchor="_Toc206614569" w:history="1">
            <w:r w:rsidR="001D1971" w:rsidRPr="001D1971">
              <w:rPr>
                <w:rStyle w:val="Hipervnculo"/>
                <w:noProof/>
                <w:color w:val="auto"/>
              </w:rPr>
              <w:t>e) Conclusión</w:t>
            </w:r>
            <w:r w:rsidR="001D1971" w:rsidRPr="001D1971">
              <w:rPr>
                <w:noProof/>
                <w:webHidden/>
              </w:rPr>
              <w:tab/>
            </w:r>
            <w:r w:rsidR="001D1971" w:rsidRPr="001D1971">
              <w:rPr>
                <w:noProof/>
                <w:webHidden/>
              </w:rPr>
              <w:fldChar w:fldCharType="begin"/>
            </w:r>
            <w:r w:rsidR="001D1971" w:rsidRPr="001D1971">
              <w:rPr>
                <w:noProof/>
                <w:webHidden/>
              </w:rPr>
              <w:instrText xml:space="preserve"> PAGEREF _Toc206614569 \h </w:instrText>
            </w:r>
            <w:r w:rsidR="001D1971" w:rsidRPr="001D1971">
              <w:rPr>
                <w:noProof/>
                <w:webHidden/>
              </w:rPr>
            </w:r>
            <w:r w:rsidR="001D1971" w:rsidRPr="001D1971">
              <w:rPr>
                <w:noProof/>
                <w:webHidden/>
              </w:rPr>
              <w:fldChar w:fldCharType="separate"/>
            </w:r>
            <w:r>
              <w:rPr>
                <w:noProof/>
                <w:webHidden/>
              </w:rPr>
              <w:t>42</w:t>
            </w:r>
            <w:r w:rsidR="001D1971" w:rsidRPr="001D1971">
              <w:rPr>
                <w:noProof/>
                <w:webHidden/>
              </w:rPr>
              <w:fldChar w:fldCharType="end"/>
            </w:r>
          </w:hyperlink>
        </w:p>
        <w:p w14:paraId="49D8EE57" w14:textId="07125AAD" w:rsidR="00523B27" w:rsidRPr="001D1971" w:rsidRDefault="00424514" w:rsidP="001D1971">
          <w:pPr>
            <w:pStyle w:val="TDC1"/>
            <w:tabs>
              <w:tab w:val="right" w:leader="dot" w:pos="9034"/>
            </w:tabs>
          </w:pPr>
          <w:hyperlink w:anchor="_Toc206614570" w:history="1">
            <w:r w:rsidR="001D1971" w:rsidRPr="001D1971">
              <w:rPr>
                <w:rStyle w:val="Hipervnculo"/>
                <w:noProof/>
                <w:color w:val="auto"/>
              </w:rPr>
              <w:t>RESUELVE</w:t>
            </w:r>
            <w:r w:rsidR="001D1971" w:rsidRPr="001D1971">
              <w:rPr>
                <w:noProof/>
                <w:webHidden/>
              </w:rPr>
              <w:tab/>
            </w:r>
            <w:r w:rsidR="001D1971" w:rsidRPr="001D1971">
              <w:rPr>
                <w:noProof/>
                <w:webHidden/>
              </w:rPr>
              <w:fldChar w:fldCharType="begin"/>
            </w:r>
            <w:r w:rsidR="001D1971" w:rsidRPr="001D1971">
              <w:rPr>
                <w:noProof/>
                <w:webHidden/>
              </w:rPr>
              <w:instrText xml:space="preserve"> PAGEREF _Toc206614570 \h </w:instrText>
            </w:r>
            <w:r w:rsidR="001D1971" w:rsidRPr="001D1971">
              <w:rPr>
                <w:noProof/>
                <w:webHidden/>
              </w:rPr>
            </w:r>
            <w:r w:rsidR="001D1971" w:rsidRPr="001D1971">
              <w:rPr>
                <w:noProof/>
                <w:webHidden/>
              </w:rPr>
              <w:fldChar w:fldCharType="separate"/>
            </w:r>
            <w:r>
              <w:rPr>
                <w:noProof/>
                <w:webHidden/>
              </w:rPr>
              <w:t>42</w:t>
            </w:r>
            <w:r w:rsidR="001D1971" w:rsidRPr="001D1971">
              <w:rPr>
                <w:noProof/>
                <w:webHidden/>
              </w:rPr>
              <w:fldChar w:fldCharType="end"/>
            </w:r>
          </w:hyperlink>
          <w:r w:rsidR="00523B27" w:rsidRPr="001D1971">
            <w:rPr>
              <w:b/>
              <w:bCs/>
              <w:lang w:val="es-ES"/>
            </w:rPr>
            <w:fldChar w:fldCharType="end"/>
          </w:r>
        </w:p>
      </w:sdtContent>
    </w:sdt>
    <w:p w14:paraId="223C55B3" w14:textId="77777777" w:rsidR="005B4188" w:rsidRPr="001D1971" w:rsidRDefault="005B4188" w:rsidP="001D1971">
      <w:pPr>
        <w:sectPr w:rsidR="005B4188" w:rsidRPr="001D1971">
          <w:headerReference w:type="default" r:id="rId8"/>
          <w:footerReference w:type="default" r:id="rId9"/>
          <w:headerReference w:type="first" r:id="rId10"/>
          <w:pgSz w:w="12240" w:h="15840"/>
          <w:pgMar w:top="2552" w:right="1608" w:bottom="1701" w:left="1588" w:header="709" w:footer="737" w:gutter="0"/>
          <w:pgNumType w:start="1"/>
          <w:cols w:space="720"/>
          <w:titlePg/>
        </w:sectPr>
      </w:pPr>
    </w:p>
    <w:p w14:paraId="7FB0828C" w14:textId="3875AE04" w:rsidR="005B4188" w:rsidRPr="001D1971" w:rsidRDefault="00E97926" w:rsidP="001D1971">
      <w:r w:rsidRPr="001D1971">
        <w:lastRenderedPageBreak/>
        <w:t xml:space="preserve">Resolución del Pleno del Instituto de Transparencia, Acceso a la Información Pública y Protección de Datos Personales del Estado de México y Municipios, con domicilio en Metepec, Estado de México, del </w:t>
      </w:r>
      <w:r w:rsidR="00AB5FD3" w:rsidRPr="001D1971">
        <w:rPr>
          <w:b/>
        </w:rPr>
        <w:t>veinte</w:t>
      </w:r>
      <w:r w:rsidRPr="001D1971">
        <w:rPr>
          <w:b/>
        </w:rPr>
        <w:t xml:space="preserve"> de agosto de dos mil veinticinco.</w:t>
      </w:r>
    </w:p>
    <w:p w14:paraId="318D42DA" w14:textId="77777777" w:rsidR="005B4188" w:rsidRPr="001D1971" w:rsidRDefault="005B4188" w:rsidP="001D1971"/>
    <w:p w14:paraId="134A60C4" w14:textId="77777777" w:rsidR="005B4188" w:rsidRPr="001D1971" w:rsidRDefault="00E97926" w:rsidP="001D1971">
      <w:r w:rsidRPr="001D1971">
        <w:rPr>
          <w:b/>
        </w:rPr>
        <w:t xml:space="preserve">VISTO </w:t>
      </w:r>
      <w:r w:rsidRPr="001D1971">
        <w:t xml:space="preserve">el expediente formado con motivo del Recurso de Revisión </w:t>
      </w:r>
      <w:r w:rsidR="00DC1AC8" w:rsidRPr="001D1971">
        <w:rPr>
          <w:b/>
        </w:rPr>
        <w:t>05877</w:t>
      </w:r>
      <w:r w:rsidR="00CF65E1" w:rsidRPr="001D1971">
        <w:rPr>
          <w:b/>
        </w:rPr>
        <w:t>/INFOEM/IP/RR/2025</w:t>
      </w:r>
      <w:r w:rsidRPr="001D1971">
        <w:rPr>
          <w:b/>
        </w:rPr>
        <w:t xml:space="preserve"> </w:t>
      </w:r>
      <w:r w:rsidRPr="001D1971">
        <w:t xml:space="preserve">interpuesto por </w:t>
      </w:r>
      <w:r w:rsidR="00CF65E1" w:rsidRPr="001D1971">
        <w:rPr>
          <w:b/>
        </w:rPr>
        <w:t>una persona de manera anónima</w:t>
      </w:r>
      <w:r w:rsidRPr="001D1971">
        <w:t xml:space="preserve">, a quien en lo subsecuente se le denominará </w:t>
      </w:r>
      <w:r w:rsidRPr="001D1971">
        <w:rPr>
          <w:b/>
        </w:rPr>
        <w:t>LA PARTE RECURRENTE</w:t>
      </w:r>
      <w:r w:rsidRPr="001D1971">
        <w:t xml:space="preserve">, en contra de la respuesta emitida por el </w:t>
      </w:r>
      <w:r w:rsidRPr="001D1971">
        <w:rPr>
          <w:b/>
        </w:rPr>
        <w:t xml:space="preserve">Ayuntamiento de </w:t>
      </w:r>
      <w:r w:rsidR="00DC1AC8" w:rsidRPr="001D1971">
        <w:rPr>
          <w:b/>
        </w:rPr>
        <w:t>Teoloyucan</w:t>
      </w:r>
      <w:r w:rsidRPr="001D1971">
        <w:t xml:space="preserve">, en adelante </w:t>
      </w:r>
      <w:r w:rsidRPr="001D1971">
        <w:rPr>
          <w:b/>
        </w:rPr>
        <w:t>EL SUJETO OBLIGADO</w:t>
      </w:r>
      <w:r w:rsidRPr="001D1971">
        <w:t>, se emite la presente Resolución con base en los Antecedentes y Considerandos que se exponen a continuación:</w:t>
      </w:r>
    </w:p>
    <w:p w14:paraId="276F0231" w14:textId="77777777" w:rsidR="005B4188" w:rsidRPr="001D1971" w:rsidRDefault="005B4188" w:rsidP="001D1971"/>
    <w:p w14:paraId="68B3D41C" w14:textId="77777777" w:rsidR="005B4188" w:rsidRPr="001D1971" w:rsidRDefault="00E97926" w:rsidP="001D1971">
      <w:pPr>
        <w:pStyle w:val="Ttulo1"/>
      </w:pPr>
      <w:bookmarkStart w:id="3" w:name="_Toc206614545"/>
      <w:r w:rsidRPr="001D1971">
        <w:t>ANTECEDENTES</w:t>
      </w:r>
      <w:bookmarkEnd w:id="3"/>
    </w:p>
    <w:p w14:paraId="55DD2CDB" w14:textId="77777777" w:rsidR="005B4188" w:rsidRPr="001D1971" w:rsidRDefault="005B4188" w:rsidP="001D1971"/>
    <w:p w14:paraId="210EC2F9" w14:textId="77777777" w:rsidR="005B4188" w:rsidRPr="001D1971" w:rsidRDefault="00E97926" w:rsidP="001D1971">
      <w:pPr>
        <w:pStyle w:val="Ttulo2"/>
        <w:jc w:val="left"/>
      </w:pPr>
      <w:bookmarkStart w:id="4" w:name="_Toc206614546"/>
      <w:r w:rsidRPr="001D1971">
        <w:t>DE LA SOLICITUD DE INFORMACIÓN</w:t>
      </w:r>
      <w:bookmarkEnd w:id="4"/>
    </w:p>
    <w:p w14:paraId="4E5A9622" w14:textId="77777777" w:rsidR="005B4188" w:rsidRPr="001D1971" w:rsidRDefault="00E97926" w:rsidP="001D1971">
      <w:pPr>
        <w:pStyle w:val="Ttulo3"/>
      </w:pPr>
      <w:bookmarkStart w:id="5" w:name="_Toc206614547"/>
      <w:r w:rsidRPr="001D1971">
        <w:t>a) Solicitud de información</w:t>
      </w:r>
      <w:bookmarkEnd w:id="5"/>
    </w:p>
    <w:p w14:paraId="043E81BA" w14:textId="77777777" w:rsidR="005B4188" w:rsidRPr="001D1971" w:rsidRDefault="00E97926" w:rsidP="001D1971">
      <w:r w:rsidRPr="001D1971">
        <w:t xml:space="preserve">El </w:t>
      </w:r>
      <w:r w:rsidR="00DC1AC8" w:rsidRPr="001D1971">
        <w:rPr>
          <w:b/>
        </w:rPr>
        <w:t>treinta</w:t>
      </w:r>
      <w:r w:rsidR="00CF65E1" w:rsidRPr="001D1971">
        <w:rPr>
          <w:b/>
        </w:rPr>
        <w:t xml:space="preserve"> de abril</w:t>
      </w:r>
      <w:r w:rsidRPr="001D1971">
        <w:rPr>
          <w:b/>
        </w:rPr>
        <w:t xml:space="preserve"> de dos mil veinticinco</w:t>
      </w:r>
      <w:r w:rsidRPr="001D1971">
        <w:t xml:space="preserve">, </w:t>
      </w:r>
      <w:r w:rsidRPr="001D1971">
        <w:rPr>
          <w:b/>
        </w:rPr>
        <w:t>LA PARTE RECURRENTE</w:t>
      </w:r>
      <w:r w:rsidRPr="001D1971">
        <w:t xml:space="preserve"> presentó una solicitud de acceso a la información pública ante </w:t>
      </w:r>
      <w:r w:rsidRPr="001D1971">
        <w:rPr>
          <w:b/>
        </w:rPr>
        <w:t>EL</w:t>
      </w:r>
      <w:r w:rsidRPr="001D1971">
        <w:t xml:space="preserve"> </w:t>
      </w:r>
      <w:r w:rsidRPr="001D1971">
        <w:rPr>
          <w:b/>
        </w:rPr>
        <w:t>SUJETO OBLIGADO</w:t>
      </w:r>
      <w:r w:rsidRPr="001D1971">
        <w:t>, a través del Sistema de Acceso a la Información (</w:t>
      </w:r>
      <w:r w:rsidRPr="001D1971">
        <w:rPr>
          <w:b/>
        </w:rPr>
        <w:t>SAIMEX</w:t>
      </w:r>
      <w:r w:rsidR="00C56627" w:rsidRPr="001D1971">
        <w:rPr>
          <w:sz w:val="24"/>
          <w:szCs w:val="24"/>
        </w:rPr>
        <w:t xml:space="preserve">). </w:t>
      </w:r>
      <w:r w:rsidRPr="001D1971">
        <w:t>Dicha solicitud quedó registrada con el número de folio</w:t>
      </w:r>
      <w:r w:rsidRPr="001D1971">
        <w:rPr>
          <w:b/>
        </w:rPr>
        <w:t xml:space="preserve"> </w:t>
      </w:r>
      <w:r w:rsidR="00DC1AC8" w:rsidRPr="001D1971">
        <w:rPr>
          <w:b/>
        </w:rPr>
        <w:t>00287/TEOLOYU/IP/2025</w:t>
      </w:r>
      <w:r w:rsidRPr="001D1971">
        <w:rPr>
          <w:b/>
        </w:rPr>
        <w:t xml:space="preserve"> </w:t>
      </w:r>
      <w:r w:rsidRPr="001D1971">
        <w:t>y en ella se requirió la siguiente información:</w:t>
      </w:r>
    </w:p>
    <w:p w14:paraId="6D037B35" w14:textId="77777777" w:rsidR="005B4188" w:rsidRPr="001D1971" w:rsidRDefault="005B4188" w:rsidP="001D1971"/>
    <w:p w14:paraId="399A9AC3" w14:textId="77777777" w:rsidR="005B4188" w:rsidRPr="001D1971" w:rsidRDefault="00E97926" w:rsidP="001D1971">
      <w:pPr>
        <w:pStyle w:val="Puesto"/>
        <w:ind w:left="851" w:right="822" w:firstLine="0"/>
        <w:rPr>
          <w:color w:val="auto"/>
        </w:rPr>
      </w:pPr>
      <w:r w:rsidRPr="001D1971">
        <w:rPr>
          <w:color w:val="auto"/>
        </w:rPr>
        <w:t>“</w:t>
      </w:r>
      <w:r w:rsidR="00DC1AC8" w:rsidRPr="001D1971">
        <w:rPr>
          <w:color w:val="auto"/>
        </w:rPr>
        <w:t>Solicito los convenios, contratos y licitaciones públicas para la contratación de obras o servicios, que ha realizado el gobierno municipal, fechas y medios en donde se han publicado las licitaciones del 1 de enero al 30 de abril de 2025.</w:t>
      </w:r>
      <w:r w:rsidRPr="001D1971">
        <w:rPr>
          <w:color w:val="auto"/>
        </w:rPr>
        <w:t>” (Sic)</w:t>
      </w:r>
    </w:p>
    <w:p w14:paraId="7B300413" w14:textId="77777777" w:rsidR="005B4188" w:rsidRPr="001D1971" w:rsidRDefault="005B4188" w:rsidP="001D1971"/>
    <w:p w14:paraId="7C1959EA" w14:textId="77777777" w:rsidR="005B4188" w:rsidRPr="001D1971" w:rsidRDefault="00E97926" w:rsidP="001D1971">
      <w:pPr>
        <w:tabs>
          <w:tab w:val="left" w:pos="4667"/>
        </w:tabs>
        <w:ind w:left="567" w:right="567"/>
        <w:rPr>
          <w:i/>
        </w:rPr>
      </w:pPr>
      <w:r w:rsidRPr="001D1971">
        <w:rPr>
          <w:b/>
        </w:rPr>
        <w:t>Modalidad de entrega</w:t>
      </w:r>
      <w:r w:rsidRPr="001D1971">
        <w:t>: a</w:t>
      </w:r>
      <w:r w:rsidRPr="001D1971">
        <w:rPr>
          <w:i/>
        </w:rPr>
        <w:t xml:space="preserve"> través del </w:t>
      </w:r>
      <w:r w:rsidRPr="001D1971">
        <w:rPr>
          <w:b/>
          <w:i/>
        </w:rPr>
        <w:t>SAIMEX</w:t>
      </w:r>
      <w:r w:rsidRPr="001D1971">
        <w:rPr>
          <w:i/>
        </w:rPr>
        <w:t>.</w:t>
      </w:r>
    </w:p>
    <w:p w14:paraId="739B6083" w14:textId="77777777" w:rsidR="005B4188" w:rsidRPr="001D1971" w:rsidRDefault="005B4188" w:rsidP="001D1971">
      <w:pPr>
        <w:tabs>
          <w:tab w:val="left" w:pos="4667"/>
        </w:tabs>
        <w:ind w:left="567" w:right="567"/>
        <w:rPr>
          <w:i/>
        </w:rPr>
      </w:pPr>
    </w:p>
    <w:p w14:paraId="2AD28132" w14:textId="77777777" w:rsidR="005B4188" w:rsidRPr="001D1971" w:rsidRDefault="00E97926" w:rsidP="001D1971">
      <w:pPr>
        <w:pStyle w:val="Ttulo3"/>
      </w:pPr>
      <w:bookmarkStart w:id="6" w:name="_Toc206614548"/>
      <w:r w:rsidRPr="001D1971">
        <w:lastRenderedPageBreak/>
        <w:t>b) Turno de la solicitud de información</w:t>
      </w:r>
      <w:bookmarkEnd w:id="6"/>
    </w:p>
    <w:p w14:paraId="68B31B86" w14:textId="77777777" w:rsidR="005B4188" w:rsidRPr="001D1971" w:rsidRDefault="00E97926" w:rsidP="001D1971">
      <w:pPr>
        <w:ind w:right="-28"/>
      </w:pPr>
      <w:r w:rsidRPr="001D1971">
        <w:t xml:space="preserve">En cumplimiento al artículo 162 de la Ley de Transparencia y Acceso a la Información Pública del Estado de México y Municipios, el </w:t>
      </w:r>
      <w:r w:rsidR="00DC1AC8" w:rsidRPr="001D1971">
        <w:rPr>
          <w:b/>
        </w:rPr>
        <w:t>treinta</w:t>
      </w:r>
      <w:r w:rsidR="00CF65E1" w:rsidRPr="001D1971">
        <w:rPr>
          <w:b/>
        </w:rPr>
        <w:t xml:space="preserve"> de abril</w:t>
      </w:r>
      <w:r w:rsidR="00C56627" w:rsidRPr="001D1971">
        <w:rPr>
          <w:b/>
        </w:rPr>
        <w:t xml:space="preserve"> </w:t>
      </w:r>
      <w:r w:rsidRPr="001D1971">
        <w:rPr>
          <w:b/>
        </w:rPr>
        <w:t>de dos mil veinticinco</w:t>
      </w:r>
      <w:r w:rsidRPr="001D1971">
        <w:t>, l</w:t>
      </w:r>
      <w:r w:rsidR="00DC1AC8" w:rsidRPr="001D1971">
        <w:t>a</w:t>
      </w:r>
      <w:r w:rsidRPr="001D1971">
        <w:t xml:space="preserve"> Titular de la Unidad de Transparencia del </w:t>
      </w:r>
      <w:r w:rsidRPr="001D1971">
        <w:rPr>
          <w:b/>
        </w:rPr>
        <w:t>SUJETO OBLIGADO</w:t>
      </w:r>
      <w:r w:rsidRPr="001D1971">
        <w:t xml:space="preserve"> turnó la solicitud de información a los servidores públicos habilitados que estimó pertinente.</w:t>
      </w:r>
    </w:p>
    <w:p w14:paraId="3A33E502" w14:textId="77777777" w:rsidR="005B4188" w:rsidRPr="001D1971" w:rsidRDefault="005B4188" w:rsidP="001D1971">
      <w:pPr>
        <w:ind w:right="-28"/>
        <w:rPr>
          <w:i/>
        </w:rPr>
      </w:pPr>
    </w:p>
    <w:p w14:paraId="73E544D5" w14:textId="77777777" w:rsidR="005B4188" w:rsidRPr="001D1971" w:rsidRDefault="00E97926" w:rsidP="001D1971">
      <w:pPr>
        <w:pStyle w:val="Ttulo3"/>
      </w:pPr>
      <w:bookmarkStart w:id="7" w:name="_Toc206614549"/>
      <w:r w:rsidRPr="001D1971">
        <w:t>c) Respuesta del Sujeto Obligado</w:t>
      </w:r>
      <w:bookmarkEnd w:id="7"/>
    </w:p>
    <w:p w14:paraId="3D8E87AE" w14:textId="77777777" w:rsidR="005B4188" w:rsidRPr="001D1971" w:rsidRDefault="00E97926" w:rsidP="001D1971">
      <w:pPr>
        <w:pBdr>
          <w:top w:val="nil"/>
          <w:left w:val="nil"/>
          <w:bottom w:val="nil"/>
          <w:right w:val="nil"/>
          <w:between w:val="nil"/>
        </w:pBdr>
      </w:pPr>
      <w:r w:rsidRPr="001D1971">
        <w:t xml:space="preserve">El </w:t>
      </w:r>
      <w:r w:rsidR="00DC1AC8" w:rsidRPr="001D1971">
        <w:rPr>
          <w:b/>
        </w:rPr>
        <w:t>dieciséis de mayo</w:t>
      </w:r>
      <w:r w:rsidRPr="001D1971">
        <w:rPr>
          <w:b/>
        </w:rPr>
        <w:t xml:space="preserve"> de dos mil veinticinco</w:t>
      </w:r>
      <w:r w:rsidR="00DC1AC8" w:rsidRPr="001D1971">
        <w:t xml:space="preserve">, </w:t>
      </w:r>
      <w:r w:rsidRPr="001D1971">
        <w:t>l</w:t>
      </w:r>
      <w:r w:rsidR="00DC1AC8" w:rsidRPr="001D1971">
        <w:t>a</w:t>
      </w:r>
      <w:r w:rsidRPr="001D1971">
        <w:t xml:space="preserve"> Titular de la Unidad de Transparencia del </w:t>
      </w:r>
      <w:r w:rsidRPr="001D1971">
        <w:rPr>
          <w:b/>
        </w:rPr>
        <w:t>SUJETO OBLIGADO</w:t>
      </w:r>
      <w:r w:rsidRPr="001D1971">
        <w:t xml:space="preserve"> notificó la siguiente respuesta a través del </w:t>
      </w:r>
      <w:r w:rsidRPr="001D1971">
        <w:rPr>
          <w:b/>
        </w:rPr>
        <w:t>SAIMEX</w:t>
      </w:r>
      <w:r w:rsidRPr="001D1971">
        <w:t>:</w:t>
      </w:r>
    </w:p>
    <w:p w14:paraId="1FF7F20F" w14:textId="77777777" w:rsidR="005B4188" w:rsidRPr="001D1971" w:rsidRDefault="005B4188" w:rsidP="001D1971">
      <w:pPr>
        <w:pBdr>
          <w:top w:val="nil"/>
          <w:left w:val="nil"/>
          <w:bottom w:val="nil"/>
          <w:right w:val="nil"/>
          <w:between w:val="nil"/>
        </w:pBdr>
      </w:pPr>
    </w:p>
    <w:p w14:paraId="060DE6BF" w14:textId="77777777" w:rsidR="00DC1AC8" w:rsidRPr="001D1971" w:rsidRDefault="00E97926" w:rsidP="001D1971">
      <w:pPr>
        <w:pStyle w:val="Puesto"/>
        <w:ind w:left="851" w:right="822" w:firstLine="0"/>
        <w:rPr>
          <w:color w:val="auto"/>
        </w:rPr>
      </w:pPr>
      <w:r w:rsidRPr="001D1971">
        <w:rPr>
          <w:color w:val="auto"/>
        </w:rPr>
        <w:t>“</w:t>
      </w:r>
      <w:r w:rsidR="00DC1AC8" w:rsidRPr="001D1971">
        <w:rPr>
          <w:color w:val="auto"/>
        </w:rPr>
        <w:t>Folio de la solicitud: 00287/TEOLOYU/IP/2025</w:t>
      </w:r>
    </w:p>
    <w:p w14:paraId="5E59D0D4" w14:textId="77777777" w:rsidR="00DC1AC8" w:rsidRPr="001D1971" w:rsidRDefault="00DC1AC8" w:rsidP="001D1971">
      <w:pPr>
        <w:pStyle w:val="Puesto"/>
        <w:ind w:left="851" w:right="822" w:firstLine="0"/>
        <w:rPr>
          <w:color w:val="auto"/>
        </w:rPr>
      </w:pPr>
      <w:r w:rsidRPr="001D1971">
        <w:rPr>
          <w:color w:val="auto"/>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6AD2BA2" w14:textId="77777777" w:rsidR="00DC1AC8" w:rsidRPr="001D1971" w:rsidRDefault="00DC1AC8" w:rsidP="001D1971">
      <w:pPr>
        <w:pStyle w:val="Puesto"/>
        <w:ind w:left="851" w:right="822" w:firstLine="0"/>
        <w:rPr>
          <w:color w:val="auto"/>
        </w:rPr>
      </w:pPr>
      <w:r w:rsidRPr="001D1971">
        <w:rPr>
          <w:color w:val="auto"/>
        </w:rPr>
        <w:t>SE REMITE RESPUESTA DEL ÁREA GENERADORA DE LA INFORMACIÓN</w:t>
      </w:r>
    </w:p>
    <w:p w14:paraId="2C6FBECB" w14:textId="77777777" w:rsidR="00DC1AC8" w:rsidRPr="001D1971" w:rsidRDefault="00DC1AC8" w:rsidP="001D1971">
      <w:pPr>
        <w:pStyle w:val="Puesto"/>
        <w:ind w:left="851" w:right="822" w:firstLine="0"/>
        <w:rPr>
          <w:color w:val="auto"/>
        </w:rPr>
      </w:pPr>
      <w:r w:rsidRPr="001D1971">
        <w:rPr>
          <w:color w:val="auto"/>
        </w:rPr>
        <w:t>ATENTAMENTE</w:t>
      </w:r>
    </w:p>
    <w:p w14:paraId="55F73C86" w14:textId="77777777" w:rsidR="005B4188" w:rsidRPr="001D1971" w:rsidRDefault="00DC1AC8" w:rsidP="001D1971">
      <w:pPr>
        <w:pStyle w:val="Puesto"/>
        <w:ind w:left="851" w:right="822" w:firstLine="0"/>
        <w:rPr>
          <w:color w:val="auto"/>
        </w:rPr>
      </w:pPr>
      <w:r w:rsidRPr="001D1971">
        <w:rPr>
          <w:color w:val="auto"/>
        </w:rPr>
        <w:t>Lic. Ana Beatriz Romero Oceguera</w:t>
      </w:r>
      <w:r w:rsidR="00E97926" w:rsidRPr="001D1971">
        <w:rPr>
          <w:color w:val="auto"/>
        </w:rPr>
        <w:t>” (Sic)</w:t>
      </w:r>
    </w:p>
    <w:p w14:paraId="08D9C52A" w14:textId="77777777" w:rsidR="005B4188" w:rsidRPr="001D1971" w:rsidRDefault="005B4188" w:rsidP="001D1971"/>
    <w:p w14:paraId="256D7FA0" w14:textId="77777777" w:rsidR="00DC1AC8" w:rsidRPr="001D1971" w:rsidRDefault="00E97926" w:rsidP="001D1971">
      <w:pPr>
        <w:ind w:right="-28"/>
      </w:pPr>
      <w:r w:rsidRPr="001D1971">
        <w:t xml:space="preserve">Adjuntando a su respuesta </w:t>
      </w:r>
      <w:r w:rsidRPr="001D1971">
        <w:rPr>
          <w:b/>
        </w:rPr>
        <w:t xml:space="preserve">EL SUJETO OBLIGADO </w:t>
      </w:r>
      <w:r w:rsidR="00DC1AC8" w:rsidRPr="001D1971">
        <w:t>los siguientes archivos:</w:t>
      </w:r>
    </w:p>
    <w:p w14:paraId="74C5ECC5" w14:textId="77777777" w:rsidR="005B4188" w:rsidRPr="001D1971" w:rsidRDefault="00E97926" w:rsidP="001D1971">
      <w:pPr>
        <w:pStyle w:val="Prrafodelista"/>
        <w:numPr>
          <w:ilvl w:val="0"/>
          <w:numId w:val="15"/>
        </w:numPr>
        <w:ind w:right="-28"/>
      </w:pPr>
      <w:r w:rsidRPr="001D1971">
        <w:rPr>
          <w:b/>
          <w:i/>
        </w:rPr>
        <w:t>“</w:t>
      </w:r>
      <w:r w:rsidR="00DC1AC8" w:rsidRPr="001D1971">
        <w:rPr>
          <w:b/>
          <w:i/>
        </w:rPr>
        <w:t>respuesta sol 287.pdf</w:t>
      </w:r>
      <w:r w:rsidRPr="001D1971">
        <w:rPr>
          <w:b/>
          <w:i/>
        </w:rPr>
        <w:t xml:space="preserve">”, </w:t>
      </w:r>
      <w:r w:rsidR="00927633" w:rsidRPr="001D1971">
        <w:t>el</w:t>
      </w:r>
      <w:r w:rsidRPr="001D1971">
        <w:t xml:space="preserve"> que consiste en el oficio </w:t>
      </w:r>
      <w:r w:rsidR="00DC1AC8" w:rsidRPr="001D1971">
        <w:t>de</w:t>
      </w:r>
      <w:r w:rsidRPr="001D1971">
        <w:t xml:space="preserve"> número </w:t>
      </w:r>
      <w:r w:rsidR="00DC1AC8" w:rsidRPr="001D1971">
        <w:t xml:space="preserve">DA/OSS/805/2025 </w:t>
      </w:r>
      <w:r w:rsidRPr="001D1971">
        <w:t xml:space="preserve">del </w:t>
      </w:r>
      <w:r w:rsidR="00DC1AC8" w:rsidRPr="001D1971">
        <w:t>doce de mayo</w:t>
      </w:r>
      <w:r w:rsidRPr="001D1971">
        <w:t xml:space="preserve"> de dos mil veinticinco dirigido a</w:t>
      </w:r>
      <w:r w:rsidR="00DC1AC8" w:rsidRPr="001D1971">
        <w:t xml:space="preserve"> </w:t>
      </w:r>
      <w:r w:rsidRPr="001D1971">
        <w:t>l</w:t>
      </w:r>
      <w:r w:rsidR="00DC1AC8" w:rsidRPr="001D1971">
        <w:t xml:space="preserve">a Titular de la Unidad de Transparencia </w:t>
      </w:r>
      <w:r w:rsidRPr="001D1971">
        <w:t xml:space="preserve">y mediante el cual </w:t>
      </w:r>
      <w:r w:rsidR="00DC1AC8" w:rsidRPr="001D1971">
        <w:t xml:space="preserve">el Director de Administración </w:t>
      </w:r>
      <w:r w:rsidR="00927633" w:rsidRPr="001D1971">
        <w:t xml:space="preserve">informó </w:t>
      </w:r>
      <w:r w:rsidR="00DC1AC8" w:rsidRPr="001D1971">
        <w:t>de manera esencial que, la dirección de administración únicamente cuenta con contratos de servicios, no de obras, por lo que, se remitir a usted, la información en formato PDF a fin de dar cumplimiento</w:t>
      </w:r>
      <w:r w:rsidR="008B3C92" w:rsidRPr="001D1971">
        <w:t>.</w:t>
      </w:r>
    </w:p>
    <w:p w14:paraId="681944FD" w14:textId="77777777" w:rsidR="00DC1AC8" w:rsidRPr="001D1971" w:rsidRDefault="00DC1AC8" w:rsidP="001D1971">
      <w:pPr>
        <w:pStyle w:val="Prrafodelista"/>
        <w:numPr>
          <w:ilvl w:val="0"/>
          <w:numId w:val="15"/>
        </w:numPr>
        <w:ind w:right="-28"/>
      </w:pPr>
      <w:r w:rsidRPr="001D1971">
        <w:rPr>
          <w:b/>
          <w:i/>
        </w:rPr>
        <w:lastRenderedPageBreak/>
        <w:t xml:space="preserve">“anexo a respuesta sph sol. 287.pdf” </w:t>
      </w:r>
      <w:r w:rsidRPr="001D1971">
        <w:t>de cuyo contenido se advierte</w:t>
      </w:r>
      <w:r w:rsidR="00671979" w:rsidRPr="001D1971">
        <w:t>n dos contratos de manera ilegible.</w:t>
      </w:r>
    </w:p>
    <w:p w14:paraId="2C788ED4" w14:textId="77777777" w:rsidR="008B3C92" w:rsidRPr="001D1971" w:rsidRDefault="008B3C92" w:rsidP="001D1971">
      <w:pPr>
        <w:ind w:right="-28"/>
      </w:pPr>
    </w:p>
    <w:p w14:paraId="280C2A97" w14:textId="77777777" w:rsidR="005B4188" w:rsidRPr="001D1971" w:rsidRDefault="00E97926" w:rsidP="001D1971">
      <w:pPr>
        <w:pStyle w:val="Ttulo2"/>
      </w:pPr>
      <w:bookmarkStart w:id="8" w:name="_Toc206614550"/>
      <w:r w:rsidRPr="001D1971">
        <w:t>DEL RECURSO DE REVISIÓN</w:t>
      </w:r>
      <w:bookmarkEnd w:id="8"/>
    </w:p>
    <w:p w14:paraId="75CAB8F2" w14:textId="77777777" w:rsidR="005B4188" w:rsidRPr="001D1971" w:rsidRDefault="00E97926" w:rsidP="001D1971">
      <w:pPr>
        <w:pStyle w:val="Ttulo3"/>
      </w:pPr>
      <w:bookmarkStart w:id="9" w:name="_Toc206614551"/>
      <w:r w:rsidRPr="001D1971">
        <w:t>a) Interposición del Recurso de Revisión</w:t>
      </w:r>
      <w:bookmarkEnd w:id="9"/>
    </w:p>
    <w:p w14:paraId="7D2610CC" w14:textId="77777777" w:rsidR="005B4188" w:rsidRPr="001D1971" w:rsidRDefault="00E97926" w:rsidP="001D1971">
      <w:pPr>
        <w:ind w:right="-28"/>
      </w:pPr>
      <w:r w:rsidRPr="001D1971">
        <w:t xml:space="preserve">El </w:t>
      </w:r>
      <w:r w:rsidR="00671979" w:rsidRPr="001D1971">
        <w:rPr>
          <w:b/>
        </w:rPr>
        <w:t>veintitrés de mayo</w:t>
      </w:r>
      <w:r w:rsidRPr="001D1971">
        <w:rPr>
          <w:b/>
        </w:rPr>
        <w:t xml:space="preserve"> dos mil veinticinco,</w:t>
      </w:r>
      <w:r w:rsidRPr="001D1971">
        <w:t xml:space="preserve"> </w:t>
      </w:r>
      <w:r w:rsidRPr="001D1971">
        <w:rPr>
          <w:b/>
        </w:rPr>
        <w:t>LA PARTE RECURRENTE</w:t>
      </w:r>
      <w:r w:rsidRPr="001D1971">
        <w:t xml:space="preserve"> interpuso el recurso de revisión en contra de la respuesta del </w:t>
      </w:r>
      <w:r w:rsidRPr="001D1971">
        <w:rPr>
          <w:b/>
        </w:rPr>
        <w:t>SUJETO OBLIGADO</w:t>
      </w:r>
      <w:r w:rsidRPr="001D1971">
        <w:t xml:space="preserve">, mismo que fue registrado en </w:t>
      </w:r>
      <w:r w:rsidRPr="001D1971">
        <w:rPr>
          <w:b/>
        </w:rPr>
        <w:t>EL SAIMEX</w:t>
      </w:r>
      <w:r w:rsidRPr="001D1971">
        <w:t xml:space="preserve"> con el número de expediente </w:t>
      </w:r>
      <w:r w:rsidR="00671979" w:rsidRPr="001D1971">
        <w:rPr>
          <w:b/>
        </w:rPr>
        <w:t>05877</w:t>
      </w:r>
      <w:r w:rsidR="00CF65E1" w:rsidRPr="001D1971">
        <w:rPr>
          <w:b/>
        </w:rPr>
        <w:t>/INFOEM/IP/RR/2025</w:t>
      </w:r>
      <w:r w:rsidRPr="001D1971">
        <w:t>, y en el cual manifiesta lo siguiente:</w:t>
      </w:r>
    </w:p>
    <w:p w14:paraId="385F7019" w14:textId="77777777" w:rsidR="005B4188" w:rsidRPr="001D1971" w:rsidRDefault="005B4188" w:rsidP="001D1971">
      <w:pPr>
        <w:ind w:right="-28"/>
      </w:pPr>
    </w:p>
    <w:p w14:paraId="405C5103" w14:textId="77777777" w:rsidR="005B4188" w:rsidRPr="001D1971" w:rsidRDefault="00E97926" w:rsidP="001D1971">
      <w:pPr>
        <w:tabs>
          <w:tab w:val="left" w:pos="4667"/>
        </w:tabs>
        <w:ind w:left="567" w:right="539"/>
        <w:rPr>
          <w:b/>
        </w:rPr>
      </w:pPr>
      <w:r w:rsidRPr="001D1971">
        <w:rPr>
          <w:b/>
        </w:rPr>
        <w:t>ACTO IMPUGNADO</w:t>
      </w:r>
    </w:p>
    <w:p w14:paraId="309CC971" w14:textId="77777777" w:rsidR="005B4188" w:rsidRPr="001D1971" w:rsidRDefault="005B4188" w:rsidP="001D1971">
      <w:pPr>
        <w:pStyle w:val="Puesto"/>
        <w:ind w:firstLine="567"/>
        <w:rPr>
          <w:color w:val="auto"/>
        </w:rPr>
      </w:pPr>
    </w:p>
    <w:p w14:paraId="09E8B65E" w14:textId="77777777" w:rsidR="005B4188" w:rsidRPr="001D1971" w:rsidRDefault="00E97926" w:rsidP="001D1971">
      <w:pPr>
        <w:pStyle w:val="Puesto"/>
        <w:ind w:firstLine="567"/>
        <w:rPr>
          <w:color w:val="auto"/>
        </w:rPr>
      </w:pPr>
      <w:r w:rsidRPr="001D1971">
        <w:rPr>
          <w:color w:val="auto"/>
        </w:rPr>
        <w:t>“</w:t>
      </w:r>
      <w:r w:rsidR="00671979" w:rsidRPr="001D1971">
        <w:rPr>
          <w:color w:val="auto"/>
        </w:rPr>
        <w:t>respuesta</w:t>
      </w:r>
      <w:r w:rsidRPr="001D1971">
        <w:rPr>
          <w:color w:val="auto"/>
        </w:rPr>
        <w:t>” (Sic)</w:t>
      </w:r>
    </w:p>
    <w:p w14:paraId="3FA8DE1C" w14:textId="77777777" w:rsidR="005B4188" w:rsidRPr="001D1971" w:rsidRDefault="005B4188" w:rsidP="001D1971">
      <w:pPr>
        <w:pStyle w:val="Puesto"/>
        <w:ind w:firstLine="567"/>
        <w:rPr>
          <w:color w:val="auto"/>
        </w:rPr>
      </w:pPr>
    </w:p>
    <w:p w14:paraId="4C5DA739" w14:textId="77777777" w:rsidR="005B4188" w:rsidRPr="001D1971" w:rsidRDefault="00E97926" w:rsidP="001D1971">
      <w:pPr>
        <w:tabs>
          <w:tab w:val="left" w:pos="4667"/>
        </w:tabs>
        <w:spacing w:line="240" w:lineRule="auto"/>
        <w:ind w:left="567" w:right="539"/>
        <w:rPr>
          <w:b/>
        </w:rPr>
      </w:pPr>
      <w:r w:rsidRPr="001D1971">
        <w:rPr>
          <w:b/>
        </w:rPr>
        <w:t>RAZONES O MOTIVOS DE LA INCONFORMIDAD</w:t>
      </w:r>
    </w:p>
    <w:p w14:paraId="3FE50163" w14:textId="77777777" w:rsidR="005B4188" w:rsidRPr="001D1971" w:rsidRDefault="005B4188" w:rsidP="001D1971">
      <w:pPr>
        <w:pStyle w:val="Puesto"/>
        <w:ind w:firstLine="567"/>
        <w:rPr>
          <w:color w:val="auto"/>
        </w:rPr>
      </w:pPr>
    </w:p>
    <w:p w14:paraId="4F72F7F9" w14:textId="77777777" w:rsidR="005B4188" w:rsidRPr="001D1971" w:rsidRDefault="00E97926" w:rsidP="001D1971">
      <w:pPr>
        <w:pStyle w:val="Puesto"/>
        <w:ind w:left="851" w:firstLine="0"/>
        <w:rPr>
          <w:color w:val="auto"/>
        </w:rPr>
      </w:pPr>
      <w:r w:rsidRPr="001D1971">
        <w:rPr>
          <w:color w:val="auto"/>
        </w:rPr>
        <w:t>“</w:t>
      </w:r>
      <w:r w:rsidR="00671979" w:rsidRPr="001D1971">
        <w:rPr>
          <w:color w:val="auto"/>
        </w:rPr>
        <w:t>Respuesta ilegible, además de incompleta no es posible que solo tengan un solo contrato</w:t>
      </w:r>
      <w:r w:rsidRPr="001D1971">
        <w:rPr>
          <w:color w:val="auto"/>
        </w:rPr>
        <w:t>” (Sic)</w:t>
      </w:r>
    </w:p>
    <w:p w14:paraId="089FF077" w14:textId="77777777" w:rsidR="005B4188" w:rsidRPr="001D1971" w:rsidRDefault="005B4188" w:rsidP="001D1971">
      <w:pPr>
        <w:pStyle w:val="Puesto"/>
        <w:ind w:firstLine="567"/>
        <w:rPr>
          <w:color w:val="auto"/>
        </w:rPr>
      </w:pPr>
    </w:p>
    <w:p w14:paraId="7AD8B302" w14:textId="77777777" w:rsidR="005B4188" w:rsidRPr="001D1971" w:rsidRDefault="00E97926" w:rsidP="001D1971">
      <w:pPr>
        <w:pStyle w:val="Ttulo3"/>
      </w:pPr>
      <w:bookmarkStart w:id="10" w:name="_Toc206614552"/>
      <w:r w:rsidRPr="001D1971">
        <w:t>b) Turno del Recurso de Revisión</w:t>
      </w:r>
      <w:bookmarkEnd w:id="10"/>
    </w:p>
    <w:p w14:paraId="66585341" w14:textId="77777777" w:rsidR="005B4188" w:rsidRPr="001D1971" w:rsidRDefault="00E97926" w:rsidP="001D1971">
      <w:r w:rsidRPr="001D1971">
        <w:t xml:space="preserve">Con fundamento en el artículo 185, fracción I de la Ley de Transparencia y Acceso a la Información Pública del Estado de México y Municipios, el </w:t>
      </w:r>
      <w:r w:rsidR="00671979" w:rsidRPr="001D1971">
        <w:rPr>
          <w:b/>
        </w:rPr>
        <w:t>veintitrés de mayo</w:t>
      </w:r>
      <w:r w:rsidRPr="001D1971">
        <w:rPr>
          <w:b/>
        </w:rPr>
        <w:t xml:space="preserve"> dos mil veinticinco,</w:t>
      </w:r>
      <w:r w:rsidRPr="001D1971">
        <w:t xml:space="preserve"> se turnó el recurso de revisión a través del SAIMEX a la </w:t>
      </w:r>
      <w:r w:rsidRPr="001D1971">
        <w:rPr>
          <w:b/>
        </w:rPr>
        <w:t>Comisionada Sharon Cristina Morales Martínez</w:t>
      </w:r>
      <w:r w:rsidRPr="001D1971">
        <w:t xml:space="preserve">, a efecto de decretar su admisión o desechamiento. </w:t>
      </w:r>
    </w:p>
    <w:p w14:paraId="657EC472" w14:textId="77777777" w:rsidR="005B4188" w:rsidRPr="001D1971" w:rsidRDefault="005B4188" w:rsidP="001D1971"/>
    <w:p w14:paraId="4B432F77" w14:textId="77777777" w:rsidR="005B4188" w:rsidRPr="001D1971" w:rsidRDefault="00E97926" w:rsidP="001D1971">
      <w:pPr>
        <w:pStyle w:val="Ttulo3"/>
      </w:pPr>
      <w:bookmarkStart w:id="11" w:name="_Toc206614553"/>
      <w:r w:rsidRPr="001D1971">
        <w:t>c) Admisión del Recurso de Revisión</w:t>
      </w:r>
      <w:bookmarkEnd w:id="11"/>
    </w:p>
    <w:p w14:paraId="6B80D134" w14:textId="77777777" w:rsidR="005B4188" w:rsidRPr="001D1971" w:rsidRDefault="00E97926" w:rsidP="001D1971">
      <w:r w:rsidRPr="001D1971">
        <w:t xml:space="preserve">El </w:t>
      </w:r>
      <w:r w:rsidR="00671979" w:rsidRPr="001D1971">
        <w:rPr>
          <w:b/>
        </w:rPr>
        <w:t xml:space="preserve">veintisiete de mayo </w:t>
      </w:r>
      <w:r w:rsidRPr="001D1971">
        <w:rPr>
          <w:b/>
        </w:rPr>
        <w:t xml:space="preserve">dos mil veinticinco, </w:t>
      </w:r>
      <w:r w:rsidRPr="001D1971">
        <w:t xml:space="preserve">se acordó la admisión a trámite del Recurso de Revisión y se integró el expediente respectivo, mismo que se puso a disposición de las partes </w:t>
      </w:r>
      <w:r w:rsidRPr="001D1971">
        <w:lastRenderedPageBreak/>
        <w:t>para que, en un plazo de siete días hábiles, manifestaran lo que a su derecho conviniera, conforme a lo dispuesto por el artículo 185, fracción II de la Ley de Transparencia y Acceso a la Información Pública del Estado de México y Municipios.</w:t>
      </w:r>
    </w:p>
    <w:p w14:paraId="47E6A416" w14:textId="77777777" w:rsidR="005B4188" w:rsidRPr="001D1971" w:rsidRDefault="005B4188" w:rsidP="001D1971"/>
    <w:p w14:paraId="7631C4EB" w14:textId="77777777" w:rsidR="005B4188" w:rsidRPr="001D1971" w:rsidRDefault="00E97926" w:rsidP="001D1971">
      <w:pPr>
        <w:pStyle w:val="Ttulo3"/>
      </w:pPr>
      <w:bookmarkStart w:id="12" w:name="_Toc206614554"/>
      <w:r w:rsidRPr="001D1971">
        <w:t>d) Informe Justificado del Sujeto Obligado</w:t>
      </w:r>
      <w:bookmarkEnd w:id="12"/>
    </w:p>
    <w:p w14:paraId="6E5C5EE8" w14:textId="77777777" w:rsidR="005B4188" w:rsidRPr="001D1971" w:rsidRDefault="00E97926" w:rsidP="001D1971">
      <w:r w:rsidRPr="001D1971">
        <w:t xml:space="preserve">El </w:t>
      </w:r>
      <w:r w:rsidR="00671979" w:rsidRPr="001D1971">
        <w:rPr>
          <w:b/>
        </w:rPr>
        <w:t>tres de junio</w:t>
      </w:r>
      <w:r w:rsidRPr="001D1971">
        <w:rPr>
          <w:b/>
        </w:rPr>
        <w:t xml:space="preserve"> de dos mil veinticinco, EL SUJETO OBLIGADO</w:t>
      </w:r>
      <w:r w:rsidRPr="001D1971">
        <w:t xml:space="preserve"> rindió su informe justificado a través de</w:t>
      </w:r>
      <w:r w:rsidR="00E86DB0" w:rsidRPr="001D1971">
        <w:t xml:space="preserve">l archivo denominado </w:t>
      </w:r>
      <w:r w:rsidRPr="001D1971">
        <w:rPr>
          <w:b/>
          <w:i/>
        </w:rPr>
        <w:t>“</w:t>
      </w:r>
      <w:r w:rsidR="00671979" w:rsidRPr="001D1971">
        <w:rPr>
          <w:b/>
          <w:i/>
        </w:rPr>
        <w:t xml:space="preserve">manifestaciones rr. 05877.pdf </w:t>
      </w:r>
      <w:r w:rsidRPr="001D1971">
        <w:rPr>
          <w:b/>
          <w:i/>
        </w:rPr>
        <w:t>“</w:t>
      </w:r>
      <w:r w:rsidRPr="001D1971">
        <w:t>,</w:t>
      </w:r>
      <w:r w:rsidR="00D75CF5" w:rsidRPr="001D1971">
        <w:t xml:space="preserve"> </w:t>
      </w:r>
      <w:r w:rsidRPr="001D1971">
        <w:t xml:space="preserve">archivo que consiste en el oficio </w:t>
      </w:r>
      <w:r w:rsidR="005E09D8" w:rsidRPr="001D1971">
        <w:t>de</w:t>
      </w:r>
      <w:r w:rsidRPr="001D1971">
        <w:t xml:space="preserve"> número </w:t>
      </w:r>
      <w:r w:rsidR="005E09D8" w:rsidRPr="001D1971">
        <w:t xml:space="preserve">DA/OSS/971/2025 </w:t>
      </w:r>
      <w:r w:rsidRPr="001D1971">
        <w:t xml:space="preserve">del </w:t>
      </w:r>
      <w:r w:rsidR="005E09D8" w:rsidRPr="001D1971">
        <w:t xml:space="preserve">veintiocho </w:t>
      </w:r>
      <w:r w:rsidR="00E86DB0" w:rsidRPr="001D1971">
        <w:t>de mayo</w:t>
      </w:r>
      <w:r w:rsidRPr="001D1971">
        <w:t xml:space="preserve"> de dos mil veinticinco, dirigido a la </w:t>
      </w:r>
      <w:r w:rsidR="005E09D8" w:rsidRPr="001D1971">
        <w:t xml:space="preserve">Titular de la Unidad de Transparencia </w:t>
      </w:r>
      <w:r w:rsidRPr="001D1971">
        <w:t xml:space="preserve">mediante el cual </w:t>
      </w:r>
      <w:r w:rsidR="005E09D8" w:rsidRPr="001D1971">
        <w:t>el Director de Administración d</w:t>
      </w:r>
      <w:r w:rsidRPr="001D1971">
        <w:t>e manera sustancial ratifica su respuesta.</w:t>
      </w:r>
    </w:p>
    <w:p w14:paraId="68B1EE14" w14:textId="77777777" w:rsidR="005B4188" w:rsidRPr="001D1971" w:rsidRDefault="005B4188" w:rsidP="001D1971">
      <w:pPr>
        <w:pBdr>
          <w:top w:val="nil"/>
          <w:left w:val="nil"/>
          <w:bottom w:val="nil"/>
          <w:right w:val="nil"/>
          <w:between w:val="nil"/>
        </w:pBdr>
        <w:rPr>
          <w:b/>
          <w:i/>
        </w:rPr>
      </w:pPr>
    </w:p>
    <w:p w14:paraId="0D076297" w14:textId="77777777" w:rsidR="005B4188" w:rsidRPr="001D1971" w:rsidRDefault="00D15A01" w:rsidP="001D1971">
      <w:r w:rsidRPr="001D1971">
        <w:t xml:space="preserve">Esta información fue puesta a la vista de </w:t>
      </w:r>
      <w:r w:rsidR="00E97926" w:rsidRPr="001D1971">
        <w:rPr>
          <w:b/>
        </w:rPr>
        <w:t xml:space="preserve">LA PARTE RECURRENTE </w:t>
      </w:r>
      <w:r w:rsidR="00E97926" w:rsidRPr="001D1971">
        <w:t xml:space="preserve">el </w:t>
      </w:r>
      <w:r w:rsidR="00671979" w:rsidRPr="001D1971">
        <w:rPr>
          <w:b/>
        </w:rPr>
        <w:t>catorce de jul</w:t>
      </w:r>
      <w:r w:rsidRPr="001D1971">
        <w:rPr>
          <w:b/>
        </w:rPr>
        <w:t>io</w:t>
      </w:r>
      <w:r w:rsidR="00E97926" w:rsidRPr="001D1971">
        <w:rPr>
          <w:b/>
        </w:rPr>
        <w:t xml:space="preserve"> de dos mil veinticinco, </w:t>
      </w:r>
      <w:r w:rsidR="00E97926" w:rsidRPr="001D1971">
        <w:t>para que, en un plazo de tres días hábiles, manifestara lo que a su derecho conviniera, de conformidad con lo establecido en el artículo 185, fracción III de la Ley de Transparencia y Acceso a la Información Pública del Estado de México y Municipios.</w:t>
      </w:r>
    </w:p>
    <w:p w14:paraId="6F5DEEDA" w14:textId="77777777" w:rsidR="005B4188" w:rsidRPr="001D1971" w:rsidRDefault="005B4188" w:rsidP="001D1971">
      <w:pPr>
        <w:ind w:right="539"/>
      </w:pPr>
    </w:p>
    <w:p w14:paraId="01A123A6" w14:textId="77777777" w:rsidR="005B4188" w:rsidRPr="001D1971" w:rsidRDefault="00E97926" w:rsidP="001D1971">
      <w:pPr>
        <w:pStyle w:val="Ttulo3"/>
      </w:pPr>
      <w:bookmarkStart w:id="13" w:name="_Toc206614555"/>
      <w:r w:rsidRPr="001D1971">
        <w:t>e) Manifestaciones de la Parte Recurrente</w:t>
      </w:r>
      <w:bookmarkEnd w:id="13"/>
    </w:p>
    <w:p w14:paraId="1DE153ED" w14:textId="77777777" w:rsidR="005B4188" w:rsidRPr="001D1971" w:rsidRDefault="00E97926" w:rsidP="001D1971">
      <w:r w:rsidRPr="001D1971">
        <w:rPr>
          <w:b/>
        </w:rPr>
        <w:t xml:space="preserve">LA PARTE RECURRENTE </w:t>
      </w:r>
      <w:r w:rsidRPr="001D1971">
        <w:t>no realizó manifestación alguna dentro del término legalmente concedido para tal efecto, ni presentó pruebas o alegatos.</w:t>
      </w:r>
    </w:p>
    <w:p w14:paraId="685D5C8D" w14:textId="77777777" w:rsidR="00E86DB0" w:rsidRPr="001D1971" w:rsidRDefault="00E86DB0" w:rsidP="001D1971"/>
    <w:p w14:paraId="60B46E11" w14:textId="77777777" w:rsidR="005B4188" w:rsidRPr="001D1971" w:rsidRDefault="00E97926" w:rsidP="001D1971">
      <w:pPr>
        <w:pStyle w:val="Ttulo3"/>
      </w:pPr>
      <w:bookmarkStart w:id="14" w:name="_Toc206614556"/>
      <w:r w:rsidRPr="001D1971">
        <w:t>f) Ampliación de Plazo para Resolver</w:t>
      </w:r>
      <w:bookmarkEnd w:id="14"/>
      <w:r w:rsidRPr="001D1971">
        <w:t xml:space="preserve"> </w:t>
      </w:r>
    </w:p>
    <w:p w14:paraId="04EF666F" w14:textId="77777777" w:rsidR="005B4188" w:rsidRPr="001D1971" w:rsidRDefault="00E97926" w:rsidP="001D1971">
      <w:r w:rsidRPr="001D1971">
        <w:t xml:space="preserve">El </w:t>
      </w:r>
      <w:r w:rsidR="005E09D8" w:rsidRPr="001D1971">
        <w:rPr>
          <w:b/>
        </w:rPr>
        <w:t>nueve de julio</w:t>
      </w:r>
      <w:r w:rsidRPr="001D1971">
        <w:rPr>
          <w:b/>
        </w:rPr>
        <w:t xml:space="preserve"> de dos mil veinticinco</w:t>
      </w:r>
      <w:r w:rsidRPr="001D1971">
        <w:t>, se notificó el acuerdo de ampliación de plazo para resolver el presente Recurso de Revisión, previsto en el artículo 181, tercer párrafo de la Ley de Transparencia y Acceso a la Información Pública del Estado de México y Municipios.</w:t>
      </w:r>
    </w:p>
    <w:p w14:paraId="6F396525" w14:textId="77777777" w:rsidR="005B4188" w:rsidRPr="001D1971" w:rsidRDefault="005B4188" w:rsidP="001D1971"/>
    <w:p w14:paraId="07EA3ED2" w14:textId="77777777" w:rsidR="005B4188" w:rsidRPr="001D1971" w:rsidRDefault="00E97926" w:rsidP="001D1971">
      <w:r w:rsidRPr="001D1971">
        <w:lastRenderedPageBreak/>
        <w:t>Este organismo garante no pasa por alto justificar, que el plazo para emitir resolución en el presente asunto encuentra justificación en el alto número de recursos de revisión recibidos por este Instituto, circunstancia atípica que ha rebasado las capacidades técnicas y humanas del personal encargado de la proyección de las resoluciones a dichos medios de impugnación.</w:t>
      </w:r>
    </w:p>
    <w:p w14:paraId="4078B3DD" w14:textId="77777777" w:rsidR="005B4188" w:rsidRPr="001D1971" w:rsidRDefault="005B4188" w:rsidP="001D1971"/>
    <w:p w14:paraId="7198FA40" w14:textId="77777777" w:rsidR="005B4188" w:rsidRPr="001D1971" w:rsidRDefault="00E97926" w:rsidP="001D1971">
      <w:r w:rsidRPr="001D1971">
        <w:t>Es importante precisar que, si bien se ha excedido el plazo para resolver el presente medio de impugnación, el plazo para emitir resolución se encuentra justificado en parámetros establecidos por diversos órganos jurisdiccionales federales, aplicables también en procedimientos análogos, como el que nos ocupa.</w:t>
      </w:r>
    </w:p>
    <w:p w14:paraId="14C568B5" w14:textId="77777777" w:rsidR="005B4188" w:rsidRPr="001D1971" w:rsidRDefault="005B4188" w:rsidP="001D1971"/>
    <w:p w14:paraId="744E9A2E" w14:textId="77777777" w:rsidR="005B4188" w:rsidRPr="001D1971" w:rsidRDefault="00E97926" w:rsidP="001D1971">
      <w:r w:rsidRPr="001D1971">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 En ese sentido, el legislador estableció los términos procesales de forma general, sin que pudiera prever la variada gama de casos que son resueltos por los órganos jurisdiccionales o cuasi jurisdiccionales, tanto por la complejidad de los hechos, como por el número de casos que conocen.</w:t>
      </w:r>
    </w:p>
    <w:p w14:paraId="067DB9EB" w14:textId="77777777" w:rsidR="005B4188" w:rsidRPr="001D1971" w:rsidRDefault="005B4188" w:rsidP="001D1971"/>
    <w:p w14:paraId="205232BB" w14:textId="77777777" w:rsidR="005B4188" w:rsidRPr="001D1971" w:rsidRDefault="00E97926" w:rsidP="001D1971">
      <w:r w:rsidRPr="001D1971">
        <w:t>Por ello, excepcionalmente, si un asunto es resuelto con posterioridad a los plazos señalados por la norma, debe analizarse la razonabilidad del tiempo necesario para su resolución, atentos a los siguientes criterios:</w:t>
      </w:r>
    </w:p>
    <w:p w14:paraId="0C70F8EB" w14:textId="77777777" w:rsidR="005B4188" w:rsidRPr="001D1971" w:rsidRDefault="00E97926" w:rsidP="001D1971">
      <w:pPr>
        <w:numPr>
          <w:ilvl w:val="0"/>
          <w:numId w:val="7"/>
        </w:numPr>
        <w:spacing w:after="160" w:line="278" w:lineRule="auto"/>
        <w:jc w:val="left"/>
      </w:pPr>
      <w:r w:rsidRPr="001D1971">
        <w:rPr>
          <w:b/>
        </w:rPr>
        <w:t>Complejidad del asunto:</w:t>
      </w:r>
      <w:r w:rsidRPr="001D1971">
        <w:t xml:space="preserve"> La complejidad de la prueba, la pluralidad de sujetos procesales, el tiempo transcurrido, las características y contexto del recurso.</w:t>
      </w:r>
    </w:p>
    <w:p w14:paraId="6509FFB3" w14:textId="77777777" w:rsidR="005B4188" w:rsidRPr="001D1971" w:rsidRDefault="00E97926" w:rsidP="001D1971">
      <w:pPr>
        <w:numPr>
          <w:ilvl w:val="0"/>
          <w:numId w:val="7"/>
        </w:numPr>
        <w:spacing w:after="160" w:line="278" w:lineRule="auto"/>
        <w:jc w:val="left"/>
      </w:pPr>
      <w:r w:rsidRPr="001D1971">
        <w:rPr>
          <w:b/>
        </w:rPr>
        <w:t>Actividad Procesal del interesado:</w:t>
      </w:r>
      <w:r w:rsidRPr="001D1971">
        <w:t xml:space="preserve"> Acciones u omisiones del interesado.</w:t>
      </w:r>
    </w:p>
    <w:p w14:paraId="4BA355EF" w14:textId="77777777" w:rsidR="005B4188" w:rsidRPr="001D1971" w:rsidRDefault="00E97926" w:rsidP="001D1971">
      <w:pPr>
        <w:numPr>
          <w:ilvl w:val="0"/>
          <w:numId w:val="7"/>
        </w:numPr>
        <w:spacing w:after="160" w:line="278" w:lineRule="auto"/>
        <w:jc w:val="left"/>
      </w:pPr>
      <w:r w:rsidRPr="001D1971">
        <w:rPr>
          <w:b/>
        </w:rPr>
        <w:t>Conducta de la Autoridad:</w:t>
      </w:r>
      <w:r w:rsidRPr="001D1971">
        <w:t xml:space="preserve"> Las Acciones u omisiones realizadas en el procedimiento. Así como si la autoridad actuó con la debida diligencia.</w:t>
      </w:r>
    </w:p>
    <w:p w14:paraId="54249ED8" w14:textId="77777777" w:rsidR="005B4188" w:rsidRPr="001D1971" w:rsidRDefault="00E97926" w:rsidP="001D1971">
      <w:pPr>
        <w:numPr>
          <w:ilvl w:val="0"/>
          <w:numId w:val="7"/>
        </w:numPr>
        <w:spacing w:after="160" w:line="278" w:lineRule="auto"/>
        <w:jc w:val="left"/>
      </w:pPr>
      <w:r w:rsidRPr="001D1971">
        <w:rPr>
          <w:b/>
        </w:rPr>
        <w:lastRenderedPageBreak/>
        <w:t xml:space="preserve">La afectación generada en la situación jurídica de la persona involucrada en el proceso: </w:t>
      </w:r>
      <w:r w:rsidRPr="001D1971">
        <w:t>Violación a sus derechos humanos.</w:t>
      </w:r>
    </w:p>
    <w:p w14:paraId="1BEEA953" w14:textId="77777777" w:rsidR="005B4188" w:rsidRPr="001D1971" w:rsidRDefault="005B4188" w:rsidP="001D1971"/>
    <w:p w14:paraId="2DE29B5D" w14:textId="77777777" w:rsidR="005B4188" w:rsidRPr="001D1971" w:rsidRDefault="00E97926" w:rsidP="001D1971">
      <w:r w:rsidRPr="001D1971">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696EF9D4" w14:textId="77777777" w:rsidR="005B4188" w:rsidRPr="001D1971" w:rsidRDefault="005B4188" w:rsidP="001D1971"/>
    <w:p w14:paraId="617318F3" w14:textId="77777777" w:rsidR="005B4188" w:rsidRPr="001D1971" w:rsidRDefault="00E97926" w:rsidP="001D1971">
      <w:r w:rsidRPr="001D1971">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Semanario Judicial de la Federación con el registro digital 205635.</w:t>
      </w:r>
    </w:p>
    <w:p w14:paraId="17910170" w14:textId="77777777" w:rsidR="005B4188" w:rsidRPr="001D1971" w:rsidRDefault="005B4188" w:rsidP="001D1971"/>
    <w:p w14:paraId="30F0F364" w14:textId="77777777" w:rsidR="005B4188" w:rsidRPr="001D1971" w:rsidRDefault="00E97926" w:rsidP="001D1971">
      <w:r w:rsidRPr="001D1971">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26B604AB" w14:textId="77777777" w:rsidR="005B4188" w:rsidRPr="001D1971" w:rsidRDefault="005B4188" w:rsidP="001D1971"/>
    <w:p w14:paraId="2FDDD695" w14:textId="77777777" w:rsidR="005B4188" w:rsidRPr="001D1971" w:rsidRDefault="00E97926" w:rsidP="001D1971">
      <w:r w:rsidRPr="001D1971">
        <w:lastRenderedPageBreak/>
        <w:t>Al respecto, también son de considerar los criterios sostenidos por el Cuarto Tribunal Colegiado en Materia Administrativa del Primer Circuito, cuyos rubros y datos de identificación son los siguientes:</w:t>
      </w:r>
    </w:p>
    <w:p w14:paraId="6C7DF063" w14:textId="77777777" w:rsidR="005B4188" w:rsidRPr="001D1971" w:rsidRDefault="005B4188" w:rsidP="001D1971"/>
    <w:p w14:paraId="367BF323" w14:textId="77777777" w:rsidR="005B4188" w:rsidRPr="001D1971" w:rsidRDefault="00E97926" w:rsidP="001D1971">
      <w:pPr>
        <w:spacing w:line="240" w:lineRule="auto"/>
        <w:ind w:left="851" w:right="822"/>
        <w:rPr>
          <w:i/>
        </w:rPr>
      </w:pPr>
      <w:r w:rsidRPr="001D1971">
        <w:rPr>
          <w:i/>
        </w:rPr>
        <w:t>“</w:t>
      </w:r>
      <w:r w:rsidRPr="001D1971">
        <w:rPr>
          <w:b/>
          <w:i/>
        </w:rPr>
        <w:t>PLAZO RAZONABLE PARA RESOLVER. DIMENSIÓN Y EFECTOS DE ESTE CONCEPTO CUANDO SE ADUCE EXCESIVA CARGA DE TRABAJO</w:t>
      </w:r>
      <w:r w:rsidRPr="001D1971">
        <w:rPr>
          <w:i/>
        </w:rPr>
        <w:t>.” consultable en el Semanario Judicial de la Federación y su gaceta, con el registro digital 2002351.</w:t>
      </w:r>
    </w:p>
    <w:p w14:paraId="4C2B5237" w14:textId="77777777" w:rsidR="005B4188" w:rsidRPr="001D1971" w:rsidRDefault="005B4188" w:rsidP="001D1971">
      <w:pPr>
        <w:ind w:left="851" w:right="822"/>
        <w:rPr>
          <w:i/>
        </w:rPr>
      </w:pPr>
    </w:p>
    <w:p w14:paraId="34FDF347" w14:textId="77777777" w:rsidR="005B4188" w:rsidRPr="001D1971" w:rsidRDefault="00E97926" w:rsidP="001D1971">
      <w:pPr>
        <w:spacing w:line="240" w:lineRule="auto"/>
        <w:ind w:left="851" w:right="822"/>
      </w:pPr>
      <w:r w:rsidRPr="001D1971">
        <w:rPr>
          <w:i/>
        </w:rPr>
        <w:t>“</w:t>
      </w:r>
      <w:r w:rsidRPr="001D1971">
        <w:rPr>
          <w:b/>
          <w:i/>
        </w:rPr>
        <w:t>PLAZO RAZONABLE PARA RESOLVER. CONCEPTO Y ELEMENTOS QUE LO INTEGRAN A LA LUZ DEL DERECHO INTERNACIONAL DE LOS DERECHOS HUMANOS</w:t>
      </w:r>
      <w:r w:rsidRPr="001D1971">
        <w:rPr>
          <w:i/>
        </w:rPr>
        <w:t>.”, visible en el Semanario Judicial de la Federación y su gaceta, con el registro digital 2002350.</w:t>
      </w:r>
    </w:p>
    <w:p w14:paraId="0D6AC8D5" w14:textId="77777777" w:rsidR="005B4188" w:rsidRPr="001D1971" w:rsidRDefault="005B4188" w:rsidP="001D1971"/>
    <w:p w14:paraId="54A74548" w14:textId="77777777" w:rsidR="005B4188" w:rsidRPr="001D1971" w:rsidRDefault="00E97926" w:rsidP="001D1971">
      <w:r w:rsidRPr="001D1971">
        <w:t>Por ello, este organismo garante comprometido con la tutela de los derechos humanos confiados señala que este exceso del plazo legal para resolver el asunto resulta de carácter excepcional.</w:t>
      </w:r>
    </w:p>
    <w:p w14:paraId="3019B3F3" w14:textId="77777777" w:rsidR="005B4188" w:rsidRPr="001D1971" w:rsidRDefault="005B4188" w:rsidP="001D1971"/>
    <w:p w14:paraId="65192E1E" w14:textId="77777777" w:rsidR="005B4188" w:rsidRPr="001D1971" w:rsidRDefault="00E97926" w:rsidP="001D1971">
      <w:pPr>
        <w:pStyle w:val="Ttulo3"/>
      </w:pPr>
      <w:bookmarkStart w:id="15" w:name="_Toc206614557"/>
      <w:r w:rsidRPr="001D1971">
        <w:t>g) Cierre de instrucción</w:t>
      </w:r>
      <w:bookmarkEnd w:id="15"/>
    </w:p>
    <w:p w14:paraId="120B219F" w14:textId="6B243FD2" w:rsidR="005B4188" w:rsidRPr="001D1971" w:rsidRDefault="00E97926" w:rsidP="001D1971">
      <w:r w:rsidRPr="001D1971">
        <w:t xml:space="preserve">Al no existir diligencias pendientes por desahogar, el </w:t>
      </w:r>
      <w:r w:rsidR="00972481" w:rsidRPr="001D1971">
        <w:rPr>
          <w:b/>
        </w:rPr>
        <w:t>d</w:t>
      </w:r>
      <w:r w:rsidR="00AB5FD3" w:rsidRPr="001D1971">
        <w:rPr>
          <w:b/>
        </w:rPr>
        <w:t>iecinueve</w:t>
      </w:r>
      <w:r w:rsidRPr="001D1971">
        <w:rPr>
          <w:b/>
        </w:rPr>
        <w:t xml:space="preserve"> de agosto dos mil veinticinco,</w:t>
      </w:r>
      <w:r w:rsidRPr="001D1971">
        <w:t xml:space="preserve"> la </w:t>
      </w:r>
      <w:r w:rsidRPr="001D1971">
        <w:rPr>
          <w:b/>
        </w:rPr>
        <w:t xml:space="preserve">Comisionada Sharon Cristina Morales Martínez </w:t>
      </w:r>
      <w:r w:rsidRPr="001D1971">
        <w:t>acordó el cierre de instrucción y la remisión del expediente a efecto de ser resuelto, de conformidad con lo establecido en el artículo 185 fracciones VI y VIII de la Ley de Transparencia y Acceso a la Información Pública del Estado de México y Municipios. Dicho acuerdo fue notificado a las partes el mismo día a través del SAIMEX.</w:t>
      </w:r>
    </w:p>
    <w:p w14:paraId="501599BE" w14:textId="77777777" w:rsidR="005E09D8" w:rsidRPr="001D1971" w:rsidRDefault="005E09D8" w:rsidP="001D1971"/>
    <w:p w14:paraId="67B7E4B7" w14:textId="77777777" w:rsidR="005B4188" w:rsidRPr="001D1971" w:rsidRDefault="005B4188" w:rsidP="001D1971"/>
    <w:p w14:paraId="14CE2064" w14:textId="77777777" w:rsidR="005B4188" w:rsidRPr="001D1971" w:rsidRDefault="00E97926" w:rsidP="001D1971">
      <w:pPr>
        <w:pStyle w:val="Ttulo1"/>
      </w:pPr>
      <w:bookmarkStart w:id="16" w:name="_Toc206614558"/>
      <w:r w:rsidRPr="001D1971">
        <w:lastRenderedPageBreak/>
        <w:t>CONSIDERANDOS</w:t>
      </w:r>
      <w:bookmarkEnd w:id="16"/>
    </w:p>
    <w:p w14:paraId="42BD62FC" w14:textId="77777777" w:rsidR="005B4188" w:rsidRPr="001D1971" w:rsidRDefault="005B4188" w:rsidP="001D1971">
      <w:pPr>
        <w:jc w:val="center"/>
        <w:rPr>
          <w:b/>
        </w:rPr>
      </w:pPr>
    </w:p>
    <w:p w14:paraId="768B4266" w14:textId="77777777" w:rsidR="005B4188" w:rsidRPr="001D1971" w:rsidRDefault="00E97926" w:rsidP="001D1971">
      <w:pPr>
        <w:pStyle w:val="Ttulo2"/>
      </w:pPr>
      <w:bookmarkStart w:id="17" w:name="_Toc206614559"/>
      <w:r w:rsidRPr="001D1971">
        <w:t>PRIMERO. Procedibilidad</w:t>
      </w:r>
      <w:bookmarkEnd w:id="17"/>
    </w:p>
    <w:p w14:paraId="577F2FA0" w14:textId="77777777" w:rsidR="005B4188" w:rsidRPr="001D1971" w:rsidRDefault="00E97926" w:rsidP="001D1971">
      <w:pPr>
        <w:pStyle w:val="Ttulo3"/>
      </w:pPr>
      <w:bookmarkStart w:id="18" w:name="_Toc206614560"/>
      <w:r w:rsidRPr="001D1971">
        <w:t>a) Competencia del Instituto</w:t>
      </w:r>
      <w:bookmarkEnd w:id="18"/>
    </w:p>
    <w:p w14:paraId="4552EE9B" w14:textId="77777777" w:rsidR="005B4188" w:rsidRPr="001D1971" w:rsidRDefault="00E97926" w:rsidP="001D1971">
      <w:r w:rsidRPr="001D1971">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19989637" w14:textId="77777777" w:rsidR="005B4188" w:rsidRPr="001D1971" w:rsidRDefault="005B4188" w:rsidP="001D1971"/>
    <w:p w14:paraId="0DC770A9" w14:textId="77777777" w:rsidR="005B4188" w:rsidRPr="001D1971" w:rsidRDefault="00E97926" w:rsidP="001D1971">
      <w:pPr>
        <w:pStyle w:val="Ttulo3"/>
      </w:pPr>
      <w:bookmarkStart w:id="19" w:name="_Toc206614561"/>
      <w:r w:rsidRPr="001D1971">
        <w:t>b) Legitimidad de la parte recurrente</w:t>
      </w:r>
      <w:bookmarkEnd w:id="19"/>
    </w:p>
    <w:p w14:paraId="3739AB1B" w14:textId="77777777" w:rsidR="005B4188" w:rsidRPr="001D1971" w:rsidRDefault="00E97926" w:rsidP="001D1971">
      <w:r w:rsidRPr="001D1971">
        <w:t>El recurso de revisión fue interpuesto por parte legítima, ya que se presentó por la misma persona que formuló la solicitud de acceso a la Información Pública,</w:t>
      </w:r>
      <w:r w:rsidRPr="001D1971">
        <w:rPr>
          <w:b/>
        </w:rPr>
        <w:t xml:space="preserve"> </w:t>
      </w:r>
      <w:r w:rsidRPr="001D1971">
        <w:t>debido a que los datos de acceso</w:t>
      </w:r>
      <w:r w:rsidRPr="001D1971">
        <w:rPr>
          <w:b/>
        </w:rPr>
        <w:t xml:space="preserve"> SAIMEX</w:t>
      </w:r>
      <w:r w:rsidRPr="001D1971">
        <w:t xml:space="preserve"> son personales e irrepetibles.</w:t>
      </w:r>
    </w:p>
    <w:p w14:paraId="3A660EFD" w14:textId="77777777" w:rsidR="005B4188" w:rsidRPr="001D1971" w:rsidRDefault="005B4188" w:rsidP="001D1971"/>
    <w:p w14:paraId="7859D420" w14:textId="77777777" w:rsidR="005B4188" w:rsidRPr="001D1971" w:rsidRDefault="00E97926" w:rsidP="001D1971">
      <w:pPr>
        <w:pStyle w:val="Ttulo3"/>
      </w:pPr>
      <w:bookmarkStart w:id="20" w:name="_Toc206614562"/>
      <w:r w:rsidRPr="001D1971">
        <w:t>c) Plazo para interponer el recurso</w:t>
      </w:r>
      <w:bookmarkEnd w:id="20"/>
    </w:p>
    <w:p w14:paraId="292BD61F" w14:textId="743B9955" w:rsidR="005B4188" w:rsidRPr="001D1971" w:rsidRDefault="00E97926" w:rsidP="001D1971">
      <w:bookmarkStart w:id="21" w:name="_heading=h.aayoelkkbcli" w:colFirst="0" w:colLast="0"/>
      <w:bookmarkEnd w:id="21"/>
      <w:r w:rsidRPr="001D1971">
        <w:rPr>
          <w:b/>
        </w:rPr>
        <w:t>EL SUJETO OBLIGADO</w:t>
      </w:r>
      <w:r w:rsidRPr="001D1971">
        <w:t xml:space="preserve"> notificó la respuesta a la solicitud de acceso a la Información Pública el </w:t>
      </w:r>
      <w:r w:rsidR="00AB5FD3" w:rsidRPr="001D1971">
        <w:rPr>
          <w:b/>
        </w:rPr>
        <w:t>dieciséis de mayo</w:t>
      </w:r>
      <w:r w:rsidRPr="001D1971">
        <w:rPr>
          <w:b/>
        </w:rPr>
        <w:t xml:space="preserve"> de dos mil veinticinco </w:t>
      </w:r>
      <w:r w:rsidRPr="001D1971">
        <w:t xml:space="preserve">y el recurso que nos ocupa se interpuso el </w:t>
      </w:r>
      <w:r w:rsidR="00AB5FD3" w:rsidRPr="001D1971">
        <w:rPr>
          <w:b/>
        </w:rPr>
        <w:t>veintitrés de mayo</w:t>
      </w:r>
      <w:r w:rsidRPr="001D1971">
        <w:rPr>
          <w:b/>
        </w:rPr>
        <w:t xml:space="preserve"> de dos mil veinticinco,</w:t>
      </w:r>
      <w:r w:rsidRPr="001D1971">
        <w:t xml:space="preserve"> por lo tanto, éste se encuentra dentro del margen temporal previsto en el artículo 178 de la Ley de Transparencia y Acceso a la Información </w:t>
      </w:r>
      <w:r w:rsidRPr="001D1971">
        <w:lastRenderedPageBreak/>
        <w:t xml:space="preserve">Pública del Estado de México y Municipios, el cual transcurrió del </w:t>
      </w:r>
      <w:r w:rsidR="00AB5FD3" w:rsidRPr="001D1971">
        <w:rPr>
          <w:b/>
        </w:rPr>
        <w:t>diecinueve de mayo</w:t>
      </w:r>
      <w:r w:rsidR="00972481" w:rsidRPr="001D1971">
        <w:rPr>
          <w:b/>
        </w:rPr>
        <w:t xml:space="preserve"> al seis de </w:t>
      </w:r>
      <w:r w:rsidR="00AB5FD3" w:rsidRPr="001D1971">
        <w:rPr>
          <w:b/>
        </w:rPr>
        <w:t>junio</w:t>
      </w:r>
      <w:r w:rsidRPr="001D1971">
        <w:rPr>
          <w:b/>
        </w:rPr>
        <w:t xml:space="preserve"> de dos mil veinticinco</w:t>
      </w:r>
      <w:r w:rsidRPr="001D1971">
        <w:t>, sin contemplar en el cómputo los días sábados, domingos y aquellos considerados como días inhábiles en términos del Calendario oficial en Materia de Transparencia, Acceso a la Información Pública y Protección de Datos Personales del Estado de México y Municipios, así como de labores del Instituto.</w:t>
      </w:r>
    </w:p>
    <w:p w14:paraId="11C23EE7" w14:textId="77777777" w:rsidR="005B4188" w:rsidRPr="001D1971" w:rsidRDefault="005B4188" w:rsidP="001D1971"/>
    <w:p w14:paraId="63F3DD03" w14:textId="77777777" w:rsidR="005B4188" w:rsidRPr="001D1971" w:rsidRDefault="00E97926" w:rsidP="001D1971">
      <w:pPr>
        <w:pStyle w:val="Ttulo3"/>
      </w:pPr>
      <w:bookmarkStart w:id="22" w:name="_Toc206614563"/>
      <w:r w:rsidRPr="001D1971">
        <w:t>d) Causal de Procedencia</w:t>
      </w:r>
      <w:bookmarkEnd w:id="22"/>
    </w:p>
    <w:p w14:paraId="1D72A5AB" w14:textId="77777777" w:rsidR="005B4188" w:rsidRPr="001D1971" w:rsidRDefault="00E97926" w:rsidP="001D1971">
      <w:r w:rsidRPr="001D1971">
        <w:t xml:space="preserve">Resulta procedente la interposición del recurso de revisión, ya que se actualiza la causal de procedencia señalada en el artículo 179, fracción </w:t>
      </w:r>
      <w:r w:rsidR="005E09D8" w:rsidRPr="001D1971">
        <w:t>V</w:t>
      </w:r>
      <w:r w:rsidRPr="001D1971">
        <w:t xml:space="preserve"> de la Ley de Transparencia y Acceso a la Información Pública del Estado de México y Municipios.</w:t>
      </w:r>
    </w:p>
    <w:p w14:paraId="524A41F9" w14:textId="77777777" w:rsidR="005B4188" w:rsidRPr="001D1971" w:rsidRDefault="005B4188" w:rsidP="001D1971"/>
    <w:p w14:paraId="05D1D7C9" w14:textId="77777777" w:rsidR="005B4188" w:rsidRPr="001D1971" w:rsidRDefault="00E97926" w:rsidP="001D1971">
      <w:pPr>
        <w:pStyle w:val="Ttulo3"/>
      </w:pPr>
      <w:bookmarkStart w:id="23" w:name="_Toc206614564"/>
      <w:r w:rsidRPr="001D1971">
        <w:t>e) Requisitos formales para la interposición del recurso</w:t>
      </w:r>
      <w:bookmarkEnd w:id="23"/>
    </w:p>
    <w:p w14:paraId="5E4FE3D4" w14:textId="77777777" w:rsidR="005B4188" w:rsidRPr="001D1971" w:rsidRDefault="00E97926" w:rsidP="001D1971">
      <w:r w:rsidRPr="001D1971">
        <w:t xml:space="preserve">Es importante mencionar que, de la revisión del expediente electrónico del SAIMEX, se observa que </w:t>
      </w:r>
      <w:r w:rsidRPr="001D1971">
        <w:rPr>
          <w:b/>
        </w:rPr>
        <w:t>LA PARTE RECURRENTE</w:t>
      </w:r>
      <w:r w:rsidRPr="001D1971">
        <w:t xml:space="preserve"> no proporcionó su nombre para ser identificado, lo que en estricto sentido provoca que no se colmen los requisitos establecidos en el artículo 180 de la Ley de Transparencia; sin embargo, el artículo 15 de Ley de Transparencia y Acceso a la Información Pública del Estado de México y Municipios prevé que toda persona tendrá acceso a la información sin necesidad de acreditar interés alguno o justificar su utilización, de lo que se infiere que </w:t>
      </w:r>
      <w:r w:rsidRPr="001D1971">
        <w:rPr>
          <w:b/>
          <w:u w:val="single"/>
        </w:rPr>
        <w:t>el nombre no es un requisito indispensable</w:t>
      </w:r>
      <w:r w:rsidRPr="001D1971">
        <w:t xml:space="preserve"> para que las y los ciudadanos ejerzan el derecho de acceso a la información pública. </w:t>
      </w:r>
    </w:p>
    <w:p w14:paraId="39E4237E" w14:textId="77777777" w:rsidR="005E09D8" w:rsidRPr="001D1971" w:rsidRDefault="005E09D8" w:rsidP="001D1971"/>
    <w:p w14:paraId="00326CB3" w14:textId="77777777" w:rsidR="005B4188" w:rsidRPr="001D1971" w:rsidRDefault="00E97926" w:rsidP="001D1971">
      <w:r w:rsidRPr="001D1971">
        <w:t xml:space="preserve">Asimismo, la Ley de la materia prevé en su artículo 155, párrafo segundo la posibilidad de que las solicitudes de información sean anónimas, al utilizar un nombre incompleto o, inclusive un seudónimo. En adición a lo anterior, el propio artículo 180, en su último párrafo, establece que cuando el recurso de revisión se interponga de manera electrónica no será </w:t>
      </w:r>
      <w:r w:rsidRPr="001D1971">
        <w:lastRenderedPageBreak/>
        <w:t xml:space="preserve">indispensable que contenga algunos requisitos, entre ellos, el nombre de </w:t>
      </w:r>
      <w:r w:rsidRPr="001D1971">
        <w:rPr>
          <w:b/>
        </w:rPr>
        <w:t>LA PARTE RECURRENTE;</w:t>
      </w:r>
      <w:r w:rsidRPr="001D1971">
        <w:t xml:space="preserve"> por lo que, en el presente caso, al haber sido presentado el recurso de revisión vía </w:t>
      </w:r>
      <w:r w:rsidRPr="001D1971">
        <w:rPr>
          <w:b/>
        </w:rPr>
        <w:t>SAIMEX</w:t>
      </w:r>
      <w:r w:rsidRPr="001D1971">
        <w:t>, dicho requisito resulta innecesario.</w:t>
      </w:r>
    </w:p>
    <w:p w14:paraId="2980ACED" w14:textId="77777777" w:rsidR="005B4188" w:rsidRPr="001D1971" w:rsidRDefault="005B4188" w:rsidP="001D1971"/>
    <w:p w14:paraId="4876C5C8" w14:textId="77777777" w:rsidR="005B4188" w:rsidRPr="001D1971" w:rsidRDefault="00E97926" w:rsidP="001D1971">
      <w:pPr>
        <w:pStyle w:val="Ttulo2"/>
      </w:pPr>
      <w:bookmarkStart w:id="24" w:name="_Toc206614565"/>
      <w:r w:rsidRPr="001D1971">
        <w:t>SEGUNDO. Estudio de Fondo</w:t>
      </w:r>
      <w:bookmarkEnd w:id="24"/>
    </w:p>
    <w:p w14:paraId="0F8E6F0A" w14:textId="77777777" w:rsidR="005B4188" w:rsidRPr="001D1971" w:rsidRDefault="00E97926" w:rsidP="001D1971">
      <w:pPr>
        <w:pStyle w:val="Ttulo3"/>
      </w:pPr>
      <w:bookmarkStart w:id="25" w:name="_Toc206614566"/>
      <w:r w:rsidRPr="001D1971">
        <w:t>a) Mandato de transparencia y responsabilidad del Sujeto Obligado</w:t>
      </w:r>
      <w:bookmarkEnd w:id="25"/>
    </w:p>
    <w:p w14:paraId="66467CE4" w14:textId="77777777" w:rsidR="005B4188" w:rsidRPr="001D1971" w:rsidRDefault="00E97926" w:rsidP="001D1971">
      <w:r w:rsidRPr="001D1971">
        <w:t>El derecho de acceso a la información pública es un derecho humano reconocido en el artículo sexto de la Constitución Política de los Estados Unidos Mexicanos y en el artículo quinto de la Constitución Política del Estado Libre y Soberano de México:</w:t>
      </w:r>
    </w:p>
    <w:p w14:paraId="393221C0" w14:textId="77777777" w:rsidR="005B4188" w:rsidRPr="001D1971" w:rsidRDefault="005B4188" w:rsidP="001D1971"/>
    <w:p w14:paraId="5345A44E" w14:textId="77777777" w:rsidR="005B4188" w:rsidRPr="001D1971" w:rsidRDefault="00E97926" w:rsidP="001D1971">
      <w:pPr>
        <w:spacing w:line="240" w:lineRule="auto"/>
        <w:ind w:left="567" w:right="539"/>
        <w:rPr>
          <w:b/>
          <w:i/>
        </w:rPr>
      </w:pPr>
      <w:r w:rsidRPr="001D1971">
        <w:rPr>
          <w:b/>
          <w:i/>
        </w:rPr>
        <w:t>Constitución Política de los Estados Unidos Mexicanos</w:t>
      </w:r>
    </w:p>
    <w:p w14:paraId="31BD3135" w14:textId="77777777" w:rsidR="005B4188" w:rsidRPr="001D1971" w:rsidRDefault="00E97926" w:rsidP="001D1971">
      <w:pPr>
        <w:spacing w:line="240" w:lineRule="auto"/>
        <w:ind w:left="567" w:right="539"/>
        <w:rPr>
          <w:b/>
          <w:i/>
        </w:rPr>
      </w:pPr>
      <w:r w:rsidRPr="001D1971">
        <w:rPr>
          <w:b/>
          <w:i/>
        </w:rPr>
        <w:t>“Artículo 6.</w:t>
      </w:r>
    </w:p>
    <w:p w14:paraId="4215952C" w14:textId="77777777" w:rsidR="005B4188" w:rsidRPr="001D1971" w:rsidRDefault="00E97926" w:rsidP="001D1971">
      <w:pPr>
        <w:spacing w:line="240" w:lineRule="auto"/>
        <w:ind w:left="567" w:right="539"/>
        <w:rPr>
          <w:i/>
        </w:rPr>
      </w:pPr>
      <w:r w:rsidRPr="001D1971">
        <w:rPr>
          <w:i/>
        </w:rPr>
        <w:t>(…)</w:t>
      </w:r>
    </w:p>
    <w:p w14:paraId="5108876F" w14:textId="77777777" w:rsidR="005B4188" w:rsidRPr="001D1971" w:rsidRDefault="00E97926" w:rsidP="001D1971">
      <w:pPr>
        <w:spacing w:line="240" w:lineRule="auto"/>
        <w:ind w:left="567" w:right="539"/>
        <w:rPr>
          <w:i/>
        </w:rPr>
      </w:pPr>
      <w:r w:rsidRPr="001D1971">
        <w:rPr>
          <w:i/>
        </w:rPr>
        <w:t>Para efectos de lo dispuesto en el presente artículo se observará lo siguiente:</w:t>
      </w:r>
    </w:p>
    <w:p w14:paraId="4F408DFB" w14:textId="77777777" w:rsidR="005B4188" w:rsidRPr="001D1971" w:rsidRDefault="00E97926" w:rsidP="001D1971">
      <w:pPr>
        <w:spacing w:line="240" w:lineRule="auto"/>
        <w:ind w:left="567" w:right="539"/>
        <w:rPr>
          <w:b/>
          <w:i/>
        </w:rPr>
      </w:pPr>
      <w:r w:rsidRPr="001D1971">
        <w:rPr>
          <w:b/>
          <w:i/>
        </w:rPr>
        <w:t>A</w:t>
      </w:r>
      <w:r w:rsidRPr="001D1971">
        <w:rPr>
          <w:i/>
        </w:rPr>
        <w:t xml:space="preserve">. </w:t>
      </w:r>
      <w:r w:rsidRPr="001D1971">
        <w:rPr>
          <w:b/>
          <w:i/>
        </w:rPr>
        <w:t>Para el ejercicio del derecho de acceso a la información</w:t>
      </w:r>
      <w:r w:rsidRPr="001D1971">
        <w:rPr>
          <w:i/>
        </w:rPr>
        <w:t xml:space="preserve">, la Federación y </w:t>
      </w:r>
      <w:r w:rsidRPr="001D1971">
        <w:rPr>
          <w:b/>
          <w:i/>
        </w:rPr>
        <w:t>las entidades federativas, en el ámbito de sus respectivas competencias, se regirán por los siguientes principios y bases:</w:t>
      </w:r>
    </w:p>
    <w:p w14:paraId="7A93BC28" w14:textId="77777777" w:rsidR="005B4188" w:rsidRPr="001D1971" w:rsidRDefault="00E97926" w:rsidP="001D1971">
      <w:pPr>
        <w:spacing w:line="240" w:lineRule="auto"/>
        <w:ind w:left="567" w:right="539"/>
        <w:rPr>
          <w:i/>
        </w:rPr>
      </w:pPr>
      <w:r w:rsidRPr="001D1971">
        <w:rPr>
          <w:b/>
          <w:i/>
        </w:rPr>
        <w:t xml:space="preserve">I. </w:t>
      </w:r>
      <w:r w:rsidRPr="001D1971">
        <w:rPr>
          <w:b/>
          <w:i/>
        </w:rPr>
        <w:tab/>
        <w:t>Toda la información en posesión de cualquier</w:t>
      </w:r>
      <w:r w:rsidRPr="001D1971">
        <w:rPr>
          <w:i/>
        </w:rPr>
        <w:t xml:space="preserve"> </w:t>
      </w:r>
      <w:r w:rsidRPr="001D1971">
        <w:rPr>
          <w:b/>
          <w:i/>
        </w:rPr>
        <w:t>autoridad</w:t>
      </w:r>
      <w:r w:rsidRPr="001D1971">
        <w:rPr>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1D1971">
        <w:rPr>
          <w:b/>
          <w:i/>
        </w:rPr>
        <w:t>municipal</w:t>
      </w:r>
      <w:r w:rsidRPr="001D1971">
        <w:rPr>
          <w:i/>
        </w:rPr>
        <w:t xml:space="preserve">, </w:t>
      </w:r>
      <w:r w:rsidRPr="001D1971">
        <w:rPr>
          <w:b/>
          <w:i/>
        </w:rPr>
        <w:t>es pública</w:t>
      </w:r>
      <w:r w:rsidRPr="001D1971">
        <w:rPr>
          <w:i/>
        </w:rPr>
        <w:t xml:space="preserve"> y sólo podrá ser reservada temporalmente por razones de interés público y seguridad nacional, en los términos que fijen las leyes. </w:t>
      </w:r>
      <w:r w:rsidRPr="001D1971">
        <w:rPr>
          <w:b/>
          <w:i/>
        </w:rPr>
        <w:t>En la interpretación de este derecho deberá prevalecer el principio de máxima publicidad. Los sujetos obligados deberán documentar todo acto que derive del ejercicio de sus facultades, competencias o funciones</w:t>
      </w:r>
      <w:r w:rsidRPr="001D1971">
        <w:rPr>
          <w:i/>
        </w:rPr>
        <w:t>, la ley determinará los supuestos específicos bajo los cuales procederá la declaración de inexistencia de la información.”</w:t>
      </w:r>
    </w:p>
    <w:p w14:paraId="10A652E7" w14:textId="77777777" w:rsidR="005B4188" w:rsidRPr="001D1971" w:rsidRDefault="005B4188" w:rsidP="001D1971">
      <w:pPr>
        <w:spacing w:line="240" w:lineRule="auto"/>
        <w:ind w:left="567" w:right="539"/>
        <w:rPr>
          <w:b/>
          <w:i/>
        </w:rPr>
      </w:pPr>
    </w:p>
    <w:p w14:paraId="57C731DF" w14:textId="77777777" w:rsidR="005B4188" w:rsidRPr="001D1971" w:rsidRDefault="00E97926" w:rsidP="001D1971">
      <w:pPr>
        <w:spacing w:line="240" w:lineRule="auto"/>
        <w:ind w:left="567" w:right="539"/>
        <w:rPr>
          <w:b/>
          <w:i/>
        </w:rPr>
      </w:pPr>
      <w:r w:rsidRPr="001D1971">
        <w:rPr>
          <w:b/>
          <w:i/>
        </w:rPr>
        <w:t>Constitución Política del Estado Libre y Soberano de México</w:t>
      </w:r>
    </w:p>
    <w:p w14:paraId="0FD11C92" w14:textId="77777777" w:rsidR="005B4188" w:rsidRPr="001D1971" w:rsidRDefault="00E97926" w:rsidP="001D1971">
      <w:pPr>
        <w:spacing w:line="240" w:lineRule="auto"/>
        <w:ind w:left="567" w:right="539"/>
        <w:rPr>
          <w:i/>
        </w:rPr>
      </w:pPr>
      <w:r w:rsidRPr="001D1971">
        <w:rPr>
          <w:b/>
          <w:i/>
        </w:rPr>
        <w:t>“Artículo 5</w:t>
      </w:r>
      <w:r w:rsidRPr="001D1971">
        <w:rPr>
          <w:i/>
        </w:rPr>
        <w:t xml:space="preserve">.- </w:t>
      </w:r>
    </w:p>
    <w:p w14:paraId="6441B75F" w14:textId="77777777" w:rsidR="005B4188" w:rsidRPr="001D1971" w:rsidRDefault="00E97926" w:rsidP="001D1971">
      <w:pPr>
        <w:spacing w:line="240" w:lineRule="auto"/>
        <w:ind w:left="567" w:right="539"/>
        <w:rPr>
          <w:i/>
        </w:rPr>
      </w:pPr>
      <w:r w:rsidRPr="001D1971">
        <w:rPr>
          <w:i/>
        </w:rPr>
        <w:t>(…)</w:t>
      </w:r>
    </w:p>
    <w:p w14:paraId="4824A967" w14:textId="77777777" w:rsidR="005B4188" w:rsidRPr="001D1971" w:rsidRDefault="00E97926" w:rsidP="001D1971">
      <w:pPr>
        <w:spacing w:line="240" w:lineRule="auto"/>
        <w:ind w:left="567" w:right="539"/>
        <w:rPr>
          <w:i/>
        </w:rPr>
      </w:pPr>
      <w:r w:rsidRPr="001D1971">
        <w:rPr>
          <w:b/>
          <w:i/>
        </w:rPr>
        <w:lastRenderedPageBreak/>
        <w:t>El derecho a la información será garantizado por el Estado. La ley establecerá las previsiones que permitan asegurar la protección, el respeto y la difusión de este derecho</w:t>
      </w:r>
      <w:r w:rsidRPr="001D1971">
        <w:rPr>
          <w:i/>
        </w:rPr>
        <w:t>.</w:t>
      </w:r>
    </w:p>
    <w:p w14:paraId="4183B1DB" w14:textId="77777777" w:rsidR="005B4188" w:rsidRPr="001D1971" w:rsidRDefault="00E97926" w:rsidP="001D1971">
      <w:pPr>
        <w:spacing w:line="240" w:lineRule="auto"/>
        <w:ind w:left="567" w:right="539"/>
        <w:rPr>
          <w:i/>
        </w:rPr>
      </w:pPr>
      <w:r w:rsidRPr="001D1971">
        <w:rPr>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744AE570" w14:textId="77777777" w:rsidR="005B4188" w:rsidRPr="001D1971" w:rsidRDefault="00E97926" w:rsidP="001D1971">
      <w:pPr>
        <w:spacing w:line="240" w:lineRule="auto"/>
        <w:ind w:left="567" w:right="539"/>
        <w:rPr>
          <w:i/>
        </w:rPr>
      </w:pPr>
      <w:r w:rsidRPr="001D1971">
        <w:rPr>
          <w:b/>
          <w:i/>
        </w:rPr>
        <w:t>Este derecho se regirá por los principios y bases siguientes</w:t>
      </w:r>
      <w:r w:rsidRPr="001D1971">
        <w:rPr>
          <w:i/>
        </w:rPr>
        <w:t>:</w:t>
      </w:r>
    </w:p>
    <w:p w14:paraId="7850F371" w14:textId="77777777" w:rsidR="005B4188" w:rsidRPr="001D1971" w:rsidRDefault="00E97926" w:rsidP="001D1971">
      <w:pPr>
        <w:spacing w:after="240" w:line="240" w:lineRule="auto"/>
        <w:ind w:left="567" w:right="539"/>
        <w:rPr>
          <w:i/>
        </w:rPr>
      </w:pPr>
      <w:r w:rsidRPr="001D1971">
        <w:rPr>
          <w:b/>
          <w:i/>
        </w:rPr>
        <w:t>I. Toda la información en posesión de cualquier autoridad, entidad, órgano y organismos de los</w:t>
      </w:r>
      <w:r w:rsidRPr="001D1971">
        <w:rPr>
          <w:i/>
        </w:rPr>
        <w:t xml:space="preserve"> Poderes Ejecutivo, Legislativo y Judicial, órganos autónomos, partidos políticos, fideicomisos y fondos públicos estatales y </w:t>
      </w:r>
      <w:r w:rsidRPr="001D1971">
        <w:rPr>
          <w:b/>
          <w:i/>
        </w:rPr>
        <w:t>municipales</w:t>
      </w:r>
      <w:r w:rsidRPr="001D1971">
        <w:rPr>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1D1971">
        <w:rPr>
          <w:b/>
          <w:i/>
        </w:rPr>
        <w:t>es pública</w:t>
      </w:r>
      <w:r w:rsidRPr="001D1971">
        <w:rPr>
          <w:i/>
        </w:rPr>
        <w:t xml:space="preserve"> y sólo podrá ser reservada temporalmente por razones previstas en la Constitución Política de los Estados Unidos Mexicanos de interés público y seguridad, en los términos que fijen las leyes. </w:t>
      </w:r>
      <w:r w:rsidRPr="001D1971">
        <w:rPr>
          <w:b/>
          <w:i/>
        </w:rPr>
        <w:t>En la interpretación de este derecho deberá prevalecer el principio de máxima publicidad</w:t>
      </w:r>
      <w:r w:rsidRPr="001D1971">
        <w:rPr>
          <w:i/>
        </w:rPr>
        <w:t xml:space="preserve">. </w:t>
      </w:r>
      <w:r w:rsidRPr="001D1971">
        <w:rPr>
          <w:b/>
          <w:i/>
        </w:rPr>
        <w:t>Los sujetos obligados deberán documentar todo acto que derive del ejercicio de sus facultades, competencias o funciones</w:t>
      </w:r>
      <w:r w:rsidRPr="001D1971">
        <w:rPr>
          <w:i/>
        </w:rPr>
        <w:t>, la ley determinará los supuestos específicos bajo los cuales procederá la declaración de inexistencia de la información.”</w:t>
      </w:r>
    </w:p>
    <w:p w14:paraId="54983CB2" w14:textId="77777777" w:rsidR="005B4188" w:rsidRPr="001D1971" w:rsidRDefault="00E97926" w:rsidP="001D1971">
      <w:pPr>
        <w:rPr>
          <w:i/>
        </w:rPr>
      </w:pPr>
      <w:r w:rsidRPr="001D1971">
        <w:t xml:space="preserve">Asimismo, el artículo 150 de la Ley de Transparencia y Acceso a la Información Pública del Estado de México y Municipios indica que la solicitud es la garantía primaria del Derecho de Acceso a la Información, además, establece que se regirá </w:t>
      </w:r>
      <w:r w:rsidRPr="001D1971">
        <w:rPr>
          <w:i/>
        </w:rPr>
        <w:t>por los principios de simplicidad, rapidez, gratuidad del procedimiento, auxilio y orientación a los particulares.</w:t>
      </w:r>
    </w:p>
    <w:p w14:paraId="6F5D623C" w14:textId="77777777" w:rsidR="005B4188" w:rsidRPr="001D1971" w:rsidRDefault="005B4188" w:rsidP="001D1971">
      <w:pPr>
        <w:rPr>
          <w:i/>
        </w:rPr>
      </w:pPr>
    </w:p>
    <w:p w14:paraId="6C8E9560" w14:textId="77777777" w:rsidR="005B4188" w:rsidRPr="001D1971" w:rsidRDefault="00E97926" w:rsidP="001D1971">
      <w:pPr>
        <w:rPr>
          <w:i/>
        </w:rPr>
      </w:pPr>
      <w:r w:rsidRPr="001D1971">
        <w:t>Por su parte, el artículo 4 de 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p>
    <w:p w14:paraId="35056E33" w14:textId="77777777" w:rsidR="005B4188" w:rsidRPr="001D1971" w:rsidRDefault="00E97926" w:rsidP="001D1971">
      <w:r w:rsidRPr="001D1971">
        <w:t xml:space="preserve">Esto es, que los Sujetos Obligados deben atender las solicitudes de acceso a la información pública que se les sean realizadas, y proporcionar la información pública que obre en su poder, conforme al estado en que se encuentre, sin que sea necesario procesar la misma, ni presentarla </w:t>
      </w:r>
      <w:r w:rsidRPr="001D1971">
        <w:lastRenderedPageBreak/>
        <w:t>conforme al interés del solicitante; tal y como lo establece el artículo 12 de la Ley de Transparencia y Acceso a la Información Pública del Estado de México y Municipios.</w:t>
      </w:r>
    </w:p>
    <w:p w14:paraId="2C616AC7" w14:textId="77777777" w:rsidR="005B4188" w:rsidRPr="001D1971" w:rsidRDefault="005B4188" w:rsidP="001D1971"/>
    <w:p w14:paraId="304A1C60" w14:textId="77777777" w:rsidR="005B4188" w:rsidRPr="001D1971" w:rsidRDefault="00E97926" w:rsidP="001D1971">
      <w:r w:rsidRPr="001D1971">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o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262F5EAD" w14:textId="77777777" w:rsidR="005B4188" w:rsidRPr="001D1971" w:rsidRDefault="005B4188" w:rsidP="001D1971"/>
    <w:p w14:paraId="024FD77C" w14:textId="77777777" w:rsidR="005B4188" w:rsidRPr="001D1971" w:rsidRDefault="00E97926" w:rsidP="001D1971">
      <w:r w:rsidRPr="001D1971">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 siempre y cuando no se trate de información reservada o confidencial.</w:t>
      </w:r>
    </w:p>
    <w:p w14:paraId="4C0A7235" w14:textId="77777777" w:rsidR="005B4188" w:rsidRPr="001D1971" w:rsidRDefault="005B4188" w:rsidP="001D1971"/>
    <w:p w14:paraId="47CC4401" w14:textId="77777777" w:rsidR="005B4188" w:rsidRPr="001D1971" w:rsidRDefault="00E97926" w:rsidP="001D1971">
      <w:bookmarkStart w:id="26" w:name="_heading=h.2s8eyo1" w:colFirst="0" w:colLast="0"/>
      <w:bookmarkEnd w:id="26"/>
      <w:r w:rsidRPr="001D1971">
        <w:t xml:space="preserve">Con base en lo anterior, se considera que </w:t>
      </w:r>
      <w:r w:rsidRPr="001D1971">
        <w:rPr>
          <w:b/>
        </w:rPr>
        <w:t>EL</w:t>
      </w:r>
      <w:r w:rsidRPr="001D1971">
        <w:t xml:space="preserve"> </w:t>
      </w:r>
      <w:r w:rsidRPr="001D1971">
        <w:rPr>
          <w:b/>
        </w:rPr>
        <w:t>SUJETO OBLIGADO</w:t>
      </w:r>
      <w:r w:rsidRPr="001D1971">
        <w:t xml:space="preserve"> se encontraba compelido a atender la solicitud de acceso a la información realizada por </w:t>
      </w:r>
      <w:r w:rsidRPr="001D1971">
        <w:rPr>
          <w:b/>
        </w:rPr>
        <w:t>LA PARTE RECURRENTE</w:t>
      </w:r>
      <w:r w:rsidRPr="001D1971">
        <w:t>.</w:t>
      </w:r>
    </w:p>
    <w:p w14:paraId="0259C8A9" w14:textId="77777777" w:rsidR="005B4188" w:rsidRPr="001D1971" w:rsidRDefault="005B4188" w:rsidP="001D1971"/>
    <w:p w14:paraId="4973BD42" w14:textId="77777777" w:rsidR="005B4188" w:rsidRPr="001D1971" w:rsidRDefault="00E97926" w:rsidP="001D1971">
      <w:pPr>
        <w:pStyle w:val="Ttulo3"/>
      </w:pPr>
      <w:bookmarkStart w:id="27" w:name="_Toc206614567"/>
      <w:r w:rsidRPr="001D1971">
        <w:t>b) Controversia a resolver</w:t>
      </w:r>
      <w:bookmarkEnd w:id="27"/>
    </w:p>
    <w:p w14:paraId="783059DA" w14:textId="77777777" w:rsidR="005B4188" w:rsidRPr="001D1971" w:rsidRDefault="00E97926" w:rsidP="001D1971">
      <w:r w:rsidRPr="001D1971">
        <w:t xml:space="preserve">Con el objeto de ilustrar la controversia planteada, resulta conveniente precisar que, una vez realizado el estudio de las constancias que integran el expediente en que se actúa, se desprende que </w:t>
      </w:r>
      <w:r w:rsidRPr="001D1971">
        <w:rPr>
          <w:b/>
        </w:rPr>
        <w:t>LA PARTE RECURRENTE</w:t>
      </w:r>
      <w:r w:rsidRPr="001D1971">
        <w:t xml:space="preserve"> solicitó al </w:t>
      </w:r>
      <w:r w:rsidRPr="001D1971">
        <w:rPr>
          <w:b/>
        </w:rPr>
        <w:t>SUJETO OBLIGADO</w:t>
      </w:r>
      <w:r w:rsidRPr="001D1971">
        <w:t xml:space="preserve"> lo siguiente:</w:t>
      </w:r>
    </w:p>
    <w:p w14:paraId="71F3FEF9" w14:textId="77777777" w:rsidR="005B4188" w:rsidRPr="001D1971" w:rsidRDefault="005B4188" w:rsidP="001D1971"/>
    <w:p w14:paraId="38897D2F" w14:textId="77777777" w:rsidR="000B514E" w:rsidRPr="001D1971" w:rsidRDefault="005E09D8" w:rsidP="001D1971">
      <w:pPr>
        <w:pStyle w:val="Prrafodelista"/>
        <w:numPr>
          <w:ilvl w:val="0"/>
          <w:numId w:val="1"/>
        </w:numPr>
      </w:pPr>
      <w:r w:rsidRPr="001D1971">
        <w:lastRenderedPageBreak/>
        <w:t>Los convenios, contratos y licitaciones públicas para la contratación de obras o servicios, que ha realizado el gobierno municipal, fechas y medios en donde se han publicado las licitaciones del 1 de enero al 30 de abril de 2025.</w:t>
      </w:r>
    </w:p>
    <w:p w14:paraId="0D944F1E" w14:textId="77777777" w:rsidR="005B4188" w:rsidRPr="001D1971" w:rsidRDefault="005B4188" w:rsidP="001D1971">
      <w:pPr>
        <w:ind w:right="-28"/>
      </w:pPr>
    </w:p>
    <w:p w14:paraId="0DABD99D" w14:textId="77777777" w:rsidR="000B514E" w:rsidRPr="001D1971" w:rsidRDefault="00E97926" w:rsidP="001D1971">
      <w:pPr>
        <w:ind w:right="-28"/>
      </w:pPr>
      <w:r w:rsidRPr="001D1971">
        <w:t>A</w:t>
      </w:r>
      <w:r w:rsidR="005E09D8" w:rsidRPr="001D1971">
        <w:t xml:space="preserve"> través del oficio remitido por el Director de Administración informó de manera esencial que, la dirección de administración únicamente cuenta con contratos de servicios, no de obras, adjuntado dos contratos los cuales se advierten de manera ilegible.</w:t>
      </w:r>
    </w:p>
    <w:p w14:paraId="14C819DB" w14:textId="77777777" w:rsidR="005B4188" w:rsidRPr="001D1971" w:rsidRDefault="005B4188" w:rsidP="001D1971">
      <w:pPr>
        <w:ind w:right="-28"/>
      </w:pPr>
    </w:p>
    <w:p w14:paraId="5B94946A" w14:textId="77777777" w:rsidR="005B4188" w:rsidRPr="001D1971" w:rsidRDefault="00E97926" w:rsidP="001D1971">
      <w:pPr>
        <w:tabs>
          <w:tab w:val="left" w:pos="4962"/>
        </w:tabs>
      </w:pPr>
      <w:r w:rsidRPr="001D1971">
        <w:t xml:space="preserve">Ante la respuesta del </w:t>
      </w:r>
      <w:r w:rsidRPr="001D1971">
        <w:rPr>
          <w:b/>
        </w:rPr>
        <w:t>SUJETO OBLIGADO</w:t>
      </w:r>
      <w:r w:rsidRPr="001D1971">
        <w:t xml:space="preserve">, se interpuso el presente Recurso mediante el cual </w:t>
      </w:r>
      <w:r w:rsidRPr="001D1971">
        <w:rPr>
          <w:b/>
        </w:rPr>
        <w:t>LA PARTE RECURRENTE</w:t>
      </w:r>
      <w:r w:rsidRPr="001D1971">
        <w:t xml:space="preserve"> se inconformó </w:t>
      </w:r>
      <w:r w:rsidR="00574574" w:rsidRPr="001D1971">
        <w:t xml:space="preserve">de manera esencial </w:t>
      </w:r>
      <w:r w:rsidR="00350AE8" w:rsidRPr="001D1971">
        <w:t xml:space="preserve">de la información proporcionada es de manera incompleta e ilegible </w:t>
      </w:r>
      <w:r w:rsidR="0024023A" w:rsidRPr="001D1971">
        <w:t>de la información peticionada</w:t>
      </w:r>
      <w:r w:rsidRPr="001D1971">
        <w:t>.</w:t>
      </w:r>
    </w:p>
    <w:p w14:paraId="6E0E86A3" w14:textId="77777777" w:rsidR="0024023A" w:rsidRPr="001D1971" w:rsidRDefault="0024023A" w:rsidP="001D1971">
      <w:pPr>
        <w:tabs>
          <w:tab w:val="left" w:pos="4962"/>
        </w:tabs>
      </w:pPr>
    </w:p>
    <w:p w14:paraId="3E501D24" w14:textId="77777777" w:rsidR="005B4188" w:rsidRPr="001D1971" w:rsidRDefault="00E97926" w:rsidP="001D1971">
      <w:pPr>
        <w:tabs>
          <w:tab w:val="left" w:pos="4962"/>
        </w:tabs>
      </w:pPr>
      <w:r w:rsidRPr="001D1971">
        <w:t xml:space="preserve">Es preciso señalar que mediante informe justificado </w:t>
      </w:r>
      <w:r w:rsidRPr="001D1971">
        <w:rPr>
          <w:b/>
        </w:rPr>
        <w:t xml:space="preserve">EL SUJETO OBLIGADO </w:t>
      </w:r>
      <w:r w:rsidRPr="001D1971">
        <w:t>ratificó su respuesta primigenia, así mismo solicito se confirme del presente</w:t>
      </w:r>
      <w:r w:rsidRPr="001D1971">
        <w:rPr>
          <w:b/>
        </w:rPr>
        <w:t xml:space="preserve"> </w:t>
      </w:r>
      <w:r w:rsidRPr="001D1971">
        <w:t xml:space="preserve">recurso de revisión, por su parte </w:t>
      </w:r>
      <w:r w:rsidRPr="001D1971">
        <w:rPr>
          <w:b/>
        </w:rPr>
        <w:t xml:space="preserve">LA RECURRENTE </w:t>
      </w:r>
      <w:r w:rsidRPr="001D1971">
        <w:t>no realizó manifestación alguna dentro del término legalmente concedido para tal efecto, ni presentó pruebas o alegatos.</w:t>
      </w:r>
    </w:p>
    <w:p w14:paraId="227AC6B8" w14:textId="77777777" w:rsidR="00350AE8" w:rsidRPr="001D1971" w:rsidRDefault="00350AE8" w:rsidP="001D1971">
      <w:pPr>
        <w:tabs>
          <w:tab w:val="left" w:pos="4962"/>
        </w:tabs>
      </w:pPr>
    </w:p>
    <w:p w14:paraId="5B26561C" w14:textId="77777777" w:rsidR="005B4188" w:rsidRPr="001D1971" w:rsidRDefault="00E97926" w:rsidP="001D1971">
      <w:pPr>
        <w:tabs>
          <w:tab w:val="left" w:pos="4962"/>
        </w:tabs>
      </w:pPr>
      <w:r w:rsidRPr="001D1971">
        <w:t>Por lo tanto, el estudio del presente medio de impugnación se centrará en el análisis de las documentales remitidas para determinar si se colma o no con la pretensión del particular o deviene fundado el argumento del recurrente respecto a que no corresponde lo entregado en respuesta a lo solicitado.</w:t>
      </w:r>
    </w:p>
    <w:p w14:paraId="68C26522" w14:textId="77777777" w:rsidR="005B4188" w:rsidRPr="001D1971" w:rsidRDefault="005B4188" w:rsidP="001D1971">
      <w:pPr>
        <w:tabs>
          <w:tab w:val="left" w:pos="4962"/>
        </w:tabs>
      </w:pPr>
    </w:p>
    <w:p w14:paraId="04AEB7F3" w14:textId="77777777" w:rsidR="005B4188" w:rsidRPr="001D1971" w:rsidRDefault="00E97926" w:rsidP="001D1971">
      <w:pPr>
        <w:pStyle w:val="Ttulo3"/>
      </w:pPr>
      <w:bookmarkStart w:id="28" w:name="_Toc206614568"/>
      <w:r w:rsidRPr="001D1971">
        <w:t>c) Estudio de la controversia</w:t>
      </w:r>
      <w:bookmarkEnd w:id="28"/>
    </w:p>
    <w:p w14:paraId="25D84A53" w14:textId="77777777" w:rsidR="00EA1372" w:rsidRPr="001D1971" w:rsidRDefault="00EA1372" w:rsidP="001D1971">
      <w:pPr>
        <w:spacing w:after="240"/>
        <w:rPr>
          <w:rFonts w:eastAsiaTheme="minorHAnsi" w:cs="Tahoma"/>
          <w:lang w:eastAsia="en-US"/>
        </w:rPr>
      </w:pPr>
      <w:r w:rsidRPr="001D1971">
        <w:rPr>
          <w:rFonts w:eastAsiaTheme="minorHAnsi" w:cs="Tahoma"/>
          <w:lang w:eastAsia="en-US"/>
        </w:rPr>
        <w:t>Ahora bien, en el contexto de la información solicitada</w:t>
      </w:r>
      <w:r w:rsidRPr="001D1971">
        <w:t xml:space="preserve"> la Constitución Política de los Estados Unidos Mexicanos establece:</w:t>
      </w:r>
    </w:p>
    <w:p w14:paraId="75A81CB4" w14:textId="77777777" w:rsidR="00EA1372" w:rsidRPr="001D1971" w:rsidRDefault="00EA1372" w:rsidP="001D1971">
      <w:pPr>
        <w:spacing w:line="240" w:lineRule="auto"/>
        <w:ind w:left="851" w:right="822"/>
        <w:rPr>
          <w:i/>
        </w:rPr>
      </w:pPr>
      <w:r w:rsidRPr="001D1971">
        <w:rPr>
          <w:b/>
          <w:i/>
        </w:rPr>
        <w:lastRenderedPageBreak/>
        <w:t>Artículo 115.</w:t>
      </w:r>
      <w:r w:rsidRPr="001D1971">
        <w:rPr>
          <w:i/>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4D621B54" w14:textId="77777777" w:rsidR="00EA1372" w:rsidRPr="001D1971" w:rsidRDefault="00EA1372" w:rsidP="001D1971">
      <w:pPr>
        <w:pStyle w:val="Puesto"/>
        <w:ind w:left="851" w:right="822" w:firstLine="0"/>
        <w:rPr>
          <w:color w:val="auto"/>
        </w:rPr>
      </w:pPr>
      <w:r w:rsidRPr="001D1971">
        <w:rPr>
          <w:color w:val="auto"/>
        </w:rPr>
        <w:t>I.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w:t>
      </w:r>
    </w:p>
    <w:p w14:paraId="47BF3BC2" w14:textId="77777777" w:rsidR="00EA1372" w:rsidRPr="001D1971" w:rsidRDefault="00EA1372" w:rsidP="001D1971">
      <w:pPr>
        <w:spacing w:line="240" w:lineRule="auto"/>
        <w:ind w:left="851" w:right="822"/>
        <w:rPr>
          <w:i/>
        </w:rPr>
      </w:pPr>
      <w:r w:rsidRPr="001D1971">
        <w:rPr>
          <w:i/>
        </w:rPr>
        <w:t>(…)</w:t>
      </w:r>
    </w:p>
    <w:p w14:paraId="0E645DF1" w14:textId="77777777" w:rsidR="00EA1372" w:rsidRPr="001D1971" w:rsidRDefault="00EA1372" w:rsidP="001D1971">
      <w:pPr>
        <w:pStyle w:val="Puesto"/>
        <w:ind w:left="851" w:right="822" w:firstLine="0"/>
        <w:rPr>
          <w:color w:val="auto"/>
        </w:rPr>
      </w:pPr>
      <w:r w:rsidRPr="001D1971">
        <w:rPr>
          <w:b/>
          <w:color w:val="auto"/>
        </w:rPr>
        <w:t xml:space="preserve">II. </w:t>
      </w:r>
      <w:r w:rsidRPr="001D1971">
        <w:rPr>
          <w:color w:val="auto"/>
        </w:rPr>
        <w:t>Los municipios estarán investidos de personalidad jurídica y manejarán su patrimonio conforme a la ley.</w:t>
      </w:r>
    </w:p>
    <w:p w14:paraId="3B749F92" w14:textId="77777777" w:rsidR="00EA1372" w:rsidRPr="001D1971" w:rsidRDefault="00EA1372" w:rsidP="001D1971">
      <w:pPr>
        <w:pStyle w:val="Puesto"/>
        <w:ind w:left="851" w:right="822" w:firstLine="0"/>
        <w:rPr>
          <w:color w:val="auto"/>
        </w:rPr>
      </w:pPr>
      <w:r w:rsidRPr="001D1971">
        <w:rPr>
          <w:color w:val="auto"/>
        </w:rPr>
        <w:t xml:space="preserve">Los ayuntamientos tendrán facultades para aprobar, de acuerdo con las leyes en materia municipal que deberán expedir las legislaturas de los Estados, los bandos de policía y gobierno, los reglamentos, circulares y disposiciones administrativas de observancia general dentro de sus respectivas jurisdicciones, que organicen la administración pública municipal, regulen las materias, procedimientos, funciones y servicios públicos de su competencia y aseguren la participación ciudadana y vecinal. </w:t>
      </w:r>
    </w:p>
    <w:p w14:paraId="041A86A6" w14:textId="77777777" w:rsidR="00EA1372" w:rsidRPr="001D1971" w:rsidRDefault="00EA1372" w:rsidP="001D1971">
      <w:pPr>
        <w:spacing w:line="240" w:lineRule="auto"/>
        <w:ind w:left="851" w:right="822"/>
        <w:rPr>
          <w:i/>
        </w:rPr>
      </w:pPr>
      <w:r w:rsidRPr="001D1971">
        <w:rPr>
          <w:i/>
        </w:rPr>
        <w:t>(…)</w:t>
      </w:r>
    </w:p>
    <w:p w14:paraId="08AC4348" w14:textId="77777777" w:rsidR="00EA1372" w:rsidRPr="001D1971" w:rsidRDefault="00EA1372" w:rsidP="001D1971"/>
    <w:p w14:paraId="539DE4BE" w14:textId="77777777" w:rsidR="00EA1372" w:rsidRPr="001D1971" w:rsidRDefault="00EA1372" w:rsidP="001D1971">
      <w:r w:rsidRPr="001D1971">
        <w:t>Del precepto anterior se observa que los municipios son la base de la división territorial de los Estados, mismos que serán gobernados por un Ayuntamiento de elección popular, con de personalidad jurídica y patrimonio propio, facultado para aprobar con acuerdo a las leyes, su bando de policía y buen gobierno, reglamentos, circulares y disposiciones administrativas de observancia general dentro de su territorio.</w:t>
      </w:r>
    </w:p>
    <w:p w14:paraId="6B5D20B7" w14:textId="77777777" w:rsidR="00EA1372" w:rsidRPr="001D1971" w:rsidRDefault="00EA1372" w:rsidP="001D1971">
      <w:pPr>
        <w:spacing w:after="240"/>
        <w:ind w:right="-93"/>
      </w:pPr>
      <w:r w:rsidRPr="001D1971">
        <w:t>Asimismo, la Constitución Política del Estado Libre y Soberano de México establece:</w:t>
      </w:r>
    </w:p>
    <w:p w14:paraId="6EBD088F" w14:textId="77777777" w:rsidR="00EA1372" w:rsidRPr="001D1971" w:rsidRDefault="00EA1372" w:rsidP="001D1971">
      <w:pPr>
        <w:pStyle w:val="Puesto"/>
        <w:ind w:left="851" w:right="822" w:firstLine="0"/>
        <w:rPr>
          <w:color w:val="auto"/>
        </w:rPr>
      </w:pPr>
      <w:r w:rsidRPr="001D1971">
        <w:rPr>
          <w:b/>
          <w:color w:val="auto"/>
        </w:rPr>
        <w:t xml:space="preserve">Artículo 112.- </w:t>
      </w:r>
      <w:r w:rsidRPr="001D1971">
        <w:rPr>
          <w:color w:val="auto"/>
        </w:rPr>
        <w:t>La base de la división territorial y de la organización política y administrativa del Estado, es el municipio libre. Las facultades que la Constitución de la República y el presente ordenamiento otorgan al gobierno municipal se ejercerá por el ayuntamiento de manera exclusiva y no habrá autoridad intermedia alguna entre éste y el gobierno del Estado.</w:t>
      </w:r>
    </w:p>
    <w:p w14:paraId="64FE4E5B" w14:textId="77777777" w:rsidR="00EA1372" w:rsidRPr="001D1971" w:rsidRDefault="00EA1372" w:rsidP="001D1971">
      <w:pPr>
        <w:pStyle w:val="Puesto"/>
        <w:spacing w:after="240"/>
        <w:ind w:left="851" w:right="822" w:firstLine="0"/>
        <w:rPr>
          <w:color w:val="auto"/>
        </w:rPr>
      </w:pPr>
      <w:r w:rsidRPr="001D1971">
        <w:rPr>
          <w:color w:val="auto"/>
        </w:rPr>
        <w:t>Los municipios del Estado, su denominación y la de sus cabeceras, serán los que señale la ley de la materia.</w:t>
      </w:r>
    </w:p>
    <w:p w14:paraId="0B10F55E" w14:textId="77777777" w:rsidR="00EA1372" w:rsidRPr="001D1971" w:rsidRDefault="00EA1372" w:rsidP="001D1971">
      <w:pPr>
        <w:spacing w:after="240"/>
        <w:rPr>
          <w:rFonts w:cs="Tahoma"/>
          <w:bCs/>
        </w:rPr>
      </w:pPr>
      <w:r w:rsidRPr="001D1971">
        <w:rPr>
          <w:rFonts w:eastAsiaTheme="minorHAnsi" w:cs="Tahoma"/>
          <w:lang w:eastAsia="en-US"/>
        </w:rPr>
        <w:lastRenderedPageBreak/>
        <w:t xml:space="preserve">El </w:t>
      </w:r>
      <w:r w:rsidRPr="001D1971">
        <w:rPr>
          <w:rFonts w:cs="Tahoma"/>
          <w:bCs/>
        </w:rPr>
        <w:t>Bando Municipal de T</w:t>
      </w:r>
      <w:r w:rsidR="00350AE8" w:rsidRPr="001D1971">
        <w:rPr>
          <w:rFonts w:cs="Tahoma"/>
          <w:bCs/>
        </w:rPr>
        <w:t xml:space="preserve">eoloyucan </w:t>
      </w:r>
      <w:r w:rsidRPr="001D1971">
        <w:rPr>
          <w:rFonts w:eastAsiaTheme="minorHAnsi" w:cs="Tahoma"/>
          <w:lang w:eastAsia="en-US"/>
        </w:rPr>
        <w:t>refiere</w:t>
      </w:r>
      <w:r w:rsidRPr="001D1971">
        <w:rPr>
          <w:rFonts w:cs="Tahoma"/>
          <w:bCs/>
        </w:rPr>
        <w:t>:</w:t>
      </w:r>
    </w:p>
    <w:p w14:paraId="24A1D7BD" w14:textId="77777777" w:rsidR="00A61932" w:rsidRPr="001D1971" w:rsidRDefault="00350AE8" w:rsidP="001D1971">
      <w:pPr>
        <w:spacing w:before="240" w:after="240" w:line="240" w:lineRule="auto"/>
        <w:ind w:left="851" w:right="822"/>
        <w:rPr>
          <w:bCs/>
          <w:i/>
          <w:iCs/>
        </w:rPr>
      </w:pPr>
      <w:r w:rsidRPr="001D1971">
        <w:rPr>
          <w:b/>
          <w:bCs/>
          <w:i/>
          <w:iCs/>
        </w:rPr>
        <w:t>ARTÍCULO 20</w:t>
      </w:r>
      <w:r w:rsidRPr="001D1971">
        <w:rPr>
          <w:bCs/>
          <w:i/>
          <w:iCs/>
        </w:rPr>
        <w:t>. La Administración Pública Municipal estará conformada por Dependencias y Unidades Administrativas que estarán subordinadas al Presidente Municipal, así como por los Organismos Descentralizados que se integrarán y funcionarán de conformidad con las normas que les sean aplicables</w:t>
      </w:r>
      <w:r w:rsidR="00EA1372" w:rsidRPr="001D1971">
        <w:rPr>
          <w:bCs/>
          <w:i/>
          <w:iCs/>
        </w:rPr>
        <w:t xml:space="preserve">. </w:t>
      </w:r>
    </w:p>
    <w:p w14:paraId="6FDE372A" w14:textId="77777777" w:rsidR="00A61932" w:rsidRPr="001D1971" w:rsidRDefault="00350AE8" w:rsidP="001D1971">
      <w:pPr>
        <w:spacing w:before="240" w:after="240" w:line="240" w:lineRule="auto"/>
        <w:ind w:left="851" w:right="822"/>
        <w:rPr>
          <w:i/>
        </w:rPr>
      </w:pPr>
      <w:r w:rsidRPr="001D1971">
        <w:rPr>
          <w:b/>
          <w:i/>
        </w:rPr>
        <w:t xml:space="preserve">ARTÍCULO 21. </w:t>
      </w:r>
      <w:r w:rsidRPr="001D1971">
        <w:rPr>
          <w:i/>
        </w:rPr>
        <w:t>Para el despacho, estudio y planeación de los diversos asuntos de la Administración Pública Municipal, el Ayuntamiento contará con las siguientes Dependencias:</w:t>
      </w:r>
    </w:p>
    <w:p w14:paraId="02D4F049" w14:textId="77777777" w:rsidR="00F10DFC" w:rsidRPr="001D1971" w:rsidRDefault="00350AE8" w:rsidP="001D1971">
      <w:pPr>
        <w:spacing w:before="240" w:after="240" w:line="240" w:lineRule="auto"/>
        <w:ind w:left="851" w:right="822"/>
        <w:rPr>
          <w:i/>
        </w:rPr>
      </w:pPr>
      <w:r w:rsidRPr="001D1971">
        <w:rPr>
          <w:i/>
        </w:rPr>
        <w:t>(…)</w:t>
      </w:r>
      <w:r w:rsidR="00A61932" w:rsidRPr="001D1971">
        <w:rPr>
          <w:i/>
        </w:rPr>
        <w:t xml:space="preserve"> </w:t>
      </w:r>
    </w:p>
    <w:p w14:paraId="03125842" w14:textId="70874FE6" w:rsidR="00F10DFC" w:rsidRPr="001D1971" w:rsidRDefault="00F10DFC" w:rsidP="001D1971">
      <w:pPr>
        <w:spacing w:before="240" w:after="240" w:line="240" w:lineRule="auto"/>
        <w:ind w:left="851" w:right="822"/>
        <w:rPr>
          <w:i/>
        </w:rPr>
      </w:pPr>
      <w:r w:rsidRPr="001D1971">
        <w:rPr>
          <w:i/>
        </w:rPr>
        <w:t>VII. Dirección de Obras Públicas.</w:t>
      </w:r>
    </w:p>
    <w:p w14:paraId="35AB1CC8" w14:textId="007BF655" w:rsidR="00F10DFC" w:rsidRPr="001D1971" w:rsidRDefault="00F10DFC" w:rsidP="001D1971">
      <w:pPr>
        <w:spacing w:before="240" w:after="240" w:line="240" w:lineRule="auto"/>
        <w:ind w:left="851" w:right="822"/>
        <w:rPr>
          <w:i/>
        </w:rPr>
      </w:pPr>
      <w:r w:rsidRPr="001D1971">
        <w:rPr>
          <w:i/>
        </w:rPr>
        <w:t>(…)</w:t>
      </w:r>
    </w:p>
    <w:p w14:paraId="36AE0436" w14:textId="77777777" w:rsidR="00A61932" w:rsidRPr="001D1971" w:rsidRDefault="00645EEC" w:rsidP="001D1971">
      <w:pPr>
        <w:spacing w:line="240" w:lineRule="auto"/>
        <w:ind w:left="851" w:right="822"/>
        <w:rPr>
          <w:i/>
        </w:rPr>
      </w:pPr>
      <w:r w:rsidRPr="001D1971">
        <w:rPr>
          <w:i/>
        </w:rPr>
        <w:t>XVIII. Dirección de Administración.</w:t>
      </w:r>
    </w:p>
    <w:p w14:paraId="4CE454E6" w14:textId="77777777" w:rsidR="00A61932" w:rsidRPr="001D1971" w:rsidRDefault="00A61932" w:rsidP="001D1971">
      <w:pPr>
        <w:spacing w:after="240" w:line="240" w:lineRule="auto"/>
        <w:ind w:left="851" w:right="822"/>
        <w:rPr>
          <w:i/>
        </w:rPr>
      </w:pPr>
      <w:r w:rsidRPr="001D1971">
        <w:rPr>
          <w:i/>
        </w:rPr>
        <w:t>(…)</w:t>
      </w:r>
    </w:p>
    <w:p w14:paraId="6E99C7C1" w14:textId="77777777" w:rsidR="00EA1372" w:rsidRPr="001D1971" w:rsidRDefault="00EA1372" w:rsidP="001D1971">
      <w:pPr>
        <w:spacing w:after="240"/>
      </w:pPr>
      <w:r w:rsidRPr="001D1971">
        <w:rPr>
          <w:noProof/>
        </w:rPr>
        <w:t xml:space="preserve">Disposiciones legales de las que se advierte que </w:t>
      </w:r>
      <w:r w:rsidR="00B56419" w:rsidRPr="001D1971">
        <w:rPr>
          <w:noProof/>
        </w:rPr>
        <w:t xml:space="preserve">para el ejercicio de sus atrinuciones correspone al </w:t>
      </w:r>
      <w:r w:rsidRPr="001D1971">
        <w:rPr>
          <w:noProof/>
        </w:rPr>
        <w:t xml:space="preserve">Presidente Municipal </w:t>
      </w:r>
      <w:r w:rsidR="00B56419" w:rsidRPr="001D1971">
        <w:rPr>
          <w:noProof/>
        </w:rPr>
        <w:t xml:space="preserve">dirigir la adminitración pública, </w:t>
      </w:r>
      <w:r w:rsidR="00A61932" w:rsidRPr="001D1971">
        <w:rPr>
          <w:noProof/>
        </w:rPr>
        <w:t>y se auxiliara de diversas unidades adminitrativas</w:t>
      </w:r>
      <w:r w:rsidR="00B56419" w:rsidRPr="001D1971">
        <w:rPr>
          <w:noProof/>
        </w:rPr>
        <w:t>.</w:t>
      </w:r>
    </w:p>
    <w:p w14:paraId="1C912CE7" w14:textId="77777777" w:rsidR="00844832" w:rsidRPr="001D1971" w:rsidRDefault="00E50818" w:rsidP="001D1971">
      <w:pPr>
        <w:spacing w:after="240"/>
        <w:rPr>
          <w:rFonts w:cs="Arial"/>
        </w:rPr>
      </w:pPr>
      <w:r w:rsidRPr="001D1971">
        <w:t xml:space="preserve">Ahora bien en atención a la naturaleza de la información peticionada </w:t>
      </w:r>
      <w:r w:rsidR="00844832" w:rsidRPr="001D1971">
        <w:t>Ahora bien en atención a la naturaleza de la información peticionada</w:t>
      </w:r>
      <w:r w:rsidR="00844832" w:rsidRPr="001D1971">
        <w:rPr>
          <w:rFonts w:cs="Arial"/>
        </w:rPr>
        <w:t>, es importante traer a contexto la Ley de la Contratación Pública del Estado de México y Municipios, la cual tiene por objeto regular los actos relativos a la planeación, programación, presupuestación, ejecución y control de la adquisición, enajenación y arrendamiento de bienes, y la contratación de servicios de cualquier naturaleza, que realicen los Ayuntamientos del Estado; los cuales se adjudicarán a través de licitaciones públicas, invitación restringida o adjudicación directa, mediante convocatoria pública, tal y como lo establecen los artículos 4, 26 y 27 de dicha Ley, los cuales son del tenor siguiente:</w:t>
      </w:r>
    </w:p>
    <w:p w14:paraId="08746214" w14:textId="77777777" w:rsidR="00844832" w:rsidRPr="001D1971" w:rsidRDefault="00844832" w:rsidP="001D1971">
      <w:pPr>
        <w:pStyle w:val="Puesto"/>
        <w:ind w:left="851" w:right="822" w:firstLine="0"/>
        <w:rPr>
          <w:color w:val="auto"/>
        </w:rPr>
      </w:pPr>
      <w:r w:rsidRPr="001D1971">
        <w:rPr>
          <w:color w:val="auto"/>
        </w:rPr>
        <w:lastRenderedPageBreak/>
        <w:t>“</w:t>
      </w:r>
      <w:r w:rsidRPr="001D1971">
        <w:rPr>
          <w:b/>
          <w:color w:val="auto"/>
        </w:rPr>
        <w:t>Artículo 4.-</w:t>
      </w:r>
      <w:r w:rsidRPr="001D1971">
        <w:rPr>
          <w:color w:val="auto"/>
        </w:rPr>
        <w:t xml:space="preserve"> Para los efectos de esta Ley, en las adquisiciones, enajenaciones, arrendamientos y servicios, quedan comprendidos: </w:t>
      </w:r>
    </w:p>
    <w:p w14:paraId="73E349AB" w14:textId="77777777" w:rsidR="00844832" w:rsidRPr="001D1971" w:rsidRDefault="00844832" w:rsidP="001D1971">
      <w:pPr>
        <w:pStyle w:val="Puesto"/>
        <w:ind w:left="851" w:right="822" w:firstLine="0"/>
        <w:rPr>
          <w:color w:val="auto"/>
        </w:rPr>
      </w:pPr>
      <w:r w:rsidRPr="001D1971">
        <w:rPr>
          <w:color w:val="auto"/>
        </w:rPr>
        <w:t xml:space="preserve">I. La adquisición de bienes muebles. </w:t>
      </w:r>
    </w:p>
    <w:p w14:paraId="718E0BFF" w14:textId="77777777" w:rsidR="00844832" w:rsidRPr="001D1971" w:rsidRDefault="00844832" w:rsidP="001D1971">
      <w:pPr>
        <w:pStyle w:val="Puesto"/>
        <w:ind w:left="851" w:right="822" w:firstLine="0"/>
        <w:rPr>
          <w:color w:val="auto"/>
        </w:rPr>
      </w:pPr>
      <w:r w:rsidRPr="001D1971">
        <w:rPr>
          <w:b/>
          <w:bCs/>
          <w:color w:val="auto"/>
        </w:rPr>
        <w:t>II. La adquisición de bienes inmuebles, a través de compraventa</w:t>
      </w:r>
      <w:r w:rsidRPr="001D1971">
        <w:rPr>
          <w:color w:val="auto"/>
        </w:rPr>
        <w:t xml:space="preserve">. </w:t>
      </w:r>
    </w:p>
    <w:p w14:paraId="716F1E9C" w14:textId="77777777" w:rsidR="00844832" w:rsidRPr="001D1971" w:rsidRDefault="00844832" w:rsidP="001D1971">
      <w:pPr>
        <w:pStyle w:val="Puesto"/>
        <w:ind w:left="851" w:right="822" w:firstLine="0"/>
        <w:rPr>
          <w:color w:val="auto"/>
        </w:rPr>
      </w:pPr>
      <w:r w:rsidRPr="001D1971">
        <w:rPr>
          <w:color w:val="auto"/>
        </w:rPr>
        <w:t xml:space="preserve">III. La enajenación de bienes muebles e inmuebles. </w:t>
      </w:r>
    </w:p>
    <w:p w14:paraId="4EF632F1" w14:textId="77777777" w:rsidR="00844832" w:rsidRPr="001D1971" w:rsidRDefault="00844832" w:rsidP="001D1971">
      <w:pPr>
        <w:pStyle w:val="Puesto"/>
        <w:ind w:left="851" w:right="822" w:firstLine="0"/>
        <w:rPr>
          <w:color w:val="auto"/>
        </w:rPr>
      </w:pPr>
      <w:r w:rsidRPr="001D1971">
        <w:rPr>
          <w:b/>
          <w:color w:val="auto"/>
          <w:u w:val="single"/>
        </w:rPr>
        <w:t>IV. El arrendamiento de bienes muebles</w:t>
      </w:r>
      <w:r w:rsidRPr="001D1971">
        <w:rPr>
          <w:color w:val="auto"/>
        </w:rPr>
        <w:t xml:space="preserve"> e inmuebles. </w:t>
      </w:r>
    </w:p>
    <w:p w14:paraId="560D3385" w14:textId="77777777" w:rsidR="00844832" w:rsidRPr="001D1971" w:rsidRDefault="00844832" w:rsidP="001D1971">
      <w:pPr>
        <w:pStyle w:val="Puesto"/>
        <w:ind w:left="851" w:right="822" w:firstLine="0"/>
        <w:rPr>
          <w:color w:val="auto"/>
        </w:rPr>
      </w:pPr>
      <w:r w:rsidRPr="001D1971">
        <w:rPr>
          <w:color w:val="auto"/>
        </w:rPr>
        <w:t xml:space="preserve">V. La contratación de los servicios, relacionados con bienes muebles que se encuentran incorporados o adheridos a bienes inmuebles, cuya instalación o mantenimiento no implique modificación al bien inmueble. </w:t>
      </w:r>
    </w:p>
    <w:p w14:paraId="537E6BB4" w14:textId="77777777" w:rsidR="00844832" w:rsidRPr="001D1971" w:rsidRDefault="00844832" w:rsidP="001D1971">
      <w:pPr>
        <w:pStyle w:val="Puesto"/>
        <w:ind w:left="851" w:right="822" w:firstLine="0"/>
        <w:rPr>
          <w:color w:val="auto"/>
        </w:rPr>
      </w:pPr>
      <w:r w:rsidRPr="001D1971">
        <w:rPr>
          <w:color w:val="auto"/>
        </w:rPr>
        <w:t xml:space="preserve">VI. La contratación de los servicios de reconstrucción y mantenimiento de bienes muebles. </w:t>
      </w:r>
    </w:p>
    <w:p w14:paraId="33F6B1EE" w14:textId="77777777" w:rsidR="00844832" w:rsidRPr="001D1971" w:rsidRDefault="00844832" w:rsidP="001D1971">
      <w:pPr>
        <w:pStyle w:val="Puesto"/>
        <w:ind w:left="851" w:right="822" w:firstLine="0"/>
        <w:rPr>
          <w:color w:val="auto"/>
        </w:rPr>
      </w:pPr>
      <w:r w:rsidRPr="001D1971">
        <w:rPr>
          <w:b/>
          <w:color w:val="auto"/>
          <w:u w:val="single"/>
        </w:rPr>
        <w:t>VII. La contratación de los servicios de</w:t>
      </w:r>
      <w:r w:rsidRPr="001D1971">
        <w:rPr>
          <w:color w:val="auto"/>
        </w:rPr>
        <w:t xml:space="preserve"> maquila, seguros y </w:t>
      </w:r>
      <w:r w:rsidRPr="001D1971">
        <w:rPr>
          <w:color w:val="auto"/>
          <w:u w:val="single"/>
        </w:rPr>
        <w:t>transportación</w:t>
      </w:r>
      <w:r w:rsidRPr="001D1971">
        <w:rPr>
          <w:color w:val="auto"/>
        </w:rPr>
        <w:t>, así como de los de limpieza y vigilancia de bienes inmuebles</w:t>
      </w:r>
    </w:p>
    <w:p w14:paraId="1A14D3A0" w14:textId="77777777" w:rsidR="00844832" w:rsidRPr="001D1971" w:rsidRDefault="00844832" w:rsidP="001D1971">
      <w:pPr>
        <w:pStyle w:val="Puesto"/>
        <w:ind w:left="851" w:right="822" w:firstLine="0"/>
        <w:rPr>
          <w:color w:val="auto"/>
        </w:rPr>
      </w:pPr>
      <w:r w:rsidRPr="001D1971">
        <w:rPr>
          <w:color w:val="auto"/>
        </w:rPr>
        <w:t xml:space="preserve">VIII. La prestación de servicios profesionales, la contratación de consultorías, asesorías y estudios e investigaciones, excepto la contratación de servicios personales de personas físicas bajo el régimen de honorarios. </w:t>
      </w:r>
    </w:p>
    <w:p w14:paraId="2C0764A3" w14:textId="77777777" w:rsidR="00844832" w:rsidRPr="001D1971" w:rsidRDefault="00844832" w:rsidP="001D1971">
      <w:pPr>
        <w:pStyle w:val="Puesto"/>
        <w:ind w:left="851" w:right="822" w:firstLine="0"/>
        <w:rPr>
          <w:b/>
          <w:color w:val="auto"/>
          <w:u w:val="single"/>
        </w:rPr>
      </w:pPr>
      <w:r w:rsidRPr="001D1971">
        <w:rPr>
          <w:b/>
          <w:color w:val="auto"/>
          <w:u w:val="single"/>
        </w:rPr>
        <w:t>En general, otros actos que impliquen la contratación de servicios de cualquier naturaleza.</w:t>
      </w:r>
    </w:p>
    <w:p w14:paraId="32AC8DF1" w14:textId="77777777" w:rsidR="00844832" w:rsidRPr="001D1971" w:rsidRDefault="00844832" w:rsidP="001D1971">
      <w:pPr>
        <w:pStyle w:val="Puesto"/>
        <w:ind w:left="851" w:right="822" w:firstLine="0"/>
        <w:rPr>
          <w:b/>
          <w:color w:val="auto"/>
        </w:rPr>
      </w:pPr>
      <w:r w:rsidRPr="001D1971">
        <w:rPr>
          <w:b/>
          <w:color w:val="auto"/>
        </w:rPr>
        <w:t>Artículo 26.- Las adquisiciones, arrendamientos y servicios se adjudicarán a través de licitaciones públicas, mediante convocatoria pública.</w:t>
      </w:r>
    </w:p>
    <w:p w14:paraId="20CE3064" w14:textId="77777777" w:rsidR="00844832" w:rsidRPr="001D1971" w:rsidRDefault="00844832" w:rsidP="001D1971">
      <w:pPr>
        <w:pStyle w:val="Puesto"/>
        <w:ind w:left="851" w:right="822" w:firstLine="0"/>
        <w:rPr>
          <w:color w:val="auto"/>
        </w:rPr>
      </w:pPr>
      <w:r w:rsidRPr="001D1971">
        <w:rPr>
          <w:b/>
          <w:color w:val="auto"/>
        </w:rPr>
        <w:t xml:space="preserve">Artículo 27.- </w:t>
      </w:r>
      <w:r w:rsidRPr="001D1971">
        <w:rPr>
          <w:color w:val="auto"/>
        </w:rPr>
        <w:t xml:space="preserve">La Secretaría, las entidades, los tribunales administrativos y los ayuntamientos podrán adjudicar adquisiciones, arrendamientos y servicios, mediante las excepciones al procedimiento de licitación que a continuación se señalan: </w:t>
      </w:r>
    </w:p>
    <w:p w14:paraId="21233E01" w14:textId="77777777" w:rsidR="00844832" w:rsidRPr="001D1971" w:rsidRDefault="00844832" w:rsidP="001D1971">
      <w:pPr>
        <w:pStyle w:val="Puesto"/>
        <w:ind w:left="851" w:right="822" w:firstLine="0"/>
        <w:rPr>
          <w:b/>
          <w:color w:val="auto"/>
        </w:rPr>
      </w:pPr>
      <w:r w:rsidRPr="001D1971">
        <w:rPr>
          <w:b/>
          <w:color w:val="auto"/>
        </w:rPr>
        <w:t xml:space="preserve">I. Invitación restringida. </w:t>
      </w:r>
    </w:p>
    <w:p w14:paraId="600E5F63" w14:textId="77777777" w:rsidR="00844832" w:rsidRPr="001D1971" w:rsidRDefault="00844832" w:rsidP="001D1971">
      <w:pPr>
        <w:pStyle w:val="Puesto"/>
        <w:ind w:left="851" w:right="822" w:firstLine="0"/>
        <w:rPr>
          <w:b/>
          <w:color w:val="auto"/>
        </w:rPr>
      </w:pPr>
      <w:r w:rsidRPr="001D1971">
        <w:rPr>
          <w:b/>
          <w:color w:val="auto"/>
        </w:rPr>
        <w:t>II. Adjudicación directa.”</w:t>
      </w:r>
    </w:p>
    <w:p w14:paraId="226E4D8E" w14:textId="77777777" w:rsidR="00844832" w:rsidRPr="001D1971" w:rsidRDefault="00844832" w:rsidP="001D1971">
      <w:pPr>
        <w:pStyle w:val="Puesto"/>
        <w:ind w:left="851" w:right="822" w:firstLine="0"/>
        <w:rPr>
          <w:color w:val="auto"/>
        </w:rPr>
      </w:pPr>
      <w:r w:rsidRPr="001D1971">
        <w:rPr>
          <w:color w:val="auto"/>
        </w:rPr>
        <w:t xml:space="preserve">(Énfasis añadido) </w:t>
      </w:r>
    </w:p>
    <w:p w14:paraId="7CA20C56" w14:textId="77777777" w:rsidR="00844832" w:rsidRPr="001D1971" w:rsidRDefault="00844832" w:rsidP="001D1971">
      <w:pPr>
        <w:ind w:right="757"/>
        <w:rPr>
          <w:rFonts w:cs="Arial"/>
        </w:rPr>
      </w:pPr>
    </w:p>
    <w:p w14:paraId="6FC03195" w14:textId="77777777" w:rsidR="00844832" w:rsidRPr="001D1971" w:rsidRDefault="00844832" w:rsidP="001D1971">
      <w:pPr>
        <w:rPr>
          <w:rFonts w:cs="Arial"/>
        </w:rPr>
      </w:pPr>
      <w:r w:rsidRPr="001D1971">
        <w:rPr>
          <w:rFonts w:cs="Arial"/>
        </w:rPr>
        <w:t xml:space="preserve">Así, en lo que respecta sobre la licitación pública, el artículo 29 de la Ley de la Contratación Pública en mención, indica que en este procedimiento deberán establecerse los mismos requisitos y condiciones para todos los licitantes. Todo licitante que satisfaga los requisitos de la convocatoria y de las bases de la licitación tendrá derecho a presentar su propuesta. </w:t>
      </w:r>
    </w:p>
    <w:p w14:paraId="3B3B0229" w14:textId="77777777" w:rsidR="00844832" w:rsidRPr="001D1971" w:rsidRDefault="00844832" w:rsidP="001D1971">
      <w:pPr>
        <w:rPr>
          <w:rFonts w:cs="Arial"/>
        </w:rPr>
      </w:pPr>
    </w:p>
    <w:p w14:paraId="61CEC16C" w14:textId="77777777" w:rsidR="00844832" w:rsidRPr="001D1971" w:rsidRDefault="00844832" w:rsidP="001D1971">
      <w:pPr>
        <w:rPr>
          <w:rFonts w:cs="Arial"/>
        </w:rPr>
      </w:pPr>
      <w:r w:rsidRPr="001D1971">
        <w:rPr>
          <w:rFonts w:cs="Arial"/>
        </w:rPr>
        <w:t xml:space="preserve">Asimismo, el artículo 33 del mismo ordenamiento legal, puntualmente señala el contenido que deberá tener la convocatoria para la celebración de las licitaciones públicas y por su parte, </w:t>
      </w:r>
      <w:r w:rsidRPr="001D1971">
        <w:rPr>
          <w:rFonts w:cs="Arial"/>
        </w:rPr>
        <w:lastRenderedPageBreak/>
        <w:t xml:space="preserve">el consecutivo 34 señala que las bases de la licitación pública tendrán un costo de recuperación y contendrán los requisitos que se establezcan en el reglamento de dicha Ley. </w:t>
      </w:r>
    </w:p>
    <w:p w14:paraId="53DF46F7" w14:textId="77777777" w:rsidR="00844832" w:rsidRPr="001D1971" w:rsidRDefault="00844832" w:rsidP="001D1971">
      <w:pPr>
        <w:rPr>
          <w:rFonts w:cs="Arial"/>
        </w:rPr>
      </w:pPr>
    </w:p>
    <w:p w14:paraId="37B25FCD" w14:textId="77777777" w:rsidR="00844832" w:rsidRPr="001D1971" w:rsidRDefault="00844832" w:rsidP="001D1971">
      <w:pPr>
        <w:rPr>
          <w:rFonts w:cs="Arial"/>
        </w:rPr>
      </w:pPr>
      <w:r w:rsidRPr="001D1971">
        <w:rPr>
          <w:rFonts w:cs="Arial"/>
        </w:rPr>
        <w:t>Por lo que, en las licitaciones se debe seguir el procedimiento marcado en el artículo 35 del precitado ordenamiento, que literalmente establece:</w:t>
      </w:r>
    </w:p>
    <w:p w14:paraId="51120ECB" w14:textId="77777777" w:rsidR="00844832" w:rsidRPr="001D1971" w:rsidRDefault="00844832" w:rsidP="001D1971">
      <w:pPr>
        <w:rPr>
          <w:rFonts w:cs="Arial"/>
        </w:rPr>
      </w:pPr>
    </w:p>
    <w:p w14:paraId="3CCE5AFC" w14:textId="77777777" w:rsidR="00844832" w:rsidRPr="001D1971" w:rsidRDefault="00844832" w:rsidP="001D1971">
      <w:pPr>
        <w:pStyle w:val="Puesto"/>
        <w:tabs>
          <w:tab w:val="left" w:pos="8222"/>
        </w:tabs>
        <w:ind w:left="851" w:right="822" w:firstLine="0"/>
        <w:rPr>
          <w:color w:val="auto"/>
        </w:rPr>
      </w:pPr>
      <w:r w:rsidRPr="001D1971">
        <w:rPr>
          <w:b/>
          <w:color w:val="auto"/>
        </w:rPr>
        <w:t>“Artículo 35</w:t>
      </w:r>
      <w:r w:rsidRPr="001D1971">
        <w:rPr>
          <w:color w:val="auto"/>
        </w:rPr>
        <w:t>.- En los procedimientos de licitación pública se observará lo siguiente:</w:t>
      </w:r>
    </w:p>
    <w:p w14:paraId="53855C33" w14:textId="77777777" w:rsidR="00844832" w:rsidRPr="001D1971" w:rsidRDefault="00844832" w:rsidP="001D1971">
      <w:pPr>
        <w:pStyle w:val="Puesto"/>
        <w:tabs>
          <w:tab w:val="left" w:pos="8222"/>
        </w:tabs>
        <w:ind w:left="851" w:right="822" w:firstLine="0"/>
        <w:rPr>
          <w:color w:val="auto"/>
        </w:rPr>
      </w:pPr>
      <w:r w:rsidRPr="001D1971">
        <w:rPr>
          <w:color w:val="auto"/>
        </w:rPr>
        <w:t>I. El acto de presentación y apertura de propuestas se llevará a cabo por el servidor público que designe la convocante, conforme al procedimiento que se establezca en el reglamento de esta Ley.</w:t>
      </w:r>
    </w:p>
    <w:p w14:paraId="3E2EE486" w14:textId="77777777" w:rsidR="00844832" w:rsidRPr="001D1971" w:rsidRDefault="00844832" w:rsidP="001D1971">
      <w:pPr>
        <w:pStyle w:val="Puesto"/>
        <w:tabs>
          <w:tab w:val="left" w:pos="8222"/>
        </w:tabs>
        <w:ind w:left="851" w:right="822" w:firstLine="0"/>
        <w:rPr>
          <w:color w:val="auto"/>
        </w:rPr>
      </w:pPr>
      <w:r w:rsidRPr="001D1971">
        <w:rPr>
          <w:color w:val="auto"/>
        </w:rPr>
        <w:t>II. El comité de adquisiciones y servicios evaluará y analizará las propuestas técnicas y económicas presentadas por los licitantes en el ámbito de las respectivas competencias de sus integrantes, y emitirá el dictamen de adjudicación.</w:t>
      </w:r>
    </w:p>
    <w:p w14:paraId="2801B3E9" w14:textId="77777777" w:rsidR="00844832" w:rsidRPr="001D1971" w:rsidRDefault="00844832" w:rsidP="001D1971">
      <w:pPr>
        <w:pStyle w:val="Puesto"/>
        <w:tabs>
          <w:tab w:val="left" w:pos="8222"/>
        </w:tabs>
        <w:ind w:left="851" w:right="822" w:firstLine="0"/>
        <w:rPr>
          <w:color w:val="auto"/>
        </w:rPr>
      </w:pPr>
      <w:r w:rsidRPr="001D1971">
        <w:rPr>
          <w:color w:val="auto"/>
        </w:rPr>
        <w:t>III. Las bases de licitación se pondrán a la venta a partir de la fecha de publicación de la convocatoria y hasta el día hábil anterior a la fecha de celebración de la junta de aclaraciones o, en su defecto, del acto de presentación y apertura de propuestas.</w:t>
      </w:r>
    </w:p>
    <w:p w14:paraId="645FB334" w14:textId="77777777" w:rsidR="00844832" w:rsidRPr="001D1971" w:rsidRDefault="00844832" w:rsidP="001D1971">
      <w:pPr>
        <w:pStyle w:val="Puesto"/>
        <w:ind w:left="851" w:right="822" w:firstLine="0"/>
        <w:rPr>
          <w:color w:val="auto"/>
        </w:rPr>
      </w:pPr>
      <w:r w:rsidRPr="001D1971">
        <w:rPr>
          <w:color w:val="auto"/>
        </w:rPr>
        <w:t>IV. Las convocantes podrán modificar los plazos y términos establecidos en la convocatoria o en las bases de licitación, hasta cinco días hábiles anteriores a la fecha de la celebración del acto de presentación y apertura de propuestas.</w:t>
      </w:r>
    </w:p>
    <w:p w14:paraId="466ACF9F" w14:textId="77777777" w:rsidR="00844832" w:rsidRPr="001D1971" w:rsidRDefault="00844832" w:rsidP="001D1971">
      <w:pPr>
        <w:pStyle w:val="Puesto"/>
        <w:ind w:left="851" w:right="822" w:firstLine="0"/>
        <w:rPr>
          <w:color w:val="auto"/>
        </w:rPr>
      </w:pPr>
      <w:r w:rsidRPr="001D1971">
        <w:rPr>
          <w:color w:val="auto"/>
        </w:rPr>
        <w:t>V. Las modificaciones no podrán limitar el número de licitantes, sustituir o variar sustancialmente los bienes o servicios convocados originalmente, ni adicionar otros  distintos.</w:t>
      </w:r>
    </w:p>
    <w:p w14:paraId="0AABD8A9" w14:textId="77777777" w:rsidR="00844832" w:rsidRPr="001D1971" w:rsidRDefault="00844832" w:rsidP="001D1971">
      <w:pPr>
        <w:pStyle w:val="Puesto"/>
        <w:ind w:left="851" w:right="822" w:firstLine="0"/>
        <w:rPr>
          <w:color w:val="auto"/>
        </w:rPr>
      </w:pPr>
      <w:r w:rsidRPr="001D1971">
        <w:rPr>
          <w:color w:val="auto"/>
        </w:rPr>
        <w:t>VI. Las modificaciones a la convocatoria o a las bases se harán del conocimiento de los interesados hasta tres días hábiles antes de la fecha señalada para el acto de presentación y apertura de propuestas.</w:t>
      </w:r>
    </w:p>
    <w:p w14:paraId="7DA39352" w14:textId="77777777" w:rsidR="00844832" w:rsidRPr="001D1971" w:rsidRDefault="00844832" w:rsidP="001D1971">
      <w:pPr>
        <w:pStyle w:val="Puesto"/>
        <w:ind w:left="851" w:right="822" w:firstLine="0"/>
        <w:rPr>
          <w:color w:val="auto"/>
        </w:rPr>
      </w:pPr>
      <w:r w:rsidRPr="001D1971">
        <w:rPr>
          <w:color w:val="auto"/>
        </w:rPr>
        <w:t>VII. Se emitirá el fallo dentro de los 15 días hábiles siguientes a la publicación de la convocatoria.</w:t>
      </w:r>
    </w:p>
    <w:p w14:paraId="0757BF62" w14:textId="77777777" w:rsidR="00844832" w:rsidRPr="001D1971" w:rsidRDefault="00844832" w:rsidP="001D1971">
      <w:pPr>
        <w:pStyle w:val="Puesto"/>
        <w:ind w:left="851" w:right="822" w:firstLine="0"/>
        <w:rPr>
          <w:color w:val="auto"/>
        </w:rPr>
      </w:pPr>
      <w:r w:rsidRPr="001D1971">
        <w:rPr>
          <w:color w:val="auto"/>
        </w:rPr>
        <w:t>VIII. Los licitantes se podrán registrar hasta el día y la hora fijados para el acto de presentación y apertura de propuestas.</w:t>
      </w:r>
      <w:r w:rsidRPr="001D1971">
        <w:rPr>
          <w:b/>
          <w:color w:val="auto"/>
        </w:rPr>
        <w:t>”</w:t>
      </w:r>
    </w:p>
    <w:p w14:paraId="4C55B930" w14:textId="77777777" w:rsidR="00844832" w:rsidRPr="001D1971" w:rsidRDefault="00844832" w:rsidP="001D1971">
      <w:pPr>
        <w:pStyle w:val="Puesto"/>
        <w:ind w:left="851" w:right="822" w:firstLine="0"/>
        <w:rPr>
          <w:color w:val="auto"/>
        </w:rPr>
      </w:pPr>
      <w:r w:rsidRPr="001D1971">
        <w:rPr>
          <w:color w:val="auto"/>
        </w:rPr>
        <w:t>(Énfasis añadido)</w:t>
      </w:r>
    </w:p>
    <w:p w14:paraId="0FAE552F" w14:textId="77777777" w:rsidR="00844832" w:rsidRPr="001D1971" w:rsidRDefault="00844832" w:rsidP="001D1971">
      <w:pPr>
        <w:ind w:left="851" w:right="902"/>
        <w:rPr>
          <w:rFonts w:cs="Arial"/>
        </w:rPr>
      </w:pPr>
    </w:p>
    <w:p w14:paraId="2E06B162" w14:textId="77777777" w:rsidR="00844832" w:rsidRPr="001D1971" w:rsidRDefault="00844832" w:rsidP="001D1971">
      <w:pPr>
        <w:rPr>
          <w:rFonts w:cs="Arial"/>
        </w:rPr>
      </w:pPr>
      <w:r w:rsidRPr="001D1971">
        <w:rPr>
          <w:rFonts w:cs="Arial"/>
        </w:rPr>
        <w:t xml:space="preserve">Del precepto legal, se desprende que al Comité de Adquisiciones y Servicios, le corresponde evaluar y analizar las propuestas técnicas y económicas presentadas por los licitantes en el ámbito de las respectivas competencias de sus integrantes, debiendo emitir para ello un </w:t>
      </w:r>
      <w:r w:rsidRPr="001D1971">
        <w:rPr>
          <w:rFonts w:cs="Arial"/>
        </w:rPr>
        <w:lastRenderedPageBreak/>
        <w:t>dictamen de adjudicación y conforme a dicho dictamen se deberá emitir el fallo dentro de los quince días hábiles siguientes a la publicación de la convocatoria.</w:t>
      </w:r>
    </w:p>
    <w:p w14:paraId="51CFD71D" w14:textId="77777777" w:rsidR="00844832" w:rsidRPr="001D1971" w:rsidRDefault="00844832" w:rsidP="001D1971">
      <w:pPr>
        <w:rPr>
          <w:rFonts w:cs="Arial"/>
        </w:rPr>
      </w:pPr>
    </w:p>
    <w:p w14:paraId="2D7C5D8F" w14:textId="77777777" w:rsidR="00844832" w:rsidRPr="001D1971" w:rsidRDefault="00844832" w:rsidP="001D1971">
      <w:pPr>
        <w:rPr>
          <w:rFonts w:cs="Arial"/>
        </w:rPr>
      </w:pPr>
      <w:r w:rsidRPr="001D1971">
        <w:rPr>
          <w:rFonts w:cs="Arial"/>
        </w:rPr>
        <w:t>Además, respecto al dictamen y el fallo de la adjudicación, es de señalar que la Ley en mención indica lo siguiente:</w:t>
      </w:r>
    </w:p>
    <w:p w14:paraId="171E119E" w14:textId="77777777" w:rsidR="00844832" w:rsidRPr="001D1971" w:rsidRDefault="00844832" w:rsidP="001D1971">
      <w:pPr>
        <w:rPr>
          <w:rFonts w:cs="Arial"/>
        </w:rPr>
      </w:pPr>
    </w:p>
    <w:p w14:paraId="779685A1" w14:textId="77777777" w:rsidR="00844832" w:rsidRPr="001D1971" w:rsidRDefault="00844832" w:rsidP="001D1971">
      <w:pPr>
        <w:pStyle w:val="Puesto"/>
        <w:ind w:left="851" w:right="822" w:firstLine="0"/>
        <w:rPr>
          <w:color w:val="auto"/>
        </w:rPr>
      </w:pPr>
      <w:r w:rsidRPr="001D1971">
        <w:rPr>
          <w:b/>
          <w:color w:val="auto"/>
        </w:rPr>
        <w:t>“Artículo 37.-</w:t>
      </w:r>
      <w:r w:rsidRPr="001D1971">
        <w:rPr>
          <w:color w:val="auto"/>
        </w:rPr>
        <w:t xml:space="preserve"> El comité de adquisiciones y servicios realizará el análisis y evaluación de las propuestas, mediante la verificación del cumplimiento de la información y de la documentación solicitada en las bases de la licitación y conforme al criterio establecidas en las mismas. Una vez efectuado el análisis cualitativo de las propuestas presentadas, emitirá el dictamen de adjudicación a favor del oferente u oferentes que reúnan los requisitos administrativos, financieros, legales y técnicos requeridos por la convocante; garantizando en todo momento la obtención de las mejores condiciones en cuanto a precio, calidad, financiamiento, oportunidad y demás circunstancias pertinentes.</w:t>
      </w:r>
    </w:p>
    <w:p w14:paraId="64916A45" w14:textId="77777777" w:rsidR="00844832" w:rsidRPr="001D1971" w:rsidRDefault="00844832" w:rsidP="001D1971">
      <w:pPr>
        <w:pStyle w:val="Puesto"/>
        <w:ind w:left="851" w:right="822" w:firstLine="0"/>
        <w:rPr>
          <w:color w:val="auto"/>
        </w:rPr>
      </w:pPr>
      <w:r w:rsidRPr="001D1971">
        <w:rPr>
          <w:b/>
          <w:color w:val="auto"/>
        </w:rPr>
        <w:t>Artículo 38.-</w:t>
      </w:r>
      <w:r w:rsidRPr="001D1971">
        <w:rPr>
          <w:color w:val="auto"/>
        </w:rPr>
        <w:t xml:space="preserve"> La convocante emitirá el fallo con base en el dictamen de adjudicación emitido por el comité de adquisiciones y servicios, y lo dará a conocer a los licitantes en junta pública, cuya fecha se informará en el acto de presentación y apertura de proposiciones, pudiéndose diferir por una sola ocasión.</w:t>
      </w:r>
    </w:p>
    <w:p w14:paraId="39A6D1C7" w14:textId="77777777" w:rsidR="00844832" w:rsidRPr="001D1971" w:rsidRDefault="00844832" w:rsidP="001D1971">
      <w:pPr>
        <w:pStyle w:val="Puesto"/>
        <w:ind w:left="851" w:right="822" w:firstLine="0"/>
        <w:rPr>
          <w:color w:val="auto"/>
        </w:rPr>
      </w:pPr>
      <w:r w:rsidRPr="001D1971">
        <w:rPr>
          <w:color w:val="auto"/>
        </w:rPr>
        <w:t>El fallo de adjudicación surtirá efectos desde la emisión, siendo responsabilidad de los licitantes enterarse de su contenido, por lo que a partir de ese momento, las obligaciones derivadas de éste serán exigibles sin perjuicio de la formalización del contrato respectivo, en los términos señalados en el fallo.</w:t>
      </w:r>
      <w:r w:rsidRPr="001D1971">
        <w:rPr>
          <w:b/>
          <w:color w:val="auto"/>
        </w:rPr>
        <w:t>”</w:t>
      </w:r>
      <w:r w:rsidRPr="001D1971">
        <w:rPr>
          <w:color w:val="auto"/>
        </w:rPr>
        <w:t xml:space="preserve"> </w:t>
      </w:r>
    </w:p>
    <w:p w14:paraId="4FCA8AAC" w14:textId="77777777" w:rsidR="00844832" w:rsidRPr="001D1971" w:rsidRDefault="00844832" w:rsidP="001D1971">
      <w:pPr>
        <w:ind w:left="851" w:right="992"/>
        <w:rPr>
          <w:rFonts w:cs="Arial"/>
          <w:i/>
        </w:rPr>
      </w:pPr>
    </w:p>
    <w:p w14:paraId="2836B7FC" w14:textId="77777777" w:rsidR="00844832" w:rsidRPr="001D1971" w:rsidRDefault="00844832" w:rsidP="001D1971">
      <w:pPr>
        <w:rPr>
          <w:rFonts w:cs="Arial"/>
        </w:rPr>
      </w:pPr>
      <w:r w:rsidRPr="001D1971">
        <w:rPr>
          <w:rFonts w:cs="Arial"/>
        </w:rPr>
        <w:t xml:space="preserve">Ahora bien, por cuanto hace a la invitación restringida el artículo 44 de la Ley de la Contratación Pública del Estado de México y Municipios, dispone que podrá realizarse cuando se hubiere declarado desierto un procedimiento de licitación o cuando el importe de la operación no exceda de los montos establecidos por el Presupuesto de Egresos del Gobierno del Estado de México del ejercicio correspondiente. </w:t>
      </w:r>
    </w:p>
    <w:p w14:paraId="563D0DAC" w14:textId="77777777" w:rsidR="00844832" w:rsidRPr="001D1971" w:rsidRDefault="00844832" w:rsidP="001D1971">
      <w:pPr>
        <w:rPr>
          <w:rFonts w:cs="Arial"/>
        </w:rPr>
      </w:pPr>
    </w:p>
    <w:p w14:paraId="7F425220" w14:textId="77777777" w:rsidR="00844832" w:rsidRPr="001D1971" w:rsidRDefault="00844832" w:rsidP="001D1971">
      <w:pPr>
        <w:rPr>
          <w:rFonts w:cs="Arial"/>
        </w:rPr>
      </w:pPr>
      <w:r w:rsidRPr="001D1971">
        <w:rPr>
          <w:rFonts w:cs="Arial"/>
        </w:rPr>
        <w:lastRenderedPageBreak/>
        <w:t>Además, es oportuno señalar que, las disposiciones respecto a las bases, dictámenes, fallos y fianzas, se realizan con similitud al procedimiento de licitación pública, tal como lo señalan los artículos 46 y 90 de la misma Ley, que literalmente establecen:</w:t>
      </w:r>
    </w:p>
    <w:p w14:paraId="2E55A33E" w14:textId="77777777" w:rsidR="00844832" w:rsidRPr="001D1971" w:rsidRDefault="00844832" w:rsidP="001D1971">
      <w:pPr>
        <w:rPr>
          <w:rFonts w:cs="Arial"/>
        </w:rPr>
      </w:pPr>
    </w:p>
    <w:p w14:paraId="266440B1" w14:textId="77777777" w:rsidR="00844832" w:rsidRPr="001D1971" w:rsidRDefault="00844832" w:rsidP="001D1971">
      <w:pPr>
        <w:pStyle w:val="Puesto"/>
        <w:ind w:left="851" w:right="822" w:firstLine="0"/>
        <w:rPr>
          <w:color w:val="auto"/>
        </w:rPr>
      </w:pPr>
      <w:r w:rsidRPr="001D1971">
        <w:rPr>
          <w:b/>
          <w:color w:val="auto"/>
        </w:rPr>
        <w:t>“Artículo 46.-</w:t>
      </w:r>
      <w:r w:rsidRPr="001D1971">
        <w:rPr>
          <w:color w:val="auto"/>
        </w:rPr>
        <w:t xml:space="preserve"> El procedimiento de invitación restringida se desarrollará en los términos de la licitación pública, a excepción de la publicación de la convocatoria.” (Sic)</w:t>
      </w:r>
    </w:p>
    <w:p w14:paraId="6F127E7F" w14:textId="77777777" w:rsidR="00844832" w:rsidRPr="001D1971" w:rsidRDefault="00844832" w:rsidP="001D1971">
      <w:pPr>
        <w:pStyle w:val="Puesto"/>
        <w:ind w:left="851" w:right="822" w:firstLine="0"/>
        <w:rPr>
          <w:color w:val="auto"/>
        </w:rPr>
      </w:pPr>
      <w:r w:rsidRPr="001D1971">
        <w:rPr>
          <w:color w:val="auto"/>
        </w:rPr>
        <w:t>Por ello, el Reglamento de la Ley en comento, en su artículo 90, indica cuales lo son los supuestos que deberán observarse para llevar a cabo dicho procedimiento:</w:t>
      </w:r>
    </w:p>
    <w:p w14:paraId="338BB0D2" w14:textId="77777777" w:rsidR="00844832" w:rsidRPr="001D1971" w:rsidRDefault="00844832" w:rsidP="001D1971">
      <w:pPr>
        <w:pStyle w:val="Puesto"/>
        <w:ind w:left="851" w:right="822" w:firstLine="0"/>
        <w:rPr>
          <w:color w:val="auto"/>
        </w:rPr>
      </w:pPr>
      <w:r w:rsidRPr="001D1971">
        <w:rPr>
          <w:b/>
          <w:color w:val="auto"/>
        </w:rPr>
        <w:t>Artículo 90.-</w:t>
      </w:r>
      <w:r w:rsidRPr="001D1971">
        <w:rPr>
          <w:color w:val="auto"/>
        </w:rPr>
        <w:t xml:space="preserve"> En el procedimiento de invitación restringida se deberá observar lo siguiente:</w:t>
      </w:r>
    </w:p>
    <w:p w14:paraId="110B244F" w14:textId="77777777" w:rsidR="00844832" w:rsidRPr="001D1971" w:rsidRDefault="00844832" w:rsidP="001D1971">
      <w:pPr>
        <w:pStyle w:val="Puesto"/>
        <w:ind w:left="851" w:right="822" w:firstLine="0"/>
        <w:rPr>
          <w:color w:val="auto"/>
        </w:rPr>
      </w:pPr>
      <w:r w:rsidRPr="001D1971">
        <w:rPr>
          <w:color w:val="auto"/>
        </w:rPr>
        <w:t>I. Se invitará a un mínimo de tres personas seleccionadas de entre las que se encuentren inscritas e n el catálogo de proveedores y de prestadores de servicios.</w:t>
      </w:r>
    </w:p>
    <w:p w14:paraId="737CB121" w14:textId="77777777" w:rsidR="00844832" w:rsidRPr="001D1971" w:rsidRDefault="00844832" w:rsidP="001D1971">
      <w:pPr>
        <w:pStyle w:val="Puesto"/>
        <w:ind w:left="851" w:right="822" w:firstLine="0"/>
        <w:rPr>
          <w:color w:val="auto"/>
        </w:rPr>
      </w:pPr>
      <w:r w:rsidRPr="001D1971">
        <w:rPr>
          <w:color w:val="auto"/>
        </w:rPr>
        <w:t>Se podrá invitar a personas que no se encuentren inscritas, cuando en el giro correspondiente del catálogo de proveedores y prestadores de servicios no exista el registro mínimo de personas requeridas para tal modalidad;</w:t>
      </w:r>
    </w:p>
    <w:p w14:paraId="11A4354E" w14:textId="77777777" w:rsidR="00844832" w:rsidRPr="001D1971" w:rsidRDefault="00844832" w:rsidP="001D1971">
      <w:pPr>
        <w:pStyle w:val="Puesto"/>
        <w:ind w:left="851" w:right="822" w:firstLine="0"/>
        <w:rPr>
          <w:color w:val="auto"/>
        </w:rPr>
      </w:pPr>
      <w:r w:rsidRPr="001D1971">
        <w:rPr>
          <w:color w:val="auto"/>
        </w:rPr>
        <w:t>II. Las bases de la invitación restringida indicarán los aspectos de la adquisición o contratación; y</w:t>
      </w:r>
    </w:p>
    <w:p w14:paraId="639D9D9E" w14:textId="77777777" w:rsidR="00844832" w:rsidRPr="001D1971" w:rsidRDefault="00844832" w:rsidP="001D1971">
      <w:pPr>
        <w:pStyle w:val="Puesto"/>
        <w:ind w:left="851" w:right="822" w:firstLine="0"/>
        <w:rPr>
          <w:b/>
          <w:color w:val="auto"/>
        </w:rPr>
      </w:pPr>
      <w:r w:rsidRPr="001D1971">
        <w:rPr>
          <w:color w:val="auto"/>
        </w:rPr>
        <w:t>III. Serán aplicables, en lo conducente, las disposiciones de la licitación pública.</w:t>
      </w:r>
      <w:r w:rsidRPr="001D1971">
        <w:rPr>
          <w:b/>
          <w:color w:val="auto"/>
        </w:rPr>
        <w:t>”</w:t>
      </w:r>
    </w:p>
    <w:p w14:paraId="30B49DA7" w14:textId="77777777" w:rsidR="00844832" w:rsidRPr="001D1971" w:rsidRDefault="00844832" w:rsidP="001D1971">
      <w:pPr>
        <w:ind w:left="709" w:right="760"/>
        <w:rPr>
          <w:rFonts w:cs="Arial"/>
          <w:i/>
        </w:rPr>
      </w:pPr>
    </w:p>
    <w:p w14:paraId="1C10CEAF" w14:textId="77777777" w:rsidR="00844832" w:rsidRPr="001D1971" w:rsidRDefault="00844832" w:rsidP="001D1971">
      <w:pPr>
        <w:rPr>
          <w:rFonts w:cs="Arial"/>
        </w:rPr>
      </w:pPr>
      <w:r w:rsidRPr="001D1971">
        <w:rPr>
          <w:rFonts w:cs="Arial"/>
        </w:rPr>
        <w:t>En conclusión, referente a este punto cuando los procedimientos de adquisición o prestación de servicios materia de la Ley en cita, se hubieran llevado a cabo mediante invitación restringida, por cada procedimiento se debe contar con las bases, dictámenes, fallos y en su caso, fianzas, de haber sido esta la garantía exhibida.</w:t>
      </w:r>
    </w:p>
    <w:p w14:paraId="4BD5E032" w14:textId="77777777" w:rsidR="00844832" w:rsidRPr="001D1971" w:rsidRDefault="00844832" w:rsidP="001D1971">
      <w:pPr>
        <w:rPr>
          <w:rFonts w:cs="Arial"/>
        </w:rPr>
      </w:pPr>
    </w:p>
    <w:p w14:paraId="6706C916" w14:textId="77777777" w:rsidR="00844832" w:rsidRPr="001D1971" w:rsidRDefault="00844832" w:rsidP="001D1971">
      <w:pPr>
        <w:rPr>
          <w:rFonts w:cs="Arial"/>
        </w:rPr>
      </w:pPr>
      <w:r w:rsidRPr="001D1971">
        <w:rPr>
          <w:rFonts w:cs="Arial"/>
        </w:rPr>
        <w:t>Por último, y en cuanto hace a la adjudicación directa, el artículo 48 de la Ley de la Contratación Pública del Estado de México y Municipios y 91 del Reglamento de dicha Ley, indican en qué supuestos puede llevarse a cabo este procedimiento.</w:t>
      </w:r>
    </w:p>
    <w:p w14:paraId="0A5D328D" w14:textId="77777777" w:rsidR="00844832" w:rsidRPr="001D1971" w:rsidRDefault="00844832" w:rsidP="001D1971">
      <w:pPr>
        <w:rPr>
          <w:rFonts w:cs="Arial"/>
        </w:rPr>
      </w:pPr>
    </w:p>
    <w:p w14:paraId="346911BB" w14:textId="77777777" w:rsidR="00844832" w:rsidRPr="001D1971" w:rsidRDefault="00844832" w:rsidP="001D1971">
      <w:pPr>
        <w:rPr>
          <w:rFonts w:cs="Arial"/>
        </w:rPr>
      </w:pPr>
      <w:r w:rsidRPr="001D1971">
        <w:rPr>
          <w:rFonts w:cs="Arial"/>
        </w:rPr>
        <w:t xml:space="preserve">En este sentido, la convocante debe solicitar a su comité el dictamen correspondiente del procedimiento de adjudicación directa, en el que se acredite previamente la descripción </w:t>
      </w:r>
      <w:r w:rsidRPr="001D1971">
        <w:rPr>
          <w:rFonts w:cs="Arial"/>
        </w:rPr>
        <w:lastRenderedPageBreak/>
        <w:t>general de los bienes a adquirir; la justificación o conveniencia de llevar a cabo la adjudicación directa; y la certificación de suficiencia presupuestaria.</w:t>
      </w:r>
    </w:p>
    <w:p w14:paraId="3DDA09DA" w14:textId="77777777" w:rsidR="00844832" w:rsidRPr="001D1971" w:rsidRDefault="00844832" w:rsidP="001D1971">
      <w:pPr>
        <w:rPr>
          <w:rFonts w:cs="Arial"/>
        </w:rPr>
      </w:pPr>
    </w:p>
    <w:p w14:paraId="70B8BEA5" w14:textId="77777777" w:rsidR="00844832" w:rsidRPr="001D1971" w:rsidRDefault="00844832" w:rsidP="001D1971">
      <w:pPr>
        <w:rPr>
          <w:rFonts w:cs="Arial"/>
        </w:rPr>
      </w:pPr>
      <w:r w:rsidRPr="001D1971">
        <w:rPr>
          <w:rFonts w:cs="Arial"/>
        </w:rPr>
        <w:t xml:space="preserve">Además, el artículo 94 del referido Reglamento, detalla el procedimiento que se llevará a cabo en la adjudicación directa, de la siguiente manera: </w:t>
      </w:r>
    </w:p>
    <w:p w14:paraId="7A76A098" w14:textId="77777777" w:rsidR="00844832" w:rsidRPr="001D1971" w:rsidRDefault="00844832" w:rsidP="001D1971">
      <w:pPr>
        <w:rPr>
          <w:rFonts w:cs="Arial"/>
        </w:rPr>
      </w:pPr>
    </w:p>
    <w:p w14:paraId="33FBF3B6" w14:textId="77777777" w:rsidR="00844832" w:rsidRPr="001D1971" w:rsidRDefault="00844832" w:rsidP="001D1971">
      <w:pPr>
        <w:pStyle w:val="Puesto"/>
        <w:ind w:left="851" w:right="822" w:firstLine="0"/>
        <w:rPr>
          <w:b/>
          <w:color w:val="auto"/>
        </w:rPr>
      </w:pPr>
      <w:r w:rsidRPr="001D1971">
        <w:rPr>
          <w:b/>
          <w:color w:val="auto"/>
        </w:rPr>
        <w:t xml:space="preserve">“Artículo 94.- </w:t>
      </w:r>
      <w:r w:rsidRPr="001D1971">
        <w:rPr>
          <w:color w:val="auto"/>
        </w:rPr>
        <w:t>En el procedimiento de adjudicación directa se observará lo siguiente:</w:t>
      </w:r>
      <w:r w:rsidRPr="001D1971">
        <w:rPr>
          <w:b/>
          <w:color w:val="auto"/>
        </w:rPr>
        <w:t xml:space="preserve"> </w:t>
      </w:r>
    </w:p>
    <w:p w14:paraId="63C156C5" w14:textId="77777777" w:rsidR="00844832" w:rsidRPr="001D1971" w:rsidRDefault="00844832" w:rsidP="001D1971">
      <w:pPr>
        <w:pStyle w:val="Puesto"/>
        <w:ind w:left="851" w:right="822" w:firstLine="0"/>
        <w:rPr>
          <w:color w:val="auto"/>
        </w:rPr>
      </w:pPr>
      <w:r w:rsidRPr="001D1971">
        <w:rPr>
          <w:b/>
          <w:color w:val="auto"/>
        </w:rPr>
        <w:t>I.</w:t>
      </w:r>
      <w:r w:rsidRPr="001D1971">
        <w:rPr>
          <w:color w:val="auto"/>
        </w:rPr>
        <w:t xml:space="preserve"> Las adquisiciones de bienes y la contratación de servicios, se efectuaran previa dictaminación del comité, a excepción de los casos previstos en las fracciones IV, VII, IX y XI del artículo 48 de la Ley; las contrataciones que se realicen con fundamento en las fracciones IV y VII, deberán corresponder a lo estrictamente necesario para atender la eventualidad o urgencia y no deberán observar ninguna otra formalidad más que la suscripción del contrato respectivo.</w:t>
      </w:r>
    </w:p>
    <w:p w14:paraId="0B2AB29D" w14:textId="77777777" w:rsidR="00844832" w:rsidRPr="001D1971" w:rsidRDefault="00844832" w:rsidP="001D1971">
      <w:pPr>
        <w:pStyle w:val="Puesto"/>
        <w:ind w:left="851" w:right="822" w:firstLine="0"/>
        <w:rPr>
          <w:color w:val="auto"/>
        </w:rPr>
      </w:pPr>
      <w:r w:rsidRPr="001D1971">
        <w:rPr>
          <w:b/>
          <w:color w:val="auto"/>
        </w:rPr>
        <w:t>II.</w:t>
      </w:r>
      <w:r w:rsidRPr="001D1971">
        <w:rPr>
          <w:color w:val="auto"/>
        </w:rPr>
        <w:t xml:space="preserve"> Se considerará a la persona que atendiendo al bien o servicio que se pretenda adquirir o contratar, pueda suministrarlo o prestarlo en las mejores condiciones disponibles en cuanto a precio, calidad, financiamiento, oportunidad y demás circunstancias pertinentes;</w:t>
      </w:r>
    </w:p>
    <w:p w14:paraId="0012EBDC" w14:textId="77777777" w:rsidR="00844832" w:rsidRPr="001D1971" w:rsidRDefault="00844832" w:rsidP="001D1971">
      <w:pPr>
        <w:pStyle w:val="Puesto"/>
        <w:ind w:left="851" w:right="822" w:firstLine="0"/>
        <w:rPr>
          <w:color w:val="auto"/>
        </w:rPr>
      </w:pPr>
      <w:r w:rsidRPr="001D1971">
        <w:rPr>
          <w:b/>
          <w:color w:val="auto"/>
        </w:rPr>
        <w:t>III.</w:t>
      </w:r>
      <w:r w:rsidRPr="001D1971">
        <w:rPr>
          <w:color w:val="auto"/>
        </w:rPr>
        <w:t xml:space="preserve"> La solicitud de participación contendrá, como mínimo, la descripción y cantidad de los bienes o servicios requeridos, lugar, plazo de entrega o duración del servicio y forma de pago;</w:t>
      </w:r>
    </w:p>
    <w:p w14:paraId="70EEFA96" w14:textId="77777777" w:rsidR="00844832" w:rsidRPr="001D1971" w:rsidRDefault="00844832" w:rsidP="001D1971">
      <w:pPr>
        <w:pStyle w:val="Puesto"/>
        <w:ind w:left="851" w:right="822" w:firstLine="0"/>
        <w:rPr>
          <w:color w:val="auto"/>
        </w:rPr>
      </w:pPr>
      <w:r w:rsidRPr="001D1971">
        <w:rPr>
          <w:b/>
          <w:color w:val="auto"/>
        </w:rPr>
        <w:t>IV.</w:t>
      </w:r>
      <w:r w:rsidRPr="001D1971">
        <w:rPr>
          <w:color w:val="auto"/>
        </w:rPr>
        <w:t xml:space="preserve"> La solicitud de participación deberá señalar el día, hora y lugar en que tendrá verificativo el acto de presentación y apertura de ofertas;</w:t>
      </w:r>
    </w:p>
    <w:p w14:paraId="1B103805" w14:textId="77777777" w:rsidR="00844832" w:rsidRPr="001D1971" w:rsidRDefault="00844832" w:rsidP="001D1971">
      <w:pPr>
        <w:pStyle w:val="Puesto"/>
        <w:ind w:left="851" w:right="822" w:firstLine="0"/>
        <w:rPr>
          <w:color w:val="auto"/>
        </w:rPr>
      </w:pPr>
      <w:r w:rsidRPr="001D1971">
        <w:rPr>
          <w:b/>
          <w:color w:val="auto"/>
        </w:rPr>
        <w:t>V.</w:t>
      </w:r>
      <w:r w:rsidRPr="001D1971">
        <w:rPr>
          <w:color w:val="auto"/>
        </w:rPr>
        <w:t xml:space="preserve"> Atendiendo a la naturaleza de los bienes o servicios, la convocante podrá optar entre celebrar o no junta de aclaraciones, en términos de lo dispuesto por este Reglamento;</w:t>
      </w:r>
    </w:p>
    <w:p w14:paraId="5841CBBE" w14:textId="77777777" w:rsidR="00844832" w:rsidRPr="001D1971" w:rsidRDefault="00844832" w:rsidP="001D1971">
      <w:pPr>
        <w:pStyle w:val="Puesto"/>
        <w:ind w:left="851" w:right="822" w:firstLine="0"/>
        <w:rPr>
          <w:color w:val="auto"/>
        </w:rPr>
      </w:pPr>
      <w:r w:rsidRPr="001D1971">
        <w:rPr>
          <w:b/>
          <w:color w:val="auto"/>
        </w:rPr>
        <w:t>VI.</w:t>
      </w:r>
      <w:r w:rsidRPr="001D1971">
        <w:rPr>
          <w:color w:val="auto"/>
        </w:rPr>
        <w:t xml:space="preserve"> El servidor público designado por la convocante será el responsable de llevar a cabo el acto de presentación y apertura de propuestas;</w:t>
      </w:r>
    </w:p>
    <w:p w14:paraId="6F320D24" w14:textId="77777777" w:rsidR="00844832" w:rsidRPr="001D1971" w:rsidRDefault="00844832" w:rsidP="001D1971">
      <w:pPr>
        <w:pStyle w:val="Puesto"/>
        <w:ind w:left="851" w:right="822" w:firstLine="0"/>
        <w:rPr>
          <w:color w:val="auto"/>
        </w:rPr>
      </w:pPr>
      <w:r w:rsidRPr="001D1971">
        <w:rPr>
          <w:b/>
          <w:color w:val="auto"/>
        </w:rPr>
        <w:t>VII.</w:t>
      </w:r>
      <w:r w:rsidRPr="001D1971">
        <w:rPr>
          <w:color w:val="auto"/>
        </w:rPr>
        <w:t xml:space="preserve"> Se observarán, en lo conducente, las disposiciones relativas a la contraoferta; y</w:t>
      </w:r>
    </w:p>
    <w:p w14:paraId="6E2F051A" w14:textId="77777777" w:rsidR="00844832" w:rsidRPr="001D1971" w:rsidRDefault="00844832" w:rsidP="001D1971">
      <w:pPr>
        <w:pStyle w:val="Puesto"/>
        <w:ind w:left="851" w:right="822" w:firstLine="0"/>
        <w:rPr>
          <w:color w:val="auto"/>
        </w:rPr>
      </w:pPr>
      <w:r w:rsidRPr="001D1971">
        <w:rPr>
          <w:b/>
          <w:color w:val="auto"/>
        </w:rPr>
        <w:t>VIII.</w:t>
      </w:r>
      <w:r w:rsidRPr="001D1971">
        <w:rPr>
          <w:color w:val="auto"/>
        </w:rPr>
        <w:t xml:space="preserve"> El comité será responsable de emitir el dictamen de adjudicación que servirá de base para el fallo de adjudicación; correspondiendo a la convocante emitir dicho fallo, quien lo hará del conocimiento de los licitantes.</w:t>
      </w:r>
      <w:r w:rsidRPr="001D1971">
        <w:rPr>
          <w:b/>
          <w:color w:val="auto"/>
        </w:rPr>
        <w:t>”</w:t>
      </w:r>
      <w:r w:rsidRPr="001D1971">
        <w:rPr>
          <w:color w:val="auto"/>
        </w:rPr>
        <w:t xml:space="preserve"> </w:t>
      </w:r>
    </w:p>
    <w:p w14:paraId="1CE3AD5C" w14:textId="77777777" w:rsidR="00844832" w:rsidRPr="001D1971" w:rsidRDefault="00844832" w:rsidP="001D1971">
      <w:pPr>
        <w:pStyle w:val="Puesto"/>
        <w:ind w:left="851" w:right="822" w:firstLine="0"/>
        <w:rPr>
          <w:color w:val="auto"/>
        </w:rPr>
      </w:pPr>
      <w:r w:rsidRPr="001D1971">
        <w:rPr>
          <w:color w:val="auto"/>
        </w:rPr>
        <w:t>(Énfasis añadido)</w:t>
      </w:r>
    </w:p>
    <w:p w14:paraId="657E6016" w14:textId="77777777" w:rsidR="00844832" w:rsidRPr="001D1971" w:rsidRDefault="00844832" w:rsidP="001D1971">
      <w:pPr>
        <w:ind w:left="851" w:right="851"/>
        <w:rPr>
          <w:rFonts w:cs="Arial"/>
          <w:i/>
        </w:rPr>
      </w:pPr>
    </w:p>
    <w:p w14:paraId="3C3918A4" w14:textId="77777777" w:rsidR="00844832" w:rsidRPr="001D1971" w:rsidRDefault="00844832" w:rsidP="001D1971">
      <w:pPr>
        <w:rPr>
          <w:rFonts w:cs="Arial"/>
        </w:rPr>
      </w:pPr>
      <w:r w:rsidRPr="001D1971">
        <w:t xml:space="preserve">En este sentido, </w:t>
      </w:r>
      <w:r w:rsidRPr="001D1971">
        <w:rPr>
          <w:rFonts w:cs="Arial"/>
        </w:rPr>
        <w:t xml:space="preserve">debe decirse que la información sobre procesos y resultado; así como, procedimientos de adjudicación directa, invitación restringida y licitación de cualquier </w:t>
      </w:r>
      <w:r w:rsidRPr="001D1971">
        <w:rPr>
          <w:rFonts w:cs="Arial"/>
        </w:rPr>
        <w:lastRenderedPageBreak/>
        <w:t>naturaleza, se encuentra considerada como una de las obligaciones de transparencias comunes que l</w:t>
      </w:r>
      <w:r w:rsidRPr="001D1971">
        <w:t xml:space="preserve">os Sujetos Obligados tienen el deber de poner a disposición del público de manera permanente y actualizada de forma sencilla, precisa y entendible, en los respectivos medios electrónicos, de acuerdo con sus facultades, atribuciones, funciones u objeto social, según corresponda; esto conforme a lo establecido en </w:t>
      </w:r>
      <w:r w:rsidRPr="001D1971">
        <w:rPr>
          <w:rFonts w:cs="Arial"/>
        </w:rPr>
        <w:t>el artículo 92 de la de la Ley de Transparencia y Acceso a la Información Pública del Estado de México y Municipios, en su fracción XXIX, dispone lo siguiente:</w:t>
      </w:r>
    </w:p>
    <w:p w14:paraId="75730D96" w14:textId="77777777" w:rsidR="00844832" w:rsidRPr="001D1971" w:rsidRDefault="00844832" w:rsidP="001D1971">
      <w:pPr>
        <w:rPr>
          <w:rFonts w:cs="Arial"/>
        </w:rPr>
      </w:pPr>
    </w:p>
    <w:p w14:paraId="59DD34AB" w14:textId="77777777" w:rsidR="00844832" w:rsidRPr="001D1971" w:rsidRDefault="00844832" w:rsidP="001D1971">
      <w:pPr>
        <w:pStyle w:val="Puesto"/>
        <w:ind w:left="851" w:right="822" w:firstLine="0"/>
        <w:rPr>
          <w:color w:val="auto"/>
        </w:rPr>
      </w:pPr>
      <w:r w:rsidRPr="001D1971">
        <w:rPr>
          <w:b/>
          <w:bCs/>
          <w:color w:val="auto"/>
        </w:rPr>
        <w:t>“Artículo 92. </w:t>
      </w:r>
      <w:r w:rsidRPr="001D1971">
        <w:rPr>
          <w:color w:val="auto"/>
        </w:rPr>
        <w:t>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163A63A8" w14:textId="77777777" w:rsidR="00844832" w:rsidRPr="001D1971" w:rsidRDefault="00844832" w:rsidP="001D1971">
      <w:pPr>
        <w:pStyle w:val="Puesto"/>
        <w:ind w:left="851" w:right="822" w:firstLine="0"/>
        <w:rPr>
          <w:color w:val="auto"/>
        </w:rPr>
      </w:pPr>
      <w:r w:rsidRPr="001D1971">
        <w:rPr>
          <w:color w:val="auto"/>
        </w:rPr>
        <w:t>(…)</w:t>
      </w:r>
    </w:p>
    <w:p w14:paraId="590DEE36" w14:textId="77777777" w:rsidR="00844832" w:rsidRPr="001D1971" w:rsidRDefault="00844832" w:rsidP="001D1971">
      <w:pPr>
        <w:pStyle w:val="Puesto"/>
        <w:ind w:left="851" w:right="822" w:firstLine="0"/>
        <w:rPr>
          <w:color w:val="auto"/>
        </w:rPr>
      </w:pPr>
      <w:r w:rsidRPr="001D1971">
        <w:rPr>
          <w:b/>
          <w:bCs/>
          <w:color w:val="auto"/>
        </w:rPr>
        <w:t>XXIX. </w:t>
      </w:r>
      <w:r w:rsidRPr="001D1971">
        <w:rPr>
          <w:color w:val="auto"/>
        </w:rPr>
        <w:t xml:space="preserve">La </w:t>
      </w:r>
      <w:r w:rsidRPr="001D1971">
        <w:rPr>
          <w:b/>
          <w:color w:val="auto"/>
        </w:rPr>
        <w:t>información sobre los procesos y resultados sobre procedimientos de adjudicación directa, invitación restringida y licitación de cualquier naturaleza, </w:t>
      </w:r>
      <w:r w:rsidRPr="001D1971">
        <w:rPr>
          <w:b/>
          <w:bCs/>
          <w:color w:val="auto"/>
        </w:rPr>
        <w:t>incluyendo la versión pública del expediente respectivo y de los contratos</w:t>
      </w:r>
      <w:r w:rsidRPr="001D1971">
        <w:rPr>
          <w:b/>
          <w:color w:val="auto"/>
        </w:rPr>
        <w:t> celebrados</w:t>
      </w:r>
      <w:r w:rsidRPr="001D1971">
        <w:rPr>
          <w:color w:val="auto"/>
        </w:rPr>
        <w:t>, que deberán contener, por los menos, lo siguiente:</w:t>
      </w:r>
    </w:p>
    <w:p w14:paraId="067860B7" w14:textId="77777777" w:rsidR="00844832" w:rsidRPr="001D1971" w:rsidRDefault="00844832" w:rsidP="001D1971">
      <w:pPr>
        <w:pStyle w:val="Puesto"/>
        <w:ind w:left="851" w:right="822" w:firstLine="0"/>
        <w:rPr>
          <w:color w:val="auto"/>
        </w:rPr>
      </w:pPr>
      <w:r w:rsidRPr="001D1971">
        <w:rPr>
          <w:b/>
          <w:bCs/>
          <w:color w:val="auto"/>
        </w:rPr>
        <w:t>a) </w:t>
      </w:r>
      <w:r w:rsidRPr="001D1971">
        <w:rPr>
          <w:color w:val="auto"/>
        </w:rPr>
        <w:t>De licitaciones públicas o procedimientos de invitación restringida:</w:t>
      </w:r>
    </w:p>
    <w:p w14:paraId="532310D0" w14:textId="77777777" w:rsidR="00844832" w:rsidRPr="001D1971" w:rsidRDefault="00844832" w:rsidP="001D1971">
      <w:pPr>
        <w:pStyle w:val="Puesto"/>
        <w:ind w:left="851" w:right="822" w:firstLine="0"/>
        <w:rPr>
          <w:color w:val="auto"/>
        </w:rPr>
      </w:pPr>
      <w:r w:rsidRPr="001D1971">
        <w:rPr>
          <w:b/>
          <w:bCs/>
          <w:color w:val="auto"/>
        </w:rPr>
        <w:t>1)</w:t>
      </w:r>
      <w:r w:rsidRPr="001D1971">
        <w:rPr>
          <w:color w:val="auto"/>
        </w:rPr>
        <w:t> La convocatoria o invitación emitida, así como los fundamentos legales aplicados para llevarla a cabo;</w:t>
      </w:r>
    </w:p>
    <w:p w14:paraId="0348EE95" w14:textId="77777777" w:rsidR="00844832" w:rsidRPr="001D1971" w:rsidRDefault="00844832" w:rsidP="001D1971">
      <w:pPr>
        <w:pStyle w:val="Puesto"/>
        <w:ind w:left="851" w:right="822" w:firstLine="0"/>
        <w:rPr>
          <w:color w:val="auto"/>
        </w:rPr>
      </w:pPr>
      <w:r w:rsidRPr="001D1971">
        <w:rPr>
          <w:b/>
          <w:bCs/>
          <w:color w:val="auto"/>
        </w:rPr>
        <w:t>2) </w:t>
      </w:r>
      <w:r w:rsidRPr="001D1971">
        <w:rPr>
          <w:color w:val="auto"/>
        </w:rPr>
        <w:t>Los nombres de los participantes o invitados;</w:t>
      </w:r>
    </w:p>
    <w:p w14:paraId="1FF576A3" w14:textId="77777777" w:rsidR="00844832" w:rsidRPr="001D1971" w:rsidRDefault="00844832" w:rsidP="001D1971">
      <w:pPr>
        <w:pStyle w:val="Puesto"/>
        <w:ind w:left="851" w:right="822" w:firstLine="0"/>
        <w:rPr>
          <w:color w:val="auto"/>
        </w:rPr>
      </w:pPr>
      <w:r w:rsidRPr="001D1971">
        <w:rPr>
          <w:b/>
          <w:bCs/>
          <w:color w:val="auto"/>
        </w:rPr>
        <w:t>3)</w:t>
      </w:r>
      <w:r w:rsidRPr="001D1971">
        <w:rPr>
          <w:color w:val="auto"/>
        </w:rPr>
        <w:t> El nombre del ganador y las razones que lo justifican;</w:t>
      </w:r>
    </w:p>
    <w:p w14:paraId="26D52103" w14:textId="77777777" w:rsidR="00844832" w:rsidRPr="001D1971" w:rsidRDefault="00844832" w:rsidP="001D1971">
      <w:pPr>
        <w:pStyle w:val="Puesto"/>
        <w:ind w:left="851" w:right="822" w:firstLine="0"/>
        <w:rPr>
          <w:color w:val="auto"/>
        </w:rPr>
      </w:pPr>
      <w:r w:rsidRPr="001D1971">
        <w:rPr>
          <w:b/>
          <w:bCs/>
          <w:color w:val="auto"/>
        </w:rPr>
        <w:t>4) </w:t>
      </w:r>
      <w:r w:rsidRPr="001D1971">
        <w:rPr>
          <w:color w:val="auto"/>
        </w:rPr>
        <w:t>El área solicitante y la responsable de su ejecución;</w:t>
      </w:r>
    </w:p>
    <w:p w14:paraId="596039BE" w14:textId="77777777" w:rsidR="00844832" w:rsidRPr="001D1971" w:rsidRDefault="00844832" w:rsidP="001D1971">
      <w:pPr>
        <w:pStyle w:val="Puesto"/>
        <w:ind w:left="851" w:right="822" w:firstLine="0"/>
        <w:rPr>
          <w:color w:val="auto"/>
        </w:rPr>
      </w:pPr>
      <w:r w:rsidRPr="001D1971">
        <w:rPr>
          <w:b/>
          <w:bCs/>
          <w:color w:val="auto"/>
        </w:rPr>
        <w:t>5) </w:t>
      </w:r>
      <w:r w:rsidRPr="001D1971">
        <w:rPr>
          <w:color w:val="auto"/>
        </w:rPr>
        <w:t>Las convocatorias e invitaciones emitidas;</w:t>
      </w:r>
    </w:p>
    <w:p w14:paraId="5B941D11" w14:textId="77777777" w:rsidR="00844832" w:rsidRPr="001D1971" w:rsidRDefault="00844832" w:rsidP="001D1971">
      <w:pPr>
        <w:pStyle w:val="Puesto"/>
        <w:ind w:left="851" w:right="822" w:firstLine="0"/>
        <w:rPr>
          <w:color w:val="auto"/>
        </w:rPr>
      </w:pPr>
      <w:r w:rsidRPr="001D1971">
        <w:rPr>
          <w:b/>
          <w:bCs/>
          <w:color w:val="auto"/>
        </w:rPr>
        <w:t>6)</w:t>
      </w:r>
      <w:r w:rsidRPr="001D1971">
        <w:rPr>
          <w:color w:val="auto"/>
        </w:rPr>
        <w:t> Los dictámenes y fallo de adjudicación;</w:t>
      </w:r>
    </w:p>
    <w:p w14:paraId="5C2BF65B" w14:textId="77777777" w:rsidR="00844832" w:rsidRPr="001D1971" w:rsidRDefault="00844832" w:rsidP="001D1971">
      <w:pPr>
        <w:pStyle w:val="Puesto"/>
        <w:ind w:left="851" w:right="822" w:firstLine="0"/>
        <w:rPr>
          <w:b/>
          <w:color w:val="auto"/>
        </w:rPr>
      </w:pPr>
      <w:r w:rsidRPr="001D1971">
        <w:rPr>
          <w:b/>
          <w:bCs/>
          <w:color w:val="auto"/>
        </w:rPr>
        <w:t>7)</w:t>
      </w:r>
      <w:r w:rsidRPr="001D1971">
        <w:rPr>
          <w:bCs/>
          <w:color w:val="auto"/>
        </w:rPr>
        <w:t> </w:t>
      </w:r>
      <w:r w:rsidRPr="001D1971">
        <w:rPr>
          <w:b/>
          <w:bCs/>
          <w:color w:val="auto"/>
        </w:rPr>
        <w:t>El contrato y, en su caso, sus anexos;</w:t>
      </w:r>
    </w:p>
    <w:p w14:paraId="1D96F174" w14:textId="77777777" w:rsidR="00844832" w:rsidRPr="001D1971" w:rsidRDefault="00844832" w:rsidP="001D1971">
      <w:pPr>
        <w:pStyle w:val="Puesto"/>
        <w:ind w:left="851" w:right="822" w:firstLine="0"/>
        <w:rPr>
          <w:color w:val="auto"/>
        </w:rPr>
      </w:pPr>
      <w:r w:rsidRPr="001D1971">
        <w:rPr>
          <w:b/>
          <w:bCs/>
          <w:color w:val="auto"/>
        </w:rPr>
        <w:t>8) </w:t>
      </w:r>
      <w:r w:rsidRPr="001D1971">
        <w:rPr>
          <w:color w:val="auto"/>
        </w:rPr>
        <w:t>Los mecanismos de vigilancia y supervisión, incluyendo en su caso, los estudios de impacto urbano y ambiental, según corresponda;</w:t>
      </w:r>
    </w:p>
    <w:p w14:paraId="42B9B44D" w14:textId="77777777" w:rsidR="00844832" w:rsidRPr="001D1971" w:rsidRDefault="00844832" w:rsidP="001D1971">
      <w:pPr>
        <w:pStyle w:val="Puesto"/>
        <w:ind w:left="851" w:right="822" w:firstLine="0"/>
        <w:rPr>
          <w:color w:val="auto"/>
        </w:rPr>
      </w:pPr>
      <w:r w:rsidRPr="001D1971">
        <w:rPr>
          <w:b/>
          <w:bCs/>
          <w:color w:val="auto"/>
        </w:rPr>
        <w:t>9) </w:t>
      </w:r>
      <w:r w:rsidRPr="001D1971">
        <w:rPr>
          <w:color w:val="auto"/>
        </w:rPr>
        <w:t>La partida presupuestal, de conformidad con el clasificador por objeto del gasto, en el caso de ser aplicable;</w:t>
      </w:r>
    </w:p>
    <w:p w14:paraId="6946BA8C" w14:textId="77777777" w:rsidR="00844832" w:rsidRPr="001D1971" w:rsidRDefault="00844832" w:rsidP="001D1971">
      <w:pPr>
        <w:pStyle w:val="Puesto"/>
        <w:ind w:left="851" w:right="822" w:firstLine="0"/>
        <w:rPr>
          <w:color w:val="auto"/>
        </w:rPr>
      </w:pPr>
      <w:r w:rsidRPr="001D1971">
        <w:rPr>
          <w:b/>
          <w:bCs/>
          <w:color w:val="auto"/>
        </w:rPr>
        <w:t>10) </w:t>
      </w:r>
      <w:r w:rsidRPr="001D1971">
        <w:rPr>
          <w:color w:val="auto"/>
        </w:rPr>
        <w:t>Origen de los recursos especificando si son federales, estatales o municipales, así como el tipo de fondo de participación o aportación respectiva;</w:t>
      </w:r>
    </w:p>
    <w:p w14:paraId="596F7F20" w14:textId="77777777" w:rsidR="00844832" w:rsidRPr="001D1971" w:rsidRDefault="00844832" w:rsidP="001D1971">
      <w:pPr>
        <w:pStyle w:val="Puesto"/>
        <w:ind w:left="851" w:right="822" w:firstLine="0"/>
        <w:rPr>
          <w:color w:val="auto"/>
        </w:rPr>
      </w:pPr>
      <w:r w:rsidRPr="001D1971">
        <w:rPr>
          <w:bCs/>
          <w:color w:val="auto"/>
        </w:rPr>
        <w:t>11) </w:t>
      </w:r>
      <w:r w:rsidRPr="001D1971">
        <w:rPr>
          <w:color w:val="auto"/>
        </w:rPr>
        <w:t>Los convenios modificatorios que, en su caso, sean firmados, precisando el objeto y la fecha de celebración;</w:t>
      </w:r>
    </w:p>
    <w:p w14:paraId="256CC88A" w14:textId="77777777" w:rsidR="00844832" w:rsidRPr="001D1971" w:rsidRDefault="00844832" w:rsidP="001D1971">
      <w:pPr>
        <w:pStyle w:val="Puesto"/>
        <w:ind w:left="851" w:right="822" w:firstLine="0"/>
        <w:rPr>
          <w:color w:val="auto"/>
        </w:rPr>
      </w:pPr>
      <w:r w:rsidRPr="001D1971">
        <w:rPr>
          <w:bCs/>
          <w:color w:val="auto"/>
        </w:rPr>
        <w:lastRenderedPageBreak/>
        <w:t>12) </w:t>
      </w:r>
      <w:r w:rsidRPr="001D1971">
        <w:rPr>
          <w:color w:val="auto"/>
        </w:rPr>
        <w:t>Los informes de avance físico y financiero sobre las obras o servicios contratados;</w:t>
      </w:r>
    </w:p>
    <w:p w14:paraId="59562EC6" w14:textId="77777777" w:rsidR="00844832" w:rsidRPr="001D1971" w:rsidRDefault="00844832" w:rsidP="001D1971">
      <w:pPr>
        <w:pStyle w:val="Puesto"/>
        <w:ind w:left="851" w:right="822" w:firstLine="0"/>
        <w:rPr>
          <w:color w:val="auto"/>
        </w:rPr>
      </w:pPr>
      <w:r w:rsidRPr="001D1971">
        <w:rPr>
          <w:bCs/>
          <w:color w:val="auto"/>
        </w:rPr>
        <w:t>13) </w:t>
      </w:r>
      <w:r w:rsidRPr="001D1971">
        <w:rPr>
          <w:color w:val="auto"/>
        </w:rPr>
        <w:t>El convenio de terminación; y</w:t>
      </w:r>
    </w:p>
    <w:p w14:paraId="5A4D3732" w14:textId="77777777" w:rsidR="00844832" w:rsidRPr="001D1971" w:rsidRDefault="00844832" w:rsidP="001D1971">
      <w:pPr>
        <w:pStyle w:val="Puesto"/>
        <w:ind w:left="851" w:right="822" w:firstLine="0"/>
        <w:rPr>
          <w:color w:val="auto"/>
        </w:rPr>
      </w:pPr>
      <w:r w:rsidRPr="001D1971">
        <w:rPr>
          <w:bCs/>
          <w:color w:val="auto"/>
        </w:rPr>
        <w:t>14) </w:t>
      </w:r>
      <w:r w:rsidRPr="001D1971">
        <w:rPr>
          <w:color w:val="auto"/>
        </w:rPr>
        <w:t>El finiquito.</w:t>
      </w:r>
    </w:p>
    <w:p w14:paraId="5F4B6E20" w14:textId="77777777" w:rsidR="00844832" w:rsidRPr="001D1971" w:rsidRDefault="00844832" w:rsidP="001D1971">
      <w:pPr>
        <w:pStyle w:val="Puesto"/>
        <w:ind w:left="851" w:right="822" w:firstLine="0"/>
        <w:rPr>
          <w:color w:val="auto"/>
        </w:rPr>
      </w:pPr>
      <w:r w:rsidRPr="001D1971">
        <w:rPr>
          <w:bCs/>
          <w:color w:val="auto"/>
        </w:rPr>
        <w:t>b) </w:t>
      </w:r>
      <w:r w:rsidRPr="001D1971">
        <w:rPr>
          <w:color w:val="auto"/>
        </w:rPr>
        <w:t>De las adjudicaciones directas:</w:t>
      </w:r>
    </w:p>
    <w:p w14:paraId="6BCCB038" w14:textId="77777777" w:rsidR="00844832" w:rsidRPr="001D1971" w:rsidRDefault="00844832" w:rsidP="001D1971">
      <w:pPr>
        <w:pStyle w:val="Puesto"/>
        <w:ind w:left="851" w:right="822" w:firstLine="0"/>
        <w:rPr>
          <w:color w:val="auto"/>
        </w:rPr>
      </w:pPr>
      <w:r w:rsidRPr="001D1971">
        <w:rPr>
          <w:bCs/>
          <w:color w:val="auto"/>
        </w:rPr>
        <w:t>1) </w:t>
      </w:r>
      <w:r w:rsidRPr="001D1971">
        <w:rPr>
          <w:color w:val="auto"/>
        </w:rPr>
        <w:t>La propuesta enviada por el participante;</w:t>
      </w:r>
    </w:p>
    <w:p w14:paraId="26913215" w14:textId="77777777" w:rsidR="00844832" w:rsidRPr="001D1971" w:rsidRDefault="00844832" w:rsidP="001D1971">
      <w:pPr>
        <w:pStyle w:val="Puesto"/>
        <w:ind w:left="851" w:right="822" w:firstLine="0"/>
        <w:rPr>
          <w:color w:val="auto"/>
        </w:rPr>
      </w:pPr>
      <w:r w:rsidRPr="001D1971">
        <w:rPr>
          <w:bCs/>
          <w:color w:val="auto"/>
        </w:rPr>
        <w:t>2) </w:t>
      </w:r>
      <w:r w:rsidRPr="001D1971">
        <w:rPr>
          <w:color w:val="auto"/>
        </w:rPr>
        <w:t>Los motivos y fundamentos legales aplicados para llevarla a cabo;</w:t>
      </w:r>
    </w:p>
    <w:p w14:paraId="2B3B0C19" w14:textId="77777777" w:rsidR="00844832" w:rsidRPr="001D1971" w:rsidRDefault="00844832" w:rsidP="001D1971">
      <w:pPr>
        <w:pStyle w:val="Puesto"/>
        <w:ind w:left="851" w:right="822" w:firstLine="0"/>
        <w:rPr>
          <w:color w:val="auto"/>
        </w:rPr>
      </w:pPr>
      <w:r w:rsidRPr="001D1971">
        <w:rPr>
          <w:bCs/>
          <w:color w:val="auto"/>
        </w:rPr>
        <w:t>3) </w:t>
      </w:r>
      <w:r w:rsidRPr="001D1971">
        <w:rPr>
          <w:color w:val="auto"/>
        </w:rPr>
        <w:t>La autorización del ejercicio de la opción;</w:t>
      </w:r>
    </w:p>
    <w:p w14:paraId="134BE4F7" w14:textId="77777777" w:rsidR="00844832" w:rsidRPr="001D1971" w:rsidRDefault="00844832" w:rsidP="001D1971">
      <w:pPr>
        <w:pStyle w:val="Puesto"/>
        <w:ind w:left="851" w:right="822" w:firstLine="0"/>
        <w:rPr>
          <w:color w:val="auto"/>
        </w:rPr>
      </w:pPr>
      <w:r w:rsidRPr="001D1971">
        <w:rPr>
          <w:bCs/>
          <w:color w:val="auto"/>
        </w:rPr>
        <w:t>4) </w:t>
      </w:r>
      <w:r w:rsidRPr="001D1971">
        <w:rPr>
          <w:color w:val="auto"/>
        </w:rPr>
        <w:t>En su caso, las cotizaciones consideradas, especificando los nombres de los proveedores y sus montos;</w:t>
      </w:r>
    </w:p>
    <w:p w14:paraId="619B8EF3" w14:textId="77777777" w:rsidR="00844832" w:rsidRPr="001D1971" w:rsidRDefault="00844832" w:rsidP="001D1971">
      <w:pPr>
        <w:pStyle w:val="Puesto"/>
        <w:ind w:left="851" w:right="822" w:firstLine="0"/>
        <w:rPr>
          <w:color w:val="auto"/>
        </w:rPr>
      </w:pPr>
      <w:r w:rsidRPr="001D1971">
        <w:rPr>
          <w:bCs/>
          <w:color w:val="auto"/>
        </w:rPr>
        <w:t>5) </w:t>
      </w:r>
      <w:r w:rsidRPr="001D1971">
        <w:rPr>
          <w:color w:val="auto"/>
        </w:rPr>
        <w:t>El nombre de la persona física o jurídica colectiva adjudicada;</w:t>
      </w:r>
    </w:p>
    <w:p w14:paraId="27C7FB76" w14:textId="77777777" w:rsidR="00844832" w:rsidRPr="001D1971" w:rsidRDefault="00844832" w:rsidP="001D1971">
      <w:pPr>
        <w:pStyle w:val="Puesto"/>
        <w:ind w:left="851" w:right="822" w:firstLine="0"/>
        <w:rPr>
          <w:color w:val="auto"/>
        </w:rPr>
      </w:pPr>
      <w:r w:rsidRPr="001D1971">
        <w:rPr>
          <w:bCs/>
          <w:color w:val="auto"/>
        </w:rPr>
        <w:t>6) </w:t>
      </w:r>
      <w:r w:rsidRPr="001D1971">
        <w:rPr>
          <w:color w:val="auto"/>
        </w:rPr>
        <w:t>La unidad administrativa solicitante y la responsable de su ejecución;</w:t>
      </w:r>
    </w:p>
    <w:p w14:paraId="3E06A905" w14:textId="77777777" w:rsidR="00844832" w:rsidRPr="001D1971" w:rsidRDefault="00844832" w:rsidP="001D1971">
      <w:pPr>
        <w:pStyle w:val="Puesto"/>
        <w:ind w:left="851" w:right="822" w:firstLine="0"/>
        <w:rPr>
          <w:color w:val="auto"/>
        </w:rPr>
      </w:pPr>
      <w:r w:rsidRPr="001D1971">
        <w:rPr>
          <w:bCs/>
          <w:color w:val="auto"/>
        </w:rPr>
        <w:t>7) El número, fecha, el monto del contrato y el plazo de entrega o de ejecución de los servicios u obra;</w:t>
      </w:r>
    </w:p>
    <w:p w14:paraId="208F05C7" w14:textId="77777777" w:rsidR="00844832" w:rsidRPr="001D1971" w:rsidRDefault="00844832" w:rsidP="001D1971">
      <w:pPr>
        <w:pStyle w:val="Puesto"/>
        <w:ind w:left="851" w:right="822" w:firstLine="0"/>
        <w:rPr>
          <w:color w:val="auto"/>
        </w:rPr>
      </w:pPr>
      <w:r w:rsidRPr="001D1971">
        <w:rPr>
          <w:bCs/>
          <w:color w:val="auto"/>
        </w:rPr>
        <w:t>8) </w:t>
      </w:r>
      <w:r w:rsidRPr="001D1971">
        <w:rPr>
          <w:color w:val="auto"/>
        </w:rPr>
        <w:t>Los mecanismos de vigilancia y supervisión, incluyendo, en su caso, los estudios de impacto urbano y ambiental, según corresponda;</w:t>
      </w:r>
    </w:p>
    <w:p w14:paraId="29DD586B" w14:textId="77777777" w:rsidR="00844832" w:rsidRPr="001D1971" w:rsidRDefault="00844832" w:rsidP="001D1971">
      <w:pPr>
        <w:pStyle w:val="Puesto"/>
        <w:ind w:left="851" w:right="822" w:firstLine="0"/>
        <w:rPr>
          <w:color w:val="auto"/>
        </w:rPr>
      </w:pPr>
      <w:r w:rsidRPr="001D1971">
        <w:rPr>
          <w:bCs/>
          <w:color w:val="auto"/>
        </w:rPr>
        <w:t>9) </w:t>
      </w:r>
      <w:r w:rsidRPr="001D1971">
        <w:rPr>
          <w:color w:val="auto"/>
        </w:rPr>
        <w:t>Los informes de avance sobre las obras o servicios contratados;</w:t>
      </w:r>
    </w:p>
    <w:p w14:paraId="2B95D265" w14:textId="77777777" w:rsidR="00844832" w:rsidRPr="001D1971" w:rsidRDefault="00844832" w:rsidP="001D1971">
      <w:pPr>
        <w:pStyle w:val="Puesto"/>
        <w:ind w:left="851" w:right="822" w:firstLine="0"/>
        <w:rPr>
          <w:color w:val="auto"/>
        </w:rPr>
      </w:pPr>
      <w:r w:rsidRPr="001D1971">
        <w:rPr>
          <w:bCs/>
          <w:color w:val="auto"/>
        </w:rPr>
        <w:t>10) </w:t>
      </w:r>
      <w:r w:rsidRPr="001D1971">
        <w:rPr>
          <w:color w:val="auto"/>
        </w:rPr>
        <w:t>El convenio de terminación; y</w:t>
      </w:r>
    </w:p>
    <w:p w14:paraId="2DB53825" w14:textId="77777777" w:rsidR="00844832" w:rsidRPr="001D1971" w:rsidRDefault="00844832" w:rsidP="001D1971">
      <w:pPr>
        <w:pStyle w:val="Puesto"/>
        <w:ind w:left="851" w:right="822" w:firstLine="0"/>
        <w:rPr>
          <w:color w:val="auto"/>
        </w:rPr>
      </w:pPr>
      <w:r w:rsidRPr="001D1971">
        <w:rPr>
          <w:bCs/>
          <w:color w:val="auto"/>
        </w:rPr>
        <w:t>11) </w:t>
      </w:r>
      <w:r w:rsidRPr="001D1971">
        <w:rPr>
          <w:color w:val="auto"/>
        </w:rPr>
        <w:t>El finiquito.”</w:t>
      </w:r>
    </w:p>
    <w:p w14:paraId="1C37B9E9" w14:textId="77777777" w:rsidR="00E36E19" w:rsidRPr="001D1971" w:rsidRDefault="00844832" w:rsidP="001D1971">
      <w:pPr>
        <w:rPr>
          <w:i/>
        </w:rPr>
      </w:pPr>
      <w:r w:rsidRPr="001D1971">
        <w:rPr>
          <w:rFonts w:cs="Arial"/>
        </w:rPr>
        <w:t>De lo anterior, se desprende que los Sujetos Obligados están obligados a poner a disposición del público de manera constante y actualizada, de forma sencilla, precisa y entendible, en los respectivos medios electrónicos, la información referente a los procesos y resultados sobre procedimientos de adjudicación directa, invitación restringida y licitación de cualquier naturaleza</w:t>
      </w:r>
      <w:r w:rsidRPr="001D1971">
        <w:rPr>
          <w:rFonts w:cs="Arial"/>
          <w:szCs w:val="28"/>
        </w:rPr>
        <w:t>, documento que se traduce en la información solicitada por el hoy recurrente.</w:t>
      </w:r>
    </w:p>
    <w:p w14:paraId="20E3EAA6" w14:textId="77777777" w:rsidR="008E7A07" w:rsidRPr="001D1971" w:rsidRDefault="008E7A07" w:rsidP="001D1971"/>
    <w:p w14:paraId="62ADB553" w14:textId="77777777" w:rsidR="00844832" w:rsidRPr="001D1971" w:rsidRDefault="00844832" w:rsidP="001D1971">
      <w:pPr>
        <w:rPr>
          <w:rFonts w:cs="Arial"/>
        </w:rPr>
      </w:pPr>
      <w:r w:rsidRPr="001D1971">
        <w:rPr>
          <w:rFonts w:cs="Arial"/>
        </w:rPr>
        <w:t>A mayor abundamiento, debe observarse lo establecido en los artículos 1, fracción III, 20, 21, 22, 23, 24, 26, 27 y 39 de la Ley de Contratación Pública del Estado de México y Municipios, los cuales se transcriben a continuación:</w:t>
      </w:r>
    </w:p>
    <w:p w14:paraId="3D1214E2" w14:textId="77777777" w:rsidR="00844832" w:rsidRPr="001D1971" w:rsidRDefault="00844832" w:rsidP="001D1971">
      <w:pPr>
        <w:rPr>
          <w:rFonts w:cs="Arial"/>
        </w:rPr>
      </w:pPr>
    </w:p>
    <w:p w14:paraId="79B7F2DF" w14:textId="77777777" w:rsidR="00844832" w:rsidRPr="001D1971" w:rsidRDefault="00844832" w:rsidP="001D1971">
      <w:pPr>
        <w:pStyle w:val="Puesto"/>
        <w:ind w:left="851" w:right="822" w:firstLine="0"/>
        <w:rPr>
          <w:color w:val="auto"/>
          <w:sz w:val="19"/>
          <w:szCs w:val="19"/>
        </w:rPr>
      </w:pPr>
      <w:r w:rsidRPr="001D1971">
        <w:rPr>
          <w:b/>
          <w:color w:val="auto"/>
        </w:rPr>
        <w:t>“Artículo 1</w:t>
      </w:r>
      <w:r w:rsidRPr="001D1971">
        <w:rPr>
          <w:color w:val="auto"/>
        </w:rPr>
        <w:t>.- </w:t>
      </w:r>
      <w:r w:rsidRPr="001D1971">
        <w:rPr>
          <w:b/>
          <w:color w:val="auto"/>
        </w:rPr>
        <w:t>Esta Ley tiene por objeto regular los actos relativos a</w:t>
      </w:r>
      <w:r w:rsidRPr="001D1971">
        <w:rPr>
          <w:color w:val="auto"/>
        </w:rPr>
        <w:t> la planeación, programación, presupuestación, ejecución y control de la adquisición, enajenación y arrendamiento de bienes, y</w:t>
      </w:r>
      <w:r w:rsidRPr="001D1971">
        <w:rPr>
          <w:b/>
          <w:color w:val="auto"/>
        </w:rPr>
        <w:t xml:space="preserve"> la contratación de servicios de cualquier naturaleza</w:t>
      </w:r>
      <w:r w:rsidRPr="001D1971">
        <w:rPr>
          <w:color w:val="auto"/>
        </w:rPr>
        <w:t>, </w:t>
      </w:r>
      <w:r w:rsidRPr="001D1971">
        <w:rPr>
          <w:b/>
          <w:color w:val="auto"/>
        </w:rPr>
        <w:t>que realicen</w:t>
      </w:r>
      <w:r w:rsidRPr="001D1971">
        <w:rPr>
          <w:color w:val="auto"/>
        </w:rPr>
        <w:t>:</w:t>
      </w:r>
    </w:p>
    <w:p w14:paraId="20ED4DE0" w14:textId="77777777" w:rsidR="00844832" w:rsidRPr="001D1971" w:rsidRDefault="00844832" w:rsidP="001D1971">
      <w:pPr>
        <w:pStyle w:val="Puesto"/>
        <w:ind w:left="851" w:right="822" w:firstLine="0"/>
        <w:rPr>
          <w:color w:val="auto"/>
          <w:sz w:val="19"/>
          <w:szCs w:val="19"/>
        </w:rPr>
      </w:pPr>
      <w:r w:rsidRPr="001D1971">
        <w:rPr>
          <w:color w:val="auto"/>
        </w:rPr>
        <w:t>(…)</w:t>
      </w:r>
    </w:p>
    <w:p w14:paraId="4AD13D67" w14:textId="77777777" w:rsidR="00844832" w:rsidRPr="001D1971" w:rsidRDefault="00844832" w:rsidP="001D1971">
      <w:pPr>
        <w:pStyle w:val="Puesto"/>
        <w:ind w:left="851" w:right="822" w:firstLine="0"/>
        <w:rPr>
          <w:color w:val="auto"/>
          <w:sz w:val="19"/>
          <w:szCs w:val="19"/>
        </w:rPr>
      </w:pPr>
      <w:r w:rsidRPr="001D1971">
        <w:rPr>
          <w:b/>
          <w:color w:val="auto"/>
        </w:rPr>
        <w:t>III. Los ayuntamientos de los municipios del Estado</w:t>
      </w:r>
      <w:r w:rsidRPr="001D1971">
        <w:rPr>
          <w:color w:val="auto"/>
        </w:rPr>
        <w:t>.</w:t>
      </w:r>
    </w:p>
    <w:p w14:paraId="582D66A4" w14:textId="77777777" w:rsidR="00844832" w:rsidRPr="001D1971" w:rsidRDefault="00844832" w:rsidP="001D1971">
      <w:pPr>
        <w:pStyle w:val="Puesto"/>
        <w:ind w:left="851" w:right="822" w:firstLine="0"/>
        <w:rPr>
          <w:color w:val="auto"/>
          <w:sz w:val="19"/>
          <w:szCs w:val="19"/>
        </w:rPr>
      </w:pPr>
      <w:r w:rsidRPr="001D1971">
        <w:rPr>
          <w:b/>
          <w:color w:val="auto"/>
        </w:rPr>
        <w:lastRenderedPageBreak/>
        <w:t>Artículo 20</w:t>
      </w:r>
      <w:r w:rsidRPr="001D1971">
        <w:rPr>
          <w:color w:val="auto"/>
        </w:rPr>
        <w:t>.- La Secretaría y </w:t>
      </w:r>
      <w:r w:rsidRPr="001D1971">
        <w:rPr>
          <w:b/>
          <w:color w:val="auto"/>
        </w:rPr>
        <w:t>los ayuntamientos establecerán y operarán el catálogo de bienes y servicios</w:t>
      </w:r>
      <w:r w:rsidRPr="001D1971">
        <w:rPr>
          <w:color w:val="auto"/>
        </w:rPr>
        <w:t>, de acuerdo con la reglamentación respectiva. </w:t>
      </w:r>
      <w:r w:rsidRPr="001D1971">
        <w:rPr>
          <w:b/>
          <w:color w:val="auto"/>
        </w:rPr>
        <w:t>Establecerán y operarán también el catálogo de bienes y servicios específicos que sean susceptibles de ser adquiridos o contratados</w:t>
      </w:r>
      <w:r w:rsidRPr="001D1971">
        <w:rPr>
          <w:color w:val="auto"/>
        </w:rPr>
        <w:t> bajo la modalidad de subasta inversa, los cuales deberán describirse genéricamente y determinarse sus especificaciones técnicas comerciales, y en su caso, sus equivalentes. Dicho catálogo deberá publicarse en el COMPRAMEX y en el portal de internet de la propia Secretaría y, en su caso, en el de los ayuntamientos.</w:t>
      </w:r>
    </w:p>
    <w:p w14:paraId="60C793B1" w14:textId="77777777" w:rsidR="00844832" w:rsidRPr="001D1971" w:rsidRDefault="00844832" w:rsidP="001D1971">
      <w:pPr>
        <w:pStyle w:val="Puesto"/>
        <w:ind w:left="851" w:right="822" w:firstLine="0"/>
        <w:rPr>
          <w:color w:val="auto"/>
          <w:sz w:val="19"/>
          <w:szCs w:val="19"/>
        </w:rPr>
      </w:pPr>
      <w:r w:rsidRPr="001D1971">
        <w:rPr>
          <w:b/>
          <w:color w:val="auto"/>
        </w:rPr>
        <w:t>Artículo 21.- A fin de conocer la capacidad administrativa, financiera, legal y técnica de las fuentes de suministro</w:t>
      </w:r>
      <w:r w:rsidRPr="001D1971">
        <w:rPr>
          <w:color w:val="auto"/>
        </w:rPr>
        <w:t>, la Secretaría y </w:t>
      </w:r>
      <w:r w:rsidRPr="001D1971">
        <w:rPr>
          <w:b/>
          <w:color w:val="auto"/>
        </w:rPr>
        <w:t>los ayuntamientos integrarán un catálogo de proveedores y de prestadores de servicios</w:t>
      </w:r>
      <w:r w:rsidRPr="001D1971">
        <w:rPr>
          <w:color w:val="auto"/>
        </w:rPr>
        <w:t>.</w:t>
      </w:r>
    </w:p>
    <w:p w14:paraId="6379DFA4" w14:textId="77777777" w:rsidR="00844832" w:rsidRPr="001D1971" w:rsidRDefault="00844832" w:rsidP="001D1971">
      <w:pPr>
        <w:pStyle w:val="Puesto"/>
        <w:ind w:left="851" w:right="822" w:firstLine="0"/>
        <w:rPr>
          <w:color w:val="auto"/>
          <w:sz w:val="19"/>
          <w:szCs w:val="19"/>
        </w:rPr>
      </w:pPr>
      <w:r w:rsidRPr="001D1971">
        <w:rPr>
          <w:color w:val="auto"/>
        </w:rPr>
        <w:t>Las personas que deseen inscribirse en el catálogo deberán cumplir con los requisitos que establezca el reglamento respectivo. En todo caso, deberán estar inscritos en el Registro Único de Personas Acreditadas del Estado de México, en los términos de la Ley de Medios Electrónicos, los proveedores y prestadores de servicios que deseen participar en los procedimientos que deban desahogarse por conducto del COMPRAMEX.</w:t>
      </w:r>
    </w:p>
    <w:p w14:paraId="55857776" w14:textId="77777777" w:rsidR="00844832" w:rsidRPr="001D1971" w:rsidRDefault="00844832" w:rsidP="001D1971">
      <w:pPr>
        <w:pStyle w:val="Puesto"/>
        <w:ind w:left="851" w:right="822" w:firstLine="0"/>
        <w:rPr>
          <w:color w:val="auto"/>
          <w:sz w:val="19"/>
          <w:szCs w:val="19"/>
        </w:rPr>
      </w:pPr>
      <w:r w:rsidRPr="001D1971">
        <w:rPr>
          <w:b/>
          <w:color w:val="auto"/>
        </w:rPr>
        <w:t>Artículo 22</w:t>
      </w:r>
      <w:r w:rsidRPr="001D1971">
        <w:rPr>
          <w:color w:val="auto"/>
        </w:rPr>
        <w:t>.- Los comités son órganos colegiados con facultades de opinión, que tienen por objeto auxiliar a la Secretaría, entidades, tribunales administrativos y ayuntamientos, en la substanciación de los procedimientos de adquisiciones y de servicios, de conformidad con el Reglamento y los manuales de operación. En la Secretaría, en cada entidad, tribunal administrativo y ayuntamiento se constituirá un comité de adquisiciones y servicios. La Secretaría, las entidades, los tribunales administrativos y </w:t>
      </w:r>
      <w:r w:rsidRPr="001D1971">
        <w:rPr>
          <w:b/>
          <w:color w:val="auto"/>
        </w:rPr>
        <w:t>los ayuntamientos se auxiliarán de un comité de arrendamientos, adquisiciones de inmuebles y enajenaciones</w:t>
      </w:r>
      <w:r w:rsidRPr="001D1971">
        <w:rPr>
          <w:color w:val="auto"/>
        </w:rPr>
        <w:t>.”</w:t>
      </w:r>
    </w:p>
    <w:p w14:paraId="7C44BE62" w14:textId="77777777" w:rsidR="00844832" w:rsidRPr="001D1971" w:rsidRDefault="00844832" w:rsidP="001D1971">
      <w:pPr>
        <w:pStyle w:val="Puesto"/>
        <w:ind w:left="851" w:right="822" w:firstLine="0"/>
        <w:rPr>
          <w:color w:val="auto"/>
          <w:sz w:val="19"/>
          <w:szCs w:val="19"/>
        </w:rPr>
      </w:pPr>
      <w:r w:rsidRPr="001D1971">
        <w:rPr>
          <w:b/>
          <w:color w:val="auto"/>
        </w:rPr>
        <w:t>Artículo 23</w:t>
      </w:r>
      <w:r w:rsidRPr="001D1971">
        <w:rPr>
          <w:color w:val="auto"/>
        </w:rPr>
        <w:t>.- </w:t>
      </w:r>
      <w:r w:rsidRPr="001D1971">
        <w:rPr>
          <w:b/>
          <w:color w:val="auto"/>
        </w:rPr>
        <w:t>Los comités de adquisiciones y de servicios tendrán las funciones siguientes</w:t>
      </w:r>
      <w:r w:rsidRPr="001D1971">
        <w:rPr>
          <w:color w:val="auto"/>
        </w:rPr>
        <w:t>:</w:t>
      </w:r>
    </w:p>
    <w:p w14:paraId="7448B19B" w14:textId="77777777" w:rsidR="00844832" w:rsidRPr="001D1971" w:rsidRDefault="00844832" w:rsidP="001D1971">
      <w:pPr>
        <w:pStyle w:val="Puesto"/>
        <w:ind w:left="851" w:right="822" w:firstLine="0"/>
        <w:rPr>
          <w:color w:val="auto"/>
          <w:sz w:val="19"/>
          <w:szCs w:val="19"/>
        </w:rPr>
      </w:pPr>
      <w:r w:rsidRPr="001D1971">
        <w:rPr>
          <w:color w:val="auto"/>
        </w:rPr>
        <w:t>I. Dictaminar sobre la procedencia de los casos de excepción al procedimiento de licitación pública.</w:t>
      </w:r>
    </w:p>
    <w:p w14:paraId="23D278D4" w14:textId="77777777" w:rsidR="00844832" w:rsidRPr="001D1971" w:rsidRDefault="00844832" w:rsidP="001D1971">
      <w:pPr>
        <w:pStyle w:val="Puesto"/>
        <w:ind w:left="851" w:right="822" w:firstLine="0"/>
        <w:rPr>
          <w:color w:val="auto"/>
          <w:sz w:val="19"/>
          <w:szCs w:val="19"/>
        </w:rPr>
      </w:pPr>
      <w:r w:rsidRPr="001D1971">
        <w:rPr>
          <w:color w:val="auto"/>
        </w:rPr>
        <w:t>II. Participar en los procedimientos de licitación, invitación restringida y adjudicación directa, hasta dejarlos en estado de dictar el fallo correspondiente, incluidos los que tengan que desahogarse bajo la modalidad de subasta inversa.</w:t>
      </w:r>
    </w:p>
    <w:p w14:paraId="5C7217AF" w14:textId="77777777" w:rsidR="00844832" w:rsidRPr="001D1971" w:rsidRDefault="00844832" w:rsidP="001D1971">
      <w:pPr>
        <w:pStyle w:val="Puesto"/>
        <w:ind w:left="851" w:right="822" w:firstLine="0"/>
        <w:rPr>
          <w:color w:val="auto"/>
          <w:sz w:val="19"/>
          <w:szCs w:val="19"/>
        </w:rPr>
      </w:pPr>
      <w:r w:rsidRPr="001D1971">
        <w:rPr>
          <w:b/>
          <w:color w:val="auto"/>
        </w:rPr>
        <w:t>III. Emitir los dictámenes de adjudicación</w:t>
      </w:r>
      <w:r w:rsidRPr="001D1971">
        <w:rPr>
          <w:color w:val="auto"/>
        </w:rPr>
        <w:t>.</w:t>
      </w:r>
    </w:p>
    <w:p w14:paraId="20037708" w14:textId="77777777" w:rsidR="00844832" w:rsidRPr="001D1971" w:rsidRDefault="00844832" w:rsidP="001D1971">
      <w:pPr>
        <w:pStyle w:val="Puesto"/>
        <w:ind w:left="851" w:right="822" w:firstLine="0"/>
        <w:rPr>
          <w:color w:val="auto"/>
          <w:sz w:val="19"/>
          <w:szCs w:val="19"/>
        </w:rPr>
      </w:pPr>
      <w:r w:rsidRPr="001D1971">
        <w:rPr>
          <w:color w:val="auto"/>
        </w:rPr>
        <w:t>IV. Las demás que establezca el reglamento de esta Ley.”</w:t>
      </w:r>
    </w:p>
    <w:p w14:paraId="3FFA3B4F" w14:textId="77777777" w:rsidR="00844832" w:rsidRPr="001D1971" w:rsidRDefault="00844832" w:rsidP="001D1971">
      <w:pPr>
        <w:pStyle w:val="Puesto"/>
        <w:ind w:left="851" w:right="822" w:firstLine="0"/>
        <w:rPr>
          <w:color w:val="auto"/>
          <w:sz w:val="19"/>
          <w:szCs w:val="19"/>
        </w:rPr>
      </w:pPr>
      <w:r w:rsidRPr="001D1971">
        <w:rPr>
          <w:b/>
          <w:color w:val="auto"/>
        </w:rPr>
        <w:t>Artículo 24</w:t>
      </w:r>
      <w:r w:rsidRPr="001D1971">
        <w:rPr>
          <w:color w:val="auto"/>
        </w:rPr>
        <w:t>.- </w:t>
      </w:r>
      <w:r w:rsidRPr="001D1971">
        <w:rPr>
          <w:b/>
          <w:color w:val="auto"/>
        </w:rPr>
        <w:t>El comité de arrendamientos, adquisiciones de inmuebles y enajenaciones tendrá las funciones siguientes</w:t>
      </w:r>
      <w:r w:rsidRPr="001D1971">
        <w:rPr>
          <w:color w:val="auto"/>
        </w:rPr>
        <w:t>:</w:t>
      </w:r>
    </w:p>
    <w:p w14:paraId="7DC21186" w14:textId="77777777" w:rsidR="00844832" w:rsidRPr="001D1971" w:rsidRDefault="00844832" w:rsidP="001D1971">
      <w:pPr>
        <w:pStyle w:val="Puesto"/>
        <w:ind w:left="851" w:right="822" w:firstLine="0"/>
        <w:rPr>
          <w:color w:val="auto"/>
          <w:sz w:val="19"/>
          <w:szCs w:val="19"/>
        </w:rPr>
      </w:pPr>
      <w:r w:rsidRPr="001D1971">
        <w:rPr>
          <w:color w:val="auto"/>
        </w:rPr>
        <w:t>I. Dictaminar sobre la procedencia de los casos de excepción al procedimiento de licitación pública, tratándose de adquisición de inmuebles y arrendamientos.</w:t>
      </w:r>
    </w:p>
    <w:p w14:paraId="19273AFE" w14:textId="77777777" w:rsidR="00844832" w:rsidRPr="001D1971" w:rsidRDefault="00844832" w:rsidP="001D1971">
      <w:pPr>
        <w:pStyle w:val="Puesto"/>
        <w:ind w:left="851" w:right="822" w:firstLine="0"/>
        <w:rPr>
          <w:color w:val="auto"/>
          <w:sz w:val="19"/>
          <w:szCs w:val="19"/>
        </w:rPr>
      </w:pPr>
      <w:r w:rsidRPr="001D1971">
        <w:rPr>
          <w:color w:val="auto"/>
        </w:rPr>
        <w:lastRenderedPageBreak/>
        <w:t>II. Participar en los procedimientos de licitación, invitación restringida y adjudicación directa, hasta dejarlos en estado de dictar el fallo correspondiente, tratándose de adquisición de inmuebles y arrendamientos.</w:t>
      </w:r>
    </w:p>
    <w:p w14:paraId="110ED8C0" w14:textId="77777777" w:rsidR="00844832" w:rsidRPr="001D1971" w:rsidRDefault="00844832" w:rsidP="001D1971">
      <w:pPr>
        <w:pStyle w:val="Puesto"/>
        <w:ind w:left="851" w:right="822" w:firstLine="0"/>
        <w:rPr>
          <w:color w:val="auto"/>
          <w:sz w:val="19"/>
          <w:szCs w:val="19"/>
        </w:rPr>
      </w:pPr>
      <w:r w:rsidRPr="001D1971">
        <w:rPr>
          <w:b/>
          <w:color w:val="auto"/>
        </w:rPr>
        <w:t>III. Emitir los dictámenes de adjudicación, tratándose de adquisiciones de inmuebles y arrendamientos</w:t>
      </w:r>
      <w:r w:rsidRPr="001D1971">
        <w:rPr>
          <w:color w:val="auto"/>
        </w:rPr>
        <w:t>.</w:t>
      </w:r>
    </w:p>
    <w:p w14:paraId="019DF341" w14:textId="77777777" w:rsidR="00844832" w:rsidRPr="001D1971" w:rsidRDefault="00844832" w:rsidP="001D1971">
      <w:pPr>
        <w:pStyle w:val="Puesto"/>
        <w:ind w:left="851" w:right="822" w:firstLine="0"/>
        <w:rPr>
          <w:color w:val="auto"/>
          <w:sz w:val="19"/>
          <w:szCs w:val="19"/>
        </w:rPr>
      </w:pPr>
      <w:r w:rsidRPr="001D1971">
        <w:rPr>
          <w:color w:val="auto"/>
        </w:rPr>
        <w:t>IV. Participar en los procedimientos de subasta pública, hasta dejarlos en estado de dictar el fallo de adjudicación.</w:t>
      </w:r>
    </w:p>
    <w:p w14:paraId="2389AC41" w14:textId="77777777" w:rsidR="00844832" w:rsidRPr="001D1971" w:rsidRDefault="00844832" w:rsidP="001D1971">
      <w:pPr>
        <w:pStyle w:val="Puesto"/>
        <w:ind w:left="851" w:right="822" w:firstLine="0"/>
        <w:rPr>
          <w:color w:val="auto"/>
        </w:rPr>
      </w:pPr>
      <w:r w:rsidRPr="001D1971">
        <w:rPr>
          <w:color w:val="auto"/>
        </w:rPr>
        <w:t>V. Las demás que establezca el reglamento de esta Ley.”</w:t>
      </w:r>
    </w:p>
    <w:p w14:paraId="73A1F076" w14:textId="77777777" w:rsidR="00844832" w:rsidRPr="001D1971" w:rsidRDefault="00844832" w:rsidP="001D1971">
      <w:pPr>
        <w:pStyle w:val="Puesto"/>
        <w:ind w:left="851" w:right="822" w:firstLine="0"/>
        <w:rPr>
          <w:color w:val="auto"/>
        </w:rPr>
      </w:pPr>
      <w:r w:rsidRPr="001D1971">
        <w:rPr>
          <w:b/>
          <w:color w:val="auto"/>
        </w:rPr>
        <w:t>Artículo 26.- </w:t>
      </w:r>
      <w:r w:rsidRPr="001D1971">
        <w:rPr>
          <w:color w:val="auto"/>
        </w:rPr>
        <w:t>Las adquisiciones, arrendamientos y servicios se adjudicarán a través de licitaciones públicas, mediante convocatoria pública.</w:t>
      </w:r>
    </w:p>
    <w:p w14:paraId="2692C2B6" w14:textId="77777777" w:rsidR="00844832" w:rsidRPr="001D1971" w:rsidRDefault="00844832" w:rsidP="001D1971">
      <w:pPr>
        <w:pStyle w:val="Puesto"/>
        <w:ind w:left="851" w:right="822" w:firstLine="0"/>
        <w:rPr>
          <w:color w:val="auto"/>
        </w:rPr>
      </w:pPr>
      <w:r w:rsidRPr="001D1971">
        <w:rPr>
          <w:b/>
          <w:color w:val="auto"/>
        </w:rPr>
        <w:t>Artículo 27.-</w:t>
      </w:r>
      <w:r w:rsidRPr="001D1971">
        <w:rPr>
          <w:color w:val="auto"/>
        </w:rPr>
        <w:t xml:space="preserve"> La Secretaría, las entidades, los tribunales administrativos y los ayuntamientos podrán adjudicar adquisiciones, arrendamientos y servicios, mediante las excepciones al procedimiento de licitación que a continuación se señalan:</w:t>
      </w:r>
    </w:p>
    <w:p w14:paraId="67448845" w14:textId="77777777" w:rsidR="00844832" w:rsidRPr="001D1971" w:rsidRDefault="00844832" w:rsidP="001D1971">
      <w:pPr>
        <w:pStyle w:val="Puesto"/>
        <w:ind w:left="851" w:right="822" w:firstLine="0"/>
        <w:rPr>
          <w:color w:val="auto"/>
          <w:sz w:val="19"/>
          <w:szCs w:val="19"/>
        </w:rPr>
      </w:pPr>
      <w:r w:rsidRPr="001D1971">
        <w:rPr>
          <w:b/>
          <w:color w:val="auto"/>
        </w:rPr>
        <w:t>I. Invitación restringida.</w:t>
      </w:r>
    </w:p>
    <w:p w14:paraId="4B2CBC32" w14:textId="77777777" w:rsidR="00844832" w:rsidRPr="001D1971" w:rsidRDefault="00844832" w:rsidP="001D1971">
      <w:pPr>
        <w:pStyle w:val="Puesto"/>
        <w:ind w:left="851" w:right="822" w:firstLine="0"/>
        <w:rPr>
          <w:color w:val="auto"/>
          <w:sz w:val="19"/>
          <w:szCs w:val="19"/>
        </w:rPr>
      </w:pPr>
      <w:r w:rsidRPr="001D1971">
        <w:rPr>
          <w:b/>
          <w:color w:val="auto"/>
        </w:rPr>
        <w:t>II. Adjudicación directa</w:t>
      </w:r>
      <w:r w:rsidRPr="001D1971">
        <w:rPr>
          <w:color w:val="auto"/>
        </w:rPr>
        <w:t>.</w:t>
      </w:r>
    </w:p>
    <w:p w14:paraId="0E3CB10B" w14:textId="77777777" w:rsidR="00844832" w:rsidRPr="001D1971" w:rsidRDefault="00844832" w:rsidP="001D1971">
      <w:pPr>
        <w:pStyle w:val="Puesto"/>
        <w:ind w:left="851" w:right="822" w:firstLine="0"/>
        <w:rPr>
          <w:b/>
          <w:color w:val="auto"/>
          <w:sz w:val="19"/>
          <w:szCs w:val="19"/>
        </w:rPr>
      </w:pPr>
      <w:r w:rsidRPr="001D1971">
        <w:rPr>
          <w:b/>
          <w:color w:val="auto"/>
        </w:rPr>
        <w:t>Artículo 39</w:t>
      </w:r>
      <w:r w:rsidRPr="001D1971">
        <w:rPr>
          <w:color w:val="auto"/>
        </w:rPr>
        <w:t xml:space="preserve">.- </w:t>
      </w:r>
      <w:r w:rsidRPr="001D1971">
        <w:rPr>
          <w:b/>
          <w:color w:val="auto"/>
        </w:rPr>
        <w:t>Para cada uno de los actos del procedimiento adquisitivo se levantará el acta respectiva</w:t>
      </w:r>
      <w:r w:rsidRPr="001D1971">
        <w:rPr>
          <w:color w:val="auto"/>
        </w:rPr>
        <w:t>, la cual será firmada por los participantes, sin que la falta de firma de alguno de ellos invalide su contenido y efectos.</w:t>
      </w:r>
      <w:r w:rsidRPr="001D1971">
        <w:rPr>
          <w:b/>
          <w:color w:val="auto"/>
        </w:rPr>
        <w:t>”</w:t>
      </w:r>
    </w:p>
    <w:p w14:paraId="4960B588" w14:textId="77777777" w:rsidR="00844832" w:rsidRPr="001D1971" w:rsidRDefault="00844832" w:rsidP="001D1971">
      <w:pPr>
        <w:pStyle w:val="Puesto"/>
        <w:ind w:left="851" w:right="822" w:firstLine="0"/>
        <w:rPr>
          <w:color w:val="auto"/>
        </w:rPr>
      </w:pPr>
      <w:r w:rsidRPr="001D1971">
        <w:rPr>
          <w:color w:val="auto"/>
        </w:rPr>
        <w:t>(Énfasis añadido)</w:t>
      </w:r>
    </w:p>
    <w:p w14:paraId="1E2107A3" w14:textId="77777777" w:rsidR="00844832" w:rsidRPr="001D1971" w:rsidRDefault="00844832" w:rsidP="001D1971">
      <w:pPr>
        <w:ind w:left="851" w:right="899"/>
        <w:rPr>
          <w:rFonts w:cs="Arial"/>
        </w:rPr>
      </w:pPr>
    </w:p>
    <w:p w14:paraId="742EBAE6" w14:textId="77777777" w:rsidR="00A61932" w:rsidRPr="001D1971" w:rsidRDefault="00844832" w:rsidP="001D1971">
      <w:pPr>
        <w:ind w:right="113"/>
        <w:rPr>
          <w:rFonts w:cs="Arial"/>
          <w:b/>
        </w:rPr>
      </w:pPr>
      <w:r w:rsidRPr="001D1971">
        <w:rPr>
          <w:rFonts w:cs="Arial"/>
        </w:rPr>
        <w:t>De los preceptos transcritos, se advierte que </w:t>
      </w:r>
      <w:r w:rsidRPr="001D1971">
        <w:rPr>
          <w:rFonts w:cs="Arial"/>
          <w:b/>
        </w:rPr>
        <w:t>EL SUJETO OBLIGADO</w:t>
      </w:r>
      <w:r w:rsidRPr="001D1971">
        <w:rPr>
          <w:rFonts w:cs="Arial"/>
        </w:rPr>
        <w:t xml:space="preserve">, cuenta con la competencia para regular los actos relativos a la </w:t>
      </w:r>
      <w:r w:rsidRPr="001D1971">
        <w:rPr>
          <w:rFonts w:cs="Arial"/>
          <w:b/>
        </w:rPr>
        <w:t>planeación, programación, presupuestación, ejecución y control de la adquisición de servicios de cualquier naturaleza.</w:t>
      </w:r>
    </w:p>
    <w:p w14:paraId="3FC4FCB8" w14:textId="77777777" w:rsidR="00844832" w:rsidRPr="001D1971" w:rsidRDefault="00844832" w:rsidP="001D1971">
      <w:pPr>
        <w:ind w:right="113"/>
        <w:rPr>
          <w:rFonts w:cs="Arial"/>
          <w:b/>
        </w:rPr>
      </w:pPr>
    </w:p>
    <w:p w14:paraId="47EAFAFE" w14:textId="4ED29971" w:rsidR="00F10DFC" w:rsidRPr="001D1971" w:rsidRDefault="00844832" w:rsidP="001D1971">
      <w:pPr>
        <w:rPr>
          <w:rFonts w:cs="Tahoma"/>
          <w:bCs/>
        </w:rPr>
      </w:pPr>
      <w:r w:rsidRPr="001D1971">
        <w:rPr>
          <w:rFonts w:cs="Arial"/>
        </w:rPr>
        <w:t xml:space="preserve">Ahora bien </w:t>
      </w:r>
      <w:r w:rsidR="00F10DFC" w:rsidRPr="001D1971">
        <w:rPr>
          <w:rFonts w:cs="Arial"/>
        </w:rPr>
        <w:t xml:space="preserve">de lo anterior </w:t>
      </w:r>
      <w:r w:rsidR="00F10DFC" w:rsidRPr="001D1971">
        <w:rPr>
          <w:rFonts w:cs="Tahoma"/>
        </w:rPr>
        <w:t xml:space="preserve">es </w:t>
      </w:r>
      <w:r w:rsidR="00F10DFC" w:rsidRPr="001D1971">
        <w:rPr>
          <w:rFonts w:cs="Tahoma"/>
          <w:bCs/>
        </w:rPr>
        <w:t xml:space="preserve">necesario hacer referencia </w:t>
      </w:r>
      <w:r w:rsidR="00F10DFC" w:rsidRPr="001D1971">
        <w:rPr>
          <w:rFonts w:cs="Tahoma"/>
        </w:rPr>
        <w:t xml:space="preserve">al </w:t>
      </w:r>
      <w:r w:rsidR="00F10DFC" w:rsidRPr="001D1971">
        <w:rPr>
          <w:rFonts w:cs="Tahoma"/>
          <w:b/>
        </w:rPr>
        <w:t>procedimiento de búsqueda que deben de seguir los Sujetos Obligados para localizar la información</w:t>
      </w:r>
      <w:r w:rsidR="00F10DFC" w:rsidRPr="001D1971">
        <w:rPr>
          <w:rFonts w:cs="Tahoma"/>
        </w:rPr>
        <w:t>, el cual se encuentra previsto en los artículos</w:t>
      </w:r>
      <w:r w:rsidR="00F10DFC" w:rsidRPr="001D1971">
        <w:rPr>
          <w:rFonts w:cs="Tahoma"/>
          <w:bCs/>
        </w:rPr>
        <w:t xml:space="preserve"> 160 y 162 de la Ley de Transparencia local, mismo que es el siguiente:</w:t>
      </w:r>
    </w:p>
    <w:p w14:paraId="1CABCC4D" w14:textId="77777777" w:rsidR="00F10DFC" w:rsidRPr="001D1971" w:rsidRDefault="00F10DFC" w:rsidP="001D1971">
      <w:pPr>
        <w:rPr>
          <w:rFonts w:cs="Tahoma"/>
          <w:bCs/>
        </w:rPr>
      </w:pPr>
    </w:p>
    <w:p w14:paraId="05C95A47" w14:textId="77777777" w:rsidR="00F10DFC" w:rsidRPr="001D1971" w:rsidRDefault="00F10DFC" w:rsidP="001D1971">
      <w:pPr>
        <w:numPr>
          <w:ilvl w:val="0"/>
          <w:numId w:val="10"/>
        </w:numPr>
        <w:rPr>
          <w:rFonts w:cs="Tahoma"/>
          <w:bCs/>
          <w:lang w:val="es-ES"/>
        </w:rPr>
      </w:pPr>
      <w:r w:rsidRPr="001D1971">
        <w:rPr>
          <w:rFonts w:cs="Tahoma"/>
          <w:bCs/>
          <w:lang w:val="es-ES"/>
        </w:rPr>
        <w:t xml:space="preserve">Las Unidades de Transparencia garantizarán que las solicitudes de acceso a la información se turnen a todas las áreas competentes que cuenten con la información o deban tenerla de acuerdo a las facultades, competencias y funciones-, con el objeto de </w:t>
      </w:r>
      <w:r w:rsidRPr="001D1971">
        <w:rPr>
          <w:rFonts w:cs="Tahoma"/>
          <w:bCs/>
          <w:lang w:val="es-ES"/>
        </w:rPr>
        <w:lastRenderedPageBreak/>
        <w:t>que dichas áreas realicen una búsqueda exhaustiva y razonable de la información requerida, y</w:t>
      </w:r>
    </w:p>
    <w:p w14:paraId="18990108" w14:textId="77777777" w:rsidR="00F10DFC" w:rsidRPr="001D1971" w:rsidRDefault="00F10DFC" w:rsidP="001D1971">
      <w:pPr>
        <w:ind w:left="720"/>
        <w:rPr>
          <w:rFonts w:cs="Tahoma"/>
          <w:bCs/>
          <w:lang w:val="es-ES"/>
        </w:rPr>
      </w:pPr>
    </w:p>
    <w:p w14:paraId="40C93BF7" w14:textId="77777777" w:rsidR="00F10DFC" w:rsidRPr="001D1971" w:rsidRDefault="00F10DFC" w:rsidP="001D1971">
      <w:pPr>
        <w:numPr>
          <w:ilvl w:val="0"/>
          <w:numId w:val="10"/>
        </w:numPr>
        <w:spacing w:after="240"/>
        <w:rPr>
          <w:rFonts w:cs="Tahoma"/>
          <w:bCs/>
          <w:lang w:val="es-ES"/>
        </w:rPr>
      </w:pPr>
      <w:r w:rsidRPr="001D1971">
        <w:rPr>
          <w:rFonts w:cs="Tahoma"/>
          <w:bCs/>
          <w:lang w:val="es-ES"/>
        </w:rPr>
        <w:t>Los sujetos obligados otorgaran acceso a los documentos que se encuentren en sus archivos o que estén obligados a documentar de acuerdo con sus facultades, competencias o funciones, en el formato en que el solicitante manifieste, de entre aquellos formatos existentes.</w:t>
      </w:r>
    </w:p>
    <w:p w14:paraId="410E3E1B" w14:textId="44C6999A" w:rsidR="00844832" w:rsidRPr="001D1971" w:rsidRDefault="00F10DFC" w:rsidP="001D1971">
      <w:pPr>
        <w:spacing w:after="240"/>
        <w:ind w:right="-93"/>
      </w:pPr>
      <w:r w:rsidRPr="001D1971">
        <w:rPr>
          <w:noProof/>
        </w:rPr>
        <w:t xml:space="preserve">En ese contexto es de referir lo previsto por </w:t>
      </w:r>
      <w:r w:rsidR="00844832" w:rsidRPr="001D1971">
        <w:t>el Reglamento Interior de la Administración Pública Municipal de Teoloyucan, Estado de México</w:t>
      </w:r>
      <w:r w:rsidRPr="001D1971">
        <w:t>; 2025-2027 en sus artículos 8</w:t>
      </w:r>
      <w:r w:rsidR="00DC4D25" w:rsidRPr="001D1971">
        <w:t xml:space="preserve">7, 99, 101, 147 y </w:t>
      </w:r>
      <w:r w:rsidR="00844832" w:rsidRPr="001D1971">
        <w:t>148 que señalan lo siguiente:</w:t>
      </w:r>
    </w:p>
    <w:p w14:paraId="5A7159D0" w14:textId="77777777" w:rsidR="00844832" w:rsidRPr="001D1971" w:rsidRDefault="00844832" w:rsidP="001D1971">
      <w:pPr>
        <w:ind w:right="113"/>
      </w:pPr>
    </w:p>
    <w:p w14:paraId="41FDD28C" w14:textId="30794162" w:rsidR="00F10DFC" w:rsidRPr="001D1971" w:rsidRDefault="00F10DFC" w:rsidP="001D1971">
      <w:pPr>
        <w:spacing w:line="240" w:lineRule="auto"/>
        <w:ind w:left="851" w:right="822"/>
        <w:rPr>
          <w:i/>
        </w:rPr>
      </w:pPr>
      <w:r w:rsidRPr="001D1971">
        <w:rPr>
          <w:b/>
          <w:i/>
        </w:rPr>
        <w:t xml:space="preserve">ARTÍCULO 87. </w:t>
      </w:r>
      <w:r w:rsidRPr="001D1971">
        <w:rPr>
          <w:i/>
        </w:rPr>
        <w:t>La Dirección de Obras Públicas tendrá un titular que se denominará Director de Obras Públicas, quien contará con las atribuciones señaladas en el artículo 96 bis de la Ley Orgánica, además de lo dispuesto en el Libro Décimo Segundo del Código Administrativo del Estado de México, así como lo establecido en su reglamento y las siguientes:</w:t>
      </w:r>
    </w:p>
    <w:p w14:paraId="15D2CD6E" w14:textId="0B6FB543" w:rsidR="00DC4D25" w:rsidRPr="001D1971" w:rsidRDefault="00DC4D25" w:rsidP="001D1971">
      <w:pPr>
        <w:spacing w:line="240" w:lineRule="auto"/>
        <w:ind w:left="851" w:right="822"/>
        <w:rPr>
          <w:i/>
        </w:rPr>
      </w:pPr>
      <w:r w:rsidRPr="001D1971">
        <w:rPr>
          <w:b/>
          <w:i/>
        </w:rPr>
        <w:t>(…</w:t>
      </w:r>
      <w:r w:rsidRPr="001D1971">
        <w:rPr>
          <w:i/>
        </w:rPr>
        <w:t>)</w:t>
      </w:r>
    </w:p>
    <w:p w14:paraId="5BBB0566" w14:textId="77777777" w:rsidR="00DC4D25" w:rsidRPr="001D1971" w:rsidRDefault="00DC4D25" w:rsidP="001D1971">
      <w:pPr>
        <w:spacing w:line="240" w:lineRule="auto"/>
        <w:ind w:left="851" w:right="822"/>
        <w:rPr>
          <w:i/>
        </w:rPr>
      </w:pPr>
      <w:r w:rsidRPr="001D1971">
        <w:rPr>
          <w:i/>
        </w:rPr>
        <w:t xml:space="preserve">V. Formular las bases y expedir la convocatoria para la contratación de obras públicas Municipales, en los medios de difusión que la Ley establezca; </w:t>
      </w:r>
    </w:p>
    <w:p w14:paraId="578989AE" w14:textId="77BDCA46" w:rsidR="00DC4D25" w:rsidRPr="001D1971" w:rsidRDefault="00DC4D25" w:rsidP="001D1971">
      <w:pPr>
        <w:spacing w:line="240" w:lineRule="auto"/>
        <w:ind w:left="851" w:right="822"/>
        <w:rPr>
          <w:b/>
          <w:i/>
        </w:rPr>
      </w:pPr>
      <w:r w:rsidRPr="001D1971">
        <w:rPr>
          <w:b/>
          <w:i/>
        </w:rPr>
        <w:t>VI. Suscribir los contratos de obra pública, vigilar su cumplimiento e iniciar, sustanciar y resolver los procedimientos que se inicien para la terminación, rescisión o suspensión de dichos contratos, bajo las directrices que establezca la Dirección Jurídica;</w:t>
      </w:r>
    </w:p>
    <w:p w14:paraId="1282D2CF" w14:textId="77777777" w:rsidR="00DC4D25" w:rsidRPr="001D1971" w:rsidRDefault="00DC4D25" w:rsidP="001D1971">
      <w:pPr>
        <w:spacing w:line="240" w:lineRule="auto"/>
        <w:ind w:left="851" w:right="822"/>
        <w:rPr>
          <w:b/>
          <w:i/>
        </w:rPr>
      </w:pPr>
    </w:p>
    <w:p w14:paraId="6421A09E" w14:textId="77777777" w:rsidR="00DC4D25" w:rsidRPr="001D1971" w:rsidRDefault="00DC4D25" w:rsidP="001D1971">
      <w:pPr>
        <w:spacing w:line="240" w:lineRule="auto"/>
        <w:ind w:left="851" w:right="822"/>
        <w:rPr>
          <w:i/>
        </w:rPr>
      </w:pPr>
      <w:r w:rsidRPr="001D1971">
        <w:rPr>
          <w:b/>
          <w:i/>
        </w:rPr>
        <w:t xml:space="preserve">ARTÍCULO 99. </w:t>
      </w:r>
      <w:r w:rsidRPr="001D1971">
        <w:rPr>
          <w:i/>
        </w:rPr>
        <w:t xml:space="preserve">La Dirección Jurídica es la Dependencia de la Administración Pública, la cual tiene a su cargo la atención de los litigios, la defensa jurídica del Ayuntamiento, de la Administración Pública, de los Servidores Públicos y a las Autoridades Auxiliares. </w:t>
      </w:r>
    </w:p>
    <w:p w14:paraId="5CADF069" w14:textId="1490B071" w:rsidR="00DC4D25" w:rsidRPr="001D1971" w:rsidRDefault="00DC4D25" w:rsidP="001D1971">
      <w:pPr>
        <w:spacing w:line="240" w:lineRule="auto"/>
        <w:ind w:left="851" w:right="822"/>
        <w:rPr>
          <w:i/>
        </w:rPr>
      </w:pPr>
      <w:r w:rsidRPr="001D1971">
        <w:rPr>
          <w:i/>
        </w:rPr>
        <w:t xml:space="preserve">Así como los asuntos determinados en los reglamentos y demás disposiciones jurídicas aplicables. </w:t>
      </w:r>
    </w:p>
    <w:p w14:paraId="359DD8D1" w14:textId="77777777" w:rsidR="00DC4D25" w:rsidRPr="001D1971" w:rsidRDefault="00DC4D25" w:rsidP="001D1971">
      <w:pPr>
        <w:spacing w:line="240" w:lineRule="auto"/>
        <w:ind w:left="851" w:right="822"/>
        <w:rPr>
          <w:i/>
        </w:rPr>
      </w:pPr>
      <w:r w:rsidRPr="001D1971">
        <w:rPr>
          <w:i/>
        </w:rPr>
        <w:lastRenderedPageBreak/>
        <w:t xml:space="preserve">Esta Dirección es una dependencia Jurídico- Consultiva que actuará como un ente de análisis y propuesta para la adecuada defensa jurídica. </w:t>
      </w:r>
    </w:p>
    <w:p w14:paraId="36CE082C" w14:textId="039389FE" w:rsidR="00F10DFC" w:rsidRPr="001D1971" w:rsidRDefault="00DC4D25" w:rsidP="001D1971">
      <w:pPr>
        <w:spacing w:line="240" w:lineRule="auto"/>
        <w:ind w:left="851" w:right="822"/>
        <w:rPr>
          <w:i/>
        </w:rPr>
      </w:pPr>
      <w:r w:rsidRPr="001D1971">
        <w:rPr>
          <w:i/>
        </w:rPr>
        <w:t>Su Titular deberá contar con Título y Cédula profesional que lo acredite como Licenciado en Derecho, no estar inhabilitado para desempeñar el cargo, y no haber sido condenado por la comisión de delito doloso.</w:t>
      </w:r>
    </w:p>
    <w:p w14:paraId="743D0625" w14:textId="77777777" w:rsidR="00DC4D25" w:rsidRPr="001D1971" w:rsidRDefault="00DC4D25" w:rsidP="001D1971">
      <w:pPr>
        <w:spacing w:line="240" w:lineRule="auto"/>
        <w:ind w:left="851" w:right="822"/>
        <w:rPr>
          <w:i/>
        </w:rPr>
      </w:pPr>
    </w:p>
    <w:p w14:paraId="4E21945D" w14:textId="4B509F70" w:rsidR="00DC4D25" w:rsidRPr="001D1971" w:rsidRDefault="00DC4D25" w:rsidP="001D1971">
      <w:pPr>
        <w:spacing w:line="240" w:lineRule="auto"/>
        <w:ind w:left="851" w:right="822"/>
        <w:rPr>
          <w:i/>
        </w:rPr>
      </w:pPr>
      <w:r w:rsidRPr="001D1971">
        <w:rPr>
          <w:b/>
          <w:i/>
        </w:rPr>
        <w:t>ARTÍCULO 101.</w:t>
      </w:r>
      <w:r w:rsidRPr="001D1971">
        <w:rPr>
          <w:i/>
        </w:rPr>
        <w:t xml:space="preserve"> El titular de la Dirección Jurídica tendrá las siguientes funciones:</w:t>
      </w:r>
    </w:p>
    <w:p w14:paraId="79458B60" w14:textId="222FCCCC" w:rsidR="00DC4D25" w:rsidRPr="001D1971" w:rsidRDefault="00DC4D25" w:rsidP="001D1971">
      <w:pPr>
        <w:spacing w:line="240" w:lineRule="auto"/>
        <w:ind w:left="851" w:right="822"/>
        <w:rPr>
          <w:i/>
        </w:rPr>
      </w:pPr>
      <w:r w:rsidRPr="001D1971">
        <w:rPr>
          <w:i/>
        </w:rPr>
        <w:t>(…)</w:t>
      </w:r>
    </w:p>
    <w:p w14:paraId="1ED082EE" w14:textId="7A650F7D" w:rsidR="00DC4D25" w:rsidRPr="001D1971" w:rsidRDefault="00DC4D25" w:rsidP="001D1971">
      <w:pPr>
        <w:spacing w:line="240" w:lineRule="auto"/>
        <w:ind w:left="851" w:right="822"/>
        <w:rPr>
          <w:i/>
        </w:rPr>
      </w:pPr>
      <w:r w:rsidRPr="001D1971">
        <w:rPr>
          <w:i/>
        </w:rPr>
        <w:t>VII. Revisar, formular y emitir opiniones jurídicas respecto de los convenios, concesiones, permisos, acuerdos, contratos y demás actos jurídicos que deba suscribir el Ayuntamiento, dependencias y entidades de la Administración Pública Municipal.</w:t>
      </w:r>
    </w:p>
    <w:p w14:paraId="121027CC" w14:textId="1893FB49" w:rsidR="00DC4D25" w:rsidRPr="001D1971" w:rsidRDefault="00DC4D25" w:rsidP="001D1971">
      <w:pPr>
        <w:spacing w:line="240" w:lineRule="auto"/>
        <w:ind w:left="851" w:right="822"/>
        <w:rPr>
          <w:i/>
        </w:rPr>
      </w:pPr>
      <w:r w:rsidRPr="001D1971">
        <w:rPr>
          <w:i/>
        </w:rPr>
        <w:t>(…)</w:t>
      </w:r>
    </w:p>
    <w:p w14:paraId="498F6FC1" w14:textId="77777777" w:rsidR="00844832" w:rsidRPr="001D1971" w:rsidRDefault="00844832" w:rsidP="001D1971">
      <w:pPr>
        <w:spacing w:line="240" w:lineRule="auto"/>
        <w:ind w:left="851" w:right="822"/>
        <w:rPr>
          <w:i/>
        </w:rPr>
      </w:pPr>
      <w:r w:rsidRPr="001D1971">
        <w:rPr>
          <w:b/>
          <w:i/>
        </w:rPr>
        <w:t>ARTÍCULO 147</w:t>
      </w:r>
      <w:r w:rsidRPr="001D1971">
        <w:rPr>
          <w:i/>
        </w:rPr>
        <w:t xml:space="preserve">. La Dirección de Administración será la encargada de proporcionar soporte material, técnico, humano, administrativo, así como organizacional, que permita a los servidores públicos de la Administración Municipal Centralizada, atender las demandas y necesidades de la ciudadanía optimizando las funciones de la misma.  Así mismo, se encargara de vigilar la normatividad de las relaciones entre el Municipio y sus servidores públicos, la selección, contratación y capacitación del personal que requieran las Dependencias de la administración municipal, </w:t>
      </w:r>
      <w:r w:rsidRPr="001D1971">
        <w:rPr>
          <w:b/>
          <w:i/>
        </w:rPr>
        <w:t>así como de la adecuada planeación, programación y adquisición de los bienes muebles e inmuebles y servicios</w:t>
      </w:r>
      <w:r w:rsidRPr="001D1971">
        <w:rPr>
          <w:i/>
        </w:rPr>
        <w:t xml:space="preserve"> que requiera el Ayuntamiento y las Dependencias, debiendo vigilar el cumplimiento de las disposiciones que en materia de adquisiciones, enajenaciones, arrendamientos y contratación de servicios, resulten aplicables.</w:t>
      </w:r>
    </w:p>
    <w:p w14:paraId="1EBF2E3C" w14:textId="77777777" w:rsidR="00844832" w:rsidRPr="001D1971" w:rsidRDefault="00844832" w:rsidP="001D1971">
      <w:pPr>
        <w:spacing w:line="240" w:lineRule="auto"/>
        <w:ind w:left="851" w:right="822"/>
        <w:rPr>
          <w:i/>
        </w:rPr>
      </w:pPr>
    </w:p>
    <w:p w14:paraId="275D7596" w14:textId="77777777" w:rsidR="00844832" w:rsidRPr="001D1971" w:rsidRDefault="00844832" w:rsidP="001D1971">
      <w:pPr>
        <w:spacing w:line="240" w:lineRule="auto"/>
        <w:ind w:left="851" w:right="822"/>
        <w:rPr>
          <w:i/>
        </w:rPr>
      </w:pPr>
      <w:r w:rsidRPr="001D1971">
        <w:rPr>
          <w:b/>
          <w:i/>
        </w:rPr>
        <w:t>ARTÍCULO 148.</w:t>
      </w:r>
      <w:r w:rsidRPr="001D1971">
        <w:rPr>
          <w:i/>
        </w:rPr>
        <w:t xml:space="preserve"> La Dirección de Administración estará a cargo de un Director a quien se le denominara Director de Administración, le corresponderá el ejercicio de las siguientes atribuciones:</w:t>
      </w:r>
    </w:p>
    <w:p w14:paraId="4774C166" w14:textId="77777777" w:rsidR="00844832" w:rsidRPr="001D1971" w:rsidRDefault="00844832" w:rsidP="001D1971">
      <w:pPr>
        <w:spacing w:line="240" w:lineRule="auto"/>
        <w:ind w:left="851" w:right="822"/>
        <w:rPr>
          <w:i/>
        </w:rPr>
      </w:pPr>
      <w:r w:rsidRPr="001D1971">
        <w:rPr>
          <w:b/>
          <w:i/>
        </w:rPr>
        <w:t>(…</w:t>
      </w:r>
      <w:r w:rsidRPr="001D1971">
        <w:rPr>
          <w:i/>
        </w:rPr>
        <w:t>.)</w:t>
      </w:r>
    </w:p>
    <w:p w14:paraId="652C51F3" w14:textId="77777777" w:rsidR="00844832" w:rsidRPr="001D1971" w:rsidRDefault="00844832" w:rsidP="001D1971">
      <w:pPr>
        <w:spacing w:line="240" w:lineRule="auto"/>
        <w:ind w:left="851" w:right="822"/>
        <w:rPr>
          <w:i/>
        </w:rPr>
      </w:pPr>
      <w:r w:rsidRPr="001D1971">
        <w:rPr>
          <w:b/>
          <w:i/>
        </w:rPr>
        <w:t>XVIII</w:t>
      </w:r>
      <w:r w:rsidRPr="001D1971">
        <w:rPr>
          <w:i/>
        </w:rPr>
        <w:t xml:space="preserve">. </w:t>
      </w:r>
      <w:r w:rsidRPr="001D1971">
        <w:rPr>
          <w:b/>
          <w:i/>
        </w:rPr>
        <w:t>Suscribir Contratos y/o Convenios para el cumplimiento de las funciones y servicios públicos a cargo de la administración pública municipal</w:t>
      </w:r>
      <w:r w:rsidRPr="001D1971">
        <w:rPr>
          <w:i/>
        </w:rPr>
        <w:t>;</w:t>
      </w:r>
    </w:p>
    <w:p w14:paraId="7050C6B1" w14:textId="77777777" w:rsidR="00662479" w:rsidRPr="001D1971" w:rsidRDefault="00662479" w:rsidP="001D1971">
      <w:pPr>
        <w:spacing w:line="240" w:lineRule="auto"/>
        <w:ind w:left="851" w:right="822"/>
        <w:rPr>
          <w:i/>
        </w:rPr>
      </w:pPr>
      <w:r w:rsidRPr="001D1971">
        <w:rPr>
          <w:b/>
          <w:i/>
        </w:rPr>
        <w:t>(</w:t>
      </w:r>
      <w:r w:rsidRPr="001D1971">
        <w:rPr>
          <w:i/>
        </w:rPr>
        <w:t>…)</w:t>
      </w:r>
    </w:p>
    <w:p w14:paraId="65E37853" w14:textId="77777777" w:rsidR="00662479" w:rsidRPr="001D1971" w:rsidRDefault="00662479" w:rsidP="001D1971">
      <w:pPr>
        <w:ind w:right="113"/>
      </w:pPr>
    </w:p>
    <w:p w14:paraId="2ADD9AA7" w14:textId="633F79E2" w:rsidR="00DC4D25" w:rsidRPr="001D1971" w:rsidRDefault="00DC4D25" w:rsidP="001D1971">
      <w:pPr>
        <w:spacing w:after="240"/>
      </w:pPr>
      <w:r w:rsidRPr="001D1971">
        <w:t xml:space="preserve">Así, este Órgano Garante considera que </w:t>
      </w:r>
      <w:r w:rsidRPr="001D1971">
        <w:rPr>
          <w:b/>
        </w:rPr>
        <w:t>EL SUJETO OBLIGADO</w:t>
      </w:r>
      <w:r w:rsidRPr="001D1971">
        <w:t xml:space="preserve"> no cumplió con el procedimiento de búsqueda exhaustiva y razonable, pues no gestionó la solicitud de </w:t>
      </w:r>
      <w:r w:rsidRPr="001D1971">
        <w:lastRenderedPageBreak/>
        <w:t>información en las diversas unidades en donde pudiera obrar la citada información, las cuales de manera enunciativa más no limitativa pueden ser: La Dirección Jurídica y la Dirección de Obras Publicas o cualquier área donde de acuerdo a sus facultades se cuente con la información solicitada.</w:t>
      </w:r>
    </w:p>
    <w:p w14:paraId="2BBA1B53" w14:textId="77777777" w:rsidR="00844832" w:rsidRPr="001D1971" w:rsidRDefault="00844832" w:rsidP="001D1971">
      <w:pPr>
        <w:ind w:right="113"/>
      </w:pPr>
    </w:p>
    <w:p w14:paraId="1DB7183F" w14:textId="1ED378E1" w:rsidR="00D95433" w:rsidRPr="001D1971" w:rsidRDefault="00DE7A20" w:rsidP="001D1971">
      <w:pPr>
        <w:ind w:right="113"/>
      </w:pPr>
      <w:r w:rsidRPr="001D1971">
        <w:t>Por lo anterior, toda vez que la respuesta y en</w:t>
      </w:r>
      <w:r w:rsidR="00D95433" w:rsidRPr="001D1971">
        <w:t xml:space="preserve"> informe justificado no colma </w:t>
      </w:r>
      <w:r w:rsidRPr="001D1971">
        <w:t xml:space="preserve">con lo solicitado por </w:t>
      </w:r>
      <w:r w:rsidRPr="001D1971">
        <w:rPr>
          <w:b/>
        </w:rPr>
        <w:t>LA PARTE RECURRENTE</w:t>
      </w:r>
      <w:r w:rsidRPr="001D1971">
        <w:t>, este Organismo Garante determina ordenar la</w:t>
      </w:r>
      <w:r w:rsidR="00D95433" w:rsidRPr="001D1971">
        <w:t xml:space="preserve"> entrega de</w:t>
      </w:r>
      <w:r w:rsidR="00662479" w:rsidRPr="001D1971">
        <w:t xml:space="preserve"> los contratos remitidos en re</w:t>
      </w:r>
      <w:r w:rsidR="00DC4D25" w:rsidRPr="001D1971">
        <w:t xml:space="preserve">spuesta de manera legible, así como los convenios, contratos y licitaciones públicas para la contratación de obras, que ha realizado el gobierno municipal, del 1 de enero al 30 de abril de 2025, </w:t>
      </w:r>
      <w:r w:rsidR="00662479" w:rsidRPr="001D1971">
        <w:t>de ser procedente en versión pública</w:t>
      </w:r>
      <w:r w:rsidR="008E7A07" w:rsidRPr="001D1971">
        <w:t xml:space="preserve"> </w:t>
      </w:r>
      <w:r w:rsidR="00D95433" w:rsidRPr="001D1971">
        <w:t xml:space="preserve">debiendo </w:t>
      </w:r>
      <w:r w:rsidR="00D95433" w:rsidRPr="001D1971">
        <w:rPr>
          <w:b/>
        </w:rPr>
        <w:t>EL SUJETO OBLIGADO</w:t>
      </w:r>
      <w:r w:rsidR="00D95433" w:rsidRPr="001D1971">
        <w:t xml:space="preserve"> entregar el acuerdo que sustente la versión pública de los dichos documentos.</w:t>
      </w:r>
    </w:p>
    <w:p w14:paraId="1429DB3E" w14:textId="77777777" w:rsidR="005B4188" w:rsidRPr="001D1971" w:rsidRDefault="005B4188" w:rsidP="001D1971"/>
    <w:p w14:paraId="24CC8F66" w14:textId="77777777" w:rsidR="005B4188" w:rsidRPr="001D1971" w:rsidRDefault="00E97926" w:rsidP="001D1971">
      <w:pPr>
        <w:keepNext/>
        <w:keepLines/>
        <w:spacing w:line="480" w:lineRule="auto"/>
        <w:jc w:val="left"/>
        <w:rPr>
          <w:b/>
        </w:rPr>
      </w:pPr>
      <w:bookmarkStart w:id="29" w:name="_heading=h.nbf6tnmthfz4" w:colFirst="0" w:colLast="0"/>
      <w:bookmarkEnd w:id="29"/>
      <w:r w:rsidRPr="001D1971">
        <w:rPr>
          <w:b/>
        </w:rPr>
        <w:t>d) Versión pública</w:t>
      </w:r>
    </w:p>
    <w:p w14:paraId="56A60688" w14:textId="77777777" w:rsidR="005B4188" w:rsidRPr="001D1971" w:rsidRDefault="00E97926" w:rsidP="001D1971">
      <w:r w:rsidRPr="001D1971">
        <w:t xml:space="preserve">Para el caso de que el o los documentos de los cuales se ordena su entrega contengan datos personales susceptibles de ser testados, deberán ser entregados en </w:t>
      </w:r>
      <w:r w:rsidRPr="001D1971">
        <w:rPr>
          <w:b/>
        </w:rPr>
        <w:t>versión pública</w:t>
      </w:r>
      <w:r w:rsidRPr="001D1971">
        <w:t>, pues el derecho de acceso a la información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3A557E60" w14:textId="77777777" w:rsidR="005B4188" w:rsidRPr="001D1971" w:rsidRDefault="00E97926" w:rsidP="001D1971">
      <w:r w:rsidRPr="001D1971">
        <w:lastRenderedPageBreak/>
        <w:t>A este respecto, los artículos 3, fracciones IX, XX, XXI y XLV; 51 y 52 de la Ley de Transparencia y Acceso a la Información Pública del Estado de México y Municipios establecen:</w:t>
      </w:r>
    </w:p>
    <w:p w14:paraId="7CDE0316" w14:textId="77777777" w:rsidR="005B4188" w:rsidRPr="001D1971" w:rsidRDefault="005B4188" w:rsidP="001D1971"/>
    <w:p w14:paraId="6C295781" w14:textId="77777777" w:rsidR="005B4188" w:rsidRPr="001D1971" w:rsidRDefault="00E97926" w:rsidP="001D1971">
      <w:pPr>
        <w:spacing w:line="240" w:lineRule="auto"/>
        <w:ind w:left="567" w:right="567"/>
        <w:rPr>
          <w:i/>
        </w:rPr>
      </w:pPr>
      <w:r w:rsidRPr="001D1971">
        <w:rPr>
          <w:b/>
          <w:i/>
        </w:rPr>
        <w:t xml:space="preserve">“Artículo 3. </w:t>
      </w:r>
      <w:r w:rsidRPr="001D1971">
        <w:rPr>
          <w:i/>
        </w:rPr>
        <w:t xml:space="preserve">Para los efectos de la presente Ley se entenderá por: </w:t>
      </w:r>
    </w:p>
    <w:p w14:paraId="090EDB17" w14:textId="77777777" w:rsidR="005B4188" w:rsidRPr="001D1971" w:rsidRDefault="00E97926" w:rsidP="001D1971">
      <w:pPr>
        <w:spacing w:line="240" w:lineRule="auto"/>
        <w:ind w:left="567" w:right="567"/>
        <w:rPr>
          <w:i/>
        </w:rPr>
      </w:pPr>
      <w:r w:rsidRPr="001D1971">
        <w:rPr>
          <w:b/>
          <w:i/>
        </w:rPr>
        <w:t>IX.</w:t>
      </w:r>
      <w:r w:rsidRPr="001D1971">
        <w:rPr>
          <w:i/>
        </w:rPr>
        <w:t xml:space="preserve"> </w:t>
      </w:r>
      <w:r w:rsidRPr="001D1971">
        <w:rPr>
          <w:b/>
          <w:i/>
        </w:rPr>
        <w:t xml:space="preserve">Datos personales: </w:t>
      </w:r>
      <w:r w:rsidRPr="001D1971">
        <w:rPr>
          <w:i/>
        </w:rPr>
        <w:t xml:space="preserve">La información concerniente a una persona, identificada o identificable según lo dispuesto por la Ley de Protección de Datos Personales del Estado de México; </w:t>
      </w:r>
    </w:p>
    <w:p w14:paraId="19F7B223" w14:textId="77777777" w:rsidR="005B4188" w:rsidRPr="001D1971" w:rsidRDefault="005B4188" w:rsidP="001D1971"/>
    <w:p w14:paraId="4E79A5B5" w14:textId="77777777" w:rsidR="005B4188" w:rsidRPr="001D1971" w:rsidRDefault="00E97926" w:rsidP="001D1971">
      <w:pPr>
        <w:spacing w:line="240" w:lineRule="auto"/>
        <w:ind w:left="567" w:right="567"/>
        <w:rPr>
          <w:i/>
        </w:rPr>
      </w:pPr>
      <w:r w:rsidRPr="001D1971">
        <w:rPr>
          <w:b/>
          <w:i/>
        </w:rPr>
        <w:t>XX.</w:t>
      </w:r>
      <w:r w:rsidRPr="001D1971">
        <w:rPr>
          <w:i/>
        </w:rPr>
        <w:t xml:space="preserve"> </w:t>
      </w:r>
      <w:r w:rsidRPr="001D1971">
        <w:rPr>
          <w:b/>
          <w:i/>
        </w:rPr>
        <w:t>Información clasificada:</w:t>
      </w:r>
      <w:r w:rsidRPr="001D1971">
        <w:rPr>
          <w:i/>
        </w:rPr>
        <w:t xml:space="preserve"> Aquella considerada por la presente Ley como reservada o confidencial; </w:t>
      </w:r>
    </w:p>
    <w:p w14:paraId="2BD6E50D" w14:textId="77777777" w:rsidR="005B4188" w:rsidRPr="001D1971" w:rsidRDefault="005B4188" w:rsidP="001D1971"/>
    <w:p w14:paraId="6E1DE475" w14:textId="77777777" w:rsidR="005B4188" w:rsidRPr="001D1971" w:rsidRDefault="00E97926" w:rsidP="001D1971">
      <w:pPr>
        <w:spacing w:line="240" w:lineRule="auto"/>
        <w:ind w:left="567" w:right="567"/>
        <w:rPr>
          <w:i/>
        </w:rPr>
      </w:pPr>
      <w:r w:rsidRPr="001D1971">
        <w:rPr>
          <w:b/>
          <w:i/>
        </w:rPr>
        <w:t>XXI.</w:t>
      </w:r>
      <w:r w:rsidRPr="001D1971">
        <w:rPr>
          <w:i/>
        </w:rPr>
        <w:t xml:space="preserve"> </w:t>
      </w:r>
      <w:r w:rsidRPr="001D1971">
        <w:rPr>
          <w:b/>
          <w:i/>
        </w:rPr>
        <w:t>Información confidencial</w:t>
      </w:r>
      <w:r w:rsidRPr="001D1971">
        <w:rPr>
          <w:i/>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0BD25A50" w14:textId="77777777" w:rsidR="005B4188" w:rsidRPr="001D1971" w:rsidRDefault="005B4188" w:rsidP="001D1971"/>
    <w:p w14:paraId="1FDF61A4" w14:textId="77777777" w:rsidR="005B4188" w:rsidRPr="001D1971" w:rsidRDefault="00E97926" w:rsidP="001D1971">
      <w:pPr>
        <w:spacing w:line="240" w:lineRule="auto"/>
        <w:ind w:left="567" w:right="567"/>
        <w:rPr>
          <w:i/>
        </w:rPr>
      </w:pPr>
      <w:r w:rsidRPr="001D1971">
        <w:rPr>
          <w:b/>
          <w:i/>
        </w:rPr>
        <w:t>XLV. Versión pública:</w:t>
      </w:r>
      <w:r w:rsidRPr="001D1971">
        <w:rPr>
          <w:i/>
        </w:rPr>
        <w:t xml:space="preserve"> Documento en el que se elimine, suprime o borra la información clasificada como reservada o confidencial para permitir su acceso. </w:t>
      </w:r>
    </w:p>
    <w:p w14:paraId="57B19B5B" w14:textId="77777777" w:rsidR="005B4188" w:rsidRPr="001D1971" w:rsidRDefault="005B4188" w:rsidP="001D1971"/>
    <w:p w14:paraId="53A1D689" w14:textId="77777777" w:rsidR="005B4188" w:rsidRPr="001D1971" w:rsidRDefault="00E97926" w:rsidP="001D1971">
      <w:pPr>
        <w:spacing w:line="240" w:lineRule="auto"/>
        <w:ind w:left="567" w:right="567"/>
        <w:rPr>
          <w:i/>
        </w:rPr>
      </w:pPr>
      <w:r w:rsidRPr="001D1971">
        <w:rPr>
          <w:b/>
          <w:i/>
        </w:rPr>
        <w:t>Artículo 51.</w:t>
      </w:r>
      <w:r w:rsidRPr="001D1971">
        <w:rPr>
          <w:i/>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1D1971">
        <w:rPr>
          <w:b/>
          <w:i/>
        </w:rPr>
        <w:t xml:space="preserve">y tendrá la responsabilidad de verificar en cada caso que la misma no sea confidencial o reservada. </w:t>
      </w:r>
      <w:r w:rsidRPr="001D1971">
        <w:rPr>
          <w:i/>
        </w:rPr>
        <w:t>Dicha Unidad contará con las facultades internas necesarias para gestionar la atención a las solicitudes de información en los términos de la Ley General y la presente Ley.</w:t>
      </w:r>
    </w:p>
    <w:p w14:paraId="02B035DE" w14:textId="77777777" w:rsidR="005B4188" w:rsidRPr="001D1971" w:rsidRDefault="005B4188" w:rsidP="001D1971"/>
    <w:p w14:paraId="3D0F2EEF" w14:textId="77777777" w:rsidR="005B4188" w:rsidRPr="001D1971" w:rsidRDefault="00E97926" w:rsidP="001D1971">
      <w:pPr>
        <w:spacing w:line="240" w:lineRule="auto"/>
        <w:ind w:left="567" w:right="567"/>
        <w:rPr>
          <w:i/>
        </w:rPr>
      </w:pPr>
      <w:r w:rsidRPr="001D1971">
        <w:rPr>
          <w:b/>
          <w:i/>
        </w:rPr>
        <w:t>Artículo 52.</w:t>
      </w:r>
      <w:r w:rsidRPr="001D1971">
        <w:rPr>
          <w:i/>
        </w:rPr>
        <w:t xml:space="preserve"> Las solicitudes de acceso a la información y las respuestas que se les dé, incluyendo, en su caso, </w:t>
      </w:r>
      <w:r w:rsidRPr="001D1971">
        <w:rPr>
          <w:i/>
          <w:u w:val="single"/>
        </w:rPr>
        <w:t>la información entregada, así como las resoluciones a los recursos que en su caso se promuevan serán públicas, y de ser el caso que contenga datos personales que deban ser protegidos se podrá dar su acceso en su versión pública</w:t>
      </w:r>
      <w:r w:rsidRPr="001D1971">
        <w:rPr>
          <w:i/>
        </w:rPr>
        <w:t xml:space="preserve">, siempre y cuando la resolución de referencia se someta a un proceso de disociación, es decir, no haga identificable al titular de tales datos personales.” </w:t>
      </w:r>
      <w:r w:rsidRPr="001D1971">
        <w:t>(Énfasis añadido)</w:t>
      </w:r>
    </w:p>
    <w:p w14:paraId="0A8863E4" w14:textId="77777777" w:rsidR="005B4188" w:rsidRPr="001D1971" w:rsidRDefault="005B4188" w:rsidP="001D1971"/>
    <w:p w14:paraId="2D6CDCE0" w14:textId="77777777" w:rsidR="005B4188" w:rsidRPr="001D1971" w:rsidRDefault="00E97926" w:rsidP="001D1971">
      <w:r w:rsidRPr="001D1971">
        <w:lastRenderedPageBreak/>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se efectúe deberá estar justificado en la Ley, lo anterior en términos de lo dispuesto por el artículo 22, párrafo primero, relacionado con el 38 de la Ley de Protección de Datos Personales en Posesión de Sujetos Obligados del Estado de México y Municipios, los cuales se transcriben para mayor referencia: </w:t>
      </w:r>
    </w:p>
    <w:p w14:paraId="446235F2" w14:textId="77777777" w:rsidR="005B4188" w:rsidRPr="001D1971" w:rsidRDefault="005B4188" w:rsidP="001D1971"/>
    <w:p w14:paraId="06BC6414" w14:textId="77777777" w:rsidR="005B4188" w:rsidRPr="001D1971" w:rsidRDefault="00E97926" w:rsidP="001D1971">
      <w:pPr>
        <w:spacing w:line="240" w:lineRule="auto"/>
        <w:ind w:left="567" w:right="567"/>
        <w:rPr>
          <w:i/>
        </w:rPr>
      </w:pPr>
      <w:r w:rsidRPr="001D1971">
        <w:rPr>
          <w:b/>
          <w:i/>
        </w:rPr>
        <w:t>“Artículo 22.</w:t>
      </w:r>
      <w:r w:rsidRPr="001D1971">
        <w:rPr>
          <w:i/>
        </w:rPr>
        <w:t xml:space="preserve"> Todo tratamiento de datos personales que efectúe el responsable deberá estar justificado por finalidades concretas, lícitas, explícitas y legítimas, relacionadas con las atribuciones que la normatividad aplicable les confiera. </w:t>
      </w:r>
    </w:p>
    <w:p w14:paraId="0457FA9B" w14:textId="77777777" w:rsidR="005B4188" w:rsidRPr="001D1971" w:rsidRDefault="005B4188" w:rsidP="001D1971"/>
    <w:p w14:paraId="3E35CDA6" w14:textId="77777777" w:rsidR="005B4188" w:rsidRPr="001D1971" w:rsidRDefault="00E97926" w:rsidP="001D1971">
      <w:pPr>
        <w:spacing w:line="240" w:lineRule="auto"/>
        <w:ind w:left="567" w:right="567"/>
        <w:rPr>
          <w:i/>
        </w:rPr>
      </w:pPr>
      <w:r w:rsidRPr="001D1971">
        <w:rPr>
          <w:b/>
          <w:i/>
        </w:rPr>
        <w:t>Artículo 38.</w:t>
      </w:r>
      <w:r w:rsidRPr="001D1971">
        <w:rPr>
          <w:i/>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1D1971">
        <w:rPr>
          <w:b/>
          <w:i/>
        </w:rPr>
        <w:t>”</w:t>
      </w:r>
      <w:r w:rsidRPr="001D1971">
        <w:rPr>
          <w:i/>
        </w:rPr>
        <w:t xml:space="preserve"> </w:t>
      </w:r>
    </w:p>
    <w:p w14:paraId="311F1BC4" w14:textId="77777777" w:rsidR="005B4188" w:rsidRPr="001D1971" w:rsidRDefault="005B4188" w:rsidP="001D1971">
      <w:pPr>
        <w:rPr>
          <w:i/>
        </w:rPr>
      </w:pPr>
    </w:p>
    <w:p w14:paraId="11790C77" w14:textId="77777777" w:rsidR="005B4188" w:rsidRPr="001D1971" w:rsidRDefault="00E97926" w:rsidP="001D1971">
      <w:r w:rsidRPr="001D1971">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6BDFF809" w14:textId="77777777" w:rsidR="005B4188" w:rsidRPr="001D1971" w:rsidRDefault="005B4188" w:rsidP="001D1971"/>
    <w:p w14:paraId="0A3B6410" w14:textId="77777777" w:rsidR="005B4188" w:rsidRPr="001D1971" w:rsidRDefault="00E97926" w:rsidP="001D1971">
      <w:r w:rsidRPr="001D1971">
        <w:t xml:space="preserve">Lo anterior es así, en virtud de que toda la información relativa a una persona física o jurídico colectiva que le pueda hacer identificada o identificable constituye un dato personal en </w:t>
      </w:r>
      <w:r w:rsidRPr="001D1971">
        <w:lastRenderedPageBreak/>
        <w:t xml:space="preserve">términos del artículo 4, fracción XI de la Ley de Protección de Datos Personales en Posesión de Sujetos Obligados del Estado de México y Municipios; por consiguiente, se trata de información confidencial que debe ser protegida por </w:t>
      </w:r>
      <w:r w:rsidRPr="001D1971">
        <w:rPr>
          <w:b/>
        </w:rPr>
        <w:t>EL SUJETO OBLIGADO,</w:t>
      </w:r>
      <w:r w:rsidRPr="001D1971">
        <w:t xml:space="preserve"> por lo que, todo dato personal susceptible de clasificación debe ser protegido.</w:t>
      </w:r>
    </w:p>
    <w:p w14:paraId="237A77C8" w14:textId="77777777" w:rsidR="005B4188" w:rsidRPr="001D1971" w:rsidRDefault="005B4188" w:rsidP="001D1971"/>
    <w:p w14:paraId="2C51EF73" w14:textId="77777777" w:rsidR="005B4188" w:rsidRPr="001D1971" w:rsidRDefault="00E97926" w:rsidP="001D1971">
      <w:r w:rsidRPr="001D1971">
        <w:t>La finalidad de la versión pública es salvaguardar la vida, integridad, seguridad, patrimonio y privacidad de las personas; de tal manera que, todo aquello que no tenga por objeto proteger lo anterior, es susceptible de ser entregado. En otras palabras, la protección de datos personales es una derivación del derecho a la intimidad.</w:t>
      </w:r>
    </w:p>
    <w:p w14:paraId="5E5BE6AB" w14:textId="77777777" w:rsidR="005B4188" w:rsidRPr="001D1971" w:rsidRDefault="005B4188" w:rsidP="001D1971"/>
    <w:p w14:paraId="06AD0A70" w14:textId="77777777" w:rsidR="005B4188" w:rsidRPr="001D1971" w:rsidRDefault="00E97926" w:rsidP="001D1971">
      <w:r w:rsidRPr="001D1971">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377615C6" w14:textId="77777777" w:rsidR="005B4188" w:rsidRPr="001D1971" w:rsidRDefault="00E97926" w:rsidP="001D1971">
      <w:pPr>
        <w:jc w:val="center"/>
        <w:rPr>
          <w:b/>
          <w:i/>
        </w:rPr>
      </w:pPr>
      <w:r w:rsidRPr="001D1971">
        <w:rPr>
          <w:b/>
          <w:i/>
        </w:rPr>
        <w:t>Ley de Transparencia y Acceso a la Información Pública del Estado de México y Municipios</w:t>
      </w:r>
    </w:p>
    <w:p w14:paraId="482E116A" w14:textId="77777777" w:rsidR="005B4188" w:rsidRPr="001D1971" w:rsidRDefault="005B4188" w:rsidP="001D1971"/>
    <w:p w14:paraId="2A5EEA19" w14:textId="77777777" w:rsidR="005B4188" w:rsidRPr="001D1971" w:rsidRDefault="00E97926" w:rsidP="001D1971">
      <w:pPr>
        <w:spacing w:line="240" w:lineRule="auto"/>
        <w:ind w:left="567" w:right="567"/>
        <w:rPr>
          <w:i/>
        </w:rPr>
      </w:pPr>
      <w:r w:rsidRPr="001D1971">
        <w:rPr>
          <w:b/>
          <w:i/>
        </w:rPr>
        <w:t xml:space="preserve">“Artículo 49. </w:t>
      </w:r>
      <w:r w:rsidRPr="001D1971">
        <w:rPr>
          <w:i/>
        </w:rPr>
        <w:t>Los Comités de Transparencia tendrán las siguientes atribuciones:</w:t>
      </w:r>
    </w:p>
    <w:p w14:paraId="16478BB7" w14:textId="77777777" w:rsidR="005B4188" w:rsidRPr="001D1971" w:rsidRDefault="00E97926" w:rsidP="001D1971">
      <w:pPr>
        <w:spacing w:line="240" w:lineRule="auto"/>
        <w:ind w:left="567" w:right="567"/>
        <w:rPr>
          <w:i/>
        </w:rPr>
      </w:pPr>
      <w:r w:rsidRPr="001D1971">
        <w:rPr>
          <w:b/>
          <w:i/>
        </w:rPr>
        <w:t>VIII.</w:t>
      </w:r>
      <w:r w:rsidRPr="001D1971">
        <w:rPr>
          <w:i/>
        </w:rPr>
        <w:t xml:space="preserve"> Aprobar, modificar o revocar la clasificación de la información;</w:t>
      </w:r>
    </w:p>
    <w:p w14:paraId="51C79BA9" w14:textId="77777777" w:rsidR="005B4188" w:rsidRPr="001D1971" w:rsidRDefault="005B4188" w:rsidP="001D1971"/>
    <w:p w14:paraId="71AB745D" w14:textId="77777777" w:rsidR="005B4188" w:rsidRPr="001D1971" w:rsidRDefault="00E97926" w:rsidP="001D1971">
      <w:pPr>
        <w:spacing w:line="240" w:lineRule="auto"/>
        <w:ind w:left="567" w:right="567"/>
        <w:rPr>
          <w:i/>
        </w:rPr>
      </w:pPr>
      <w:r w:rsidRPr="001D1971">
        <w:rPr>
          <w:b/>
          <w:i/>
        </w:rPr>
        <w:t>Artículo 132.</w:t>
      </w:r>
      <w:r w:rsidRPr="001D1971">
        <w:rPr>
          <w:i/>
        </w:rPr>
        <w:t xml:space="preserve"> La clasificación de la información se llevará a cabo en el momento en que:</w:t>
      </w:r>
    </w:p>
    <w:p w14:paraId="599C090C" w14:textId="77777777" w:rsidR="005B4188" w:rsidRPr="001D1971" w:rsidRDefault="00E97926" w:rsidP="001D1971">
      <w:pPr>
        <w:spacing w:line="240" w:lineRule="auto"/>
        <w:ind w:left="567" w:right="567"/>
        <w:rPr>
          <w:i/>
        </w:rPr>
      </w:pPr>
      <w:r w:rsidRPr="001D1971">
        <w:rPr>
          <w:b/>
          <w:i/>
        </w:rPr>
        <w:t>I.</w:t>
      </w:r>
      <w:r w:rsidRPr="001D1971">
        <w:rPr>
          <w:i/>
        </w:rPr>
        <w:t xml:space="preserve"> Se reciba una solicitud de acceso a la información;</w:t>
      </w:r>
    </w:p>
    <w:p w14:paraId="5213F58A" w14:textId="77777777" w:rsidR="005B4188" w:rsidRPr="001D1971" w:rsidRDefault="00E97926" w:rsidP="001D1971">
      <w:pPr>
        <w:spacing w:line="240" w:lineRule="auto"/>
        <w:ind w:left="567" w:right="567"/>
        <w:rPr>
          <w:i/>
        </w:rPr>
      </w:pPr>
      <w:r w:rsidRPr="001D1971">
        <w:rPr>
          <w:b/>
          <w:i/>
        </w:rPr>
        <w:t>II.</w:t>
      </w:r>
      <w:r w:rsidRPr="001D1971">
        <w:rPr>
          <w:i/>
        </w:rPr>
        <w:t xml:space="preserve"> Se determine mediante resolución de autoridad competente; o</w:t>
      </w:r>
    </w:p>
    <w:p w14:paraId="62BF835A" w14:textId="77777777" w:rsidR="005B4188" w:rsidRPr="001D1971" w:rsidRDefault="00E97926" w:rsidP="001D1971">
      <w:pPr>
        <w:spacing w:line="240" w:lineRule="auto"/>
        <w:ind w:left="567" w:right="567"/>
        <w:rPr>
          <w:b/>
          <w:i/>
        </w:rPr>
      </w:pPr>
      <w:r w:rsidRPr="001D1971">
        <w:rPr>
          <w:b/>
          <w:i/>
        </w:rPr>
        <w:t>III.</w:t>
      </w:r>
      <w:r w:rsidRPr="001D1971">
        <w:rPr>
          <w:i/>
        </w:rPr>
        <w:t xml:space="preserve"> Se generen versiones públicas para dar cumplimiento a las obligaciones de transparencia previstas en esta Ley.</w:t>
      </w:r>
      <w:r w:rsidRPr="001D1971">
        <w:rPr>
          <w:b/>
          <w:i/>
        </w:rPr>
        <w:t>”</w:t>
      </w:r>
    </w:p>
    <w:p w14:paraId="681EF3D4" w14:textId="77777777" w:rsidR="005B4188" w:rsidRPr="001D1971" w:rsidRDefault="005B4188" w:rsidP="001D1971"/>
    <w:p w14:paraId="067CE795" w14:textId="77777777" w:rsidR="005B4188" w:rsidRPr="001D1971" w:rsidRDefault="00E97926" w:rsidP="001D1971">
      <w:pPr>
        <w:spacing w:line="240" w:lineRule="auto"/>
        <w:ind w:left="567" w:right="567"/>
        <w:rPr>
          <w:i/>
        </w:rPr>
      </w:pPr>
      <w:r w:rsidRPr="001D1971">
        <w:rPr>
          <w:b/>
          <w:i/>
        </w:rPr>
        <w:t>“Segundo. -</w:t>
      </w:r>
      <w:r w:rsidRPr="001D1971">
        <w:rPr>
          <w:i/>
        </w:rPr>
        <w:t xml:space="preserve"> Para efectos de los presentes Lineamientos Generales, se entenderá por:</w:t>
      </w:r>
    </w:p>
    <w:p w14:paraId="00CCF143" w14:textId="77777777" w:rsidR="005B4188" w:rsidRPr="001D1971" w:rsidRDefault="00E97926" w:rsidP="001D1971">
      <w:pPr>
        <w:spacing w:line="240" w:lineRule="auto"/>
        <w:ind w:left="567" w:right="567"/>
        <w:rPr>
          <w:i/>
        </w:rPr>
      </w:pPr>
      <w:r w:rsidRPr="001D1971">
        <w:rPr>
          <w:b/>
          <w:i/>
        </w:rPr>
        <w:t>XVIII.</w:t>
      </w:r>
      <w:r w:rsidRPr="001D1971">
        <w:rPr>
          <w:i/>
        </w:rPr>
        <w:t xml:space="preserve">  </w:t>
      </w:r>
      <w:r w:rsidRPr="001D1971">
        <w:rPr>
          <w:b/>
          <w:i/>
        </w:rPr>
        <w:t>Versión pública:</w:t>
      </w:r>
      <w:r w:rsidRPr="001D1971">
        <w:rPr>
          <w:i/>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5150384F" w14:textId="77777777" w:rsidR="005B4188" w:rsidRPr="001D1971" w:rsidRDefault="005B4188" w:rsidP="001D1971">
      <w:pPr>
        <w:spacing w:line="240" w:lineRule="auto"/>
        <w:ind w:left="567" w:right="567"/>
        <w:rPr>
          <w:i/>
        </w:rPr>
      </w:pPr>
    </w:p>
    <w:p w14:paraId="0D8D058C" w14:textId="77777777" w:rsidR="005B4188" w:rsidRPr="001D1971" w:rsidRDefault="00E97926" w:rsidP="001D1971">
      <w:pPr>
        <w:spacing w:line="240" w:lineRule="auto"/>
        <w:ind w:left="567" w:right="567"/>
        <w:rPr>
          <w:b/>
          <w:i/>
        </w:rPr>
      </w:pPr>
      <w:r w:rsidRPr="001D1971">
        <w:rPr>
          <w:b/>
          <w:i/>
        </w:rPr>
        <w:t>Lineamientos Generales en materia de Clasificación y Desclasificación de la Información</w:t>
      </w:r>
    </w:p>
    <w:p w14:paraId="761A7870" w14:textId="77777777" w:rsidR="005B4188" w:rsidRPr="001D1971" w:rsidRDefault="005B4188" w:rsidP="001D1971">
      <w:pPr>
        <w:spacing w:line="240" w:lineRule="auto"/>
        <w:ind w:left="567" w:right="567"/>
        <w:rPr>
          <w:i/>
        </w:rPr>
      </w:pPr>
    </w:p>
    <w:p w14:paraId="708B63CF" w14:textId="77777777" w:rsidR="005B4188" w:rsidRPr="001D1971" w:rsidRDefault="00E97926" w:rsidP="001D1971">
      <w:pPr>
        <w:spacing w:line="240" w:lineRule="auto"/>
        <w:ind w:left="567" w:right="567"/>
        <w:rPr>
          <w:i/>
        </w:rPr>
      </w:pPr>
      <w:r w:rsidRPr="001D1971">
        <w:rPr>
          <w:b/>
          <w:i/>
        </w:rPr>
        <w:t>Cuarto.</w:t>
      </w:r>
      <w:r w:rsidRPr="001D1971">
        <w:rPr>
          <w:i/>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2E80F79C" w14:textId="77777777" w:rsidR="005B4188" w:rsidRPr="001D1971" w:rsidRDefault="00E97926" w:rsidP="001D1971">
      <w:pPr>
        <w:spacing w:line="240" w:lineRule="auto"/>
        <w:ind w:left="567" w:right="567"/>
        <w:rPr>
          <w:i/>
        </w:rPr>
      </w:pPr>
      <w:r w:rsidRPr="001D1971">
        <w:rPr>
          <w:i/>
        </w:rPr>
        <w:t>Los sujetos obligados deberán aplicar, de manera estricta, las excepciones al derecho de acceso a la información y sólo podrán invocarlas cuando acrediten su procedencia.</w:t>
      </w:r>
    </w:p>
    <w:p w14:paraId="24A7D572" w14:textId="77777777" w:rsidR="005B4188" w:rsidRPr="001D1971" w:rsidRDefault="005B4188" w:rsidP="001D1971"/>
    <w:p w14:paraId="55B42B9D" w14:textId="77777777" w:rsidR="005B4188" w:rsidRPr="001D1971" w:rsidRDefault="00E97926" w:rsidP="001D1971">
      <w:pPr>
        <w:spacing w:line="240" w:lineRule="auto"/>
        <w:ind w:left="567" w:right="567"/>
        <w:rPr>
          <w:i/>
        </w:rPr>
      </w:pPr>
      <w:r w:rsidRPr="001D1971">
        <w:rPr>
          <w:b/>
          <w:i/>
        </w:rPr>
        <w:t>Quinto.</w:t>
      </w:r>
      <w:r w:rsidRPr="001D1971">
        <w:rPr>
          <w:i/>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7BF9FE86" w14:textId="77777777" w:rsidR="005B4188" w:rsidRPr="001D1971" w:rsidRDefault="005B4188" w:rsidP="001D1971"/>
    <w:p w14:paraId="40A64860" w14:textId="77777777" w:rsidR="005B4188" w:rsidRPr="001D1971" w:rsidRDefault="00E97926" w:rsidP="001D1971">
      <w:pPr>
        <w:spacing w:line="240" w:lineRule="auto"/>
        <w:ind w:left="567" w:right="567"/>
        <w:rPr>
          <w:i/>
        </w:rPr>
      </w:pPr>
      <w:r w:rsidRPr="001D1971">
        <w:rPr>
          <w:b/>
          <w:i/>
        </w:rPr>
        <w:t>Sexto.</w:t>
      </w:r>
      <w:r w:rsidRPr="001D1971">
        <w:rPr>
          <w:i/>
        </w:rPr>
        <w:t xml:space="preserve"> Se deroga.</w:t>
      </w:r>
    </w:p>
    <w:p w14:paraId="463361B8" w14:textId="77777777" w:rsidR="005B4188" w:rsidRPr="001D1971" w:rsidRDefault="005B4188" w:rsidP="001D1971"/>
    <w:p w14:paraId="3C389753" w14:textId="77777777" w:rsidR="005B4188" w:rsidRPr="001D1971" w:rsidRDefault="00E97926" w:rsidP="001D1971">
      <w:pPr>
        <w:spacing w:line="240" w:lineRule="auto"/>
        <w:ind w:left="567" w:right="567"/>
        <w:rPr>
          <w:i/>
        </w:rPr>
      </w:pPr>
      <w:r w:rsidRPr="001D1971">
        <w:rPr>
          <w:b/>
          <w:i/>
        </w:rPr>
        <w:t>Séptimo.</w:t>
      </w:r>
      <w:r w:rsidRPr="001D1971">
        <w:rPr>
          <w:i/>
        </w:rPr>
        <w:t xml:space="preserve"> La clasificación de la información se llevará a cabo en el momento en que:</w:t>
      </w:r>
    </w:p>
    <w:p w14:paraId="62122FEE" w14:textId="77777777" w:rsidR="005B4188" w:rsidRPr="001D1971" w:rsidRDefault="00E97926" w:rsidP="001D1971">
      <w:pPr>
        <w:spacing w:line="240" w:lineRule="auto"/>
        <w:ind w:left="567" w:right="567"/>
        <w:rPr>
          <w:i/>
        </w:rPr>
      </w:pPr>
      <w:r w:rsidRPr="001D1971">
        <w:rPr>
          <w:b/>
          <w:i/>
        </w:rPr>
        <w:t>I.</w:t>
      </w:r>
      <w:r w:rsidRPr="001D1971">
        <w:rPr>
          <w:i/>
        </w:rPr>
        <w:t xml:space="preserve">        Se reciba una solicitud de acceso a la información;</w:t>
      </w:r>
    </w:p>
    <w:p w14:paraId="6EC5A310" w14:textId="77777777" w:rsidR="005B4188" w:rsidRPr="001D1971" w:rsidRDefault="00E97926" w:rsidP="001D1971">
      <w:pPr>
        <w:spacing w:line="240" w:lineRule="auto"/>
        <w:ind w:left="567" w:right="567"/>
        <w:rPr>
          <w:i/>
        </w:rPr>
      </w:pPr>
      <w:r w:rsidRPr="001D1971">
        <w:rPr>
          <w:b/>
          <w:i/>
        </w:rPr>
        <w:t>II.</w:t>
      </w:r>
      <w:r w:rsidRPr="001D1971">
        <w:rPr>
          <w:i/>
        </w:rPr>
        <w:t xml:space="preserve">       Se determine mediante resolución del Comité de Transparencia, el órgano garante competente, o en cumplimiento a una sentencia del Poder Judicial; o</w:t>
      </w:r>
    </w:p>
    <w:p w14:paraId="2F0D8257" w14:textId="77777777" w:rsidR="005B4188" w:rsidRPr="001D1971" w:rsidRDefault="00E97926" w:rsidP="001D1971">
      <w:pPr>
        <w:spacing w:line="240" w:lineRule="auto"/>
        <w:ind w:left="567" w:right="567"/>
        <w:rPr>
          <w:i/>
        </w:rPr>
      </w:pPr>
      <w:r w:rsidRPr="001D1971">
        <w:rPr>
          <w:b/>
          <w:i/>
        </w:rPr>
        <w:t>III.</w:t>
      </w:r>
      <w:r w:rsidRPr="001D1971">
        <w:rPr>
          <w:i/>
        </w:rPr>
        <w:t xml:space="preserve">      Se generen versiones públicas para dar cumplimiento a las obligaciones de transparencia previstas en la Ley General, la Ley Federal y las correspondientes de las entidades federativas.</w:t>
      </w:r>
    </w:p>
    <w:p w14:paraId="344E223E" w14:textId="77777777" w:rsidR="005B4188" w:rsidRPr="001D1971" w:rsidRDefault="00E97926" w:rsidP="001D1971">
      <w:pPr>
        <w:spacing w:line="240" w:lineRule="auto"/>
        <w:ind w:left="567" w:right="567"/>
        <w:rPr>
          <w:i/>
        </w:rPr>
      </w:pPr>
      <w:r w:rsidRPr="001D1971">
        <w:rPr>
          <w:i/>
        </w:rPr>
        <w:lastRenderedPageBreak/>
        <w:t xml:space="preserve">Los titulares de las áreas deberán revisar la información requerida al momento de la recepción de una solicitud de acceso, para verificar, conforme a su naturaleza, si encuadra en una causal de reserva o de confidencialidad. </w:t>
      </w:r>
    </w:p>
    <w:p w14:paraId="348467CF" w14:textId="77777777" w:rsidR="005B4188" w:rsidRPr="001D1971" w:rsidRDefault="005B4188" w:rsidP="001D1971"/>
    <w:p w14:paraId="568F4E62" w14:textId="77777777" w:rsidR="005B4188" w:rsidRPr="001D1971" w:rsidRDefault="00E97926" w:rsidP="001D1971">
      <w:pPr>
        <w:spacing w:line="240" w:lineRule="auto"/>
        <w:ind w:left="567" w:right="567"/>
        <w:rPr>
          <w:i/>
        </w:rPr>
      </w:pPr>
      <w:r w:rsidRPr="001D1971">
        <w:rPr>
          <w:b/>
          <w:i/>
        </w:rPr>
        <w:t>Octavo.</w:t>
      </w:r>
      <w:r w:rsidRPr="001D1971">
        <w:rPr>
          <w:i/>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52BEEBCE" w14:textId="77777777" w:rsidR="005B4188" w:rsidRPr="001D1971" w:rsidRDefault="00E97926" w:rsidP="001D1971">
      <w:pPr>
        <w:spacing w:line="240" w:lineRule="auto"/>
        <w:ind w:left="567" w:right="567"/>
        <w:rPr>
          <w:i/>
        </w:rPr>
      </w:pPr>
      <w:r w:rsidRPr="001D1971">
        <w:rPr>
          <w:i/>
        </w:rPr>
        <w:t>Para motivar la clasificación se deberán señalar las razones o circunstancias especiales que lo llevaron a concluir que el caso particular se ajusta al supuesto previsto por la norma legal invocada como fundamento.</w:t>
      </w:r>
    </w:p>
    <w:p w14:paraId="01690E63" w14:textId="77777777" w:rsidR="005B4188" w:rsidRPr="001D1971" w:rsidRDefault="00E97926" w:rsidP="001D1971">
      <w:pPr>
        <w:spacing w:line="240" w:lineRule="auto"/>
        <w:ind w:left="567" w:right="567"/>
        <w:rPr>
          <w:i/>
        </w:rPr>
      </w:pPr>
      <w:r w:rsidRPr="001D1971">
        <w:rPr>
          <w:i/>
        </w:rPr>
        <w:t xml:space="preserve">En caso de referirse a información reservada, la motivación de la clasificación deberá comprender el análisis de la prueba del daño a que hace referencia el artículo 104 de la Ley General, en relación con el artículo trigésimo tercero de los presentes lineamientos, así como las circunstancias que justifican el establecimiento de determinado plazo de reserva. </w:t>
      </w:r>
    </w:p>
    <w:p w14:paraId="3659A98F" w14:textId="77777777" w:rsidR="005B4188" w:rsidRPr="001D1971" w:rsidRDefault="005B4188" w:rsidP="001D1971"/>
    <w:p w14:paraId="28CA9244" w14:textId="77777777" w:rsidR="005B4188" w:rsidRPr="001D1971" w:rsidRDefault="00E97926" w:rsidP="001D1971">
      <w:pPr>
        <w:spacing w:line="240" w:lineRule="auto"/>
        <w:ind w:left="567" w:right="567"/>
        <w:rPr>
          <w:i/>
        </w:rPr>
      </w:pPr>
      <w:r w:rsidRPr="001D1971">
        <w:rPr>
          <w:b/>
          <w:i/>
        </w:rPr>
        <w:t>Noveno.</w:t>
      </w:r>
      <w:r w:rsidRPr="001D1971">
        <w:rPr>
          <w:i/>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7E5A0C4C" w14:textId="77777777" w:rsidR="005B4188" w:rsidRPr="001D1971" w:rsidRDefault="005B4188" w:rsidP="001D1971"/>
    <w:p w14:paraId="5F96B864" w14:textId="77777777" w:rsidR="005B4188" w:rsidRPr="001D1971" w:rsidRDefault="00E97926" w:rsidP="001D1971">
      <w:pPr>
        <w:spacing w:line="240" w:lineRule="auto"/>
        <w:ind w:left="567" w:right="567"/>
        <w:rPr>
          <w:i/>
        </w:rPr>
      </w:pPr>
      <w:r w:rsidRPr="001D1971">
        <w:rPr>
          <w:b/>
          <w:i/>
        </w:rPr>
        <w:t>Décimo.</w:t>
      </w:r>
      <w:r w:rsidRPr="001D1971">
        <w:rPr>
          <w:i/>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 Lineamientos para la Organización y Conservación de Archivos y demás normatividad aplicable.</w:t>
      </w:r>
    </w:p>
    <w:p w14:paraId="342CCD0A" w14:textId="77777777" w:rsidR="005B4188" w:rsidRPr="001D1971" w:rsidRDefault="00E97926" w:rsidP="001D1971">
      <w:pPr>
        <w:spacing w:line="240" w:lineRule="auto"/>
        <w:ind w:left="567" w:right="567"/>
        <w:rPr>
          <w:i/>
        </w:rPr>
      </w:pPr>
      <w:r w:rsidRPr="001D1971">
        <w:rPr>
          <w:i/>
        </w:rPr>
        <w:t>En ausencia de los titulares de las áreas, la información será clasificada o desclasificada por la persona que lo supla, en términos de la normativa que rija la actuación del sujeto obligado.</w:t>
      </w:r>
    </w:p>
    <w:p w14:paraId="35C2C403" w14:textId="77777777" w:rsidR="005B4188" w:rsidRPr="001D1971" w:rsidRDefault="00E97926" w:rsidP="001D1971">
      <w:pPr>
        <w:spacing w:line="240" w:lineRule="auto"/>
        <w:ind w:left="567" w:right="567"/>
        <w:rPr>
          <w:b/>
          <w:i/>
        </w:rPr>
      </w:pPr>
      <w:r w:rsidRPr="001D1971">
        <w:rPr>
          <w:b/>
          <w:i/>
        </w:rPr>
        <w:t>Décimo primero.</w:t>
      </w:r>
      <w:r w:rsidRPr="001D1971">
        <w:rPr>
          <w:i/>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1D1971">
        <w:rPr>
          <w:b/>
          <w:i/>
        </w:rPr>
        <w:t>”</w:t>
      </w:r>
    </w:p>
    <w:p w14:paraId="0BE67698" w14:textId="77777777" w:rsidR="005B4188" w:rsidRPr="001D1971" w:rsidRDefault="005B4188" w:rsidP="001D1971"/>
    <w:p w14:paraId="23604DFB" w14:textId="77777777" w:rsidR="005B4188" w:rsidRPr="001D1971" w:rsidRDefault="00E97926" w:rsidP="001D1971">
      <w:r w:rsidRPr="001D1971">
        <w:t xml:space="preserve">Consecuentemente, se destaca que la versión pública que elabore </w:t>
      </w:r>
      <w:r w:rsidRPr="001D1971">
        <w:rPr>
          <w:b/>
        </w:rPr>
        <w:t>EL SUJETO OBLIGADO</w:t>
      </w:r>
      <w:r w:rsidRPr="001D1971">
        <w:t xml:space="preserve"> debe cumplir con las formalidades exigidas en la Ley, por lo que para tal efecto emitirá el </w:t>
      </w:r>
      <w:r w:rsidRPr="001D1971">
        <w:rPr>
          <w:b/>
        </w:rPr>
        <w:lastRenderedPageBreak/>
        <w:t>Acuerdo del Comité de Transparencia</w:t>
      </w:r>
      <w:r w:rsidRPr="001D1971">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 ya que de no hacerlo implica que lo entregado no es legal ni formalmente una versión pública, sino más bien una documentación ilegible, incompleta o tachada; pues no se señalan las razones por las que no se aprecian determinados datos -ya sea porque se testan o suprimen- lo cual deja al solicitante en estado de incertidumbre, al no conocer o comprender porque no aparecen en la documentación respectiva, es decir, si no se exponen de manera puntual las razones, se estaría violentando desde un inicio el derecho de acceso a la información del solicitante.</w:t>
      </w:r>
    </w:p>
    <w:p w14:paraId="409C68D4" w14:textId="77777777" w:rsidR="00CF10EB" w:rsidRPr="001D1971" w:rsidRDefault="00CF10EB" w:rsidP="001D1971"/>
    <w:p w14:paraId="4B6E7444" w14:textId="77777777" w:rsidR="00662479" w:rsidRPr="001D1971" w:rsidRDefault="00662479" w:rsidP="001D1971">
      <w:r w:rsidRPr="001D1971">
        <w:t>Es importante señalar que, para el caso en concreto, se deben tomar en consideración los siguientes criterios respecto a la información que debe ser, o no, clasificada como confidencial:</w:t>
      </w:r>
    </w:p>
    <w:p w14:paraId="676F3A14" w14:textId="77777777" w:rsidR="00662479" w:rsidRPr="001D1971" w:rsidRDefault="00662479" w:rsidP="001D1971"/>
    <w:p w14:paraId="31140841" w14:textId="77777777" w:rsidR="00662479" w:rsidRPr="001D1971" w:rsidRDefault="00662479" w:rsidP="001D1971">
      <w:pPr>
        <w:numPr>
          <w:ilvl w:val="0"/>
          <w:numId w:val="16"/>
        </w:numPr>
        <w:tabs>
          <w:tab w:val="left" w:pos="709"/>
        </w:tabs>
      </w:pPr>
      <w:r w:rsidRPr="001D1971">
        <w:rPr>
          <w:b/>
        </w:rPr>
        <w:t xml:space="preserve">Nombre </w:t>
      </w:r>
    </w:p>
    <w:p w14:paraId="688D6A2C" w14:textId="77777777" w:rsidR="00662479" w:rsidRPr="001D1971" w:rsidRDefault="00662479" w:rsidP="001D1971">
      <w:pPr>
        <w:pBdr>
          <w:top w:val="nil"/>
          <w:left w:val="nil"/>
          <w:bottom w:val="nil"/>
          <w:right w:val="nil"/>
          <w:between w:val="nil"/>
        </w:pBdr>
        <w:ind w:right="50"/>
      </w:pPr>
      <w:r w:rsidRPr="001D1971">
        <w:t xml:space="preserve">Respecto del </w:t>
      </w:r>
      <w:r w:rsidRPr="001D1971">
        <w:rPr>
          <w:b/>
        </w:rPr>
        <w:t>nombre de las personas físicas</w:t>
      </w:r>
      <w:r w:rsidRPr="001D1971">
        <w:t xml:space="preserve"> o los </w:t>
      </w:r>
      <w:r w:rsidRPr="001D1971">
        <w:rPr>
          <w:b/>
        </w:rPr>
        <w:t>representantes legales de las personas morales</w:t>
      </w:r>
      <w:r w:rsidRPr="001D1971">
        <w:t xml:space="preserve">, </w:t>
      </w:r>
      <w:r w:rsidRPr="001D1971">
        <w:rPr>
          <w:b/>
        </w:rPr>
        <w:t>en su calidad de proveedores, contratistas o prestadores de servicios, y la firma y rúbrica de estos</w:t>
      </w:r>
      <w:r w:rsidRPr="001D1971">
        <w:t>, que participen en algún  proceso de adjudicación en cualquiera de sus modalidades, los entes públicos tienen la obligación de difundir toda aquella información relativa a los montos y las personas a quienes entreguen, por cualquier motivo, recursos públicos, así como los informes que dichas personas entreguen sobre el uso y destino de dichos recursos, motivo por el cual los datos del representante legal de la persona moral que resultó favorecida con el procedimiento de licitación no conservan el carácter de confidencial y por tanto no deben ser testados.</w:t>
      </w:r>
    </w:p>
    <w:p w14:paraId="142EFB8B" w14:textId="77777777" w:rsidR="00662479" w:rsidRPr="001D1971" w:rsidRDefault="00662479" w:rsidP="001D1971">
      <w:pPr>
        <w:pBdr>
          <w:top w:val="nil"/>
          <w:left w:val="nil"/>
          <w:bottom w:val="nil"/>
          <w:right w:val="nil"/>
          <w:between w:val="nil"/>
        </w:pBdr>
        <w:ind w:right="50"/>
      </w:pPr>
    </w:p>
    <w:p w14:paraId="6974CA00" w14:textId="77777777" w:rsidR="00662479" w:rsidRPr="001D1971" w:rsidRDefault="00662479" w:rsidP="001D1971">
      <w:pPr>
        <w:pBdr>
          <w:top w:val="nil"/>
          <w:left w:val="nil"/>
          <w:bottom w:val="nil"/>
          <w:right w:val="nil"/>
          <w:between w:val="nil"/>
        </w:pBdr>
        <w:ind w:right="50"/>
      </w:pPr>
      <w:r w:rsidRPr="001D1971">
        <w:lastRenderedPageBreak/>
        <w:t>Argumentación que guarda sustento en lo estipulado por el artículo 23 de la Ley de Transparencia y Acceso a la Información Pública del Estado de México y Municipios en su penúltimo párrafo, mismo que es del tenor literal siguiente:</w:t>
      </w:r>
    </w:p>
    <w:p w14:paraId="40765F48" w14:textId="77777777" w:rsidR="00662479" w:rsidRPr="001D1971" w:rsidRDefault="00662479" w:rsidP="001D1971">
      <w:pPr>
        <w:pBdr>
          <w:top w:val="nil"/>
          <w:left w:val="nil"/>
          <w:bottom w:val="nil"/>
          <w:right w:val="nil"/>
          <w:between w:val="nil"/>
        </w:pBdr>
        <w:ind w:right="50"/>
      </w:pPr>
    </w:p>
    <w:p w14:paraId="18321B9C" w14:textId="77777777" w:rsidR="00662479" w:rsidRPr="001D1971" w:rsidRDefault="00662479" w:rsidP="001D1971">
      <w:pPr>
        <w:pStyle w:val="Puesto"/>
        <w:ind w:left="851" w:right="822" w:firstLine="0"/>
        <w:rPr>
          <w:color w:val="auto"/>
        </w:rPr>
      </w:pPr>
      <w:r w:rsidRPr="001D1971">
        <w:rPr>
          <w:color w:val="auto"/>
        </w:rPr>
        <w:t>“</w:t>
      </w:r>
      <w:r w:rsidRPr="001D1971">
        <w:rPr>
          <w:b/>
          <w:color w:val="auto"/>
        </w:rPr>
        <w:t>Artículo 23.</w:t>
      </w:r>
      <w:r w:rsidRPr="001D1971">
        <w:rPr>
          <w:color w:val="auto"/>
        </w:rPr>
        <w:t xml:space="preserve"> (…)</w:t>
      </w:r>
    </w:p>
    <w:p w14:paraId="5559E9F7" w14:textId="77777777" w:rsidR="00662479" w:rsidRPr="001D1971" w:rsidRDefault="00662479" w:rsidP="001D1971">
      <w:pPr>
        <w:pStyle w:val="Puesto"/>
        <w:ind w:left="851" w:right="822" w:firstLine="0"/>
        <w:rPr>
          <w:color w:val="auto"/>
        </w:rPr>
      </w:pPr>
      <w:r w:rsidRPr="001D1971">
        <w:rPr>
          <w:color w:val="auto"/>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75718EB4" w14:textId="77777777" w:rsidR="00662479" w:rsidRPr="001D1971" w:rsidRDefault="00662479" w:rsidP="001D1971">
      <w:pPr>
        <w:pBdr>
          <w:top w:val="nil"/>
          <w:left w:val="nil"/>
          <w:bottom w:val="nil"/>
          <w:right w:val="nil"/>
          <w:between w:val="nil"/>
        </w:pBdr>
        <w:ind w:right="902"/>
      </w:pPr>
    </w:p>
    <w:p w14:paraId="207C97C3" w14:textId="77777777" w:rsidR="00662479" w:rsidRPr="001D1971" w:rsidRDefault="00662479" w:rsidP="001D1971">
      <w:pPr>
        <w:pBdr>
          <w:top w:val="nil"/>
          <w:left w:val="nil"/>
          <w:bottom w:val="nil"/>
          <w:right w:val="nil"/>
          <w:between w:val="nil"/>
        </w:pBdr>
      </w:pPr>
      <w:r w:rsidRPr="001D1971">
        <w:t>Asimismo, resulta aplicable el contenido del criterio de interpretación 01/19 emitido por el entonces Instituto Nacional de Transparencia, Acceso a la Información, y Protección de Datos Personales INAI, que lleva por rubro y texto los siguientes</w:t>
      </w:r>
    </w:p>
    <w:p w14:paraId="66D6DDCB" w14:textId="77777777" w:rsidR="00662479" w:rsidRPr="001D1971" w:rsidRDefault="00662479" w:rsidP="001D1971">
      <w:pPr>
        <w:pBdr>
          <w:top w:val="nil"/>
          <w:left w:val="nil"/>
          <w:bottom w:val="nil"/>
          <w:right w:val="nil"/>
          <w:between w:val="nil"/>
        </w:pBdr>
      </w:pPr>
    </w:p>
    <w:p w14:paraId="5C07994C" w14:textId="77777777" w:rsidR="00662479" w:rsidRPr="001D1971" w:rsidRDefault="00662479" w:rsidP="001D1971">
      <w:pPr>
        <w:pStyle w:val="Puesto"/>
        <w:ind w:left="851" w:right="822" w:firstLine="0"/>
        <w:rPr>
          <w:color w:val="auto"/>
        </w:rPr>
      </w:pPr>
      <w:r w:rsidRPr="001D1971">
        <w:rPr>
          <w:b/>
          <w:color w:val="auto"/>
        </w:rPr>
        <w:t>“Datos de identificación del representante o apoderado legal.</w:t>
      </w:r>
      <w:r w:rsidRPr="001D1971">
        <w:rPr>
          <w:color w:val="auto"/>
        </w:rPr>
        <w:t xml:space="preserve"> </w:t>
      </w:r>
      <w:r w:rsidRPr="001D1971">
        <w:rPr>
          <w:b/>
          <w:color w:val="auto"/>
        </w:rPr>
        <w:t xml:space="preserve">Naturaleza jurídica. El nombre, la </w:t>
      </w:r>
      <w:r w:rsidRPr="001D1971">
        <w:rPr>
          <w:b/>
          <w:color w:val="auto"/>
          <w:u w:val="single"/>
        </w:rPr>
        <w:t>firma y la rúbrica</w:t>
      </w:r>
      <w:r w:rsidRPr="001D1971">
        <w:rPr>
          <w:color w:val="auto"/>
        </w:rPr>
        <w:t xml:space="preserve"> de una persona física, que actúe como representante o apoderado legal de un tercero que haya celebrado un acto jurídico, con algún sujeto obligado, </w:t>
      </w:r>
      <w:r w:rsidRPr="001D1971">
        <w:rPr>
          <w:b/>
          <w:color w:val="auto"/>
          <w:u w:val="single"/>
        </w:rPr>
        <w:t>es información pública</w:t>
      </w:r>
      <w:r w:rsidRPr="001D1971">
        <w:rPr>
          <w:b/>
          <w:color w:val="auto"/>
        </w:rPr>
        <w:t>, en razón de que tales datos fueron proporcionados con el objeto de expresar el consentimiento obligacional del tercero y otorgar validez a dicho instrumento jurídico</w:t>
      </w:r>
      <w:r w:rsidRPr="001D1971">
        <w:rPr>
          <w:color w:val="auto"/>
        </w:rPr>
        <w:t>.”</w:t>
      </w:r>
    </w:p>
    <w:p w14:paraId="2A90EFAC" w14:textId="77777777" w:rsidR="00662479" w:rsidRPr="001D1971" w:rsidRDefault="00662479" w:rsidP="001D1971"/>
    <w:p w14:paraId="15476504" w14:textId="77777777" w:rsidR="00662479" w:rsidRPr="001D1971" w:rsidRDefault="00662479" w:rsidP="001D1971">
      <w:pPr>
        <w:numPr>
          <w:ilvl w:val="0"/>
          <w:numId w:val="16"/>
        </w:numPr>
        <w:tabs>
          <w:tab w:val="left" w:pos="709"/>
        </w:tabs>
      </w:pPr>
      <w:r w:rsidRPr="001D1971">
        <w:rPr>
          <w:b/>
        </w:rPr>
        <w:t xml:space="preserve">Número de cuenta bancaria </w:t>
      </w:r>
    </w:p>
    <w:p w14:paraId="6EFB0186" w14:textId="77777777" w:rsidR="00662479" w:rsidRPr="001D1971" w:rsidRDefault="00662479" w:rsidP="001D1971"/>
    <w:p w14:paraId="2E765EED" w14:textId="77777777" w:rsidR="00662479" w:rsidRPr="001D1971" w:rsidRDefault="00662479" w:rsidP="001D1971">
      <w:r w:rsidRPr="001D1971">
        <w:t>Por cuanto hace al número de cuenta bancaria de los particulares debe ser clasificado como confidencial con fundamento en las fracciones I y II del artículo 143 de la Ley de la Materia de la Entidad; en razón de que, con su difusión se estaría poniendo en riesgo la seguridad de su titular.</w:t>
      </w:r>
    </w:p>
    <w:p w14:paraId="0E247DA5" w14:textId="77777777" w:rsidR="00662479" w:rsidRPr="001D1971" w:rsidRDefault="00662479" w:rsidP="001D1971">
      <w:pPr>
        <w:ind w:right="50"/>
      </w:pPr>
    </w:p>
    <w:p w14:paraId="28F4EAB9" w14:textId="77777777" w:rsidR="00662479" w:rsidRPr="001D1971" w:rsidRDefault="00662479" w:rsidP="001D1971">
      <w:pPr>
        <w:ind w:right="51"/>
      </w:pPr>
      <w:r w:rsidRPr="001D1971">
        <w:t xml:space="preserve">Además de que, la publicidad de los números de cuenta bancaria de los particulares en nada contribuye a la rendición de cuentas, sino por el contrario, dar a conocer los números de las </w:t>
      </w:r>
      <w:r w:rsidRPr="001D1971">
        <w:lastRenderedPageBreak/>
        <w:t xml:space="preserve">cuentas bancarias hace vulnerable a las personas físicas, al abrir la posibilidad de que terceros que cuenten con las posibilidades tecnológicas y/o económicas puedan realizar actos ilícitos mediante operaciones cibernéticas; en esa virtud, este Instituto determina que dicha información no puede ser del dominio público, toda vez que se podría dar un uso inadecuado a la misma o cometer algún ilícito o fraude en contra del patrimonio de los particulares. </w:t>
      </w:r>
    </w:p>
    <w:p w14:paraId="56DD957F" w14:textId="77777777" w:rsidR="00662479" w:rsidRPr="001D1971" w:rsidRDefault="00662479" w:rsidP="001D1971">
      <w:pPr>
        <w:ind w:right="51"/>
      </w:pPr>
    </w:p>
    <w:p w14:paraId="0DBCFE42" w14:textId="77777777" w:rsidR="00662479" w:rsidRPr="001D1971" w:rsidRDefault="00662479" w:rsidP="001D1971">
      <w:pPr>
        <w:ind w:right="50"/>
      </w:pPr>
      <w:r w:rsidRPr="001D1971">
        <w:t>Lo anterior encuentra sustento en el criterio 10/17 emitido por el entonces Instituto Nacional de Transparencia, Acceso a la Información y Protección de Datos Personales, que a la letra dicen:</w:t>
      </w:r>
    </w:p>
    <w:p w14:paraId="2672EAA4" w14:textId="77777777" w:rsidR="00662479" w:rsidRPr="001D1971" w:rsidRDefault="00662479" w:rsidP="001D1971">
      <w:pPr>
        <w:ind w:right="50"/>
      </w:pPr>
    </w:p>
    <w:p w14:paraId="21A0660E" w14:textId="77777777" w:rsidR="00662479" w:rsidRPr="001D1971" w:rsidRDefault="00662479" w:rsidP="001D1971">
      <w:pPr>
        <w:pStyle w:val="Puesto"/>
        <w:ind w:left="851" w:right="822" w:firstLine="0"/>
        <w:rPr>
          <w:color w:val="auto"/>
        </w:rPr>
      </w:pPr>
      <w:r w:rsidRPr="001D1971">
        <w:rPr>
          <w:b/>
          <w:color w:val="auto"/>
        </w:rPr>
        <w:t>“Cuentas bancarias y/o CLABE interbancaria de personas físicas y morales privadas.</w:t>
      </w:r>
      <w:r w:rsidRPr="001D1971">
        <w:rPr>
          <w:color w:val="auto"/>
        </w:rPr>
        <w:t xml:space="preserve">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2177DDB6" w14:textId="77777777" w:rsidR="00662479" w:rsidRPr="001D1971" w:rsidRDefault="00662479" w:rsidP="001D1971">
      <w:pPr>
        <w:ind w:left="851" w:right="899"/>
        <w:jc w:val="center"/>
        <w:rPr>
          <w:b/>
          <w:i/>
        </w:rPr>
      </w:pPr>
    </w:p>
    <w:p w14:paraId="0E81528E" w14:textId="77777777" w:rsidR="00662479" w:rsidRPr="001D1971" w:rsidRDefault="00662479" w:rsidP="001D1971">
      <w:pPr>
        <w:ind w:right="50"/>
      </w:pPr>
      <w:r w:rsidRPr="001D1971">
        <w:t>Ahora bien, por cuanto hace a las cuentas bancarias de los Sujetos obligados, dicha información no puede considerarse como confidencial, pues la difusión de dichas cuentas o claves interbancarias, favorecen a la rendición de cuentas; ello tiene sustento en el criterio 11/17, emitido por el entonces Instituto Nacional de Transparencia, Acceso a la Información y Protección de Datos Personales, el cual para mayor referencia se inserta a continuación:</w:t>
      </w:r>
    </w:p>
    <w:p w14:paraId="1248D759" w14:textId="77777777" w:rsidR="00662479" w:rsidRPr="001D1971" w:rsidRDefault="00662479" w:rsidP="001D1971">
      <w:pPr>
        <w:ind w:right="50"/>
      </w:pPr>
    </w:p>
    <w:p w14:paraId="0F7A28EF" w14:textId="77777777" w:rsidR="00662479" w:rsidRPr="001D1971" w:rsidRDefault="00662479" w:rsidP="001D1971">
      <w:pPr>
        <w:pStyle w:val="Puesto"/>
        <w:ind w:left="851" w:right="822" w:firstLine="0"/>
        <w:rPr>
          <w:color w:val="auto"/>
        </w:rPr>
      </w:pPr>
      <w:r w:rsidRPr="001D1971">
        <w:rPr>
          <w:color w:val="auto"/>
        </w:rPr>
        <w:t>“</w:t>
      </w:r>
      <w:r w:rsidRPr="001D1971">
        <w:rPr>
          <w:b/>
          <w:color w:val="auto"/>
        </w:rPr>
        <w:t>Cuentas bancarias y/o CLABE interbancaria de sujetos obligados que reciben y/o transfieren recursos públicos, son información pública</w:t>
      </w:r>
      <w:r w:rsidRPr="001D1971">
        <w:rPr>
          <w:color w:val="auto"/>
        </w:rPr>
        <w:t xml:space="preserve">. La difusión de las cuentas bancarias y claves interbancarias pertenecientes a un sujeto obligado favorece la rendición de cuentas al transparentar la forma en que se </w:t>
      </w:r>
      <w:r w:rsidRPr="001D1971">
        <w:rPr>
          <w:color w:val="auto"/>
        </w:rPr>
        <w:lastRenderedPageBreak/>
        <w:t>administran los recursos públicos, razón por la cual no pueden considerarse como información clasificada. “</w:t>
      </w:r>
    </w:p>
    <w:p w14:paraId="5C8103C2" w14:textId="77777777" w:rsidR="00662479" w:rsidRPr="001D1971" w:rsidRDefault="00662479" w:rsidP="001D1971"/>
    <w:p w14:paraId="5C7A0663" w14:textId="77777777" w:rsidR="00662479" w:rsidRPr="001D1971" w:rsidRDefault="00662479" w:rsidP="001D1971">
      <w:pPr>
        <w:numPr>
          <w:ilvl w:val="0"/>
          <w:numId w:val="16"/>
        </w:numPr>
        <w:tabs>
          <w:tab w:val="left" w:pos="709"/>
        </w:tabs>
      </w:pPr>
      <w:r w:rsidRPr="001D1971">
        <w:rPr>
          <w:b/>
        </w:rPr>
        <w:t xml:space="preserve">Registro Federal de Contribuyentes (RFC) </w:t>
      </w:r>
    </w:p>
    <w:p w14:paraId="5053E6CB" w14:textId="77777777" w:rsidR="00662479" w:rsidRPr="001D1971" w:rsidRDefault="00662479" w:rsidP="001D1971">
      <w:pPr>
        <w:tabs>
          <w:tab w:val="left" w:pos="709"/>
        </w:tabs>
      </w:pPr>
    </w:p>
    <w:p w14:paraId="3DC9E9FD" w14:textId="77777777" w:rsidR="00662479" w:rsidRPr="001D1971" w:rsidRDefault="00662479" w:rsidP="001D1971">
      <w:pPr>
        <w:tabs>
          <w:tab w:val="left" w:pos="709"/>
        </w:tabs>
      </w:pPr>
      <w:r w:rsidRPr="001D1971">
        <w:t>Al respecto, cabe precisar que 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al artículo 27 del Código Fiscal de la Federación.</w:t>
      </w:r>
    </w:p>
    <w:p w14:paraId="06226C80" w14:textId="77777777" w:rsidR="00662479" w:rsidRPr="001D1971" w:rsidRDefault="00662479" w:rsidP="001D1971">
      <w:pPr>
        <w:tabs>
          <w:tab w:val="left" w:pos="709"/>
        </w:tabs>
      </w:pPr>
    </w:p>
    <w:p w14:paraId="71A918F4" w14:textId="77777777" w:rsidR="00662479" w:rsidRPr="001D1971" w:rsidRDefault="00662479" w:rsidP="001D1971">
      <w:pPr>
        <w:tabs>
          <w:tab w:val="left" w:pos="709"/>
        </w:tabs>
      </w:pPr>
      <w:r w:rsidRPr="001D1971">
        <w:t>De acuerdo a lo establecido en el artículo en comento, esta clave se compone de trece caracteres alfanuméricos, con datos obtenidos de los apellidos, nombre (s), fecha de nacimiento del titular, más una homoclave que establece el sistema automático del Servicio de Administración Tributaria.</w:t>
      </w:r>
    </w:p>
    <w:p w14:paraId="7F2F3A27" w14:textId="77777777" w:rsidR="00662479" w:rsidRPr="001D1971" w:rsidRDefault="00662479" w:rsidP="001D1971">
      <w:pPr>
        <w:tabs>
          <w:tab w:val="left" w:pos="709"/>
        </w:tabs>
      </w:pPr>
    </w:p>
    <w:p w14:paraId="51D6F190" w14:textId="77777777" w:rsidR="00662479" w:rsidRPr="001D1971" w:rsidRDefault="00662479" w:rsidP="001D1971">
      <w:pPr>
        <w:tabs>
          <w:tab w:val="left" w:pos="709"/>
        </w:tabs>
      </w:pPr>
      <w:r w:rsidRPr="001D1971">
        <w:t>Ahora bien, la clave del Registro Federal de Contribuyentes, es el medio de control que tiene la Secretaría de Hacienda y Crédito Público, a través del Servicio de Administración 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14:paraId="3DFE03D8" w14:textId="77777777" w:rsidR="00662479" w:rsidRPr="001D1971" w:rsidRDefault="00662479" w:rsidP="001D1971">
      <w:pPr>
        <w:tabs>
          <w:tab w:val="left" w:pos="709"/>
        </w:tabs>
      </w:pPr>
    </w:p>
    <w:p w14:paraId="54E649D6" w14:textId="77777777" w:rsidR="00662479" w:rsidRPr="001D1971" w:rsidRDefault="00662479" w:rsidP="001D1971">
      <w:pPr>
        <w:tabs>
          <w:tab w:val="left" w:pos="709"/>
        </w:tabs>
      </w:pPr>
      <w:r w:rsidRPr="001D1971">
        <w:t xml:space="preserve">Conforme a lo expuesto, el Registro Federal de Contribuyentes, es un dato personal, ya que hace a las personas físicas identificables, además de que las relaciona como contribuyentes de las autoridades fiscales. Es de destacar, que dicho dato únicamente sirve para efectos fiscales y pago de contribuciones, por lo que se trata de un dato relevante únicamente para las </w:t>
      </w:r>
      <w:r w:rsidRPr="001D1971">
        <w:lastRenderedPageBreak/>
        <w:t xml:space="preserve">personas involucradas en el pago de estos, en el presente caso, del pago del Impuesto Sobre el Producto del Trabajo. </w:t>
      </w:r>
    </w:p>
    <w:p w14:paraId="21AB84D0" w14:textId="77777777" w:rsidR="00662479" w:rsidRPr="001D1971" w:rsidRDefault="00662479" w:rsidP="001D1971">
      <w:pPr>
        <w:tabs>
          <w:tab w:val="left" w:pos="709"/>
        </w:tabs>
      </w:pPr>
    </w:p>
    <w:p w14:paraId="4C12F2E2" w14:textId="77777777" w:rsidR="00662479" w:rsidRPr="001D1971" w:rsidRDefault="00662479" w:rsidP="001D1971">
      <w:pPr>
        <w:tabs>
          <w:tab w:val="left" w:pos="709"/>
        </w:tabs>
      </w:pPr>
      <w:r w:rsidRPr="001D1971">
        <w:t>Lo anterior, resulta congruente con el Criterio 19/17 emitido por el entonces Instituto Nacional de Transparencia, Acceso a la Información y Protección de Datos Personales, en el cual se señala lo siguiente:</w:t>
      </w:r>
    </w:p>
    <w:p w14:paraId="0DFCA158" w14:textId="77777777" w:rsidR="00662479" w:rsidRPr="001D1971" w:rsidRDefault="00662479" w:rsidP="001D1971">
      <w:pPr>
        <w:pStyle w:val="Puesto"/>
        <w:ind w:left="851" w:right="822" w:firstLine="0"/>
        <w:rPr>
          <w:color w:val="auto"/>
        </w:rPr>
      </w:pPr>
      <w:r w:rsidRPr="001D1971">
        <w:rPr>
          <w:b/>
          <w:color w:val="auto"/>
        </w:rPr>
        <w:t>Registro Federal de Contribuyentes (RFC) de personas físicas</w:t>
      </w:r>
      <w:r w:rsidRPr="001D1971">
        <w:rPr>
          <w:color w:val="auto"/>
        </w:rPr>
        <w:t>. El RFC es una clave de carácter fiscal, única e irrepetible, que permite identificar al titular, su edad y fecha de nacimiento, por lo que es un dato personal de carácter confidencial.</w:t>
      </w:r>
    </w:p>
    <w:p w14:paraId="2FC66D42" w14:textId="77777777" w:rsidR="00662479" w:rsidRPr="001D1971" w:rsidRDefault="00662479" w:rsidP="001D1971">
      <w:pPr>
        <w:tabs>
          <w:tab w:val="left" w:pos="709"/>
        </w:tabs>
        <w:rPr>
          <w:i/>
        </w:rPr>
      </w:pPr>
    </w:p>
    <w:p w14:paraId="6A5A50F8" w14:textId="77777777" w:rsidR="00662479" w:rsidRPr="001D1971" w:rsidRDefault="00662479" w:rsidP="001D1971">
      <w:pPr>
        <w:tabs>
          <w:tab w:val="left" w:pos="709"/>
        </w:tabs>
        <w:rPr>
          <w:b/>
        </w:rPr>
      </w:pPr>
      <w:r w:rsidRPr="001D1971">
        <w:t xml:space="preserve">De tal suerte, el Registro Federal de Contribuyentes de los servidores públicos no guarda relación con la transparencia de los recursos públicos, así como tampoco con el desempeño laboral que pueda tener una persona, </w:t>
      </w:r>
      <w:r w:rsidRPr="001D1971">
        <w:rPr>
          <w:b/>
        </w:rPr>
        <w:t>por lo que constituye un dato personal confidencial al actualizar el supuesto normativo del artículo 143, fracción I de la Ley de Transparencia y Acceso a la Información Pública del Estado de México y Municipios.</w:t>
      </w:r>
    </w:p>
    <w:p w14:paraId="25E12BB0" w14:textId="77777777" w:rsidR="00662479" w:rsidRPr="001D1971" w:rsidRDefault="00662479" w:rsidP="001D1971">
      <w:pPr>
        <w:tabs>
          <w:tab w:val="left" w:pos="709"/>
        </w:tabs>
        <w:rPr>
          <w:b/>
        </w:rPr>
      </w:pPr>
    </w:p>
    <w:p w14:paraId="4A55C080" w14:textId="77777777" w:rsidR="00662479" w:rsidRPr="001D1971" w:rsidRDefault="00662479" w:rsidP="001D1971">
      <w:pPr>
        <w:ind w:right="50"/>
      </w:pPr>
      <w:r w:rsidRPr="001D1971">
        <w:t>Siendo importante resaltar que, si bien este Instituto ha sostenido que el RFC y domicilio de las personas físicas debe ser testado por los Sujetos Obligados, en las versiones públicas de los documentos que elaboren para atender las solicitudes de información pública,</w:t>
      </w:r>
      <w:r w:rsidRPr="001D1971">
        <w:rPr>
          <w:b/>
          <w:u w:val="single"/>
        </w:rPr>
        <w:t xml:space="preserve"> lo cierto es que tratándose de proveedores, prestadores de servicios o contratistas, dichos datos no deben ser suprimidos de las facturas y contratos que vayan a ser entregados.</w:t>
      </w:r>
    </w:p>
    <w:p w14:paraId="56C6C5DE" w14:textId="77777777" w:rsidR="00662479" w:rsidRPr="001D1971" w:rsidRDefault="00662479" w:rsidP="001D1971">
      <w:pPr>
        <w:ind w:right="50"/>
      </w:pPr>
    </w:p>
    <w:p w14:paraId="22A1A78C" w14:textId="77777777" w:rsidR="00662479" w:rsidRPr="001D1971" w:rsidRDefault="00662479" w:rsidP="001D1971">
      <w:pPr>
        <w:ind w:right="50"/>
      </w:pPr>
      <w:r w:rsidRPr="001D1971">
        <w:t xml:space="preserve">Ello se debe a que, del ejercicio de ponderación entre el derecho a la protección de datos personales con el derecho de acceso a la información pública, es de mayor trascendencia el que cualquier persona pueda conocer en qué se gastan los recursos públicos, puesto que se trata de erogaciones que realiza un órgano del Estado con base en los recursos que encuentran </w:t>
      </w:r>
      <w:r w:rsidRPr="001D1971">
        <w:lastRenderedPageBreak/>
        <w:t>su origen en mayor medida en las contribuciones aportados por los gobernados, por lo que debe transparentarse su ejercicio.</w:t>
      </w:r>
    </w:p>
    <w:p w14:paraId="2EA56DCB" w14:textId="77777777" w:rsidR="00662479" w:rsidRPr="001D1971" w:rsidRDefault="00662479" w:rsidP="001D1971">
      <w:pPr>
        <w:ind w:right="50"/>
      </w:pPr>
    </w:p>
    <w:p w14:paraId="1B71C69C" w14:textId="77777777" w:rsidR="00662479" w:rsidRPr="001D1971" w:rsidRDefault="00662479" w:rsidP="001D1971">
      <w:pPr>
        <w:ind w:right="50"/>
      </w:pPr>
      <w:r w:rsidRPr="001D1971">
        <w:t>Además, las personas físicas que realicen las actividades contratadas por las instituciones, renuncian implícitamente a una parte de su derecho a la intimidad al obtener beneficios y lucros de los recursos públicos por dicha contratación, por lo que no puede considerarse como información clasificada lo relativo a su nombre, registro federal de contribuyentes y domicilio fiscal, atento a que dicha información es la que puede generar certeza en los gobernados en que se está ejerciendo debidamente el presupuesto.</w:t>
      </w:r>
    </w:p>
    <w:p w14:paraId="76DD1B8C" w14:textId="77777777" w:rsidR="00662479" w:rsidRPr="001D1971" w:rsidRDefault="00662479" w:rsidP="001D1971">
      <w:pPr>
        <w:tabs>
          <w:tab w:val="left" w:pos="709"/>
        </w:tabs>
      </w:pPr>
    </w:p>
    <w:p w14:paraId="1B76B1A3" w14:textId="77777777" w:rsidR="00662479" w:rsidRPr="001D1971" w:rsidRDefault="00662479" w:rsidP="001D1971">
      <w:pPr>
        <w:numPr>
          <w:ilvl w:val="0"/>
          <w:numId w:val="17"/>
        </w:numPr>
        <w:tabs>
          <w:tab w:val="left" w:pos="709"/>
        </w:tabs>
        <w:rPr>
          <w:b/>
        </w:rPr>
      </w:pPr>
      <w:r w:rsidRPr="001D1971">
        <w:rPr>
          <w:b/>
        </w:rPr>
        <w:t>Clave Única de Registro de Población (CURP).</w:t>
      </w:r>
    </w:p>
    <w:p w14:paraId="338983B8" w14:textId="77777777" w:rsidR="00662479" w:rsidRPr="001D1971" w:rsidRDefault="00662479" w:rsidP="001D1971">
      <w:pPr>
        <w:tabs>
          <w:tab w:val="left" w:pos="709"/>
        </w:tabs>
      </w:pPr>
    </w:p>
    <w:p w14:paraId="3D8F0AF4" w14:textId="77777777" w:rsidR="00662479" w:rsidRPr="001D1971" w:rsidRDefault="00662479" w:rsidP="001D1971">
      <w:pPr>
        <w:tabs>
          <w:tab w:val="left" w:pos="709"/>
        </w:tabs>
      </w:pPr>
      <w:r w:rsidRPr="001D1971">
        <w:t xml:space="preserve">El artículo 36 de la Constitución Política de los Estados Unidos Mexicanos, dispone la obligación de los ciudadanos de inscribirse en el Registro Nacional de Ciudadanos. </w:t>
      </w:r>
    </w:p>
    <w:p w14:paraId="33A3F5B4" w14:textId="77777777" w:rsidR="00662479" w:rsidRPr="001D1971" w:rsidRDefault="00662479" w:rsidP="001D1971">
      <w:pPr>
        <w:tabs>
          <w:tab w:val="left" w:pos="709"/>
        </w:tabs>
      </w:pPr>
    </w:p>
    <w:p w14:paraId="3415C3AC" w14:textId="77777777" w:rsidR="00662479" w:rsidRPr="001D1971" w:rsidRDefault="00662479" w:rsidP="001D1971">
      <w:pPr>
        <w:tabs>
          <w:tab w:val="left" w:pos="709"/>
        </w:tabs>
      </w:pPr>
      <w:r w:rsidRPr="001D1971">
        <w:t>El artículo 85 de la Ley General de Población, prevé que corresponde a la Secretaría de Gobernación el registro y acreditación de la identidad de todas las personas residentes en el país y de los nacionales que residan en el extranjero.</w:t>
      </w:r>
    </w:p>
    <w:p w14:paraId="420069B0" w14:textId="77777777" w:rsidR="00662479" w:rsidRPr="001D1971" w:rsidRDefault="00662479" w:rsidP="001D1971">
      <w:pPr>
        <w:tabs>
          <w:tab w:val="left" w:pos="709"/>
        </w:tabs>
      </w:pPr>
    </w:p>
    <w:p w14:paraId="24E3545D" w14:textId="77777777" w:rsidR="00662479" w:rsidRPr="001D1971" w:rsidRDefault="00662479" w:rsidP="001D1971">
      <w:pPr>
        <w:tabs>
          <w:tab w:val="left" w:pos="709"/>
        </w:tabs>
      </w:pPr>
      <w:r w:rsidRPr="001D1971">
        <w:t>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14:paraId="40283BF1" w14:textId="77777777" w:rsidR="00662479" w:rsidRPr="001D1971" w:rsidRDefault="00662479" w:rsidP="001D1971">
      <w:pPr>
        <w:tabs>
          <w:tab w:val="left" w:pos="709"/>
        </w:tabs>
      </w:pPr>
    </w:p>
    <w:p w14:paraId="62906351" w14:textId="77777777" w:rsidR="00662479" w:rsidRPr="001D1971" w:rsidRDefault="00662479" w:rsidP="001D1971">
      <w:pPr>
        <w:tabs>
          <w:tab w:val="left" w:pos="709"/>
        </w:tabs>
      </w:pPr>
      <w:r w:rsidRPr="001D1971">
        <w:lastRenderedPageBreak/>
        <w:t xml:space="preserve">De conformidad con lo precisado por la propia Secretaría de Gobernación en la dirección </w:t>
      </w:r>
      <w:hyperlink r:id="rId11">
        <w:r w:rsidRPr="001D1971">
          <w:rPr>
            <w:u w:val="single"/>
          </w:rPr>
          <w:t>https://consultas.curp.gob.mx/CurpSP/html/informacionecurpPS.html</w:t>
        </w:r>
      </w:hyperlink>
      <w:r w:rsidRPr="001D1971">
        <w:t xml:space="preserve">, la Clave Única del Registro de Población –CURP-, es un instrumento de registro que se asigna a todas las personas que viven en el territorio nacional, así como a los mexicanos que residen en el extranjero y se compone de dieciocho elementos, representados por letras y números, que </w:t>
      </w:r>
      <w:r w:rsidRPr="001D1971">
        <w:rPr>
          <w:b/>
        </w:rPr>
        <w:t>se generan a partir de los datos contenidos en el documento probatorio de la identidad</w:t>
      </w:r>
      <w:r w:rsidRPr="001D1971">
        <w:t xml:space="preserve"> </w:t>
      </w:r>
      <w:r w:rsidRPr="001D1971">
        <w:rPr>
          <w:b/>
        </w:rPr>
        <w:t xml:space="preserve">del interesado </w:t>
      </w:r>
      <w:r w:rsidRPr="001D1971">
        <w:t>(acta de nacimiento, carta de naturalización o documento migratorio) de la siguiente forma:</w:t>
      </w:r>
    </w:p>
    <w:p w14:paraId="583F014D" w14:textId="77777777" w:rsidR="00662479" w:rsidRPr="001D1971" w:rsidRDefault="00662479" w:rsidP="001D1971">
      <w:pPr>
        <w:tabs>
          <w:tab w:val="left" w:pos="709"/>
        </w:tabs>
      </w:pPr>
      <w:r w:rsidRPr="001D1971">
        <w:t xml:space="preserve"> • El primero y segundo apellidos, así como al nombre de pila.</w:t>
      </w:r>
    </w:p>
    <w:p w14:paraId="0421CFE0" w14:textId="77777777" w:rsidR="00662479" w:rsidRPr="001D1971" w:rsidRDefault="00662479" w:rsidP="001D1971">
      <w:pPr>
        <w:tabs>
          <w:tab w:val="left" w:pos="709"/>
        </w:tabs>
      </w:pPr>
      <w:r w:rsidRPr="001D1971">
        <w:t xml:space="preserve"> • La fecha de nacimiento.</w:t>
      </w:r>
    </w:p>
    <w:p w14:paraId="2030833E" w14:textId="77777777" w:rsidR="00662479" w:rsidRPr="001D1971" w:rsidRDefault="00662479" w:rsidP="001D1971">
      <w:pPr>
        <w:tabs>
          <w:tab w:val="left" w:pos="709"/>
        </w:tabs>
      </w:pPr>
      <w:r w:rsidRPr="001D1971">
        <w:t xml:space="preserve"> • El sexo.</w:t>
      </w:r>
    </w:p>
    <w:p w14:paraId="0027A437" w14:textId="77777777" w:rsidR="00662479" w:rsidRPr="001D1971" w:rsidRDefault="00662479" w:rsidP="001D1971">
      <w:pPr>
        <w:tabs>
          <w:tab w:val="left" w:pos="709"/>
        </w:tabs>
      </w:pPr>
      <w:r w:rsidRPr="001D1971">
        <w:t xml:space="preserve"> • La entidad federativa de nacimiento.</w:t>
      </w:r>
    </w:p>
    <w:p w14:paraId="0BD3786C" w14:textId="77777777" w:rsidR="00662479" w:rsidRPr="001D1971" w:rsidRDefault="00662479" w:rsidP="001D1971">
      <w:pPr>
        <w:tabs>
          <w:tab w:val="left" w:pos="709"/>
        </w:tabs>
      </w:pPr>
    </w:p>
    <w:p w14:paraId="4ABF81AE" w14:textId="77777777" w:rsidR="00662479" w:rsidRPr="001D1971" w:rsidRDefault="00662479" w:rsidP="001D1971">
      <w:pPr>
        <w:tabs>
          <w:tab w:val="left" w:pos="709"/>
        </w:tabs>
      </w:pPr>
      <w:r w:rsidRPr="001D1971">
        <w:t>Los dos últimos elementos de la Clave Única de Registro de Población evitan la duplicidad de la Clave y garantizan su correcta integración.</w:t>
      </w:r>
    </w:p>
    <w:p w14:paraId="2FDECC24" w14:textId="77777777" w:rsidR="00662479" w:rsidRPr="001D1971" w:rsidRDefault="00662479" w:rsidP="001D1971">
      <w:pPr>
        <w:tabs>
          <w:tab w:val="left" w:pos="709"/>
        </w:tabs>
      </w:pPr>
    </w:p>
    <w:p w14:paraId="114A46C4" w14:textId="77777777" w:rsidR="00662479" w:rsidRPr="001D1971" w:rsidRDefault="00662479" w:rsidP="001D1971">
      <w:pPr>
        <w:tabs>
          <w:tab w:val="left" w:pos="709"/>
        </w:tabs>
      </w:pPr>
      <w:r w:rsidRPr="001D1971">
        <w:t>Como se desprende de lo anterior, la Clave Única de Registro de Población es un dato personal confidencial, ya que por sí sola brinda información personal de su titular y lo hace identificado e identificable, motivo por el cual se aprueba su eliminación de las versiones públicas, ya que además no guarda relación con el desempeño laboral de un individuo, simplemente se trata de un trámite administrativo requerido por la autoridad federal para hacer identificables a las personas.</w:t>
      </w:r>
    </w:p>
    <w:p w14:paraId="69897DD4" w14:textId="77777777" w:rsidR="00662479" w:rsidRPr="001D1971" w:rsidRDefault="00662479" w:rsidP="001D1971">
      <w:pPr>
        <w:tabs>
          <w:tab w:val="left" w:pos="709"/>
        </w:tabs>
      </w:pPr>
    </w:p>
    <w:p w14:paraId="5AAD29CC" w14:textId="77777777" w:rsidR="00662479" w:rsidRPr="001D1971" w:rsidRDefault="00662479" w:rsidP="001D1971">
      <w:pPr>
        <w:tabs>
          <w:tab w:val="left" w:pos="709"/>
        </w:tabs>
      </w:pPr>
      <w:r w:rsidRPr="001D1971">
        <w:t>Resulta aplicable en la especie, como argumento orientador, el Criterio 3/10, emitido por el entonces Instituto Nacional de Transparencia, Acceso a la Información y Protección de Datos Personales.</w:t>
      </w:r>
    </w:p>
    <w:p w14:paraId="0C7AC74C" w14:textId="77777777" w:rsidR="00662479" w:rsidRPr="001D1971" w:rsidRDefault="00662479" w:rsidP="001D1971">
      <w:pPr>
        <w:pStyle w:val="Puesto"/>
        <w:ind w:left="851" w:right="822" w:firstLine="0"/>
        <w:rPr>
          <w:color w:val="auto"/>
        </w:rPr>
      </w:pPr>
      <w:r w:rsidRPr="001D1971">
        <w:rPr>
          <w:b/>
          <w:color w:val="auto"/>
        </w:rPr>
        <w:lastRenderedPageBreak/>
        <w:t xml:space="preserve">Clave Única de Registro de Población (CURP) es un dato personal confidencial. </w:t>
      </w:r>
      <w:r w:rsidRPr="001D1971">
        <w:rPr>
          <w:color w:val="auto"/>
        </w:rPr>
        <w:t xml:space="preserve">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el artículos anteriormente señalados. </w:t>
      </w:r>
    </w:p>
    <w:p w14:paraId="5D3C66BB" w14:textId="77777777" w:rsidR="00662479" w:rsidRPr="001D1971" w:rsidRDefault="00662479" w:rsidP="001D1971">
      <w:pPr>
        <w:tabs>
          <w:tab w:val="left" w:pos="709"/>
        </w:tabs>
      </w:pPr>
    </w:p>
    <w:p w14:paraId="713DEFA5" w14:textId="77777777" w:rsidR="00662479" w:rsidRPr="001D1971" w:rsidRDefault="00662479" w:rsidP="001D1971">
      <w:pPr>
        <w:tabs>
          <w:tab w:val="left" w:pos="709"/>
        </w:tabs>
        <w:spacing w:after="240"/>
        <w:rPr>
          <w:b/>
        </w:rPr>
      </w:pPr>
      <w:r w:rsidRPr="001D1971">
        <w:t xml:space="preserve">De acuerdo con lo anterior, </w:t>
      </w:r>
      <w:r w:rsidRPr="001D1971">
        <w:rPr>
          <w:b/>
        </w:rPr>
        <w:t xml:space="preserve">la CURP es un dato que debe clasificarse, por tratarse de un dato personal confidencial, en términos del artículo 143, fracción I de la Ley de Transparencia y Acceso a la Información Pública del Estado de México y Municipios. </w:t>
      </w:r>
    </w:p>
    <w:p w14:paraId="0199C2AE" w14:textId="77777777" w:rsidR="00662479" w:rsidRPr="001D1971" w:rsidRDefault="00662479" w:rsidP="001D1971">
      <w:pPr>
        <w:numPr>
          <w:ilvl w:val="0"/>
          <w:numId w:val="17"/>
        </w:numPr>
        <w:tabs>
          <w:tab w:val="left" w:pos="709"/>
        </w:tabs>
        <w:rPr>
          <w:b/>
        </w:rPr>
      </w:pPr>
      <w:r w:rsidRPr="001D1971">
        <w:rPr>
          <w:b/>
        </w:rPr>
        <w:t>La credencial para votar</w:t>
      </w:r>
    </w:p>
    <w:p w14:paraId="02CE457C" w14:textId="77777777" w:rsidR="00662479" w:rsidRPr="001D1971" w:rsidRDefault="00662479" w:rsidP="001D1971">
      <w:pPr>
        <w:spacing w:before="280" w:after="240"/>
        <w:ind w:right="49"/>
      </w:pPr>
      <w:r w:rsidRPr="001D1971">
        <w:t xml:space="preserve">La credencial para votar constituye un documento que contiene datos personales como: el nombre, domicilio, huella digital, fotografía del elector, clave de registro o elector, Clave Única del Registro de Población y firma de su titular, tal como se refiere en el artículo 156 numeral 1, incisos d), g) e i) de la Ley General de Instituciones y Procedimientos Electorales que enlista los datos que, cuando menos, debe contener la credencial para votar, como son: </w:t>
      </w:r>
    </w:p>
    <w:p w14:paraId="1471CB91" w14:textId="77777777" w:rsidR="00662479" w:rsidRPr="001D1971" w:rsidRDefault="00662479" w:rsidP="001D1971">
      <w:pPr>
        <w:pStyle w:val="Puesto"/>
        <w:ind w:left="851" w:right="822" w:firstLine="0"/>
        <w:rPr>
          <w:b/>
          <w:color w:val="auto"/>
        </w:rPr>
      </w:pPr>
      <w:r w:rsidRPr="001D1971">
        <w:rPr>
          <w:color w:val="auto"/>
        </w:rPr>
        <w:t>“</w:t>
      </w:r>
      <w:r w:rsidRPr="001D1971">
        <w:rPr>
          <w:b/>
          <w:color w:val="auto"/>
        </w:rPr>
        <w:t xml:space="preserve">Artículo 156. </w:t>
      </w:r>
    </w:p>
    <w:p w14:paraId="6C9B3132" w14:textId="77777777" w:rsidR="00662479" w:rsidRPr="001D1971" w:rsidRDefault="00662479" w:rsidP="001D1971">
      <w:pPr>
        <w:pStyle w:val="Puesto"/>
        <w:ind w:left="851" w:right="822" w:firstLine="0"/>
        <w:rPr>
          <w:color w:val="auto"/>
        </w:rPr>
      </w:pPr>
      <w:r w:rsidRPr="001D1971">
        <w:rPr>
          <w:color w:val="auto"/>
        </w:rPr>
        <w:t xml:space="preserve">1. La credencial para votar deberá contener, cuando menos, los siguientes datos del elector: … </w:t>
      </w:r>
    </w:p>
    <w:p w14:paraId="18BB3BDC" w14:textId="77777777" w:rsidR="00662479" w:rsidRPr="001D1971" w:rsidRDefault="00662479" w:rsidP="001D1971">
      <w:pPr>
        <w:pStyle w:val="Puesto"/>
        <w:ind w:left="851" w:right="822" w:firstLine="0"/>
        <w:rPr>
          <w:color w:val="auto"/>
        </w:rPr>
      </w:pPr>
      <w:r w:rsidRPr="001D1971">
        <w:rPr>
          <w:color w:val="auto"/>
        </w:rPr>
        <w:t xml:space="preserve">d) Domicilio; … </w:t>
      </w:r>
    </w:p>
    <w:p w14:paraId="61F42197" w14:textId="77777777" w:rsidR="00662479" w:rsidRPr="001D1971" w:rsidRDefault="00662479" w:rsidP="001D1971">
      <w:pPr>
        <w:pStyle w:val="Puesto"/>
        <w:ind w:left="851" w:right="822" w:firstLine="0"/>
        <w:rPr>
          <w:color w:val="auto"/>
        </w:rPr>
      </w:pPr>
      <w:r w:rsidRPr="001D1971">
        <w:rPr>
          <w:color w:val="auto"/>
        </w:rPr>
        <w:t xml:space="preserve">g) Firma, huella digital y fotografía del elector; … </w:t>
      </w:r>
    </w:p>
    <w:p w14:paraId="6DB9804F" w14:textId="77777777" w:rsidR="00662479" w:rsidRPr="001D1971" w:rsidRDefault="00662479" w:rsidP="001D1971">
      <w:pPr>
        <w:pStyle w:val="Puesto"/>
        <w:ind w:left="851" w:right="822" w:firstLine="0"/>
        <w:rPr>
          <w:color w:val="auto"/>
        </w:rPr>
      </w:pPr>
      <w:r w:rsidRPr="001D1971">
        <w:rPr>
          <w:color w:val="auto"/>
        </w:rPr>
        <w:t xml:space="preserve">i) Clave Única del Registro de Población. ” </w:t>
      </w:r>
    </w:p>
    <w:p w14:paraId="007C4A78" w14:textId="77777777" w:rsidR="00662479" w:rsidRPr="001D1971" w:rsidRDefault="00662479" w:rsidP="001D1971">
      <w:pPr>
        <w:pStyle w:val="Puesto"/>
        <w:ind w:left="851" w:right="822" w:firstLine="0"/>
        <w:rPr>
          <w:color w:val="auto"/>
        </w:rPr>
      </w:pPr>
      <w:r w:rsidRPr="001D1971">
        <w:rPr>
          <w:color w:val="auto"/>
        </w:rPr>
        <w:t>(Énfasis añadido)</w:t>
      </w:r>
    </w:p>
    <w:p w14:paraId="3B418322" w14:textId="77777777" w:rsidR="00662479" w:rsidRPr="001D1971" w:rsidRDefault="00662479" w:rsidP="001D1971">
      <w:pPr>
        <w:spacing w:before="280"/>
        <w:ind w:right="49"/>
      </w:pPr>
      <w:r w:rsidRPr="001D1971">
        <w:lastRenderedPageBreak/>
        <w:t xml:space="preserve">Así, el conocimiento de dichos datos afecta la esfera más íntima de su Titular, en razón de que todos los elementos contenidos en la credencial hacen a su titular, identificado, identificable. </w:t>
      </w:r>
    </w:p>
    <w:p w14:paraId="5B508944" w14:textId="77777777" w:rsidR="00662479" w:rsidRPr="001D1971" w:rsidRDefault="00662479" w:rsidP="001D1971">
      <w:pPr>
        <w:spacing w:before="280"/>
        <w:ind w:right="49"/>
      </w:pPr>
      <w:r w:rsidRPr="001D1971">
        <w:t>Asimismo, en el caso particular de la clave de elector, debe precisarse que es un código alfa numérico compuesto por letras de los apellidos y nombre de la persona, seguido de la fecha de nacimiento y finalmente una serie de números indispensables para su inscripción en el Registro Federal de Electores que, a su vez, hace identificable a la persona que corresponde dicha credencial para votar, tan es así, que el Sistema de Administración Tributaria en su catálogo de trámites contempla como identificación oficial los siguientes documentos:</w:t>
      </w:r>
    </w:p>
    <w:p w14:paraId="3BAED9CF" w14:textId="77777777" w:rsidR="00662479" w:rsidRPr="001D1971" w:rsidRDefault="00662479" w:rsidP="001D1971">
      <w:pPr>
        <w:spacing w:before="280"/>
        <w:ind w:right="49"/>
      </w:pPr>
      <w:r w:rsidRPr="001D1971">
        <w:t xml:space="preserve">Respecto a la edad, número identificador (OCR) y código de barras bidimensional y cifrado contenidos en las credenciales para votar, se advierte que se trata de elementos de información, control y presentación, de conformidad a lo señalado por el Instituto Nacional Electoral, en la página de Internet Institucional </w:t>
      </w:r>
      <w:hyperlink r:id="rId12">
        <w:r w:rsidRPr="001D1971">
          <w:rPr>
            <w:u w:val="single"/>
          </w:rPr>
          <w:t>https://www.ine.mx/wp-content/uploads/2022/10/DERFEABCCREDENCIAL2022.pdf</w:t>
        </w:r>
      </w:hyperlink>
      <w:r w:rsidRPr="001D1971">
        <w:t xml:space="preserve">     </w:t>
      </w:r>
    </w:p>
    <w:p w14:paraId="3DE6A773" w14:textId="77777777" w:rsidR="00662479" w:rsidRPr="001D1971" w:rsidRDefault="00662479" w:rsidP="001D1971">
      <w:pPr>
        <w:spacing w:before="280"/>
        <w:ind w:right="49"/>
      </w:pPr>
      <w:r w:rsidRPr="001D1971">
        <w:t xml:space="preserve">En esa tesitura, en el caso del número identificador (OCR), debe precisarse que éste es generalmente utilizado en la realización de diversas operaciones bancarias y, en algunos casos, como un medio de identificación de las personas, por lo cual, su conocimiento y utilización, concierne únicamente a su titular. </w:t>
      </w:r>
    </w:p>
    <w:p w14:paraId="54B2CB08" w14:textId="77777777" w:rsidR="00662479" w:rsidRPr="001D1971" w:rsidRDefault="00662479" w:rsidP="001D1971">
      <w:pPr>
        <w:spacing w:before="280"/>
        <w:ind w:right="49"/>
      </w:pPr>
      <w:r w:rsidRPr="001D1971">
        <w:t xml:space="preserve">En el caso de la edad, se trata de un dato personal sensible que concierne únicamente a su titular, al corresponder a su esfera más íntima. </w:t>
      </w:r>
    </w:p>
    <w:p w14:paraId="6A23CD17" w14:textId="77777777" w:rsidR="00662479" w:rsidRPr="001D1971" w:rsidRDefault="00662479" w:rsidP="001D1971">
      <w:pPr>
        <w:spacing w:before="280"/>
        <w:ind w:right="49"/>
      </w:pPr>
      <w:r w:rsidRPr="001D1971">
        <w:t xml:space="preserve">El código de barras bidimensional y credenciales para votar, contiene datos e información, utilizada para efectos electorales, misma, que únicamente concierne a las autoridades competentes en la materia y a su propio titular. </w:t>
      </w:r>
    </w:p>
    <w:p w14:paraId="7A7FEDBA" w14:textId="77777777" w:rsidR="00662479" w:rsidRPr="001D1971" w:rsidRDefault="00662479" w:rsidP="001D1971">
      <w:pPr>
        <w:spacing w:before="280" w:after="240"/>
        <w:ind w:right="49"/>
      </w:pPr>
      <w:r w:rsidRPr="001D1971">
        <w:lastRenderedPageBreak/>
        <w:t xml:space="preserve">De acuerdo con lo anterior, resulta procedente la clasificación de la credencial para votar en su totalidad, por tratarse de un dato personal confidencial, en términos del artículo 143, fracción I, de la Ley de Transparencia y Acceso a la Información Pública del Estado de México y Municipios. </w:t>
      </w:r>
    </w:p>
    <w:p w14:paraId="18CFFAE0" w14:textId="77777777" w:rsidR="00662479" w:rsidRPr="001D1971" w:rsidRDefault="00662479" w:rsidP="001D1971">
      <w:pPr>
        <w:spacing w:before="280" w:after="240"/>
        <w:ind w:right="49"/>
      </w:pPr>
    </w:p>
    <w:p w14:paraId="7DD8120D" w14:textId="023C98BD" w:rsidR="005B4188" w:rsidRPr="001D1971" w:rsidRDefault="001D1971" w:rsidP="001D1971">
      <w:pPr>
        <w:pStyle w:val="Ttulo3"/>
        <w:spacing w:line="360" w:lineRule="auto"/>
      </w:pPr>
      <w:bookmarkStart w:id="30" w:name="_Toc206614569"/>
      <w:r>
        <w:t>d</w:t>
      </w:r>
      <w:r w:rsidR="00E97926" w:rsidRPr="001D1971">
        <w:t>) Conclusión</w:t>
      </w:r>
      <w:bookmarkEnd w:id="30"/>
    </w:p>
    <w:p w14:paraId="65398324" w14:textId="77777777" w:rsidR="005B4188" w:rsidRPr="001D1971" w:rsidRDefault="00E97926" w:rsidP="001D1971">
      <w:pPr>
        <w:widowControl w:val="0"/>
        <w:tabs>
          <w:tab w:val="left" w:pos="1701"/>
          <w:tab w:val="left" w:pos="1843"/>
        </w:tabs>
        <w:spacing w:after="240"/>
      </w:pPr>
      <w:r w:rsidRPr="001D1971">
        <w:t xml:space="preserve">En razón de lo anteriormente expuesto, este Instituto estima que las razones o motivos de inconformidad hechos valer por </w:t>
      </w:r>
      <w:r w:rsidRPr="001D1971">
        <w:rPr>
          <w:b/>
        </w:rPr>
        <w:t>EL RECURRENTE</w:t>
      </w:r>
      <w:r w:rsidRPr="001D1971">
        <w:t xml:space="preserve"> devienen </w:t>
      </w:r>
      <w:r w:rsidRPr="001D1971">
        <w:rPr>
          <w:b/>
        </w:rPr>
        <w:t>fundadas</w:t>
      </w:r>
      <w:r w:rsidRPr="001D1971">
        <w:t xml:space="preserve">; motivo por el cual, este Órgano Garante determina </w:t>
      </w:r>
      <w:r w:rsidR="00662479" w:rsidRPr="001D1971">
        <w:rPr>
          <w:b/>
        </w:rPr>
        <w:t>MODIFI</w:t>
      </w:r>
      <w:r w:rsidRPr="001D1971">
        <w:rPr>
          <w:b/>
        </w:rPr>
        <w:t xml:space="preserve">CAR </w:t>
      </w:r>
      <w:r w:rsidRPr="001D1971">
        <w:t xml:space="preserve">la respuesta otorgada por </w:t>
      </w:r>
      <w:r w:rsidRPr="001D1971">
        <w:rPr>
          <w:b/>
        </w:rPr>
        <w:t xml:space="preserve">EL SUJETO OBLIGADO, </w:t>
      </w:r>
      <w:r w:rsidRPr="001D1971">
        <w:t>en términos del artículo 186, fracción III de la Ley de Transparencia y Acceso a la Información Pública del Estado de México y Municipios por las razones expuestas en el presente considerando.</w:t>
      </w:r>
    </w:p>
    <w:p w14:paraId="57DFB09F" w14:textId="77777777" w:rsidR="005B4188" w:rsidRPr="001D1971" w:rsidRDefault="00E97926" w:rsidP="001D1971">
      <w:pPr>
        <w:spacing w:after="240"/>
        <w:ind w:right="-93"/>
      </w:pPr>
      <w:r w:rsidRPr="001D1971">
        <w:t>Así, con fundamento en lo establecido en los artículos 5, párrafos trigésimo séptimo, trigésimo octavo y trigésimo noveno fracciones IV y V, 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67D20863" w14:textId="77777777" w:rsidR="005B4188" w:rsidRPr="001D1971" w:rsidRDefault="00E97926" w:rsidP="001D1971">
      <w:pPr>
        <w:pStyle w:val="Ttulo1"/>
      </w:pPr>
      <w:bookmarkStart w:id="31" w:name="_Toc206614570"/>
      <w:r w:rsidRPr="001D1971">
        <w:t>RESUELVE</w:t>
      </w:r>
      <w:bookmarkEnd w:id="31"/>
    </w:p>
    <w:p w14:paraId="7F989E05" w14:textId="77777777" w:rsidR="005B4188" w:rsidRPr="001D1971" w:rsidRDefault="005B4188" w:rsidP="001D1971"/>
    <w:p w14:paraId="1CF320C7" w14:textId="2469EE06" w:rsidR="005B4188" w:rsidRPr="001D1971" w:rsidRDefault="00E97926" w:rsidP="001D1971">
      <w:pPr>
        <w:widowControl w:val="0"/>
      </w:pPr>
      <w:r w:rsidRPr="001D1971">
        <w:rPr>
          <w:b/>
        </w:rPr>
        <w:t>PRIMERO.</w:t>
      </w:r>
      <w:r w:rsidRPr="001D1971">
        <w:t xml:space="preserve"> Se </w:t>
      </w:r>
      <w:r w:rsidR="00AE6050" w:rsidRPr="001D1971">
        <w:rPr>
          <w:b/>
        </w:rPr>
        <w:t>M</w:t>
      </w:r>
      <w:r w:rsidRPr="001D1971">
        <w:rPr>
          <w:b/>
        </w:rPr>
        <w:t>O</w:t>
      </w:r>
      <w:r w:rsidR="00AE6050" w:rsidRPr="001D1971">
        <w:rPr>
          <w:b/>
        </w:rPr>
        <w:t>DIFI</w:t>
      </w:r>
      <w:r w:rsidRPr="001D1971">
        <w:rPr>
          <w:b/>
        </w:rPr>
        <w:t xml:space="preserve">CA </w:t>
      </w:r>
      <w:r w:rsidRPr="001D1971">
        <w:t xml:space="preserve">la respuesta entregada por el </w:t>
      </w:r>
      <w:r w:rsidRPr="001D1971">
        <w:rPr>
          <w:b/>
        </w:rPr>
        <w:t>SUJETO OBLIGADO</w:t>
      </w:r>
      <w:r w:rsidRPr="001D1971">
        <w:t xml:space="preserve"> en la solicitud de información </w:t>
      </w:r>
      <w:r w:rsidR="00AE6050" w:rsidRPr="001D1971">
        <w:rPr>
          <w:b/>
        </w:rPr>
        <w:t>00287/TEOLOYU/IP/2025</w:t>
      </w:r>
      <w:r w:rsidRPr="001D1971">
        <w:t xml:space="preserve">, por resultar </w:t>
      </w:r>
      <w:r w:rsidRPr="001D1971">
        <w:rPr>
          <w:b/>
        </w:rPr>
        <w:t>FUNDADAS</w:t>
      </w:r>
      <w:r w:rsidRPr="001D1971">
        <w:t xml:space="preserve"> las razones o motivos de inconformidad hechos valer por </w:t>
      </w:r>
      <w:r w:rsidRPr="001D1971">
        <w:rPr>
          <w:b/>
        </w:rPr>
        <w:t>LA PARTE RECURRENTE</w:t>
      </w:r>
      <w:r w:rsidRPr="001D1971">
        <w:t xml:space="preserve"> en el Recurso de Revisión </w:t>
      </w:r>
      <w:r w:rsidR="00AE6050" w:rsidRPr="001D1971">
        <w:rPr>
          <w:b/>
        </w:rPr>
        <w:t>05877</w:t>
      </w:r>
      <w:r w:rsidR="00143416" w:rsidRPr="001D1971">
        <w:rPr>
          <w:b/>
        </w:rPr>
        <w:t>/INFOEM/IP/RR/2025</w:t>
      </w:r>
      <w:r w:rsidRPr="001D1971">
        <w:t>,</w:t>
      </w:r>
      <w:r w:rsidRPr="001D1971">
        <w:rPr>
          <w:b/>
        </w:rPr>
        <w:t xml:space="preserve"> </w:t>
      </w:r>
      <w:r w:rsidRPr="001D1971">
        <w:t xml:space="preserve">en términos del considerando </w:t>
      </w:r>
      <w:r w:rsidRPr="001D1971">
        <w:rPr>
          <w:b/>
        </w:rPr>
        <w:t>SEGUNDO</w:t>
      </w:r>
      <w:r w:rsidRPr="001D1971">
        <w:t xml:space="preserve"> de la presente Resolución.</w:t>
      </w:r>
    </w:p>
    <w:p w14:paraId="634C0352" w14:textId="77777777" w:rsidR="005B4188" w:rsidRPr="001D1971" w:rsidRDefault="00E97926" w:rsidP="001D1971">
      <w:pPr>
        <w:spacing w:after="240"/>
        <w:ind w:right="-93"/>
      </w:pPr>
      <w:r w:rsidRPr="001D1971">
        <w:rPr>
          <w:b/>
        </w:rPr>
        <w:lastRenderedPageBreak/>
        <w:t>SEGUNDO.</w:t>
      </w:r>
      <w:r w:rsidRPr="001D1971">
        <w:t xml:space="preserve"> Se </w:t>
      </w:r>
      <w:r w:rsidRPr="001D1971">
        <w:rPr>
          <w:b/>
        </w:rPr>
        <w:t xml:space="preserve">ORDENA </w:t>
      </w:r>
      <w:r w:rsidRPr="001D1971">
        <w:t xml:space="preserve">al </w:t>
      </w:r>
      <w:r w:rsidRPr="001D1971">
        <w:rPr>
          <w:b/>
        </w:rPr>
        <w:t>SUJETO OBLIGADO</w:t>
      </w:r>
      <w:r w:rsidRPr="001D1971">
        <w:t xml:space="preserve">, a efecto de que entregue a través del </w:t>
      </w:r>
      <w:r w:rsidRPr="001D1971">
        <w:rPr>
          <w:b/>
        </w:rPr>
        <w:t>SAIMEX</w:t>
      </w:r>
      <w:r w:rsidR="00CF10EB" w:rsidRPr="001D1971">
        <w:t xml:space="preserve"> </w:t>
      </w:r>
      <w:r w:rsidRPr="001D1971">
        <w:t xml:space="preserve">en </w:t>
      </w:r>
      <w:r w:rsidRPr="001D1971">
        <w:rPr>
          <w:b/>
        </w:rPr>
        <w:t>versión pública</w:t>
      </w:r>
      <w:r w:rsidR="00662479" w:rsidRPr="001D1971">
        <w:rPr>
          <w:b/>
        </w:rPr>
        <w:t xml:space="preserve"> de ser procedente</w:t>
      </w:r>
      <w:r w:rsidRPr="001D1971">
        <w:t>, lo siguiente:</w:t>
      </w:r>
    </w:p>
    <w:p w14:paraId="661C896E" w14:textId="77777777" w:rsidR="00DC4D25" w:rsidRPr="001D1971" w:rsidRDefault="00CF10EB" w:rsidP="001D1971">
      <w:pPr>
        <w:pStyle w:val="Puesto"/>
        <w:spacing w:after="240"/>
        <w:ind w:left="851" w:right="822" w:firstLine="0"/>
        <w:rPr>
          <w:color w:val="auto"/>
        </w:rPr>
      </w:pPr>
      <w:r w:rsidRPr="001D1971">
        <w:rPr>
          <w:color w:val="auto"/>
        </w:rPr>
        <w:t>1.-</w:t>
      </w:r>
      <w:r w:rsidR="00DC4D25" w:rsidRPr="001D1971">
        <w:rPr>
          <w:color w:val="auto"/>
        </w:rPr>
        <w:t>L</w:t>
      </w:r>
      <w:r w:rsidR="00662479" w:rsidRPr="001D1971">
        <w:rPr>
          <w:color w:val="auto"/>
        </w:rPr>
        <w:t>os contratos remitidos en respues</w:t>
      </w:r>
      <w:r w:rsidR="00DC4D25" w:rsidRPr="001D1971">
        <w:rPr>
          <w:color w:val="auto"/>
        </w:rPr>
        <w:t>ta primigenia de manera legible.</w:t>
      </w:r>
    </w:p>
    <w:p w14:paraId="36D6E313" w14:textId="06275445" w:rsidR="00DC4D25" w:rsidRPr="001D1971" w:rsidRDefault="00DC4D25" w:rsidP="001D1971">
      <w:pPr>
        <w:pStyle w:val="Puesto"/>
        <w:spacing w:after="240"/>
        <w:ind w:left="851" w:right="822" w:firstLine="0"/>
        <w:rPr>
          <w:color w:val="auto"/>
        </w:rPr>
      </w:pPr>
      <w:r w:rsidRPr="001D1971">
        <w:rPr>
          <w:color w:val="auto"/>
        </w:rPr>
        <w:t>2.- Los convenios, contratos y licitaciones públicas para la contratación de obras, que ha realizado el gobierno municipal, del 1 de enero al 30 de abril de 2025</w:t>
      </w:r>
      <w:r w:rsidR="00896FB7" w:rsidRPr="001D1971">
        <w:rPr>
          <w:color w:val="auto"/>
        </w:rPr>
        <w:t>.</w:t>
      </w:r>
    </w:p>
    <w:p w14:paraId="0593C828" w14:textId="77777777" w:rsidR="005B4188" w:rsidRPr="001D1971" w:rsidRDefault="00E97926" w:rsidP="001D1971">
      <w:pPr>
        <w:ind w:right="49"/>
      </w:pPr>
      <w:r w:rsidRPr="001D1971">
        <w:t>Para las versiones públicas, se deberá entregar el Acuerdo del Comité de Transparencia mediante el cual se apruebe la clasificación de información, en términos del artículo 49, fracción VIII de la Ley de Transparencia y Acceso a la Información Pública del Estado de México y Municipios.</w:t>
      </w:r>
    </w:p>
    <w:p w14:paraId="11725FB4" w14:textId="77777777" w:rsidR="00CF10EB" w:rsidRPr="001D1971" w:rsidRDefault="00CF10EB" w:rsidP="001D1971">
      <w:pPr>
        <w:ind w:right="49"/>
      </w:pPr>
    </w:p>
    <w:p w14:paraId="6BCE4691" w14:textId="77777777" w:rsidR="005B4188" w:rsidRPr="001D1971" w:rsidRDefault="00E97926" w:rsidP="001D1971">
      <w:pPr>
        <w:ind w:right="49"/>
      </w:pPr>
      <w:r w:rsidRPr="001D1971">
        <w:rPr>
          <w:b/>
        </w:rPr>
        <w:t>TERCERO.</w:t>
      </w:r>
      <w:r w:rsidRPr="001D1971">
        <w:t xml:space="preserve"> </w:t>
      </w:r>
      <w:r w:rsidRPr="001D1971">
        <w:rPr>
          <w:b/>
        </w:rPr>
        <w:t xml:space="preserve">Notifíquese </w:t>
      </w:r>
      <w:r w:rsidRPr="001D1971">
        <w:t xml:space="preserve">vía Sistema de Acceso a la Información Mexiquense </w:t>
      </w:r>
      <w:r w:rsidRPr="001D1971">
        <w:rPr>
          <w:b/>
        </w:rPr>
        <w:t>(SAIMEX)</w:t>
      </w:r>
      <w:r w:rsidRPr="001D1971">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3762222" w14:textId="77777777" w:rsidR="009C541C" w:rsidRPr="001D1971" w:rsidRDefault="009C541C" w:rsidP="001D1971">
      <w:pPr>
        <w:ind w:right="49"/>
      </w:pPr>
    </w:p>
    <w:p w14:paraId="46085D20" w14:textId="5C70BD10" w:rsidR="005B4188" w:rsidRDefault="00E97926" w:rsidP="001D1971">
      <w:pPr>
        <w:rPr>
          <w:b/>
        </w:rPr>
      </w:pPr>
      <w:r w:rsidRPr="001D1971">
        <w:rPr>
          <w:b/>
        </w:rPr>
        <w:t>CUARTO.</w:t>
      </w:r>
      <w:r w:rsidRPr="001D1971">
        <w:t xml:space="preserve"> Notifíquese a </w:t>
      </w:r>
      <w:r w:rsidRPr="001D1971">
        <w:rPr>
          <w:b/>
        </w:rPr>
        <w:t>LA PARTE RECURRENTE</w:t>
      </w:r>
      <w:r w:rsidRPr="001D1971">
        <w:t xml:space="preserve"> la presente resolución vía Sistema de Acceso a la Información Mexiquense </w:t>
      </w:r>
      <w:r w:rsidRPr="001D1971">
        <w:rPr>
          <w:b/>
        </w:rPr>
        <w:t>(SAIMEX).</w:t>
      </w:r>
    </w:p>
    <w:p w14:paraId="6C11EA99" w14:textId="77777777" w:rsidR="001D1971" w:rsidRPr="001D1971" w:rsidRDefault="001D1971" w:rsidP="001D1971">
      <w:pPr>
        <w:rPr>
          <w:b/>
        </w:rPr>
      </w:pPr>
    </w:p>
    <w:p w14:paraId="1A5107A4" w14:textId="77777777" w:rsidR="005B4188" w:rsidRPr="001D1971" w:rsidRDefault="00E97926" w:rsidP="001D1971">
      <w:r w:rsidRPr="001D1971">
        <w:rPr>
          <w:b/>
        </w:rPr>
        <w:lastRenderedPageBreak/>
        <w:t>QUINTO</w:t>
      </w:r>
      <w:r w:rsidRPr="001D1971">
        <w:t xml:space="preserve">. Hágase del conocimiento a </w:t>
      </w:r>
      <w:r w:rsidRPr="001D1971">
        <w:rPr>
          <w:b/>
        </w:rPr>
        <w:t>LA PARTE RECURRENTE</w:t>
      </w:r>
      <w:r w:rsidRPr="001D1971">
        <w:t xml:space="preserve"> que, de conformidad con lo establecido en el artículo 196 de la Ley de Transparencia y Acceso a la Información Pública del Estado de México y Municipios, podrá impugnar la presente resolución vía Juicio de Amparo en los términos de las leyes aplicables.</w:t>
      </w:r>
    </w:p>
    <w:p w14:paraId="319ECE62" w14:textId="77777777" w:rsidR="00662479" w:rsidRPr="001D1971" w:rsidRDefault="00662479" w:rsidP="001D1971"/>
    <w:p w14:paraId="6F938B39" w14:textId="77777777" w:rsidR="005B4188" w:rsidRPr="001D1971" w:rsidRDefault="00E97926" w:rsidP="001D1971">
      <w:r w:rsidRPr="001D1971">
        <w:rPr>
          <w:b/>
        </w:rPr>
        <w:t>SEXTO.</w:t>
      </w:r>
      <w:r w:rsidRPr="001D1971">
        <w:t xml:space="preserve"> De conformidad con el artículo 198 de la Ley de Transparencia y Acceso a la Información Pública del Estado de México y Municipios, el </w:t>
      </w:r>
      <w:r w:rsidRPr="001D1971">
        <w:rPr>
          <w:b/>
        </w:rPr>
        <w:t>SUJETO OBLIGADO</w:t>
      </w:r>
      <w:r w:rsidRPr="001D1971">
        <w:t xml:space="preserve"> podrá solicitar una ampliación de plazo de manera fundada y motivada, para el cumplimiento de la presente resolución.</w:t>
      </w:r>
    </w:p>
    <w:p w14:paraId="0A50EBF1" w14:textId="77777777" w:rsidR="00662479" w:rsidRPr="001D1971" w:rsidRDefault="00662479" w:rsidP="001D1971"/>
    <w:p w14:paraId="5D78351F" w14:textId="76F0381D" w:rsidR="005B4188" w:rsidRPr="001D1971" w:rsidRDefault="000C784D" w:rsidP="001D1971">
      <w:r w:rsidRPr="001D1971">
        <w:t>ASÍ LO RESUELVE, POR UNANIMIDAD DE VOTOS EL PLENO DEL INSTITUTO DE TRANSPARENCIA, ACCESO A LA INFORMACIÓN PÚBLICA Y PROTECCIÓN DE DATOS PERSONALES DEL ESTADO DE MÉXICO Y MUNICIPIOS, CONFORMADO POR LOS COMISIONADOS JOSÉ MARTÍNEZ VILCHIS (AUSENCIA JUSTIFICADA), MARÍA DEL ROSARIO MEJÍA AYALA, SHARON CRISTINA MORALES MARTÍNEZ, LUIS GUSTAVO PARRA NORIEGA Y GUADALUPE RAMÍREZ PEÑA, EN LA VIGÉSIMA NOVENA SESIÓN ORDINARIA, CELEBRADA EL VEINTE DE AGOSTO DE DOS MIL VEINTICINCO ANTE EL SECRETARIO TÉCNICO DEL PLENO, ALEXIS TAPIA RAMÍREZ</w:t>
      </w:r>
      <w:r w:rsidR="00E97926" w:rsidRPr="001D1971">
        <w:t>.</w:t>
      </w:r>
    </w:p>
    <w:p w14:paraId="679AC56B" w14:textId="77777777" w:rsidR="005B4188" w:rsidRPr="001D1971" w:rsidRDefault="00E97926" w:rsidP="001D1971">
      <w:pPr>
        <w:rPr>
          <w:sz w:val="20"/>
          <w:szCs w:val="20"/>
        </w:rPr>
      </w:pPr>
      <w:r w:rsidRPr="001D1971">
        <w:rPr>
          <w:sz w:val="20"/>
          <w:szCs w:val="20"/>
        </w:rPr>
        <w:t>SCMM/AGZ/DEMF/CMP</w:t>
      </w:r>
    </w:p>
    <w:p w14:paraId="37948DF0" w14:textId="77777777" w:rsidR="005B4188" w:rsidRPr="001D1971" w:rsidRDefault="005B4188" w:rsidP="001D1971"/>
    <w:p w14:paraId="5915F186" w14:textId="77777777" w:rsidR="005B4188" w:rsidRPr="001D1971" w:rsidRDefault="005B4188" w:rsidP="001D1971">
      <w:pPr>
        <w:ind w:right="-93"/>
      </w:pPr>
    </w:p>
    <w:p w14:paraId="39DF8A81" w14:textId="77777777" w:rsidR="005B4188" w:rsidRPr="001D1971" w:rsidRDefault="005B4188" w:rsidP="001D1971">
      <w:pPr>
        <w:ind w:right="-93"/>
      </w:pPr>
    </w:p>
    <w:p w14:paraId="4FD1551F" w14:textId="77777777" w:rsidR="005B4188" w:rsidRPr="001D1971" w:rsidRDefault="005B4188" w:rsidP="001D1971">
      <w:pPr>
        <w:ind w:right="-93"/>
      </w:pPr>
    </w:p>
    <w:p w14:paraId="2CBB736F" w14:textId="77777777" w:rsidR="005B4188" w:rsidRPr="001D1971" w:rsidRDefault="005B4188" w:rsidP="001D1971">
      <w:pPr>
        <w:ind w:right="-93"/>
      </w:pPr>
    </w:p>
    <w:p w14:paraId="2E4835C1" w14:textId="77777777" w:rsidR="005B4188" w:rsidRPr="001D1971" w:rsidRDefault="005B4188" w:rsidP="001D1971">
      <w:pPr>
        <w:ind w:right="-93"/>
      </w:pPr>
    </w:p>
    <w:p w14:paraId="2342EB15" w14:textId="77777777" w:rsidR="005B4188" w:rsidRPr="001D1971" w:rsidRDefault="005B4188" w:rsidP="001D1971">
      <w:pPr>
        <w:ind w:right="-93"/>
      </w:pPr>
    </w:p>
    <w:p w14:paraId="5941406C" w14:textId="77777777" w:rsidR="005B4188" w:rsidRPr="001D1971" w:rsidRDefault="005B4188" w:rsidP="001D1971">
      <w:pPr>
        <w:ind w:right="-93"/>
      </w:pPr>
    </w:p>
    <w:p w14:paraId="37514720" w14:textId="77777777" w:rsidR="005B4188" w:rsidRPr="001D1971" w:rsidRDefault="005B4188" w:rsidP="001D1971">
      <w:pPr>
        <w:ind w:right="-93"/>
      </w:pPr>
    </w:p>
    <w:p w14:paraId="442272F0" w14:textId="77777777" w:rsidR="005B4188" w:rsidRPr="001D1971" w:rsidRDefault="005B4188" w:rsidP="001D1971">
      <w:pPr>
        <w:tabs>
          <w:tab w:val="center" w:pos="4568"/>
        </w:tabs>
        <w:ind w:right="-93"/>
      </w:pPr>
    </w:p>
    <w:p w14:paraId="78A032A2" w14:textId="77777777" w:rsidR="005B4188" w:rsidRPr="001D1971" w:rsidRDefault="005B4188" w:rsidP="001D1971">
      <w:pPr>
        <w:tabs>
          <w:tab w:val="center" w:pos="4568"/>
        </w:tabs>
        <w:ind w:right="-93"/>
      </w:pPr>
    </w:p>
    <w:p w14:paraId="34C35BB3" w14:textId="77777777" w:rsidR="005B4188" w:rsidRPr="001D1971" w:rsidRDefault="005B4188" w:rsidP="001D1971">
      <w:pPr>
        <w:tabs>
          <w:tab w:val="center" w:pos="4568"/>
        </w:tabs>
        <w:ind w:right="-93"/>
      </w:pPr>
    </w:p>
    <w:p w14:paraId="45A1BCC4" w14:textId="77777777" w:rsidR="005B4188" w:rsidRPr="001D1971" w:rsidRDefault="005B4188" w:rsidP="001D1971">
      <w:pPr>
        <w:tabs>
          <w:tab w:val="center" w:pos="4568"/>
        </w:tabs>
        <w:ind w:right="-93"/>
      </w:pPr>
    </w:p>
    <w:p w14:paraId="68D383C4" w14:textId="77777777" w:rsidR="005B4188" w:rsidRPr="001D1971" w:rsidRDefault="005B4188" w:rsidP="001D1971">
      <w:pPr>
        <w:tabs>
          <w:tab w:val="center" w:pos="4568"/>
        </w:tabs>
        <w:ind w:right="-93"/>
      </w:pPr>
    </w:p>
    <w:p w14:paraId="1572EADF" w14:textId="77777777" w:rsidR="005B4188" w:rsidRPr="001D1971" w:rsidRDefault="005B4188" w:rsidP="001D1971">
      <w:pPr>
        <w:tabs>
          <w:tab w:val="center" w:pos="4568"/>
        </w:tabs>
        <w:ind w:right="-93"/>
      </w:pPr>
    </w:p>
    <w:p w14:paraId="74A9195E" w14:textId="77777777" w:rsidR="005B4188" w:rsidRPr="001D1971" w:rsidRDefault="005B4188" w:rsidP="001D1971">
      <w:pPr>
        <w:tabs>
          <w:tab w:val="center" w:pos="4568"/>
        </w:tabs>
        <w:ind w:right="-93"/>
      </w:pPr>
    </w:p>
    <w:p w14:paraId="163F195F" w14:textId="77777777" w:rsidR="005B4188" w:rsidRPr="001D1971" w:rsidRDefault="005B4188" w:rsidP="001D1971">
      <w:pPr>
        <w:tabs>
          <w:tab w:val="center" w:pos="4568"/>
        </w:tabs>
        <w:ind w:right="-93"/>
      </w:pPr>
    </w:p>
    <w:p w14:paraId="0DBD0C7C" w14:textId="77777777" w:rsidR="005B4188" w:rsidRPr="001D1971" w:rsidRDefault="005B4188" w:rsidP="001D1971">
      <w:pPr>
        <w:tabs>
          <w:tab w:val="center" w:pos="4568"/>
        </w:tabs>
        <w:ind w:right="-93"/>
      </w:pPr>
    </w:p>
    <w:p w14:paraId="2894A2A7" w14:textId="77777777" w:rsidR="005B4188" w:rsidRPr="001D1971" w:rsidRDefault="005B4188" w:rsidP="001D1971">
      <w:pPr>
        <w:tabs>
          <w:tab w:val="center" w:pos="4568"/>
        </w:tabs>
        <w:ind w:right="-93"/>
      </w:pPr>
    </w:p>
    <w:p w14:paraId="69309D95" w14:textId="77777777" w:rsidR="005B4188" w:rsidRPr="001D1971" w:rsidRDefault="005B4188" w:rsidP="001D1971">
      <w:pPr>
        <w:tabs>
          <w:tab w:val="center" w:pos="4568"/>
        </w:tabs>
        <w:ind w:right="-93"/>
      </w:pPr>
    </w:p>
    <w:p w14:paraId="091A50D2" w14:textId="77777777" w:rsidR="005B4188" w:rsidRPr="001D1971" w:rsidRDefault="005B4188" w:rsidP="001D1971">
      <w:pPr>
        <w:tabs>
          <w:tab w:val="center" w:pos="4568"/>
        </w:tabs>
        <w:ind w:right="-93"/>
      </w:pPr>
    </w:p>
    <w:p w14:paraId="519B4D26" w14:textId="77777777" w:rsidR="005B4188" w:rsidRPr="001D1971" w:rsidRDefault="005B4188" w:rsidP="001D1971">
      <w:pPr>
        <w:tabs>
          <w:tab w:val="center" w:pos="4568"/>
        </w:tabs>
        <w:ind w:right="-93"/>
      </w:pPr>
    </w:p>
    <w:p w14:paraId="4DEB81DF" w14:textId="77777777" w:rsidR="005B4188" w:rsidRPr="001D1971" w:rsidRDefault="005B4188" w:rsidP="001D1971">
      <w:pPr>
        <w:tabs>
          <w:tab w:val="center" w:pos="4568"/>
        </w:tabs>
        <w:ind w:right="-93"/>
      </w:pPr>
    </w:p>
    <w:p w14:paraId="5EE22466" w14:textId="77777777" w:rsidR="005B4188" w:rsidRPr="001D1971" w:rsidRDefault="005B4188" w:rsidP="001D1971">
      <w:pPr>
        <w:tabs>
          <w:tab w:val="center" w:pos="4568"/>
        </w:tabs>
        <w:ind w:right="-93"/>
      </w:pPr>
    </w:p>
    <w:p w14:paraId="249B3579" w14:textId="77777777" w:rsidR="005B4188" w:rsidRPr="001D1971" w:rsidRDefault="005B4188" w:rsidP="001D1971">
      <w:pPr>
        <w:tabs>
          <w:tab w:val="center" w:pos="4568"/>
        </w:tabs>
        <w:ind w:right="-93"/>
      </w:pPr>
    </w:p>
    <w:p w14:paraId="715F2351" w14:textId="77777777" w:rsidR="005B4188" w:rsidRPr="001D1971" w:rsidRDefault="005B4188" w:rsidP="001D1971"/>
    <w:sectPr w:rsidR="005B4188" w:rsidRPr="001D1971">
      <w:footerReference w:type="default" r:id="rId13"/>
      <w:pgSz w:w="12240" w:h="15840"/>
      <w:pgMar w:top="2552" w:right="1608" w:bottom="1701" w:left="1588" w:header="709" w:footer="73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CC8F55" w14:textId="77777777" w:rsidR="00EE787C" w:rsidRDefault="00EE787C">
      <w:pPr>
        <w:spacing w:line="240" w:lineRule="auto"/>
      </w:pPr>
      <w:r>
        <w:separator/>
      </w:r>
    </w:p>
  </w:endnote>
  <w:endnote w:type="continuationSeparator" w:id="0">
    <w:p w14:paraId="1DF83D3B" w14:textId="77777777" w:rsidR="00EE787C" w:rsidRDefault="00EE787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Arial"/>
    <w:charset w:val="00"/>
    <w:family w:val="swiss"/>
    <w:pitch w:val="variable"/>
    <w:sig w:usb0="20000287" w:usb1="00000003" w:usb2="00000000" w:usb3="00000000" w:csb0="0000019F" w:csb1="00000000"/>
  </w:font>
  <w:font w:name="Aptos">
    <w:altName w:val="Arial"/>
    <w:charset w:val="00"/>
    <w:family w:val="swiss"/>
    <w:pitch w:val="variable"/>
    <w:sig w:usb0="20000287" w:usb1="00000003"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Palatino">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FEC3C7" w14:textId="77777777" w:rsidR="00F10DFC" w:rsidRDefault="00F10DFC">
    <w:pPr>
      <w:tabs>
        <w:tab w:val="center" w:pos="4550"/>
        <w:tab w:val="left" w:pos="5818"/>
      </w:tabs>
      <w:ind w:right="260"/>
      <w:jc w:val="right"/>
      <w:rPr>
        <w:color w:val="071320"/>
        <w:sz w:val="24"/>
        <w:szCs w:val="24"/>
      </w:rPr>
    </w:pPr>
  </w:p>
  <w:p w14:paraId="7AA99AA8" w14:textId="77777777" w:rsidR="00F10DFC" w:rsidRDefault="00F10DFC">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B6866E" w14:textId="46A6913D" w:rsidR="00F10DFC" w:rsidRDefault="00F10DFC">
    <w:pPr>
      <w:tabs>
        <w:tab w:val="center" w:pos="4550"/>
        <w:tab w:val="left" w:pos="5818"/>
      </w:tabs>
      <w:ind w:right="260"/>
      <w:jc w:val="right"/>
      <w:rPr>
        <w:color w:val="071320"/>
        <w:sz w:val="24"/>
        <w:szCs w:val="24"/>
      </w:rPr>
    </w:pPr>
    <w:r>
      <w:rPr>
        <w:color w:val="2C7FCE"/>
        <w:sz w:val="24"/>
        <w:szCs w:val="24"/>
      </w:rPr>
      <w:t xml:space="preserve">Página </w:t>
    </w:r>
    <w:r>
      <w:rPr>
        <w:color w:val="0A1D30"/>
        <w:sz w:val="24"/>
        <w:szCs w:val="24"/>
      </w:rPr>
      <w:fldChar w:fldCharType="begin"/>
    </w:r>
    <w:r>
      <w:rPr>
        <w:color w:val="0A1D30"/>
        <w:sz w:val="24"/>
        <w:szCs w:val="24"/>
      </w:rPr>
      <w:instrText>PAGE</w:instrText>
    </w:r>
    <w:r>
      <w:rPr>
        <w:color w:val="0A1D30"/>
        <w:sz w:val="24"/>
        <w:szCs w:val="24"/>
      </w:rPr>
      <w:fldChar w:fldCharType="separate"/>
    </w:r>
    <w:r w:rsidR="00424514">
      <w:rPr>
        <w:noProof/>
        <w:color w:val="0A1D30"/>
        <w:sz w:val="24"/>
        <w:szCs w:val="24"/>
      </w:rPr>
      <w:t>45</w:t>
    </w:r>
    <w:r>
      <w:rPr>
        <w:color w:val="0A1D30"/>
        <w:sz w:val="24"/>
        <w:szCs w:val="24"/>
      </w:rPr>
      <w:fldChar w:fldCharType="end"/>
    </w:r>
    <w:r>
      <w:rPr>
        <w:color w:val="0A1D30"/>
        <w:sz w:val="24"/>
        <w:szCs w:val="24"/>
      </w:rPr>
      <w:t xml:space="preserve"> | </w:t>
    </w:r>
    <w:r>
      <w:rPr>
        <w:color w:val="0A1D30"/>
        <w:sz w:val="24"/>
        <w:szCs w:val="24"/>
      </w:rPr>
      <w:fldChar w:fldCharType="begin"/>
    </w:r>
    <w:r>
      <w:rPr>
        <w:color w:val="0A1D30"/>
        <w:sz w:val="24"/>
        <w:szCs w:val="24"/>
      </w:rPr>
      <w:instrText>NUMPAGES</w:instrText>
    </w:r>
    <w:r>
      <w:rPr>
        <w:color w:val="0A1D30"/>
        <w:sz w:val="24"/>
        <w:szCs w:val="24"/>
      </w:rPr>
      <w:fldChar w:fldCharType="separate"/>
    </w:r>
    <w:r w:rsidR="00424514">
      <w:rPr>
        <w:noProof/>
        <w:color w:val="0A1D30"/>
        <w:sz w:val="24"/>
        <w:szCs w:val="24"/>
      </w:rPr>
      <w:t>46</w:t>
    </w:r>
    <w:r>
      <w:rPr>
        <w:color w:val="0A1D30"/>
        <w:sz w:val="24"/>
        <w:szCs w:val="24"/>
      </w:rPr>
      <w:fldChar w:fldCharType="end"/>
    </w:r>
  </w:p>
  <w:p w14:paraId="1D4FF471" w14:textId="77777777" w:rsidR="00F10DFC" w:rsidRDefault="00F10DFC">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FD5087" w14:textId="77777777" w:rsidR="00EE787C" w:rsidRDefault="00EE787C">
      <w:pPr>
        <w:spacing w:line="240" w:lineRule="auto"/>
      </w:pPr>
      <w:r>
        <w:separator/>
      </w:r>
    </w:p>
  </w:footnote>
  <w:footnote w:type="continuationSeparator" w:id="0">
    <w:p w14:paraId="786D39D4" w14:textId="77777777" w:rsidR="00EE787C" w:rsidRDefault="00EE787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AFEC91" w14:textId="77777777" w:rsidR="00F10DFC" w:rsidRDefault="00F10DFC">
    <w:pPr>
      <w:widowControl w:val="0"/>
      <w:pBdr>
        <w:top w:val="nil"/>
        <w:left w:val="nil"/>
        <w:bottom w:val="nil"/>
        <w:right w:val="nil"/>
        <w:between w:val="nil"/>
      </w:pBdr>
      <w:spacing w:line="276" w:lineRule="auto"/>
      <w:jc w:val="left"/>
      <w:rPr>
        <w:rFonts w:ascii="Aptos" w:eastAsia="Aptos" w:hAnsi="Aptos" w:cs="Aptos"/>
        <w:color w:val="000000"/>
        <w:sz w:val="20"/>
        <w:szCs w:val="20"/>
      </w:rPr>
    </w:pPr>
  </w:p>
  <w:tbl>
    <w:tblPr>
      <w:tblStyle w:val="a"/>
      <w:tblW w:w="6129" w:type="dxa"/>
      <w:jc w:val="right"/>
      <w:tblInd w:w="0" w:type="dxa"/>
      <w:tblBorders>
        <w:top w:val="nil"/>
        <w:left w:val="nil"/>
        <w:bottom w:val="nil"/>
        <w:right w:val="nil"/>
        <w:insideH w:val="nil"/>
        <w:insideV w:val="nil"/>
      </w:tblBorders>
      <w:tblLayout w:type="fixed"/>
      <w:tblLook w:val="0400" w:firstRow="0" w:lastRow="0" w:firstColumn="0" w:lastColumn="0" w:noHBand="0" w:noVBand="1"/>
    </w:tblPr>
    <w:tblGrid>
      <w:gridCol w:w="2727"/>
      <w:gridCol w:w="3402"/>
    </w:tblGrid>
    <w:tr w:rsidR="00F10DFC" w14:paraId="494CD598" w14:textId="77777777">
      <w:trPr>
        <w:trHeight w:val="144"/>
        <w:jc w:val="right"/>
      </w:trPr>
      <w:tc>
        <w:tcPr>
          <w:tcW w:w="2727" w:type="dxa"/>
        </w:tcPr>
        <w:p w14:paraId="511353E3" w14:textId="77777777" w:rsidR="00F10DFC" w:rsidRDefault="00F10DFC">
          <w:pPr>
            <w:tabs>
              <w:tab w:val="right" w:pos="8838"/>
            </w:tabs>
            <w:ind w:left="-74" w:right="-105"/>
            <w:rPr>
              <w:b/>
            </w:rPr>
          </w:pPr>
          <w:r>
            <w:rPr>
              <w:b/>
            </w:rPr>
            <w:t>Recurso de Revisión:</w:t>
          </w:r>
        </w:p>
      </w:tc>
      <w:tc>
        <w:tcPr>
          <w:tcW w:w="3402" w:type="dxa"/>
        </w:tcPr>
        <w:p w14:paraId="6D8603CE" w14:textId="77777777" w:rsidR="00F10DFC" w:rsidRDefault="00F10DFC">
          <w:pPr>
            <w:tabs>
              <w:tab w:val="right" w:pos="8838"/>
            </w:tabs>
            <w:ind w:left="-74" w:right="-105"/>
          </w:pPr>
          <w:r w:rsidRPr="00107C1B">
            <w:t>05877/INFOEM/IP/RR/2025</w:t>
          </w:r>
        </w:p>
      </w:tc>
    </w:tr>
    <w:tr w:rsidR="00F10DFC" w14:paraId="6F9D05C7" w14:textId="77777777">
      <w:trPr>
        <w:trHeight w:val="283"/>
        <w:jc w:val="right"/>
      </w:trPr>
      <w:tc>
        <w:tcPr>
          <w:tcW w:w="2727" w:type="dxa"/>
        </w:tcPr>
        <w:p w14:paraId="23AB0774" w14:textId="77777777" w:rsidR="00F10DFC" w:rsidRDefault="00F10DFC">
          <w:pPr>
            <w:tabs>
              <w:tab w:val="right" w:pos="8838"/>
            </w:tabs>
            <w:ind w:left="-74" w:right="-105"/>
            <w:rPr>
              <w:b/>
            </w:rPr>
          </w:pPr>
          <w:r>
            <w:rPr>
              <w:b/>
            </w:rPr>
            <w:t>Sujeto Obligado:</w:t>
          </w:r>
        </w:p>
      </w:tc>
      <w:tc>
        <w:tcPr>
          <w:tcW w:w="3402" w:type="dxa"/>
        </w:tcPr>
        <w:p w14:paraId="7349C1CF" w14:textId="77777777" w:rsidR="00F10DFC" w:rsidRDefault="00F10DFC">
          <w:pPr>
            <w:tabs>
              <w:tab w:val="left" w:pos="2834"/>
              <w:tab w:val="right" w:pos="8838"/>
            </w:tabs>
            <w:ind w:left="-108" w:right="-105"/>
          </w:pPr>
          <w:r w:rsidRPr="00107C1B">
            <w:t>Ayuntamiento de Teoloyucan</w:t>
          </w:r>
        </w:p>
      </w:tc>
    </w:tr>
    <w:tr w:rsidR="00F10DFC" w14:paraId="786DFBFD" w14:textId="77777777">
      <w:trPr>
        <w:trHeight w:val="283"/>
        <w:jc w:val="right"/>
      </w:trPr>
      <w:tc>
        <w:tcPr>
          <w:tcW w:w="2727" w:type="dxa"/>
        </w:tcPr>
        <w:p w14:paraId="75F38C90" w14:textId="77777777" w:rsidR="00F10DFC" w:rsidRDefault="00F10DFC">
          <w:pPr>
            <w:tabs>
              <w:tab w:val="right" w:pos="8838"/>
            </w:tabs>
            <w:ind w:left="-74" w:right="-105"/>
            <w:rPr>
              <w:b/>
            </w:rPr>
          </w:pPr>
          <w:r>
            <w:rPr>
              <w:b/>
            </w:rPr>
            <w:t>Comisionada Ponente:</w:t>
          </w:r>
        </w:p>
      </w:tc>
      <w:tc>
        <w:tcPr>
          <w:tcW w:w="3402" w:type="dxa"/>
        </w:tcPr>
        <w:p w14:paraId="1B647876" w14:textId="77777777" w:rsidR="00F10DFC" w:rsidRDefault="00F10DFC">
          <w:pPr>
            <w:tabs>
              <w:tab w:val="right" w:pos="8838"/>
            </w:tabs>
            <w:ind w:left="-108" w:right="-105"/>
          </w:pPr>
          <w:r>
            <w:t>Sharon Cristina Morales Martínez</w:t>
          </w:r>
        </w:p>
      </w:tc>
    </w:tr>
  </w:tbl>
  <w:p w14:paraId="2E6910CC" w14:textId="77777777" w:rsidR="00F10DFC" w:rsidRDefault="00F10DFC">
    <w:pPr>
      <w:pBdr>
        <w:top w:val="nil"/>
        <w:left w:val="nil"/>
        <w:bottom w:val="nil"/>
        <w:right w:val="nil"/>
        <w:between w:val="nil"/>
      </w:pBdr>
      <w:tabs>
        <w:tab w:val="center" w:pos="4419"/>
        <w:tab w:val="right" w:pos="8838"/>
        <w:tab w:val="center" w:pos="4522"/>
        <w:tab w:val="left" w:pos="6203"/>
      </w:tabs>
      <w:rPr>
        <w:color w:val="000000"/>
        <w:sz w:val="14"/>
        <w:szCs w:val="14"/>
      </w:rPr>
    </w:pPr>
    <w:r>
      <w:rPr>
        <w:rFonts w:ascii="Garamond" w:eastAsia="Garamond" w:hAnsi="Garamond" w:cs="Garamond"/>
        <w:noProof/>
        <w:color w:val="000000"/>
        <w:sz w:val="16"/>
        <w:szCs w:val="16"/>
      </w:rPr>
      <w:drawing>
        <wp:anchor distT="0" distB="0" distL="0" distR="0" simplePos="0" relativeHeight="251657216" behindDoc="1" locked="0" layoutInCell="1" hidden="0" allowOverlap="1" wp14:anchorId="05903D0A" wp14:editId="09826D7F">
          <wp:simplePos x="0" y="0"/>
          <wp:positionH relativeFrom="margin">
            <wp:posOffset>-995043</wp:posOffset>
          </wp:positionH>
          <wp:positionV relativeFrom="margin">
            <wp:posOffset>-1782444</wp:posOffset>
          </wp:positionV>
          <wp:extent cx="8426450" cy="10972800"/>
          <wp:effectExtent l="0" t="0" r="0" b="0"/>
          <wp:wrapNone/>
          <wp:docPr id="21596445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8426450" cy="10972800"/>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787E3E" w14:textId="77777777" w:rsidR="00F10DFC" w:rsidRDefault="00F10DFC">
    <w:pPr>
      <w:widowControl w:val="0"/>
      <w:pBdr>
        <w:top w:val="nil"/>
        <w:left w:val="nil"/>
        <w:bottom w:val="nil"/>
        <w:right w:val="nil"/>
        <w:between w:val="nil"/>
      </w:pBdr>
      <w:spacing w:line="276" w:lineRule="auto"/>
      <w:jc w:val="left"/>
      <w:rPr>
        <w:color w:val="000000"/>
        <w:sz w:val="14"/>
        <w:szCs w:val="14"/>
      </w:rPr>
    </w:pPr>
  </w:p>
  <w:tbl>
    <w:tblPr>
      <w:tblStyle w:val="a0"/>
      <w:tblW w:w="6661" w:type="dxa"/>
      <w:tblInd w:w="2552" w:type="dxa"/>
      <w:tblLayout w:type="fixed"/>
      <w:tblLook w:val="0400" w:firstRow="0" w:lastRow="0" w:firstColumn="0" w:lastColumn="0" w:noHBand="0" w:noVBand="1"/>
    </w:tblPr>
    <w:tblGrid>
      <w:gridCol w:w="283"/>
      <w:gridCol w:w="6378"/>
    </w:tblGrid>
    <w:tr w:rsidR="00F10DFC" w14:paraId="6CB18E55" w14:textId="77777777">
      <w:trPr>
        <w:trHeight w:val="1435"/>
      </w:trPr>
      <w:tc>
        <w:tcPr>
          <w:tcW w:w="283" w:type="dxa"/>
          <w:shd w:val="clear" w:color="auto" w:fill="auto"/>
        </w:tcPr>
        <w:p w14:paraId="628FBAEE" w14:textId="77777777" w:rsidR="00F10DFC" w:rsidRDefault="00F10DFC">
          <w:pPr>
            <w:tabs>
              <w:tab w:val="right" w:pos="4273"/>
            </w:tabs>
            <w:rPr>
              <w:rFonts w:ascii="Garamond" w:eastAsia="Garamond" w:hAnsi="Garamond" w:cs="Garamond"/>
            </w:rPr>
          </w:pPr>
        </w:p>
      </w:tc>
      <w:tc>
        <w:tcPr>
          <w:tcW w:w="6379" w:type="dxa"/>
          <w:shd w:val="clear" w:color="auto" w:fill="auto"/>
        </w:tcPr>
        <w:p w14:paraId="3F033552" w14:textId="77777777" w:rsidR="00F10DFC" w:rsidRDefault="00F10DFC">
          <w:pPr>
            <w:widowControl w:val="0"/>
            <w:pBdr>
              <w:top w:val="nil"/>
              <w:left w:val="nil"/>
              <w:bottom w:val="nil"/>
              <w:right w:val="nil"/>
              <w:between w:val="nil"/>
            </w:pBdr>
            <w:spacing w:line="276" w:lineRule="auto"/>
            <w:jc w:val="left"/>
            <w:rPr>
              <w:rFonts w:ascii="Garamond" w:eastAsia="Garamond" w:hAnsi="Garamond" w:cs="Garamond"/>
            </w:rPr>
          </w:pPr>
        </w:p>
        <w:tbl>
          <w:tblPr>
            <w:tblStyle w:val="a1"/>
            <w:tblW w:w="9531"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727"/>
            <w:gridCol w:w="3402"/>
            <w:gridCol w:w="3402"/>
          </w:tblGrid>
          <w:tr w:rsidR="00F10DFC" w14:paraId="3011A933" w14:textId="77777777">
            <w:trPr>
              <w:trHeight w:val="144"/>
            </w:trPr>
            <w:tc>
              <w:tcPr>
                <w:tcW w:w="2727" w:type="dxa"/>
              </w:tcPr>
              <w:p w14:paraId="7921641A" w14:textId="77777777" w:rsidR="00F10DFC" w:rsidRDefault="00F10DFC">
                <w:pPr>
                  <w:tabs>
                    <w:tab w:val="right" w:pos="8838"/>
                  </w:tabs>
                  <w:ind w:left="-74" w:right="-105"/>
                  <w:rPr>
                    <w:b/>
                  </w:rPr>
                </w:pPr>
                <w:bookmarkStart w:id="1" w:name="_heading=h.u16s3ek3q0q" w:colFirst="0" w:colLast="0"/>
                <w:bookmarkEnd w:id="1"/>
                <w:r>
                  <w:rPr>
                    <w:b/>
                  </w:rPr>
                  <w:t>Recurso de Revisión:</w:t>
                </w:r>
              </w:p>
            </w:tc>
            <w:tc>
              <w:tcPr>
                <w:tcW w:w="3402" w:type="dxa"/>
              </w:tcPr>
              <w:p w14:paraId="110A2712" w14:textId="77777777" w:rsidR="00F10DFC" w:rsidRDefault="00F10DFC">
                <w:pPr>
                  <w:tabs>
                    <w:tab w:val="right" w:pos="8838"/>
                  </w:tabs>
                  <w:ind w:left="-74" w:right="-105"/>
                </w:pPr>
                <w:r w:rsidRPr="00107C1B">
                  <w:t>05877/INFOEM/IP/RR/2025</w:t>
                </w:r>
              </w:p>
            </w:tc>
            <w:tc>
              <w:tcPr>
                <w:tcW w:w="3402" w:type="dxa"/>
              </w:tcPr>
              <w:p w14:paraId="4D898720" w14:textId="77777777" w:rsidR="00F10DFC" w:rsidRDefault="00F10DFC">
                <w:pPr>
                  <w:tabs>
                    <w:tab w:val="right" w:pos="8838"/>
                  </w:tabs>
                  <w:ind w:left="-74" w:right="-105"/>
                </w:pPr>
              </w:p>
            </w:tc>
          </w:tr>
          <w:tr w:rsidR="00F10DFC" w14:paraId="6C33A60E" w14:textId="77777777">
            <w:trPr>
              <w:trHeight w:val="144"/>
            </w:trPr>
            <w:tc>
              <w:tcPr>
                <w:tcW w:w="2727" w:type="dxa"/>
              </w:tcPr>
              <w:p w14:paraId="3094C373" w14:textId="77777777" w:rsidR="00F10DFC" w:rsidRDefault="00F10DFC">
                <w:pPr>
                  <w:tabs>
                    <w:tab w:val="right" w:pos="8838"/>
                  </w:tabs>
                  <w:ind w:left="-74" w:right="-105"/>
                  <w:rPr>
                    <w:b/>
                  </w:rPr>
                </w:pPr>
                <w:bookmarkStart w:id="2" w:name="_heading=h.92534ks9uvk8" w:colFirst="0" w:colLast="0"/>
                <w:bookmarkEnd w:id="2"/>
                <w:r>
                  <w:rPr>
                    <w:b/>
                  </w:rPr>
                  <w:t>Recurrente:</w:t>
                </w:r>
              </w:p>
            </w:tc>
            <w:tc>
              <w:tcPr>
                <w:tcW w:w="3402" w:type="dxa"/>
              </w:tcPr>
              <w:p w14:paraId="561AD5E9" w14:textId="77777777" w:rsidR="00F10DFC" w:rsidRDefault="00F10DFC">
                <w:pPr>
                  <w:tabs>
                    <w:tab w:val="left" w:pos="3122"/>
                    <w:tab w:val="right" w:pos="8838"/>
                  </w:tabs>
                  <w:ind w:left="-105" w:right="-105"/>
                </w:pPr>
              </w:p>
            </w:tc>
            <w:tc>
              <w:tcPr>
                <w:tcW w:w="3402" w:type="dxa"/>
              </w:tcPr>
              <w:p w14:paraId="5E8D4241" w14:textId="77777777" w:rsidR="00F10DFC" w:rsidRDefault="00F10DFC">
                <w:pPr>
                  <w:tabs>
                    <w:tab w:val="left" w:pos="3122"/>
                    <w:tab w:val="right" w:pos="8838"/>
                  </w:tabs>
                  <w:ind w:left="-105" w:right="-105"/>
                </w:pPr>
              </w:p>
            </w:tc>
          </w:tr>
          <w:tr w:rsidR="00F10DFC" w14:paraId="0B817EC5" w14:textId="77777777">
            <w:trPr>
              <w:trHeight w:val="283"/>
            </w:trPr>
            <w:tc>
              <w:tcPr>
                <w:tcW w:w="2727" w:type="dxa"/>
              </w:tcPr>
              <w:p w14:paraId="14765D40" w14:textId="77777777" w:rsidR="00F10DFC" w:rsidRDefault="00F10DFC">
                <w:pPr>
                  <w:tabs>
                    <w:tab w:val="right" w:pos="8838"/>
                  </w:tabs>
                  <w:ind w:left="-74" w:right="-105"/>
                  <w:rPr>
                    <w:b/>
                  </w:rPr>
                </w:pPr>
                <w:r>
                  <w:rPr>
                    <w:b/>
                  </w:rPr>
                  <w:t>Sujeto Obligado:</w:t>
                </w:r>
              </w:p>
            </w:tc>
            <w:tc>
              <w:tcPr>
                <w:tcW w:w="3402" w:type="dxa"/>
              </w:tcPr>
              <w:p w14:paraId="1BE424F6" w14:textId="77777777" w:rsidR="00F10DFC" w:rsidRDefault="00F10DFC">
                <w:pPr>
                  <w:tabs>
                    <w:tab w:val="left" w:pos="2834"/>
                    <w:tab w:val="right" w:pos="8838"/>
                  </w:tabs>
                  <w:ind w:left="-108" w:right="-105"/>
                </w:pPr>
                <w:r w:rsidRPr="00107C1B">
                  <w:t>Ayuntamiento de Teoloyucan</w:t>
                </w:r>
              </w:p>
            </w:tc>
            <w:tc>
              <w:tcPr>
                <w:tcW w:w="3402" w:type="dxa"/>
              </w:tcPr>
              <w:p w14:paraId="1A6ABA80" w14:textId="77777777" w:rsidR="00F10DFC" w:rsidRDefault="00F10DFC">
                <w:pPr>
                  <w:tabs>
                    <w:tab w:val="left" w:pos="2834"/>
                    <w:tab w:val="right" w:pos="8838"/>
                  </w:tabs>
                  <w:ind w:left="-108" w:right="-105"/>
                </w:pPr>
              </w:p>
            </w:tc>
          </w:tr>
          <w:tr w:rsidR="00F10DFC" w14:paraId="4166CFF0" w14:textId="77777777">
            <w:trPr>
              <w:trHeight w:val="283"/>
            </w:trPr>
            <w:tc>
              <w:tcPr>
                <w:tcW w:w="2727" w:type="dxa"/>
              </w:tcPr>
              <w:p w14:paraId="01E8FCE0" w14:textId="77777777" w:rsidR="00F10DFC" w:rsidRDefault="00F10DFC">
                <w:pPr>
                  <w:tabs>
                    <w:tab w:val="right" w:pos="8838"/>
                  </w:tabs>
                  <w:ind w:left="-74" w:right="-105"/>
                  <w:rPr>
                    <w:b/>
                  </w:rPr>
                </w:pPr>
                <w:r>
                  <w:rPr>
                    <w:b/>
                  </w:rPr>
                  <w:t>Comisionada Ponente:</w:t>
                </w:r>
              </w:p>
            </w:tc>
            <w:tc>
              <w:tcPr>
                <w:tcW w:w="3402" w:type="dxa"/>
              </w:tcPr>
              <w:p w14:paraId="6239BE6B" w14:textId="77777777" w:rsidR="00F10DFC" w:rsidRDefault="00F10DFC">
                <w:pPr>
                  <w:tabs>
                    <w:tab w:val="right" w:pos="8838"/>
                  </w:tabs>
                  <w:ind w:left="-108" w:right="-105"/>
                </w:pPr>
                <w:r>
                  <w:t>Sharon Cristina Morales Martínez</w:t>
                </w:r>
              </w:p>
            </w:tc>
            <w:tc>
              <w:tcPr>
                <w:tcW w:w="3402" w:type="dxa"/>
              </w:tcPr>
              <w:p w14:paraId="5C4AECAF" w14:textId="77777777" w:rsidR="00F10DFC" w:rsidRDefault="00F10DFC">
                <w:pPr>
                  <w:tabs>
                    <w:tab w:val="right" w:pos="8838"/>
                  </w:tabs>
                  <w:ind w:left="-108" w:right="-105"/>
                </w:pPr>
              </w:p>
            </w:tc>
          </w:tr>
        </w:tbl>
        <w:p w14:paraId="20440647" w14:textId="77777777" w:rsidR="00F10DFC" w:rsidRDefault="00F10DFC">
          <w:pPr>
            <w:tabs>
              <w:tab w:val="right" w:pos="8838"/>
            </w:tabs>
            <w:ind w:left="-28"/>
            <w:rPr>
              <w:rFonts w:ascii="Arial" w:eastAsia="Arial" w:hAnsi="Arial" w:cs="Arial"/>
              <w:b/>
            </w:rPr>
          </w:pPr>
        </w:p>
      </w:tc>
    </w:tr>
  </w:tbl>
  <w:p w14:paraId="72AE4A16" w14:textId="77777777" w:rsidR="00F10DFC" w:rsidRDefault="00424514">
    <w:pPr>
      <w:pBdr>
        <w:top w:val="nil"/>
        <w:left w:val="nil"/>
        <w:bottom w:val="nil"/>
        <w:right w:val="nil"/>
        <w:between w:val="nil"/>
      </w:pBdr>
      <w:tabs>
        <w:tab w:val="center" w:pos="4419"/>
        <w:tab w:val="right" w:pos="8838"/>
        <w:tab w:val="left" w:pos="2957"/>
      </w:tabs>
      <w:rPr>
        <w:color w:val="000000"/>
      </w:rPr>
    </w:pPr>
    <w:r>
      <w:rPr>
        <w:color w:val="000000"/>
        <w:sz w:val="36"/>
        <w:szCs w:val="36"/>
      </w:rPr>
      <w:pict w14:anchorId="6BAF51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left:0;text-align:left;margin-left:-79.55pt;margin-top:-144.85pt;width:663.5pt;height:12in;z-index:-251658240;mso-position-horizontal:absolute;mso-position-horizontal-relative:margin;mso-position-vertical:absolute;mso-position-vertical-relative:margin">
          <v:imagedata r:id="rId1" o:title="image2"/>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2721F3"/>
    <w:multiLevelType w:val="multilevel"/>
    <w:tmpl w:val="51B01C0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474505F"/>
    <w:multiLevelType w:val="multilevel"/>
    <w:tmpl w:val="0720971A"/>
    <w:lvl w:ilvl="0">
      <w:start w:val="1"/>
      <w:numFmt w:val="lowerLetter"/>
      <w:pStyle w:val="Listaconvietas3"/>
      <w:lvlText w:val="%1)"/>
      <w:lvlJc w:val="left"/>
      <w:pPr>
        <w:ind w:left="1211" w:hanging="360"/>
      </w:pPr>
      <w:rPr>
        <w:b/>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2" w15:restartNumberingAfterBreak="0">
    <w:nsid w:val="197E22F4"/>
    <w:multiLevelType w:val="multilevel"/>
    <w:tmpl w:val="49FEEF0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C0363A9"/>
    <w:multiLevelType w:val="multilevel"/>
    <w:tmpl w:val="431CFCF6"/>
    <w:lvl w:ilvl="0">
      <w:start w:val="1"/>
      <w:numFmt w:val="decimal"/>
      <w:lvlText w:val="%1."/>
      <w:lvlJc w:val="left"/>
      <w:pPr>
        <w:ind w:left="928" w:hanging="360"/>
      </w:pPr>
      <w:rPr>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34FB3939"/>
    <w:multiLevelType w:val="multilevel"/>
    <w:tmpl w:val="14F6A29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9830772"/>
    <w:multiLevelType w:val="multilevel"/>
    <w:tmpl w:val="A05EB332"/>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475E2286"/>
    <w:multiLevelType w:val="hybridMultilevel"/>
    <w:tmpl w:val="64CECC1E"/>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52C45E43"/>
    <w:multiLevelType w:val="multilevel"/>
    <w:tmpl w:val="D3DE7C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62051C69"/>
    <w:multiLevelType w:val="multilevel"/>
    <w:tmpl w:val="38125D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69035581"/>
    <w:multiLevelType w:val="multilevel"/>
    <w:tmpl w:val="EB940F6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13" w15:restartNumberingAfterBreak="0">
    <w:nsid w:val="705A7A9B"/>
    <w:multiLevelType w:val="multilevel"/>
    <w:tmpl w:val="A7666656"/>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70FB16F1"/>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78F80816"/>
    <w:multiLevelType w:val="multilevel"/>
    <w:tmpl w:val="B4606FAE"/>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6"/>
  </w:num>
  <w:num w:numId="2">
    <w:abstractNumId w:val="9"/>
  </w:num>
  <w:num w:numId="3">
    <w:abstractNumId w:val="0"/>
  </w:num>
  <w:num w:numId="4">
    <w:abstractNumId w:val="13"/>
  </w:num>
  <w:num w:numId="5">
    <w:abstractNumId w:val="7"/>
  </w:num>
  <w:num w:numId="6">
    <w:abstractNumId w:val="15"/>
  </w:num>
  <w:num w:numId="7">
    <w:abstractNumId w:val="10"/>
  </w:num>
  <w:num w:numId="8">
    <w:abstractNumId w:val="3"/>
  </w:num>
  <w:num w:numId="9">
    <w:abstractNumId w:val="14"/>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4"/>
  </w:num>
  <w:num w:numId="13">
    <w:abstractNumId w:val="1"/>
  </w:num>
  <w:num w:numId="14">
    <w:abstractNumId w:val="12"/>
  </w:num>
  <w:num w:numId="15">
    <w:abstractNumId w:val="8"/>
  </w:num>
  <w:num w:numId="16">
    <w:abstractNumId w:val="11"/>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4188"/>
    <w:rsid w:val="0003687B"/>
    <w:rsid w:val="000643C0"/>
    <w:rsid w:val="000B514E"/>
    <w:rsid w:val="000C784D"/>
    <w:rsid w:val="00107C1B"/>
    <w:rsid w:val="00143416"/>
    <w:rsid w:val="001D1971"/>
    <w:rsid w:val="0024023A"/>
    <w:rsid w:val="002A2090"/>
    <w:rsid w:val="00350AE8"/>
    <w:rsid w:val="00424514"/>
    <w:rsid w:val="004B1289"/>
    <w:rsid w:val="00523B27"/>
    <w:rsid w:val="00574574"/>
    <w:rsid w:val="005B4188"/>
    <w:rsid w:val="005E09D8"/>
    <w:rsid w:val="00645EEC"/>
    <w:rsid w:val="00662479"/>
    <w:rsid w:val="00671979"/>
    <w:rsid w:val="00686C08"/>
    <w:rsid w:val="00765FC0"/>
    <w:rsid w:val="0082605F"/>
    <w:rsid w:val="00844832"/>
    <w:rsid w:val="00896FB7"/>
    <w:rsid w:val="008B3C92"/>
    <w:rsid w:val="008E7A07"/>
    <w:rsid w:val="00927633"/>
    <w:rsid w:val="00972481"/>
    <w:rsid w:val="009C541C"/>
    <w:rsid w:val="00A61932"/>
    <w:rsid w:val="00A6774E"/>
    <w:rsid w:val="00AB5FD3"/>
    <w:rsid w:val="00AE6050"/>
    <w:rsid w:val="00B56419"/>
    <w:rsid w:val="00B76A5B"/>
    <w:rsid w:val="00BF6F93"/>
    <w:rsid w:val="00C562A2"/>
    <w:rsid w:val="00C56627"/>
    <w:rsid w:val="00CF10EB"/>
    <w:rsid w:val="00CF65E1"/>
    <w:rsid w:val="00D15A01"/>
    <w:rsid w:val="00D75CF5"/>
    <w:rsid w:val="00D95433"/>
    <w:rsid w:val="00DC1AC8"/>
    <w:rsid w:val="00DC4D25"/>
    <w:rsid w:val="00DE7A20"/>
    <w:rsid w:val="00E36E19"/>
    <w:rsid w:val="00E50818"/>
    <w:rsid w:val="00E86DB0"/>
    <w:rsid w:val="00E97926"/>
    <w:rsid w:val="00EA1372"/>
    <w:rsid w:val="00EE787C"/>
    <w:rsid w:val="00F10DF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5EB9744"/>
  <w15:docId w15:val="{2ECB8A49-7942-4998-A0A2-026807279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Palatino Linotype" w:hAnsi="Palatino Linotype" w:cs="Palatino Linotype"/>
        <w:sz w:val="22"/>
        <w:szCs w:val="22"/>
        <w:lang w:val="es-MX" w:eastAsia="es-MX"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uiPriority w:val="9"/>
    <w:qFormat/>
    <w:pPr>
      <w:keepNext/>
      <w:keepLines/>
      <w:jc w:val="center"/>
      <w:outlineLvl w:val="0"/>
    </w:pPr>
    <w:rPr>
      <w:b/>
    </w:rPr>
  </w:style>
  <w:style w:type="paragraph" w:styleId="Ttulo2">
    <w:name w:val="heading 2"/>
    <w:basedOn w:val="Normal"/>
    <w:next w:val="Normal"/>
    <w:uiPriority w:val="9"/>
    <w:qFormat/>
    <w:pPr>
      <w:keepNext/>
      <w:keepLines/>
      <w:outlineLvl w:val="1"/>
    </w:pPr>
    <w:rPr>
      <w:b/>
    </w:rPr>
  </w:style>
  <w:style w:type="paragraph" w:styleId="Ttulo3">
    <w:name w:val="heading 3"/>
    <w:basedOn w:val="Normal"/>
    <w:next w:val="Normal"/>
    <w:uiPriority w:val="9"/>
    <w:qFormat/>
    <w:pPr>
      <w:keepNext/>
      <w:keepLines/>
      <w:spacing w:line="480" w:lineRule="auto"/>
      <w:jc w:val="left"/>
      <w:outlineLvl w:val="2"/>
    </w:pPr>
    <w:rPr>
      <w:b/>
    </w:rPr>
  </w:style>
  <w:style w:type="paragraph" w:styleId="Ttulo4">
    <w:name w:val="heading 4"/>
    <w:basedOn w:val="Normal"/>
    <w:next w:val="Normal"/>
    <w:uiPriority w:val="9"/>
    <w:qFormat/>
    <w:pPr>
      <w:keepNext/>
      <w:keepLines/>
      <w:spacing w:before="80" w:after="40"/>
      <w:outlineLvl w:val="3"/>
    </w:pPr>
    <w:rPr>
      <w:i/>
      <w:color w:val="0F4761"/>
    </w:rPr>
  </w:style>
  <w:style w:type="paragraph" w:styleId="Ttulo5">
    <w:name w:val="heading 5"/>
    <w:basedOn w:val="Normal"/>
    <w:next w:val="Normal"/>
    <w:qFormat/>
    <w:pPr>
      <w:keepNext/>
      <w:keepLines/>
      <w:spacing w:before="80" w:after="40"/>
      <w:outlineLvl w:val="4"/>
    </w:pPr>
    <w:rPr>
      <w:color w:val="0F4761"/>
    </w:rPr>
  </w:style>
  <w:style w:type="paragraph" w:styleId="Ttulo6">
    <w:name w:val="heading 6"/>
    <w:basedOn w:val="Normal"/>
    <w:next w:val="Normal"/>
    <w:qFormat/>
    <w:pPr>
      <w:keepNext/>
      <w:keepLines/>
      <w:spacing w:before="40"/>
      <w:outlineLvl w:val="5"/>
    </w:pPr>
    <w:rPr>
      <w:i/>
      <w:color w:val="595959"/>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Puesto">
    <w:name w:val="Title"/>
    <w:aliases w:val="Cita textual"/>
    <w:basedOn w:val="Normal"/>
    <w:next w:val="Normal"/>
    <w:uiPriority w:val="10"/>
    <w:qFormat/>
    <w:pPr>
      <w:pBdr>
        <w:top w:val="nil"/>
        <w:left w:val="nil"/>
        <w:bottom w:val="nil"/>
        <w:right w:val="nil"/>
        <w:between w:val="nil"/>
      </w:pBdr>
      <w:spacing w:line="240" w:lineRule="auto"/>
      <w:ind w:left="567" w:right="567" w:hanging="567"/>
    </w:pPr>
    <w:rPr>
      <w:i/>
      <w:color w:val="000000"/>
    </w:rPr>
  </w:style>
  <w:style w:type="character" w:customStyle="1" w:styleId="Ttulo1Car">
    <w:name w:val="Título 1 Car"/>
    <w:basedOn w:val="Fuentedeprrafopredeter"/>
    <w:uiPriority w:val="9"/>
    <w:rsid w:val="00664420"/>
    <w:rPr>
      <w:rFonts w:ascii="Palatino Linotype" w:eastAsiaTheme="majorEastAsia" w:hAnsi="Palatino Linotype" w:cstheme="majorBidi"/>
      <w:b/>
      <w:kern w:val="0"/>
      <w:szCs w:val="40"/>
      <w:lang w:eastAsia="es-ES"/>
    </w:rPr>
  </w:style>
  <w:style w:type="character" w:customStyle="1" w:styleId="Ttulo2Car">
    <w:name w:val="Título 2 Car"/>
    <w:basedOn w:val="Fuentedeprrafopredeter"/>
    <w:uiPriority w:val="9"/>
    <w:rsid w:val="00664420"/>
    <w:rPr>
      <w:rFonts w:ascii="Palatino Linotype" w:eastAsiaTheme="majorEastAsia" w:hAnsi="Palatino Linotype" w:cstheme="majorBidi"/>
      <w:b/>
      <w:kern w:val="0"/>
      <w:szCs w:val="32"/>
      <w:lang w:eastAsia="es-ES"/>
    </w:rPr>
  </w:style>
  <w:style w:type="character" w:customStyle="1" w:styleId="Ttulo3Car">
    <w:name w:val="Título 3 Car"/>
    <w:basedOn w:val="Fuentedeprrafopredeter"/>
    <w:uiPriority w:val="9"/>
    <w:rsid w:val="00AE3DA7"/>
    <w:rPr>
      <w:rFonts w:ascii="Palatino Linotype" w:eastAsiaTheme="majorEastAsia" w:hAnsi="Palatino Linotype" w:cstheme="majorBidi"/>
      <w:b/>
      <w:kern w:val="0"/>
      <w:szCs w:val="28"/>
      <w:lang w:eastAsia="es-ES"/>
    </w:rPr>
  </w:style>
  <w:style w:type="character" w:customStyle="1" w:styleId="Ttulo4Car">
    <w:name w:val="Título 4 Car"/>
    <w:basedOn w:val="Fuentedeprrafopredeter"/>
    <w:uiPriority w:val="9"/>
    <w:rsid w:val="00664420"/>
    <w:rPr>
      <w:rFonts w:eastAsiaTheme="majorEastAsia" w:cstheme="majorBidi"/>
      <w:i/>
      <w:iCs/>
      <w:color w:val="0F4761" w:themeColor="accent1" w:themeShade="BF"/>
    </w:rPr>
  </w:style>
  <w:style w:type="character" w:customStyle="1" w:styleId="Ttulo5Car">
    <w:name w:val="Título 5 Car"/>
    <w:basedOn w:val="Fuentedeprrafopredeter"/>
    <w:rsid w:val="00664420"/>
    <w:rPr>
      <w:rFonts w:eastAsiaTheme="majorEastAsia" w:cstheme="majorBidi"/>
      <w:color w:val="0F4761" w:themeColor="accent1" w:themeShade="BF"/>
    </w:rPr>
  </w:style>
  <w:style w:type="character" w:customStyle="1" w:styleId="Ttulo6Car">
    <w:name w:val="Título 6 Car"/>
    <w:basedOn w:val="Fuentedeprrafopredeter"/>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character" w:customStyle="1" w:styleId="TtuloCar">
    <w:name w:val="Título Car"/>
    <w:aliases w:val="Cita textual Car,Puesto Car"/>
    <w:basedOn w:val="Fuentedeprrafopredeter"/>
    <w:uiPriority w:val="10"/>
    <w:rsid w:val="002B7C6F"/>
    <w:rPr>
      <w:rFonts w:ascii="Palatino Linotype" w:eastAsiaTheme="majorEastAsia" w:hAnsi="Palatino Linotype" w:cstheme="majorBidi"/>
      <w:i/>
      <w:kern w:val="28"/>
      <w:szCs w:val="56"/>
      <w:lang w:eastAsia="es-ES"/>
    </w:rPr>
  </w:style>
  <w:style w:type="character" w:customStyle="1" w:styleId="SubttuloCar">
    <w:name w:val="Subtítulo Car"/>
    <w:basedOn w:val="Fuentedeprrafopredeter"/>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664420"/>
  </w:style>
  <w:style w:type="table" w:styleId="Tablaconcuadrcula">
    <w:name w:val="Table Grid"/>
    <w:basedOn w:val="Tablanormal"/>
    <w:uiPriority w:val="39"/>
    <w:rsid w:val="00664420"/>
    <w:pPr>
      <w:spacing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rPr>
  </w:style>
  <w:style w:type="paragraph" w:styleId="TtulodeTDC">
    <w:name w:val="TOC Heading"/>
    <w:next w:val="Normal"/>
    <w:uiPriority w:val="39"/>
    <w:unhideWhenUsed/>
    <w:qFormat/>
    <w:rsid w:val="00AE3DA7"/>
    <w:pPr>
      <w:spacing w:before="240" w:line="259" w:lineRule="auto"/>
      <w:jc w:val="left"/>
    </w:pPr>
    <w:rPr>
      <w:rFonts w:asciiTheme="majorHAnsi" w:hAnsiTheme="majorHAnsi"/>
      <w:color w:val="0F4761" w:themeColor="accent1" w:themeShade="BF"/>
      <w:sz w:val="32"/>
      <w:szCs w:val="32"/>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aliases w:val="Hipervínculo1,Hipervínculo11,Hipervínculo12,Hipervínculo13,Hipervínculo14,Hipervínculo15"/>
    <w:basedOn w:val="Fuentedeprrafopredeter"/>
    <w:uiPriority w:val="99"/>
    <w:unhideWhenUsed/>
    <w:qFormat/>
    <w:rsid w:val="00AE3DA7"/>
    <w:rPr>
      <w:color w:val="467886" w:themeColor="hyperlink"/>
      <w:u w:val="single"/>
    </w:rPr>
  </w:style>
  <w:style w:type="paragraph" w:styleId="Revisin">
    <w:name w:val="Revision"/>
    <w:hidden/>
    <w:uiPriority w:val="99"/>
    <w:semiHidden/>
    <w:rsid w:val="008A6F88"/>
    <w:pPr>
      <w:spacing w:line="240" w:lineRule="auto"/>
    </w:pPr>
    <w:rPr>
      <w:rFonts w:eastAsia="Times New Roman" w:cs="Times New Roman"/>
      <w:szCs w:val="20"/>
      <w:lang w:eastAsia="es-ES"/>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rPr>
  </w:style>
  <w:style w:type="paragraph" w:styleId="Sinespaciado">
    <w:name w:val="No Spacing"/>
    <w:aliases w:val="Francesa,INAI"/>
    <w:link w:val="SinespaciadoCar"/>
    <w:uiPriority w:val="1"/>
    <w:qFormat/>
    <w:rsid w:val="00AF03C4"/>
    <w:pPr>
      <w:spacing w:line="240" w:lineRule="auto"/>
    </w:pPr>
    <w:rPr>
      <w:rFonts w:eastAsia="Times New Roman" w:cs="Times New Roman"/>
      <w:szCs w:val="20"/>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4218F"/>
    <w:pPr>
      <w:spacing w:line="240" w:lineRule="auto"/>
      <w:jc w:val="left"/>
    </w:pPr>
    <w:rPr>
      <w:rFonts w:asciiTheme="minorHAnsi" w:eastAsiaTheme="minorHAnsi" w:hAnsiTheme="minorHAnsi" w:cstheme="minorBidi"/>
      <w:sz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34218F"/>
    <w:rPr>
      <w:kern w:val="0"/>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f"/>
    <w:basedOn w:val="Fuentedeprrafopredeter"/>
    <w:uiPriority w:val="99"/>
    <w:unhideWhenUsed/>
    <w:qFormat/>
    <w:rsid w:val="0034218F"/>
    <w:rPr>
      <w:vertAlign w:val="superscript"/>
    </w:rPr>
  </w:style>
  <w:style w:type="character" w:customStyle="1" w:styleId="SinespaciadoCar">
    <w:name w:val="Sin espaciado Car"/>
    <w:aliases w:val="Francesa Car,INAI Car"/>
    <w:link w:val="Sinespaciado"/>
    <w:uiPriority w:val="1"/>
    <w:locked/>
    <w:rsid w:val="0088324D"/>
    <w:rPr>
      <w:rFonts w:ascii="Palatino Linotype" w:eastAsia="Times New Roman" w:hAnsi="Palatino Linotype" w:cs="Times New Roman"/>
      <w:kern w:val="0"/>
      <w:szCs w:val="20"/>
      <w:lang w:eastAsia="es-ES"/>
    </w:rPr>
  </w:style>
  <w:style w:type="character" w:styleId="Textoennegrita">
    <w:name w:val="Strong"/>
    <w:uiPriority w:val="22"/>
    <w:qFormat/>
    <w:rsid w:val="00742F68"/>
    <w:rPr>
      <w:b/>
      <w:bCs/>
    </w:rPr>
  </w:style>
  <w:style w:type="paragraph" w:styleId="NormalWeb">
    <w:name w:val="Normal (Web)"/>
    <w:basedOn w:val="Normal"/>
    <w:uiPriority w:val="99"/>
    <w:unhideWhenUsed/>
    <w:rsid w:val="00742F68"/>
    <w:pPr>
      <w:spacing w:before="100" w:beforeAutospacing="1" w:after="100" w:afterAutospacing="1" w:line="240" w:lineRule="auto"/>
      <w:jc w:val="left"/>
    </w:pPr>
    <w:rPr>
      <w:rFonts w:ascii="Times New Roman" w:hAnsi="Times New Roman"/>
      <w:sz w:val="24"/>
      <w:szCs w:val="24"/>
    </w:rPr>
  </w:style>
  <w:style w:type="paragraph" w:customStyle="1" w:styleId="INFOEM">
    <w:name w:val="INFOEM"/>
    <w:basedOn w:val="Normal"/>
    <w:qFormat/>
    <w:rsid w:val="00B67E47"/>
    <w:pPr>
      <w:spacing w:before="240" w:after="160"/>
      <w:ind w:left="851" w:right="851"/>
    </w:pPr>
    <w:rPr>
      <w:rFonts w:eastAsiaTheme="minorHAnsi" w:cstheme="minorBidi"/>
      <w:i/>
      <w:szCs w:val="14"/>
      <w:lang w:eastAsia="en-US"/>
    </w:rPr>
  </w:style>
  <w:style w:type="paragraph" w:styleId="Subttulo">
    <w:name w:val="Subtitle"/>
    <w:basedOn w:val="Normal"/>
    <w:next w:val="Normal"/>
    <w:qFormat/>
    <w:rPr>
      <w:color w:val="595959"/>
      <w:sz w:val="28"/>
      <w:szCs w:val="28"/>
    </w:rPr>
  </w:style>
  <w:style w:type="table" w:customStyle="1" w:styleId="a">
    <w:basedOn w:val="TableNormal"/>
    <w:pPr>
      <w:spacing w:line="240" w:lineRule="auto"/>
    </w:pPr>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pPr>
      <w:spacing w:line="240" w:lineRule="auto"/>
    </w:pPr>
    <w:tblPr>
      <w:tblStyleRowBandSize w:val="1"/>
      <w:tblStyleColBandSize w:val="1"/>
      <w:tblCellMar>
        <w:left w:w="108" w:type="dxa"/>
        <w:right w:w="108" w:type="dxa"/>
      </w:tblCellMar>
    </w:tblPr>
  </w:style>
  <w:style w:type="character" w:customStyle="1" w:styleId="apple-converted-space">
    <w:name w:val="apple-converted-space"/>
    <w:basedOn w:val="Fuentedeprrafopredeter"/>
    <w:rsid w:val="008E7A07"/>
  </w:style>
  <w:style w:type="table" w:customStyle="1" w:styleId="Tabladelista1clara-nfasis1115">
    <w:name w:val="Tabla de lista 1 clara - Énfasis 1115"/>
    <w:basedOn w:val="Tablanormal"/>
    <w:next w:val="Tabladelista1clara-nfasis1"/>
    <w:uiPriority w:val="46"/>
    <w:rsid w:val="008E7A07"/>
    <w:pPr>
      <w:spacing w:line="240" w:lineRule="auto"/>
      <w:jc w:val="left"/>
    </w:pPr>
    <w:rPr>
      <w:rFonts w:asciiTheme="minorHAnsi" w:eastAsia="MS Mincho" w:hAnsiTheme="minorHAnsi" w:cstheme="minorBidi"/>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8E7A07"/>
    <w:pPr>
      <w:spacing w:line="240" w:lineRule="auto"/>
      <w:jc w:val="left"/>
    </w:pPr>
    <w:rPr>
      <w:rFonts w:asciiTheme="minorHAnsi" w:eastAsiaTheme="minorHAnsi" w:hAnsiTheme="minorHAnsi" w:cstheme="minorBidi"/>
      <w:lang w:eastAsia="en-US"/>
    </w:rPr>
    <w:tblPr>
      <w:tblStyleRowBandSize w:val="1"/>
      <w:tblStyleColBandSize w:val="1"/>
    </w:tblPr>
    <w:tblStylePr w:type="firstRow">
      <w:rPr>
        <w:b/>
        <w:bCs/>
      </w:rPr>
      <w:tblPr/>
      <w:tcPr>
        <w:tcBorders>
          <w:bottom w:val="single" w:sz="4" w:space="0" w:color="45B0E1" w:themeColor="accent1" w:themeTint="99"/>
        </w:tcBorders>
      </w:tcPr>
    </w:tblStylePr>
    <w:tblStylePr w:type="lastRow">
      <w:rPr>
        <w:b/>
        <w:bCs/>
      </w:rPr>
      <w:tblPr/>
      <w:tcPr>
        <w:tcBorders>
          <w:top w:val="sing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Textonotaalfinal">
    <w:name w:val="endnote text"/>
    <w:basedOn w:val="Normal"/>
    <w:link w:val="TextonotaalfinalCar"/>
    <w:uiPriority w:val="99"/>
    <w:semiHidden/>
    <w:unhideWhenUsed/>
    <w:rsid w:val="008E7A07"/>
    <w:pPr>
      <w:spacing w:line="240" w:lineRule="auto"/>
      <w:jc w:val="left"/>
    </w:pPr>
    <w:rPr>
      <w:rFonts w:ascii="Times New Roman" w:eastAsia="Times New Roman" w:hAnsi="Times New Roman" w:cs="Times New Roman"/>
      <w:sz w:val="20"/>
      <w:szCs w:val="20"/>
      <w:lang w:val="es-ES" w:eastAsia="es-ES"/>
    </w:rPr>
  </w:style>
  <w:style w:type="character" w:customStyle="1" w:styleId="TextonotaalfinalCar">
    <w:name w:val="Texto nota al final Car"/>
    <w:basedOn w:val="Fuentedeprrafopredeter"/>
    <w:link w:val="Textonotaalfinal"/>
    <w:uiPriority w:val="99"/>
    <w:semiHidden/>
    <w:rsid w:val="008E7A07"/>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8E7A07"/>
    <w:rPr>
      <w:vertAlign w:val="superscript"/>
    </w:rPr>
  </w:style>
  <w:style w:type="paragraph" w:customStyle="1" w:styleId="Default">
    <w:name w:val="Default"/>
    <w:rsid w:val="008E7A07"/>
    <w:pPr>
      <w:autoSpaceDE w:val="0"/>
      <w:autoSpaceDN w:val="0"/>
      <w:adjustRightInd w:val="0"/>
      <w:spacing w:line="240" w:lineRule="auto"/>
      <w:jc w:val="left"/>
    </w:pPr>
    <w:rPr>
      <w:rFonts w:eastAsiaTheme="minorHAnsi"/>
      <w:color w:val="000000"/>
      <w:sz w:val="24"/>
      <w:szCs w:val="24"/>
      <w:lang w:eastAsia="en-US"/>
    </w:rPr>
  </w:style>
  <w:style w:type="paragraph" w:styleId="Textoindependiente">
    <w:name w:val="Body Text"/>
    <w:basedOn w:val="Normal"/>
    <w:link w:val="TextoindependienteCar"/>
    <w:uiPriority w:val="1"/>
    <w:unhideWhenUsed/>
    <w:qFormat/>
    <w:rsid w:val="008E7A07"/>
    <w:pPr>
      <w:spacing w:after="120" w:line="259" w:lineRule="auto"/>
      <w:jc w:val="left"/>
    </w:pPr>
    <w:rPr>
      <w:rFonts w:asciiTheme="minorHAnsi" w:eastAsiaTheme="minorHAnsi" w:hAnsiTheme="minorHAnsi" w:cstheme="minorBidi"/>
      <w:lang w:eastAsia="en-US"/>
    </w:rPr>
  </w:style>
  <w:style w:type="character" w:customStyle="1" w:styleId="TextoindependienteCar">
    <w:name w:val="Texto independiente Car"/>
    <w:basedOn w:val="Fuentedeprrafopredeter"/>
    <w:link w:val="Textoindependiente"/>
    <w:uiPriority w:val="1"/>
    <w:rsid w:val="008E7A07"/>
    <w:rPr>
      <w:rFonts w:asciiTheme="minorHAnsi" w:eastAsiaTheme="minorHAnsi" w:hAnsiTheme="minorHAnsi" w:cstheme="minorBidi"/>
      <w:lang w:eastAsia="en-US"/>
    </w:rPr>
  </w:style>
  <w:style w:type="character" w:customStyle="1" w:styleId="il">
    <w:name w:val="il"/>
    <w:basedOn w:val="Fuentedeprrafopredeter"/>
    <w:rsid w:val="008E7A07"/>
  </w:style>
  <w:style w:type="character" w:customStyle="1" w:styleId="TextodegloboCar">
    <w:name w:val="Texto de globo Car"/>
    <w:basedOn w:val="Fuentedeprrafopredeter"/>
    <w:link w:val="Textodeglobo"/>
    <w:uiPriority w:val="99"/>
    <w:semiHidden/>
    <w:rsid w:val="008E7A07"/>
    <w:rPr>
      <w:rFonts w:ascii="Tahoma" w:hAnsi="Tahoma" w:cs="Tahoma"/>
      <w:sz w:val="16"/>
      <w:szCs w:val="16"/>
    </w:rPr>
  </w:style>
  <w:style w:type="paragraph" w:styleId="Textodeglobo">
    <w:name w:val="Balloon Text"/>
    <w:basedOn w:val="Normal"/>
    <w:link w:val="TextodegloboCar"/>
    <w:uiPriority w:val="99"/>
    <w:semiHidden/>
    <w:unhideWhenUsed/>
    <w:rsid w:val="008E7A07"/>
    <w:pPr>
      <w:spacing w:line="240" w:lineRule="auto"/>
      <w:jc w:val="left"/>
    </w:pPr>
    <w:rPr>
      <w:rFonts w:ascii="Tahoma" w:hAnsi="Tahoma" w:cs="Tahoma"/>
      <w:sz w:val="16"/>
      <w:szCs w:val="16"/>
    </w:rPr>
  </w:style>
  <w:style w:type="character" w:customStyle="1" w:styleId="TextodegloboCar1">
    <w:name w:val="Texto de globo Car1"/>
    <w:basedOn w:val="Fuentedeprrafopredeter"/>
    <w:uiPriority w:val="99"/>
    <w:semiHidden/>
    <w:rsid w:val="008E7A07"/>
    <w:rPr>
      <w:rFonts w:ascii="Segoe UI" w:hAnsi="Segoe UI" w:cs="Segoe UI"/>
      <w:sz w:val="18"/>
      <w:szCs w:val="18"/>
    </w:rPr>
  </w:style>
  <w:style w:type="paragraph" w:customStyle="1" w:styleId="n2">
    <w:name w:val="n2"/>
    <w:basedOn w:val="Normal"/>
    <w:rsid w:val="008E7A07"/>
    <w:pPr>
      <w:spacing w:before="100" w:beforeAutospacing="1" w:after="100" w:afterAutospacing="1" w:line="240" w:lineRule="auto"/>
      <w:jc w:val="left"/>
    </w:pPr>
    <w:rPr>
      <w:rFonts w:ascii="Times New Roman" w:eastAsia="Times New Roman" w:hAnsi="Times New Roman" w:cs="Times New Roman"/>
      <w:sz w:val="24"/>
      <w:szCs w:val="24"/>
    </w:rPr>
  </w:style>
  <w:style w:type="character" w:styleId="nfasis">
    <w:name w:val="Emphasis"/>
    <w:basedOn w:val="Fuentedeprrafopredeter"/>
    <w:uiPriority w:val="20"/>
    <w:qFormat/>
    <w:rsid w:val="008E7A07"/>
    <w:rPr>
      <w:i/>
      <w:iCs/>
    </w:rPr>
  </w:style>
  <w:style w:type="paragraph" w:customStyle="1" w:styleId="j">
    <w:name w:val="j"/>
    <w:basedOn w:val="Normal"/>
    <w:rsid w:val="008E7A07"/>
    <w:pPr>
      <w:spacing w:before="100" w:beforeAutospacing="1" w:after="100" w:afterAutospacing="1" w:line="240" w:lineRule="auto"/>
      <w:jc w:val="left"/>
    </w:pPr>
    <w:rPr>
      <w:rFonts w:ascii="Times New Roman" w:eastAsia="Times New Roman" w:hAnsi="Times New Roman" w:cs="Times New Roman"/>
      <w:sz w:val="24"/>
      <w:szCs w:val="24"/>
    </w:rPr>
  </w:style>
  <w:style w:type="character" w:customStyle="1" w:styleId="nacep">
    <w:name w:val="n_acep"/>
    <w:basedOn w:val="Fuentedeprrafopredeter"/>
    <w:rsid w:val="008E7A07"/>
  </w:style>
  <w:style w:type="character" w:customStyle="1" w:styleId="notranslate">
    <w:name w:val="notranslate"/>
    <w:basedOn w:val="Fuentedeprrafopredeter"/>
    <w:rsid w:val="008E7A07"/>
  </w:style>
  <w:style w:type="character" w:customStyle="1" w:styleId="TextocomentarioCar1">
    <w:name w:val="Texto comentario Car1"/>
    <w:basedOn w:val="Fuentedeprrafopredeter"/>
    <w:uiPriority w:val="99"/>
    <w:semiHidden/>
    <w:rsid w:val="008E7A07"/>
    <w:rPr>
      <w:rFonts w:ascii="Times New Roman" w:eastAsia="Times New Roman" w:hAnsi="Times New Roman" w:cs="Times New Roman"/>
      <w:sz w:val="20"/>
      <w:szCs w:val="20"/>
      <w:lang w:val="es-ES" w:eastAsia="es-ES"/>
    </w:rPr>
  </w:style>
  <w:style w:type="character" w:customStyle="1" w:styleId="AsuntodelcomentarioCar1">
    <w:name w:val="Asunto del comentario Car1"/>
    <w:basedOn w:val="TextocomentarioCar1"/>
    <w:uiPriority w:val="99"/>
    <w:semiHidden/>
    <w:rsid w:val="008E7A07"/>
    <w:rPr>
      <w:rFonts w:ascii="Times New Roman" w:eastAsia="Times New Roman" w:hAnsi="Times New Roman" w:cs="Times New Roman"/>
      <w:b/>
      <w:bCs/>
      <w:sz w:val="20"/>
      <w:szCs w:val="20"/>
      <w:lang w:val="es-ES" w:eastAsia="es-ES"/>
    </w:rPr>
  </w:style>
  <w:style w:type="character" w:customStyle="1" w:styleId="apple-style-span">
    <w:name w:val="apple-style-span"/>
    <w:rsid w:val="008E7A07"/>
  </w:style>
  <w:style w:type="character" w:customStyle="1" w:styleId="normaltextrun">
    <w:name w:val="normaltextrun"/>
    <w:basedOn w:val="Fuentedeprrafopredeter"/>
    <w:rsid w:val="008E7A07"/>
  </w:style>
  <w:style w:type="paragraph" w:customStyle="1" w:styleId="Body1">
    <w:name w:val="Body 1"/>
    <w:rsid w:val="008E7A07"/>
    <w:pPr>
      <w:spacing w:after="200" w:line="276" w:lineRule="auto"/>
      <w:jc w:val="left"/>
      <w:outlineLvl w:val="0"/>
    </w:pPr>
    <w:rPr>
      <w:rFonts w:ascii="Helvetica" w:eastAsia="Arial Unicode MS" w:hAnsi="Helvetica" w:cs="Times New Roman"/>
      <w:color w:val="000000"/>
      <w:szCs w:val="20"/>
      <w:u w:color="000000"/>
    </w:rPr>
  </w:style>
  <w:style w:type="paragraph" w:styleId="Textosinformato">
    <w:name w:val="Plain Text"/>
    <w:basedOn w:val="Normal"/>
    <w:link w:val="TextosinformatoCar"/>
    <w:rsid w:val="008E7A07"/>
    <w:pPr>
      <w:spacing w:line="240" w:lineRule="auto"/>
      <w:jc w:val="left"/>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8E7A07"/>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8E7A07"/>
  </w:style>
  <w:style w:type="character" w:customStyle="1" w:styleId="red">
    <w:name w:val="red"/>
    <w:basedOn w:val="Fuentedeprrafopredeter"/>
    <w:rsid w:val="008E7A07"/>
  </w:style>
  <w:style w:type="paragraph" w:customStyle="1" w:styleId="francesa">
    <w:name w:val="francesa"/>
    <w:basedOn w:val="Normal"/>
    <w:rsid w:val="008E7A07"/>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Pa0">
    <w:name w:val="Pa0"/>
    <w:basedOn w:val="Default"/>
    <w:next w:val="Default"/>
    <w:uiPriority w:val="99"/>
    <w:rsid w:val="008E7A07"/>
    <w:pPr>
      <w:spacing w:line="221" w:lineRule="atLeast"/>
    </w:pPr>
    <w:rPr>
      <w:rFonts w:ascii="Arial" w:hAnsi="Arial" w:cs="Arial"/>
      <w:color w:val="auto"/>
    </w:rPr>
  </w:style>
  <w:style w:type="paragraph" w:customStyle="1" w:styleId="j2">
    <w:name w:val="j2"/>
    <w:basedOn w:val="Normal"/>
    <w:rsid w:val="008E7A07"/>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o">
    <w:name w:val="o"/>
    <w:basedOn w:val="Normal"/>
    <w:rsid w:val="008E7A07"/>
    <w:pPr>
      <w:spacing w:before="100" w:beforeAutospacing="1" w:after="100" w:afterAutospacing="1" w:line="240" w:lineRule="auto"/>
      <w:jc w:val="left"/>
    </w:pPr>
    <w:rPr>
      <w:rFonts w:ascii="Times New Roman" w:eastAsia="Times New Roman" w:hAnsi="Times New Roman" w:cs="Times New Roman"/>
      <w:sz w:val="24"/>
      <w:szCs w:val="24"/>
    </w:rPr>
  </w:style>
  <w:style w:type="character" w:customStyle="1" w:styleId="h">
    <w:name w:val="h"/>
    <w:basedOn w:val="Fuentedeprrafopredeter"/>
    <w:rsid w:val="008E7A07"/>
  </w:style>
  <w:style w:type="character" w:customStyle="1" w:styleId="i1">
    <w:name w:val="i1"/>
    <w:basedOn w:val="Fuentedeprrafopredeter"/>
    <w:rsid w:val="008E7A07"/>
  </w:style>
  <w:style w:type="paragraph" w:styleId="Sangradetextonormal">
    <w:name w:val="Body Text Indent"/>
    <w:basedOn w:val="Normal"/>
    <w:link w:val="SangradetextonormalCar"/>
    <w:uiPriority w:val="99"/>
    <w:unhideWhenUsed/>
    <w:rsid w:val="008E7A07"/>
    <w:pPr>
      <w:spacing w:after="120" w:line="276" w:lineRule="auto"/>
      <w:ind w:left="283"/>
      <w:jc w:val="left"/>
    </w:pPr>
    <w:rPr>
      <w:rFonts w:ascii="Calibri" w:eastAsia="Calibri" w:hAnsi="Calibri" w:cs="Times New Roman"/>
      <w:lang w:eastAsia="en-US"/>
    </w:rPr>
  </w:style>
  <w:style w:type="character" w:customStyle="1" w:styleId="SangradetextonormalCar">
    <w:name w:val="Sangría de texto normal Car"/>
    <w:basedOn w:val="Fuentedeprrafopredeter"/>
    <w:link w:val="Sangradetextonormal"/>
    <w:uiPriority w:val="99"/>
    <w:rsid w:val="008E7A07"/>
    <w:rPr>
      <w:rFonts w:ascii="Calibri" w:eastAsia="Calibri" w:hAnsi="Calibri" w:cs="Times New Roman"/>
      <w:lang w:eastAsia="en-US"/>
    </w:rPr>
  </w:style>
  <w:style w:type="character" w:styleId="Hipervnculovisitado">
    <w:name w:val="FollowedHyperlink"/>
    <w:basedOn w:val="Fuentedeprrafopredeter"/>
    <w:uiPriority w:val="99"/>
    <w:semiHidden/>
    <w:unhideWhenUsed/>
    <w:rsid w:val="008E7A07"/>
    <w:rPr>
      <w:color w:val="96607D" w:themeColor="followedHyperlink"/>
      <w:u w:val="single"/>
    </w:rPr>
  </w:style>
  <w:style w:type="paragraph" w:styleId="Textoindependiente2">
    <w:name w:val="Body Text 2"/>
    <w:basedOn w:val="Normal"/>
    <w:link w:val="Textoindependiente2Car"/>
    <w:uiPriority w:val="99"/>
    <w:unhideWhenUsed/>
    <w:rsid w:val="008E7A07"/>
    <w:pPr>
      <w:spacing w:after="120" w:line="480" w:lineRule="auto"/>
      <w:jc w:val="left"/>
    </w:pPr>
    <w:rPr>
      <w:rFonts w:ascii="Times New Roman" w:eastAsia="Times New Roman" w:hAnsi="Times New Roman" w:cs="Times New Roman"/>
      <w:sz w:val="24"/>
      <w:szCs w:val="24"/>
      <w:lang w:eastAsia="es-ES"/>
    </w:rPr>
  </w:style>
  <w:style w:type="character" w:customStyle="1" w:styleId="Textoindependiente2Car">
    <w:name w:val="Texto independiente 2 Car"/>
    <w:basedOn w:val="Fuentedeprrafopredeter"/>
    <w:link w:val="Textoindependiente2"/>
    <w:uiPriority w:val="99"/>
    <w:rsid w:val="008E7A07"/>
    <w:rPr>
      <w:rFonts w:ascii="Times New Roman" w:eastAsia="Times New Roman" w:hAnsi="Times New Roman" w:cs="Times New Roman"/>
      <w:sz w:val="24"/>
      <w:szCs w:val="24"/>
      <w:lang w:eastAsia="es-ES"/>
    </w:rPr>
  </w:style>
  <w:style w:type="paragraph" w:customStyle="1" w:styleId="Listavistosa-nfasis11">
    <w:name w:val="Lista vistosa - Énfasis 11"/>
    <w:basedOn w:val="Normal"/>
    <w:link w:val="Listavistosa-nfasis1Car"/>
    <w:uiPriority w:val="34"/>
    <w:qFormat/>
    <w:rsid w:val="008E7A07"/>
    <w:pPr>
      <w:spacing w:line="240" w:lineRule="auto"/>
      <w:ind w:left="708"/>
      <w:jc w:val="left"/>
    </w:pPr>
    <w:rPr>
      <w:rFonts w:ascii="Times New Roman" w:eastAsia="Times New Roman" w:hAnsi="Times New Roman" w:cs="Times New Roman"/>
      <w:sz w:val="24"/>
      <w:szCs w:val="24"/>
      <w:lang w:eastAsia="es-ES"/>
    </w:rPr>
  </w:style>
  <w:style w:type="character" w:customStyle="1" w:styleId="Listavistosa-nfasis1Car">
    <w:name w:val="Lista vistosa - Énfasis 1 Car"/>
    <w:link w:val="Listavistosa-nfasis11"/>
    <w:uiPriority w:val="34"/>
    <w:locked/>
    <w:rsid w:val="008E7A07"/>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8E7A07"/>
    <w:pPr>
      <w:spacing w:after="101" w:line="216" w:lineRule="exact"/>
      <w:ind w:firstLine="288"/>
    </w:pPr>
    <w:rPr>
      <w:rFonts w:ascii="Arial" w:eastAsia="Times New Roman" w:hAnsi="Arial" w:cs="Arial"/>
      <w:sz w:val="18"/>
      <w:szCs w:val="18"/>
      <w:lang w:eastAsia="es-ES"/>
    </w:rPr>
  </w:style>
  <w:style w:type="paragraph" w:customStyle="1" w:styleId="Standard">
    <w:name w:val="Standard"/>
    <w:rsid w:val="008E7A07"/>
    <w:pPr>
      <w:widowControl w:val="0"/>
      <w:suppressAutoHyphens/>
      <w:autoSpaceDN w:val="0"/>
      <w:spacing w:line="240" w:lineRule="auto"/>
      <w:jc w:val="left"/>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8E7A07"/>
    <w:rPr>
      <w:rFonts w:ascii="Arial" w:hAnsi="Arial" w:cs="Arial" w:hint="default"/>
      <w:b/>
      <w:bCs/>
      <w:sz w:val="18"/>
      <w:szCs w:val="18"/>
    </w:rPr>
  </w:style>
  <w:style w:type="paragraph" w:customStyle="1" w:styleId="Pa2">
    <w:name w:val="Pa2"/>
    <w:basedOn w:val="Normal"/>
    <w:next w:val="Normal"/>
    <w:uiPriority w:val="99"/>
    <w:rsid w:val="008E7A07"/>
    <w:pPr>
      <w:autoSpaceDE w:val="0"/>
      <w:autoSpaceDN w:val="0"/>
      <w:adjustRightInd w:val="0"/>
      <w:spacing w:line="240" w:lineRule="atLeast"/>
      <w:jc w:val="left"/>
    </w:pPr>
    <w:rPr>
      <w:rFonts w:ascii="Helvetica" w:eastAsia="Times New Roman" w:hAnsi="Helvetica" w:cs="Times New Roman"/>
      <w:sz w:val="24"/>
      <w:szCs w:val="24"/>
      <w:lang w:val="es-ES_tradnl" w:eastAsia="es-ES_tradnl"/>
    </w:rPr>
  </w:style>
  <w:style w:type="paragraph" w:customStyle="1" w:styleId="q">
    <w:name w:val="q"/>
    <w:basedOn w:val="Normal"/>
    <w:rsid w:val="008E7A07"/>
    <w:pPr>
      <w:spacing w:before="100" w:beforeAutospacing="1" w:after="100" w:afterAutospacing="1" w:line="240" w:lineRule="auto"/>
      <w:jc w:val="left"/>
    </w:pPr>
    <w:rPr>
      <w:rFonts w:ascii="Times New Roman" w:eastAsia="Times New Roman" w:hAnsi="Times New Roman" w:cs="Times New Roman"/>
      <w:sz w:val="24"/>
      <w:szCs w:val="24"/>
    </w:rPr>
  </w:style>
  <w:style w:type="character" w:customStyle="1" w:styleId="d">
    <w:name w:val="d"/>
    <w:basedOn w:val="Fuentedeprrafopredeter"/>
    <w:rsid w:val="008E7A07"/>
  </w:style>
  <w:style w:type="character" w:customStyle="1" w:styleId="b">
    <w:name w:val="b"/>
    <w:basedOn w:val="Fuentedeprrafopredeter"/>
    <w:rsid w:val="008E7A07"/>
  </w:style>
  <w:style w:type="character" w:customStyle="1" w:styleId="k">
    <w:name w:val="k"/>
    <w:basedOn w:val="Fuentedeprrafopredeter"/>
    <w:rsid w:val="008E7A07"/>
  </w:style>
  <w:style w:type="character" w:styleId="CitaHTML">
    <w:name w:val="HTML Cite"/>
    <w:uiPriority w:val="99"/>
    <w:semiHidden/>
    <w:unhideWhenUsed/>
    <w:rsid w:val="008E7A07"/>
    <w:rPr>
      <w:i/>
      <w:iCs/>
    </w:rPr>
  </w:style>
  <w:style w:type="paragraph" w:customStyle="1" w:styleId="RSCGnotaalpie">
    <w:name w:val="RSCG nota al pie"/>
    <w:basedOn w:val="Normal"/>
    <w:uiPriority w:val="99"/>
    <w:qFormat/>
    <w:rsid w:val="008E7A07"/>
    <w:pPr>
      <w:spacing w:after="120" w:line="240" w:lineRule="auto"/>
    </w:pPr>
    <w:rPr>
      <w:rFonts w:ascii="Palatino" w:eastAsia="Times New Roman" w:hAnsi="Palatino" w:cstheme="minorBidi"/>
      <w:lang w:eastAsia="en-US"/>
    </w:rPr>
  </w:style>
  <w:style w:type="character" w:customStyle="1" w:styleId="lbl-encabezado-blanco2">
    <w:name w:val="lbl-encabezado-blanco2"/>
    <w:rsid w:val="008E7A07"/>
    <w:rPr>
      <w:color w:val="FFFFFF"/>
    </w:rPr>
  </w:style>
  <w:style w:type="character" w:customStyle="1" w:styleId="TextoCar">
    <w:name w:val="Texto Car"/>
    <w:link w:val="Texto"/>
    <w:locked/>
    <w:rsid w:val="008E7A07"/>
    <w:rPr>
      <w:rFonts w:ascii="Arial" w:eastAsia="Times New Roman" w:hAnsi="Arial" w:cs="Arial"/>
      <w:sz w:val="18"/>
      <w:szCs w:val="18"/>
      <w:lang w:eastAsia="es-ES"/>
    </w:rPr>
  </w:style>
  <w:style w:type="paragraph" w:customStyle="1" w:styleId="ANOTACION">
    <w:name w:val="ANOTACION"/>
    <w:basedOn w:val="Normal"/>
    <w:link w:val="ANOTACIONCar"/>
    <w:rsid w:val="008E7A07"/>
    <w:pPr>
      <w:spacing w:before="101" w:after="101" w:line="240" w:lineRule="auto"/>
      <w:jc w:val="center"/>
    </w:pPr>
    <w:rPr>
      <w:rFonts w:ascii="Times New Roman" w:eastAsia="Times New Roman" w:hAnsi="Times New Roman" w:cs="Times New Roman"/>
      <w:b/>
      <w:sz w:val="18"/>
      <w:szCs w:val="18"/>
      <w:lang w:eastAsia="es-ES"/>
    </w:rPr>
  </w:style>
  <w:style w:type="character" w:customStyle="1" w:styleId="ANOTACIONCar">
    <w:name w:val="ANOTACION Car"/>
    <w:link w:val="ANOTACION"/>
    <w:locked/>
    <w:rsid w:val="008E7A07"/>
    <w:rPr>
      <w:rFonts w:ascii="Times New Roman" w:eastAsia="Times New Roman" w:hAnsi="Times New Roman" w:cs="Times New Roman"/>
      <w:b/>
      <w:sz w:val="18"/>
      <w:szCs w:val="18"/>
      <w:lang w:eastAsia="es-ES"/>
    </w:rPr>
  </w:style>
  <w:style w:type="paragraph" w:styleId="Bibliografa">
    <w:name w:val="Bibliography"/>
    <w:basedOn w:val="Normal"/>
    <w:next w:val="Normal"/>
    <w:uiPriority w:val="37"/>
    <w:semiHidden/>
    <w:unhideWhenUsed/>
    <w:rsid w:val="008E7A07"/>
    <w:pPr>
      <w:spacing w:line="240" w:lineRule="auto"/>
      <w:jc w:val="left"/>
    </w:pPr>
    <w:rPr>
      <w:rFonts w:ascii="Times New Roman" w:eastAsia="Times New Roman" w:hAnsi="Times New Roman" w:cs="Times New Roman"/>
      <w:sz w:val="24"/>
      <w:szCs w:val="24"/>
      <w:lang w:eastAsia="es-ES"/>
    </w:rPr>
  </w:style>
  <w:style w:type="paragraph" w:customStyle="1" w:styleId="ROMANOS">
    <w:name w:val="ROMANOS"/>
    <w:basedOn w:val="Normal"/>
    <w:link w:val="ROMANOSCar"/>
    <w:rsid w:val="008E7A07"/>
    <w:pPr>
      <w:tabs>
        <w:tab w:val="left" w:pos="720"/>
      </w:tabs>
      <w:spacing w:after="101" w:line="216" w:lineRule="exact"/>
      <w:ind w:left="720" w:hanging="432"/>
    </w:pPr>
    <w:rPr>
      <w:rFonts w:ascii="Arial" w:eastAsia="Times New Roman" w:hAnsi="Arial" w:cs="Arial"/>
      <w:sz w:val="18"/>
      <w:szCs w:val="18"/>
      <w:lang w:val="es-ES" w:eastAsia="es-ES"/>
    </w:rPr>
  </w:style>
  <w:style w:type="character" w:customStyle="1" w:styleId="ROMANOSCar">
    <w:name w:val="ROMANOS Car"/>
    <w:link w:val="ROMANOS"/>
    <w:locked/>
    <w:rsid w:val="008E7A07"/>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8E7A07"/>
  </w:style>
  <w:style w:type="character" w:customStyle="1" w:styleId="Ninguno">
    <w:name w:val="Ninguno"/>
    <w:rsid w:val="008E7A07"/>
    <w:rPr>
      <w:lang w:val="es-ES_tradnl"/>
    </w:rPr>
  </w:style>
  <w:style w:type="paragraph" w:customStyle="1" w:styleId="Cuerpo">
    <w:name w:val="Cuerpo"/>
    <w:rsid w:val="008E7A07"/>
    <w:pPr>
      <w:pBdr>
        <w:top w:val="nil"/>
        <w:left w:val="nil"/>
        <w:bottom w:val="nil"/>
        <w:right w:val="nil"/>
        <w:between w:val="nil"/>
        <w:bar w:val="nil"/>
      </w:pBdr>
      <w:spacing w:after="160" w:line="259" w:lineRule="auto"/>
      <w:jc w:val="left"/>
    </w:pPr>
    <w:rPr>
      <w:rFonts w:ascii="Calibri" w:eastAsia="Calibri" w:hAnsi="Calibri" w:cs="Calibri"/>
      <w:color w:val="000000"/>
      <w:u w:color="000000"/>
      <w:bdr w:val="nil"/>
      <w:lang w:val="de-DE" w:eastAsia="es-ES"/>
    </w:rPr>
  </w:style>
  <w:style w:type="numbering" w:customStyle="1" w:styleId="Estiloimportado2">
    <w:name w:val="Estilo importado 2"/>
    <w:rsid w:val="008E7A07"/>
    <w:pPr>
      <w:numPr>
        <w:numId w:val="11"/>
      </w:numPr>
    </w:pPr>
  </w:style>
  <w:style w:type="numbering" w:customStyle="1" w:styleId="Estiloimportado1">
    <w:name w:val="Estilo importado 1"/>
    <w:qFormat/>
    <w:rsid w:val="008E7A07"/>
    <w:pPr>
      <w:numPr>
        <w:numId w:val="12"/>
      </w:numPr>
    </w:pPr>
  </w:style>
  <w:style w:type="paragraph" w:customStyle="1" w:styleId="INCISO">
    <w:name w:val="INCISO"/>
    <w:basedOn w:val="Normal"/>
    <w:rsid w:val="008E7A07"/>
    <w:pPr>
      <w:spacing w:after="101" w:line="216" w:lineRule="exact"/>
      <w:ind w:left="1080" w:hanging="360"/>
    </w:pPr>
    <w:rPr>
      <w:rFonts w:ascii="Arial" w:eastAsia="Times New Roman" w:hAnsi="Arial" w:cs="Arial"/>
      <w:sz w:val="18"/>
      <w:szCs w:val="18"/>
      <w:lang w:val="es-ES"/>
    </w:rPr>
  </w:style>
  <w:style w:type="paragraph" w:customStyle="1" w:styleId="m5212863947045306324gmail-msonormal">
    <w:name w:val="m_5212863947045306324gmail-msonormal"/>
    <w:basedOn w:val="Normal"/>
    <w:rsid w:val="008E7A07"/>
    <w:pPr>
      <w:spacing w:before="100" w:beforeAutospacing="1" w:after="100" w:afterAutospacing="1" w:line="240" w:lineRule="auto"/>
      <w:jc w:val="left"/>
    </w:pPr>
    <w:rPr>
      <w:rFonts w:ascii="Times New Roman" w:eastAsia="Times New Roman" w:hAnsi="Times New Roman" w:cs="Times New Roman"/>
      <w:sz w:val="24"/>
      <w:szCs w:val="24"/>
    </w:rPr>
  </w:style>
  <w:style w:type="character" w:customStyle="1" w:styleId="user-highlighted-active">
    <w:name w:val="user-highlighted-active"/>
    <w:basedOn w:val="Fuentedeprrafopredeter"/>
    <w:rsid w:val="008E7A07"/>
  </w:style>
  <w:style w:type="paragraph" w:styleId="Lista">
    <w:name w:val="List"/>
    <w:basedOn w:val="Normal"/>
    <w:uiPriority w:val="99"/>
    <w:unhideWhenUsed/>
    <w:rsid w:val="008E7A07"/>
    <w:pPr>
      <w:spacing w:line="240" w:lineRule="auto"/>
      <w:ind w:left="283" w:hanging="283"/>
      <w:contextualSpacing/>
      <w:jc w:val="left"/>
    </w:pPr>
    <w:rPr>
      <w:rFonts w:ascii="Times New Roman" w:eastAsia="Times New Roman" w:hAnsi="Times New Roman" w:cs="Times New Roman"/>
      <w:sz w:val="24"/>
      <w:szCs w:val="24"/>
      <w:lang w:val="es-ES" w:eastAsia="es-ES"/>
    </w:rPr>
  </w:style>
  <w:style w:type="paragraph" w:styleId="Lista2">
    <w:name w:val="List 2"/>
    <w:basedOn w:val="Normal"/>
    <w:uiPriority w:val="99"/>
    <w:unhideWhenUsed/>
    <w:rsid w:val="008E7A07"/>
    <w:pPr>
      <w:spacing w:line="240" w:lineRule="auto"/>
      <w:ind w:left="566" w:hanging="283"/>
      <w:contextualSpacing/>
      <w:jc w:val="left"/>
    </w:pPr>
    <w:rPr>
      <w:rFonts w:ascii="Times New Roman" w:eastAsia="Times New Roman" w:hAnsi="Times New Roman" w:cs="Times New Roman"/>
      <w:sz w:val="24"/>
      <w:szCs w:val="24"/>
      <w:lang w:val="es-ES" w:eastAsia="es-ES"/>
    </w:rPr>
  </w:style>
  <w:style w:type="paragraph" w:styleId="Lista3">
    <w:name w:val="List 3"/>
    <w:basedOn w:val="Normal"/>
    <w:uiPriority w:val="99"/>
    <w:unhideWhenUsed/>
    <w:rsid w:val="008E7A07"/>
    <w:pPr>
      <w:spacing w:line="240" w:lineRule="auto"/>
      <w:ind w:left="849" w:hanging="283"/>
      <w:contextualSpacing/>
      <w:jc w:val="left"/>
    </w:pPr>
    <w:rPr>
      <w:rFonts w:ascii="Times New Roman" w:eastAsia="Times New Roman" w:hAnsi="Times New Roman" w:cs="Times New Roman"/>
      <w:sz w:val="24"/>
      <w:szCs w:val="24"/>
      <w:lang w:val="es-ES" w:eastAsia="es-ES"/>
    </w:rPr>
  </w:style>
  <w:style w:type="paragraph" w:styleId="Textoindependienteprimerasangra2">
    <w:name w:val="Body Text First Indent 2"/>
    <w:basedOn w:val="Sangradetextonormal"/>
    <w:link w:val="Textoindependienteprimerasangra2Car"/>
    <w:uiPriority w:val="99"/>
    <w:unhideWhenUsed/>
    <w:rsid w:val="008E7A07"/>
    <w:pPr>
      <w:spacing w:after="0" w:line="240" w:lineRule="auto"/>
      <w:ind w:left="360" w:firstLine="360"/>
    </w:pPr>
    <w:rPr>
      <w:rFonts w:ascii="Times New Roman" w:eastAsia="Times New Roman" w:hAnsi="Times New Roman"/>
      <w:sz w:val="24"/>
      <w:szCs w:val="24"/>
      <w:lang w:val="es-ES" w:eastAsia="es-ES"/>
    </w:rPr>
  </w:style>
  <w:style w:type="character" w:customStyle="1" w:styleId="Textoindependienteprimerasangra2Car">
    <w:name w:val="Texto independiente primera sangría 2 Car"/>
    <w:basedOn w:val="SangradetextonormalCar"/>
    <w:link w:val="Textoindependienteprimerasangra2"/>
    <w:uiPriority w:val="99"/>
    <w:rsid w:val="008E7A07"/>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8E7A07"/>
  </w:style>
  <w:style w:type="character" w:customStyle="1" w:styleId="titulorubrolgt">
    <w:name w:val="titulorubrolgt"/>
    <w:basedOn w:val="Fuentedeprrafopredeter"/>
    <w:rsid w:val="008E7A07"/>
  </w:style>
  <w:style w:type="paragraph" w:customStyle="1" w:styleId="Text">
    <w:name w:val="Text"/>
    <w:basedOn w:val="Normal"/>
    <w:link w:val="TextChar"/>
    <w:rsid w:val="008E7A07"/>
    <w:pPr>
      <w:spacing w:after="240" w:line="240" w:lineRule="auto"/>
      <w:jc w:val="left"/>
    </w:pPr>
    <w:rPr>
      <w:rFonts w:ascii="Times New Roman" w:eastAsia="Times New Roman" w:hAnsi="Times New Roman" w:cs="Times New Roman"/>
      <w:sz w:val="24"/>
      <w:szCs w:val="20"/>
      <w:lang w:val="en-US" w:eastAsia="en-US"/>
    </w:rPr>
  </w:style>
  <w:style w:type="character" w:customStyle="1" w:styleId="TextChar">
    <w:name w:val="Text Char"/>
    <w:link w:val="Text"/>
    <w:locked/>
    <w:rsid w:val="008E7A07"/>
    <w:rPr>
      <w:rFonts w:ascii="Times New Roman" w:eastAsia="Times New Roman" w:hAnsi="Times New Roman" w:cs="Times New Roman"/>
      <w:sz w:val="24"/>
      <w:szCs w:val="20"/>
      <w:lang w:val="en-US" w:eastAsia="en-US"/>
    </w:rPr>
  </w:style>
  <w:style w:type="paragraph" w:customStyle="1" w:styleId="corte5transcripcion">
    <w:name w:val="corte5 transcripcion"/>
    <w:basedOn w:val="Normal"/>
    <w:rsid w:val="008E7A07"/>
    <w:pPr>
      <w:ind w:left="709" w:right="709"/>
    </w:pPr>
    <w:rPr>
      <w:rFonts w:ascii="Arial" w:eastAsia="Times New Roman" w:hAnsi="Arial" w:cs="Arial"/>
      <w:b/>
      <w:bCs/>
      <w:i/>
      <w:iCs/>
      <w:sz w:val="30"/>
      <w:szCs w:val="30"/>
    </w:rPr>
  </w:style>
  <w:style w:type="paragraph" w:customStyle="1" w:styleId="FAFunotente1">
    <w:name w:val="FA Fu?notente1"/>
    <w:basedOn w:val="Normal"/>
    <w:next w:val="Textonotapie"/>
    <w:uiPriority w:val="99"/>
    <w:rsid w:val="008E7A07"/>
    <w:pPr>
      <w:spacing w:line="240" w:lineRule="auto"/>
      <w:jc w:val="left"/>
    </w:pPr>
    <w:rPr>
      <w:rFonts w:asciiTheme="minorHAnsi" w:eastAsia="Cambria" w:hAnsiTheme="minorHAnsi" w:cstheme="minorBidi"/>
      <w:sz w:val="20"/>
      <w:szCs w:val="20"/>
      <w:lang w:eastAsia="en-US"/>
    </w:rPr>
  </w:style>
  <w:style w:type="table" w:customStyle="1" w:styleId="Tablaconcuadrcula1">
    <w:name w:val="Tabla con cuadrícula1"/>
    <w:basedOn w:val="Tablanormal"/>
    <w:next w:val="Tablaconcuadrcula"/>
    <w:uiPriority w:val="59"/>
    <w:rsid w:val="008E7A07"/>
    <w:pPr>
      <w:spacing w:line="240" w:lineRule="auto"/>
      <w:jc w:val="left"/>
    </w:pPr>
    <w:rPr>
      <w:rFonts w:ascii="Calibri" w:eastAsia="Calibri" w:hAnsi="Calibri" w:cs="Times New Roman"/>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8E7A07"/>
    <w:pPr>
      <w:spacing w:line="240" w:lineRule="auto"/>
      <w:jc w:val="left"/>
    </w:pPr>
    <w:rPr>
      <w:rFonts w:asciiTheme="minorHAnsi" w:eastAsia="Calibr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8E7A07"/>
    <w:rPr>
      <w:color w:val="605E5C"/>
      <w:shd w:val="clear" w:color="auto" w:fill="E1DFDD"/>
    </w:rPr>
  </w:style>
  <w:style w:type="paragraph" w:customStyle="1" w:styleId="temp">
    <w:name w:val="temp"/>
    <w:basedOn w:val="Normal"/>
    <w:rsid w:val="008E7A07"/>
    <w:pPr>
      <w:spacing w:before="100" w:beforeAutospacing="1" w:after="100" w:afterAutospacing="1" w:line="240" w:lineRule="auto"/>
      <w:jc w:val="left"/>
    </w:pPr>
    <w:rPr>
      <w:rFonts w:ascii="Times New Roman" w:eastAsia="Times New Roman" w:hAnsi="Times New Roman" w:cs="Times New Roman"/>
      <w:sz w:val="24"/>
      <w:szCs w:val="24"/>
    </w:rPr>
  </w:style>
  <w:style w:type="character" w:customStyle="1" w:styleId="bold">
    <w:name w:val="bold"/>
    <w:basedOn w:val="Fuentedeprrafopredeter"/>
    <w:rsid w:val="008E7A07"/>
  </w:style>
  <w:style w:type="paragraph" w:customStyle="1" w:styleId="ng-star-inserted">
    <w:name w:val="ng-star-inserted"/>
    <w:basedOn w:val="Normal"/>
    <w:rsid w:val="008E7A07"/>
    <w:pPr>
      <w:spacing w:before="100" w:beforeAutospacing="1" w:after="100" w:afterAutospacing="1" w:line="240" w:lineRule="auto"/>
      <w:jc w:val="left"/>
    </w:pPr>
    <w:rPr>
      <w:rFonts w:ascii="Times New Roman" w:eastAsia="Times New Roman" w:hAnsi="Times New Roman" w:cs="Times New Roman"/>
      <w:sz w:val="24"/>
      <w:szCs w:val="24"/>
    </w:rPr>
  </w:style>
  <w:style w:type="character" w:customStyle="1" w:styleId="Mencinsinresolver2">
    <w:name w:val="Mención sin resolver2"/>
    <w:basedOn w:val="Fuentedeprrafopredeter"/>
    <w:uiPriority w:val="99"/>
    <w:semiHidden/>
    <w:unhideWhenUsed/>
    <w:rsid w:val="008E7A07"/>
    <w:rPr>
      <w:color w:val="605E5C"/>
      <w:shd w:val="clear" w:color="auto" w:fill="E1DFDD"/>
    </w:rPr>
  </w:style>
  <w:style w:type="character" w:customStyle="1" w:styleId="Mencinsinresolver3">
    <w:name w:val="Mención sin resolver3"/>
    <w:basedOn w:val="Fuentedeprrafopredeter"/>
    <w:uiPriority w:val="99"/>
    <w:semiHidden/>
    <w:unhideWhenUsed/>
    <w:rsid w:val="008E7A07"/>
    <w:rPr>
      <w:color w:val="605E5C"/>
      <w:shd w:val="clear" w:color="auto" w:fill="E1DFDD"/>
    </w:rPr>
  </w:style>
  <w:style w:type="paragraph" w:styleId="Saludo">
    <w:name w:val="Salutation"/>
    <w:basedOn w:val="Normal"/>
    <w:next w:val="Normal"/>
    <w:link w:val="SaludoCar"/>
    <w:uiPriority w:val="99"/>
    <w:unhideWhenUsed/>
    <w:rsid w:val="008E7A07"/>
    <w:pPr>
      <w:spacing w:line="240" w:lineRule="auto"/>
      <w:jc w:val="left"/>
    </w:pPr>
    <w:rPr>
      <w:rFonts w:ascii="Times New Roman" w:eastAsia="Times New Roman" w:hAnsi="Times New Roman" w:cs="Times New Roman"/>
      <w:sz w:val="24"/>
      <w:szCs w:val="24"/>
      <w:lang w:eastAsia="es-ES"/>
    </w:rPr>
  </w:style>
  <w:style w:type="character" w:customStyle="1" w:styleId="SaludoCar">
    <w:name w:val="Saludo Car"/>
    <w:basedOn w:val="Fuentedeprrafopredeter"/>
    <w:link w:val="Saludo"/>
    <w:uiPriority w:val="99"/>
    <w:rsid w:val="008E7A07"/>
    <w:rPr>
      <w:rFonts w:ascii="Times New Roman" w:eastAsia="Times New Roman" w:hAnsi="Times New Roman" w:cs="Times New Roman"/>
      <w:sz w:val="24"/>
      <w:szCs w:val="24"/>
      <w:lang w:eastAsia="es-ES"/>
    </w:rPr>
  </w:style>
  <w:style w:type="character" w:customStyle="1" w:styleId="Caracteresdenotaalpie">
    <w:name w:val="Caracteres de nota al pie"/>
    <w:qFormat/>
    <w:rsid w:val="008E7A07"/>
  </w:style>
  <w:style w:type="character" w:customStyle="1" w:styleId="Mencinsinresolver4">
    <w:name w:val="Mención sin resolver4"/>
    <w:basedOn w:val="Fuentedeprrafopredeter"/>
    <w:uiPriority w:val="99"/>
    <w:semiHidden/>
    <w:unhideWhenUsed/>
    <w:rsid w:val="008E7A07"/>
    <w:rPr>
      <w:color w:val="605E5C"/>
      <w:shd w:val="clear" w:color="auto" w:fill="E1DFDD"/>
    </w:rPr>
  </w:style>
  <w:style w:type="numbering" w:customStyle="1" w:styleId="Sinlista1">
    <w:name w:val="Sin lista1"/>
    <w:next w:val="Sinlista"/>
    <w:uiPriority w:val="99"/>
    <w:semiHidden/>
    <w:unhideWhenUsed/>
    <w:rsid w:val="008E7A07"/>
  </w:style>
  <w:style w:type="table" w:customStyle="1" w:styleId="Tablaconcuadrcula3">
    <w:name w:val="Tabla con cuadrícula3"/>
    <w:basedOn w:val="Tablanormal"/>
    <w:next w:val="Tablaconcuadrcula"/>
    <w:uiPriority w:val="59"/>
    <w:qFormat/>
    <w:rsid w:val="008E7A07"/>
    <w:pPr>
      <w:spacing w:line="240" w:lineRule="auto"/>
      <w:jc w:val="left"/>
    </w:pPr>
    <w:rPr>
      <w:rFonts w:asciiTheme="minorHAnsi" w:eastAsia="Calibr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0">
    <w:name w:val="Table Normal"/>
    <w:rsid w:val="008E7A07"/>
    <w:pPr>
      <w:spacing w:line="240" w:lineRule="auto"/>
      <w:jc w:val="left"/>
    </w:pPr>
    <w:rPr>
      <w:rFonts w:ascii="Times New Roman" w:eastAsia="Times New Roman" w:hAnsi="Times New Roman" w:cs="Times New Roman"/>
      <w:sz w:val="24"/>
      <w:szCs w:val="24"/>
      <w:lang w:val="es-ES"/>
    </w:rPr>
    <w:tblPr>
      <w:tblCellMar>
        <w:top w:w="0" w:type="dxa"/>
        <w:left w:w="0" w:type="dxa"/>
        <w:bottom w:w="0" w:type="dxa"/>
        <w:right w:w="0" w:type="dxa"/>
      </w:tblCellMar>
    </w:tblPr>
  </w:style>
  <w:style w:type="table" w:customStyle="1" w:styleId="8">
    <w:name w:val="8"/>
    <w:basedOn w:val="TableNormal0"/>
    <w:rsid w:val="008E7A07"/>
    <w:tblPr>
      <w:tblStyleRowBandSize w:val="1"/>
      <w:tblStyleColBandSize w:val="1"/>
      <w:tblCellMar>
        <w:left w:w="115" w:type="dxa"/>
        <w:right w:w="115" w:type="dxa"/>
      </w:tblCellMar>
    </w:tblPr>
  </w:style>
  <w:style w:type="table" w:customStyle="1" w:styleId="7">
    <w:name w:val="7"/>
    <w:basedOn w:val="TableNormal0"/>
    <w:rsid w:val="008E7A07"/>
    <w:tblPr>
      <w:tblStyleRowBandSize w:val="1"/>
      <w:tblStyleColBandSize w:val="1"/>
      <w:tblCellMar>
        <w:left w:w="115" w:type="dxa"/>
        <w:right w:w="115" w:type="dxa"/>
      </w:tblCellMar>
    </w:tblPr>
  </w:style>
  <w:style w:type="table" w:customStyle="1" w:styleId="6">
    <w:name w:val="6"/>
    <w:basedOn w:val="TableNormal0"/>
    <w:rsid w:val="008E7A07"/>
    <w:tblPr>
      <w:tblStyleRowBandSize w:val="1"/>
      <w:tblStyleColBandSize w:val="1"/>
      <w:tblCellMar>
        <w:left w:w="115" w:type="dxa"/>
        <w:right w:w="115" w:type="dxa"/>
      </w:tblCellMar>
    </w:tblPr>
  </w:style>
  <w:style w:type="table" w:customStyle="1" w:styleId="5">
    <w:name w:val="5"/>
    <w:basedOn w:val="TableNormal0"/>
    <w:rsid w:val="008E7A07"/>
    <w:tblPr>
      <w:tblStyleRowBandSize w:val="1"/>
      <w:tblStyleColBandSize w:val="1"/>
      <w:tblCellMar>
        <w:left w:w="115" w:type="dxa"/>
        <w:right w:w="115" w:type="dxa"/>
      </w:tblCellMar>
    </w:tblPr>
  </w:style>
  <w:style w:type="table" w:customStyle="1" w:styleId="4">
    <w:name w:val="4"/>
    <w:basedOn w:val="TableNormal0"/>
    <w:rsid w:val="008E7A07"/>
    <w:tblPr>
      <w:tblStyleRowBandSize w:val="1"/>
      <w:tblStyleColBandSize w:val="1"/>
      <w:tblCellMar>
        <w:left w:w="115" w:type="dxa"/>
        <w:right w:w="115" w:type="dxa"/>
      </w:tblCellMar>
    </w:tblPr>
  </w:style>
  <w:style w:type="table" w:customStyle="1" w:styleId="3">
    <w:name w:val="3"/>
    <w:basedOn w:val="TableNormal0"/>
    <w:rsid w:val="008E7A07"/>
    <w:tblPr>
      <w:tblStyleRowBandSize w:val="1"/>
      <w:tblStyleColBandSize w:val="1"/>
      <w:tblCellMar>
        <w:left w:w="115" w:type="dxa"/>
        <w:right w:w="115" w:type="dxa"/>
      </w:tblCellMar>
    </w:tblPr>
  </w:style>
  <w:style w:type="table" w:customStyle="1" w:styleId="2">
    <w:name w:val="2"/>
    <w:basedOn w:val="TableNormal0"/>
    <w:rsid w:val="008E7A07"/>
    <w:tblPr>
      <w:tblStyleRowBandSize w:val="1"/>
      <w:tblStyleColBandSize w:val="1"/>
      <w:tblCellMar>
        <w:left w:w="115" w:type="dxa"/>
        <w:right w:w="115" w:type="dxa"/>
      </w:tblCellMar>
    </w:tblPr>
  </w:style>
  <w:style w:type="table" w:customStyle="1" w:styleId="1">
    <w:name w:val="1"/>
    <w:basedOn w:val="TableNormal0"/>
    <w:rsid w:val="008E7A07"/>
    <w:tblPr>
      <w:tblStyleRowBandSize w:val="1"/>
      <w:tblStyleColBandSize w:val="1"/>
      <w:tblCellMar>
        <w:left w:w="115" w:type="dxa"/>
        <w:right w:w="115" w:type="dxa"/>
      </w:tblCellMar>
    </w:tblPr>
  </w:style>
  <w:style w:type="character" w:customStyle="1" w:styleId="TextonotapieCar1">
    <w:name w:val="Texto nota pie Car1"/>
    <w:basedOn w:val="Fuentedeprrafopredeter"/>
    <w:uiPriority w:val="99"/>
    <w:rsid w:val="008E7A07"/>
    <w:rPr>
      <w:rFonts w:ascii="Times New Roman" w:eastAsia="Times New Roman" w:hAnsi="Times New Roman" w:cs="Times New Roman"/>
      <w:sz w:val="20"/>
      <w:szCs w:val="20"/>
      <w:lang w:eastAsia="es-MX"/>
    </w:rPr>
  </w:style>
  <w:style w:type="character" w:customStyle="1" w:styleId="m2871584667633129156gmail-apple-converted-space">
    <w:name w:val="m_2871584667633129156gmail-apple-converted-space"/>
    <w:basedOn w:val="Fuentedeprrafopredeter"/>
    <w:rsid w:val="008E7A07"/>
  </w:style>
  <w:style w:type="character" w:customStyle="1" w:styleId="m2871584667633129156gmail-msofootnotereference">
    <w:name w:val="m_2871584667633129156gmail-msofootnotereference"/>
    <w:basedOn w:val="Fuentedeprrafopredeter"/>
    <w:rsid w:val="008E7A07"/>
  </w:style>
  <w:style w:type="paragraph" w:customStyle="1" w:styleId="m2871584667633129156gmail-msofootnotetext">
    <w:name w:val="m_2871584667633129156gmail-msofootnotetext"/>
    <w:basedOn w:val="Normal"/>
    <w:rsid w:val="008E7A07"/>
    <w:pPr>
      <w:spacing w:before="100" w:beforeAutospacing="1" w:after="100" w:afterAutospacing="1" w:line="240" w:lineRule="auto"/>
      <w:jc w:val="left"/>
    </w:pPr>
    <w:rPr>
      <w:rFonts w:ascii="Times New Roman" w:eastAsia="Times New Roman" w:hAnsi="Times New Roman" w:cs="Times New Roman"/>
      <w:sz w:val="24"/>
      <w:szCs w:val="24"/>
    </w:rPr>
  </w:style>
  <w:style w:type="character" w:customStyle="1" w:styleId="u">
    <w:name w:val="u"/>
    <w:basedOn w:val="Fuentedeprrafopredeter"/>
    <w:rsid w:val="008E7A07"/>
  </w:style>
  <w:style w:type="paragraph" w:customStyle="1" w:styleId="rtejustify">
    <w:name w:val="rtejustify"/>
    <w:basedOn w:val="Normal"/>
    <w:rsid w:val="008E7A07"/>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j1">
    <w:name w:val="j1"/>
    <w:basedOn w:val="Normal"/>
    <w:rsid w:val="008E7A07"/>
    <w:pPr>
      <w:spacing w:before="100" w:beforeAutospacing="1" w:after="100" w:afterAutospacing="1" w:line="240" w:lineRule="auto"/>
      <w:jc w:val="left"/>
    </w:pPr>
    <w:rPr>
      <w:rFonts w:ascii="Times New Roman" w:eastAsia="Times New Roman" w:hAnsi="Times New Roman" w:cs="Times New Roman"/>
      <w:sz w:val="24"/>
      <w:szCs w:val="24"/>
    </w:rPr>
  </w:style>
  <w:style w:type="character" w:customStyle="1" w:styleId="m-7180717751901043621gmail-msofootnotereference">
    <w:name w:val="m_-7180717751901043621gmail-msofootnotereference"/>
    <w:basedOn w:val="Fuentedeprrafopredeter"/>
    <w:rsid w:val="008E7A07"/>
  </w:style>
  <w:style w:type="character" w:customStyle="1" w:styleId="m-3579365149168697376gmail-msofootnotereference">
    <w:name w:val="m_-3579365149168697376gmail-msofootnotereference"/>
    <w:basedOn w:val="Fuentedeprrafopredeter"/>
    <w:rsid w:val="008E7A07"/>
  </w:style>
  <w:style w:type="paragraph" w:customStyle="1" w:styleId="m-3579365149168697376gmail-msofootnotetext">
    <w:name w:val="m_-3579365149168697376gmail-msofootnotetext"/>
    <w:basedOn w:val="Normal"/>
    <w:rsid w:val="008E7A07"/>
    <w:pPr>
      <w:spacing w:before="100" w:beforeAutospacing="1" w:after="100" w:afterAutospacing="1" w:line="240" w:lineRule="auto"/>
      <w:jc w:val="left"/>
    </w:pPr>
    <w:rPr>
      <w:rFonts w:ascii="Times New Roman" w:eastAsia="Times New Roman" w:hAnsi="Times New Roman" w:cs="Times New Roman"/>
      <w:sz w:val="24"/>
      <w:szCs w:val="24"/>
    </w:rPr>
  </w:style>
  <w:style w:type="character" w:customStyle="1" w:styleId="ams">
    <w:name w:val="ams"/>
    <w:basedOn w:val="Fuentedeprrafopredeter"/>
    <w:rsid w:val="008E7A07"/>
  </w:style>
  <w:style w:type="numbering" w:customStyle="1" w:styleId="Sinlista2">
    <w:name w:val="Sin lista2"/>
    <w:next w:val="Sinlista"/>
    <w:uiPriority w:val="99"/>
    <w:semiHidden/>
    <w:unhideWhenUsed/>
    <w:rsid w:val="008E7A07"/>
  </w:style>
  <w:style w:type="table" w:customStyle="1" w:styleId="Tablaconcuadrcula4">
    <w:name w:val="Tabla con cuadrícula4"/>
    <w:basedOn w:val="Tablanormal"/>
    <w:next w:val="Tablaconcuadrcula"/>
    <w:uiPriority w:val="59"/>
    <w:qFormat/>
    <w:rsid w:val="008E7A07"/>
    <w:pPr>
      <w:spacing w:line="240" w:lineRule="auto"/>
      <w:jc w:val="left"/>
    </w:pPr>
    <w:rPr>
      <w:rFonts w:asciiTheme="minorHAnsi" w:eastAsia="Calibr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8E7A07"/>
    <w:pPr>
      <w:spacing w:line="240" w:lineRule="auto"/>
      <w:jc w:val="left"/>
    </w:pPr>
    <w:rPr>
      <w:rFonts w:ascii="Times New Roman" w:eastAsia="Times New Roman" w:hAnsi="Times New Roman" w:cs="Times New Roman"/>
      <w:sz w:val="24"/>
      <w:szCs w:val="24"/>
      <w:lang w:val="es-ES"/>
    </w:rPr>
    <w:tblPr>
      <w:tblCellMar>
        <w:top w:w="0" w:type="dxa"/>
        <w:left w:w="0" w:type="dxa"/>
        <w:bottom w:w="0" w:type="dxa"/>
        <w:right w:w="0" w:type="dxa"/>
      </w:tblCellMar>
    </w:tblPr>
  </w:style>
  <w:style w:type="table" w:customStyle="1" w:styleId="81">
    <w:name w:val="81"/>
    <w:basedOn w:val="TableNormal0"/>
    <w:rsid w:val="008E7A07"/>
    <w:tblPr>
      <w:tblStyleRowBandSize w:val="1"/>
      <w:tblStyleColBandSize w:val="1"/>
      <w:tblCellMar>
        <w:left w:w="115" w:type="dxa"/>
        <w:right w:w="115" w:type="dxa"/>
      </w:tblCellMar>
    </w:tblPr>
  </w:style>
  <w:style w:type="table" w:customStyle="1" w:styleId="71">
    <w:name w:val="71"/>
    <w:basedOn w:val="TableNormal0"/>
    <w:rsid w:val="008E7A07"/>
    <w:tblPr>
      <w:tblStyleRowBandSize w:val="1"/>
      <w:tblStyleColBandSize w:val="1"/>
      <w:tblCellMar>
        <w:left w:w="115" w:type="dxa"/>
        <w:right w:w="115" w:type="dxa"/>
      </w:tblCellMar>
    </w:tblPr>
  </w:style>
  <w:style w:type="table" w:customStyle="1" w:styleId="61">
    <w:name w:val="61"/>
    <w:basedOn w:val="TableNormal0"/>
    <w:rsid w:val="008E7A07"/>
    <w:tblPr>
      <w:tblStyleRowBandSize w:val="1"/>
      <w:tblStyleColBandSize w:val="1"/>
      <w:tblCellMar>
        <w:left w:w="115" w:type="dxa"/>
        <w:right w:w="115" w:type="dxa"/>
      </w:tblCellMar>
    </w:tblPr>
  </w:style>
  <w:style w:type="table" w:customStyle="1" w:styleId="51">
    <w:name w:val="51"/>
    <w:basedOn w:val="TableNormal0"/>
    <w:rsid w:val="008E7A07"/>
    <w:tblPr>
      <w:tblStyleRowBandSize w:val="1"/>
      <w:tblStyleColBandSize w:val="1"/>
      <w:tblCellMar>
        <w:left w:w="115" w:type="dxa"/>
        <w:right w:w="115" w:type="dxa"/>
      </w:tblCellMar>
    </w:tblPr>
  </w:style>
  <w:style w:type="table" w:customStyle="1" w:styleId="41">
    <w:name w:val="41"/>
    <w:basedOn w:val="TableNormal0"/>
    <w:rsid w:val="008E7A07"/>
    <w:tblPr>
      <w:tblStyleRowBandSize w:val="1"/>
      <w:tblStyleColBandSize w:val="1"/>
      <w:tblCellMar>
        <w:left w:w="115" w:type="dxa"/>
        <w:right w:w="115" w:type="dxa"/>
      </w:tblCellMar>
    </w:tblPr>
  </w:style>
  <w:style w:type="table" w:customStyle="1" w:styleId="31">
    <w:name w:val="31"/>
    <w:basedOn w:val="TableNormal0"/>
    <w:rsid w:val="008E7A07"/>
    <w:tblPr>
      <w:tblStyleRowBandSize w:val="1"/>
      <w:tblStyleColBandSize w:val="1"/>
      <w:tblCellMar>
        <w:left w:w="115" w:type="dxa"/>
        <w:right w:w="115" w:type="dxa"/>
      </w:tblCellMar>
    </w:tblPr>
  </w:style>
  <w:style w:type="table" w:customStyle="1" w:styleId="21">
    <w:name w:val="21"/>
    <w:basedOn w:val="TableNormal0"/>
    <w:rsid w:val="008E7A07"/>
    <w:tblPr>
      <w:tblStyleRowBandSize w:val="1"/>
      <w:tblStyleColBandSize w:val="1"/>
      <w:tblCellMar>
        <w:left w:w="115" w:type="dxa"/>
        <w:right w:w="115" w:type="dxa"/>
      </w:tblCellMar>
    </w:tblPr>
  </w:style>
  <w:style w:type="table" w:customStyle="1" w:styleId="11">
    <w:name w:val="11"/>
    <w:basedOn w:val="TableNormal0"/>
    <w:rsid w:val="008E7A07"/>
    <w:tblPr>
      <w:tblStyleRowBandSize w:val="1"/>
      <w:tblStyleColBandSize w:val="1"/>
      <w:tblCellMar>
        <w:left w:w="115" w:type="dxa"/>
        <w:right w:w="115" w:type="dxa"/>
      </w:tblCellMar>
    </w:tblPr>
  </w:style>
  <w:style w:type="paragraph" w:customStyle="1" w:styleId="Citas">
    <w:name w:val="Citas"/>
    <w:basedOn w:val="Normal"/>
    <w:qFormat/>
    <w:rsid w:val="008E7A07"/>
    <w:pPr>
      <w:spacing w:before="240" w:after="160"/>
      <w:ind w:left="851" w:right="851"/>
    </w:pPr>
    <w:rPr>
      <w:rFonts w:eastAsiaTheme="minorHAnsi" w:cs="Arial"/>
      <w:i/>
      <w:lang w:eastAsia="en-US"/>
    </w:rPr>
  </w:style>
  <w:style w:type="character" w:customStyle="1" w:styleId="Mencinsinresolver5">
    <w:name w:val="Mención sin resolver5"/>
    <w:basedOn w:val="Fuentedeprrafopredeter"/>
    <w:uiPriority w:val="99"/>
    <w:semiHidden/>
    <w:unhideWhenUsed/>
    <w:rsid w:val="008E7A07"/>
    <w:rPr>
      <w:color w:val="605E5C"/>
      <w:shd w:val="clear" w:color="auto" w:fill="E1DFDD"/>
    </w:rPr>
  </w:style>
  <w:style w:type="numbering" w:customStyle="1" w:styleId="Estiloimportado21">
    <w:name w:val="Estilo importado 21"/>
    <w:rsid w:val="008E7A07"/>
  </w:style>
  <w:style w:type="numbering" w:customStyle="1" w:styleId="Estiloimportado11">
    <w:name w:val="Estilo importado 11"/>
    <w:qFormat/>
    <w:rsid w:val="008E7A07"/>
  </w:style>
  <w:style w:type="table" w:customStyle="1" w:styleId="Tablaconcuadrcula5">
    <w:name w:val="Tabla con cuadrícula5"/>
    <w:basedOn w:val="Tablanormal"/>
    <w:next w:val="Tablaconcuadrcula"/>
    <w:uiPriority w:val="59"/>
    <w:rsid w:val="008E7A07"/>
    <w:pPr>
      <w:spacing w:line="240" w:lineRule="auto"/>
      <w:jc w:val="left"/>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6">
    <w:name w:val="Mención sin resolver6"/>
    <w:basedOn w:val="Fuentedeprrafopredeter"/>
    <w:uiPriority w:val="99"/>
    <w:semiHidden/>
    <w:unhideWhenUsed/>
    <w:rsid w:val="008E7A07"/>
    <w:rPr>
      <w:color w:val="605E5C"/>
      <w:shd w:val="clear" w:color="auto" w:fill="E1DFDD"/>
    </w:rPr>
  </w:style>
  <w:style w:type="numbering" w:customStyle="1" w:styleId="Sinlista3">
    <w:name w:val="Sin lista3"/>
    <w:next w:val="Sinlista"/>
    <w:uiPriority w:val="99"/>
    <w:semiHidden/>
    <w:unhideWhenUsed/>
    <w:rsid w:val="008E7A07"/>
  </w:style>
  <w:style w:type="table" w:customStyle="1" w:styleId="Tablaconcuadrcula7">
    <w:name w:val="Tabla con cuadrícula7"/>
    <w:basedOn w:val="Tablanormal"/>
    <w:next w:val="Tablaconcuadrcula"/>
    <w:uiPriority w:val="39"/>
    <w:rsid w:val="008E7A07"/>
    <w:pPr>
      <w:spacing w:line="240" w:lineRule="auto"/>
      <w:jc w:val="left"/>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8E7A07"/>
  </w:style>
  <w:style w:type="table" w:customStyle="1" w:styleId="Tablaconcuadrcula11">
    <w:name w:val="Tabla con cuadrícula11"/>
    <w:basedOn w:val="Tablanormal"/>
    <w:next w:val="Tablaconcuadrcula"/>
    <w:uiPriority w:val="59"/>
    <w:rsid w:val="008E7A07"/>
    <w:pPr>
      <w:spacing w:line="240" w:lineRule="auto"/>
      <w:jc w:val="left"/>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convietas3">
    <w:name w:val="List Bullet 3"/>
    <w:basedOn w:val="Normal"/>
    <w:uiPriority w:val="99"/>
    <w:unhideWhenUsed/>
    <w:rsid w:val="008E7A07"/>
    <w:pPr>
      <w:numPr>
        <w:numId w:val="13"/>
      </w:numPr>
      <w:spacing w:line="240" w:lineRule="auto"/>
      <w:contextualSpacing/>
      <w:jc w:val="left"/>
    </w:pPr>
    <w:rPr>
      <w:rFonts w:ascii="Times New Roman" w:eastAsia="Times New Roman" w:hAnsi="Times New Roman" w:cs="Times New Roman"/>
      <w:sz w:val="24"/>
      <w:szCs w:val="24"/>
    </w:rPr>
  </w:style>
  <w:style w:type="numbering" w:customStyle="1" w:styleId="Sinlista11">
    <w:name w:val="Sin lista11"/>
    <w:next w:val="Sinlista"/>
    <w:uiPriority w:val="99"/>
    <w:semiHidden/>
    <w:unhideWhenUsed/>
    <w:rsid w:val="008E7A07"/>
  </w:style>
  <w:style w:type="numbering" w:customStyle="1" w:styleId="Estiloimportado22">
    <w:name w:val="Estilo importado 22"/>
    <w:rsid w:val="008E7A07"/>
  </w:style>
  <w:style w:type="numbering" w:customStyle="1" w:styleId="Estiloimportado12">
    <w:name w:val="Estilo importado 12"/>
    <w:qFormat/>
    <w:rsid w:val="008E7A07"/>
  </w:style>
  <w:style w:type="table" w:customStyle="1" w:styleId="Tablaconcuadrcula111">
    <w:name w:val="Tabla con cuadrícula111"/>
    <w:basedOn w:val="Tablanormal"/>
    <w:next w:val="Tablaconcuadrcula"/>
    <w:uiPriority w:val="59"/>
    <w:rsid w:val="008E7A07"/>
    <w:pPr>
      <w:spacing w:line="240" w:lineRule="auto"/>
      <w:jc w:val="left"/>
    </w:pPr>
    <w:rPr>
      <w:rFonts w:ascii="Calibri" w:eastAsia="Calibri" w:hAnsi="Calibri" w:cs="Times New Roman"/>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11">
    <w:name w:val="Sin lista111"/>
    <w:next w:val="Sinlista"/>
    <w:uiPriority w:val="99"/>
    <w:semiHidden/>
    <w:unhideWhenUsed/>
    <w:rsid w:val="008E7A07"/>
  </w:style>
  <w:style w:type="numbering" w:customStyle="1" w:styleId="Sinlista21">
    <w:name w:val="Sin lista21"/>
    <w:next w:val="Sinlista"/>
    <w:uiPriority w:val="99"/>
    <w:semiHidden/>
    <w:unhideWhenUsed/>
    <w:rsid w:val="008E7A07"/>
  </w:style>
  <w:style w:type="numbering" w:customStyle="1" w:styleId="Estiloimportado211">
    <w:name w:val="Estilo importado 211"/>
    <w:rsid w:val="008E7A07"/>
  </w:style>
  <w:style w:type="numbering" w:customStyle="1" w:styleId="Estiloimportado111">
    <w:name w:val="Estilo importado 111"/>
    <w:qFormat/>
    <w:rsid w:val="008E7A07"/>
  </w:style>
  <w:style w:type="numbering" w:customStyle="1" w:styleId="Sinlista31">
    <w:name w:val="Sin lista31"/>
    <w:next w:val="Sinlista"/>
    <w:uiPriority w:val="99"/>
    <w:semiHidden/>
    <w:unhideWhenUsed/>
    <w:rsid w:val="008E7A07"/>
  </w:style>
  <w:style w:type="numbering" w:customStyle="1" w:styleId="Estiloimportado221">
    <w:name w:val="Estilo importado 221"/>
    <w:rsid w:val="008E7A07"/>
  </w:style>
  <w:style w:type="numbering" w:customStyle="1" w:styleId="Estiloimportado121">
    <w:name w:val="Estilo importado 121"/>
    <w:qFormat/>
    <w:rsid w:val="008E7A07"/>
  </w:style>
  <w:style w:type="character" w:customStyle="1" w:styleId="Mencinsinresolver7">
    <w:name w:val="Mención sin resolver7"/>
    <w:basedOn w:val="Fuentedeprrafopredeter"/>
    <w:uiPriority w:val="99"/>
    <w:semiHidden/>
    <w:unhideWhenUsed/>
    <w:rsid w:val="008E7A07"/>
    <w:rPr>
      <w:color w:val="605E5C"/>
      <w:shd w:val="clear" w:color="auto" w:fill="E1DFDD"/>
    </w:rPr>
  </w:style>
  <w:style w:type="table" w:customStyle="1" w:styleId="Tablaconcuadrcula12">
    <w:name w:val="Tabla con cuadrícula12"/>
    <w:basedOn w:val="Tablanormal"/>
    <w:next w:val="Tablaconcuadrcula"/>
    <w:uiPriority w:val="39"/>
    <w:rsid w:val="008E7A07"/>
    <w:pPr>
      <w:spacing w:line="240" w:lineRule="auto"/>
      <w:jc w:val="left"/>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8">
    <w:name w:val="Mención sin resolver8"/>
    <w:basedOn w:val="Fuentedeprrafopredeter"/>
    <w:uiPriority w:val="99"/>
    <w:semiHidden/>
    <w:unhideWhenUsed/>
    <w:rsid w:val="008E7A07"/>
    <w:rPr>
      <w:color w:val="605E5C"/>
      <w:shd w:val="clear" w:color="auto" w:fill="E1DFDD"/>
    </w:rPr>
  </w:style>
  <w:style w:type="character" w:customStyle="1" w:styleId="Mencinsinresolver9">
    <w:name w:val="Mención sin resolver9"/>
    <w:basedOn w:val="Fuentedeprrafopredeter"/>
    <w:uiPriority w:val="99"/>
    <w:semiHidden/>
    <w:unhideWhenUsed/>
    <w:rsid w:val="008E7A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ne.mx/wp-content/uploads/2022/10/DERFEABCCREDENCIAL2022.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onsultas.curp.gob.mx/CurpSP/html/informacionecurpPS.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B2vfU2RMYoukwFr2AlL0co4lV4Q==">CgMxLjAyDmgudGNleW4wczRhMm14Mg5oLmp4ZnZxMHI2YWt4eDIOaC5hdXVsd2Yyc3M3NmgyDmguMnZsd3p0ejN2cHh1Mg5oLnZ0cW1nNTdxaHlnbjINaC45ZmRjaTlqbWFnNzIOaC45ZDRsd3hudWRqeWkyDmguNTN4MHgzdmU5cXR3Mg1oLmZxcjdzNmk5M28zMg5oLmJoMmdmN2g4cXp3NTIOaC45YjF0bTRvNDI1MXgyDmguOTcwajVseHBtODJzMg5oLml5MW56cmNoc2ZlMzIOaC5oMm54Y3h3YzRsazkyDmgudjB4YnFnaDh5b2dtMg5oLnhrdTFmNzY5ZGJ2NzIOaC51c253YWtxazZpYmcyDmguaDR2dTd2am1wMXhpMg5oLmFheW9lbGtrYmNsaTIOaC55eml6ZTZ2N2NzMmkyDmgub2Jxd2VweTFwMXJnMg5oLmxjc3VudzJjbjEydDIOaC4yNXR4aWtqdXVpcG4yCWguMnM4ZXlvMTIOaC5vN3oyNHpzYnpjMGwyDmguOTc3YXFob2NiamtqMg5oLm5iZjZ0bm10aGZ6NDIOaC45NmQ2NDFreXQ1d20yDmguYmZkOXVtd29zajcyMg1oLnUxNnMzZWszcTBxMg5oLjkyNTM0a3M5dXZrODgAciExa2RCb25URFgweUpBd1RQMzRVQnliSkQ1VWhPcGJ6bH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46</Pages>
  <Words>12957</Words>
  <Characters>71266</Characters>
  <Application>Microsoft Office Word</Application>
  <DocSecurity>0</DocSecurity>
  <Lines>593</Lines>
  <Paragraphs>168</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84055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Alan Gutierrez Zarate</dc:creator>
  <cp:lastModifiedBy>infoem607b</cp:lastModifiedBy>
  <cp:revision>7</cp:revision>
  <cp:lastPrinted>2025-08-21T19:07:00Z</cp:lastPrinted>
  <dcterms:created xsi:type="dcterms:W3CDTF">2025-08-18T21:46:00Z</dcterms:created>
  <dcterms:modified xsi:type="dcterms:W3CDTF">2025-08-21T19:07:00Z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