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E74" w:rsidRPr="003E5F7C" w:rsidRDefault="00B05C77" w:rsidP="003E5F7C">
      <w:pPr>
        <w:tabs>
          <w:tab w:val="left" w:pos="0"/>
        </w:tabs>
        <w:spacing w:line="360" w:lineRule="auto"/>
        <w:jc w:val="both"/>
        <w:rPr>
          <w:rFonts w:ascii="Palatino Linotype" w:eastAsia="Palatino Linotype" w:hAnsi="Palatino Linotype" w:cs="Palatino Linotype"/>
          <w:color w:val="000000" w:themeColor="text1"/>
        </w:rPr>
      </w:pPr>
      <w:bookmarkStart w:id="0" w:name="_GoBack"/>
      <w:bookmarkEnd w:id="0"/>
      <w:r w:rsidRPr="003E5F7C">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3E5F7C" w:rsidRPr="003E5F7C">
        <w:rPr>
          <w:rFonts w:ascii="Palatino Linotype" w:eastAsia="Palatino Linotype" w:hAnsi="Palatino Linotype" w:cs="Palatino Linotype"/>
          <w:b/>
          <w:color w:val="000000" w:themeColor="text1"/>
        </w:rPr>
        <w:t>de fecha</w:t>
      </w:r>
      <w:r w:rsidR="00A11D56">
        <w:rPr>
          <w:rFonts w:ascii="Palatino Linotype" w:eastAsia="Palatino Linotype" w:hAnsi="Palatino Linotype" w:cs="Palatino Linotype"/>
          <w:b/>
          <w:color w:val="000000" w:themeColor="text1"/>
        </w:rPr>
        <w:t xml:space="preserve"> uno (01)</w:t>
      </w:r>
      <w:r w:rsidR="003E5F7C" w:rsidRPr="003E5F7C">
        <w:rPr>
          <w:rFonts w:ascii="Palatino Linotype" w:eastAsia="Palatino Linotype" w:hAnsi="Palatino Linotype" w:cs="Palatino Linotype"/>
          <w:b/>
          <w:color w:val="000000" w:themeColor="text1"/>
        </w:rPr>
        <w:t xml:space="preserve"> de octubre de dos mil veinticinco</w:t>
      </w:r>
      <w:r w:rsidRPr="003E5F7C">
        <w:rPr>
          <w:rFonts w:ascii="Palatino Linotype" w:eastAsia="Palatino Linotype" w:hAnsi="Palatino Linotype" w:cs="Palatino Linotype"/>
          <w:color w:val="000000" w:themeColor="text1"/>
        </w:rPr>
        <w:t>.</w:t>
      </w:r>
    </w:p>
    <w:p w:rsidR="00D86E74" w:rsidRPr="003E5F7C" w:rsidRDefault="00D86E74" w:rsidP="003E5F7C">
      <w:pPr>
        <w:tabs>
          <w:tab w:val="left" w:pos="0"/>
          <w:tab w:val="left" w:pos="567"/>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tabs>
          <w:tab w:val="left" w:pos="0"/>
        </w:tabs>
        <w:spacing w:line="360" w:lineRule="auto"/>
        <w:jc w:val="both"/>
        <w:rPr>
          <w:rFonts w:ascii="Palatino Linotype" w:eastAsia="Palatino Linotype" w:hAnsi="Palatino Linotype" w:cs="Palatino Linotype"/>
          <w:color w:val="000000" w:themeColor="text1"/>
        </w:rPr>
      </w:pPr>
      <w:bookmarkStart w:id="1" w:name="_heading=h.gjdgxs" w:colFirst="0" w:colLast="0"/>
      <w:bookmarkEnd w:id="1"/>
      <w:r w:rsidRPr="003E5F7C">
        <w:rPr>
          <w:rFonts w:ascii="Palatino Linotype" w:eastAsia="Palatino Linotype" w:hAnsi="Palatino Linotype" w:cs="Palatino Linotype"/>
          <w:b/>
          <w:color w:val="000000" w:themeColor="text1"/>
        </w:rPr>
        <w:t>VISTO</w:t>
      </w:r>
      <w:r w:rsidRPr="003E5F7C">
        <w:rPr>
          <w:rFonts w:ascii="Palatino Linotype" w:eastAsia="Palatino Linotype" w:hAnsi="Palatino Linotype" w:cs="Palatino Linotype"/>
          <w:color w:val="000000" w:themeColor="text1"/>
        </w:rPr>
        <w:t xml:space="preserve"> el expediente electrónico formado con motivo del recurso de revisión </w:t>
      </w:r>
      <w:r w:rsidR="00BD2821" w:rsidRPr="003E5F7C">
        <w:rPr>
          <w:rFonts w:ascii="Palatino Linotype" w:eastAsia="Palatino Linotype" w:hAnsi="Palatino Linotype" w:cs="Palatino Linotype"/>
          <w:b/>
          <w:color w:val="000000" w:themeColor="text1"/>
        </w:rPr>
        <w:t>03673</w:t>
      </w:r>
      <w:r w:rsidRPr="003E5F7C">
        <w:rPr>
          <w:rFonts w:ascii="Palatino Linotype" w:eastAsia="Palatino Linotype" w:hAnsi="Palatino Linotype" w:cs="Palatino Linotype"/>
          <w:b/>
          <w:color w:val="000000" w:themeColor="text1"/>
        </w:rPr>
        <w:t>/INFOEM/IP/RR/2025</w:t>
      </w:r>
      <w:r w:rsidRPr="003E5F7C">
        <w:rPr>
          <w:rFonts w:ascii="Palatino Linotype" w:eastAsia="Palatino Linotype" w:hAnsi="Palatino Linotype" w:cs="Palatino Linotype"/>
          <w:color w:val="000000" w:themeColor="text1"/>
        </w:rPr>
        <w:t>,</w:t>
      </w:r>
      <w:r w:rsidRPr="003E5F7C">
        <w:rPr>
          <w:rFonts w:ascii="Palatino Linotype" w:eastAsia="Palatino Linotype" w:hAnsi="Palatino Linotype" w:cs="Palatino Linotype"/>
          <w:b/>
          <w:color w:val="000000" w:themeColor="text1"/>
        </w:rPr>
        <w:t xml:space="preserve"> </w:t>
      </w:r>
      <w:r w:rsidRPr="003E5F7C">
        <w:rPr>
          <w:rFonts w:ascii="Palatino Linotype" w:eastAsia="Palatino Linotype" w:hAnsi="Palatino Linotype" w:cs="Palatino Linotype"/>
          <w:color w:val="000000" w:themeColor="text1"/>
        </w:rPr>
        <w:t xml:space="preserve">promovido por </w:t>
      </w:r>
      <w:r w:rsidR="006A4365">
        <w:rPr>
          <w:rFonts w:ascii="Palatino Linotype" w:eastAsia="Palatino Linotype" w:hAnsi="Palatino Linotype" w:cs="Palatino Linotype"/>
          <w:b/>
          <w:color w:val="000000" w:themeColor="text1"/>
        </w:rPr>
        <w:t>XXXX</w:t>
      </w:r>
      <w:r w:rsidR="00A11D56">
        <w:rPr>
          <w:rFonts w:ascii="Palatino Linotype" w:eastAsia="Palatino Linotype" w:hAnsi="Palatino Linotype" w:cs="Palatino Linotype"/>
          <w:b/>
          <w:color w:val="000000" w:themeColor="text1"/>
        </w:rPr>
        <w:t>,</w:t>
      </w:r>
      <w:r w:rsidR="003E5F7C">
        <w:rPr>
          <w:rFonts w:ascii="Palatino Linotype" w:eastAsia="Palatino Linotype" w:hAnsi="Palatino Linotype" w:cs="Palatino Linotype"/>
          <w:color w:val="000000" w:themeColor="text1"/>
        </w:rPr>
        <w:t xml:space="preserve"> en adelante EL </w:t>
      </w:r>
      <w:r w:rsidR="00FD7925" w:rsidRPr="003E5F7C">
        <w:rPr>
          <w:rFonts w:ascii="Palatino Linotype" w:eastAsia="Palatino Linotype" w:hAnsi="Palatino Linotype" w:cs="Palatino Linotype"/>
          <w:b/>
          <w:color w:val="000000" w:themeColor="text1"/>
        </w:rPr>
        <w:t>RECURRENTE</w:t>
      </w:r>
      <w:r w:rsidRPr="003E5F7C">
        <w:rPr>
          <w:rFonts w:ascii="Palatino Linotype" w:eastAsia="Palatino Linotype" w:hAnsi="Palatino Linotype" w:cs="Palatino Linotype"/>
          <w:b/>
          <w:color w:val="000000" w:themeColor="text1"/>
        </w:rPr>
        <w:t>,</w:t>
      </w:r>
      <w:r w:rsidRPr="003E5F7C">
        <w:rPr>
          <w:rFonts w:ascii="Palatino Linotype" w:eastAsia="Palatino Linotype" w:hAnsi="Palatino Linotype" w:cs="Palatino Linotype"/>
          <w:color w:val="000000" w:themeColor="text1"/>
        </w:rPr>
        <w:t xml:space="preserve"> en contra de la respuesta del </w:t>
      </w:r>
      <w:r w:rsidRPr="003E5F7C">
        <w:rPr>
          <w:rFonts w:ascii="Palatino Linotype" w:eastAsia="Palatino Linotype" w:hAnsi="Palatino Linotype" w:cs="Palatino Linotype"/>
          <w:b/>
          <w:color w:val="000000" w:themeColor="text1"/>
        </w:rPr>
        <w:t xml:space="preserve">Ayuntamiento de </w:t>
      </w:r>
      <w:r w:rsidR="00BD2821" w:rsidRPr="003E5F7C">
        <w:rPr>
          <w:rFonts w:ascii="Palatino Linotype" w:eastAsia="Palatino Linotype" w:hAnsi="Palatino Linotype" w:cs="Palatino Linotype"/>
          <w:b/>
          <w:color w:val="000000" w:themeColor="text1"/>
        </w:rPr>
        <w:t>Tonatico</w:t>
      </w:r>
      <w:r w:rsidR="00FD7925" w:rsidRPr="003E5F7C">
        <w:rPr>
          <w:rFonts w:ascii="Palatino Linotype" w:eastAsia="Palatino Linotype" w:hAnsi="Palatino Linotype" w:cs="Palatino Linotype"/>
          <w:b/>
          <w:color w:val="000000" w:themeColor="text1"/>
        </w:rPr>
        <w:t>,</w:t>
      </w:r>
      <w:r w:rsidRPr="003E5F7C">
        <w:rPr>
          <w:rFonts w:ascii="Palatino Linotype" w:eastAsia="Palatino Linotype" w:hAnsi="Palatino Linotype" w:cs="Palatino Linotype"/>
          <w:b/>
          <w:color w:val="000000" w:themeColor="text1"/>
        </w:rPr>
        <w:t xml:space="preserve"> </w:t>
      </w:r>
      <w:r w:rsidRPr="003E5F7C">
        <w:rPr>
          <w:rFonts w:ascii="Palatino Linotype" w:eastAsia="Palatino Linotype" w:hAnsi="Palatino Linotype" w:cs="Palatino Linotype"/>
          <w:color w:val="000000" w:themeColor="text1"/>
        </w:rPr>
        <w:t xml:space="preserve">en </w:t>
      </w:r>
      <w:r w:rsidR="003E5F7C">
        <w:rPr>
          <w:rFonts w:ascii="Palatino Linotype" w:eastAsia="Palatino Linotype" w:hAnsi="Palatino Linotype" w:cs="Palatino Linotype"/>
          <w:color w:val="000000" w:themeColor="text1"/>
        </w:rPr>
        <w:t xml:space="preserve">lo subsecuente </w:t>
      </w:r>
      <w:r w:rsidRPr="003E5F7C">
        <w:rPr>
          <w:rFonts w:ascii="Palatino Linotype" w:eastAsia="Palatino Linotype" w:hAnsi="Palatino Linotype" w:cs="Palatino Linotype"/>
          <w:color w:val="000000" w:themeColor="text1"/>
        </w:rPr>
        <w:t>el</w:t>
      </w:r>
      <w:r w:rsidRPr="003E5F7C">
        <w:rPr>
          <w:rFonts w:ascii="Palatino Linotype" w:eastAsia="Palatino Linotype" w:hAnsi="Palatino Linotype" w:cs="Palatino Linotype"/>
          <w:b/>
          <w:color w:val="000000" w:themeColor="text1"/>
        </w:rPr>
        <w:t xml:space="preserve"> SUJETO OBLIGADO</w:t>
      </w:r>
      <w:r w:rsidRPr="003E5F7C">
        <w:rPr>
          <w:rFonts w:ascii="Palatino Linotype" w:eastAsia="Palatino Linotype" w:hAnsi="Palatino Linotype" w:cs="Palatino Linotype"/>
          <w:color w:val="000000" w:themeColor="text1"/>
        </w:rPr>
        <w:t>, se procede a dictar la presente resolución, con base en los siguientes:</w:t>
      </w:r>
    </w:p>
    <w:p w:rsidR="00D86E74" w:rsidRPr="003E5F7C" w:rsidRDefault="00D86E74" w:rsidP="003E5F7C">
      <w:pP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pStyle w:val="Ttulo1"/>
        <w:tabs>
          <w:tab w:val="left" w:pos="0"/>
          <w:tab w:val="left" w:pos="567"/>
        </w:tabs>
        <w:spacing w:before="0" w:line="360" w:lineRule="auto"/>
        <w:jc w:val="center"/>
        <w:rPr>
          <w:b w:val="0"/>
          <w:color w:val="000000" w:themeColor="text1"/>
        </w:rPr>
      </w:pPr>
      <w:bookmarkStart w:id="2" w:name="_heading=h.30j0zll" w:colFirst="0" w:colLast="0"/>
      <w:bookmarkEnd w:id="2"/>
      <w:r w:rsidRPr="003E5F7C">
        <w:rPr>
          <w:color w:val="000000" w:themeColor="text1"/>
        </w:rPr>
        <w:t>A N T E C E D E N T E S</w:t>
      </w:r>
    </w:p>
    <w:p w:rsidR="00D86E74" w:rsidRPr="003E5F7C" w:rsidRDefault="00D86E74" w:rsidP="003E5F7C">
      <w:pPr>
        <w:pStyle w:val="Ttulo1"/>
        <w:tabs>
          <w:tab w:val="left" w:pos="0"/>
          <w:tab w:val="left" w:pos="567"/>
        </w:tabs>
        <w:spacing w:before="0" w:line="360" w:lineRule="auto"/>
        <w:rPr>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w:t>
      </w:r>
      <w:r w:rsidR="00BD2821" w:rsidRPr="003E5F7C">
        <w:rPr>
          <w:rFonts w:ascii="Palatino Linotype" w:eastAsia="Palatino Linotype" w:hAnsi="Palatino Linotype" w:cs="Palatino Linotype"/>
          <w:b/>
          <w:color w:val="000000" w:themeColor="text1"/>
        </w:rPr>
        <w:t>veintiuno de febrero</w:t>
      </w:r>
      <w:r w:rsidRPr="003E5F7C">
        <w:rPr>
          <w:rFonts w:ascii="Palatino Linotype" w:eastAsia="Palatino Linotype" w:hAnsi="Palatino Linotype" w:cs="Palatino Linotype"/>
          <w:b/>
          <w:color w:val="000000" w:themeColor="text1"/>
        </w:rPr>
        <w:t xml:space="preserve"> de dos mil veinticinco, </w:t>
      </w:r>
      <w:r w:rsidRPr="003E5F7C">
        <w:rPr>
          <w:rFonts w:ascii="Palatino Linotype" w:eastAsia="Palatino Linotype" w:hAnsi="Palatino Linotype" w:cs="Palatino Linotype"/>
          <w:color w:val="000000" w:themeColor="text1"/>
        </w:rPr>
        <w:t xml:space="preserve">se presentó ante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vía SAIMEX, la solicitud de información pública registrada con el número</w:t>
      </w:r>
      <w:r w:rsidR="00BD2821" w:rsidRPr="003E5F7C">
        <w:rPr>
          <w:rFonts w:ascii="Palatino Linotype" w:eastAsia="Palatino Linotype" w:hAnsi="Palatino Linotype" w:cs="Palatino Linotype"/>
          <w:b/>
          <w:color w:val="000000" w:themeColor="text1"/>
        </w:rPr>
        <w:t xml:space="preserve"> 00013</w:t>
      </w:r>
      <w:r w:rsidRPr="003E5F7C">
        <w:rPr>
          <w:rFonts w:ascii="Palatino Linotype" w:eastAsia="Palatino Linotype" w:hAnsi="Palatino Linotype" w:cs="Palatino Linotype"/>
          <w:b/>
          <w:color w:val="000000" w:themeColor="text1"/>
        </w:rPr>
        <w:t>/</w:t>
      </w:r>
      <w:r w:rsidR="00BD2821" w:rsidRPr="003E5F7C">
        <w:rPr>
          <w:rFonts w:ascii="Palatino Linotype" w:eastAsia="Palatino Linotype" w:hAnsi="Palatino Linotype" w:cs="Palatino Linotype"/>
          <w:b/>
          <w:color w:val="000000" w:themeColor="text1"/>
        </w:rPr>
        <w:t>TONATICO</w:t>
      </w:r>
      <w:r w:rsidRPr="003E5F7C">
        <w:rPr>
          <w:rFonts w:ascii="Palatino Linotype" w:eastAsia="Palatino Linotype" w:hAnsi="Palatino Linotype" w:cs="Palatino Linotype"/>
          <w:b/>
          <w:color w:val="000000" w:themeColor="text1"/>
        </w:rPr>
        <w:t xml:space="preserve">/IP/2025; </w:t>
      </w:r>
      <w:r w:rsidR="00A11D56">
        <w:rPr>
          <w:rFonts w:ascii="Palatino Linotype" w:eastAsia="Palatino Linotype" w:hAnsi="Palatino Linotype" w:cs="Palatino Linotype"/>
          <w:color w:val="000000" w:themeColor="text1"/>
        </w:rPr>
        <w:t xml:space="preserve">en la que </w:t>
      </w:r>
      <w:r w:rsidRPr="003E5F7C">
        <w:rPr>
          <w:rFonts w:ascii="Palatino Linotype" w:eastAsia="Palatino Linotype" w:hAnsi="Palatino Linotype" w:cs="Palatino Linotype"/>
          <w:color w:val="000000" w:themeColor="text1"/>
        </w:rPr>
        <w:t>se solicitó la siguiente información:</w:t>
      </w:r>
    </w:p>
    <w:p w:rsidR="00D86E74" w:rsidRPr="003E5F7C" w:rsidRDefault="00D86E74" w:rsidP="003E5F7C">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D86E74" w:rsidRPr="003E5F7C" w:rsidRDefault="00B05C77"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r w:rsidR="00BD2821" w:rsidRPr="003E5F7C">
        <w:rPr>
          <w:rFonts w:ascii="Palatino Linotype" w:eastAsia="Palatino Linotype" w:hAnsi="Palatino Linotype" w:cs="Palatino Linotype"/>
          <w:i/>
          <w:color w:val="000000" w:themeColor="text1"/>
        </w:rPr>
        <w:t>B</w:t>
      </w:r>
      <w:r w:rsidR="00BD2821" w:rsidRPr="003E5F7C">
        <w:rPr>
          <w:rFonts w:ascii="Palatino Linotype" w:hAnsi="Palatino Linotype"/>
          <w:i/>
          <w:color w:val="000000" w:themeColor="text1"/>
        </w:rPr>
        <w:t>uenos días, del municipio de Tonatico solicito la nomina de la primera quincena de enero y la primera quincena de febrero del año 2025 Asu vez solicito informe con detalle y comprobantes los gastos de la feria 2025 organizada por el ayuntamiento, así como la solicitud y aprobación por cabildo, de estos gastos. Solicito informe</w:t>
      </w:r>
      <w:r w:rsidRPr="003E5F7C">
        <w:rPr>
          <w:rFonts w:ascii="Palatino Linotype" w:eastAsia="Palatino Linotype" w:hAnsi="Palatino Linotype" w:cs="Palatino Linotype"/>
          <w:i/>
          <w:color w:val="000000" w:themeColor="text1"/>
        </w:rPr>
        <w:t>” (Sic)</w:t>
      </w:r>
    </w:p>
    <w:p w:rsidR="00D86E74" w:rsidRDefault="00D86E74" w:rsidP="003E5F7C">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A11D56" w:rsidRPr="003E5F7C" w:rsidRDefault="00A11D56" w:rsidP="003E5F7C">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Se eligió como modalidad de entrega de la información: A través del </w:t>
      </w:r>
      <w:r w:rsidRPr="003E5F7C">
        <w:rPr>
          <w:rFonts w:ascii="Palatino Linotype" w:eastAsia="Palatino Linotype" w:hAnsi="Palatino Linotype" w:cs="Palatino Linotype"/>
          <w:b/>
          <w:color w:val="000000" w:themeColor="text1"/>
        </w:rPr>
        <w:t>SAIMEX.</w:t>
      </w:r>
    </w:p>
    <w:p w:rsidR="00D86E74" w:rsidRPr="003E5F7C" w:rsidRDefault="00D86E74" w:rsidP="003E5F7C">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BD2821" w:rsidRPr="003E5F7C" w:rsidRDefault="00BD2821"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trece de marzo de dos mil veinticinco,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notificó una prórroga para dar respuesta a la solicitud de información, en los siguientes términos:</w:t>
      </w:r>
    </w:p>
    <w:p w:rsidR="00BD2821" w:rsidRPr="003E5F7C" w:rsidRDefault="00BD2821"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BD2821" w:rsidRPr="003E5F7C" w:rsidRDefault="00BD2821" w:rsidP="003E5F7C">
      <w:pPr>
        <w:pBdr>
          <w:top w:val="nil"/>
          <w:left w:val="nil"/>
          <w:bottom w:val="nil"/>
          <w:right w:val="nil"/>
          <w:between w:val="nil"/>
        </w:pBdr>
        <w:tabs>
          <w:tab w:val="left" w:pos="0"/>
          <w:tab w:val="left" w:pos="142"/>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lastRenderedPageBreak/>
        <w:t>“B</w:t>
      </w:r>
      <w:r w:rsidRPr="003E5F7C">
        <w:rPr>
          <w:rFonts w:ascii="Palatino Linotype" w:hAnsi="Palatino Linotype"/>
          <w:i/>
          <w:color w:val="000000" w:themeColor="text1"/>
        </w:rPr>
        <w:t>uenas tardes, por este conducto le informo que su ampliación de plazo fue aprobado, en la Onceava Sesión Extraordinaria del Comité de Transparencia bajo el ACUERDO CTMTO-2025-014, exhortándole a remitir la información completa lo más pronto posible, ya que de no ser así puede ser causa de aplicación de medidas de apremio, responsabilidades y sanciones que están estipuladas en el Título Noveno de la LTAIPEMYM, en específico del capítulo II artículo 222 fracción II del título antes mencionado, así mismo lo referido en la Ley de Responsabilidades Administrativas del Estado de México y Municipios.” (Sic)</w:t>
      </w:r>
    </w:p>
    <w:p w:rsidR="00BD2821" w:rsidRPr="003E5F7C" w:rsidRDefault="00BD2821" w:rsidP="003E5F7C">
      <w:pPr>
        <w:tabs>
          <w:tab w:val="left" w:pos="0"/>
        </w:tabs>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w:t>
      </w:r>
      <w:r w:rsidR="00BD2821" w:rsidRPr="003E5F7C">
        <w:rPr>
          <w:rFonts w:ascii="Palatino Linotype" w:eastAsia="Palatino Linotype" w:hAnsi="Palatino Linotype" w:cs="Palatino Linotype"/>
          <w:b/>
          <w:color w:val="000000" w:themeColor="text1"/>
        </w:rPr>
        <w:t>veintiuno</w:t>
      </w:r>
      <w:r w:rsidR="0005385B" w:rsidRPr="003E5F7C">
        <w:rPr>
          <w:rFonts w:ascii="Palatino Linotype" w:eastAsia="Palatino Linotype" w:hAnsi="Palatino Linotype" w:cs="Palatino Linotype"/>
          <w:b/>
          <w:color w:val="000000" w:themeColor="text1"/>
        </w:rPr>
        <w:t xml:space="preserve"> de marzo</w:t>
      </w:r>
      <w:r w:rsidRPr="003E5F7C">
        <w:rPr>
          <w:rFonts w:ascii="Palatino Linotype" w:eastAsia="Palatino Linotype" w:hAnsi="Palatino Linotype" w:cs="Palatino Linotype"/>
          <w:b/>
          <w:color w:val="000000" w:themeColor="text1"/>
        </w:rPr>
        <w:t xml:space="preserve"> de dos mil veinticinco</w:t>
      </w:r>
      <w:r w:rsidRPr="003E5F7C">
        <w:rPr>
          <w:rFonts w:ascii="Palatino Linotype" w:eastAsia="Palatino Linotype" w:hAnsi="Palatino Linotype" w:cs="Palatino Linotype"/>
          <w:color w:val="000000" w:themeColor="text1"/>
        </w:rPr>
        <w:t xml:space="preserve">,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dio respuesta a la solicitud de información en el tenor siguiente:</w:t>
      </w:r>
    </w:p>
    <w:p w:rsidR="00D86E74" w:rsidRPr="003E5F7C" w:rsidRDefault="00B05C77" w:rsidP="003E5F7C">
      <w:pPr>
        <w:pBdr>
          <w:top w:val="nil"/>
          <w:left w:val="nil"/>
          <w:bottom w:val="nil"/>
          <w:right w:val="nil"/>
          <w:between w:val="nil"/>
        </w:pBdr>
        <w:tabs>
          <w:tab w:val="left" w:pos="0"/>
          <w:tab w:val="left" w:pos="709"/>
          <w:tab w:val="left" w:pos="8222"/>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r w:rsidR="00FD7925" w:rsidRPr="003E5F7C">
        <w:rPr>
          <w:rFonts w:ascii="Palatino Linotype" w:eastAsia="Palatino Linotype" w:hAnsi="Palatino Linotype" w:cs="Palatino Linotype"/>
          <w:i/>
          <w:color w:val="000000" w:themeColor="text1"/>
        </w:rPr>
        <w:t>E</w:t>
      </w:r>
      <w:r w:rsidR="00BD2821" w:rsidRPr="003E5F7C">
        <w:rPr>
          <w:rFonts w:ascii="Palatino Linotype" w:hAnsi="Palatino Linotype"/>
          <w:i/>
          <w:color w:val="000000" w:themeColor="text1"/>
        </w:rPr>
        <w:t>n atención a la solicitud de información presentada y con fundamento en los artículos 3 fracción XLIV, 12, 19, 23 fracción IV, 50, 52, 53 de la Ley de Transparencia y Acceso a la Información Pública del Estado de México y Municipios; adjunto archivos en PDF donde obra la información solicitada. Haciendo de su conocimiento que el derecho de acceso a la información es limitado por lo que de no estar conforme con la respuesta al presente tiene derecho a ejercer su garantía secundaria interponiendo así el recurso de revisión para el cual tendrá un plazo de 15 días hábiles a partir del día siguiente de la notificación de la presente. Es menester de esta Unidad de Transparencia informar que se encuentra a sus órdenes para cualquier aclaración o duda, en la oficina que ocupa dentro del edificio administrativo de este Sujeto Obligado, con domicilio en Hermenegildo Galeana #2.</w:t>
      </w:r>
      <w:r w:rsidRPr="003E5F7C">
        <w:rPr>
          <w:rFonts w:ascii="Palatino Linotype" w:eastAsia="Palatino Linotype" w:hAnsi="Palatino Linotype" w:cs="Palatino Linotype"/>
          <w:i/>
          <w:color w:val="000000" w:themeColor="text1"/>
        </w:rPr>
        <w:t>” (Sic)</w:t>
      </w:r>
    </w:p>
    <w:p w:rsidR="00D86E74" w:rsidRPr="003E5F7C" w:rsidRDefault="00D86E74" w:rsidP="003E5F7C">
      <w:pPr>
        <w:pBdr>
          <w:top w:val="nil"/>
          <w:left w:val="nil"/>
          <w:bottom w:val="nil"/>
          <w:right w:val="nil"/>
          <w:between w:val="nil"/>
        </w:pBdr>
        <w:tabs>
          <w:tab w:val="left" w:pos="0"/>
          <w:tab w:val="left" w:pos="8222"/>
        </w:tabs>
        <w:ind w:left="567"/>
        <w:jc w:val="both"/>
        <w:rPr>
          <w:rFonts w:ascii="Palatino Linotype" w:eastAsia="Palatino Linotype" w:hAnsi="Palatino Linotype" w:cs="Palatino Linotype"/>
          <w:i/>
          <w:color w:val="000000" w:themeColor="text1"/>
        </w:rPr>
      </w:pPr>
    </w:p>
    <w:p w:rsidR="00D86E74" w:rsidRPr="003E5F7C" w:rsidRDefault="00B05C77" w:rsidP="003E5F7C">
      <w:pPr>
        <w:pBdr>
          <w:top w:val="nil"/>
          <w:left w:val="nil"/>
          <w:bottom w:val="nil"/>
          <w:right w:val="nil"/>
          <w:between w:val="nil"/>
        </w:pBdr>
        <w:tabs>
          <w:tab w:val="left" w:pos="0"/>
          <w:tab w:val="left" w:pos="8222"/>
        </w:tabs>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Archivos electrónicos adjuntos:</w:t>
      </w:r>
    </w:p>
    <w:p w:rsidR="00D86E74" w:rsidRPr="003E5F7C" w:rsidRDefault="00D86E74" w:rsidP="003E5F7C">
      <w:pPr>
        <w:pBdr>
          <w:top w:val="nil"/>
          <w:left w:val="nil"/>
          <w:bottom w:val="nil"/>
          <w:right w:val="nil"/>
          <w:between w:val="nil"/>
        </w:pBdr>
        <w:tabs>
          <w:tab w:val="left" w:pos="0"/>
          <w:tab w:val="left" w:pos="709"/>
          <w:tab w:val="left" w:pos="8222"/>
        </w:tabs>
        <w:ind w:left="567"/>
        <w:jc w:val="both"/>
        <w:rPr>
          <w:rFonts w:ascii="Palatino Linotype" w:eastAsia="Palatino Linotype" w:hAnsi="Palatino Linotype" w:cs="Palatino Linotype"/>
          <w:color w:val="000000" w:themeColor="text1"/>
        </w:rPr>
      </w:pPr>
    </w:p>
    <w:p w:rsidR="00BD2821" w:rsidRPr="003E5F7C" w:rsidRDefault="005A7456" w:rsidP="003E5F7C">
      <w:pPr>
        <w:tabs>
          <w:tab w:val="left" w:pos="0"/>
        </w:tabs>
        <w:ind w:left="567"/>
        <w:jc w:val="both"/>
        <w:rPr>
          <w:rFonts w:ascii="Palatino Linotype" w:hAnsi="Palatino Linotype"/>
          <w:color w:val="000000" w:themeColor="text1"/>
        </w:rPr>
      </w:pPr>
      <w:hyperlink r:id="rId8" w:tgtFrame="_blank" w:history="1">
        <w:r w:rsidR="00BD2821" w:rsidRPr="003E5F7C">
          <w:rPr>
            <w:rStyle w:val="Hipervnculo"/>
            <w:rFonts w:ascii="Palatino Linotype" w:hAnsi="Palatino Linotype" w:cs="Arial"/>
            <w:b/>
            <w:bCs/>
            <w:color w:val="000000" w:themeColor="text1"/>
            <w:u w:val="none"/>
          </w:rPr>
          <w:t>Solic 00013 TESORERO.pdf</w:t>
        </w:r>
      </w:hyperlink>
      <w:r w:rsidR="00BD2821" w:rsidRPr="003E5F7C">
        <w:rPr>
          <w:rFonts w:ascii="Palatino Linotype" w:hAnsi="Palatino Linotype"/>
          <w:color w:val="000000" w:themeColor="text1"/>
        </w:rPr>
        <w:t>:</w:t>
      </w:r>
      <w:r w:rsidR="00C10075" w:rsidRPr="003E5F7C">
        <w:rPr>
          <w:rFonts w:ascii="Palatino Linotype" w:hAnsi="Palatino Linotype"/>
          <w:color w:val="000000" w:themeColor="text1"/>
        </w:rPr>
        <w:t xml:space="preserve"> Oficio suscrito por el Tesorero, por medio del cual, refirió hacer entrega de lo relativo al “informe con detalle y comprobantes de los pagos de la feria 2025 organizada por el ayuntamiento, así como la solicitud y aprobación por cabildo, de estos gastos… informe” (Sic); por otro lado, respecto a la “nómina de la primera quincena de enero y la primera quincena de febrero del año 2025” (Sic), refirió que la información contiene datos personales, por lo cual requirió se someta a consideración del Comité de Transparencia la reserva de la misma.</w:t>
      </w:r>
    </w:p>
    <w:p w:rsidR="00C10075" w:rsidRPr="003E5F7C" w:rsidRDefault="00C10075" w:rsidP="003E5F7C">
      <w:pPr>
        <w:tabs>
          <w:tab w:val="left" w:pos="0"/>
        </w:tabs>
        <w:ind w:left="567"/>
        <w:jc w:val="both"/>
        <w:rPr>
          <w:rFonts w:ascii="Palatino Linotype" w:hAnsi="Palatino Linotype"/>
          <w:color w:val="000000" w:themeColor="text1"/>
        </w:rPr>
      </w:pPr>
    </w:p>
    <w:p w:rsidR="00BD2821" w:rsidRPr="003E5F7C" w:rsidRDefault="005A7456" w:rsidP="003E5F7C">
      <w:pPr>
        <w:tabs>
          <w:tab w:val="left" w:pos="0"/>
        </w:tabs>
        <w:ind w:left="567"/>
        <w:jc w:val="both"/>
        <w:rPr>
          <w:rFonts w:ascii="Palatino Linotype" w:hAnsi="Palatino Linotype"/>
          <w:color w:val="000000" w:themeColor="text1"/>
        </w:rPr>
      </w:pPr>
      <w:hyperlink r:id="rId9" w:tgtFrame="_blank" w:history="1">
        <w:r w:rsidR="00BD2821" w:rsidRPr="003E5F7C">
          <w:rPr>
            <w:rStyle w:val="Hipervnculo"/>
            <w:rFonts w:ascii="Palatino Linotype" w:hAnsi="Palatino Linotype" w:cs="Arial"/>
            <w:b/>
            <w:bCs/>
            <w:color w:val="000000" w:themeColor="text1"/>
            <w:u w:val="none"/>
          </w:rPr>
          <w:t>060 PRESUPUESTO FERIA 2025.pdf</w:t>
        </w:r>
      </w:hyperlink>
      <w:r w:rsidR="00BD2821" w:rsidRPr="003E5F7C">
        <w:rPr>
          <w:rFonts w:ascii="Palatino Linotype" w:hAnsi="Palatino Linotype"/>
          <w:color w:val="000000" w:themeColor="text1"/>
        </w:rPr>
        <w:t>:</w:t>
      </w:r>
      <w:r w:rsidR="00C10075" w:rsidRPr="003E5F7C">
        <w:rPr>
          <w:rFonts w:ascii="Palatino Linotype" w:hAnsi="Palatino Linotype"/>
          <w:color w:val="000000" w:themeColor="text1"/>
        </w:rPr>
        <w:t xml:space="preserve"> Oficio suscrito por la Secretaria del Ayuntamiento, por medio del cual, remitió el Presupuesto de la “Feria Tradicional Tonatico 2025”, aprobado por unanimidad de votos </w:t>
      </w:r>
      <w:r w:rsidR="00E84F8B" w:rsidRPr="003E5F7C">
        <w:rPr>
          <w:rFonts w:ascii="Palatino Linotype" w:hAnsi="Palatino Linotype"/>
          <w:color w:val="000000" w:themeColor="text1"/>
        </w:rPr>
        <w:t>mediante el A</w:t>
      </w:r>
      <w:r w:rsidR="00C10075" w:rsidRPr="003E5F7C">
        <w:rPr>
          <w:rFonts w:ascii="Palatino Linotype" w:hAnsi="Palatino Linotype"/>
          <w:color w:val="000000" w:themeColor="text1"/>
        </w:rPr>
        <w:t xml:space="preserve">cuerdo </w:t>
      </w:r>
      <w:r w:rsidR="00E84F8B" w:rsidRPr="003E5F7C">
        <w:rPr>
          <w:rFonts w:ascii="Palatino Linotype" w:hAnsi="Palatino Linotype"/>
          <w:color w:val="000000" w:themeColor="text1"/>
        </w:rPr>
        <w:t>068/2025.</w:t>
      </w:r>
    </w:p>
    <w:p w:rsidR="00C10075" w:rsidRPr="003E5F7C" w:rsidRDefault="00C10075" w:rsidP="003E5F7C">
      <w:pPr>
        <w:tabs>
          <w:tab w:val="left" w:pos="0"/>
        </w:tabs>
        <w:ind w:left="567"/>
        <w:jc w:val="both"/>
        <w:rPr>
          <w:rFonts w:ascii="Palatino Linotype" w:hAnsi="Palatino Linotype"/>
          <w:color w:val="000000" w:themeColor="text1"/>
        </w:rPr>
      </w:pPr>
    </w:p>
    <w:p w:rsidR="00BD2821" w:rsidRPr="003E5F7C" w:rsidRDefault="005A7456" w:rsidP="003E5F7C">
      <w:pPr>
        <w:tabs>
          <w:tab w:val="left" w:pos="0"/>
        </w:tabs>
        <w:ind w:left="567"/>
        <w:jc w:val="both"/>
        <w:rPr>
          <w:rFonts w:ascii="Palatino Linotype" w:hAnsi="Palatino Linotype"/>
          <w:color w:val="000000" w:themeColor="text1"/>
        </w:rPr>
      </w:pPr>
      <w:hyperlink r:id="rId10" w:tgtFrame="_blank" w:history="1">
        <w:r w:rsidR="00BD2821" w:rsidRPr="003E5F7C">
          <w:rPr>
            <w:rStyle w:val="Hipervnculo"/>
            <w:rFonts w:ascii="Palatino Linotype" w:hAnsi="Palatino Linotype" w:cs="Arial"/>
            <w:b/>
            <w:bCs/>
            <w:color w:val="000000" w:themeColor="text1"/>
            <w:u w:val="none"/>
          </w:rPr>
          <w:t>NÓMINA 1RA QNA ENERO TRANSPARENCIA SN.pdf</w:t>
        </w:r>
      </w:hyperlink>
      <w:r w:rsidR="00BD2821" w:rsidRPr="003E5F7C">
        <w:rPr>
          <w:rFonts w:ascii="Palatino Linotype" w:hAnsi="Palatino Linotype"/>
          <w:color w:val="000000" w:themeColor="text1"/>
        </w:rPr>
        <w:t>:</w:t>
      </w:r>
      <w:r w:rsidR="00E84F8B" w:rsidRPr="003E5F7C">
        <w:rPr>
          <w:rFonts w:ascii="Palatino Linotype" w:hAnsi="Palatino Linotype"/>
          <w:color w:val="000000" w:themeColor="text1"/>
        </w:rPr>
        <w:t xml:space="preserve"> Documento de 6 páginas, consistente en un registro de nómina correspondiente a la primera quincena de enero de 2025, en versión pública.</w:t>
      </w:r>
    </w:p>
    <w:p w:rsidR="00E84F8B" w:rsidRPr="003E5F7C" w:rsidRDefault="00E84F8B" w:rsidP="003E5F7C">
      <w:pPr>
        <w:tabs>
          <w:tab w:val="left" w:pos="0"/>
        </w:tabs>
        <w:ind w:left="567"/>
        <w:jc w:val="both"/>
        <w:rPr>
          <w:rFonts w:ascii="Palatino Linotype" w:hAnsi="Palatino Linotype"/>
          <w:color w:val="000000" w:themeColor="text1"/>
        </w:rPr>
      </w:pPr>
    </w:p>
    <w:p w:rsidR="00BD2821" w:rsidRPr="003E5F7C" w:rsidRDefault="005A7456" w:rsidP="003E5F7C">
      <w:pPr>
        <w:tabs>
          <w:tab w:val="left" w:pos="0"/>
        </w:tabs>
        <w:ind w:left="567"/>
        <w:jc w:val="both"/>
        <w:rPr>
          <w:rFonts w:ascii="Palatino Linotype" w:hAnsi="Palatino Linotype"/>
          <w:color w:val="000000" w:themeColor="text1"/>
        </w:rPr>
      </w:pPr>
      <w:hyperlink r:id="rId11" w:tgtFrame="_blank" w:history="1">
        <w:r w:rsidR="00BD2821" w:rsidRPr="003E5F7C">
          <w:rPr>
            <w:rStyle w:val="Hipervnculo"/>
            <w:rFonts w:ascii="Palatino Linotype" w:hAnsi="Palatino Linotype" w:cs="Arial"/>
            <w:b/>
            <w:bCs/>
            <w:color w:val="000000" w:themeColor="text1"/>
            <w:u w:val="none"/>
          </w:rPr>
          <w:t>CATORCEAVA ACTA DE SESION EXTRAORDINARIA.pdf</w:t>
        </w:r>
      </w:hyperlink>
      <w:r w:rsidR="00BD2821" w:rsidRPr="003E5F7C">
        <w:rPr>
          <w:rFonts w:ascii="Palatino Linotype" w:hAnsi="Palatino Linotype"/>
          <w:color w:val="000000" w:themeColor="text1"/>
        </w:rPr>
        <w:t>:</w:t>
      </w:r>
      <w:r w:rsidR="00E84F8B" w:rsidRPr="003E5F7C">
        <w:rPr>
          <w:rFonts w:ascii="Palatino Linotype" w:hAnsi="Palatino Linotype"/>
          <w:color w:val="000000" w:themeColor="text1"/>
        </w:rPr>
        <w:t xml:space="preserve"> Acta de la Catorceava Sesión Extraordinaria del Comité de Transparencia 2025, por medio de la cual, se propuso y aprobó la clasificación parcial como confidencial de la nómina de la primera quincena de enero y segunda quincena de febrero de 2025. </w:t>
      </w:r>
    </w:p>
    <w:p w:rsidR="00E84F8B" w:rsidRPr="003E5F7C" w:rsidRDefault="00E84F8B" w:rsidP="003E5F7C">
      <w:pPr>
        <w:tabs>
          <w:tab w:val="left" w:pos="0"/>
        </w:tabs>
        <w:ind w:left="567"/>
        <w:jc w:val="both"/>
        <w:rPr>
          <w:rFonts w:ascii="Palatino Linotype" w:hAnsi="Palatino Linotype"/>
          <w:color w:val="000000" w:themeColor="text1"/>
        </w:rPr>
      </w:pPr>
    </w:p>
    <w:p w:rsidR="00FD7925" w:rsidRPr="003E5F7C" w:rsidRDefault="005A7456" w:rsidP="003E5F7C">
      <w:pPr>
        <w:tabs>
          <w:tab w:val="left" w:pos="0"/>
        </w:tabs>
        <w:ind w:left="567"/>
        <w:jc w:val="both"/>
        <w:rPr>
          <w:rFonts w:ascii="Palatino Linotype" w:hAnsi="Palatino Linotype"/>
          <w:color w:val="000000" w:themeColor="text1"/>
        </w:rPr>
      </w:pPr>
      <w:hyperlink r:id="rId12" w:tgtFrame="_blank" w:history="1">
        <w:r w:rsidR="00BD2821" w:rsidRPr="003E5F7C">
          <w:rPr>
            <w:rStyle w:val="Hipervnculo"/>
            <w:rFonts w:ascii="Palatino Linotype" w:hAnsi="Palatino Linotype" w:cs="Arial"/>
            <w:b/>
            <w:bCs/>
            <w:color w:val="000000" w:themeColor="text1"/>
            <w:u w:val="none"/>
          </w:rPr>
          <w:t>NÓMINA 1RA QNA FEBRERO TRANSPARENCIA SN.pdf</w:t>
        </w:r>
      </w:hyperlink>
      <w:r w:rsidR="00BD2821" w:rsidRPr="003E5F7C">
        <w:rPr>
          <w:rFonts w:ascii="Palatino Linotype" w:hAnsi="Palatino Linotype"/>
          <w:color w:val="000000" w:themeColor="text1"/>
        </w:rPr>
        <w:t>:</w:t>
      </w:r>
      <w:r w:rsidR="00E84F8B" w:rsidRPr="003E5F7C">
        <w:rPr>
          <w:rFonts w:ascii="Palatino Linotype" w:hAnsi="Palatino Linotype"/>
          <w:color w:val="000000" w:themeColor="text1"/>
        </w:rPr>
        <w:t xml:space="preserve"> Documento de 7 páginas, consistente en un registro de nómina correspondiente a la primera quincena de febrero de 2025, en versión pública.</w:t>
      </w:r>
    </w:p>
    <w:p w:rsidR="00BD2821" w:rsidRPr="003E5F7C" w:rsidRDefault="00BD2821" w:rsidP="003E5F7C">
      <w:pPr>
        <w:tabs>
          <w:tab w:val="left" w:pos="0"/>
        </w:tabs>
        <w:ind w:left="567"/>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w:t>
      </w:r>
      <w:r w:rsidR="00BD2821" w:rsidRPr="003E5F7C">
        <w:rPr>
          <w:rFonts w:ascii="Palatino Linotype" w:eastAsia="Palatino Linotype" w:hAnsi="Palatino Linotype" w:cs="Palatino Linotype"/>
          <w:b/>
          <w:color w:val="000000" w:themeColor="text1"/>
        </w:rPr>
        <w:t>veintiocho</w:t>
      </w:r>
      <w:r w:rsidR="00FD7925" w:rsidRPr="003E5F7C">
        <w:rPr>
          <w:rFonts w:ascii="Palatino Linotype" w:eastAsia="Palatino Linotype" w:hAnsi="Palatino Linotype" w:cs="Palatino Linotype"/>
          <w:b/>
          <w:color w:val="000000" w:themeColor="text1"/>
        </w:rPr>
        <w:t xml:space="preserve"> de marzo</w:t>
      </w:r>
      <w:r w:rsidRPr="003E5F7C">
        <w:rPr>
          <w:rFonts w:ascii="Palatino Linotype" w:eastAsia="Palatino Linotype" w:hAnsi="Palatino Linotype" w:cs="Palatino Linotype"/>
          <w:b/>
          <w:color w:val="000000" w:themeColor="text1"/>
        </w:rPr>
        <w:t xml:space="preserve"> de dos mil veinticinco</w:t>
      </w:r>
      <w:r w:rsidRPr="003E5F7C">
        <w:rPr>
          <w:rFonts w:ascii="Palatino Linotype" w:eastAsia="Palatino Linotype" w:hAnsi="Palatino Linotype" w:cs="Palatino Linotype"/>
          <w:color w:val="000000" w:themeColor="text1"/>
        </w:rPr>
        <w:t xml:space="preserve">, la parte </w:t>
      </w:r>
      <w:r w:rsidRPr="003E5F7C">
        <w:rPr>
          <w:rFonts w:ascii="Palatino Linotype" w:eastAsia="Palatino Linotype" w:hAnsi="Palatino Linotype" w:cs="Palatino Linotype"/>
          <w:b/>
          <w:color w:val="000000" w:themeColor="text1"/>
        </w:rPr>
        <w:t>RECURRENTE</w:t>
      </w:r>
      <w:r w:rsidRPr="003E5F7C">
        <w:rPr>
          <w:rFonts w:ascii="Palatino Linotype" w:eastAsia="Palatino Linotype" w:hAnsi="Palatino Linotype" w:cs="Palatino Linotype"/>
          <w:color w:val="000000" w:themeColor="text1"/>
        </w:rPr>
        <w:t xml:space="preserve"> interpuso el recurso de revisión en contra de la respuesta, manifestando las siguientes razones o motivos de inconformidad:</w:t>
      </w:r>
    </w:p>
    <w:p w:rsidR="00A11D56" w:rsidRDefault="00A11D56" w:rsidP="003E5F7C">
      <w:pPr>
        <w:pBdr>
          <w:top w:val="nil"/>
          <w:left w:val="nil"/>
          <w:bottom w:val="nil"/>
          <w:right w:val="nil"/>
          <w:between w:val="nil"/>
        </w:pBdr>
        <w:tabs>
          <w:tab w:val="left" w:pos="0"/>
        </w:tabs>
        <w:ind w:left="567"/>
        <w:jc w:val="both"/>
        <w:rPr>
          <w:rFonts w:ascii="Palatino Linotype" w:eastAsia="Palatino Linotype" w:hAnsi="Palatino Linotype" w:cs="Palatino Linotype"/>
          <w:b/>
          <w:color w:val="000000" w:themeColor="text1"/>
        </w:rPr>
      </w:pPr>
      <w:bookmarkStart w:id="3" w:name="_heading=h.1fob9te" w:colFirst="0" w:colLast="0"/>
      <w:bookmarkEnd w:id="3"/>
    </w:p>
    <w:p w:rsidR="00D86E74" w:rsidRPr="00A11D56" w:rsidRDefault="00B05C77" w:rsidP="00A11D56">
      <w:pPr>
        <w:pStyle w:val="Prrafodelista"/>
        <w:numPr>
          <w:ilvl w:val="0"/>
          <w:numId w:val="10"/>
        </w:num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r w:rsidRPr="00A11D56">
        <w:rPr>
          <w:rFonts w:ascii="Palatino Linotype" w:eastAsia="Palatino Linotype" w:hAnsi="Palatino Linotype" w:cs="Palatino Linotype"/>
          <w:b/>
          <w:color w:val="000000" w:themeColor="text1"/>
        </w:rPr>
        <w:t>Acto impugnado</w:t>
      </w:r>
      <w:r w:rsidRPr="00A11D56">
        <w:rPr>
          <w:rFonts w:ascii="Palatino Linotype" w:eastAsia="Palatino Linotype" w:hAnsi="Palatino Linotype" w:cs="Palatino Linotype"/>
          <w:color w:val="000000" w:themeColor="text1"/>
        </w:rPr>
        <w:t>:</w:t>
      </w:r>
      <w:r w:rsidRPr="00A11D56">
        <w:rPr>
          <w:rFonts w:ascii="Palatino Linotype" w:eastAsia="Palatino Linotype" w:hAnsi="Palatino Linotype" w:cs="Palatino Linotype"/>
          <w:i/>
          <w:color w:val="000000" w:themeColor="text1"/>
        </w:rPr>
        <w:t xml:space="preserve"> “</w:t>
      </w:r>
      <w:r w:rsidR="00BD2821" w:rsidRPr="00A11D56">
        <w:rPr>
          <w:rFonts w:ascii="Palatino Linotype" w:eastAsia="Palatino Linotype" w:hAnsi="Palatino Linotype" w:cs="Palatino Linotype"/>
          <w:i/>
          <w:color w:val="000000" w:themeColor="text1"/>
        </w:rPr>
        <w:t>S</w:t>
      </w:r>
      <w:r w:rsidR="00BD2821" w:rsidRPr="00A11D56">
        <w:rPr>
          <w:rFonts w:ascii="Palatino Linotype" w:hAnsi="Palatino Linotype"/>
          <w:i/>
          <w:color w:val="000000" w:themeColor="text1"/>
        </w:rPr>
        <w:t>olicité la nomina completa y eso incluye nombres de los trabajadores, que son servidores públicos y el nombre lo dice, públicos, requiero la nomina con nombres completos y eso no vulnera sus derechos Y sobre los gastos de la feria. No quiero una certificación de un punto de cabildo, quiero los gastos y como se ejercieron, así como la comprobación debidamente firmada por las personas que deben íntervenir y que son directamente responsables, como el presidente, tesorero, uippe, y regidor comisionado, documentación comprobatoria para tener pruebas de quienes son los responsables directos de los gastos ejercidos durante la feria Tonatico 2025</w:t>
      </w:r>
      <w:r w:rsidRPr="00A11D56">
        <w:rPr>
          <w:rFonts w:ascii="Palatino Linotype" w:eastAsia="Palatino Linotype" w:hAnsi="Palatino Linotype" w:cs="Palatino Linotype"/>
          <w:i/>
          <w:color w:val="000000" w:themeColor="text1"/>
        </w:rPr>
        <w:t>” (Sic.)</w:t>
      </w:r>
    </w:p>
    <w:p w:rsidR="00D86E74" w:rsidRPr="003E5F7C" w:rsidRDefault="00D86E74" w:rsidP="003E5F7C">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themeColor="text1"/>
        </w:rPr>
      </w:pPr>
    </w:p>
    <w:p w:rsidR="00D86E74" w:rsidRPr="00A11D56" w:rsidRDefault="00B05C77" w:rsidP="00A11D56">
      <w:pPr>
        <w:pStyle w:val="Prrafodelista"/>
        <w:numPr>
          <w:ilvl w:val="0"/>
          <w:numId w:val="10"/>
        </w:numPr>
        <w:tabs>
          <w:tab w:val="left" w:pos="0"/>
        </w:tabs>
        <w:jc w:val="both"/>
        <w:rPr>
          <w:rFonts w:ascii="Palatino Linotype" w:eastAsia="Palatino Linotype" w:hAnsi="Palatino Linotype" w:cs="Palatino Linotype"/>
          <w:i/>
          <w:color w:val="000000" w:themeColor="text1"/>
        </w:rPr>
      </w:pPr>
      <w:bookmarkStart w:id="4" w:name="_heading=h.3znysh7" w:colFirst="0" w:colLast="0"/>
      <w:bookmarkEnd w:id="4"/>
      <w:r w:rsidRPr="00A11D56">
        <w:rPr>
          <w:rFonts w:ascii="Palatino Linotype" w:eastAsia="Palatino Linotype" w:hAnsi="Palatino Linotype" w:cs="Palatino Linotype"/>
          <w:b/>
          <w:color w:val="000000" w:themeColor="text1"/>
        </w:rPr>
        <w:t xml:space="preserve">Razones o Motivos de inconformidad: </w:t>
      </w:r>
      <w:r w:rsidRPr="00A11D56">
        <w:rPr>
          <w:rFonts w:ascii="Palatino Linotype" w:eastAsia="Palatino Linotype" w:hAnsi="Palatino Linotype" w:cs="Palatino Linotype"/>
          <w:i/>
          <w:color w:val="000000" w:themeColor="text1"/>
        </w:rPr>
        <w:t>“</w:t>
      </w:r>
      <w:r w:rsidR="00BD2821" w:rsidRPr="00A11D56">
        <w:rPr>
          <w:rFonts w:ascii="Palatino Linotype" w:eastAsia="Palatino Linotype" w:hAnsi="Palatino Linotype" w:cs="Palatino Linotype"/>
          <w:i/>
          <w:color w:val="000000" w:themeColor="text1"/>
        </w:rPr>
        <w:t>N</w:t>
      </w:r>
      <w:r w:rsidR="00BD2821" w:rsidRPr="00A11D56">
        <w:rPr>
          <w:rFonts w:ascii="Palatino Linotype" w:hAnsi="Palatino Linotype"/>
          <w:i/>
          <w:color w:val="000000" w:themeColor="text1"/>
        </w:rPr>
        <w:t>o se entrega la información completa</w:t>
      </w:r>
      <w:r w:rsidRPr="00A11D56">
        <w:rPr>
          <w:rFonts w:ascii="Palatino Linotype" w:eastAsia="Palatino Linotype" w:hAnsi="Palatino Linotype" w:cs="Palatino Linotype"/>
          <w:i/>
          <w:color w:val="000000" w:themeColor="text1"/>
        </w:rPr>
        <w:t>” (Sic.)</w:t>
      </w:r>
    </w:p>
    <w:p w:rsidR="00D86E74" w:rsidRDefault="00D86E74" w:rsidP="003E5F7C">
      <w:pPr>
        <w:tabs>
          <w:tab w:val="left" w:pos="0"/>
        </w:tabs>
        <w:jc w:val="both"/>
        <w:rPr>
          <w:rFonts w:ascii="Palatino Linotype" w:eastAsia="Palatino Linotype" w:hAnsi="Palatino Linotype" w:cs="Palatino Linotype"/>
          <w:i/>
          <w:color w:val="000000" w:themeColor="text1"/>
        </w:rPr>
      </w:pPr>
    </w:p>
    <w:p w:rsidR="006A4365" w:rsidRPr="003E5F7C" w:rsidRDefault="006A4365" w:rsidP="003E5F7C">
      <w:pPr>
        <w:tabs>
          <w:tab w:val="left" w:pos="0"/>
        </w:tabs>
        <w:jc w:val="both"/>
        <w:rPr>
          <w:rFonts w:ascii="Palatino Linotype" w:eastAsia="Palatino Linotype" w:hAnsi="Palatino Linotype" w:cs="Palatino Linotype"/>
          <w:i/>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00FD7925" w:rsidRPr="003E5F7C">
        <w:rPr>
          <w:rFonts w:ascii="Palatino Linotype" w:eastAsia="Palatino Linotype" w:hAnsi="Palatino Linotype" w:cs="Palatino Linotype"/>
          <w:b/>
          <w:color w:val="000000" w:themeColor="text1"/>
        </w:rPr>
        <w:t>dos</w:t>
      </w:r>
      <w:r w:rsidRPr="003E5F7C">
        <w:rPr>
          <w:rFonts w:ascii="Palatino Linotype" w:eastAsia="Palatino Linotype" w:hAnsi="Palatino Linotype" w:cs="Palatino Linotype"/>
          <w:b/>
          <w:color w:val="000000" w:themeColor="text1"/>
        </w:rPr>
        <w:t xml:space="preserve"> de abril de dos mil veinticinco</w:t>
      </w:r>
      <w:r w:rsidRPr="003E5F7C">
        <w:rPr>
          <w:rFonts w:ascii="Palatino Linotype" w:eastAsia="Palatino Linotype" w:hAnsi="Palatino Linotype" w:cs="Palatino Linotype"/>
          <w:color w:val="000000" w:themeColor="text1"/>
        </w:rPr>
        <w:t xml:space="preserve">, puso a disposición de las partes el expediente electrónico vía </w:t>
      </w:r>
      <w:r w:rsidRPr="003E5F7C">
        <w:rPr>
          <w:rFonts w:ascii="Palatino Linotype" w:eastAsia="Palatino Linotype" w:hAnsi="Palatino Linotype" w:cs="Palatino Linotype"/>
          <w:b/>
          <w:color w:val="000000" w:themeColor="text1"/>
        </w:rPr>
        <w:t xml:space="preserve">SAIMEX </w:t>
      </w:r>
      <w:r w:rsidRPr="003E5F7C">
        <w:rPr>
          <w:rFonts w:ascii="Palatino Linotype" w:eastAsia="Palatino Linotype" w:hAnsi="Palatino Linotype" w:cs="Palatino Linotype"/>
          <w:color w:val="000000" w:themeColor="text1"/>
        </w:rPr>
        <w:t xml:space="preserve">a efecto de que en un plazo máximo de siete días manifestara lo que a su derecho conviniera, </w:t>
      </w:r>
      <w:r w:rsidRPr="003E5F7C">
        <w:rPr>
          <w:rFonts w:ascii="Palatino Linotype" w:eastAsia="Palatino Linotype" w:hAnsi="Palatino Linotype" w:cs="Palatino Linotype"/>
          <w:color w:val="000000" w:themeColor="text1"/>
        </w:rPr>
        <w:lastRenderedPageBreak/>
        <w:t xml:space="preserve">ofreciera pruebas y alegatos según corresponda a los casos concretos, y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presentará el Informe Justificado procedente.</w:t>
      </w:r>
    </w:p>
    <w:p w:rsidR="00D86E74" w:rsidRPr="003E5F7C" w:rsidRDefault="00D86E74" w:rsidP="003E5F7C">
      <w:pPr>
        <w:tabs>
          <w:tab w:val="left" w:pos="0"/>
        </w:tabs>
        <w:rPr>
          <w:rFonts w:ascii="Palatino Linotype" w:eastAsia="Palatino Linotype" w:hAnsi="Palatino Linotype" w:cs="Palatino Linotype"/>
          <w:color w:val="000000" w:themeColor="text1"/>
        </w:rPr>
      </w:pPr>
    </w:p>
    <w:p w:rsidR="00FD7925" w:rsidRPr="003E5F7C" w:rsidRDefault="00B05C77" w:rsidP="003E5F7C">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bookmarkStart w:id="5" w:name="_heading=h.2et92p0" w:colFirst="0" w:colLast="0"/>
      <w:bookmarkEnd w:id="5"/>
      <w:r w:rsidRPr="003E5F7C">
        <w:rPr>
          <w:rFonts w:ascii="Palatino Linotype" w:eastAsia="Palatino Linotype" w:hAnsi="Palatino Linotype" w:cs="Palatino Linotype"/>
          <w:color w:val="000000" w:themeColor="text1"/>
        </w:rPr>
        <w:t xml:space="preserve">El </w:t>
      </w:r>
      <w:r w:rsidR="00BD2821" w:rsidRPr="003E5F7C">
        <w:rPr>
          <w:rFonts w:ascii="Palatino Linotype" w:eastAsia="Palatino Linotype" w:hAnsi="Palatino Linotype" w:cs="Palatino Linotype"/>
          <w:b/>
          <w:color w:val="000000" w:themeColor="text1"/>
        </w:rPr>
        <w:t>siete</w:t>
      </w:r>
      <w:r w:rsidRPr="003E5F7C">
        <w:rPr>
          <w:rFonts w:ascii="Palatino Linotype" w:eastAsia="Palatino Linotype" w:hAnsi="Palatino Linotype" w:cs="Palatino Linotype"/>
          <w:b/>
          <w:color w:val="000000" w:themeColor="text1"/>
        </w:rPr>
        <w:t xml:space="preserve"> de abril de dos mil veinticinco</w:t>
      </w:r>
      <w:r w:rsidRPr="003E5F7C">
        <w:rPr>
          <w:rFonts w:ascii="Palatino Linotype" w:eastAsia="Palatino Linotype" w:hAnsi="Palatino Linotype" w:cs="Palatino Linotype"/>
          <w:color w:val="000000" w:themeColor="text1"/>
        </w:rPr>
        <w:t xml:space="preserve">, el </w:t>
      </w:r>
      <w:r w:rsidRPr="003E5F7C">
        <w:rPr>
          <w:rFonts w:ascii="Palatino Linotype" w:eastAsia="Palatino Linotype" w:hAnsi="Palatino Linotype" w:cs="Palatino Linotype"/>
          <w:b/>
          <w:color w:val="000000" w:themeColor="text1"/>
        </w:rPr>
        <w:t xml:space="preserve">SUJETO OBLIGADO </w:t>
      </w:r>
      <w:r w:rsidRPr="003E5F7C">
        <w:rPr>
          <w:rFonts w:ascii="Palatino Linotype" w:eastAsia="Palatino Linotype" w:hAnsi="Palatino Linotype" w:cs="Palatino Linotype"/>
          <w:color w:val="000000" w:themeColor="text1"/>
        </w:rPr>
        <w:t>rindió el informe justificado correspondiente por medio de</w:t>
      </w:r>
      <w:r w:rsidR="00FD7925" w:rsidRPr="003E5F7C">
        <w:rPr>
          <w:rFonts w:ascii="Palatino Linotype" w:eastAsia="Palatino Linotype" w:hAnsi="Palatino Linotype" w:cs="Palatino Linotype"/>
          <w:color w:val="000000" w:themeColor="text1"/>
        </w:rPr>
        <w:t xml:space="preserve"> </w:t>
      </w:r>
      <w:r w:rsidRPr="003E5F7C">
        <w:rPr>
          <w:rFonts w:ascii="Palatino Linotype" w:eastAsia="Palatino Linotype" w:hAnsi="Palatino Linotype" w:cs="Palatino Linotype"/>
          <w:color w:val="000000" w:themeColor="text1"/>
        </w:rPr>
        <w:t>l</w:t>
      </w:r>
      <w:r w:rsidR="00FD7925" w:rsidRPr="003E5F7C">
        <w:rPr>
          <w:rFonts w:ascii="Palatino Linotype" w:eastAsia="Palatino Linotype" w:hAnsi="Palatino Linotype" w:cs="Palatino Linotype"/>
          <w:color w:val="000000" w:themeColor="text1"/>
        </w:rPr>
        <w:t>os siguientes</w:t>
      </w:r>
      <w:r w:rsidRPr="003E5F7C">
        <w:rPr>
          <w:rFonts w:ascii="Palatino Linotype" w:eastAsia="Palatino Linotype" w:hAnsi="Palatino Linotype" w:cs="Palatino Linotype"/>
          <w:color w:val="000000" w:themeColor="text1"/>
        </w:rPr>
        <w:t xml:space="preserve"> archivo</w:t>
      </w:r>
      <w:r w:rsidR="00FD7925" w:rsidRPr="003E5F7C">
        <w:rPr>
          <w:rFonts w:ascii="Palatino Linotype" w:eastAsia="Palatino Linotype" w:hAnsi="Palatino Linotype" w:cs="Palatino Linotype"/>
          <w:color w:val="000000" w:themeColor="text1"/>
        </w:rPr>
        <w:t>s</w:t>
      </w:r>
      <w:r w:rsidRPr="003E5F7C">
        <w:rPr>
          <w:rFonts w:ascii="Palatino Linotype" w:eastAsia="Palatino Linotype" w:hAnsi="Palatino Linotype" w:cs="Palatino Linotype"/>
          <w:color w:val="000000" w:themeColor="text1"/>
        </w:rPr>
        <w:t xml:space="preserve"> electrónico</w:t>
      </w:r>
      <w:r w:rsidR="00FD7925" w:rsidRPr="003E5F7C">
        <w:rPr>
          <w:rFonts w:ascii="Palatino Linotype" w:eastAsia="Palatino Linotype" w:hAnsi="Palatino Linotype" w:cs="Palatino Linotype"/>
          <w:color w:val="000000" w:themeColor="text1"/>
        </w:rPr>
        <w:t>s:</w:t>
      </w:r>
    </w:p>
    <w:p w:rsidR="00FD7925" w:rsidRPr="003E5F7C" w:rsidRDefault="00BD2821" w:rsidP="003E5F7C">
      <w:pPr>
        <w:tabs>
          <w:tab w:val="left" w:pos="0"/>
        </w:tabs>
        <w:ind w:left="567"/>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01FEB2025 15FEBRERO2025 TRANSPARENCIA.pdf:</w:t>
      </w:r>
      <w:r w:rsidR="00E84F8B" w:rsidRPr="003E5F7C">
        <w:rPr>
          <w:rFonts w:ascii="Palatino Linotype" w:eastAsia="Palatino Linotype" w:hAnsi="Palatino Linotype" w:cs="Palatino Linotype"/>
          <w:b/>
          <w:color w:val="000000" w:themeColor="text1"/>
        </w:rPr>
        <w:t xml:space="preserve"> </w:t>
      </w:r>
      <w:r w:rsidR="00E84F8B" w:rsidRPr="003E5F7C">
        <w:rPr>
          <w:rFonts w:ascii="Palatino Linotype" w:eastAsia="Palatino Linotype" w:hAnsi="Palatino Linotype" w:cs="Palatino Linotype"/>
          <w:color w:val="000000" w:themeColor="text1"/>
        </w:rPr>
        <w:t>Nomina general de la primera quincena de febrero de 2025, en versión pública, bajo los siguientes rubros: N° consecutivo, periodo, nombre completo, categoría, departamento, fecha de pago, sueldo neto.</w:t>
      </w:r>
    </w:p>
    <w:p w:rsidR="00E84F8B" w:rsidRPr="003E5F7C" w:rsidRDefault="00E84F8B" w:rsidP="003E5F7C">
      <w:pPr>
        <w:tabs>
          <w:tab w:val="left" w:pos="0"/>
        </w:tabs>
        <w:ind w:left="567"/>
        <w:jc w:val="both"/>
        <w:rPr>
          <w:rFonts w:ascii="Palatino Linotype" w:eastAsia="Palatino Linotype" w:hAnsi="Palatino Linotype" w:cs="Palatino Linotype"/>
          <w:b/>
          <w:color w:val="000000" w:themeColor="text1"/>
        </w:rPr>
      </w:pPr>
    </w:p>
    <w:p w:rsidR="003F3E10" w:rsidRPr="003E5F7C" w:rsidRDefault="00BD2821" w:rsidP="003E5F7C">
      <w:pPr>
        <w:tabs>
          <w:tab w:val="left" w:pos="0"/>
        </w:tabs>
        <w:ind w:left="567"/>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Turno a tesorería.pdf:</w:t>
      </w:r>
      <w:r w:rsidR="00E84F8B" w:rsidRPr="003E5F7C">
        <w:rPr>
          <w:rFonts w:ascii="Palatino Linotype" w:eastAsia="Palatino Linotype" w:hAnsi="Palatino Linotype" w:cs="Palatino Linotype"/>
          <w:b/>
          <w:color w:val="000000" w:themeColor="text1"/>
        </w:rPr>
        <w:t xml:space="preserve"> </w:t>
      </w:r>
      <w:r w:rsidR="00E84F8B" w:rsidRPr="003E5F7C">
        <w:rPr>
          <w:rFonts w:ascii="Palatino Linotype" w:eastAsia="Palatino Linotype" w:hAnsi="Palatino Linotype" w:cs="Palatino Linotype"/>
          <w:color w:val="000000" w:themeColor="text1"/>
        </w:rPr>
        <w:t xml:space="preserve">Oficio suscrito por </w:t>
      </w:r>
      <w:r w:rsidR="003F3E10" w:rsidRPr="003E5F7C">
        <w:rPr>
          <w:rFonts w:ascii="Palatino Linotype" w:eastAsia="Palatino Linotype" w:hAnsi="Palatino Linotype" w:cs="Palatino Linotype"/>
          <w:color w:val="000000" w:themeColor="text1"/>
        </w:rPr>
        <w:t>el Director de Transparencia, por medio del cual, requirió al Tesorero Municipal dar atención al recurso de revisión 03673/INFOEM/IP/RR/2025.</w:t>
      </w:r>
    </w:p>
    <w:p w:rsidR="00E84F8B" w:rsidRPr="003E5F7C" w:rsidRDefault="00E84F8B" w:rsidP="003E5F7C">
      <w:pPr>
        <w:tabs>
          <w:tab w:val="left" w:pos="0"/>
        </w:tabs>
        <w:ind w:left="567"/>
        <w:jc w:val="both"/>
        <w:rPr>
          <w:rFonts w:ascii="Palatino Linotype" w:eastAsia="Palatino Linotype" w:hAnsi="Palatino Linotype" w:cs="Palatino Linotype"/>
          <w:b/>
          <w:color w:val="000000" w:themeColor="text1"/>
        </w:rPr>
      </w:pPr>
    </w:p>
    <w:p w:rsidR="00BD2821" w:rsidRPr="003E5F7C" w:rsidRDefault="00BD2821" w:rsidP="003E5F7C">
      <w:pPr>
        <w:tabs>
          <w:tab w:val="left" w:pos="0"/>
        </w:tabs>
        <w:ind w:left="567"/>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SOLIC 00013 TESO.pdf:</w:t>
      </w:r>
      <w:r w:rsidR="0043011C" w:rsidRPr="003E5F7C">
        <w:rPr>
          <w:rFonts w:ascii="Palatino Linotype" w:eastAsia="Palatino Linotype" w:hAnsi="Palatino Linotype" w:cs="Palatino Linotype"/>
          <w:b/>
          <w:color w:val="000000" w:themeColor="text1"/>
        </w:rPr>
        <w:t xml:space="preserve"> </w:t>
      </w:r>
      <w:r w:rsidR="0043011C" w:rsidRPr="003E5F7C">
        <w:rPr>
          <w:rFonts w:ascii="Palatino Linotype" w:eastAsia="Palatino Linotype" w:hAnsi="Palatino Linotype" w:cs="Palatino Linotype"/>
          <w:color w:val="000000" w:themeColor="text1"/>
        </w:rPr>
        <w:t xml:space="preserve">Oficio suscrito por el Tesorero Municipal, por medio del cual, respecto a </w:t>
      </w:r>
      <w:r w:rsidR="0043011C" w:rsidRPr="003E5F7C">
        <w:rPr>
          <w:rFonts w:ascii="Palatino Linotype" w:eastAsia="Palatino Linotype" w:hAnsi="Palatino Linotype" w:cs="Palatino Linotype"/>
          <w:i/>
          <w:color w:val="000000" w:themeColor="text1"/>
        </w:rPr>
        <w:t>“</w:t>
      </w:r>
      <w:r w:rsidR="0043011C" w:rsidRPr="003E5F7C">
        <w:rPr>
          <w:rFonts w:ascii="Palatino Linotype" w:hAnsi="Palatino Linotype"/>
          <w:i/>
          <w:color w:val="000000" w:themeColor="text1"/>
        </w:rPr>
        <w:t>Y sobre los gastos de la feria. No quiero una certificación de un punto de cabildo, quiero los gastos y como se ejercieron, así como la comprobación debidamente firmada por las personas que deben intervenir y que son directamente responsables, como el presidente, tesorero, uippe y regidor comisionado, documentación comprobatoria para tener prueba de quienes son los responsables directos de los gastos ejercidos durante la feria Tonatico 2025</w:t>
      </w:r>
      <w:r w:rsidR="0043011C" w:rsidRPr="003E5F7C">
        <w:rPr>
          <w:rFonts w:ascii="Palatino Linotype" w:eastAsia="Palatino Linotype" w:hAnsi="Palatino Linotype" w:cs="Palatino Linotype"/>
          <w:i/>
          <w:color w:val="000000" w:themeColor="text1"/>
        </w:rPr>
        <w:t xml:space="preserve">” (Sic), </w:t>
      </w:r>
      <w:r w:rsidR="0043011C" w:rsidRPr="003E5F7C">
        <w:rPr>
          <w:rFonts w:ascii="Palatino Linotype" w:eastAsia="Palatino Linotype" w:hAnsi="Palatino Linotype" w:cs="Palatino Linotype"/>
          <w:color w:val="000000" w:themeColor="text1"/>
        </w:rPr>
        <w:t>refirió poner a disposición la información solicitada de manera física en las oficinas de la Tesorería Municipal, derivado de la carga de trabajo en el área a su cargo y los tiempos establecidos en el requerimiento. Por otro lado, relativo a la nómina solicitada, refirió que la información contiene datos personales de los Servidores Públicos, en consecuencia se debe someter a consideración del Comité de Transparencia la clasificación de la misma.</w:t>
      </w:r>
    </w:p>
    <w:p w:rsidR="00E84F8B" w:rsidRPr="003E5F7C" w:rsidRDefault="00E84F8B" w:rsidP="003E5F7C">
      <w:pPr>
        <w:tabs>
          <w:tab w:val="left" w:pos="0"/>
        </w:tabs>
        <w:ind w:left="567"/>
        <w:jc w:val="both"/>
        <w:rPr>
          <w:rFonts w:ascii="Palatino Linotype" w:eastAsia="Palatino Linotype" w:hAnsi="Palatino Linotype" w:cs="Palatino Linotype"/>
          <w:b/>
          <w:color w:val="000000" w:themeColor="text1"/>
        </w:rPr>
      </w:pPr>
    </w:p>
    <w:p w:rsidR="00A52AAB" w:rsidRPr="003E5F7C" w:rsidRDefault="0009013C" w:rsidP="003E5F7C">
      <w:pPr>
        <w:tabs>
          <w:tab w:val="left" w:pos="0"/>
        </w:tabs>
        <w:ind w:left="567"/>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QUINCEAVA SESION EXTRAORDINARIA DE TRANSPARENCIA.pdf:</w:t>
      </w:r>
      <w:r w:rsidR="0043011C" w:rsidRPr="003E5F7C">
        <w:rPr>
          <w:rFonts w:ascii="Palatino Linotype" w:eastAsia="Palatino Linotype" w:hAnsi="Palatino Linotype" w:cs="Palatino Linotype"/>
          <w:b/>
          <w:color w:val="000000" w:themeColor="text1"/>
        </w:rPr>
        <w:t xml:space="preserve"> </w:t>
      </w:r>
      <w:r w:rsidR="0043011C" w:rsidRPr="003E5F7C">
        <w:rPr>
          <w:rFonts w:ascii="Palatino Linotype" w:eastAsia="Palatino Linotype" w:hAnsi="Palatino Linotype" w:cs="Palatino Linotype"/>
          <w:color w:val="000000" w:themeColor="text1"/>
        </w:rPr>
        <w:t xml:space="preserve">Acta de la </w:t>
      </w:r>
      <w:r w:rsidR="00A52AAB" w:rsidRPr="003E5F7C">
        <w:rPr>
          <w:rFonts w:ascii="Palatino Linotype" w:eastAsia="Palatino Linotype" w:hAnsi="Palatino Linotype" w:cs="Palatino Linotype"/>
          <w:color w:val="000000" w:themeColor="text1"/>
        </w:rPr>
        <w:t xml:space="preserve">Sesión Quince, </w:t>
      </w:r>
      <w:r w:rsidR="00A52AAB" w:rsidRPr="003E5F7C">
        <w:rPr>
          <w:rFonts w:ascii="Palatino Linotype" w:hAnsi="Palatino Linotype"/>
          <w:color w:val="000000" w:themeColor="text1"/>
        </w:rPr>
        <w:t xml:space="preserve">por medio de la cual, se propuso y aprobó la clasificación parcial como confidencial de la nómina de la primera quincena de enero y febrero de 2025. </w:t>
      </w:r>
    </w:p>
    <w:p w:rsidR="00E84F8B" w:rsidRPr="003E5F7C" w:rsidRDefault="00E84F8B" w:rsidP="003E5F7C">
      <w:pPr>
        <w:tabs>
          <w:tab w:val="left" w:pos="0"/>
        </w:tabs>
        <w:jc w:val="both"/>
        <w:rPr>
          <w:rFonts w:ascii="Palatino Linotype" w:eastAsia="Palatino Linotype" w:hAnsi="Palatino Linotype" w:cs="Palatino Linotype"/>
          <w:b/>
          <w:color w:val="000000" w:themeColor="text1"/>
        </w:rPr>
      </w:pPr>
    </w:p>
    <w:p w:rsidR="00D86E74" w:rsidRDefault="0009013C" w:rsidP="003E5F7C">
      <w:pPr>
        <w:tabs>
          <w:tab w:val="left" w:pos="0"/>
        </w:tabs>
        <w:ind w:left="567"/>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b/>
          <w:color w:val="000000" w:themeColor="text1"/>
        </w:rPr>
        <w:t>01ENER2025 15ENERO2025 TRANSPARENCIA.pdf:</w:t>
      </w:r>
      <w:r w:rsidR="00A52AAB" w:rsidRPr="003E5F7C">
        <w:rPr>
          <w:rFonts w:ascii="Palatino Linotype" w:eastAsia="Palatino Linotype" w:hAnsi="Palatino Linotype" w:cs="Palatino Linotype"/>
          <w:b/>
          <w:color w:val="000000" w:themeColor="text1"/>
        </w:rPr>
        <w:t xml:space="preserve"> </w:t>
      </w:r>
      <w:r w:rsidR="00A52AAB" w:rsidRPr="003E5F7C">
        <w:rPr>
          <w:rFonts w:ascii="Palatino Linotype" w:eastAsia="Palatino Linotype" w:hAnsi="Palatino Linotype" w:cs="Palatino Linotype"/>
          <w:color w:val="000000" w:themeColor="text1"/>
        </w:rPr>
        <w:t xml:space="preserve">Nomina general de la primera quincena de enero de 2025, en versión pública, bajo los siguientes rubros: N° </w:t>
      </w:r>
      <w:r w:rsidR="00A52AAB" w:rsidRPr="003E5F7C">
        <w:rPr>
          <w:rFonts w:ascii="Palatino Linotype" w:eastAsia="Palatino Linotype" w:hAnsi="Palatino Linotype" w:cs="Palatino Linotype"/>
          <w:color w:val="000000" w:themeColor="text1"/>
        </w:rPr>
        <w:lastRenderedPageBreak/>
        <w:t>consecutivo, periodo, nombre completo, categoría, departamento, fecha de pago, sueldo neto.</w:t>
      </w:r>
    </w:p>
    <w:p w:rsidR="003E5F7C" w:rsidRPr="003E5F7C" w:rsidRDefault="003E5F7C" w:rsidP="003E5F7C">
      <w:pPr>
        <w:tabs>
          <w:tab w:val="left" w:pos="0"/>
        </w:tabs>
        <w:ind w:left="567"/>
        <w:jc w:val="both"/>
        <w:rPr>
          <w:rFonts w:ascii="Palatino Linotype" w:eastAsia="Palatino Linotype" w:hAnsi="Palatino Linotype" w:cs="Palatino Linotype"/>
          <w:b/>
          <w:color w:val="000000" w:themeColor="text1"/>
        </w:rPr>
      </w:pPr>
    </w:p>
    <w:p w:rsidR="00D86E74" w:rsidRPr="003E5F7C" w:rsidRDefault="00B05C77" w:rsidP="003E5F7C">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Por su parte, la parte</w:t>
      </w:r>
      <w:r w:rsidRPr="003E5F7C">
        <w:rPr>
          <w:rFonts w:ascii="Palatino Linotype" w:eastAsia="Palatino Linotype" w:hAnsi="Palatino Linotype" w:cs="Palatino Linotype"/>
          <w:b/>
          <w:color w:val="000000" w:themeColor="text1"/>
        </w:rPr>
        <w:t xml:space="preserve"> RECURRENTE </w:t>
      </w:r>
      <w:r w:rsidRPr="003E5F7C">
        <w:rPr>
          <w:rFonts w:ascii="Palatino Linotype" w:eastAsia="Palatino Linotype" w:hAnsi="Palatino Linotype" w:cs="Palatino Linotype"/>
          <w:color w:val="000000" w:themeColor="text1"/>
        </w:rPr>
        <w:t xml:space="preserve">dejó de realizar manifestaciones que a su derecho conviniera y asistiera. </w:t>
      </w:r>
    </w:p>
    <w:p w:rsidR="00A57943" w:rsidRPr="003E5F7C" w:rsidRDefault="00A57943" w:rsidP="003E5F7C">
      <w:pPr>
        <w:tabs>
          <w:tab w:val="left" w:pos="0"/>
        </w:tabs>
        <w:spacing w:line="360" w:lineRule="auto"/>
        <w:jc w:val="both"/>
        <w:rPr>
          <w:rFonts w:ascii="Palatino Linotype" w:eastAsia="Palatino Linotype" w:hAnsi="Palatino Linotype" w:cs="Palatino Linotype"/>
          <w:b/>
          <w:color w:val="000000" w:themeColor="text1"/>
        </w:rPr>
      </w:pPr>
    </w:p>
    <w:p w:rsidR="00FD7925" w:rsidRPr="003E5F7C" w:rsidRDefault="00FD7925" w:rsidP="003E5F7C">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 xml:space="preserve">El </w:t>
      </w:r>
      <w:r w:rsidRPr="003E5F7C">
        <w:rPr>
          <w:rFonts w:ascii="Palatino Linotype" w:eastAsia="Palatino Linotype" w:hAnsi="Palatino Linotype" w:cs="Palatino Linotype"/>
          <w:b/>
          <w:color w:val="000000" w:themeColor="text1"/>
        </w:rPr>
        <w:t>catorce de julio de dos mil veinticinco</w:t>
      </w:r>
      <w:r w:rsidRPr="003E5F7C">
        <w:rPr>
          <w:rFonts w:ascii="Palatino Linotype" w:eastAsia="Palatino Linotype" w:hAnsi="Palatino Linotype" w:cs="Palatino Linotype"/>
          <w:color w:val="000000" w:themeColor="text1"/>
        </w:rPr>
        <w:t xml:space="preserve">, se notificó el acuerdo mediante el cual se amplió el plazo para emitir </w:t>
      </w:r>
      <w:r w:rsidR="00A57943" w:rsidRPr="003E5F7C">
        <w:rPr>
          <w:rFonts w:ascii="Palatino Linotype" w:eastAsia="Palatino Linotype" w:hAnsi="Palatino Linotype" w:cs="Palatino Linotype"/>
          <w:color w:val="000000" w:themeColor="text1"/>
        </w:rPr>
        <w:t>resolución por un término de 15 días adicionales.</w:t>
      </w:r>
    </w:p>
    <w:p w:rsidR="00D86E74" w:rsidRPr="003E5F7C" w:rsidRDefault="00D86E74" w:rsidP="003E5F7C">
      <w:pP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 xml:space="preserve">Finalmente, mediante acuerdo del </w:t>
      </w:r>
      <w:r w:rsidRPr="003E5F7C">
        <w:rPr>
          <w:rFonts w:ascii="Palatino Linotype" w:eastAsia="Palatino Linotype" w:hAnsi="Palatino Linotype" w:cs="Palatino Linotype"/>
          <w:b/>
          <w:color w:val="000000" w:themeColor="text1"/>
        </w:rPr>
        <w:t>catorce de julio</w:t>
      </w:r>
      <w:r w:rsidRPr="003E5F7C">
        <w:rPr>
          <w:rFonts w:ascii="Palatino Linotype" w:eastAsia="Palatino Linotype" w:hAnsi="Palatino Linotype" w:cs="Palatino Linotype"/>
          <w:color w:val="000000" w:themeColor="text1"/>
        </w:rPr>
        <w:t xml:space="preserve"> </w:t>
      </w:r>
      <w:r w:rsidRPr="003E5F7C">
        <w:rPr>
          <w:rFonts w:ascii="Palatino Linotype" w:eastAsia="Palatino Linotype" w:hAnsi="Palatino Linotype" w:cs="Palatino Linotype"/>
          <w:b/>
          <w:color w:val="000000" w:themeColor="text1"/>
        </w:rPr>
        <w:t>de dos mil veinticinco</w:t>
      </w:r>
      <w:r w:rsidRPr="003E5F7C">
        <w:rPr>
          <w:rFonts w:ascii="Palatino Linotype" w:eastAsia="Palatino Linotype" w:hAnsi="Palatino Linotype" w:cs="Palatino Linotype"/>
          <w:color w:val="000000" w:themeColor="text1"/>
        </w:rPr>
        <w:t>, se decretó el cierre de instrucción, por lo que no habiendo más que hacer constar, y</w:t>
      </w:r>
    </w:p>
    <w:p w:rsidR="00D86E74"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6A4365" w:rsidRPr="003E5F7C" w:rsidRDefault="006A4365"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D86E74" w:rsidRPr="003E5F7C" w:rsidRDefault="00B05C77" w:rsidP="003E5F7C">
      <w:pPr>
        <w:pStyle w:val="Ttulo1"/>
        <w:tabs>
          <w:tab w:val="left" w:pos="0"/>
          <w:tab w:val="left" w:pos="567"/>
        </w:tabs>
        <w:spacing w:before="0" w:line="360" w:lineRule="auto"/>
        <w:jc w:val="center"/>
        <w:rPr>
          <w:color w:val="000000" w:themeColor="text1"/>
        </w:rPr>
      </w:pPr>
      <w:bookmarkStart w:id="6" w:name="_heading=h.tyjcwt" w:colFirst="0" w:colLast="0"/>
      <w:bookmarkEnd w:id="6"/>
      <w:r w:rsidRPr="003E5F7C">
        <w:rPr>
          <w:color w:val="000000" w:themeColor="text1"/>
        </w:rPr>
        <w:t>C O N S I D E R A N D O</w:t>
      </w:r>
    </w:p>
    <w:p w:rsidR="00D86E74" w:rsidRPr="003E5F7C" w:rsidRDefault="00D86E74" w:rsidP="003E5F7C">
      <w:pPr>
        <w:tabs>
          <w:tab w:val="left" w:pos="0"/>
        </w:tabs>
        <w:spacing w:line="360" w:lineRule="auto"/>
        <w:rPr>
          <w:rFonts w:ascii="Palatino Linotype" w:eastAsia="Palatino Linotype" w:hAnsi="Palatino Linotype" w:cs="Palatino Linotype"/>
          <w:color w:val="000000" w:themeColor="text1"/>
        </w:rPr>
      </w:pPr>
    </w:p>
    <w:p w:rsidR="00D86E74" w:rsidRPr="003E5F7C" w:rsidRDefault="00B05C77" w:rsidP="003E5F7C">
      <w:pPr>
        <w:pStyle w:val="Ttulo1"/>
        <w:tabs>
          <w:tab w:val="left" w:pos="0"/>
          <w:tab w:val="left" w:pos="567"/>
        </w:tabs>
        <w:spacing w:before="0" w:line="360" w:lineRule="auto"/>
        <w:rPr>
          <w:color w:val="000000" w:themeColor="text1"/>
        </w:rPr>
      </w:pPr>
      <w:bookmarkStart w:id="7" w:name="_heading=h.3dy6vkm" w:colFirst="0" w:colLast="0"/>
      <w:bookmarkEnd w:id="7"/>
      <w:r w:rsidRPr="003E5F7C">
        <w:rPr>
          <w:color w:val="000000" w:themeColor="text1"/>
        </w:rPr>
        <w:t>PRIMERO. De la competencia</w:t>
      </w:r>
    </w:p>
    <w:p w:rsidR="00D86E74" w:rsidRPr="003E5F7C" w:rsidRDefault="00B05C77"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 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D86E74" w:rsidRPr="003E5F7C" w:rsidRDefault="00B05C77" w:rsidP="003E5F7C">
      <w:pPr>
        <w:pStyle w:val="Ttulo2"/>
        <w:tabs>
          <w:tab w:val="left" w:pos="0"/>
        </w:tabs>
        <w:spacing w:before="0" w:line="360" w:lineRule="auto"/>
        <w:rPr>
          <w:color w:val="000000" w:themeColor="text1"/>
        </w:rPr>
      </w:pPr>
      <w:bookmarkStart w:id="8" w:name="_heading=h.1t3h5sf" w:colFirst="0" w:colLast="0"/>
      <w:bookmarkEnd w:id="8"/>
      <w:r w:rsidRPr="003E5F7C">
        <w:rPr>
          <w:color w:val="000000" w:themeColor="text1"/>
        </w:rPr>
        <w:lastRenderedPageBreak/>
        <w:t>SEGUNDO. De la oportunidad y procedencia.</w:t>
      </w: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 El medio de impugnación fue presentado a través del </w:t>
      </w:r>
      <w:r w:rsidRPr="003E5F7C">
        <w:rPr>
          <w:rFonts w:ascii="Palatino Linotype" w:eastAsia="Palatino Linotype" w:hAnsi="Palatino Linotype" w:cs="Palatino Linotype"/>
          <w:b/>
          <w:color w:val="000000" w:themeColor="text1"/>
        </w:rPr>
        <w:t>SAIMEX,</w:t>
      </w:r>
      <w:r w:rsidRPr="003E5F7C">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entregó su respuesta el </w:t>
      </w:r>
      <w:r w:rsidR="00A57943" w:rsidRPr="003E5F7C">
        <w:rPr>
          <w:rFonts w:ascii="Palatino Linotype" w:eastAsia="Palatino Linotype" w:hAnsi="Palatino Linotype" w:cs="Palatino Linotype"/>
          <w:b/>
          <w:color w:val="000000" w:themeColor="text1"/>
        </w:rPr>
        <w:t>veinti</w:t>
      </w:r>
      <w:r w:rsidR="0009013C" w:rsidRPr="003E5F7C">
        <w:rPr>
          <w:rFonts w:ascii="Palatino Linotype" w:eastAsia="Palatino Linotype" w:hAnsi="Palatino Linotype" w:cs="Palatino Linotype"/>
          <w:b/>
          <w:color w:val="000000" w:themeColor="text1"/>
        </w:rPr>
        <w:t>uno</w:t>
      </w:r>
      <w:r w:rsidRPr="003E5F7C">
        <w:rPr>
          <w:rFonts w:ascii="Palatino Linotype" w:eastAsia="Palatino Linotype" w:hAnsi="Palatino Linotype" w:cs="Palatino Linotype"/>
          <w:b/>
          <w:color w:val="000000" w:themeColor="text1"/>
        </w:rPr>
        <w:t xml:space="preserve"> de marzo de dos mil veinticinco</w:t>
      </w:r>
      <w:r w:rsidRPr="003E5F7C">
        <w:rPr>
          <w:rFonts w:ascii="Palatino Linotype" w:eastAsia="Palatino Linotype" w:hAnsi="Palatino Linotype" w:cs="Palatino Linotype"/>
          <w:color w:val="000000" w:themeColor="text1"/>
        </w:rPr>
        <w:t xml:space="preserve">, de tal forma que el plazo para interponer el recurso de revisión transcurrió del </w:t>
      </w:r>
      <w:r w:rsidR="0009013C" w:rsidRPr="003E5F7C">
        <w:rPr>
          <w:rFonts w:ascii="Palatino Linotype" w:eastAsia="Palatino Linotype" w:hAnsi="Palatino Linotype" w:cs="Palatino Linotype"/>
          <w:b/>
          <w:color w:val="000000" w:themeColor="text1"/>
        </w:rPr>
        <w:t>veinticuatro de marzo</w:t>
      </w:r>
      <w:r w:rsidR="00A57943" w:rsidRPr="003E5F7C">
        <w:rPr>
          <w:rFonts w:ascii="Palatino Linotype" w:eastAsia="Palatino Linotype" w:hAnsi="Palatino Linotype" w:cs="Palatino Linotype"/>
          <w:b/>
          <w:color w:val="000000" w:themeColor="text1"/>
        </w:rPr>
        <w:t xml:space="preserve"> </w:t>
      </w:r>
      <w:r w:rsidRPr="003E5F7C">
        <w:rPr>
          <w:rFonts w:ascii="Palatino Linotype" w:eastAsia="Palatino Linotype" w:hAnsi="Palatino Linotype" w:cs="Palatino Linotype"/>
          <w:b/>
          <w:color w:val="000000" w:themeColor="text1"/>
        </w:rPr>
        <w:t xml:space="preserve">al </w:t>
      </w:r>
      <w:r w:rsidR="00A57943" w:rsidRPr="003E5F7C">
        <w:rPr>
          <w:rFonts w:ascii="Palatino Linotype" w:eastAsia="Palatino Linotype" w:hAnsi="Palatino Linotype" w:cs="Palatino Linotype"/>
          <w:b/>
          <w:color w:val="000000" w:themeColor="text1"/>
        </w:rPr>
        <w:t>o</w:t>
      </w:r>
      <w:r w:rsidR="0009013C" w:rsidRPr="003E5F7C">
        <w:rPr>
          <w:rFonts w:ascii="Palatino Linotype" w:eastAsia="Palatino Linotype" w:hAnsi="Palatino Linotype" w:cs="Palatino Linotype"/>
          <w:b/>
          <w:color w:val="000000" w:themeColor="text1"/>
        </w:rPr>
        <w:t>nce</w:t>
      </w:r>
      <w:r w:rsidRPr="003E5F7C">
        <w:rPr>
          <w:rFonts w:ascii="Palatino Linotype" w:eastAsia="Palatino Linotype" w:hAnsi="Palatino Linotype" w:cs="Palatino Linotype"/>
          <w:b/>
          <w:color w:val="000000" w:themeColor="text1"/>
        </w:rPr>
        <w:t xml:space="preserve"> de abril de dos mil veinticinco</w:t>
      </w:r>
      <w:r w:rsidRPr="003E5F7C">
        <w:rPr>
          <w:rFonts w:ascii="Palatino Linotype" w:eastAsia="Palatino Linotype" w:hAnsi="Palatino Linotype" w:cs="Palatino Linotype"/>
          <w:color w:val="000000" w:themeColor="text1"/>
        </w:rPr>
        <w:t xml:space="preserve">; en consecuencia, la parte </w:t>
      </w:r>
      <w:r w:rsidRPr="003E5F7C">
        <w:rPr>
          <w:rFonts w:ascii="Palatino Linotype" w:eastAsia="Palatino Linotype" w:hAnsi="Palatino Linotype" w:cs="Palatino Linotype"/>
          <w:b/>
          <w:color w:val="000000" w:themeColor="text1"/>
        </w:rPr>
        <w:t>RECURRENTE</w:t>
      </w:r>
      <w:r w:rsidRPr="003E5F7C">
        <w:rPr>
          <w:rFonts w:ascii="Palatino Linotype" w:eastAsia="Palatino Linotype" w:hAnsi="Palatino Linotype" w:cs="Palatino Linotype"/>
          <w:color w:val="000000" w:themeColor="text1"/>
        </w:rPr>
        <w:t xml:space="preserve"> presentó su inconformidad el </w:t>
      </w:r>
      <w:r w:rsidR="0009013C" w:rsidRPr="003E5F7C">
        <w:rPr>
          <w:rFonts w:ascii="Palatino Linotype" w:eastAsia="Palatino Linotype" w:hAnsi="Palatino Linotype" w:cs="Palatino Linotype"/>
          <w:b/>
          <w:color w:val="000000" w:themeColor="text1"/>
        </w:rPr>
        <w:t>veintiocho</w:t>
      </w:r>
      <w:r w:rsidR="002E7BD3" w:rsidRPr="003E5F7C">
        <w:rPr>
          <w:rFonts w:ascii="Palatino Linotype" w:eastAsia="Palatino Linotype" w:hAnsi="Palatino Linotype" w:cs="Palatino Linotype"/>
          <w:b/>
          <w:color w:val="000000" w:themeColor="text1"/>
        </w:rPr>
        <w:t xml:space="preserve"> de marzo</w:t>
      </w:r>
      <w:r w:rsidRPr="003E5F7C">
        <w:rPr>
          <w:rFonts w:ascii="Palatino Linotype" w:eastAsia="Palatino Linotype" w:hAnsi="Palatino Linotype" w:cs="Palatino Linotype"/>
          <w:b/>
          <w:color w:val="000000" w:themeColor="text1"/>
        </w:rPr>
        <w:t xml:space="preserve"> de dos mil veinticinco</w:t>
      </w:r>
      <w:r w:rsidRPr="003E5F7C">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F47994" w:rsidRPr="003E5F7C" w:rsidRDefault="00F4799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86E74" w:rsidRPr="003E5F7C" w:rsidRDefault="00D86E74" w:rsidP="003E5F7C">
      <w:pPr>
        <w:tabs>
          <w:tab w:val="left" w:pos="0"/>
        </w:tabs>
        <w:spacing w:line="360" w:lineRule="auto"/>
        <w:rPr>
          <w:rFonts w:ascii="Palatino Linotype" w:eastAsia="Palatino Linotype" w:hAnsi="Palatino Linotype" w:cs="Palatino Linotype"/>
          <w:color w:val="000000" w:themeColor="text1"/>
        </w:rPr>
      </w:pPr>
    </w:p>
    <w:p w:rsidR="00D86E74" w:rsidRPr="003E5F7C" w:rsidRDefault="00B05C77" w:rsidP="003E5F7C">
      <w:pPr>
        <w:pStyle w:val="Ttulo1"/>
        <w:tabs>
          <w:tab w:val="left" w:pos="0"/>
        </w:tabs>
        <w:spacing w:before="0" w:line="360" w:lineRule="auto"/>
        <w:rPr>
          <w:color w:val="000000" w:themeColor="text1"/>
        </w:rPr>
      </w:pPr>
      <w:r w:rsidRPr="003E5F7C">
        <w:rPr>
          <w:color w:val="000000" w:themeColor="text1"/>
        </w:rPr>
        <w:t xml:space="preserve">TERCERO. Del planteamiento de la </w:t>
      </w:r>
      <w:r w:rsidRPr="003E5F7C">
        <w:rPr>
          <w:i/>
          <w:color w:val="000000" w:themeColor="text1"/>
        </w:rPr>
        <w:t>Litis</w:t>
      </w:r>
      <w:r w:rsidRPr="003E5F7C">
        <w:rPr>
          <w:color w:val="000000" w:themeColor="text1"/>
        </w:rPr>
        <w:t>.</w:t>
      </w: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La parte </w:t>
      </w:r>
      <w:r w:rsidRPr="003E5F7C">
        <w:rPr>
          <w:rFonts w:ascii="Palatino Linotype" w:eastAsia="Palatino Linotype" w:hAnsi="Palatino Linotype" w:cs="Palatino Linotype"/>
          <w:b/>
          <w:color w:val="000000" w:themeColor="text1"/>
        </w:rPr>
        <w:t>RECURRENTE</w:t>
      </w:r>
      <w:r w:rsidRPr="003E5F7C">
        <w:rPr>
          <w:rFonts w:ascii="Palatino Linotype" w:eastAsia="Palatino Linotype" w:hAnsi="Palatino Linotype" w:cs="Palatino Linotype"/>
          <w:color w:val="000000" w:themeColor="text1"/>
        </w:rPr>
        <w:t xml:space="preserve"> solicitó </w:t>
      </w:r>
      <w:r w:rsidR="0009013C" w:rsidRPr="003E5F7C">
        <w:rPr>
          <w:rFonts w:ascii="Palatino Linotype" w:eastAsia="Palatino Linotype" w:hAnsi="Palatino Linotype" w:cs="Palatino Linotype"/>
          <w:color w:val="000000" w:themeColor="text1"/>
        </w:rPr>
        <w:t>la nómina de la primera quincena de enero y la primera quincena de febrero de 2025, el informe y comprobantes de los gastos de feria 2025 organizada por el Ayuntamiento, así como, la solicitud y aprobación por el cabildo de dichos gastos.</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color w:val="000000" w:themeColor="text1"/>
        </w:rPr>
        <w:t xml:space="preserve">El </w:t>
      </w:r>
      <w:r w:rsidRPr="003E5F7C">
        <w:rPr>
          <w:rFonts w:ascii="Palatino Linotype" w:eastAsia="Palatino Linotype" w:hAnsi="Palatino Linotype" w:cs="Palatino Linotype"/>
          <w:b/>
          <w:color w:val="000000" w:themeColor="text1"/>
        </w:rPr>
        <w:t xml:space="preserve">SUJETO OBLIGADO </w:t>
      </w:r>
      <w:r w:rsidRPr="003E5F7C">
        <w:rPr>
          <w:rFonts w:ascii="Palatino Linotype" w:eastAsia="Palatino Linotype" w:hAnsi="Palatino Linotype" w:cs="Palatino Linotype"/>
          <w:color w:val="000000" w:themeColor="text1"/>
        </w:rPr>
        <w:t xml:space="preserve">emitió respuesta, en términos del </w:t>
      </w:r>
      <w:r w:rsidRPr="003E5F7C">
        <w:rPr>
          <w:rFonts w:ascii="Palatino Linotype" w:eastAsia="Palatino Linotype" w:hAnsi="Palatino Linotype" w:cs="Palatino Linotype"/>
          <w:b/>
          <w:color w:val="000000" w:themeColor="text1"/>
        </w:rPr>
        <w:t>párrafo 3</w:t>
      </w:r>
      <w:r w:rsidRPr="003E5F7C">
        <w:rPr>
          <w:rFonts w:ascii="Palatino Linotype" w:eastAsia="Palatino Linotype" w:hAnsi="Palatino Linotype" w:cs="Palatino Linotype"/>
          <w:color w:val="000000" w:themeColor="text1"/>
        </w:rPr>
        <w:t xml:space="preserve"> de la presente resolución.</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i/>
          <w:color w:val="000000" w:themeColor="text1"/>
        </w:rPr>
      </w:pPr>
      <w:r w:rsidRPr="003E5F7C">
        <w:rPr>
          <w:rFonts w:ascii="Palatino Linotype" w:eastAsia="Palatino Linotype" w:hAnsi="Palatino Linotype" w:cs="Palatino Linotype"/>
          <w:color w:val="000000" w:themeColor="text1"/>
        </w:rPr>
        <w:lastRenderedPageBreak/>
        <w:t xml:space="preserve">Posteriormente, la parte </w:t>
      </w:r>
      <w:r w:rsidRPr="003E5F7C">
        <w:rPr>
          <w:rFonts w:ascii="Palatino Linotype" w:eastAsia="Palatino Linotype" w:hAnsi="Palatino Linotype" w:cs="Palatino Linotype"/>
          <w:b/>
          <w:color w:val="000000" w:themeColor="text1"/>
        </w:rPr>
        <w:t xml:space="preserve">RECURRENTE </w:t>
      </w:r>
      <w:r w:rsidRPr="003E5F7C">
        <w:rPr>
          <w:rFonts w:ascii="Palatino Linotype" w:eastAsia="Palatino Linotype" w:hAnsi="Palatino Linotype" w:cs="Palatino Linotype"/>
          <w:color w:val="000000" w:themeColor="text1"/>
        </w:rPr>
        <w:t>interpuso recurso de revisión</w:t>
      </w:r>
      <w:r w:rsidR="002B4D12" w:rsidRPr="003E5F7C">
        <w:rPr>
          <w:rFonts w:ascii="Palatino Linotype" w:eastAsia="Palatino Linotype" w:hAnsi="Palatino Linotype" w:cs="Palatino Linotype"/>
          <w:color w:val="000000" w:themeColor="text1"/>
        </w:rPr>
        <w:t xml:space="preserve"> en el que se inconformó por </w:t>
      </w:r>
      <w:r w:rsidR="002B4D12" w:rsidRPr="003E5F7C">
        <w:rPr>
          <w:rFonts w:ascii="Palatino Linotype" w:eastAsia="Palatino Linotype" w:hAnsi="Palatino Linotype" w:cs="Palatino Linotype"/>
          <w:b/>
          <w:color w:val="000000" w:themeColor="text1"/>
        </w:rPr>
        <w:t xml:space="preserve">la </w:t>
      </w:r>
      <w:r w:rsidR="0009013C" w:rsidRPr="003E5F7C">
        <w:rPr>
          <w:rFonts w:ascii="Palatino Linotype" w:eastAsia="Palatino Linotype" w:hAnsi="Palatino Linotype" w:cs="Palatino Linotype"/>
          <w:b/>
          <w:color w:val="000000" w:themeColor="text1"/>
        </w:rPr>
        <w:t>negativa de la información solicitada.</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color w:val="000000" w:themeColor="text1"/>
        </w:rPr>
        <w:t xml:space="preserve">En dichas condiciones, la </w:t>
      </w:r>
      <w:r w:rsidRPr="003E5F7C">
        <w:rPr>
          <w:rFonts w:ascii="Palatino Linotype" w:eastAsia="Palatino Linotype" w:hAnsi="Palatino Linotype" w:cs="Palatino Linotype"/>
          <w:i/>
          <w:color w:val="000000" w:themeColor="text1"/>
        </w:rPr>
        <w:t>Litis</w:t>
      </w:r>
      <w:r w:rsidRPr="003E5F7C">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00C061D5" w:rsidRPr="003E5F7C">
        <w:rPr>
          <w:rFonts w:ascii="Palatino Linotype" w:eastAsia="Palatino Linotype" w:hAnsi="Palatino Linotype" w:cs="Palatino Linotype"/>
          <w:b/>
          <w:color w:val="000000" w:themeColor="text1"/>
        </w:rPr>
        <w:t xml:space="preserve">fracción </w:t>
      </w:r>
      <w:r w:rsidR="002B4D12" w:rsidRPr="003E5F7C">
        <w:rPr>
          <w:rFonts w:ascii="Palatino Linotype" w:eastAsia="Palatino Linotype" w:hAnsi="Palatino Linotype" w:cs="Palatino Linotype"/>
          <w:b/>
          <w:color w:val="000000" w:themeColor="text1"/>
        </w:rPr>
        <w:t>I</w:t>
      </w:r>
      <w:r w:rsidRPr="003E5F7C">
        <w:rPr>
          <w:rFonts w:ascii="Palatino Linotype" w:eastAsia="Palatino Linotype" w:hAnsi="Palatino Linotype" w:cs="Palatino Linotype"/>
          <w:b/>
          <w:color w:val="000000" w:themeColor="text1"/>
        </w:rPr>
        <w:t xml:space="preserve"> </w:t>
      </w:r>
      <w:r w:rsidRPr="003E5F7C">
        <w:rPr>
          <w:rFonts w:ascii="Palatino Linotype" w:eastAsia="Palatino Linotype" w:hAnsi="Palatino Linotype" w:cs="Palatino Linotype"/>
          <w:color w:val="000000" w:themeColor="text1"/>
        </w:rPr>
        <w:t>de la Ley</w:t>
      </w:r>
      <w:r w:rsidRPr="003E5F7C">
        <w:rPr>
          <w:rFonts w:ascii="Palatino Linotype" w:eastAsia="Palatino Linotype" w:hAnsi="Palatino Linotype" w:cs="Palatino Linotype"/>
          <w:b/>
          <w:color w:val="000000" w:themeColor="text1"/>
        </w:rPr>
        <w:t xml:space="preserve"> de Transparencia y Acceso a la Información Pública del Estado de </w:t>
      </w:r>
      <w:r w:rsidRPr="003E5F7C">
        <w:rPr>
          <w:rFonts w:ascii="Palatino Linotype" w:eastAsia="Palatino Linotype" w:hAnsi="Palatino Linotype" w:cs="Palatino Linotype"/>
          <w:color w:val="000000" w:themeColor="text1"/>
        </w:rPr>
        <w:t>México</w:t>
      </w:r>
      <w:r w:rsidRPr="003E5F7C">
        <w:rPr>
          <w:rFonts w:ascii="Palatino Linotype" w:eastAsia="Palatino Linotype" w:hAnsi="Palatino Linotype" w:cs="Palatino Linotype"/>
          <w:b/>
          <w:color w:val="000000" w:themeColor="text1"/>
        </w:rPr>
        <w:t xml:space="preserve"> y Municipios</w:t>
      </w:r>
      <w:r w:rsidRPr="003E5F7C">
        <w:rPr>
          <w:rFonts w:ascii="Palatino Linotype" w:eastAsia="Palatino Linotype" w:hAnsi="Palatino Linotype" w:cs="Palatino Linotype"/>
          <w:color w:val="000000" w:themeColor="text1"/>
        </w:rPr>
        <w:t xml:space="preserve">; fracción que determina la hipótesis jurídica relativa a </w:t>
      </w:r>
      <w:r w:rsidRPr="003E5F7C">
        <w:rPr>
          <w:rFonts w:ascii="Palatino Linotype" w:eastAsia="Palatino Linotype" w:hAnsi="Palatino Linotype" w:cs="Palatino Linotype"/>
          <w:b/>
          <w:color w:val="000000" w:themeColor="text1"/>
        </w:rPr>
        <w:t xml:space="preserve">la </w:t>
      </w:r>
      <w:r w:rsidR="0009013C" w:rsidRPr="003E5F7C">
        <w:rPr>
          <w:rFonts w:ascii="Palatino Linotype" w:eastAsia="Palatino Linotype" w:hAnsi="Palatino Linotype" w:cs="Palatino Linotype"/>
          <w:b/>
          <w:color w:val="000000" w:themeColor="text1"/>
        </w:rPr>
        <w:t>negativa de la información solicitada.</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D86E74" w:rsidRPr="003E5F7C" w:rsidRDefault="00B05C77" w:rsidP="003E5F7C">
      <w:pPr>
        <w:pStyle w:val="Ttulo1"/>
        <w:tabs>
          <w:tab w:val="left" w:pos="0"/>
        </w:tabs>
        <w:spacing w:before="0" w:line="360" w:lineRule="auto"/>
        <w:rPr>
          <w:color w:val="000000" w:themeColor="text1"/>
        </w:rPr>
      </w:pPr>
      <w:r w:rsidRPr="003E5F7C">
        <w:rPr>
          <w:color w:val="000000" w:themeColor="text1"/>
        </w:rPr>
        <w:t>CUARTO. Del estudio y resolución del asunto.</w:t>
      </w: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Acotada la </w:t>
      </w:r>
      <w:r w:rsidRPr="003E5F7C">
        <w:rPr>
          <w:rFonts w:ascii="Palatino Linotype" w:eastAsia="Palatino Linotype" w:hAnsi="Palatino Linotype" w:cs="Palatino Linotype"/>
          <w:i/>
          <w:color w:val="000000" w:themeColor="text1"/>
        </w:rPr>
        <w:t>Litis</w:t>
      </w:r>
      <w:r w:rsidRPr="003E5F7C">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D86E74" w:rsidRPr="003E5F7C" w:rsidRDefault="00D86E74" w:rsidP="003E5F7C">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3E5F7C">
        <w:rPr>
          <w:rFonts w:ascii="Palatino Linotype" w:eastAsia="Palatino Linotype" w:hAnsi="Palatino Linotype" w:cs="Palatino Linotype"/>
          <w:color w:val="000000" w:themeColor="text1"/>
        </w:rPr>
        <w:lastRenderedPageBreak/>
        <w:t>como la información referente a la intimidad de la vida privada y la imagen de las personas, con las excepciones que establezca la ley reglamentaria.</w:t>
      </w:r>
    </w:p>
    <w:p w:rsidR="00D86E74" w:rsidRPr="003E5F7C" w:rsidRDefault="00D86E74" w:rsidP="003E5F7C">
      <w:pP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Acotada la Litis del presente asunto, se reiterar la información solicitada por la parte </w:t>
      </w:r>
      <w:r w:rsidRPr="003E5F7C">
        <w:rPr>
          <w:rFonts w:ascii="Palatino Linotype" w:eastAsia="Palatino Linotype" w:hAnsi="Palatino Linotype" w:cs="Palatino Linotype"/>
          <w:b/>
          <w:color w:val="000000" w:themeColor="text1"/>
        </w:rPr>
        <w:t>RECURRENTE</w:t>
      </w:r>
      <w:r w:rsidRPr="003E5F7C">
        <w:rPr>
          <w:rFonts w:ascii="Palatino Linotype" w:eastAsia="Palatino Linotype" w:hAnsi="Palatino Linotype" w:cs="Palatino Linotype"/>
          <w:color w:val="000000" w:themeColor="text1"/>
        </w:rPr>
        <w:t xml:space="preserve">, así como la respuesta emitida por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mediante el siguiente cuadro descriptivo:</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tbl>
      <w:tblPr>
        <w:tblStyle w:val="a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4111"/>
        <w:gridCol w:w="2693"/>
      </w:tblGrid>
      <w:tr w:rsidR="003E5F7C" w:rsidRPr="003E5F7C" w:rsidTr="00A11D56">
        <w:tc>
          <w:tcPr>
            <w:tcW w:w="2830" w:type="dxa"/>
            <w:shd w:val="clear" w:color="auto" w:fill="D9D9D9"/>
          </w:tcPr>
          <w:p w:rsidR="00D86E74" w:rsidRPr="003E5F7C" w:rsidRDefault="00B05C77" w:rsidP="003E5F7C">
            <w:pPr>
              <w:tabs>
                <w:tab w:val="left" w:pos="0"/>
              </w:tabs>
              <w:jc w:val="center"/>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Información solicitada</w:t>
            </w:r>
          </w:p>
        </w:tc>
        <w:tc>
          <w:tcPr>
            <w:tcW w:w="4111" w:type="dxa"/>
            <w:shd w:val="clear" w:color="auto" w:fill="D9D9D9"/>
          </w:tcPr>
          <w:p w:rsidR="00D86E74" w:rsidRPr="003E5F7C" w:rsidRDefault="00B05C77" w:rsidP="003E5F7C">
            <w:pPr>
              <w:tabs>
                <w:tab w:val="left" w:pos="0"/>
              </w:tabs>
              <w:jc w:val="center"/>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Respuesta</w:t>
            </w:r>
          </w:p>
        </w:tc>
        <w:tc>
          <w:tcPr>
            <w:tcW w:w="2693" w:type="dxa"/>
            <w:shd w:val="clear" w:color="auto" w:fill="D9D9D9"/>
          </w:tcPr>
          <w:p w:rsidR="00D86E74" w:rsidRPr="003E5F7C" w:rsidRDefault="00B05C77" w:rsidP="003E5F7C">
            <w:pPr>
              <w:tabs>
                <w:tab w:val="left" w:pos="0"/>
              </w:tabs>
              <w:jc w:val="center"/>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Comentario</w:t>
            </w:r>
          </w:p>
        </w:tc>
      </w:tr>
      <w:tr w:rsidR="003E5F7C" w:rsidRPr="003E5F7C" w:rsidTr="00A11D56">
        <w:tc>
          <w:tcPr>
            <w:tcW w:w="2830" w:type="dxa"/>
          </w:tcPr>
          <w:p w:rsidR="00D86E74" w:rsidRPr="003E5F7C" w:rsidRDefault="00F47994" w:rsidP="003E5F7C">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1. Nómina de la primera quincena de enero y la primera quincena de febrero de 2025;</w:t>
            </w:r>
          </w:p>
        </w:tc>
        <w:tc>
          <w:tcPr>
            <w:tcW w:w="4111" w:type="dxa"/>
          </w:tcPr>
          <w:p w:rsidR="00D86E74" w:rsidRPr="003E5F7C" w:rsidRDefault="00F47994" w:rsidP="003E5F7C">
            <w:pPr>
              <w:pBdr>
                <w:top w:val="nil"/>
                <w:left w:val="nil"/>
                <w:bottom w:val="nil"/>
                <w:right w:val="nil"/>
                <w:between w:val="nil"/>
              </w:pBdr>
              <w:tabs>
                <w:tab w:val="left" w:pos="0"/>
              </w:tabs>
              <w:jc w:val="both"/>
              <w:rPr>
                <w:rFonts w:ascii="Palatino Linotype" w:hAnsi="Palatino Linotype"/>
                <w:color w:val="000000" w:themeColor="text1"/>
              </w:rPr>
            </w:pPr>
            <w:r w:rsidRPr="003E5F7C">
              <w:rPr>
                <w:rFonts w:ascii="Palatino Linotype" w:eastAsia="Palatino Linotype" w:hAnsi="Palatino Linotype" w:cs="Palatino Linotype"/>
                <w:color w:val="000000" w:themeColor="text1"/>
              </w:rPr>
              <w:t xml:space="preserve">El Tesorero Municipal remitió un </w:t>
            </w:r>
            <w:r w:rsidRPr="003E5F7C">
              <w:rPr>
                <w:rFonts w:ascii="Palatino Linotype" w:hAnsi="Palatino Linotype"/>
                <w:color w:val="000000" w:themeColor="text1"/>
              </w:rPr>
              <w:t>registro de nómina correspondiente a la primera quincena de enero y febrero de 2025, en versión pública</w:t>
            </w:r>
            <w:r w:rsidRPr="003E5F7C">
              <w:rPr>
                <w:rFonts w:ascii="Palatino Linotype" w:eastAsia="Palatino Linotype" w:hAnsi="Palatino Linotype" w:cs="Palatino Linotype"/>
                <w:color w:val="000000" w:themeColor="text1"/>
              </w:rPr>
              <w:t xml:space="preserve">, </w:t>
            </w:r>
            <w:r w:rsidRPr="003E5F7C">
              <w:rPr>
                <w:rFonts w:ascii="Palatino Linotype" w:eastAsia="Palatino Linotype" w:hAnsi="Palatino Linotype" w:cs="Palatino Linotype"/>
                <w:color w:val="000000" w:themeColor="text1"/>
              </w:rPr>
              <w:lastRenderedPageBreak/>
              <w:t>bajo los siguientes rubros: N° consecutivo, periodo, nombre completo, categoría, departamento, fecha de pago, sueldo neto.</w:t>
            </w:r>
          </w:p>
        </w:tc>
        <w:tc>
          <w:tcPr>
            <w:tcW w:w="2693" w:type="dxa"/>
          </w:tcPr>
          <w:p w:rsidR="00D86E74" w:rsidRPr="003E5F7C" w:rsidRDefault="00F47994"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 xml:space="preserve">El documento no colma el requerimiento, toda vez que </w:t>
            </w:r>
            <w:r w:rsidR="00B064F2" w:rsidRPr="003E5F7C">
              <w:rPr>
                <w:rFonts w:ascii="Palatino Linotype" w:eastAsia="Palatino Linotype" w:hAnsi="Palatino Linotype" w:cs="Palatino Linotype"/>
                <w:color w:val="000000" w:themeColor="text1"/>
              </w:rPr>
              <w:t xml:space="preserve">no se encuentra completa, </w:t>
            </w:r>
            <w:r w:rsidRPr="003E5F7C">
              <w:rPr>
                <w:rFonts w:ascii="Palatino Linotype" w:eastAsia="Palatino Linotype" w:hAnsi="Palatino Linotype" w:cs="Palatino Linotype"/>
                <w:color w:val="000000" w:themeColor="text1"/>
              </w:rPr>
              <w:t xml:space="preserve">se </w:t>
            </w:r>
            <w:r w:rsidRPr="003E5F7C">
              <w:rPr>
                <w:rFonts w:ascii="Palatino Linotype" w:eastAsia="Palatino Linotype" w:hAnsi="Palatino Linotype" w:cs="Palatino Linotype"/>
                <w:color w:val="000000" w:themeColor="text1"/>
              </w:rPr>
              <w:lastRenderedPageBreak/>
              <w:t>realizó una versión pública incorrecta</w:t>
            </w:r>
            <w:r w:rsidR="00B064F2" w:rsidRPr="003E5F7C">
              <w:rPr>
                <w:rFonts w:ascii="Palatino Linotype" w:eastAsia="Palatino Linotype" w:hAnsi="Palatino Linotype" w:cs="Palatino Linotype"/>
                <w:color w:val="000000" w:themeColor="text1"/>
              </w:rPr>
              <w:t xml:space="preserve"> y </w:t>
            </w:r>
            <w:r w:rsidRPr="003E5F7C">
              <w:rPr>
                <w:rFonts w:ascii="Palatino Linotype" w:eastAsia="Palatino Linotype" w:hAnsi="Palatino Linotype" w:cs="Palatino Linotype"/>
                <w:color w:val="000000" w:themeColor="text1"/>
              </w:rPr>
              <w:t>no se advierte el sueldo bruto.</w:t>
            </w:r>
          </w:p>
        </w:tc>
      </w:tr>
      <w:tr w:rsidR="00F47994" w:rsidRPr="003E5F7C" w:rsidTr="00A11D56">
        <w:tc>
          <w:tcPr>
            <w:tcW w:w="2830" w:type="dxa"/>
          </w:tcPr>
          <w:p w:rsidR="00F47994" w:rsidRPr="003E5F7C" w:rsidRDefault="00F47994" w:rsidP="003E5F7C">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2. El informe y comprobantes de los gastos de feria 2025 organizada por el Ayuntamiento y la solicitud y aprobación por el cabildo de dichos gastos.</w:t>
            </w:r>
          </w:p>
        </w:tc>
        <w:tc>
          <w:tcPr>
            <w:tcW w:w="4111" w:type="dxa"/>
          </w:tcPr>
          <w:p w:rsidR="00B064F2" w:rsidRPr="003E5F7C" w:rsidRDefault="00B064F2" w:rsidP="003E5F7C">
            <w:pPr>
              <w:tabs>
                <w:tab w:val="left" w:pos="0"/>
              </w:tabs>
              <w:jc w:val="both"/>
              <w:rPr>
                <w:rFonts w:ascii="Palatino Linotype" w:hAnsi="Palatino Linotype"/>
                <w:color w:val="000000" w:themeColor="text1"/>
              </w:rPr>
            </w:pPr>
            <w:r w:rsidRPr="003E5F7C">
              <w:rPr>
                <w:rFonts w:ascii="Palatino Linotype" w:eastAsia="Palatino Linotype" w:hAnsi="Palatino Linotype" w:cs="Palatino Linotype"/>
                <w:color w:val="000000" w:themeColor="text1"/>
              </w:rPr>
              <w:t xml:space="preserve">La Secretaría del Ayuntamiento remitió </w:t>
            </w:r>
            <w:r w:rsidRPr="003E5F7C">
              <w:rPr>
                <w:rFonts w:ascii="Palatino Linotype" w:hAnsi="Palatino Linotype"/>
                <w:color w:val="000000" w:themeColor="text1"/>
              </w:rPr>
              <w:t>el Presupuesto de la “Feria Tradicional Tonatico 2025”, aprobado por unanimidad de votos mediante el Acuerdo 068/2025.</w:t>
            </w:r>
          </w:p>
          <w:p w:rsidR="00F47994" w:rsidRPr="003E5F7C" w:rsidRDefault="00F47994" w:rsidP="003E5F7C">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tc>
        <w:tc>
          <w:tcPr>
            <w:tcW w:w="2693" w:type="dxa"/>
          </w:tcPr>
          <w:p w:rsidR="00F47994" w:rsidRPr="003E5F7C" w:rsidRDefault="00B064F2"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requerimiento no colma en su totalidad, toda vez que no se remitieron los comprobantes de gastos solicitados </w:t>
            </w:r>
          </w:p>
        </w:tc>
      </w:tr>
    </w:tbl>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Al respecto, la parte </w:t>
      </w:r>
      <w:r w:rsidRPr="003E5F7C">
        <w:rPr>
          <w:rFonts w:ascii="Palatino Linotype" w:eastAsia="Palatino Linotype" w:hAnsi="Palatino Linotype" w:cs="Palatino Linotype"/>
          <w:b/>
          <w:color w:val="000000" w:themeColor="text1"/>
        </w:rPr>
        <w:t xml:space="preserve">RECURRENTE </w:t>
      </w:r>
      <w:r w:rsidRPr="003E5F7C">
        <w:rPr>
          <w:rFonts w:ascii="Palatino Linotype" w:eastAsia="Palatino Linotype" w:hAnsi="Palatino Linotype" w:cs="Palatino Linotype"/>
          <w:color w:val="000000" w:themeColor="text1"/>
        </w:rPr>
        <w:t xml:space="preserve">interpuso recurso de revisión en el que se inconformó por </w:t>
      </w:r>
      <w:r w:rsidR="00B064F2" w:rsidRPr="003E5F7C">
        <w:rPr>
          <w:rFonts w:ascii="Palatino Linotype" w:eastAsia="Palatino Linotype" w:hAnsi="Palatino Linotype" w:cs="Palatino Linotype"/>
          <w:b/>
          <w:color w:val="000000" w:themeColor="text1"/>
        </w:rPr>
        <w:t>la entrega de información incompleta y la clasificación de la misma.</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2A0EF2"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Posteriormente, mediante informe justificado, el </w:t>
      </w:r>
      <w:r w:rsidRPr="003E5F7C">
        <w:rPr>
          <w:rFonts w:ascii="Palatino Linotype" w:eastAsia="Palatino Linotype" w:hAnsi="Palatino Linotype" w:cs="Palatino Linotype"/>
          <w:b/>
          <w:color w:val="000000" w:themeColor="text1"/>
        </w:rPr>
        <w:t xml:space="preserve">SUJETO OBLIGADO </w:t>
      </w:r>
      <w:r w:rsidRPr="003E5F7C">
        <w:rPr>
          <w:rFonts w:ascii="Palatino Linotype" w:eastAsia="Palatino Linotype" w:hAnsi="Palatino Linotype" w:cs="Palatino Linotype"/>
          <w:color w:val="000000" w:themeColor="text1"/>
        </w:rPr>
        <w:t xml:space="preserve">por medio </w:t>
      </w:r>
      <w:r w:rsidR="002A0EF2" w:rsidRPr="003E5F7C">
        <w:rPr>
          <w:rFonts w:ascii="Palatino Linotype" w:eastAsia="Palatino Linotype" w:hAnsi="Palatino Linotype" w:cs="Palatino Linotype"/>
          <w:color w:val="000000" w:themeColor="text1"/>
        </w:rPr>
        <w:t>del Tesorero Municipal remitió Nomina general de la primera quincena de febrero de 2025, en versión pública, bajo los siguientes rubros: N° consecutivo, periodo, nombre completo, categoría, departamento, fecha de pago, sueldo neto.</w:t>
      </w:r>
    </w:p>
    <w:p w:rsidR="002A0EF2" w:rsidRPr="003E5F7C" w:rsidRDefault="002A0EF2" w:rsidP="003E5F7C">
      <w:pPr>
        <w:pStyle w:val="Prrafodelista"/>
        <w:tabs>
          <w:tab w:val="left" w:pos="0"/>
        </w:tabs>
        <w:rPr>
          <w:rFonts w:ascii="Palatino Linotype" w:eastAsia="Palatino Linotype" w:hAnsi="Palatino Linotype" w:cs="Palatino Linotype"/>
          <w:color w:val="000000" w:themeColor="text1"/>
        </w:rPr>
      </w:pPr>
    </w:p>
    <w:p w:rsidR="002A0EF2" w:rsidRPr="003E5F7C" w:rsidRDefault="002A0EF2"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Por otro lado, relativo a </w:t>
      </w:r>
      <w:r w:rsidRPr="003E5F7C">
        <w:rPr>
          <w:rFonts w:ascii="Palatino Linotype" w:eastAsia="Palatino Linotype" w:hAnsi="Palatino Linotype" w:cs="Palatino Linotype"/>
          <w:i/>
          <w:color w:val="000000" w:themeColor="text1"/>
        </w:rPr>
        <w:t>“</w:t>
      </w:r>
      <w:r w:rsidRPr="003E5F7C">
        <w:rPr>
          <w:rFonts w:ascii="Palatino Linotype" w:hAnsi="Palatino Linotype"/>
          <w:i/>
          <w:color w:val="000000" w:themeColor="text1"/>
        </w:rPr>
        <w:t>…sobre los gastos de la feria. No quiero una certificación de un punto de cabildo, quiero los gastos y como se ejercieron, así como la comprobación debidamente firmada por las personas que deben intervenir y que son directamente responsables, como el presidente, tesorero, uippe y regidor comisionado, documentación comprobatoria para tener prueba de quienes son los responsables directos de los gastos ejercidos durante la feria Tonatico 2025</w:t>
      </w:r>
      <w:r w:rsidRPr="003E5F7C">
        <w:rPr>
          <w:rFonts w:ascii="Palatino Linotype" w:eastAsia="Palatino Linotype" w:hAnsi="Palatino Linotype" w:cs="Palatino Linotype"/>
          <w:i/>
          <w:color w:val="000000" w:themeColor="text1"/>
        </w:rPr>
        <w:t xml:space="preserve">” (Sic), </w:t>
      </w:r>
      <w:r w:rsidRPr="003E5F7C">
        <w:rPr>
          <w:rFonts w:ascii="Palatino Linotype" w:eastAsia="Palatino Linotype" w:hAnsi="Palatino Linotype" w:cs="Palatino Linotype"/>
          <w:color w:val="000000" w:themeColor="text1"/>
        </w:rPr>
        <w:t>refirió poner a disposición la información solicitada de manera física en las oficinas de la Tesorería Municipal, derivado de la carga de trabajo en el área a su cargo y los tiempos establecidos en el requerimiento.</w:t>
      </w: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 xml:space="preserve">Así, es necesario señalar que se obvia el análisis de la competencia por parte del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para generar, administrar o poseer la información solicitada, dado que éste ha asumido la misma, tan es así que refirió que hay un total de 187 requisiciones hechas por los Servidores Públicos.</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En este sentido, el hecho de que el</w:t>
      </w:r>
      <w:r w:rsidRPr="003E5F7C">
        <w:rPr>
          <w:rFonts w:ascii="Palatino Linotype" w:eastAsia="Palatino Linotype" w:hAnsi="Palatino Linotype" w:cs="Palatino Linotype"/>
          <w:b/>
          <w:color w:val="000000" w:themeColor="text1"/>
        </w:rPr>
        <w:t xml:space="preserve"> SUJETO OBLIGADO</w:t>
      </w:r>
      <w:r w:rsidRPr="003E5F7C">
        <w:rPr>
          <w:rFonts w:ascii="Palatino Linotype" w:eastAsia="Palatino Linotype" w:hAnsi="Palatino Linotype" w:cs="Palatino Linotype"/>
          <w:color w:val="000000" w:themeColor="text1"/>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86E74" w:rsidRPr="003E5F7C" w:rsidRDefault="00B05C77" w:rsidP="003E5F7C">
      <w:pPr>
        <w:shd w:val="clear" w:color="auto" w:fill="FFFFFF"/>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r w:rsidRPr="003E5F7C">
        <w:rPr>
          <w:rFonts w:ascii="Palatino Linotype" w:eastAsia="Palatino Linotype" w:hAnsi="Palatino Linotype" w:cs="Palatino Linotype"/>
          <w:b/>
          <w:i/>
          <w:color w:val="000000" w:themeColor="text1"/>
        </w:rPr>
        <w:t>Artículo 12.</w:t>
      </w:r>
      <w:r w:rsidRPr="003E5F7C">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D86E74" w:rsidRPr="003E5F7C" w:rsidRDefault="00D86E74" w:rsidP="003E5F7C">
      <w:pPr>
        <w:shd w:val="clear" w:color="auto" w:fill="FFFFFF"/>
        <w:tabs>
          <w:tab w:val="left" w:pos="0"/>
        </w:tabs>
        <w:ind w:left="567"/>
        <w:jc w:val="both"/>
        <w:rPr>
          <w:rFonts w:ascii="Palatino Linotype" w:eastAsia="Palatino Linotype" w:hAnsi="Palatino Linotype" w:cs="Palatino Linotype"/>
          <w:color w:val="000000" w:themeColor="text1"/>
        </w:rPr>
      </w:pPr>
    </w:p>
    <w:p w:rsidR="00D86E74" w:rsidRPr="003E5F7C" w:rsidRDefault="00B05C77" w:rsidP="003E5F7C">
      <w:pPr>
        <w:shd w:val="clear" w:color="auto" w:fill="FFFFFF"/>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174B9" w:rsidRPr="003E5F7C" w:rsidRDefault="00F174B9"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F174B9" w:rsidRPr="003E5F7C" w:rsidRDefault="00F174B9"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Dicho lo anterior, relativo al </w:t>
      </w:r>
      <w:r w:rsidRPr="003E5F7C">
        <w:rPr>
          <w:rFonts w:ascii="Palatino Linotype" w:eastAsia="Palatino Linotype" w:hAnsi="Palatino Linotype" w:cs="Palatino Linotype"/>
          <w:b/>
          <w:color w:val="000000" w:themeColor="text1"/>
        </w:rPr>
        <w:t>punto 1</w:t>
      </w:r>
      <w:r w:rsidRPr="003E5F7C">
        <w:rPr>
          <w:rFonts w:ascii="Palatino Linotype" w:eastAsia="Palatino Linotype" w:hAnsi="Palatino Linotype" w:cs="Palatino Linotype"/>
          <w:color w:val="000000" w:themeColor="text1"/>
        </w:rPr>
        <w:t xml:space="preserve"> del cuadro descriptivo referente a la nómina, se advierte que este </w:t>
      </w:r>
      <w:r w:rsidR="000B16AE" w:rsidRPr="003E5F7C">
        <w:rPr>
          <w:rFonts w:ascii="Palatino Linotype" w:eastAsia="Palatino Linotype" w:hAnsi="Palatino Linotype" w:cs="Palatino Linotype"/>
          <w:color w:val="000000" w:themeColor="text1"/>
        </w:rPr>
        <w:t>O</w:t>
      </w:r>
      <w:r w:rsidRPr="003E5F7C">
        <w:rPr>
          <w:rFonts w:ascii="Palatino Linotype" w:eastAsia="Palatino Linotype" w:hAnsi="Palatino Linotype" w:cs="Palatino Linotype"/>
          <w:color w:val="000000" w:themeColor="text1"/>
        </w:rPr>
        <w:t>rganismo</w:t>
      </w:r>
      <w:r w:rsidR="000B16AE" w:rsidRPr="003E5F7C">
        <w:rPr>
          <w:rFonts w:ascii="Palatino Linotype" w:eastAsia="Palatino Linotype" w:hAnsi="Palatino Linotype" w:cs="Palatino Linotype"/>
          <w:color w:val="000000" w:themeColor="text1"/>
        </w:rPr>
        <w:t xml:space="preserve"> Garante</w:t>
      </w:r>
      <w:r w:rsidRPr="003E5F7C">
        <w:rPr>
          <w:rFonts w:ascii="Palatino Linotype" w:eastAsia="Palatino Linotype" w:hAnsi="Palatino Linotype" w:cs="Palatino Linotype"/>
          <w:color w:val="000000" w:themeColor="text1"/>
        </w:rPr>
        <w:t xml:space="preserve"> realizó el análisis de las documentales proporcionadas mediante respuesta e informe justificado, de las cuales se precisa que no cuentan con la totalidad de elementos que debe contener el registro de nómina, de mera enunciativa mas no limitativa, el “sueldo bruto”.</w:t>
      </w:r>
      <w:r w:rsidR="000B16AE" w:rsidRPr="003E5F7C">
        <w:rPr>
          <w:rFonts w:ascii="Palatino Linotype" w:eastAsia="Palatino Linotype" w:hAnsi="Palatino Linotype" w:cs="Palatino Linotype"/>
          <w:color w:val="000000" w:themeColor="text1"/>
        </w:rPr>
        <w:t xml:space="preserve"> Como se observa:</w:t>
      </w:r>
    </w:p>
    <w:p w:rsidR="000B16AE" w:rsidRPr="003E5F7C" w:rsidRDefault="000B16AE"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noProof/>
          <w:color w:val="000000" w:themeColor="text1"/>
          <w:lang w:val="es-MX"/>
        </w:rPr>
        <w:lastRenderedPageBreak/>
        <mc:AlternateContent>
          <mc:Choice Requires="wps">
            <w:drawing>
              <wp:anchor distT="0" distB="0" distL="114300" distR="114300" simplePos="0" relativeHeight="251659264" behindDoc="0" locked="0" layoutInCell="1" allowOverlap="1">
                <wp:simplePos x="0" y="0"/>
                <wp:positionH relativeFrom="column">
                  <wp:posOffset>25096</wp:posOffset>
                </wp:positionH>
                <wp:positionV relativeFrom="paragraph">
                  <wp:posOffset>440883</wp:posOffset>
                </wp:positionV>
                <wp:extent cx="5510254" cy="683812"/>
                <wp:effectExtent l="57150" t="38100" r="71755" b="97790"/>
                <wp:wrapNone/>
                <wp:docPr id="2" name="Rectángulo 2"/>
                <wp:cNvGraphicFramePr/>
                <a:graphic xmlns:a="http://schemas.openxmlformats.org/drawingml/2006/main">
                  <a:graphicData uri="http://schemas.microsoft.com/office/word/2010/wordprocessingShape">
                    <wps:wsp>
                      <wps:cNvSpPr/>
                      <wps:spPr>
                        <a:xfrm>
                          <a:off x="0" y="0"/>
                          <a:ext cx="5510254" cy="683812"/>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C47AC" id="Rectángulo 2" o:spid="_x0000_s1026" style="position:absolute;margin-left:2pt;margin-top:34.7pt;width:433.9pt;height:5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" filled="f" strokecolor="#c00000" strokeweight="2.25pt">
                <v:shadow on="t" color="black" opacity="22937f" origin=",.5" offset="0,.63889mm"/>
              </v:rect>
            </w:pict>
          </mc:Fallback>
        </mc:AlternateContent>
      </w:r>
      <w:r w:rsidRPr="003E5F7C">
        <w:rPr>
          <w:rFonts w:ascii="Palatino Linotype" w:eastAsia="Palatino Linotype" w:hAnsi="Palatino Linotype" w:cs="Palatino Linotype"/>
          <w:noProof/>
          <w:color w:val="000000" w:themeColor="text1"/>
          <w:lang w:val="es-MX"/>
        </w:rPr>
        <w:drawing>
          <wp:inline distT="0" distB="0" distL="0" distR="0" wp14:anchorId="36C83F88" wp14:editId="012FCE19">
            <wp:extent cx="5580238" cy="147099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836"/>
                    <a:stretch/>
                  </pic:blipFill>
                  <pic:spPr bwMode="auto">
                    <a:xfrm>
                      <a:off x="0" y="0"/>
                      <a:ext cx="5601847" cy="1476687"/>
                    </a:xfrm>
                    <a:prstGeom prst="rect">
                      <a:avLst/>
                    </a:prstGeom>
                    <a:ln>
                      <a:noFill/>
                    </a:ln>
                    <a:extLst>
                      <a:ext uri="{53640926-AAD7-44D8-BBD7-CCE9431645EC}">
                        <a14:shadowObscured xmlns:a14="http://schemas.microsoft.com/office/drawing/2010/main"/>
                      </a:ext>
                    </a:extLst>
                  </pic:spPr>
                </pic:pic>
              </a:graphicData>
            </a:graphic>
          </wp:inline>
        </w:drawing>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 xml:space="preserve">Así, </w:t>
      </w:r>
      <w:r w:rsidRPr="003E5F7C">
        <w:rPr>
          <w:rFonts w:ascii="Palatino Linotype" w:eastAsia="Palatino Linotype" w:hAnsi="Palatino Linotype" w:cs="Palatino Linotype"/>
          <w:color w:val="000000" w:themeColor="text1"/>
        </w:rPr>
        <w:t>resulta conveniente mencionar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0B16AE" w:rsidRPr="003E5F7C" w:rsidRDefault="000B16AE"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 xml:space="preserve">“NÓMINA </w:t>
      </w:r>
      <w:r w:rsidRPr="003E5F7C">
        <w:rPr>
          <w:rFonts w:ascii="Palatino Linotype" w:eastAsia="Palatino Linotype" w:hAnsi="Palatino Linotype" w:cs="Palatino Linotype"/>
          <w:i/>
          <w:color w:val="000000" w:themeColor="text1"/>
        </w:rPr>
        <w:t>Listado general de los trabajadores de una institución, en</w:t>
      </w:r>
      <w:r w:rsidRPr="003E5F7C">
        <w:rPr>
          <w:rFonts w:ascii="Palatino Linotype" w:eastAsia="Palatino Linotype" w:hAnsi="Palatino Linotype" w:cs="Palatino Linotype"/>
          <w:b/>
          <w:i/>
          <w:color w:val="000000" w:themeColor="text1"/>
        </w:rPr>
        <w:t xml:space="preserve"> </w:t>
      </w:r>
      <w:r w:rsidRPr="003E5F7C">
        <w:rPr>
          <w:rFonts w:ascii="Palatino Linotype" w:eastAsia="Palatino Linotype" w:hAnsi="Palatino Linotype" w:cs="Palatino Linotype"/>
          <w:i/>
          <w:color w:val="000000" w:themeColor="text1"/>
        </w:rPr>
        <w:t>el cual se asientan las percepciones brutas, deducciones y</w:t>
      </w:r>
      <w:r w:rsidRPr="003E5F7C">
        <w:rPr>
          <w:rFonts w:ascii="Palatino Linotype" w:eastAsia="Palatino Linotype" w:hAnsi="Palatino Linotype" w:cs="Palatino Linotype"/>
          <w:b/>
          <w:i/>
          <w:color w:val="000000" w:themeColor="text1"/>
        </w:rPr>
        <w:t xml:space="preserve"> </w:t>
      </w:r>
      <w:r w:rsidRPr="003E5F7C">
        <w:rPr>
          <w:rFonts w:ascii="Palatino Linotype" w:eastAsia="Palatino Linotype" w:hAnsi="Palatino Linotype" w:cs="Palatino Linotype"/>
          <w:i/>
          <w:color w:val="000000" w:themeColor="text1"/>
        </w:rPr>
        <w:t>alcance neto de las mismas; la nómina es utilizada para</w:t>
      </w:r>
      <w:r w:rsidRPr="003E5F7C">
        <w:rPr>
          <w:rFonts w:ascii="Palatino Linotype" w:eastAsia="Palatino Linotype" w:hAnsi="Palatino Linotype" w:cs="Palatino Linotype"/>
          <w:b/>
          <w:i/>
          <w:color w:val="000000" w:themeColor="text1"/>
        </w:rPr>
        <w:t xml:space="preserve"> </w:t>
      </w:r>
      <w:r w:rsidRPr="003E5F7C">
        <w:rPr>
          <w:rFonts w:ascii="Palatino Linotype" w:eastAsia="Palatino Linotype" w:hAnsi="Palatino Linotype" w:cs="Palatino Linotype"/>
          <w:i/>
          <w:color w:val="000000" w:themeColor="text1"/>
        </w:rPr>
        <w:t>efectuar los pagos periódicos (semanales, quincenales o</w:t>
      </w:r>
      <w:r w:rsidRPr="003E5F7C">
        <w:rPr>
          <w:rFonts w:ascii="Palatino Linotype" w:eastAsia="Palatino Linotype" w:hAnsi="Palatino Linotype" w:cs="Palatino Linotype"/>
          <w:b/>
          <w:i/>
          <w:color w:val="000000" w:themeColor="text1"/>
        </w:rPr>
        <w:t xml:space="preserve"> </w:t>
      </w:r>
      <w:r w:rsidRPr="003E5F7C">
        <w:rPr>
          <w:rFonts w:ascii="Palatino Linotype" w:eastAsia="Palatino Linotype" w:hAnsi="Palatino Linotype" w:cs="Palatino Linotype"/>
          <w:i/>
          <w:color w:val="000000" w:themeColor="text1"/>
        </w:rPr>
        <w:t>mensuales) a los trabajadores por concepto de sueldos y</w:t>
      </w:r>
      <w:r w:rsidRPr="003E5F7C">
        <w:rPr>
          <w:rFonts w:ascii="Palatino Linotype" w:eastAsia="Palatino Linotype" w:hAnsi="Palatino Linotype" w:cs="Palatino Linotype"/>
          <w:b/>
          <w:i/>
          <w:color w:val="000000" w:themeColor="text1"/>
        </w:rPr>
        <w:t xml:space="preserve"> </w:t>
      </w:r>
      <w:r w:rsidRPr="003E5F7C">
        <w:rPr>
          <w:rFonts w:ascii="Palatino Linotype" w:eastAsia="Palatino Linotype" w:hAnsi="Palatino Linotype" w:cs="Palatino Linotype"/>
          <w:i/>
          <w:color w:val="000000" w:themeColor="text1"/>
        </w:rPr>
        <w:t>salarios.”</w:t>
      </w:r>
    </w:p>
    <w:p w:rsidR="000B16AE" w:rsidRPr="003E5F7C" w:rsidRDefault="000B16AE" w:rsidP="003E5F7C">
      <w:pPr>
        <w:tabs>
          <w:tab w:val="left" w:pos="0"/>
        </w:tabs>
        <w:spacing w:line="360" w:lineRule="auto"/>
        <w:ind w:left="851"/>
        <w:jc w:val="both"/>
        <w:rPr>
          <w:rFonts w:ascii="Palatino Linotype" w:eastAsia="Palatino Linotype" w:hAnsi="Palatino Linotype" w:cs="Palatino Linotype"/>
          <w:color w:val="000000" w:themeColor="text1"/>
        </w:rPr>
      </w:pPr>
    </w:p>
    <w:p w:rsidR="000B16AE" w:rsidRPr="003E5F7C" w:rsidRDefault="000B16AE" w:rsidP="003E5F7C">
      <w:pPr>
        <w:pStyle w:val="Prrafodelista"/>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Con base a lo anterior, conviene a traer lo establecido por el artículo 804, fracción II, de la Ley Federal de Trabajo, el cual a la letra establece: </w:t>
      </w:r>
    </w:p>
    <w:p w:rsidR="000B16AE" w:rsidRPr="003E5F7C" w:rsidRDefault="000B16AE"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r w:rsidRPr="003E5F7C">
        <w:rPr>
          <w:rFonts w:ascii="Palatino Linotype" w:eastAsia="Palatino Linotype" w:hAnsi="Palatino Linotype" w:cs="Palatino Linotype"/>
          <w:b/>
          <w:i/>
          <w:color w:val="000000" w:themeColor="text1"/>
        </w:rPr>
        <w:t>Artículo 804.-</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3E5F7C">
        <w:rPr>
          <w:rFonts w:ascii="Palatino Linotype" w:eastAsia="Palatino Linotype" w:hAnsi="Palatino Linotype" w:cs="Palatino Linotype"/>
          <w:i/>
          <w:color w:val="000000" w:themeColor="text1"/>
        </w:rPr>
        <w:t>:</w:t>
      </w:r>
    </w:p>
    <w:p w:rsidR="000B16AE" w:rsidRPr="003E5F7C" w:rsidRDefault="000B16AE" w:rsidP="003E5F7C">
      <w:pPr>
        <w:tabs>
          <w:tab w:val="left" w:pos="0"/>
        </w:tabs>
        <w:ind w:left="567"/>
        <w:jc w:val="both"/>
        <w:rPr>
          <w:rFonts w:ascii="Palatino Linotype" w:eastAsia="Palatino Linotype" w:hAnsi="Palatino Linotype" w:cs="Palatino Linotype"/>
          <w:i/>
          <w:color w:val="000000" w:themeColor="text1"/>
        </w:rPr>
      </w:pPr>
    </w:p>
    <w:p w:rsidR="000B16AE" w:rsidRPr="003E5F7C" w:rsidRDefault="000B16AE" w:rsidP="003E5F7C">
      <w:pPr>
        <w:tabs>
          <w:tab w:val="left" w:pos="0"/>
        </w:tabs>
        <w:ind w:left="567"/>
        <w:jc w:val="both"/>
        <w:rPr>
          <w:rFonts w:ascii="Palatino Linotype" w:eastAsia="Palatino Linotype" w:hAnsi="Palatino Linotype" w:cs="Palatino Linotype"/>
          <w:b/>
          <w:i/>
          <w:color w:val="000000" w:themeColor="text1"/>
        </w:rPr>
      </w:pPr>
      <w:r w:rsidRPr="003E5F7C">
        <w:rPr>
          <w:rFonts w:ascii="Palatino Linotype" w:eastAsia="Palatino Linotype" w:hAnsi="Palatino Linotype" w:cs="Palatino Linotype"/>
          <w:b/>
          <w:i/>
          <w:color w:val="000000" w:themeColor="text1"/>
        </w:rPr>
        <w:lastRenderedPageBreak/>
        <w:t>II.</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b/>
          <w:i/>
          <w:color w:val="000000" w:themeColor="text1"/>
        </w:rPr>
        <w:t>Listas de raya o nómina de personal</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b/>
          <w:i/>
          <w:color w:val="000000" w:themeColor="text1"/>
        </w:rPr>
        <w:t xml:space="preserve">cuando se lleven en el centro de trabajo; o recibos de pagos de salarios; </w:t>
      </w:r>
    </w:p>
    <w:p w:rsidR="000B16AE" w:rsidRPr="003E5F7C" w:rsidRDefault="000B16AE"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p>
    <w:p w:rsidR="000B16AE" w:rsidRDefault="000B16AE"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3E5F7C">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3E5F7C">
        <w:rPr>
          <w:rFonts w:ascii="Palatino Linotype" w:eastAsia="Palatino Linotype" w:hAnsi="Palatino Linotype" w:cs="Palatino Linotype"/>
          <w:i/>
          <w:color w:val="000000" w:themeColor="text1"/>
        </w:rPr>
        <w:t>; y los mencionados en la fracción V, conforme lo señalen las Leyes que los rijan.”</w:t>
      </w:r>
    </w:p>
    <w:p w:rsidR="00A11D56" w:rsidRDefault="00A11D56" w:rsidP="003E5F7C">
      <w:pPr>
        <w:tabs>
          <w:tab w:val="left" w:pos="0"/>
        </w:tabs>
        <w:ind w:left="567"/>
        <w:jc w:val="both"/>
        <w:rPr>
          <w:rFonts w:ascii="Palatino Linotype" w:eastAsia="Palatino Linotype" w:hAnsi="Palatino Linotype" w:cs="Palatino Linotype"/>
          <w:i/>
          <w:color w:val="000000" w:themeColor="text1"/>
        </w:rPr>
      </w:pPr>
    </w:p>
    <w:p w:rsidR="00A11D56" w:rsidRPr="003E5F7C" w:rsidRDefault="00A11D56" w:rsidP="003E5F7C">
      <w:pPr>
        <w:tabs>
          <w:tab w:val="left" w:pos="0"/>
        </w:tabs>
        <w:ind w:left="567"/>
        <w:jc w:val="both"/>
        <w:rPr>
          <w:rFonts w:ascii="Palatino Linotype" w:eastAsia="Palatino Linotype" w:hAnsi="Palatino Linotype" w:cs="Palatino Linotype"/>
          <w:i/>
          <w:color w:val="000000" w:themeColor="text1"/>
        </w:rPr>
      </w:pPr>
    </w:p>
    <w:p w:rsidR="000B16AE" w:rsidRPr="003E5F7C"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0B16AE" w:rsidRPr="003E5F7C" w:rsidRDefault="000B16AE"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rsidR="000B16AE" w:rsidRPr="003E5F7C" w:rsidRDefault="000B16AE" w:rsidP="003E5F7C">
      <w:pPr>
        <w:tabs>
          <w:tab w:val="left" w:pos="0"/>
          <w:tab w:val="left" w:pos="9072"/>
        </w:tabs>
        <w:spacing w:before="240"/>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“ARTÍCULO 220 K.-</w:t>
      </w:r>
      <w:r w:rsidRPr="003E5F7C">
        <w:rPr>
          <w:rFonts w:ascii="Palatino Linotype" w:eastAsia="Palatino Linotype" w:hAnsi="Palatino Linotype" w:cs="Palatino Linotype"/>
          <w:i/>
          <w:color w:val="000000" w:themeColor="text1"/>
        </w:rPr>
        <w:t xml:space="preserve"> La </w:t>
      </w:r>
      <w:r w:rsidRPr="003E5F7C">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b/>
          <w:i/>
          <w:color w:val="000000" w:themeColor="text1"/>
        </w:rPr>
        <w:t>se precisan</w:t>
      </w:r>
      <w:r w:rsidRPr="003E5F7C">
        <w:rPr>
          <w:rFonts w:ascii="Palatino Linotype" w:eastAsia="Palatino Linotype" w:hAnsi="Palatino Linotype" w:cs="Palatino Linotype"/>
          <w:i/>
          <w:color w:val="000000" w:themeColor="text1"/>
        </w:rPr>
        <w:t>:</w:t>
      </w:r>
    </w:p>
    <w:p w:rsidR="000B16AE" w:rsidRPr="003E5F7C" w:rsidRDefault="000B16AE" w:rsidP="003E5F7C">
      <w:pPr>
        <w:tabs>
          <w:tab w:val="left" w:pos="0"/>
          <w:tab w:val="left" w:pos="9072"/>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p>
    <w:p w:rsidR="000B16AE" w:rsidRPr="003E5F7C" w:rsidRDefault="000B16AE" w:rsidP="003E5F7C">
      <w:pPr>
        <w:tabs>
          <w:tab w:val="left" w:pos="0"/>
          <w:tab w:val="left" w:pos="9072"/>
        </w:tabs>
        <w:ind w:left="567"/>
        <w:jc w:val="both"/>
        <w:rPr>
          <w:rFonts w:ascii="Palatino Linotype" w:eastAsia="Palatino Linotype" w:hAnsi="Palatino Linotype" w:cs="Palatino Linotype"/>
          <w:b/>
          <w:i/>
          <w:color w:val="000000" w:themeColor="text1"/>
        </w:rPr>
      </w:pPr>
      <w:r w:rsidRPr="003E5F7C">
        <w:rPr>
          <w:rFonts w:ascii="Palatino Linotype" w:eastAsia="Palatino Linotype" w:hAnsi="Palatino Linotype" w:cs="Palatino Linotype"/>
          <w:i/>
          <w:color w:val="000000" w:themeColor="text1"/>
        </w:rPr>
        <w:t xml:space="preserve">II. </w:t>
      </w:r>
      <w:r w:rsidRPr="003E5F7C">
        <w:rPr>
          <w:rFonts w:ascii="Palatino Linotype" w:eastAsia="Palatino Linotype" w:hAnsi="Palatino Linotype" w:cs="Palatino Linotype"/>
          <w:b/>
          <w:i/>
          <w:color w:val="000000" w:themeColor="text1"/>
        </w:rPr>
        <w:t>Recibos de pagos de salarios o</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b/>
          <w:i/>
          <w:color w:val="000000" w:themeColor="text1"/>
        </w:rPr>
        <w:t>las constancias documentales del pago de salario</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b/>
          <w:i/>
          <w:color w:val="000000" w:themeColor="text1"/>
        </w:rPr>
        <w:t xml:space="preserve">cuando </w:t>
      </w:r>
      <w:r w:rsidRPr="003E5F7C">
        <w:rPr>
          <w:rFonts w:ascii="Palatino Linotype" w:eastAsia="Palatino Linotype" w:hAnsi="Palatino Linotype" w:cs="Palatino Linotype"/>
          <w:b/>
          <w:i/>
          <w:color w:val="000000" w:themeColor="text1"/>
          <w:u w:val="single"/>
        </w:rPr>
        <w:t>sea por depósito o mediante información electrónica</w:t>
      </w:r>
      <w:r w:rsidRPr="003E5F7C">
        <w:rPr>
          <w:rFonts w:ascii="Palatino Linotype" w:eastAsia="Palatino Linotype" w:hAnsi="Palatino Linotype" w:cs="Palatino Linotype"/>
          <w:b/>
          <w:i/>
          <w:color w:val="000000" w:themeColor="text1"/>
        </w:rPr>
        <w:t>;</w:t>
      </w:r>
    </w:p>
    <w:p w:rsidR="000B16AE" w:rsidRPr="003E5F7C" w:rsidRDefault="000B16AE" w:rsidP="003E5F7C">
      <w:pPr>
        <w:tabs>
          <w:tab w:val="left" w:pos="0"/>
          <w:tab w:val="left" w:pos="9072"/>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p>
    <w:p w:rsidR="000B16AE" w:rsidRPr="003E5F7C" w:rsidRDefault="000B16AE" w:rsidP="003E5F7C">
      <w:pPr>
        <w:tabs>
          <w:tab w:val="left" w:pos="0"/>
          <w:tab w:val="left" w:pos="9072"/>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B16AE" w:rsidRPr="003E5F7C" w:rsidRDefault="000B16AE" w:rsidP="003E5F7C">
      <w:pPr>
        <w:tabs>
          <w:tab w:val="left" w:pos="0"/>
          <w:tab w:val="left" w:pos="9072"/>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0B16AE" w:rsidRPr="003E5F7C" w:rsidRDefault="000B16AE" w:rsidP="003E5F7C">
      <w:pPr>
        <w:tabs>
          <w:tab w:val="left" w:pos="0"/>
        </w:tabs>
        <w:spacing w:line="360" w:lineRule="auto"/>
        <w:ind w:left="851"/>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0B16AE" w:rsidRPr="003E5F7C" w:rsidRDefault="000B16AE"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es considerado como ente fiscalizable, como así lo señala el artículo 4 fracción II de la Ley de Fiscalización Superior del Estado de México, el cual señala:</w:t>
      </w:r>
    </w:p>
    <w:p w:rsidR="000B16AE" w:rsidRPr="003E5F7C" w:rsidRDefault="000B16AE" w:rsidP="003E5F7C">
      <w:pPr>
        <w:tabs>
          <w:tab w:val="left" w:pos="0"/>
        </w:tabs>
        <w:spacing w:before="240"/>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“Artículo 4.- Son sujetos de fiscalización:</w:t>
      </w:r>
    </w:p>
    <w:p w:rsidR="000B16AE" w:rsidRPr="003E5F7C" w:rsidRDefault="000B16AE" w:rsidP="003E5F7C">
      <w:pPr>
        <w:numPr>
          <w:ilvl w:val="1"/>
          <w:numId w:val="5"/>
        </w:numPr>
        <w:pBdr>
          <w:top w:val="nil"/>
          <w:left w:val="nil"/>
          <w:bottom w:val="nil"/>
          <w:right w:val="nil"/>
          <w:between w:val="nil"/>
        </w:pBdr>
        <w:tabs>
          <w:tab w:val="left" w:pos="0"/>
        </w:tabs>
        <w:spacing w:before="240"/>
        <w:ind w:left="567" w:firstLine="0"/>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Los Poderes Públicos del Estado; </w:t>
      </w:r>
    </w:p>
    <w:p w:rsidR="000B16AE" w:rsidRPr="003E5F7C" w:rsidRDefault="000B16AE" w:rsidP="003E5F7C">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themeColor="text1"/>
        </w:rPr>
      </w:pPr>
      <w:r w:rsidRPr="003E5F7C">
        <w:rPr>
          <w:rFonts w:ascii="Palatino Linotype" w:eastAsia="Palatino Linotype" w:hAnsi="Palatino Linotype" w:cs="Palatino Linotype"/>
          <w:b/>
          <w:i/>
          <w:color w:val="000000" w:themeColor="text1"/>
        </w:rPr>
        <w:t xml:space="preserve">II. Los municipios del Estado de México; </w:t>
      </w:r>
    </w:p>
    <w:p w:rsidR="000B16AE" w:rsidRPr="003E5F7C" w:rsidRDefault="000B16AE"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III. Los organismos autónomos; </w:t>
      </w:r>
    </w:p>
    <w:p w:rsidR="000B16AE" w:rsidRPr="003E5F7C" w:rsidRDefault="000B16AE"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IV. Los organismos auxiliares; </w:t>
      </w:r>
    </w:p>
    <w:p w:rsidR="000B16AE" w:rsidRPr="003E5F7C" w:rsidRDefault="000B16AE"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3E5F7C">
        <w:rPr>
          <w:rFonts w:ascii="Palatino Linotype" w:eastAsia="Palatino Linotype" w:hAnsi="Palatino Linotype" w:cs="Palatino Linotype"/>
          <w:color w:val="000000" w:themeColor="text1"/>
        </w:rPr>
        <w:t xml:space="preserve"> </w:t>
      </w:r>
    </w:p>
    <w:p w:rsidR="000B16AE" w:rsidRPr="003E5F7C" w:rsidRDefault="000B16AE"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0B16AE" w:rsidRPr="003E5F7C" w:rsidRDefault="000B16AE" w:rsidP="003E5F7C">
      <w:pP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w:t>
      </w:r>
      <w:r w:rsidRPr="003E5F7C">
        <w:rPr>
          <w:rFonts w:ascii="Palatino Linotype" w:eastAsia="Palatino Linotype" w:hAnsi="Palatino Linotype" w:cs="Palatino Linotype"/>
          <w:b/>
          <w:color w:val="000000" w:themeColor="text1"/>
        </w:rPr>
        <w:t xml:space="preserve">informes trimestrales, </w:t>
      </w:r>
      <w:r w:rsidRPr="003E5F7C">
        <w:rPr>
          <w:rFonts w:ascii="Palatino Linotype" w:eastAsia="Palatino Linotype" w:hAnsi="Palatino Linotype" w:cs="Palatino Linotype"/>
          <w:color w:val="000000" w:themeColor="text1"/>
        </w:rPr>
        <w:t xml:space="preserve">denominado “Políticas para la Integración del Informe Trimestral de los </w:t>
      </w:r>
      <w:r w:rsidRPr="003E5F7C">
        <w:rPr>
          <w:rFonts w:ascii="Palatino Linotype" w:eastAsia="Palatino Linotype" w:hAnsi="Palatino Linotype" w:cs="Palatino Linotype"/>
          <w:color w:val="000000" w:themeColor="text1"/>
        </w:rPr>
        <w:lastRenderedPageBreak/>
        <w:t>Sujetos de Fiscalización Municipales”, cuyo objetivo es establecer las especificaciones necesarias para que las entidades fiscales elaboren y presentes los referidos informes.</w:t>
      </w:r>
    </w:p>
    <w:p w:rsidR="000B16AE" w:rsidRPr="003E5F7C" w:rsidRDefault="000B16AE" w:rsidP="003E5F7C">
      <w:pP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0B16AE" w:rsidRPr="003E5F7C" w:rsidRDefault="000B16AE" w:rsidP="003E5F7C">
      <w:pP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La integración del I</w:t>
      </w:r>
      <w:r w:rsidRPr="003E5F7C">
        <w:rPr>
          <w:rFonts w:ascii="Palatino Linotype" w:eastAsia="Palatino Linotype" w:hAnsi="Palatino Linotype" w:cs="Palatino Linotype"/>
          <w:b/>
          <w:color w:val="000000" w:themeColor="text1"/>
        </w:rPr>
        <w:t>nforme Trimestral se entregará de manera física al Órgano Superior de Fiscalización del Estado de México</w:t>
      </w:r>
      <w:r w:rsidRPr="003E5F7C">
        <w:rPr>
          <w:rFonts w:ascii="Palatino Linotype" w:eastAsia="Palatino Linotype" w:hAnsi="Palatino Linotype" w:cs="Palatino Linotype"/>
          <w:color w:val="000000" w:themeColor="text1"/>
        </w:rPr>
        <w:t>, y estará compuesto de la siguiente manera:</w:t>
      </w:r>
    </w:p>
    <w:p w:rsidR="000B16AE" w:rsidRPr="003E5F7C" w:rsidRDefault="000B16AE" w:rsidP="003E5F7C">
      <w:pPr>
        <w:numPr>
          <w:ilvl w:val="1"/>
          <w:numId w:val="1"/>
        </w:numPr>
        <w:pBdr>
          <w:top w:val="nil"/>
          <w:left w:val="nil"/>
          <w:bottom w:val="nil"/>
          <w:right w:val="nil"/>
          <w:between w:val="nil"/>
        </w:pBdr>
        <w:tabs>
          <w:tab w:val="left" w:pos="0"/>
          <w:tab w:val="left" w:pos="426"/>
        </w:tabs>
        <w:spacing w:before="240"/>
        <w:ind w:left="993" w:firstLine="0"/>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Información impresa; e</w:t>
      </w:r>
    </w:p>
    <w:p w:rsidR="000B16AE" w:rsidRPr="003E5F7C" w:rsidRDefault="000B16AE" w:rsidP="003E5F7C">
      <w:pPr>
        <w:numPr>
          <w:ilvl w:val="1"/>
          <w:numId w:val="1"/>
        </w:numPr>
        <w:pBdr>
          <w:top w:val="nil"/>
          <w:left w:val="nil"/>
          <w:bottom w:val="nil"/>
          <w:right w:val="nil"/>
          <w:between w:val="nil"/>
        </w:pBdr>
        <w:tabs>
          <w:tab w:val="left" w:pos="0"/>
          <w:tab w:val="left" w:pos="426"/>
        </w:tabs>
        <w:ind w:left="993" w:firstLine="0"/>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Información en medio de almacenamiento electrónico.</w:t>
      </w:r>
    </w:p>
    <w:p w:rsidR="000B16AE" w:rsidRPr="003E5F7C" w:rsidRDefault="000B16AE" w:rsidP="003E5F7C">
      <w:pPr>
        <w:pBdr>
          <w:top w:val="nil"/>
          <w:left w:val="nil"/>
          <w:bottom w:val="nil"/>
          <w:right w:val="nil"/>
          <w:between w:val="nil"/>
        </w:pBdr>
        <w:tabs>
          <w:tab w:val="left" w:pos="0"/>
          <w:tab w:val="left" w:pos="426"/>
        </w:tabs>
        <w:spacing w:line="360" w:lineRule="auto"/>
        <w:ind w:left="1134"/>
        <w:jc w:val="both"/>
        <w:rPr>
          <w:rFonts w:ascii="Palatino Linotype" w:eastAsia="Palatino Linotype" w:hAnsi="Palatino Linotype" w:cs="Palatino Linotype"/>
          <w:i/>
          <w:color w:val="000000" w:themeColor="text1"/>
        </w:rPr>
      </w:pPr>
    </w:p>
    <w:p w:rsidR="000B16AE" w:rsidRPr="003E5F7C" w:rsidRDefault="000B16AE" w:rsidP="003E5F7C">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0B16AE" w:rsidRPr="003E5F7C" w:rsidRDefault="000B16AE" w:rsidP="003E5F7C">
      <w:pPr>
        <w:numPr>
          <w:ilvl w:val="1"/>
          <w:numId w:val="1"/>
        </w:numPr>
        <w:pBdr>
          <w:top w:val="nil"/>
          <w:left w:val="nil"/>
          <w:bottom w:val="nil"/>
          <w:right w:val="nil"/>
          <w:between w:val="nil"/>
        </w:pBdr>
        <w:tabs>
          <w:tab w:val="left" w:pos="0"/>
          <w:tab w:val="left" w:pos="426"/>
        </w:tabs>
        <w:spacing w:before="240"/>
        <w:ind w:left="851" w:firstLine="0"/>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Módulo 1: Información contable y financiera;</w:t>
      </w:r>
    </w:p>
    <w:p w:rsidR="000B16AE" w:rsidRPr="003E5F7C" w:rsidRDefault="000B16AE" w:rsidP="003E5F7C">
      <w:pPr>
        <w:numPr>
          <w:ilvl w:val="1"/>
          <w:numId w:val="1"/>
        </w:numPr>
        <w:pBdr>
          <w:top w:val="nil"/>
          <w:left w:val="nil"/>
          <w:bottom w:val="nil"/>
          <w:right w:val="nil"/>
          <w:between w:val="nil"/>
        </w:pBdr>
        <w:tabs>
          <w:tab w:val="left" w:pos="0"/>
          <w:tab w:val="left" w:pos="426"/>
        </w:tabs>
        <w:ind w:left="851" w:firstLine="0"/>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Módulo 2: Información presupuestaria;</w:t>
      </w:r>
    </w:p>
    <w:p w:rsidR="000B16AE" w:rsidRPr="003E5F7C" w:rsidRDefault="000B16AE" w:rsidP="003E5F7C">
      <w:pPr>
        <w:numPr>
          <w:ilvl w:val="1"/>
          <w:numId w:val="1"/>
        </w:numPr>
        <w:pBdr>
          <w:top w:val="nil"/>
          <w:left w:val="nil"/>
          <w:bottom w:val="nil"/>
          <w:right w:val="nil"/>
          <w:between w:val="nil"/>
        </w:pBdr>
        <w:tabs>
          <w:tab w:val="left" w:pos="0"/>
          <w:tab w:val="left" w:pos="426"/>
        </w:tabs>
        <w:ind w:left="851" w:firstLine="0"/>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Módulo 3: Información programática; y</w:t>
      </w:r>
    </w:p>
    <w:p w:rsidR="000B16AE" w:rsidRPr="003E5F7C" w:rsidRDefault="000B16AE" w:rsidP="003E5F7C">
      <w:pPr>
        <w:numPr>
          <w:ilvl w:val="1"/>
          <w:numId w:val="1"/>
        </w:numPr>
        <w:pBdr>
          <w:top w:val="nil"/>
          <w:left w:val="nil"/>
          <w:bottom w:val="nil"/>
          <w:right w:val="nil"/>
          <w:between w:val="nil"/>
        </w:pBdr>
        <w:tabs>
          <w:tab w:val="left" w:pos="0"/>
          <w:tab w:val="left" w:pos="426"/>
        </w:tabs>
        <w:ind w:left="851" w:firstLine="0"/>
        <w:jc w:val="both"/>
        <w:rPr>
          <w:rFonts w:ascii="Palatino Linotype" w:eastAsia="Palatino Linotype" w:hAnsi="Palatino Linotype" w:cs="Palatino Linotype"/>
          <w:b/>
          <w:i/>
          <w:color w:val="000000" w:themeColor="text1"/>
        </w:rPr>
      </w:pPr>
      <w:r w:rsidRPr="003E5F7C">
        <w:rPr>
          <w:rFonts w:ascii="Palatino Linotype" w:eastAsia="Palatino Linotype" w:hAnsi="Palatino Linotype" w:cs="Palatino Linotype"/>
          <w:b/>
          <w:i/>
          <w:color w:val="000000" w:themeColor="text1"/>
        </w:rPr>
        <w:t>Módulo 4: Información administrativa.</w:t>
      </w:r>
    </w:p>
    <w:p w:rsidR="000B16AE" w:rsidRPr="003E5F7C" w:rsidRDefault="000B16AE" w:rsidP="003E5F7C">
      <w:pPr>
        <w:pBdr>
          <w:top w:val="nil"/>
          <w:left w:val="nil"/>
          <w:bottom w:val="nil"/>
          <w:right w:val="nil"/>
          <w:between w:val="nil"/>
        </w:pBdr>
        <w:tabs>
          <w:tab w:val="left" w:pos="0"/>
          <w:tab w:val="left" w:pos="426"/>
        </w:tabs>
        <w:spacing w:line="360" w:lineRule="auto"/>
        <w:ind w:left="1134"/>
        <w:jc w:val="both"/>
        <w:rPr>
          <w:rFonts w:ascii="Palatino Linotype" w:eastAsia="Palatino Linotype" w:hAnsi="Palatino Linotype" w:cs="Palatino Linotype"/>
          <w:b/>
          <w:i/>
          <w:color w:val="000000" w:themeColor="text1"/>
        </w:rPr>
      </w:pPr>
    </w:p>
    <w:p w:rsidR="000B16AE" w:rsidRPr="003E5F7C" w:rsidRDefault="000B16AE" w:rsidP="003E5F7C">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3E5F7C">
        <w:rPr>
          <w:rFonts w:ascii="Palatino Linotype" w:eastAsia="Palatino Linotype" w:hAnsi="Palatino Linotype" w:cs="Palatino Linotype"/>
          <w:b/>
          <w:color w:val="000000" w:themeColor="text1"/>
        </w:rPr>
        <w:t>“Políticas para la Integración del Informe Trimestral de los Sujetos de Fiscalización Municipales”</w:t>
      </w:r>
      <w:r w:rsidRPr="003E5F7C">
        <w:rPr>
          <w:rFonts w:ascii="Palatino Linotype" w:eastAsia="Palatino Linotype" w:hAnsi="Palatino Linotype" w:cs="Palatino Linotype"/>
          <w:color w:val="000000" w:themeColor="text1"/>
        </w:rPr>
        <w:t>, se compondrá de los siguientes documentos:</w:t>
      </w:r>
    </w:p>
    <w:p w:rsidR="000B16AE" w:rsidRPr="003E5F7C" w:rsidRDefault="000B16AE" w:rsidP="003E5F7C">
      <w:pP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object w:dxaOrig="477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189.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5" DrawAspect="Content" ObjectID="_1823934352" r:id="rId15"/>
        </w:object>
      </w:r>
    </w:p>
    <w:p w:rsidR="000B16AE" w:rsidRPr="003E5F7C" w:rsidRDefault="000B16AE" w:rsidP="003E5F7C">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p>
    <w:p w:rsidR="000B16AE" w:rsidRPr="003E5F7C" w:rsidRDefault="000B16AE" w:rsidP="003E5F7C">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En lo que corresponde al Submódulo de </w:t>
      </w:r>
      <w:r w:rsidRPr="003E5F7C">
        <w:rPr>
          <w:rFonts w:ascii="Palatino Linotype" w:eastAsia="Palatino Linotype" w:hAnsi="Palatino Linotype" w:cs="Palatino Linotype"/>
          <w:b/>
          <w:color w:val="000000" w:themeColor="text1"/>
        </w:rPr>
        <w:t>‘Nómina y Comprobantes Fiscales’,</w:t>
      </w:r>
      <w:r w:rsidRPr="003E5F7C">
        <w:rPr>
          <w:rFonts w:ascii="Palatino Linotype" w:eastAsia="Palatino Linotype" w:hAnsi="Palatino Linotype" w:cs="Palatino Linotype"/>
          <w:color w:val="000000" w:themeColor="text1"/>
        </w:rPr>
        <w:t xml:space="preserve"> se advierte que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deberá integrar, en formato </w:t>
      </w:r>
      <w:r w:rsidRPr="003E5F7C">
        <w:rPr>
          <w:rFonts w:ascii="Palatino Linotype" w:eastAsia="Palatino Linotype" w:hAnsi="Palatino Linotype" w:cs="Palatino Linotype"/>
          <w:i/>
          <w:color w:val="000000" w:themeColor="text1"/>
        </w:rPr>
        <w:t>.pdf</w:t>
      </w:r>
      <w:r w:rsidRPr="003E5F7C">
        <w:rPr>
          <w:rFonts w:ascii="Palatino Linotype" w:eastAsia="Palatino Linotype" w:hAnsi="Palatino Linotype" w:cs="Palatino Linotype"/>
          <w:color w:val="000000" w:themeColor="text1"/>
        </w:rPr>
        <w:t xml:space="preserve">, y de forma quincenal, el documento titulado </w:t>
      </w:r>
      <w:r w:rsidRPr="003E5F7C">
        <w:rPr>
          <w:rFonts w:ascii="Palatino Linotype" w:eastAsia="Palatino Linotype" w:hAnsi="Palatino Linotype" w:cs="Palatino Linotype"/>
          <w:b/>
          <w:color w:val="000000" w:themeColor="text1"/>
        </w:rPr>
        <w:t>Conciliación de Nómina Mensual</w:t>
      </w:r>
      <w:r w:rsidRPr="003E5F7C">
        <w:rPr>
          <w:rFonts w:ascii="Palatino Linotype" w:eastAsia="Palatino Linotype" w:hAnsi="Palatino Linotype" w:cs="Palatino Linotype"/>
          <w:color w:val="000000" w:themeColor="text1"/>
        </w:rPr>
        <w:t>; tal como lo establece el mapa de integración del Submódulo en comento:</w:t>
      </w:r>
    </w:p>
    <w:p w:rsidR="000B16AE" w:rsidRPr="003E5F7C" w:rsidRDefault="000B16AE" w:rsidP="003E5F7C">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themeColor="text1"/>
        </w:rPr>
      </w:pPr>
    </w:p>
    <w:p w:rsidR="000B16AE" w:rsidRPr="003E5F7C" w:rsidRDefault="000B16AE" w:rsidP="003E5F7C">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object w:dxaOrig="7650" w:dyaOrig="2205">
          <v:shape id="_x0000_i1026" type="#_x0000_t75" alt="" style="width:382.4pt;height:110.0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6" DrawAspect="Content" ObjectID="_1823934353" r:id="rId17"/>
        </w:object>
      </w:r>
      <w:r w:rsidRPr="003E5F7C">
        <w:rPr>
          <w:rFonts w:ascii="Palatino Linotype" w:hAnsi="Palatino Linotype"/>
          <w:noProof/>
          <w:color w:val="000000" w:themeColor="text1"/>
          <w:lang w:val="es-MX"/>
        </w:rPr>
        <mc:AlternateContent>
          <mc:Choice Requires="wps">
            <w:drawing>
              <wp:anchor distT="0" distB="0" distL="114300" distR="114300" simplePos="0" relativeHeight="251661312" behindDoc="0" locked="0" layoutInCell="1" hidden="0" allowOverlap="1" wp14:anchorId="54DC6503" wp14:editId="261C15D5">
                <wp:simplePos x="0" y="0"/>
                <wp:positionH relativeFrom="column">
                  <wp:posOffset>739775</wp:posOffset>
                </wp:positionH>
                <wp:positionV relativeFrom="paragraph">
                  <wp:posOffset>473075</wp:posOffset>
                </wp:positionV>
                <wp:extent cx="4489450" cy="254000"/>
                <wp:effectExtent l="0" t="0" r="0" b="0"/>
                <wp:wrapNone/>
                <wp:docPr id="65" name="Rectángulo 65"/>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rsidR="003E5F7C" w:rsidRDefault="003E5F7C" w:rsidP="000B16AE">
                            <w:pPr>
                              <w:textDirection w:val="btLr"/>
                            </w:pPr>
                          </w:p>
                        </w:txbxContent>
                      </wps:txbx>
                      <wps:bodyPr spcFirstLastPara="1" wrap="square" lIns="91425" tIns="91425" rIns="91425" bIns="91425" anchor="ctr" anchorCtr="0">
                        <a:noAutofit/>
                      </wps:bodyPr>
                    </wps:wsp>
                  </a:graphicData>
                </a:graphic>
              </wp:anchor>
            </w:drawing>
          </mc:Choice>
          <mc:Fallback>
            <w:pict>
              <v:rect w14:anchorId="54DC6503" id="Rectángulo 65" o:spid="_x0000_s1026" style="position:absolute;left:0;text-align:left;margin-left:58.25pt;margin-top:37.25pt;width:353.5pt;height:2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rsidR="003E5F7C" w:rsidRDefault="003E5F7C" w:rsidP="000B16AE">
                      <w:pPr>
                        <w:textDirection w:val="btLr"/>
                      </w:pPr>
                    </w:p>
                  </w:txbxContent>
                </v:textbox>
              </v:rect>
            </w:pict>
          </mc:Fallback>
        </mc:AlternateContent>
      </w:r>
    </w:p>
    <w:p w:rsidR="000B16AE" w:rsidRPr="003E5F7C" w:rsidRDefault="000B16AE" w:rsidP="003E5F7C">
      <w:pPr>
        <w:pBdr>
          <w:top w:val="nil"/>
          <w:left w:val="nil"/>
          <w:bottom w:val="nil"/>
          <w:right w:val="nil"/>
          <w:between w:val="nil"/>
        </w:pBdr>
        <w:tabs>
          <w:tab w:val="left" w:pos="0"/>
          <w:tab w:val="left" w:pos="426"/>
        </w:tabs>
        <w:spacing w:line="360" w:lineRule="auto"/>
        <w:rPr>
          <w:rFonts w:ascii="Palatino Linotype" w:eastAsia="Palatino Linotype" w:hAnsi="Palatino Linotype" w:cs="Palatino Linotype"/>
          <w:color w:val="000000" w:themeColor="text1"/>
        </w:rPr>
      </w:pPr>
    </w:p>
    <w:p w:rsidR="000B16AE" w:rsidRPr="003E5F7C" w:rsidRDefault="000B16AE" w:rsidP="003E5F7C">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Al respecto, conviene referir que la </w:t>
      </w:r>
      <w:r w:rsidRPr="003E5F7C">
        <w:rPr>
          <w:rFonts w:ascii="Palatino Linotype" w:eastAsia="Palatino Linotype" w:hAnsi="Palatino Linotype" w:cs="Palatino Linotype"/>
          <w:b/>
          <w:color w:val="000000" w:themeColor="text1"/>
        </w:rPr>
        <w:t>Conciliación de Nómina Mensual</w:t>
      </w:r>
      <w:r w:rsidRPr="003E5F7C">
        <w:rPr>
          <w:rFonts w:ascii="Palatino Linotype" w:eastAsia="Palatino Linotype" w:hAnsi="Palatino Linotype" w:cs="Palatino Linotype"/>
          <w:color w:val="000000" w:themeColor="text1"/>
        </w:rPr>
        <w:t xml:space="preserve"> es un documento en el que se detalla, entre otros, </w:t>
      </w:r>
      <w:r w:rsidRPr="003E5F7C">
        <w:rPr>
          <w:rFonts w:ascii="Palatino Linotype" w:eastAsia="Palatino Linotype" w:hAnsi="Palatino Linotype" w:cs="Palatino Linotype"/>
          <w:b/>
          <w:color w:val="000000" w:themeColor="text1"/>
        </w:rPr>
        <w:t xml:space="preserve">el nombre, puesto funcional, área de </w:t>
      </w:r>
      <w:r w:rsidRPr="003E5F7C">
        <w:rPr>
          <w:rFonts w:ascii="Palatino Linotype" w:eastAsia="Palatino Linotype" w:hAnsi="Palatino Linotype" w:cs="Palatino Linotype"/>
          <w:b/>
          <w:color w:val="000000" w:themeColor="text1"/>
        </w:rPr>
        <w:lastRenderedPageBreak/>
        <w:t>adscripción, categoría, así como todas las percepciones brutas y netas  y deducciones que recibe cada servidor público que labora en la entidad</w:t>
      </w:r>
      <w:r w:rsidRPr="003E5F7C">
        <w:rPr>
          <w:rFonts w:ascii="Palatino Linotype" w:eastAsia="Palatino Linotype" w:hAnsi="Palatino Linotype" w:cs="Palatino Linotype"/>
          <w:b/>
          <w:color w:val="000000" w:themeColor="text1"/>
          <w:vertAlign w:val="superscript"/>
        </w:rPr>
        <w:footnoteReference w:id="1"/>
      </w:r>
      <w:r w:rsidRPr="003E5F7C">
        <w:rPr>
          <w:rFonts w:ascii="Palatino Linotype" w:eastAsia="Palatino Linotype" w:hAnsi="Palatino Linotype" w:cs="Palatino Linotype"/>
          <w:color w:val="000000" w:themeColor="text1"/>
        </w:rPr>
        <w:t xml:space="preserve">. </w:t>
      </w:r>
    </w:p>
    <w:p w:rsidR="000B16AE" w:rsidRPr="003E5F7C" w:rsidRDefault="000B16AE" w:rsidP="003E5F7C">
      <w:pPr>
        <w:tabs>
          <w:tab w:val="left" w:pos="0"/>
        </w:tabs>
        <w:spacing w:line="360" w:lineRule="auto"/>
        <w:jc w:val="both"/>
        <w:rPr>
          <w:rFonts w:ascii="Palatino Linotype" w:eastAsia="Palatino Linotype" w:hAnsi="Palatino Linotype" w:cs="Palatino Linotype"/>
          <w:color w:val="000000" w:themeColor="text1"/>
        </w:rPr>
      </w:pPr>
    </w:p>
    <w:p w:rsidR="000B16AE" w:rsidRPr="003E5F7C" w:rsidRDefault="000B16AE" w:rsidP="003E5F7C">
      <w:pPr>
        <w:numPr>
          <w:ilvl w:val="0"/>
          <w:numId w:val="1"/>
        </w:num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0B16AE" w:rsidRPr="003E5F7C" w:rsidRDefault="000B16AE" w:rsidP="003E5F7C">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themeColor="text1"/>
        </w:rPr>
      </w:pPr>
    </w:p>
    <w:p w:rsidR="000B16AE" w:rsidRPr="003E5F7C" w:rsidRDefault="000B16AE" w:rsidP="003E5F7C">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7" DrawAspect="Content" ObjectID="_1823934354" r:id="rId19"/>
        </w:object>
      </w:r>
      <w:r w:rsidRPr="003E5F7C">
        <w:rPr>
          <w:rFonts w:ascii="Palatino Linotype" w:hAnsi="Palatino Linotype"/>
          <w:noProof/>
          <w:color w:val="000000" w:themeColor="text1"/>
          <w:lang w:val="es-MX"/>
        </w:rPr>
        <mc:AlternateContent>
          <mc:Choice Requires="wps">
            <w:drawing>
              <wp:anchor distT="0" distB="0" distL="114300" distR="114300" simplePos="0" relativeHeight="251662336" behindDoc="0" locked="0" layoutInCell="1" hidden="0" allowOverlap="1" wp14:anchorId="1E7E5BE1" wp14:editId="709795DC">
                <wp:simplePos x="0" y="0"/>
                <wp:positionH relativeFrom="column">
                  <wp:posOffset>3516313</wp:posOffset>
                </wp:positionH>
                <wp:positionV relativeFrom="paragraph">
                  <wp:posOffset>442913</wp:posOffset>
                </wp:positionV>
                <wp:extent cx="556700" cy="1458692"/>
                <wp:effectExtent l="0" t="0" r="0" b="0"/>
                <wp:wrapNone/>
                <wp:docPr id="66" name="Rectángulo 66"/>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3E5F7C" w:rsidRDefault="003E5F7C" w:rsidP="000B16AE">
                            <w:pPr>
                              <w:textDirection w:val="btLr"/>
                            </w:pPr>
                          </w:p>
                        </w:txbxContent>
                      </wps:txbx>
                      <wps:bodyPr spcFirstLastPara="1" wrap="square" lIns="91425" tIns="91425" rIns="91425" bIns="91425" anchor="ctr" anchorCtr="0">
                        <a:noAutofit/>
                      </wps:bodyPr>
                    </wps:wsp>
                  </a:graphicData>
                </a:graphic>
              </wp:anchor>
            </w:drawing>
          </mc:Choice>
          <mc:Fallback>
            <w:pict>
              <v:rect w14:anchorId="1E7E5BE1" id="Rectángulo 66" o:spid="_x0000_s1027" style="position:absolute;left:0;text-align:left;margin-left:276.9pt;margin-top:34.9pt;width:43.85pt;height:11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rsidR="003E5F7C" w:rsidRDefault="003E5F7C" w:rsidP="000B16AE">
                      <w:pPr>
                        <w:textDirection w:val="btLr"/>
                      </w:pPr>
                    </w:p>
                  </w:txbxContent>
                </v:textbox>
              </v:rect>
            </w:pict>
          </mc:Fallback>
        </mc:AlternateContent>
      </w:r>
      <w:r w:rsidRPr="003E5F7C">
        <w:rPr>
          <w:rFonts w:ascii="Palatino Linotype" w:hAnsi="Palatino Linotype"/>
          <w:noProof/>
          <w:color w:val="000000" w:themeColor="text1"/>
          <w:lang w:val="es-MX"/>
        </w:rPr>
        <mc:AlternateContent>
          <mc:Choice Requires="wps">
            <w:drawing>
              <wp:anchor distT="0" distB="0" distL="114300" distR="114300" simplePos="0" relativeHeight="251663360" behindDoc="0" locked="0" layoutInCell="1" hidden="0" allowOverlap="1" wp14:anchorId="025D11EF" wp14:editId="4785BEC9">
                <wp:simplePos x="0" y="0"/>
                <wp:positionH relativeFrom="column">
                  <wp:posOffset>2563813</wp:posOffset>
                </wp:positionH>
                <wp:positionV relativeFrom="paragraph">
                  <wp:posOffset>417513</wp:posOffset>
                </wp:positionV>
                <wp:extent cx="436855" cy="1458692"/>
                <wp:effectExtent l="0" t="0" r="0" b="0"/>
                <wp:wrapNone/>
                <wp:docPr id="3" name="Rectángulo 3"/>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3E5F7C" w:rsidRDefault="003E5F7C" w:rsidP="000B16AE">
                            <w:pPr>
                              <w:textDirection w:val="btLr"/>
                            </w:pPr>
                          </w:p>
                        </w:txbxContent>
                      </wps:txbx>
                      <wps:bodyPr spcFirstLastPara="1" wrap="square" lIns="91425" tIns="91425" rIns="91425" bIns="91425" anchor="ctr" anchorCtr="0">
                        <a:noAutofit/>
                      </wps:bodyPr>
                    </wps:wsp>
                  </a:graphicData>
                </a:graphic>
              </wp:anchor>
            </w:drawing>
          </mc:Choice>
          <mc:Fallback>
            <w:pict>
              <v:rect w14:anchorId="025D11EF" id="Rectángulo 3" o:spid="_x0000_s1028" style="position:absolute;left:0;text-align:left;margin-left:201.9pt;margin-top:32.9pt;width:34.4pt;height:11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" filled="f" strokecolor="red" strokeweight="2.25pt">
                <v:stroke startarrowwidth="narrow" startarrowlength="short" endarrowwidth="narrow" endarrowlength="short"/>
                <v:textbox inset="2.53958mm,2.53958mm,2.53958mm,2.53958mm">
                  <w:txbxContent>
                    <w:p w:rsidR="003E5F7C" w:rsidRDefault="003E5F7C" w:rsidP="000B16AE">
                      <w:pPr>
                        <w:textDirection w:val="btLr"/>
                      </w:pPr>
                    </w:p>
                  </w:txbxContent>
                </v:textbox>
              </v:rect>
            </w:pict>
          </mc:Fallback>
        </mc:AlternateContent>
      </w:r>
    </w:p>
    <w:p w:rsidR="000B16AE" w:rsidRPr="003E5F7C" w:rsidRDefault="000B16AE" w:rsidP="003E5F7C">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object w:dxaOrig="7665" w:dyaOrig="4500">
          <v:shape id="_x0000_i1028" type="#_x0000_t75" alt="" style="width:383.1pt;height:224.85pt;mso-width-percent:0;mso-height-percent:0;mso-width-percent:0;mso-height-percent:0"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Brush" ShapeID="_x0000_i1028" DrawAspect="Content" ObjectID="_1823934355" r:id="rId21"/>
        </w:object>
      </w:r>
    </w:p>
    <w:p w:rsidR="000B16AE" w:rsidRDefault="000B16AE" w:rsidP="003E5F7C">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object w:dxaOrig="7680" w:dyaOrig="2400">
          <v:shape id="_x0000_i1029" type="#_x0000_t75" alt="" style="width:383.75pt;height:120.25pt;mso-width-percent:0;mso-height-percent:0;mso-width-percent:0;mso-height-percent:0"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Brush" ShapeID="_x0000_i1029" DrawAspect="Content" ObjectID="_1823934356" r:id="rId23"/>
        </w:object>
      </w:r>
    </w:p>
    <w:p w:rsidR="00A11D56" w:rsidRPr="003E5F7C" w:rsidRDefault="00A11D56" w:rsidP="003E5F7C">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themeColor="text1"/>
        </w:rPr>
      </w:pPr>
    </w:p>
    <w:p w:rsidR="000B16AE" w:rsidRPr="003E5F7C"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De las imágenes anteriores, podemos identificar a la </w:t>
      </w:r>
      <w:r w:rsidRPr="003E5F7C">
        <w:rPr>
          <w:rFonts w:ascii="Palatino Linotype" w:eastAsia="Palatino Linotype" w:hAnsi="Palatino Linotype" w:cs="Palatino Linotype"/>
          <w:b/>
          <w:color w:val="000000" w:themeColor="text1"/>
        </w:rPr>
        <w:t>Conciliación de Nómina Mensual</w:t>
      </w:r>
      <w:r w:rsidRPr="003E5F7C">
        <w:rPr>
          <w:rFonts w:ascii="Palatino Linotype" w:eastAsia="Palatino Linotype" w:hAnsi="Palatino Linotype" w:cs="Palatino Linotype"/>
          <w:color w:val="000000" w:themeColor="text1"/>
        </w:rPr>
        <w:t xml:space="preserve"> como el documento que puede satisfacer los requerimientos del Particular, pues como se ha analizado en párrafos previos, </w:t>
      </w:r>
      <w:r w:rsidRPr="003E5F7C">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3E5F7C">
        <w:rPr>
          <w:rFonts w:ascii="Palatino Linotype" w:eastAsia="Palatino Linotype" w:hAnsi="Palatino Linotype" w:cs="Palatino Linotype"/>
          <w:color w:val="000000" w:themeColor="text1"/>
        </w:rPr>
        <w:t xml:space="preserve">, asimismo </w:t>
      </w:r>
      <w:r w:rsidRPr="003E5F7C">
        <w:rPr>
          <w:rFonts w:ascii="Palatino Linotype" w:eastAsia="Palatino Linotype" w:hAnsi="Palatino Linotype" w:cs="Palatino Linotype"/>
          <w:b/>
          <w:color w:val="000000" w:themeColor="text1"/>
        </w:rPr>
        <w:t xml:space="preserve">contiene la </w:t>
      </w:r>
      <w:r w:rsidRPr="003E5F7C">
        <w:rPr>
          <w:rFonts w:ascii="Palatino Linotype" w:eastAsia="Palatino Linotype" w:hAnsi="Palatino Linotype" w:cs="Palatino Linotype"/>
          <w:color w:val="000000" w:themeColor="text1"/>
        </w:rPr>
        <w:t>fecha de alta y fecha de baja de los servidores públicos;</w:t>
      </w:r>
      <w:r w:rsidRPr="003E5F7C">
        <w:rPr>
          <w:rFonts w:ascii="Palatino Linotype" w:eastAsia="Palatino Linotype" w:hAnsi="Palatino Linotype" w:cs="Palatino Linotype"/>
          <w:b/>
          <w:color w:val="000000" w:themeColor="text1"/>
        </w:rPr>
        <w:t xml:space="preserve"> su nombre; puesto; área de adscripción </w:t>
      </w:r>
      <w:r w:rsidRPr="003E5F7C">
        <w:rPr>
          <w:rFonts w:ascii="Palatino Linotype" w:eastAsia="Palatino Linotype" w:hAnsi="Palatino Linotype" w:cs="Palatino Linotype"/>
          <w:color w:val="000000" w:themeColor="text1"/>
        </w:rPr>
        <w:t>y</w:t>
      </w:r>
      <w:r w:rsidRPr="003E5F7C">
        <w:rPr>
          <w:rFonts w:ascii="Palatino Linotype" w:eastAsia="Palatino Linotype" w:hAnsi="Palatino Linotype" w:cs="Palatino Linotype"/>
          <w:b/>
          <w:color w:val="000000" w:themeColor="text1"/>
        </w:rPr>
        <w:t xml:space="preserve"> categoría.</w:t>
      </w:r>
    </w:p>
    <w:p w:rsidR="000B16AE" w:rsidRPr="003E5F7C" w:rsidRDefault="000B16AE"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FE28CB" w:rsidRDefault="000B16AE"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 xml:space="preserve">En atención a lo anterior, se ratifica que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la </w:t>
      </w:r>
      <w:r w:rsidRPr="003E5F7C">
        <w:rPr>
          <w:rFonts w:ascii="Palatino Linotype" w:eastAsia="Palatino Linotype" w:hAnsi="Palatino Linotype" w:cs="Palatino Linotype"/>
          <w:b/>
          <w:color w:val="000000" w:themeColor="text1"/>
        </w:rPr>
        <w:t>Conciliación de Nómina</w:t>
      </w:r>
      <w:r w:rsidRPr="003E5F7C">
        <w:rPr>
          <w:rFonts w:ascii="Palatino Linotype" w:eastAsia="Palatino Linotype" w:hAnsi="Palatino Linotype" w:cs="Palatino Linotype"/>
          <w:color w:val="000000" w:themeColor="text1"/>
        </w:rPr>
        <w:t xml:space="preserve">. </w:t>
      </w:r>
    </w:p>
    <w:p w:rsidR="003E5F7C" w:rsidRPr="003E5F7C" w:rsidRDefault="003E5F7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FE28CB" w:rsidRPr="003E5F7C" w:rsidRDefault="00FE28CB"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 xml:space="preserve">Ahora bien, relativo al </w:t>
      </w:r>
      <w:r w:rsidRPr="003E5F7C">
        <w:rPr>
          <w:rFonts w:ascii="Palatino Linotype" w:eastAsia="Palatino Linotype" w:hAnsi="Palatino Linotype" w:cs="Palatino Linotype"/>
          <w:b/>
          <w:color w:val="000000" w:themeColor="text1"/>
        </w:rPr>
        <w:t>punto 2</w:t>
      </w:r>
      <w:r w:rsidRPr="003E5F7C">
        <w:rPr>
          <w:rFonts w:ascii="Palatino Linotype" w:eastAsia="Palatino Linotype" w:hAnsi="Palatino Linotype" w:cs="Palatino Linotype"/>
          <w:color w:val="000000" w:themeColor="text1"/>
        </w:rPr>
        <w:t xml:space="preserve"> del cuadro descriptivo, relativo al informe y comprobantes de los gastos de feria 2025 organizada por el Ayuntamiento y la solicitud y aprobación por el cabildo de dichos gastos, se reitera que</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color w:val="000000" w:themeColor="text1"/>
        </w:rPr>
        <w:t xml:space="preserve">el Tesorero Municipal refirió poner a disposición la información solicitada de manera física en las oficinas de la Tesorería Municipal, </w:t>
      </w:r>
      <w:r w:rsidRPr="003E5F7C">
        <w:rPr>
          <w:rFonts w:ascii="Palatino Linotype" w:eastAsia="Palatino Linotype" w:hAnsi="Palatino Linotype" w:cs="Palatino Linotype"/>
          <w:b/>
          <w:color w:val="000000" w:themeColor="text1"/>
        </w:rPr>
        <w:t>derivado de la carga de trabajo en el área a su cargo y los tiempos establecidos en el requerimiento.</w:t>
      </w:r>
    </w:p>
    <w:p w:rsidR="000B16AE" w:rsidRPr="003E5F7C" w:rsidRDefault="000B16AE"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 xml:space="preserve">Precisado lo anterior, resulta viable establecer que a pesar de que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cuenta con la información solicitada, no garantizó el derecho de acceso a la información del Particular, toda vez que pretende realizar un cambio de modalidad para la entrega de la misma.</w:t>
      </w:r>
    </w:p>
    <w:p w:rsidR="00C9036C" w:rsidRPr="003E5F7C" w:rsidRDefault="00C9036C" w:rsidP="003E5F7C">
      <w:pPr>
        <w:pStyle w:val="Prrafodelista"/>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 xml:space="preserve">Por otro lado, cabe destacar que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no fundo ni motivo el cambio de modalidad para la entrega de la información, se limitó a referir que se haría entrega de esta vía consulta directa derivado de la carga de trabajo en el área a su cargo y los tiempos establecidos en el requerimiento.</w:t>
      </w:r>
    </w:p>
    <w:p w:rsidR="00C9036C" w:rsidRPr="003E5F7C" w:rsidRDefault="00C9036C" w:rsidP="003E5F7C">
      <w:pPr>
        <w:pStyle w:val="Prrafodelista"/>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Al respecto, conviene señalar la Ley de Transparencia y Acceso a la Información Pública del Estado de México y Municipios establece en los artículos 155 fracción V, 158 y 164 lo siguiente:</w:t>
      </w:r>
    </w:p>
    <w:p w:rsidR="00C9036C" w:rsidRPr="003E5F7C" w:rsidRDefault="00C9036C" w:rsidP="003E5F7C">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lastRenderedPageBreak/>
        <w:t>Artículo 155. Para presentar una solicitud por escrito, no se podrán exigir mayores requisitos que los siguientes:</w:t>
      </w: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I. a IV. …</w:t>
      </w: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V. La modalidad en la que prefiere se otorgue el acceso a la información</w:t>
      </w:r>
      <w:r w:rsidRPr="003E5F7C">
        <w:rPr>
          <w:rFonts w:ascii="Palatino Linotype" w:eastAsia="Palatino Linotype" w:hAnsi="Palatino Linotype" w:cs="Palatino Linotype"/>
          <w:i/>
          <w:color w:val="000000" w:themeColor="text1"/>
        </w:rPr>
        <w:t>, la cual podrá ser verbal, siempre y cuando sea para fines de orientación, mediante consulta directa, mediante la expedición de copias simples o certificadas o la reproducción en cualquier otro medio, incluidos los electrónicos</w:t>
      </w: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w:t>
      </w: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En todo caso, se facilitará su copia simple o certificada, así como su reproducción por cualquier medio disponible en las instalaciones del sujeto obligado o que, en su caso, aporte el solicitante</w:t>
      </w: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p>
    <w:p w:rsidR="00C9036C" w:rsidRPr="003E5F7C" w:rsidRDefault="00C9036C" w:rsidP="003E5F7C">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rsidR="00C9036C" w:rsidRPr="003E5F7C" w:rsidRDefault="00C9036C" w:rsidP="003E5F7C">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pStyle w:val="Prrafodelista"/>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rsidR="00C9036C" w:rsidRPr="003E5F7C" w:rsidRDefault="00C9036C" w:rsidP="003E5F7C">
      <w:pPr>
        <w:pStyle w:val="Prrafodelista"/>
        <w:pBdr>
          <w:top w:val="nil"/>
          <w:left w:val="nil"/>
          <w:bottom w:val="nil"/>
          <w:right w:val="nil"/>
          <w:between w:val="nil"/>
        </w:pBdr>
        <w:tabs>
          <w:tab w:val="left" w:pos="0"/>
          <w:tab w:val="left" w:pos="426"/>
          <w:tab w:val="left" w:pos="567"/>
        </w:tabs>
        <w:spacing w:line="360" w:lineRule="auto"/>
        <w:ind w:left="0"/>
        <w:jc w:val="both"/>
        <w:rPr>
          <w:rFonts w:ascii="Palatino Linotype" w:eastAsia="Palatino Linotype" w:hAnsi="Palatino Linotype" w:cs="Palatino Linotype"/>
          <w:color w:val="000000" w:themeColor="text1"/>
        </w:rPr>
      </w:pPr>
    </w:p>
    <w:p w:rsidR="00C9036C" w:rsidRPr="003E5F7C" w:rsidRDefault="00C9036C" w:rsidP="003E5F7C">
      <w:pPr>
        <w:pStyle w:val="Prrafodelista"/>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Es necesario precisar que la Ley en la materia establece que, </w:t>
      </w:r>
      <w:r w:rsidRPr="003E5F7C">
        <w:rPr>
          <w:rFonts w:ascii="Palatino Linotype" w:eastAsia="Palatino Linotype" w:hAnsi="Palatino Linotype" w:cs="Palatino Linotype"/>
          <w:i/>
          <w:color w:val="000000" w:themeColor="text1"/>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3E5F7C">
        <w:rPr>
          <w:rFonts w:ascii="Palatino Linotype" w:eastAsia="Palatino Linotype" w:hAnsi="Palatino Linotype" w:cs="Palatino Linotype"/>
          <w:b/>
          <w:i/>
          <w:color w:val="000000" w:themeColor="text1"/>
        </w:rPr>
        <w:t xml:space="preserve">sobrepase las capacidades técnicas administrativas </w:t>
      </w:r>
      <w:r w:rsidRPr="003E5F7C">
        <w:rPr>
          <w:rFonts w:ascii="Palatino Linotype" w:eastAsia="Palatino Linotype" w:hAnsi="Palatino Linotype" w:cs="Palatino Linotype"/>
          <w:b/>
          <w:i/>
          <w:color w:val="000000" w:themeColor="text1"/>
        </w:rPr>
        <w:lastRenderedPageBreak/>
        <w:t>y humanas</w:t>
      </w:r>
      <w:r w:rsidRPr="003E5F7C">
        <w:rPr>
          <w:rFonts w:ascii="Palatino Linotype" w:eastAsia="Palatino Linotype" w:hAnsi="Palatino Linotype" w:cs="Palatino Linotype"/>
          <w:i/>
          <w:color w:val="000000" w:themeColor="text1"/>
        </w:rPr>
        <w:t xml:space="preserve"> del sujeto obligado para cumplir con la solicitud, en los plazos establecidos para dichos efectos, se podrá poner a disposición del solicitante los documentos en consulta directa, salvo la información clasificada.</w:t>
      </w:r>
    </w:p>
    <w:p w:rsidR="00C9036C" w:rsidRPr="003E5F7C" w:rsidRDefault="00C9036C" w:rsidP="003E5F7C">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3E5F7C">
        <w:rPr>
          <w:rFonts w:ascii="Palatino Linotype" w:eastAsia="Palatino Linotype" w:hAnsi="Palatino Linotype" w:cs="Palatino Linotype"/>
          <w:b/>
          <w:color w:val="000000" w:themeColor="text1"/>
        </w:rPr>
        <w:t>eficiencia organizacional para efectuar funciones esenciales</w:t>
      </w:r>
      <w:r w:rsidRPr="003E5F7C">
        <w:rPr>
          <w:rFonts w:ascii="Palatino Linotype" w:eastAsia="Palatino Linotype" w:hAnsi="Palatino Linotype" w:cs="Palatino Linotype"/>
          <w:color w:val="000000" w:themeColor="text1"/>
        </w:rPr>
        <w:t>.</w:t>
      </w:r>
    </w:p>
    <w:p w:rsidR="00C9036C" w:rsidRPr="003E5F7C" w:rsidRDefault="00C9036C" w:rsidP="003E5F7C">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C9036C" w:rsidRPr="003E5F7C" w:rsidRDefault="00C9036C" w:rsidP="003E5F7C">
      <w:pPr>
        <w:pStyle w:val="Prrafodelista"/>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rsidR="00C9036C" w:rsidRPr="003E5F7C" w:rsidRDefault="00C9036C" w:rsidP="003E5F7C">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Desde una perspectiva institucional, la </w:t>
      </w:r>
      <w:r w:rsidRPr="003E5F7C">
        <w:rPr>
          <w:rFonts w:ascii="Palatino Linotype" w:eastAsia="Palatino Linotype" w:hAnsi="Palatino Linotype" w:cs="Palatino Linotype"/>
          <w:b/>
          <w:color w:val="000000" w:themeColor="text1"/>
        </w:rPr>
        <w:t>capacidad administrativa</w:t>
      </w:r>
      <w:r w:rsidRPr="003E5F7C">
        <w:rPr>
          <w:rFonts w:ascii="Palatino Linotype" w:eastAsia="Palatino Linotype" w:hAnsi="Palatino Linotype" w:cs="Palatino Linotype"/>
          <w:color w:val="000000" w:themeColor="text1"/>
        </w:rPr>
        <w:t xml:space="preserve"> es entendida como “</w:t>
      </w:r>
      <w:r w:rsidRPr="003E5F7C">
        <w:rPr>
          <w:rFonts w:ascii="Palatino Linotype" w:eastAsia="Palatino Linotype" w:hAnsi="Palatino Linotype" w:cs="Palatino Linotype"/>
          <w:i/>
          <w:color w:val="000000" w:themeColor="text1"/>
        </w:rPr>
        <w:t xml:space="preserve">las habilidades técnico-burocráticas del aparato estatal requeridas para alcanzar sus objetos. En este componente se ubican el nivel micro y meso de la Capacidad Institucional. El </w:t>
      </w:r>
      <w:r w:rsidRPr="003E5F7C">
        <w:rPr>
          <w:rFonts w:ascii="Palatino Linotype" w:eastAsia="Palatino Linotype" w:hAnsi="Palatino Linotype" w:cs="Palatino Linotype"/>
          <w:b/>
          <w:i/>
          <w:color w:val="000000" w:themeColor="text1"/>
        </w:rPr>
        <w:t>primero</w:t>
      </w:r>
      <w:r w:rsidRPr="003E5F7C">
        <w:rPr>
          <w:rFonts w:ascii="Palatino Linotype" w:eastAsia="Palatino Linotype" w:hAnsi="Palatino Linotype" w:cs="Palatino Linotype"/>
          <w:i/>
          <w:color w:val="000000" w:themeColor="text1"/>
        </w:rPr>
        <w:t xml:space="preserve"> hace alusión al individuo, al </w:t>
      </w:r>
      <w:r w:rsidRPr="003E5F7C">
        <w:rPr>
          <w:rFonts w:ascii="Palatino Linotype" w:eastAsia="Palatino Linotype" w:hAnsi="Palatino Linotype" w:cs="Palatino Linotype"/>
          <w:b/>
          <w:i/>
          <w:color w:val="000000" w:themeColor="text1"/>
        </w:rPr>
        <w:t>recurso humano</w:t>
      </w:r>
      <w:r w:rsidRPr="003E5F7C">
        <w:rPr>
          <w:rFonts w:ascii="Palatino Linotype" w:eastAsia="Palatino Linotype" w:hAnsi="Palatino Linotype" w:cs="Palatino Linotype"/>
          <w:i/>
          <w:color w:val="000000" w:themeColor="text1"/>
        </w:rPr>
        <w:t xml:space="preserve">. En el segundo nivel, se ubica la </w:t>
      </w:r>
      <w:r w:rsidRPr="003E5F7C">
        <w:rPr>
          <w:rFonts w:ascii="Palatino Linotype" w:eastAsia="Palatino Linotype" w:hAnsi="Palatino Linotype" w:cs="Palatino Linotype"/>
          <w:b/>
          <w:i/>
          <w:color w:val="000000" w:themeColor="text1"/>
        </w:rPr>
        <w:t>capacidad de gestión</w:t>
      </w:r>
      <w:r w:rsidRPr="003E5F7C">
        <w:rPr>
          <w:rFonts w:ascii="Palatino Linotype" w:eastAsia="Palatino Linotype" w:hAnsi="Palatino Linotype" w:cs="Palatino Linotype"/>
          <w:i/>
          <w:color w:val="000000" w:themeColor="text1"/>
        </w:rPr>
        <w:t>, el cual se centra en el fortalecimiento organizacional como área de intervención para construir capacidad; cultura organizacional, sistemas de comunicación u organización</w:t>
      </w:r>
      <w:r w:rsidRPr="003E5F7C">
        <w:rPr>
          <w:rFonts w:ascii="Palatino Linotype" w:eastAsia="Palatino Linotype" w:hAnsi="Palatino Linotype" w:cs="Palatino Linotype"/>
          <w:color w:val="000000" w:themeColor="text1"/>
        </w:rPr>
        <w:t>”</w:t>
      </w:r>
      <w:r w:rsidRPr="003E5F7C">
        <w:rPr>
          <w:rFonts w:ascii="Palatino Linotype" w:eastAsia="Palatino Linotype" w:hAnsi="Palatino Linotype" w:cs="Palatino Linotype"/>
          <w:i/>
          <w:color w:val="000000" w:themeColor="text1"/>
          <w:vertAlign w:val="superscript"/>
        </w:rPr>
        <w:t xml:space="preserve"> </w:t>
      </w:r>
      <w:r w:rsidRPr="003E5F7C">
        <w:rPr>
          <w:rFonts w:ascii="Palatino Linotype" w:eastAsia="Palatino Linotype" w:hAnsi="Palatino Linotype" w:cs="Palatino Linotype"/>
          <w:color w:val="000000" w:themeColor="text1"/>
          <w:vertAlign w:val="superscript"/>
        </w:rPr>
        <w:footnoteReference w:id="2"/>
      </w:r>
      <w:r w:rsidRPr="003E5F7C">
        <w:rPr>
          <w:rFonts w:ascii="Palatino Linotype" w:eastAsia="Palatino Linotype" w:hAnsi="Palatino Linotype" w:cs="Palatino Linotype"/>
          <w:color w:val="000000" w:themeColor="text1"/>
        </w:rPr>
        <w:t xml:space="preserve">. </w:t>
      </w:r>
    </w:p>
    <w:p w:rsidR="00C9036C" w:rsidRPr="003E5F7C" w:rsidRDefault="00C9036C" w:rsidP="003E5F7C">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Hasta aquí, se tiene que la capacidad administrativa señala los recursos humanos y organizacionales, donde los organizacionales, además de englobar recursos humanos, </w:t>
      </w:r>
      <w:r w:rsidRPr="003E5F7C">
        <w:rPr>
          <w:rFonts w:ascii="Palatino Linotype" w:eastAsia="Palatino Linotype" w:hAnsi="Palatino Linotype" w:cs="Palatino Linotype"/>
          <w:color w:val="000000" w:themeColor="text1"/>
        </w:rPr>
        <w:lastRenderedPageBreak/>
        <w:t xml:space="preserve">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rsidR="00C9036C" w:rsidRPr="003E5F7C" w:rsidRDefault="00C9036C" w:rsidP="003E5F7C">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Ahora bien, respecto de las capacidades humanas, vale la pena precisar lo que se denomina por </w:t>
      </w:r>
      <w:r w:rsidRPr="003E5F7C">
        <w:rPr>
          <w:rFonts w:ascii="Palatino Linotype" w:eastAsia="Palatino Linotype" w:hAnsi="Palatino Linotype" w:cs="Palatino Linotype"/>
          <w:b/>
          <w:i/>
          <w:color w:val="000000" w:themeColor="text1"/>
        </w:rPr>
        <w:t>recursos humanos</w:t>
      </w:r>
      <w:r w:rsidRPr="003E5F7C">
        <w:rPr>
          <w:rFonts w:ascii="Palatino Linotype" w:eastAsia="Palatino Linotype" w:hAnsi="Palatino Linotype" w:cs="Palatino Linotype"/>
          <w:color w:val="000000" w:themeColor="text1"/>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rsidR="00C9036C" w:rsidRPr="003E5F7C" w:rsidRDefault="00C9036C" w:rsidP="003E5F7C">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Es así como, 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pretendió realizar el cambio de modalidad ofreciendo consulta directa, por ello, es necesario traer a contexto el Criterio número 8/2013 del entonces Instituto Federal de Acceso a la Información, cuyo texto y sentido literal es el siguiente:</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Cuando exista impedimento justificado de atender la modalidad de entrega elegida por el solicitante, procede ofrecer todas las demás opciones previstas en la Ley.</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i/>
          <w:color w:val="000000" w:themeColor="text1"/>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3E5F7C">
        <w:rPr>
          <w:rFonts w:ascii="Palatino Linotype" w:eastAsia="Palatino Linotype" w:hAnsi="Palatino Linotype" w:cs="Palatino Linotype"/>
          <w:i/>
          <w:color w:val="000000" w:themeColor="text1"/>
        </w:rPr>
        <w:t xml:space="preserve">, salvo que exista </w:t>
      </w:r>
      <w:r w:rsidRPr="003E5F7C">
        <w:rPr>
          <w:rFonts w:ascii="Palatino Linotype" w:eastAsia="Palatino Linotype" w:hAnsi="Palatino Linotype" w:cs="Palatino Linotype"/>
          <w:i/>
          <w:color w:val="000000" w:themeColor="text1"/>
        </w:rPr>
        <w:lastRenderedPageBreak/>
        <w:t xml:space="preserve">un impedimento justificado para atenderla, en cuyo caso, deberán exponerse las razones por las cuales no es posible utilizar el medio de reproducción solicitado. </w:t>
      </w:r>
      <w:r w:rsidRPr="003E5F7C">
        <w:rPr>
          <w:rFonts w:ascii="Palatino Linotype" w:eastAsia="Palatino Linotype" w:hAnsi="Palatino Linotype" w:cs="Palatino Linotype"/>
          <w:i/>
          <w:color w:val="000000" w:themeColor="text1"/>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3E5F7C">
        <w:rPr>
          <w:rFonts w:ascii="Palatino Linotype" w:eastAsia="Palatino Linotype" w:hAnsi="Palatino Linotype" w:cs="Palatino Linotype"/>
          <w:i/>
          <w:color w:val="000000" w:themeColor="text1"/>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Resoluciones </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RDA 2012/12. Interpuesto en contra de la Secretaría de Comunicaciones y Transportes. Comisionada Ponente Jacqueline Peschard Mariscal. </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RDA 0973/12. Interpuesto en contra de la Secretaría de Educación Pública. Comisionada Ponente Sigrid Arzt Colunga. </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RDA 0112/12. Interpuesto en contra de Petróleos Mexicanos. Comisionado Ponente Ángel Trinidad Zaldívar. </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 xml:space="preserve">RDA 0085/12. Interpuesto en contra del Instituto Nacional de Ciencias Médicas y Nutrición Salvador Zubirán. Comisionada Ponente Sigrid Arzt Colunga. </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3068/11. Interpuesto en contra de la Presidencia de la República. Comisionada Ponente María Elena Pérez-Jaén Zermeño. “</w:t>
      </w:r>
    </w:p>
    <w:p w:rsidR="00C9036C" w:rsidRPr="003E5F7C" w:rsidRDefault="00C9036C" w:rsidP="003E5F7C">
      <w:pPr>
        <w:tabs>
          <w:tab w:val="left" w:pos="0"/>
        </w:tabs>
        <w:ind w:left="426"/>
        <w:jc w:val="both"/>
        <w:rPr>
          <w:rFonts w:ascii="Palatino Linotype" w:eastAsia="Palatino Linotype" w:hAnsi="Palatino Linotype" w:cs="Palatino Linotype"/>
          <w:i/>
          <w:color w:val="000000" w:themeColor="text1"/>
        </w:rPr>
      </w:pPr>
    </w:p>
    <w:p w:rsidR="00C9036C" w:rsidRDefault="00C9036C" w:rsidP="003E5F7C">
      <w:pPr>
        <w:tabs>
          <w:tab w:val="left" w:pos="0"/>
        </w:tabs>
        <w:ind w:left="426"/>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Criterio 02/2004 INFORMACIÓN DISPERSA</w:t>
      </w:r>
      <w:r w:rsidRPr="003E5F7C">
        <w:rPr>
          <w:rFonts w:ascii="Palatino Linotype" w:eastAsia="Palatino Linotype" w:hAnsi="Palatino Linotype" w:cs="Palatino Linotype"/>
          <w:b/>
          <w:color w:val="000000" w:themeColor="text1"/>
        </w:rPr>
        <w:t xml:space="preserve"> </w:t>
      </w:r>
      <w:r w:rsidRPr="003E5F7C">
        <w:rPr>
          <w:rFonts w:ascii="Palatino Linotype" w:eastAsia="Palatino Linotype" w:hAnsi="Palatino Linotype" w:cs="Palatino Linotype"/>
          <w:b/>
          <w:i/>
          <w:color w:val="000000" w:themeColor="text1"/>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3E5F7C">
        <w:rPr>
          <w:rFonts w:ascii="Palatino Linotype" w:eastAsia="Palatino Linotype" w:hAnsi="Palatino Linotype" w:cs="Palatino Linotype"/>
          <w:i/>
          <w:color w:val="000000" w:themeColor="text1"/>
        </w:rPr>
        <w:t xml:space="preserve"> </w:t>
      </w:r>
      <w:r w:rsidRPr="003E5F7C">
        <w:rPr>
          <w:rFonts w:ascii="Palatino Linotype" w:eastAsia="Palatino Linotype" w:hAnsi="Palatino Linotype" w:cs="Palatino Linotype"/>
          <w:i/>
          <w:color w:val="000000" w:themeColor="text1"/>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3E5F7C">
        <w:rPr>
          <w:rFonts w:ascii="Palatino Linotype" w:eastAsia="Palatino Linotype" w:hAnsi="Palatino Linotype" w:cs="Palatino Linotype"/>
          <w:i/>
          <w:color w:val="000000" w:themeColor="text1"/>
        </w:rPr>
        <w:t xml:space="preserve">como lo prevé el artículo 29 del Reglamento de la Suprema Corte de Justicia de la Nación y del Consejo de la Judicatura Federal para la aplicación de la Ley Federal de Transparencia y Acceso a la Información Pública </w:t>
      </w:r>
      <w:r w:rsidRPr="003E5F7C">
        <w:rPr>
          <w:rFonts w:ascii="Palatino Linotype" w:eastAsia="Palatino Linotype" w:hAnsi="Palatino Linotype" w:cs="Palatino Linotype"/>
          <w:i/>
          <w:color w:val="000000" w:themeColor="text1"/>
        </w:rPr>
        <w:lastRenderedPageBreak/>
        <w:t xml:space="preserve">Gubernamental, </w:t>
      </w:r>
      <w:r w:rsidRPr="003E5F7C">
        <w:rPr>
          <w:rFonts w:ascii="Palatino Linotype" w:eastAsia="Palatino Linotype" w:hAnsi="Palatino Linotype" w:cs="Palatino Linotype"/>
          <w:i/>
          <w:color w:val="000000" w:themeColor="text1"/>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3E5F7C">
        <w:rPr>
          <w:rFonts w:ascii="Palatino Linotype" w:eastAsia="Palatino Linotype" w:hAnsi="Palatino Linotype" w:cs="Palatino Linotype"/>
          <w:i/>
          <w:color w:val="000000" w:themeColor="text1"/>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3E5F7C" w:rsidRDefault="003E5F7C" w:rsidP="003E5F7C">
      <w:pPr>
        <w:tabs>
          <w:tab w:val="left" w:pos="0"/>
        </w:tabs>
        <w:ind w:left="426"/>
        <w:jc w:val="both"/>
        <w:rPr>
          <w:rFonts w:ascii="Palatino Linotype" w:eastAsia="Palatino Linotype" w:hAnsi="Palatino Linotype" w:cs="Palatino Linotype"/>
          <w:i/>
          <w:color w:val="000000" w:themeColor="text1"/>
        </w:rPr>
      </w:pPr>
    </w:p>
    <w:p w:rsidR="00A11D56" w:rsidRPr="003E5F7C" w:rsidRDefault="00A11D56" w:rsidP="003E5F7C">
      <w:pPr>
        <w:tabs>
          <w:tab w:val="left" w:pos="0"/>
        </w:tabs>
        <w:ind w:left="426"/>
        <w:jc w:val="both"/>
        <w:rPr>
          <w:rFonts w:ascii="Palatino Linotype" w:eastAsia="Palatino Linotype" w:hAnsi="Palatino Linotype" w:cs="Palatino Linotype"/>
          <w:i/>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Los criterios refieren puntualmente que, cuando exista </w:t>
      </w:r>
      <w:r w:rsidRPr="003E5F7C">
        <w:rPr>
          <w:rFonts w:ascii="Palatino Linotype" w:eastAsia="Palatino Linotype" w:hAnsi="Palatino Linotype" w:cs="Palatino Linotype"/>
          <w:b/>
          <w:color w:val="000000" w:themeColor="text1"/>
        </w:rPr>
        <w:t xml:space="preserve">impedimento justificado </w:t>
      </w:r>
      <w:r w:rsidRPr="003E5F7C">
        <w:rPr>
          <w:rFonts w:ascii="Palatino Linotype" w:eastAsia="Palatino Linotype" w:hAnsi="Palatino Linotype" w:cs="Palatino Linotype"/>
          <w:color w:val="000000" w:themeColor="text1"/>
        </w:rPr>
        <w:t>para entregar la información solicitada, sólo entonces se procederá a ofrecer otras modalidades, situación que no aconteció en el presente caso.</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En consecuencia, resulta dable </w:t>
      </w:r>
      <w:r w:rsidRPr="003E5F7C">
        <w:rPr>
          <w:rFonts w:ascii="Palatino Linotype" w:eastAsia="Palatino Linotype" w:hAnsi="Palatino Linotype" w:cs="Palatino Linotype"/>
          <w:b/>
          <w:color w:val="000000" w:themeColor="text1"/>
        </w:rPr>
        <w:t>ORDENAR</w:t>
      </w:r>
      <w:r w:rsidRPr="003E5F7C">
        <w:rPr>
          <w:rFonts w:ascii="Palatino Linotype" w:eastAsia="Palatino Linotype" w:hAnsi="Palatino Linotype" w:cs="Palatino Linotype"/>
          <w:color w:val="000000" w:themeColor="text1"/>
        </w:rPr>
        <w:t xml:space="preserve"> la entrega de la información vía </w:t>
      </w:r>
      <w:r w:rsidRPr="003E5F7C">
        <w:rPr>
          <w:rFonts w:ascii="Palatino Linotype" w:eastAsia="Palatino Linotype" w:hAnsi="Palatino Linotype" w:cs="Palatino Linotype"/>
          <w:b/>
          <w:color w:val="000000" w:themeColor="text1"/>
        </w:rPr>
        <w:t>SAIMEX</w:t>
      </w:r>
      <w:r w:rsidRPr="003E5F7C">
        <w:rPr>
          <w:rFonts w:ascii="Palatino Linotype" w:eastAsia="Palatino Linotype" w:hAnsi="Palatino Linotype" w:cs="Palatino Linotype"/>
          <w:color w:val="000000" w:themeColor="text1"/>
        </w:rPr>
        <w:t>, de ser procedente en versión pública.</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9036C" w:rsidRPr="003E5F7C" w:rsidRDefault="00C9036C" w:rsidP="003E5F7C">
      <w:pPr>
        <w:tabs>
          <w:tab w:val="left" w:pos="0"/>
        </w:tabs>
        <w:ind w:left="567"/>
        <w:jc w:val="both"/>
        <w:rPr>
          <w:rFonts w:ascii="Palatino Linotype" w:eastAsia="Palatino Linotype" w:hAnsi="Palatino Linotype" w:cs="Palatino Linotype"/>
          <w:b/>
          <w:i/>
          <w:color w:val="000000" w:themeColor="text1"/>
        </w:rPr>
      </w:pPr>
      <w:r w:rsidRPr="003E5F7C">
        <w:rPr>
          <w:rFonts w:ascii="Palatino Linotype" w:eastAsia="Palatino Linotype" w:hAnsi="Palatino Linotype" w:cs="Palatino Linotype"/>
          <w:b/>
          <w:i/>
          <w:color w:val="000000" w:themeColor="text1"/>
        </w:rPr>
        <w:t>“CRITERIO 0002-11</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3E5F7C">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w:t>
      </w:r>
      <w:r w:rsidRPr="003E5F7C">
        <w:rPr>
          <w:rFonts w:ascii="Palatino Linotype" w:eastAsia="Palatino Linotype" w:hAnsi="Palatino Linotype" w:cs="Palatino Linotype"/>
          <w:i/>
          <w:color w:val="000000" w:themeColor="text1"/>
        </w:rPr>
        <w:lastRenderedPageBreak/>
        <w:t>archivos, registros y documentos públicos, administrados, generados o en posesión de los órganos u organismos públicos, en virtud del ejercicio de sus funciones de derecho público, sin importar su fuente, soporte o fecha de elaboración.</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 xml:space="preserve">XI. Documento: </w:t>
      </w:r>
      <w:r w:rsidRPr="003E5F7C">
        <w:rPr>
          <w:rFonts w:ascii="Palatino Linotype" w:eastAsia="Palatino Linotype" w:hAnsi="Palatino Linotype" w:cs="Palatino Linotype"/>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9036C" w:rsidRDefault="00C9036C" w:rsidP="003E5F7C">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A11D56" w:rsidRPr="003E5F7C" w:rsidRDefault="00A11D56" w:rsidP="003E5F7C">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Resulta necesario referir que, el artículo 6° apartado A fracción I, de la Constitución Política de los Estados Unidos Mexicanos, artículo 5 fracción I de la Constitución Política </w:t>
      </w:r>
      <w:r w:rsidRPr="003E5F7C">
        <w:rPr>
          <w:rFonts w:ascii="Palatino Linotype" w:eastAsia="Palatino Linotype" w:hAnsi="Palatino Linotype" w:cs="Palatino Linotype"/>
          <w:color w:val="000000" w:themeColor="text1"/>
        </w:rPr>
        <w:lastRenderedPageBreak/>
        <w:t xml:space="preserve">del Estado Libre y Soberano de México y el artículo 18 de la Ley de Transparencia y Acceso a la Información Pública del Estado de México y Municipios, guardan una estrecha relación, puesto que los ordenamientos citados concurren refiriendo que </w:t>
      </w:r>
      <w:r w:rsidRPr="003E5F7C">
        <w:rPr>
          <w:rFonts w:ascii="Palatino Linotype" w:eastAsia="Palatino Linotype" w:hAnsi="Palatino Linotype" w:cs="Palatino Linotype"/>
          <w:b/>
          <w:color w:val="000000" w:themeColor="text1"/>
        </w:rPr>
        <w:t>los Sujetos Obligados deberán documentar todo acto que se derive del ejercicio de sus facultades, competencias o funciones,</w:t>
      </w:r>
      <w:r w:rsidRPr="003E5F7C">
        <w:rPr>
          <w:rFonts w:ascii="Palatino Linotype" w:eastAsia="Palatino Linotype" w:hAnsi="Palatino Linotype" w:cs="Palatino Linotype"/>
          <w:color w:val="000000" w:themeColor="text1"/>
        </w:rPr>
        <w:t xml:space="preserve"> considerando desde su origen la eventual publicidad y reutilización de la información que generen, posean o administren.</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 xml:space="preserve">Artículo 4. </w:t>
      </w:r>
      <w:r w:rsidRPr="003E5F7C">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w:t>
      </w:r>
      <w:r w:rsidRPr="003E5F7C">
        <w:rPr>
          <w:rFonts w:ascii="Palatino Linotype" w:eastAsia="Palatino Linotype" w:hAnsi="Palatino Linotype" w:cs="Palatino Linotype"/>
          <w:color w:val="000000" w:themeColor="text1"/>
        </w:rPr>
        <w:lastRenderedPageBreak/>
        <w:t>en su posesión en estricto apego a los principios de eficacia</w:t>
      </w:r>
      <w:r w:rsidRPr="003E5F7C">
        <w:rPr>
          <w:rFonts w:ascii="Palatino Linotype" w:hAnsi="Palatino Linotype"/>
          <w:color w:val="000000" w:themeColor="text1"/>
          <w:vertAlign w:val="superscript"/>
        </w:rPr>
        <w:footnoteReference w:id="3"/>
      </w:r>
      <w:r w:rsidRPr="003E5F7C">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86E74" w:rsidRPr="003E5F7C" w:rsidRDefault="00B05C77" w:rsidP="003E5F7C">
      <w:pPr>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QUINTO. VERSIÓN PÚBLICA.</w:t>
      </w:r>
    </w:p>
    <w:p w:rsidR="00D86E74" w:rsidRPr="003E5F7C" w:rsidRDefault="00B05C77" w:rsidP="003E5F7C">
      <w:pPr>
        <w:keepNext/>
        <w:keepLines/>
        <w:numPr>
          <w:ilvl w:val="0"/>
          <w:numId w:val="2"/>
        </w:numPr>
        <w:tabs>
          <w:tab w:val="left" w:pos="0"/>
        </w:tabs>
        <w:spacing w:line="360" w:lineRule="auto"/>
        <w:ind w:left="284" w:firstLine="0"/>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 xml:space="preserve">Nociones generales. </w:t>
      </w: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Debe destacarse que, debido a la naturaleza de la información solicitada</w:t>
      </w:r>
      <w:r w:rsidRPr="003E5F7C">
        <w:rPr>
          <w:rFonts w:ascii="Palatino Linotype" w:eastAsia="Palatino Linotype" w:hAnsi="Palatino Linotype" w:cs="Palatino Linotype"/>
          <w:b/>
          <w:color w:val="000000" w:themeColor="text1"/>
        </w:rPr>
        <w:t xml:space="preserve">, </w:t>
      </w:r>
      <w:r w:rsidRPr="003E5F7C">
        <w:rPr>
          <w:rFonts w:ascii="Palatino Linotype" w:eastAsia="Palatino Linotype" w:hAnsi="Palatino Linotype" w:cs="Palatino Linotype"/>
          <w:color w:val="000000" w:themeColor="text1"/>
        </w:rPr>
        <w:t xml:space="preserve">eventualmente pudiera obrar datos personales susceptibles de protegerse, el </w:t>
      </w:r>
      <w:r w:rsidRPr="003E5F7C">
        <w:rPr>
          <w:rFonts w:ascii="Palatino Linotype" w:eastAsia="Palatino Linotype" w:hAnsi="Palatino Linotype" w:cs="Palatino Linotype"/>
          <w:b/>
          <w:color w:val="000000" w:themeColor="text1"/>
        </w:rPr>
        <w:t xml:space="preserve">SUJETO OBLIGADO </w:t>
      </w:r>
      <w:r w:rsidRPr="003E5F7C">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No pasa desapercibido para este Órgano Garante que los Sujetos Obligados</w:t>
      </w:r>
      <w:r w:rsidRPr="003E5F7C">
        <w:rPr>
          <w:rFonts w:ascii="Palatino Linotype" w:eastAsia="Palatino Linotype" w:hAnsi="Palatino Linotype" w:cs="Palatino Linotype"/>
          <w:b/>
          <w:color w:val="000000" w:themeColor="text1"/>
        </w:rPr>
        <w:t xml:space="preserve"> </w:t>
      </w:r>
      <w:r w:rsidRPr="003E5F7C">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d"/>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229"/>
      </w:tblGrid>
      <w:tr w:rsidR="003E5F7C" w:rsidRPr="003E5F7C" w:rsidTr="00A11D56">
        <w:tc>
          <w:tcPr>
            <w:tcW w:w="2547" w:type="dxa"/>
          </w:tcPr>
          <w:p w:rsidR="00D86E74" w:rsidRPr="003E5F7C" w:rsidRDefault="00B05C77" w:rsidP="003E5F7C">
            <w:pPr>
              <w:tabs>
                <w:tab w:val="left" w:pos="0"/>
              </w:tabs>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 Requisitos previos.</w:t>
            </w:r>
          </w:p>
        </w:tc>
        <w:tc>
          <w:tcPr>
            <w:tcW w:w="7229" w:type="dxa"/>
          </w:tcPr>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w:t>
            </w:r>
            <w:r w:rsidRPr="003E5F7C">
              <w:rPr>
                <w:rFonts w:ascii="Palatino Linotype" w:eastAsia="Palatino Linotype" w:hAnsi="Palatino Linotype" w:cs="Palatino Linotype"/>
                <w:color w:val="000000" w:themeColor="text1"/>
              </w:rPr>
              <w:lastRenderedPageBreak/>
              <w:t xml:space="preserve">clasificación, es deber de los titulares de las áreas proponer su clasificación y no del Comité de Transparencia. </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3E5F7C">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3E5F7C">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3E5F7C" w:rsidRPr="003E5F7C" w:rsidTr="00A11D56">
        <w:tc>
          <w:tcPr>
            <w:tcW w:w="2547" w:type="dxa"/>
          </w:tcPr>
          <w:p w:rsidR="00D86E74" w:rsidRPr="003E5F7C" w:rsidRDefault="00B05C77" w:rsidP="003E5F7C">
            <w:pPr>
              <w:tabs>
                <w:tab w:val="left" w:pos="0"/>
              </w:tabs>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b) Supuestos de clasificación.</w:t>
            </w:r>
          </w:p>
        </w:tc>
        <w:tc>
          <w:tcPr>
            <w:tcW w:w="7229" w:type="dxa"/>
          </w:tcPr>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E5F7C" w:rsidRPr="003E5F7C" w:rsidTr="00A11D56">
        <w:tc>
          <w:tcPr>
            <w:tcW w:w="2547" w:type="dxa"/>
          </w:tcPr>
          <w:p w:rsidR="00D86E74" w:rsidRPr="003E5F7C" w:rsidRDefault="00B05C77" w:rsidP="003E5F7C">
            <w:pPr>
              <w:tabs>
                <w:tab w:val="left" w:pos="0"/>
              </w:tabs>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c) Formalidades para emitir el acuerdo de clasificación.</w:t>
            </w:r>
          </w:p>
        </w:tc>
        <w:tc>
          <w:tcPr>
            <w:tcW w:w="7229" w:type="dxa"/>
          </w:tcPr>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 xml:space="preserve">Es necesario que </w:t>
            </w:r>
            <w:r w:rsidRPr="003E5F7C">
              <w:rPr>
                <w:rFonts w:ascii="Palatino Linotype" w:eastAsia="Palatino Linotype" w:hAnsi="Palatino Linotype" w:cs="Palatino Linotype"/>
                <w:b/>
                <w:color w:val="000000" w:themeColor="text1"/>
                <w:u w:val="single"/>
              </w:rPr>
              <w:t>el acto reúna con los requisitos elementales</w:t>
            </w:r>
            <w:r w:rsidRPr="003E5F7C">
              <w:rPr>
                <w:rFonts w:ascii="Palatino Linotype" w:eastAsia="Palatino Linotype" w:hAnsi="Palatino Linotype" w:cs="Palatino Linotype"/>
                <w:color w:val="000000" w:themeColor="text1"/>
              </w:rPr>
              <w:t>, entre ellos, que la autoridad que va a emitir el acto de autoridad sea la legalmente facultada para ello.</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E5F7C" w:rsidRPr="003E5F7C" w:rsidTr="00A11D56">
        <w:tc>
          <w:tcPr>
            <w:tcW w:w="2547" w:type="dxa"/>
          </w:tcPr>
          <w:p w:rsidR="00D86E74" w:rsidRPr="003E5F7C" w:rsidRDefault="00D86E74" w:rsidP="003E5F7C">
            <w:pPr>
              <w:tabs>
                <w:tab w:val="left" w:pos="0"/>
              </w:tabs>
              <w:rPr>
                <w:rFonts w:ascii="Palatino Linotype" w:eastAsia="Palatino Linotype" w:hAnsi="Palatino Linotype" w:cs="Palatino Linotype"/>
                <w:color w:val="000000" w:themeColor="text1"/>
              </w:rPr>
            </w:pP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d) Requisitos de fondo del acuerdo de clasificación. </w:t>
            </w:r>
          </w:p>
        </w:tc>
        <w:tc>
          <w:tcPr>
            <w:tcW w:w="7229" w:type="dxa"/>
          </w:tcPr>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E5F7C">
              <w:rPr>
                <w:rFonts w:ascii="Palatino Linotype" w:eastAsia="Palatino Linotype" w:hAnsi="Palatino Linotype" w:cs="Palatino Linotype"/>
                <w:b/>
                <w:color w:val="000000" w:themeColor="text1"/>
              </w:rPr>
              <w:t>Sujetos Obligados</w:t>
            </w:r>
            <w:r w:rsidRPr="003E5F7C">
              <w:rPr>
                <w:rFonts w:ascii="Palatino Linotype" w:eastAsia="Palatino Linotype" w:hAnsi="Palatino Linotype" w:cs="Palatino Linotype"/>
                <w:color w:val="000000" w:themeColor="text1"/>
              </w:rPr>
              <w:t xml:space="preserve">, por lo que deberán fundar y motivar debidamente la clasificación. </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De lo anterior, se desprende que para una correcta </w:t>
            </w:r>
            <w:r w:rsidRPr="003E5F7C">
              <w:rPr>
                <w:rFonts w:ascii="Palatino Linotype" w:eastAsia="Palatino Linotype" w:hAnsi="Palatino Linotype" w:cs="Palatino Linotype"/>
                <w:b/>
                <w:color w:val="000000" w:themeColor="text1"/>
              </w:rPr>
              <w:t>clasificación total o parcial</w:t>
            </w:r>
            <w:r w:rsidRPr="003E5F7C">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la </w:t>
            </w:r>
            <w:r w:rsidRPr="003E5F7C">
              <w:rPr>
                <w:rFonts w:ascii="Palatino Linotype" w:eastAsia="Palatino Linotype" w:hAnsi="Palatino Linotype" w:cs="Palatino Linotype"/>
                <w:color w:val="000000" w:themeColor="text1"/>
              </w:rPr>
              <w:lastRenderedPageBreak/>
              <w:t>clasificación se deben acreditar las circunstancias de tiempo, modo y lugar.</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Ahora bien, </w:t>
            </w:r>
            <w:r w:rsidRPr="003E5F7C">
              <w:rPr>
                <w:rFonts w:ascii="Palatino Linotype" w:eastAsia="Palatino Linotype" w:hAnsi="Palatino Linotype" w:cs="Palatino Linotype"/>
                <w:b/>
                <w:color w:val="000000" w:themeColor="text1"/>
                <w:u w:val="single"/>
              </w:rPr>
              <w:t>para cada caso además de fundar y motivar</w:t>
            </w:r>
            <w:r w:rsidRPr="003E5F7C">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86E74" w:rsidRPr="003E5F7C" w:rsidTr="00A11D56">
        <w:tc>
          <w:tcPr>
            <w:tcW w:w="2547" w:type="dxa"/>
          </w:tcPr>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7229" w:type="dxa"/>
          </w:tcPr>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D86E74" w:rsidRPr="003E5F7C" w:rsidRDefault="00B05C77" w:rsidP="003E5F7C">
            <w:pPr>
              <w:tabs>
                <w:tab w:val="left" w:pos="0"/>
              </w:tabs>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86E74" w:rsidRPr="003E5F7C" w:rsidRDefault="00B05C77" w:rsidP="003E5F7C">
            <w:pPr>
              <w:tabs>
                <w:tab w:val="left" w:pos="0"/>
              </w:tabs>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86E74"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A11D56" w:rsidRPr="003E5F7C" w:rsidRDefault="00A11D56"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7"/>
        </w:numPr>
        <w:pBdr>
          <w:top w:val="nil"/>
          <w:left w:val="nil"/>
          <w:bottom w:val="nil"/>
          <w:right w:val="nil"/>
          <w:between w:val="nil"/>
        </w:pBdr>
        <w:tabs>
          <w:tab w:val="left" w:pos="0"/>
          <w:tab w:val="left" w:pos="426"/>
        </w:tabs>
        <w:spacing w:line="360" w:lineRule="auto"/>
        <w:ind w:firstLine="0"/>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Del análisis de los datos susceptibles de ser protegidos en la nómina.</w:t>
      </w: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Bajo lo anterior, es importante analizar los datos personales susceptibles de ser protegidos, que pudieran estar contenidos en los documentos donde obra lo requerido, tales como </w:t>
      </w:r>
      <w:r w:rsidRPr="003E5F7C">
        <w:rPr>
          <w:rFonts w:ascii="Palatino Linotype" w:eastAsia="Palatino Linotype" w:hAnsi="Palatino Linotype" w:cs="Palatino Linotype"/>
          <w:b/>
          <w:color w:val="000000" w:themeColor="text1"/>
        </w:rPr>
        <w:t xml:space="preserve">Registro Federal de Contribuyentes (RFC), </w:t>
      </w:r>
      <w:r w:rsidRPr="003E5F7C">
        <w:rPr>
          <w:rFonts w:ascii="Palatino Linotype" w:eastAsia="Palatino Linotype" w:hAnsi="Palatino Linotype" w:cs="Palatino Linotype"/>
          <w:color w:val="000000" w:themeColor="text1"/>
        </w:rPr>
        <w:t xml:space="preserve">la </w:t>
      </w:r>
      <w:r w:rsidRPr="003E5F7C">
        <w:rPr>
          <w:rFonts w:ascii="Palatino Linotype" w:eastAsia="Palatino Linotype" w:hAnsi="Palatino Linotype" w:cs="Palatino Linotype"/>
          <w:b/>
          <w:color w:val="000000" w:themeColor="text1"/>
        </w:rPr>
        <w:t>Clave Única de Registro de Población (CURP)</w:t>
      </w:r>
      <w:r w:rsidRPr="003E5F7C">
        <w:rPr>
          <w:rFonts w:ascii="Palatino Linotype" w:eastAsia="Palatino Linotype" w:hAnsi="Palatino Linotype" w:cs="Palatino Linotype"/>
          <w:color w:val="000000" w:themeColor="text1"/>
        </w:rPr>
        <w:t xml:space="preserve">, la </w:t>
      </w:r>
      <w:r w:rsidRPr="003E5F7C">
        <w:rPr>
          <w:rFonts w:ascii="Palatino Linotype" w:eastAsia="Palatino Linotype" w:hAnsi="Palatino Linotype" w:cs="Palatino Linotype"/>
          <w:b/>
          <w:color w:val="000000" w:themeColor="text1"/>
        </w:rPr>
        <w:t xml:space="preserve">Clave de ISSEMyM </w:t>
      </w:r>
      <w:r w:rsidRPr="003E5F7C">
        <w:rPr>
          <w:rFonts w:ascii="Palatino Linotype" w:eastAsia="Palatino Linotype" w:hAnsi="Palatino Linotype" w:cs="Palatino Linotype"/>
          <w:color w:val="000000" w:themeColor="text1"/>
        </w:rPr>
        <w:t xml:space="preserve">u análogos, </w:t>
      </w:r>
      <w:r w:rsidRPr="003E5F7C">
        <w:rPr>
          <w:rFonts w:ascii="Palatino Linotype" w:eastAsia="Palatino Linotype" w:hAnsi="Palatino Linotype" w:cs="Palatino Linotype"/>
          <w:b/>
          <w:color w:val="000000" w:themeColor="text1"/>
        </w:rPr>
        <w:t xml:space="preserve">préstamos o descuentos </w:t>
      </w:r>
      <w:r w:rsidRPr="003E5F7C">
        <w:rPr>
          <w:rFonts w:ascii="Palatino Linotype" w:eastAsia="Palatino Linotype" w:hAnsi="Palatino Linotype" w:cs="Palatino Linotype"/>
          <w:color w:val="000000" w:themeColor="text1"/>
        </w:rPr>
        <w:t xml:space="preserve">realizados al servidor público y la </w:t>
      </w:r>
      <w:r w:rsidRPr="003E5F7C">
        <w:rPr>
          <w:rFonts w:ascii="Palatino Linotype" w:eastAsia="Palatino Linotype" w:hAnsi="Palatino Linotype" w:cs="Palatino Linotype"/>
          <w:b/>
          <w:color w:val="000000" w:themeColor="text1"/>
        </w:rPr>
        <w:t>clave interbancaria de depósito.</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A11D56">
      <w:pPr>
        <w:pStyle w:val="Prrafodelista"/>
        <w:numPr>
          <w:ilvl w:val="1"/>
          <w:numId w:val="4"/>
        </w:numPr>
        <w:spacing w:line="360" w:lineRule="auto"/>
        <w:ind w:left="0" w:firstLine="0"/>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lastRenderedPageBreak/>
        <w:t>Del Registro Federal de Contribuyentes.</w:t>
      </w:r>
    </w:p>
    <w:p w:rsidR="00C9036C" w:rsidRPr="003E5F7C" w:rsidRDefault="00C9036C" w:rsidP="003E5F7C">
      <w:pPr>
        <w:pStyle w:val="Prrafodelista"/>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lastRenderedPageBreak/>
        <w:t>En el mismo sentido, resulta aplicable el Criterio 19/17 emitido por el Instituto Nacional de Transparencia, Acceso a la Información, y Protección de Datos Personales, en el cual se señala lo siguiente:</w:t>
      </w:r>
    </w:p>
    <w:p w:rsidR="00C9036C" w:rsidRPr="003E5F7C" w:rsidRDefault="00C9036C" w:rsidP="003E5F7C">
      <w:pPr>
        <w:shd w:val="clear" w:color="auto" w:fill="FFFFFF"/>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REGISTRO FEDERAL DE CONTRIBUYENTES (RFC) DE PERSONAS FÍSICAS.</w:t>
      </w:r>
      <w:r w:rsidRPr="003E5F7C">
        <w:rPr>
          <w:rFonts w:ascii="Palatino Linotype" w:eastAsia="Palatino Linotype" w:hAnsi="Palatino Linotype" w:cs="Palatino Linotype"/>
          <w:i/>
          <w:color w:val="000000" w:themeColor="text1"/>
        </w:rPr>
        <w:t xml:space="preserve"> “El RFC es una clave de carácter fiscal, única e irrepetible, que permite identificar al titular, su edad y fecha de nacimiento, por lo que es un dato personal de carácter confidencial.”</w:t>
      </w:r>
    </w:p>
    <w:p w:rsidR="00C9036C" w:rsidRDefault="00C9036C" w:rsidP="003E5F7C">
      <w:pPr>
        <w:shd w:val="clear" w:color="auto" w:fill="FFFFFF"/>
        <w:tabs>
          <w:tab w:val="left" w:pos="0"/>
        </w:tabs>
        <w:jc w:val="both"/>
        <w:rPr>
          <w:rFonts w:ascii="Palatino Linotype" w:eastAsia="Palatino Linotype" w:hAnsi="Palatino Linotype" w:cs="Palatino Linotype"/>
          <w:i/>
          <w:color w:val="000000" w:themeColor="text1"/>
        </w:rPr>
      </w:pPr>
    </w:p>
    <w:p w:rsidR="00A11D56" w:rsidRPr="003E5F7C" w:rsidRDefault="00A11D56" w:rsidP="003E5F7C">
      <w:pPr>
        <w:shd w:val="clear" w:color="auto" w:fill="FFFFFF"/>
        <w:tabs>
          <w:tab w:val="left" w:pos="0"/>
        </w:tabs>
        <w:jc w:val="both"/>
        <w:rPr>
          <w:rFonts w:ascii="Palatino Linotype" w:eastAsia="Palatino Linotype" w:hAnsi="Palatino Linotype" w:cs="Palatino Linotype"/>
          <w:i/>
          <w:color w:val="000000" w:themeColor="text1"/>
        </w:rPr>
      </w:pPr>
    </w:p>
    <w:p w:rsidR="00C9036C" w:rsidRPr="003E5F7C" w:rsidRDefault="00C9036C" w:rsidP="003E5F7C">
      <w:pPr>
        <w:tabs>
          <w:tab w:val="left" w:pos="0"/>
          <w:tab w:val="left" w:pos="426"/>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b) De la Clave Única de Registro de Población.</w:t>
      </w: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pBdr>
          <w:top w:val="nil"/>
          <w:left w:val="nil"/>
          <w:bottom w:val="nil"/>
          <w:right w:val="nil"/>
          <w:between w:val="nil"/>
        </w:pBdr>
        <w:tabs>
          <w:tab w:val="left" w:pos="0"/>
        </w:tabs>
        <w:spacing w:line="360" w:lineRule="auto"/>
        <w:jc w:val="center"/>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noProof/>
          <w:color w:val="000000" w:themeColor="text1"/>
          <w:lang w:val="es-MX"/>
        </w:rPr>
        <w:lastRenderedPageBreak/>
        <w:drawing>
          <wp:inline distT="0" distB="0" distL="0" distR="0" wp14:anchorId="5E7C465A" wp14:editId="60A3D218">
            <wp:extent cx="4795317" cy="3951341"/>
            <wp:effectExtent l="12700" t="12700" r="12700" b="12700"/>
            <wp:docPr id="71"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24"/>
                    <a:srcRect l="25747"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rsidR="00C9036C" w:rsidRPr="003E5F7C" w:rsidRDefault="00C9036C" w:rsidP="003E5F7C">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Entre las características de la CURP, se encuentra:</w:t>
      </w:r>
    </w:p>
    <w:p w:rsidR="00C9036C" w:rsidRPr="003E5F7C" w:rsidRDefault="00C9036C" w:rsidP="003E5F7C">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 xml:space="preserve">Composición. </w:t>
      </w:r>
      <w:r w:rsidRPr="003E5F7C">
        <w:rPr>
          <w:rFonts w:ascii="Palatino Linotype" w:eastAsia="Palatino Linotype" w:hAnsi="Palatino Linotype" w:cs="Palatino Linotype"/>
          <w:i/>
          <w:color w:val="000000" w:themeColor="text1"/>
        </w:rPr>
        <w:t>Alfanumérica.</w:t>
      </w:r>
    </w:p>
    <w:p w:rsidR="00C9036C" w:rsidRPr="003E5F7C" w:rsidRDefault="00C9036C" w:rsidP="003E5F7C">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 xml:space="preserve">Longitud. </w:t>
      </w:r>
      <w:r w:rsidRPr="003E5F7C">
        <w:rPr>
          <w:rFonts w:ascii="Palatino Linotype" w:eastAsia="Palatino Linotype" w:hAnsi="Palatino Linotype" w:cs="Palatino Linotype"/>
          <w:i/>
          <w:color w:val="000000" w:themeColor="text1"/>
        </w:rPr>
        <w:t xml:space="preserve"> 18 caracteres.</w:t>
      </w:r>
    </w:p>
    <w:p w:rsidR="00C9036C" w:rsidRPr="003E5F7C" w:rsidRDefault="00C9036C" w:rsidP="003E5F7C">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 xml:space="preserve">Naturaleza. </w:t>
      </w:r>
      <w:r w:rsidRPr="003E5F7C">
        <w:rPr>
          <w:rFonts w:ascii="Palatino Linotype" w:eastAsia="Palatino Linotype" w:hAnsi="Palatino Linotype" w:cs="Palatino Linotype"/>
          <w:i/>
          <w:color w:val="000000" w:themeColor="text1"/>
        </w:rPr>
        <w:t>Biunívoca.</w:t>
      </w:r>
    </w:p>
    <w:p w:rsidR="00C9036C" w:rsidRPr="003E5F7C" w:rsidRDefault="00C9036C" w:rsidP="003E5F7C">
      <w:pPr>
        <w:tabs>
          <w:tab w:val="left" w:pos="0"/>
          <w:tab w:val="left" w:pos="426"/>
          <w:tab w:val="left" w:pos="567"/>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 xml:space="preserve">Universalidad. </w:t>
      </w:r>
      <w:r w:rsidRPr="003E5F7C">
        <w:rPr>
          <w:rFonts w:ascii="Palatino Linotype" w:eastAsia="Palatino Linotype" w:hAnsi="Palatino Linotype" w:cs="Palatino Linotype"/>
          <w:i/>
          <w:color w:val="000000" w:themeColor="text1"/>
        </w:rPr>
        <w:t>Se asigna a todas las personas que conforman la población.</w:t>
      </w:r>
    </w:p>
    <w:p w:rsidR="00C9036C" w:rsidRPr="003E5F7C" w:rsidRDefault="00C9036C" w:rsidP="003E5F7C">
      <w:pPr>
        <w:tabs>
          <w:tab w:val="left" w:pos="0"/>
          <w:tab w:val="left" w:pos="142"/>
          <w:tab w:val="left" w:pos="284"/>
          <w:tab w:val="left" w:pos="426"/>
        </w:tabs>
        <w:ind w:left="567"/>
        <w:jc w:val="both"/>
        <w:rPr>
          <w:rFonts w:ascii="Palatino Linotype" w:eastAsia="Palatino Linotype" w:hAnsi="Palatino Linotype" w:cs="Palatino Linotype"/>
          <w:b/>
          <w:i/>
          <w:color w:val="000000" w:themeColor="text1"/>
        </w:rPr>
      </w:pPr>
      <w:r w:rsidRPr="003E5F7C">
        <w:rPr>
          <w:rFonts w:ascii="Palatino Linotype" w:eastAsia="Palatino Linotype" w:hAnsi="Palatino Linotype" w:cs="Palatino Linotype"/>
          <w:b/>
          <w:i/>
          <w:color w:val="000000" w:themeColor="text1"/>
        </w:rPr>
        <w:t xml:space="preserve">Verificabilidad. En su estructura existen elementos que permiten comprobar si fue conformada correctamente o no, así como fecha de nacimiento, sexo, identificad </w:t>
      </w:r>
      <w:r w:rsidRPr="003E5F7C">
        <w:rPr>
          <w:rFonts w:ascii="Palatino Linotype" w:eastAsia="Palatino Linotype" w:hAnsi="Palatino Linotype" w:cs="Palatino Linotype"/>
          <w:b/>
          <w:i/>
          <w:color w:val="000000" w:themeColor="text1"/>
        </w:rPr>
        <w:lastRenderedPageBreak/>
        <w:t>federativa de nacimiento y las primeras composiciones de la clave, conformadas por la letra inicial y primera vocal interna del primer apellido, la letra inicial del segundo apellido y la primera letra del nombre.</w:t>
      </w:r>
    </w:p>
    <w:p w:rsidR="00C9036C" w:rsidRDefault="00C9036C" w:rsidP="003E5F7C">
      <w:pPr>
        <w:tabs>
          <w:tab w:val="left" w:pos="0"/>
          <w:tab w:val="left" w:pos="142"/>
          <w:tab w:val="left" w:pos="284"/>
          <w:tab w:val="left" w:pos="426"/>
        </w:tabs>
        <w:jc w:val="both"/>
        <w:rPr>
          <w:rFonts w:ascii="Palatino Linotype" w:eastAsia="Palatino Linotype" w:hAnsi="Palatino Linotype" w:cs="Palatino Linotype"/>
          <w:i/>
          <w:color w:val="000000" w:themeColor="text1"/>
        </w:rPr>
      </w:pPr>
    </w:p>
    <w:p w:rsidR="00A11D56" w:rsidRPr="003E5F7C" w:rsidRDefault="00A11D56" w:rsidP="003E5F7C">
      <w:pPr>
        <w:tabs>
          <w:tab w:val="left" w:pos="0"/>
          <w:tab w:val="left" w:pos="142"/>
          <w:tab w:val="left" w:pos="284"/>
          <w:tab w:val="left" w:pos="426"/>
        </w:tabs>
        <w:jc w:val="both"/>
        <w:rPr>
          <w:rFonts w:ascii="Palatino Linotype" w:eastAsia="Palatino Linotype" w:hAnsi="Palatino Linotype" w:cs="Palatino Linotype"/>
          <w:i/>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C9036C" w:rsidRPr="003E5F7C" w:rsidRDefault="00C9036C" w:rsidP="003E5F7C">
      <w:pPr>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Ante ello, resulta aplicable el Criterio 18/17 emitido por el Instituto Nacional de Transparencia, Acceso a la Información y Protección de Datos Personales, que a la literalidad señala:</w:t>
      </w:r>
    </w:p>
    <w:p w:rsidR="00C9036C" w:rsidRPr="003E5F7C" w:rsidRDefault="00C9036C" w:rsidP="003E5F7C">
      <w:pPr>
        <w:shd w:val="clear" w:color="auto" w:fill="FFFFFF"/>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CLAVE ÚNICA DE REGISTRO DE POBLACIÓN (CURP). “</w:t>
      </w:r>
      <w:r w:rsidRPr="003E5F7C">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9036C" w:rsidRPr="003E5F7C" w:rsidRDefault="00C9036C" w:rsidP="003E5F7C">
      <w:pPr>
        <w:tabs>
          <w:tab w:val="left" w:pos="0"/>
          <w:tab w:val="left" w:pos="426"/>
        </w:tabs>
        <w:jc w:val="both"/>
        <w:rPr>
          <w:rFonts w:ascii="Palatino Linotype" w:eastAsia="Palatino Linotype" w:hAnsi="Palatino Linotype" w:cs="Palatino Linotype"/>
          <w:color w:val="000000" w:themeColor="text1"/>
        </w:rPr>
      </w:pPr>
    </w:p>
    <w:p w:rsidR="00C9036C" w:rsidRPr="003E5F7C" w:rsidRDefault="00C9036C" w:rsidP="003E5F7C">
      <w:pPr>
        <w:tabs>
          <w:tab w:val="left" w:pos="0"/>
          <w:tab w:val="left" w:pos="426"/>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lastRenderedPageBreak/>
        <w:t>c) De la clave de identificación del Instituto de Seguridad Social del Estado de México y Municipios.</w:t>
      </w: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C9036C" w:rsidRPr="003E5F7C" w:rsidRDefault="00C9036C" w:rsidP="003E5F7C">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C9036C" w:rsidRPr="003E5F7C" w:rsidRDefault="00C9036C" w:rsidP="003E5F7C">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w:t>
      </w:r>
      <w:r w:rsidRPr="003E5F7C">
        <w:rPr>
          <w:rFonts w:ascii="Palatino Linotype" w:eastAsia="Palatino Linotype" w:hAnsi="Palatino Linotype" w:cs="Palatino Linotype"/>
          <w:color w:val="000000" w:themeColor="text1"/>
        </w:rPr>
        <w:lastRenderedPageBreak/>
        <w:t>desempeñadas por los servidores públicos, por el contrario su exhibición si provoca una transgresión a la vida pública e intimidad de la persona.</w:t>
      </w:r>
    </w:p>
    <w:p w:rsidR="00C9036C" w:rsidRPr="003E5F7C" w:rsidRDefault="00C9036C" w:rsidP="003E5F7C">
      <w:pPr>
        <w:tabs>
          <w:tab w:val="left" w:pos="0"/>
        </w:tabs>
        <w:jc w:val="both"/>
        <w:rPr>
          <w:rFonts w:ascii="Palatino Linotype" w:eastAsia="Palatino Linotype" w:hAnsi="Palatino Linotype" w:cs="Palatino Linotype"/>
          <w:color w:val="000000" w:themeColor="text1"/>
        </w:rPr>
      </w:pPr>
    </w:p>
    <w:p w:rsidR="00C9036C" w:rsidRPr="003E5F7C" w:rsidRDefault="00C9036C" w:rsidP="003E5F7C">
      <w:pPr>
        <w:tabs>
          <w:tab w:val="left" w:pos="0"/>
          <w:tab w:val="left" w:pos="426"/>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b/>
          <w:color w:val="000000" w:themeColor="text1"/>
        </w:rPr>
        <w:t>d) Préstamos o descuentos de carácter personal.</w:t>
      </w: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Para entender los límites y alcances de esta restricción, es oportuno traer a colación lo establecido por el artículo 84 de la Ley del Trabajo de los Servidores Públicos del Estado y Municipios, el cual señala que:</w:t>
      </w:r>
    </w:p>
    <w:p w:rsidR="00C9036C" w:rsidRPr="003E5F7C" w:rsidRDefault="00C9036C" w:rsidP="003E5F7C">
      <w:pPr>
        <w:tabs>
          <w:tab w:val="left" w:pos="0"/>
          <w:tab w:val="left" w:pos="426"/>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“ARTÍCULO 84.</w:t>
      </w:r>
      <w:r w:rsidRPr="003E5F7C">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rsidR="00C9036C" w:rsidRPr="003E5F7C" w:rsidRDefault="00C9036C" w:rsidP="003E5F7C">
      <w:pPr>
        <w:tabs>
          <w:tab w:val="left" w:pos="0"/>
          <w:tab w:val="left" w:pos="426"/>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I.</w:t>
      </w:r>
      <w:r w:rsidRPr="003E5F7C">
        <w:rPr>
          <w:rFonts w:ascii="Palatino Linotype" w:eastAsia="Palatino Linotype" w:hAnsi="Palatino Linotype" w:cs="Palatino Linotype"/>
          <w:i/>
          <w:color w:val="000000" w:themeColor="text1"/>
        </w:rPr>
        <w:t xml:space="preserve"> Gravámenes fiscales relacionados con el sueldo;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II.</w:t>
      </w:r>
      <w:r w:rsidRPr="003E5F7C">
        <w:rPr>
          <w:rFonts w:ascii="Palatino Linotype" w:eastAsia="Palatino Linotype" w:hAnsi="Palatino Linotype" w:cs="Palatino Linotype"/>
          <w:i/>
          <w:color w:val="000000" w:themeColor="text1"/>
        </w:rPr>
        <w:t xml:space="preserve"> Deudas contraídas con las instituciones públicas o dependencias por concepto de anticipos de sueldo, pagos hechos con exceso, errores o pérdidas debidamente comprobados;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III.</w:t>
      </w:r>
      <w:r w:rsidRPr="003E5F7C">
        <w:rPr>
          <w:rFonts w:ascii="Palatino Linotype" w:eastAsia="Palatino Linotype" w:hAnsi="Palatino Linotype" w:cs="Palatino Linotype"/>
          <w:i/>
          <w:color w:val="000000" w:themeColor="text1"/>
        </w:rPr>
        <w:t xml:space="preserve"> Cuotas sindicales;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IV.</w:t>
      </w:r>
      <w:r w:rsidRPr="003E5F7C">
        <w:rPr>
          <w:rFonts w:ascii="Palatino Linotype" w:eastAsia="Palatino Linotype" w:hAnsi="Palatino Linotype" w:cs="Palatino Linotype"/>
          <w:i/>
          <w:color w:val="000000" w:themeColor="text1"/>
        </w:rPr>
        <w:t xml:space="preserve"> Cuotas de aportación a fondos para la constitución de cooperativas y de cajas de ahorro, siempre que el servidor público hubiese manifestado previamente, de manera expresa, su conformidad;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V.</w:t>
      </w:r>
      <w:r w:rsidRPr="003E5F7C">
        <w:rPr>
          <w:rFonts w:ascii="Palatino Linotype" w:eastAsia="Palatino Linotype" w:hAnsi="Palatino Linotype" w:cs="Palatino Linotype"/>
          <w:i/>
          <w:color w:val="000000" w:themeColor="text1"/>
        </w:rPr>
        <w:t xml:space="preserve"> Descuentos ordenados por el Instituto de Seguridad Social del Estado de México y Municipios, con motivo de cuotas y obligaciones contraídas con éste por los servidores públicos;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VI.</w:t>
      </w:r>
      <w:r w:rsidRPr="003E5F7C">
        <w:rPr>
          <w:rFonts w:ascii="Palatino Linotype" w:eastAsia="Palatino Linotype" w:hAnsi="Palatino Linotype" w:cs="Palatino Linotype"/>
          <w:i/>
          <w:color w:val="000000" w:themeColor="text1"/>
        </w:rPr>
        <w:t xml:space="preserve"> Obligaciones a cargo del servidor público con las que haya consentido, derivadas de la adquisición o del uso de habitaciones consideradas como de interés social;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VII.</w:t>
      </w:r>
      <w:r w:rsidRPr="003E5F7C">
        <w:rPr>
          <w:rFonts w:ascii="Palatino Linotype" w:eastAsia="Palatino Linotype" w:hAnsi="Palatino Linotype" w:cs="Palatino Linotype"/>
          <w:i/>
          <w:color w:val="000000" w:themeColor="text1"/>
        </w:rPr>
        <w:t xml:space="preserve"> Faltas de puntualidad o de asistencia injustificadas;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VIII.</w:t>
      </w:r>
      <w:r w:rsidRPr="003E5F7C">
        <w:rPr>
          <w:rFonts w:ascii="Palatino Linotype" w:eastAsia="Palatino Linotype" w:hAnsi="Palatino Linotype" w:cs="Palatino Linotype"/>
          <w:i/>
          <w:color w:val="000000" w:themeColor="text1"/>
        </w:rPr>
        <w:t xml:space="preserve"> Pensiones alimenticias ordenadas por la autoridad judicial; o </w:t>
      </w: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b/>
          <w:i/>
          <w:color w:val="000000" w:themeColor="text1"/>
        </w:rPr>
        <w:t>IX.</w:t>
      </w:r>
      <w:r w:rsidRPr="003E5F7C">
        <w:rPr>
          <w:rFonts w:ascii="Palatino Linotype" w:eastAsia="Palatino Linotype" w:hAnsi="Palatino Linotype" w:cs="Palatino Linotype"/>
          <w:i/>
          <w:color w:val="000000" w:themeColor="text1"/>
        </w:rPr>
        <w:t xml:space="preserve"> Cualquier otro convenido con instituciones de servicios y aceptado por el servidor público. </w:t>
      </w:r>
    </w:p>
    <w:p w:rsidR="00C9036C" w:rsidRPr="003E5F7C" w:rsidRDefault="00C9036C" w:rsidP="003E5F7C">
      <w:pPr>
        <w:tabs>
          <w:tab w:val="left" w:pos="0"/>
        </w:tabs>
        <w:ind w:left="567"/>
        <w:jc w:val="both"/>
        <w:rPr>
          <w:rFonts w:ascii="Palatino Linotype" w:eastAsia="Palatino Linotype" w:hAnsi="Palatino Linotype" w:cs="Palatino Linotype"/>
          <w:color w:val="000000" w:themeColor="text1"/>
        </w:rPr>
      </w:pPr>
    </w:p>
    <w:p w:rsidR="00C9036C" w:rsidRPr="003E5F7C" w:rsidRDefault="00C9036C" w:rsidP="003E5F7C">
      <w:pPr>
        <w:tabs>
          <w:tab w:val="left" w:pos="0"/>
        </w:tabs>
        <w:ind w:left="567"/>
        <w:jc w:val="both"/>
        <w:rPr>
          <w:rFonts w:ascii="Palatino Linotype" w:eastAsia="Palatino Linotype" w:hAnsi="Palatino Linotype" w:cs="Palatino Linotype"/>
          <w:i/>
          <w:color w:val="000000" w:themeColor="text1"/>
        </w:rPr>
      </w:pPr>
      <w:r w:rsidRPr="003E5F7C">
        <w:rPr>
          <w:rFonts w:ascii="Palatino Linotype" w:eastAsia="Palatino Linotype" w:hAnsi="Palatino Linotype" w:cs="Palatino Linotype"/>
          <w:i/>
          <w:color w:val="000000" w:themeColor="text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9036C" w:rsidRPr="003E5F7C" w:rsidRDefault="00C9036C" w:rsidP="003E5F7C">
      <w:pPr>
        <w:tabs>
          <w:tab w:val="left" w:pos="0"/>
        </w:tabs>
        <w:jc w:val="both"/>
        <w:rPr>
          <w:rFonts w:ascii="Palatino Linotype" w:eastAsia="Palatino Linotype" w:hAnsi="Palatino Linotype" w:cs="Palatino Linotype"/>
          <w:b/>
          <w:color w:val="000000" w:themeColor="text1"/>
        </w:rPr>
      </w:pPr>
    </w:p>
    <w:p w:rsidR="00C9036C" w:rsidRPr="003E5F7C" w:rsidRDefault="00C9036C" w:rsidP="003E5F7C">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 xml:space="preserve">Como se observa, la Ley en mérito establece claramente cuáles son los descuentos o gravámenes que se relacionan con las obligaciones adquiridas como servidores públicos y </w:t>
      </w:r>
      <w:r w:rsidRPr="003E5F7C">
        <w:rPr>
          <w:rFonts w:ascii="Palatino Linotype" w:eastAsia="Palatino Linotype" w:hAnsi="Palatino Linotype" w:cs="Palatino Linotype"/>
          <w:color w:val="000000" w:themeColor="text1"/>
        </w:rPr>
        <w:lastRenderedPageBreak/>
        <w:t>aquellos que únicamente inciden en su vida privada. De este modo, los descuentos que no se relacionen con el gasto público o con el ejercicio de sus funciones, es información de carácter confidencial.</w:t>
      </w:r>
    </w:p>
    <w:p w:rsidR="00C9036C" w:rsidRPr="003E5F7C" w:rsidRDefault="00C9036C" w:rsidP="003E5F7C">
      <w:pPr>
        <w:tabs>
          <w:tab w:val="left" w:pos="0"/>
        </w:tabs>
        <w:jc w:val="both"/>
        <w:rPr>
          <w:rFonts w:ascii="Palatino Linotype" w:eastAsia="Palatino Linotype" w:hAnsi="Palatino Linotype" w:cs="Palatino Linotype"/>
          <w:b/>
          <w:color w:val="000000" w:themeColor="text1"/>
        </w:rPr>
      </w:pPr>
    </w:p>
    <w:p w:rsidR="00C9036C" w:rsidRPr="003E5F7C" w:rsidRDefault="00C9036C" w:rsidP="003E5F7C">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3E5F7C">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9036C" w:rsidRPr="003E5F7C" w:rsidRDefault="00C9036C" w:rsidP="003E5F7C">
      <w:pPr>
        <w:pStyle w:val="Prrafodelista"/>
        <w:tabs>
          <w:tab w:val="left" w:pos="0"/>
        </w:tabs>
        <w:rPr>
          <w:rFonts w:ascii="Palatino Linotype" w:eastAsia="Palatino Linotype" w:hAnsi="Palatino Linotype" w:cs="Palatino Linotype"/>
          <w:b/>
          <w:color w:val="000000" w:themeColor="text1"/>
        </w:rPr>
      </w:pPr>
    </w:p>
    <w:p w:rsidR="00C9036C" w:rsidRPr="003E5F7C" w:rsidRDefault="00C9036C" w:rsidP="00A11D56">
      <w:pPr>
        <w:pStyle w:val="NormalWeb"/>
        <w:numPr>
          <w:ilvl w:val="0"/>
          <w:numId w:val="8"/>
        </w:numPr>
        <w:shd w:val="clear" w:color="auto" w:fill="FFFFFF"/>
        <w:tabs>
          <w:tab w:val="left" w:pos="0"/>
        </w:tabs>
        <w:spacing w:before="0" w:beforeAutospacing="0" w:after="0" w:afterAutospacing="0"/>
        <w:ind w:left="0" w:firstLine="0"/>
        <w:rPr>
          <w:rFonts w:ascii="Palatino Linotype" w:hAnsi="Palatino Linotype"/>
          <w:color w:val="000000" w:themeColor="text1"/>
        </w:rPr>
      </w:pPr>
      <w:r w:rsidRPr="003E5F7C">
        <w:rPr>
          <w:rFonts w:ascii="Palatino Linotype" w:hAnsi="Palatino Linotype"/>
          <w:b/>
          <w:bCs/>
          <w:color w:val="000000" w:themeColor="text1"/>
        </w:rPr>
        <w:t>Del nombre de policías.</w:t>
      </w:r>
    </w:p>
    <w:p w:rsidR="00C9036C" w:rsidRPr="00A11D56" w:rsidRDefault="00C9036C" w:rsidP="00A11D56">
      <w:pPr>
        <w:pStyle w:val="Prrafodelista"/>
        <w:numPr>
          <w:ilvl w:val="0"/>
          <w:numId w:val="1"/>
        </w:numPr>
        <w:shd w:val="clear" w:color="auto" w:fill="FFFFFF"/>
        <w:tabs>
          <w:tab w:val="left" w:pos="0"/>
        </w:tabs>
        <w:jc w:val="both"/>
        <w:rPr>
          <w:rFonts w:ascii="Palatino Linotype" w:hAnsi="Palatino Linotype"/>
          <w:color w:val="000000" w:themeColor="text1"/>
        </w:rPr>
      </w:pPr>
      <w:r w:rsidRPr="00A11D56">
        <w:rPr>
          <w:rFonts w:ascii="Palatino Linotype" w:hAnsi="Palatino Linotype"/>
          <w:color w:val="000000" w:themeColor="text1"/>
        </w:rPr>
        <w:t>En atención a que se observa que la informaci</w:t>
      </w:r>
      <w:r w:rsidR="00A11D56">
        <w:rPr>
          <w:rFonts w:ascii="Palatino Linotype" w:hAnsi="Palatino Linotype"/>
          <w:color w:val="000000" w:themeColor="text1"/>
        </w:rPr>
        <w:t xml:space="preserve">ón de la que se requiere acceso </w:t>
      </w:r>
      <w:r w:rsidRPr="00A11D56">
        <w:rPr>
          <w:rFonts w:ascii="Palatino Linotype" w:hAnsi="Palatino Linotype"/>
          <w:color w:val="000000" w:themeColor="text1"/>
        </w:rPr>
        <w:t>contiene información de los elementos de seguridad pública, es necesario señalar que las condiciones en las cuales se deberá entregar la información solicitada adquieren una especial naturaleza.</w:t>
      </w:r>
    </w:p>
    <w:p w:rsidR="00C9036C" w:rsidRPr="003E5F7C" w:rsidRDefault="00C9036C" w:rsidP="003E5F7C">
      <w:pPr>
        <w:shd w:val="clear" w:color="auto" w:fill="FFFFFF"/>
        <w:tabs>
          <w:tab w:val="left" w:pos="0"/>
        </w:tabs>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C9036C" w:rsidRPr="003E5F7C" w:rsidRDefault="00C9036C" w:rsidP="00A11D56">
      <w:pPr>
        <w:shd w:val="clear" w:color="auto" w:fill="FFFFFF"/>
        <w:tabs>
          <w:tab w:val="left" w:pos="0"/>
        </w:tabs>
        <w:jc w:val="both"/>
        <w:rPr>
          <w:rFonts w:ascii="Palatino Linotype" w:hAnsi="Palatino Linotype" w:cs="Arial"/>
          <w:color w:val="000000" w:themeColor="text1"/>
        </w:rPr>
      </w:pPr>
      <w:r w:rsidRPr="003E5F7C">
        <w:rPr>
          <w:rFonts w:ascii="Palatino Linotype" w:hAnsi="Palatino Linotype"/>
          <w:color w:val="000000" w:themeColor="text1"/>
        </w:rPr>
        <w:t> </w:t>
      </w:r>
      <w:r w:rsidRPr="003E5F7C">
        <w:rPr>
          <w:rFonts w:ascii="Palatino Linotype" w:hAnsi="Palatino Linotype" w:cs="Arial"/>
          <w:b/>
          <w:bCs/>
          <w:i/>
          <w:iCs/>
          <w:color w:val="000000" w:themeColor="text1"/>
        </w:rPr>
        <w:t>“Artículo 140.</w:t>
      </w:r>
      <w:r w:rsidRPr="003E5F7C">
        <w:rPr>
          <w:rFonts w:ascii="Palatino Linotype" w:hAnsi="Palatino Linotype" w:cs="Arial"/>
          <w:i/>
          <w:iCs/>
          <w:color w:val="000000" w:themeColor="text1"/>
        </w:rPr>
        <w:t> El acceso a la información pública será restringido excepcionalmente, cuando por razones de interés público, ésta sea clasificada como reservada, conforme a los criterios siguientes:</w:t>
      </w:r>
    </w:p>
    <w:p w:rsidR="00C9036C" w:rsidRPr="003E5F7C" w:rsidRDefault="00C9036C" w:rsidP="003E5F7C">
      <w:pPr>
        <w:pStyle w:val="NormalWeb"/>
        <w:shd w:val="clear" w:color="auto" w:fill="FFFFFF"/>
        <w:tabs>
          <w:tab w:val="left" w:pos="0"/>
        </w:tabs>
        <w:spacing w:before="240" w:beforeAutospacing="0" w:after="24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 Comprometa la seguridad pública y cuente con un propósito genuino y un efecto demostrable;</w:t>
      </w:r>
    </w:p>
    <w:p w:rsidR="00C9036C" w:rsidRPr="003E5F7C" w:rsidRDefault="00C9036C" w:rsidP="003E5F7C">
      <w:pPr>
        <w:pStyle w:val="NormalWeb"/>
        <w:shd w:val="clear" w:color="auto" w:fill="FFFFFF"/>
        <w:tabs>
          <w:tab w:val="left" w:pos="0"/>
        </w:tabs>
        <w:spacing w:before="240" w:beforeAutospacing="0" w:after="24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II. Pueda menoscabar la conducción de las negociaciones y relaciones internacionales;</w:t>
      </w:r>
    </w:p>
    <w:p w:rsidR="00C9036C" w:rsidRPr="003E5F7C" w:rsidRDefault="00C9036C" w:rsidP="003E5F7C">
      <w:pPr>
        <w:pStyle w:val="NormalWeb"/>
        <w:shd w:val="clear" w:color="auto" w:fill="FFFFFF"/>
        <w:tabs>
          <w:tab w:val="left" w:pos="0"/>
        </w:tabs>
        <w:spacing w:before="240" w:beforeAutospacing="0" w:after="24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C9036C" w:rsidRPr="003E5F7C" w:rsidRDefault="00C9036C" w:rsidP="003E5F7C">
      <w:pPr>
        <w:pStyle w:val="NormalWeb"/>
        <w:shd w:val="clear" w:color="auto" w:fill="FFFFFF"/>
        <w:tabs>
          <w:tab w:val="left" w:pos="0"/>
        </w:tabs>
        <w:spacing w:before="240" w:beforeAutospacing="0" w:after="24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IV. Ponga en riesgo la vida, la seguridad o la salud de una persona física;</w:t>
      </w:r>
    </w:p>
    <w:p w:rsidR="00C9036C" w:rsidRPr="003E5F7C" w:rsidRDefault="00C9036C" w:rsidP="003E5F7C">
      <w:pPr>
        <w:pStyle w:val="NormalWeb"/>
        <w:shd w:val="clear" w:color="auto" w:fill="FFFFFF"/>
        <w:tabs>
          <w:tab w:val="left" w:pos="0"/>
        </w:tabs>
        <w:spacing w:before="240" w:beforeAutospacing="0" w:after="24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shd w:val="clear" w:color="auto" w:fill="FFFFFF"/>
        <w:tabs>
          <w:tab w:val="left" w:pos="0"/>
        </w:tabs>
        <w:jc w:val="both"/>
        <w:rPr>
          <w:rFonts w:ascii="Palatino Linotype" w:hAnsi="Palatino Linotype" w:cs="Times New Roman"/>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lastRenderedPageBreak/>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3E5F7C">
        <w:rPr>
          <w:rFonts w:ascii="Palatino Linotype" w:hAnsi="Palatino Linotype"/>
          <w:b/>
          <w:bCs/>
          <w:color w:val="000000" w:themeColor="text1"/>
        </w:rPr>
        <w:t>vulnerar la vida, seguridad o salud de dichos elementos, incluso la de sus familias o entorno social, </w:t>
      </w:r>
      <w:r w:rsidRPr="003E5F7C">
        <w:rPr>
          <w:rFonts w:ascii="Palatino Linotype" w:hAnsi="Palatino Linotype"/>
          <w:color w:val="000000" w:themeColor="text1"/>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C9036C" w:rsidRPr="003E5F7C" w:rsidRDefault="00C9036C" w:rsidP="003E5F7C">
      <w:p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rsidR="00C9036C" w:rsidRPr="003E5F7C" w:rsidRDefault="00C9036C" w:rsidP="003E5F7C">
      <w:pPr>
        <w:shd w:val="clear" w:color="auto" w:fill="FFFFFF"/>
        <w:tabs>
          <w:tab w:val="left" w:pos="0"/>
        </w:tabs>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C9036C" w:rsidRPr="003E5F7C" w:rsidRDefault="00C9036C" w:rsidP="003E5F7C">
      <w:pPr>
        <w:shd w:val="clear" w:color="auto" w:fill="FFFFFF"/>
        <w:tabs>
          <w:tab w:val="left" w:pos="0"/>
        </w:tabs>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E5F7C">
        <w:rPr>
          <w:rFonts w:ascii="Palatino Linotype" w:hAnsi="Palatino Linotype"/>
          <w:b/>
          <w:bCs/>
          <w:color w:val="000000" w:themeColor="text1"/>
        </w:rPr>
        <w:t> SUJETO OBLIGADO</w:t>
      </w:r>
      <w:r w:rsidRPr="003E5F7C">
        <w:rPr>
          <w:rFonts w:ascii="Palatino Linotype" w:hAnsi="Palatino Linotype"/>
          <w:color w:val="000000" w:themeColor="text1"/>
        </w:rPr>
        <w:t>, colocando en inminente riesgo la vida de todos los integrantes, menoscabando así las actividades de prevención del delito y combate a la delincuencia.</w:t>
      </w:r>
    </w:p>
    <w:p w:rsidR="00C9036C" w:rsidRPr="003E5F7C" w:rsidRDefault="00C9036C" w:rsidP="003E5F7C">
      <w:pPr>
        <w:shd w:val="clear" w:color="auto" w:fill="FFFFFF"/>
        <w:tabs>
          <w:tab w:val="left" w:pos="0"/>
        </w:tabs>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w:t>
      </w:r>
      <w:r w:rsidRPr="003E5F7C">
        <w:rPr>
          <w:rFonts w:ascii="Palatino Linotype" w:hAnsi="Palatino Linotype"/>
          <w:color w:val="000000" w:themeColor="text1"/>
        </w:rPr>
        <w:lastRenderedPageBreak/>
        <w:t>caso particular es por lo que es necesaria la ponderación de ambos para que uno de ellos sea ejercido en la mayor medida posible.</w:t>
      </w:r>
    </w:p>
    <w:p w:rsidR="00C9036C" w:rsidRPr="003E5F7C" w:rsidRDefault="00C9036C" w:rsidP="003E5F7C">
      <w:pPr>
        <w:shd w:val="clear" w:color="auto" w:fill="FFFFFF"/>
        <w:tabs>
          <w:tab w:val="left" w:pos="0"/>
        </w:tabs>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C9036C" w:rsidRPr="003E5F7C" w:rsidRDefault="00C9036C" w:rsidP="003E5F7C">
      <w:pPr>
        <w:shd w:val="clear" w:color="auto" w:fill="FFFFFF"/>
        <w:tabs>
          <w:tab w:val="left" w:pos="0"/>
        </w:tabs>
        <w:rPr>
          <w:rFonts w:ascii="Palatino Linotype" w:hAnsi="Palatino Linotype"/>
          <w:color w:val="000000" w:themeColor="text1"/>
        </w:rPr>
      </w:pPr>
      <w:r w:rsidRPr="003E5F7C">
        <w:rPr>
          <w:rFonts w:ascii="Palatino Linotype" w:hAnsi="Palatino Linotype"/>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rsidR="00C9036C" w:rsidRPr="003E5F7C" w:rsidRDefault="00C9036C" w:rsidP="003E5F7C">
      <w:pPr>
        <w:shd w:val="clear" w:color="auto" w:fill="FFFFFF"/>
        <w:tabs>
          <w:tab w:val="left" w:pos="0"/>
        </w:tabs>
        <w:rPr>
          <w:rFonts w:ascii="Palatino Linotype" w:hAnsi="Palatino Linotype"/>
          <w:color w:val="000000" w:themeColor="text1"/>
        </w:rPr>
      </w:pPr>
      <w:r w:rsidRPr="003E5F7C">
        <w:rPr>
          <w:rFonts w:ascii="Palatino Linotype" w:hAnsi="Palatino Linotype"/>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C9036C" w:rsidRPr="003E5F7C" w:rsidRDefault="00C9036C" w:rsidP="003E5F7C">
      <w:pPr>
        <w:shd w:val="clear" w:color="auto" w:fill="FFFFFF"/>
        <w:tabs>
          <w:tab w:val="left" w:pos="0"/>
        </w:tabs>
        <w:rPr>
          <w:rFonts w:ascii="Palatino Linotype" w:hAnsi="Palatino Linotype"/>
          <w:color w:val="000000" w:themeColor="text1"/>
        </w:rPr>
      </w:pPr>
      <w:r w:rsidRPr="003E5F7C">
        <w:rPr>
          <w:rFonts w:ascii="Palatino Linotype" w:hAnsi="Palatino Linotype"/>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C9036C" w:rsidRPr="003E5F7C" w:rsidRDefault="00C9036C" w:rsidP="003E5F7C">
      <w:pPr>
        <w:shd w:val="clear" w:color="auto" w:fill="FFFFFF"/>
        <w:tabs>
          <w:tab w:val="left" w:pos="0"/>
        </w:tabs>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lastRenderedPageBreak/>
        <w:t>Al respecto, cabe hacer mención que el artículo 81 fracción III de la Ley de Seguridad del Estado de México, establece lo siguiente:</w:t>
      </w:r>
    </w:p>
    <w:p w:rsidR="00C9036C" w:rsidRPr="003E5F7C" w:rsidRDefault="00C9036C" w:rsidP="00A11D56">
      <w:pPr>
        <w:shd w:val="clear" w:color="auto" w:fill="FFFFFF"/>
        <w:ind w:left="426"/>
        <w:jc w:val="both"/>
        <w:rPr>
          <w:rFonts w:ascii="Palatino Linotype" w:hAnsi="Palatino Linotype" w:cs="Arial"/>
          <w:color w:val="000000" w:themeColor="text1"/>
        </w:rPr>
      </w:pPr>
      <w:r w:rsidRPr="003E5F7C">
        <w:rPr>
          <w:rFonts w:ascii="Palatino Linotype" w:hAnsi="Palatino Linotype"/>
          <w:color w:val="000000" w:themeColor="text1"/>
        </w:rPr>
        <w:t> </w:t>
      </w:r>
      <w:r w:rsidRPr="003E5F7C">
        <w:rPr>
          <w:rFonts w:ascii="Palatino Linotype" w:hAnsi="Palatino Linotype" w:cs="Arial"/>
          <w:i/>
          <w:iCs/>
          <w:color w:val="000000" w:themeColor="text1"/>
        </w:rPr>
        <w:t>“</w:t>
      </w:r>
      <w:r w:rsidRPr="003E5F7C">
        <w:rPr>
          <w:rFonts w:ascii="Palatino Linotype" w:hAnsi="Palatino Linotype" w:cs="Arial"/>
          <w:b/>
          <w:bCs/>
          <w:i/>
          <w:iCs/>
          <w:color w:val="000000" w:themeColor="text1"/>
        </w:rPr>
        <w:t>Artículo 81.-</w:t>
      </w:r>
      <w:r w:rsidRPr="003E5F7C">
        <w:rPr>
          <w:rFonts w:ascii="Palatino Linotype" w:hAnsi="Palatino Linotype" w:cs="Arial"/>
          <w:i/>
          <w:iCs/>
          <w:color w:val="000000" w:themeColor="text1"/>
        </w:rPr>
        <w:t> </w:t>
      </w:r>
      <w:r w:rsidRPr="003E5F7C">
        <w:rPr>
          <w:rFonts w:ascii="Palatino Linotype" w:hAnsi="Palatino Linotype" w:cs="Arial"/>
          <w:b/>
          <w:bCs/>
          <w:i/>
          <w:iCs/>
          <w:color w:val="000000" w:themeColor="text1"/>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E5F7C">
        <w:rPr>
          <w:rFonts w:ascii="Palatino Linotype" w:hAnsi="Palatino Linotype" w:cs="Arial"/>
          <w:i/>
          <w:iCs/>
          <w:color w:val="000000" w:themeColor="text1"/>
        </w:rPr>
        <w:t> en los casos siguientes:</w:t>
      </w:r>
    </w:p>
    <w:p w:rsidR="00C9036C" w:rsidRPr="003E5F7C" w:rsidRDefault="00C9036C" w:rsidP="00A11D56">
      <w:pPr>
        <w:pStyle w:val="NormalWeb"/>
        <w:shd w:val="clear" w:color="auto" w:fill="FFFFFF"/>
        <w:spacing w:before="0" w:beforeAutospacing="0" w:after="0" w:afterAutospacing="0"/>
        <w:ind w:left="426"/>
        <w:jc w:val="both"/>
        <w:rPr>
          <w:rFonts w:ascii="Palatino Linotype" w:hAnsi="Palatino Linotype" w:cs="Arial"/>
          <w:color w:val="000000" w:themeColor="text1"/>
        </w:rPr>
      </w:pPr>
      <w:r w:rsidRPr="003E5F7C">
        <w:rPr>
          <w:rFonts w:ascii="Palatino Linotype" w:hAnsi="Palatino Linotype" w:cs="Arial"/>
          <w:i/>
          <w:iCs/>
          <w:color w:val="000000" w:themeColor="text1"/>
          <w:lang w:val="es-ES_tradnl"/>
        </w:rPr>
        <w:t>…</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i/>
          <w:iCs/>
          <w:color w:val="000000" w:themeColor="text1"/>
          <w:lang w:val="es-ES_tradnl"/>
        </w:rPr>
      </w:pPr>
      <w:r w:rsidRPr="003E5F7C">
        <w:rPr>
          <w:rFonts w:ascii="Palatino Linotype" w:hAnsi="Palatino Linotype" w:cs="Arial"/>
          <w:b/>
          <w:bCs/>
          <w:i/>
          <w:iCs/>
          <w:color w:val="000000" w:themeColor="text1"/>
          <w:lang w:val="es-ES_tradnl"/>
        </w:rPr>
        <w:t>III.</w:t>
      </w:r>
      <w:r w:rsidRPr="003E5F7C">
        <w:rPr>
          <w:rFonts w:ascii="Palatino Linotype" w:hAnsi="Palatino Linotype" w:cs="Arial"/>
          <w:i/>
          <w:iCs/>
          <w:color w:val="000000" w:themeColor="text1"/>
          <w:lang w:val="es-ES_tradnl"/>
        </w:rPr>
        <w:t> </w:t>
      </w:r>
      <w:r w:rsidRPr="003E5F7C">
        <w:rPr>
          <w:rFonts w:ascii="Palatino Linotype" w:hAnsi="Palatino Linotype" w:cs="Arial"/>
          <w:b/>
          <w:bCs/>
          <w:i/>
          <w:iCs/>
          <w:color w:val="000000" w:themeColor="text1"/>
          <w:lang w:val="es-ES_tradnl"/>
        </w:rPr>
        <w:t>La relativa a servidores públicos miembros de las instituciones de seguridad pública, cuya revelación pueda poner en riesgo su vida e integridad física con motivo de sus funciones;</w:t>
      </w:r>
      <w:r w:rsidRPr="003E5F7C">
        <w:rPr>
          <w:rFonts w:ascii="Palatino Linotype" w:hAnsi="Palatino Linotype" w:cs="Arial"/>
          <w:i/>
          <w:iCs/>
          <w:color w:val="000000" w:themeColor="text1"/>
          <w:lang w:val="es-ES_tradnl"/>
        </w:rPr>
        <w:t>”</w:t>
      </w:r>
    </w:p>
    <w:p w:rsidR="00C9036C" w:rsidRPr="003E5F7C" w:rsidRDefault="00C9036C" w:rsidP="003E5F7C">
      <w:pPr>
        <w:pStyle w:val="NormalWeb"/>
        <w:shd w:val="clear" w:color="auto" w:fill="FFFFFF"/>
        <w:tabs>
          <w:tab w:val="left" w:pos="0"/>
        </w:tabs>
        <w:spacing w:before="0" w:beforeAutospacing="0" w:after="0" w:afterAutospacing="0"/>
        <w:jc w:val="both"/>
        <w:rPr>
          <w:rFonts w:ascii="Palatino Linotype" w:hAnsi="Palatino Linotype" w:cs="Arial"/>
          <w:color w:val="000000" w:themeColor="text1"/>
        </w:rPr>
      </w:pP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s="Times New Roman"/>
          <w:color w:val="000000" w:themeColor="text1"/>
        </w:rPr>
      </w:pPr>
      <w:r w:rsidRPr="003E5F7C">
        <w:rPr>
          <w:rFonts w:ascii="Palatino Linotype" w:hAnsi="Palatino Linotype"/>
          <w:color w:val="000000" w:themeColor="text1"/>
        </w:rPr>
        <w:t>Argumento que se fortalece con lo estipulado en el criterio número 6-09, del Instituto Nacional de Transparencia, Acceso a la Información y Protección de Datos Personales, antes (INAI)</w:t>
      </w:r>
      <w:r w:rsidRPr="003E5F7C">
        <w:rPr>
          <w:rFonts w:ascii="Palatino Linotype" w:hAnsi="Palatino Linotype"/>
          <w:b/>
          <w:bCs/>
          <w:color w:val="000000" w:themeColor="text1"/>
        </w:rPr>
        <w:t>, </w:t>
      </w:r>
      <w:r w:rsidRPr="003E5F7C">
        <w:rPr>
          <w:rFonts w:ascii="Palatino Linotype" w:hAnsi="Palatino Linotype"/>
          <w:color w:val="000000" w:themeColor="text1"/>
        </w:rPr>
        <w:t>el cual refiere:</w:t>
      </w:r>
    </w:p>
    <w:p w:rsidR="00C9036C" w:rsidRPr="003E5F7C" w:rsidRDefault="00C9036C" w:rsidP="003E5F7C">
      <w:pPr>
        <w:shd w:val="clear" w:color="auto" w:fill="FFFFFF"/>
        <w:tabs>
          <w:tab w:val="left" w:pos="0"/>
        </w:tabs>
        <w:ind w:left="567"/>
        <w:jc w:val="both"/>
        <w:rPr>
          <w:rFonts w:ascii="Palatino Linotype" w:hAnsi="Palatino Linotype"/>
          <w:color w:val="000000" w:themeColor="text1"/>
        </w:rPr>
      </w:pPr>
      <w:r w:rsidRPr="003E5F7C">
        <w:rPr>
          <w:rFonts w:ascii="Palatino Linotype" w:hAnsi="Palatino Linotype"/>
          <w:b/>
          <w:b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center"/>
        <w:rPr>
          <w:rFonts w:ascii="Palatino Linotype" w:hAnsi="Palatino Linotype" w:cs="Arial"/>
          <w:color w:val="000000" w:themeColor="text1"/>
        </w:rPr>
      </w:pPr>
      <w:r w:rsidRPr="003E5F7C">
        <w:rPr>
          <w:rFonts w:ascii="Palatino Linotype" w:hAnsi="Palatino Linotype" w:cs="Arial"/>
          <w:b/>
          <w:bCs/>
          <w:i/>
          <w:iCs/>
          <w:color w:val="000000" w:themeColor="text1"/>
        </w:rPr>
        <w:t>“Criterio 6-09</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Nombres de servidores públicos dedicados a actividades en materia de seguridad, por excepción pueden considerarse información reservada. </w:t>
      </w:r>
      <w:r w:rsidRPr="003E5F7C">
        <w:rPr>
          <w:rFonts w:ascii="Palatino Linotype" w:hAnsi="Palatino Linotype" w:cs="Arial"/>
          <w:i/>
          <w:iCs/>
          <w:color w:val="000000" w:themeColor="text1"/>
        </w:rPr>
        <w:t>De conformidad con el artículo 7, fracciones I y III de la Ley Federal de Transparencia y Acceso a la Información Pública Gubernamental </w:t>
      </w:r>
      <w:r w:rsidRPr="003E5F7C">
        <w:rPr>
          <w:rFonts w:ascii="Palatino Linotype" w:hAnsi="Palatino Linotype" w:cs="Arial"/>
          <w:b/>
          <w:bCs/>
          <w:i/>
          <w:iCs/>
          <w:color w:val="000000" w:themeColor="text1"/>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E5F7C">
        <w:rPr>
          <w:rFonts w:ascii="Palatino Linotype" w:hAnsi="Palatino Linotype" w:cs="Arial"/>
          <w:i/>
          <w:iCs/>
          <w:color w:val="000000" w:themeColor="text1"/>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E5F7C">
        <w:rPr>
          <w:rFonts w:ascii="Palatino Linotype" w:hAnsi="Palatino Linotype" w:cs="Arial"/>
          <w:b/>
          <w:bCs/>
          <w:i/>
          <w:iCs/>
          <w:color w:val="000000" w:themeColor="text1"/>
        </w:rPr>
        <w:t>el artículo 13, fracción I de la ley de referencia se establece que podrá clasificarse aquella información cuya difusión pueda comprometer la seguridad nacional y pública</w:t>
      </w:r>
      <w:r w:rsidRPr="003E5F7C">
        <w:rPr>
          <w:rFonts w:ascii="Palatino Linotype" w:hAnsi="Palatino Linotype" w:cs="Arial"/>
          <w:i/>
          <w:iCs/>
          <w:color w:val="000000" w:themeColor="text1"/>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E5F7C">
        <w:rPr>
          <w:rFonts w:ascii="Palatino Linotype" w:hAnsi="Palatino Linotype" w:cs="Arial"/>
          <w:b/>
          <w:bCs/>
          <w:i/>
          <w:iCs/>
          <w:color w:val="000000" w:themeColor="text1"/>
        </w:rPr>
        <w:t>por lo que la reserva de la relación de los nombres y las funciones que desempeñan los servidores públicos que prestan sus servicios en áreas de seguridad nacional o pública</w:t>
      </w:r>
      <w:r w:rsidRPr="003E5F7C">
        <w:rPr>
          <w:rFonts w:ascii="Palatino Linotype" w:hAnsi="Palatino Linotype" w:cs="Arial"/>
          <w:i/>
          <w:iCs/>
          <w:color w:val="000000" w:themeColor="text1"/>
        </w:rPr>
        <w:t xml:space="preserve">, puede llegar a constituirse en un componente fundamental en el esfuerzo </w:t>
      </w:r>
      <w:r w:rsidRPr="003E5F7C">
        <w:rPr>
          <w:rFonts w:ascii="Palatino Linotype" w:hAnsi="Palatino Linotype" w:cs="Arial"/>
          <w:i/>
          <w:iCs/>
          <w:color w:val="000000" w:themeColor="text1"/>
        </w:rPr>
        <w:lastRenderedPageBreak/>
        <w:t>que realiza el Estado Mexicano para garantizar la seguridad del país en sus diferentes vertientes”</w:t>
      </w:r>
    </w:p>
    <w:p w:rsidR="00C9036C" w:rsidRPr="003E5F7C" w:rsidRDefault="00C9036C" w:rsidP="003E5F7C">
      <w:pPr>
        <w:shd w:val="clear" w:color="auto" w:fill="FFFFFF"/>
        <w:tabs>
          <w:tab w:val="left" w:pos="0"/>
        </w:tabs>
        <w:jc w:val="both"/>
        <w:rPr>
          <w:rFonts w:ascii="Palatino Linotype" w:hAnsi="Palatino Linotype" w:cs="Times New Roman"/>
          <w:color w:val="000000" w:themeColor="text1"/>
        </w:rPr>
      </w:pP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3E5F7C">
        <w:rPr>
          <w:rFonts w:ascii="Palatino Linotype" w:hAnsi="Palatino Linotype"/>
          <w:b/>
          <w:bCs/>
          <w:color w:val="000000" w:themeColor="text1"/>
        </w:rPr>
        <w:t>SUJETO OBLIGADO</w:t>
      </w:r>
      <w:r w:rsidRPr="003E5F7C">
        <w:rPr>
          <w:rFonts w:ascii="Palatino Linotype" w:hAnsi="Palatino Linotype"/>
          <w:color w:val="000000" w:themeColor="text1"/>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C9036C" w:rsidRPr="003E5F7C" w:rsidRDefault="00C9036C" w:rsidP="00A11D56">
      <w:pPr>
        <w:shd w:val="clear" w:color="auto" w:fill="FFFFFF"/>
        <w:tabs>
          <w:tab w:val="left" w:pos="0"/>
        </w:tabs>
        <w:jc w:val="both"/>
        <w:rPr>
          <w:rFonts w:ascii="Palatino Linotype" w:hAnsi="Palatino Linotype" w:cs="Arial"/>
          <w:color w:val="000000" w:themeColor="text1"/>
        </w:rPr>
      </w:pPr>
      <w:r w:rsidRPr="003E5F7C">
        <w:rPr>
          <w:rFonts w:ascii="Palatino Linotype" w:hAnsi="Palatino Linotype"/>
          <w:b/>
          <w:bCs/>
          <w:color w:val="000000" w:themeColor="text1"/>
        </w:rPr>
        <w:t> </w:t>
      </w:r>
      <w:r w:rsidRPr="003E5F7C">
        <w:rPr>
          <w:rFonts w:ascii="Palatino Linotype" w:hAnsi="Palatino Linotype" w:cs="Arial"/>
          <w:b/>
          <w:bCs/>
          <w:i/>
          <w:iCs/>
          <w:color w:val="000000" w:themeColor="text1"/>
        </w:rPr>
        <w:t>“Artículo 49</w:t>
      </w:r>
      <w:r w:rsidRPr="003E5F7C">
        <w:rPr>
          <w:rFonts w:ascii="Palatino Linotype" w:hAnsi="Palatino Linotype" w:cs="Arial"/>
          <w:i/>
          <w:iCs/>
          <w:color w:val="000000" w:themeColor="text1"/>
        </w:rPr>
        <w:t>. Los Comités de Transparencia tendrán las siguientes atribuciones:</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VIII. Aprobar, modificar o revocar la clasificación de la información;</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Artículo 132</w:t>
      </w:r>
      <w:r w:rsidRPr="003E5F7C">
        <w:rPr>
          <w:rFonts w:ascii="Palatino Linotype" w:hAnsi="Palatino Linotype" w:cs="Arial"/>
          <w:i/>
          <w:iCs/>
          <w:color w:val="000000" w:themeColor="text1"/>
        </w:rPr>
        <w:t>. La clasificación de la información se llevará a cabo en el momento en que:</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 Se reciba una solicitud de acceso a la información;</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II. Se determine mediante resolución de autoridad competente; o</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III. Se generen versiones públicas para dar cumplimiento a las obligaciones de transparencia previstas en esta Ley.”</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Cuarto.</w:t>
      </w:r>
      <w:r w:rsidRPr="003E5F7C">
        <w:rPr>
          <w:rFonts w:ascii="Palatino Linotype" w:hAnsi="Palatino Linotype" w:cs="Arial"/>
          <w:i/>
          <w:iCs/>
          <w:color w:val="000000" w:themeColor="text1"/>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Quinto.</w:t>
      </w:r>
      <w:r w:rsidRPr="003E5F7C">
        <w:rPr>
          <w:rFonts w:ascii="Palatino Linotype" w:hAnsi="Palatino Linotype" w:cs="Arial"/>
          <w:i/>
          <w:iCs/>
          <w:color w:val="000000" w:themeColor="text1"/>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3E5F7C">
        <w:rPr>
          <w:rFonts w:ascii="Palatino Linotype" w:hAnsi="Palatino Linotype" w:cs="Arial"/>
          <w:i/>
          <w:iCs/>
          <w:color w:val="000000" w:themeColor="text1"/>
        </w:rPr>
        <w:lastRenderedPageBreak/>
        <w:t>transparencia, observando lo dispuesto en la Ley General y las demás disposiciones aplicables en la materia.</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Sexto.</w:t>
      </w:r>
      <w:r w:rsidRPr="003E5F7C">
        <w:rPr>
          <w:rFonts w:ascii="Palatino Linotype" w:hAnsi="Palatino Linotype" w:cs="Arial"/>
          <w:i/>
          <w:iCs/>
          <w:color w:val="000000" w:themeColor="text1"/>
        </w:rPr>
        <w:t> Los Sujetos Obligados no podrán emitir acuerdos de carácter general ni particular que clasifiquen documentos o expedientes como reservados, ni clasificar documentos antes de que se genere la información o cuando éstos no obren en sus archivos.</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La clasificación de información se realizará conforme a un análisis caso por caso, mediante la aplicación de la prueba de daño y de interés público.</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Séptimo.</w:t>
      </w:r>
      <w:r w:rsidRPr="003E5F7C">
        <w:rPr>
          <w:rFonts w:ascii="Palatino Linotype" w:hAnsi="Palatino Linotype" w:cs="Arial"/>
          <w:i/>
          <w:iCs/>
          <w:color w:val="000000" w:themeColor="text1"/>
        </w:rPr>
        <w:t> La clasificación de la información se llevará a cabo en el momento en que: I. Se reciba una solicitud de acceso a la información;</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II. Se determine mediante resolución de autoridad competente, o</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III. Se generen versiones públicas para dar cumplimiento a las obligaciones de transparencia previstas en la Ley General, la Ley Federal y las correspondientes de las entidades federativas.</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Los titulares de las áreas deberán revisar la clasificación al momento de la recepción de una solicitud de acceso a la información, para verificar si encuadra en una causal de reserva o de confidencialidad.</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Octavo.</w:t>
      </w:r>
      <w:r w:rsidRPr="003E5F7C">
        <w:rPr>
          <w:rFonts w:ascii="Palatino Linotype" w:hAnsi="Palatino Linotype" w:cs="Arial"/>
          <w:i/>
          <w:iCs/>
          <w:color w:val="000000" w:themeColor="text1"/>
        </w:rPr>
        <w:t> Para fundar la clasificación de la información se debe señalar el artículo, fracción, inciso, párrafo o numeral de la ley o tratado internacional suscrito por el Estado mexicano que expresamente le otorga el carácter de reservada o confidencial.</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Para motivar la clasificación se deberán señalar las razones o circunstancias especiales que lo llevaron a concluir que el caso particular se ajusta al supuesto previsto por la norma legal invocada como fundamento.</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En caso de referirse a información reservada, la motivación de la clasificación también deberá comprender las circunstancias que justifican el establecimiento de determinado plazo de reserva.</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Tratándose de información clasificada como confidencial respecto de la cual se haya determinado su conservación permanente por tener valor histórico, ésta conservará tal carácter de conformidad con la normativa aplicable en materia de archivos.</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lastRenderedPageBreak/>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Décimo</w:t>
      </w:r>
      <w:r w:rsidRPr="003E5F7C">
        <w:rPr>
          <w:rFonts w:ascii="Palatino Linotype" w:hAnsi="Palatino Linotype" w:cs="Arial"/>
          <w:i/>
          <w:iCs/>
          <w:color w:val="000000" w:themeColor="text1"/>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En ausencia de los titulares de las áreas, la información será clasificada o desclasificada por la persona que lo supla, en términos de la normativa que rija la actuación del sujeto obligado.</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i/>
          <w:iCs/>
          <w:color w:val="000000" w:themeColor="text1"/>
        </w:rPr>
        <w:t> </w:t>
      </w:r>
    </w:p>
    <w:p w:rsidR="00C9036C" w:rsidRPr="003E5F7C" w:rsidRDefault="00C9036C" w:rsidP="003E5F7C">
      <w:pPr>
        <w:pStyle w:val="NormalWeb"/>
        <w:shd w:val="clear" w:color="auto" w:fill="FFFFFF"/>
        <w:tabs>
          <w:tab w:val="left" w:pos="0"/>
        </w:tabs>
        <w:spacing w:before="0" w:beforeAutospacing="0" w:after="0" w:afterAutospacing="0"/>
        <w:ind w:left="567"/>
        <w:jc w:val="both"/>
        <w:rPr>
          <w:rFonts w:ascii="Palatino Linotype" w:hAnsi="Palatino Linotype" w:cs="Arial"/>
          <w:color w:val="000000" w:themeColor="text1"/>
        </w:rPr>
      </w:pPr>
      <w:r w:rsidRPr="003E5F7C">
        <w:rPr>
          <w:rFonts w:ascii="Palatino Linotype" w:hAnsi="Palatino Linotype" w:cs="Arial"/>
          <w:b/>
          <w:bCs/>
          <w:i/>
          <w:iCs/>
          <w:color w:val="000000" w:themeColor="text1"/>
        </w:rPr>
        <w:t>Décimo primero</w:t>
      </w:r>
      <w:r w:rsidRPr="003E5F7C">
        <w:rPr>
          <w:rFonts w:ascii="Palatino Linotype" w:hAnsi="Palatino Linotype" w:cs="Arial"/>
          <w:i/>
          <w:iCs/>
          <w:color w:val="000000" w:themeColor="text1"/>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9036C" w:rsidRPr="003E5F7C" w:rsidRDefault="00C9036C" w:rsidP="003E5F7C">
      <w:pPr>
        <w:shd w:val="clear" w:color="auto" w:fill="FFFFFF"/>
        <w:tabs>
          <w:tab w:val="left" w:pos="0"/>
        </w:tabs>
        <w:spacing w:line="360" w:lineRule="atLeast"/>
        <w:jc w:val="both"/>
        <w:rPr>
          <w:rFonts w:ascii="Palatino Linotype" w:hAnsi="Palatino Linotype" w:cs="Times New Roman"/>
          <w:color w:val="000000" w:themeColor="text1"/>
        </w:rPr>
      </w:pPr>
    </w:p>
    <w:p w:rsidR="00C9036C" w:rsidRPr="003E5F7C" w:rsidRDefault="00C9036C" w:rsidP="003E5F7C">
      <w:pPr>
        <w:pStyle w:val="Prrafodelista"/>
        <w:numPr>
          <w:ilvl w:val="0"/>
          <w:numId w:val="1"/>
        </w:numPr>
        <w:shd w:val="clear" w:color="auto" w:fill="FFFFFF"/>
        <w:tabs>
          <w:tab w:val="left" w:pos="0"/>
        </w:tabs>
        <w:spacing w:line="360" w:lineRule="atLeast"/>
        <w:jc w:val="both"/>
        <w:rPr>
          <w:rFonts w:ascii="Palatino Linotype" w:hAnsi="Palatino Linotype"/>
          <w:color w:val="000000" w:themeColor="text1"/>
        </w:rPr>
      </w:pPr>
      <w:r w:rsidRPr="003E5F7C">
        <w:rPr>
          <w:rFonts w:ascii="Palatino Linotype" w:hAnsi="Palatino Linotype"/>
          <w:color w:val="000000" w:themeColor="text1"/>
        </w:rPr>
        <w:t>En tal contexto se deberá proceder a la clasificación de los nombres de los elementos de policía que realicen actividades operativas en campo.</w:t>
      </w:r>
    </w:p>
    <w:p w:rsidR="00C9036C" w:rsidRPr="003E5F7C" w:rsidRDefault="00C9036C"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9036C" w:rsidRPr="003E5F7C" w:rsidRDefault="00C9036C" w:rsidP="003E5F7C">
      <w:pPr>
        <w:pStyle w:val="Prrafodelista"/>
        <w:tabs>
          <w:tab w:val="left" w:pos="0"/>
        </w:tabs>
        <w:rPr>
          <w:rFonts w:ascii="Palatino Linotype" w:eastAsia="Palatino Linotype" w:hAnsi="Palatino Linotype" w:cs="Palatino Linotype"/>
          <w:color w:val="000000" w:themeColor="text1"/>
        </w:rPr>
      </w:pPr>
    </w:p>
    <w:p w:rsidR="00C9036C" w:rsidRPr="003E5F7C" w:rsidRDefault="00C9036C" w:rsidP="003E5F7C">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3E5F7C">
        <w:rPr>
          <w:rFonts w:ascii="Palatino Linotype" w:eastAsia="Palatino Linotype" w:hAnsi="Palatino Linotype" w:cs="Palatino Linotype"/>
          <w:b/>
          <w:color w:val="000000" w:themeColor="text1"/>
        </w:rPr>
        <w:t xml:space="preserve"> RECURRENTE</w:t>
      </w:r>
      <w:r w:rsidRPr="003E5F7C">
        <w:rPr>
          <w:rFonts w:ascii="Palatino Linotype" w:eastAsia="Palatino Linotype" w:hAnsi="Palatino Linotype" w:cs="Palatino Linotype"/>
          <w:color w:val="000000" w:themeColor="text1"/>
        </w:rPr>
        <w:t xml:space="preserve">, determinando </w:t>
      </w:r>
      <w:r w:rsidRPr="003E5F7C">
        <w:rPr>
          <w:rFonts w:ascii="Palatino Linotype" w:eastAsia="Palatino Linotype" w:hAnsi="Palatino Linotype" w:cs="Palatino Linotype"/>
          <w:b/>
          <w:color w:val="000000" w:themeColor="text1"/>
        </w:rPr>
        <w:t xml:space="preserve">MODIFICAR </w:t>
      </w:r>
      <w:r w:rsidRPr="003E5F7C">
        <w:rPr>
          <w:rFonts w:ascii="Palatino Linotype" w:eastAsia="Palatino Linotype" w:hAnsi="Palatino Linotype" w:cs="Palatino Linotype"/>
          <w:color w:val="000000" w:themeColor="text1"/>
        </w:rPr>
        <w:t xml:space="preserve">la respuesta del </w:t>
      </w:r>
      <w:r w:rsidRPr="003E5F7C">
        <w:rPr>
          <w:rFonts w:ascii="Palatino Linotype" w:eastAsia="Palatino Linotype" w:hAnsi="Palatino Linotype" w:cs="Palatino Linotype"/>
          <w:b/>
          <w:color w:val="000000" w:themeColor="text1"/>
        </w:rPr>
        <w:t>SUJETO OBLIGADO</w:t>
      </w:r>
      <w:r w:rsidRPr="003E5F7C">
        <w:rPr>
          <w:rFonts w:ascii="Palatino Linotype" w:eastAsia="Palatino Linotype" w:hAnsi="Palatino Linotype" w:cs="Palatino Linotype"/>
          <w:color w:val="000000" w:themeColor="text1"/>
        </w:rPr>
        <w:t xml:space="preserve">, por lo que con fundamento en lo prescrito en los </w:t>
      </w:r>
      <w:r w:rsidRPr="003E5F7C">
        <w:rPr>
          <w:rFonts w:ascii="Palatino Linotype" w:eastAsia="Palatino Linotype" w:hAnsi="Palatino Linotype" w:cs="Palatino Linotype"/>
          <w:color w:val="000000" w:themeColor="text1"/>
        </w:rPr>
        <w:lastRenderedPageBreak/>
        <w:t xml:space="preserve">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3E5F7C">
        <w:rPr>
          <w:rFonts w:ascii="Palatino Linotype" w:eastAsia="Palatino Linotype" w:hAnsi="Palatino Linotype" w:cs="Palatino Linotype"/>
          <w:b/>
          <w:color w:val="000000" w:themeColor="text1"/>
        </w:rPr>
        <w:t>ÓRGANO GARANTE</w:t>
      </w:r>
      <w:r w:rsidRPr="003E5F7C">
        <w:rPr>
          <w:rFonts w:ascii="Palatino Linotype" w:eastAsia="Palatino Linotype" w:hAnsi="Palatino Linotype" w:cs="Palatino Linotype"/>
          <w:color w:val="000000" w:themeColor="text1"/>
        </w:rPr>
        <w:t xml:space="preserve"> emite los siguientes.</w:t>
      </w:r>
    </w:p>
    <w:p w:rsidR="00D86E74" w:rsidRPr="003E5F7C"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pStyle w:val="Ttulo1"/>
        <w:tabs>
          <w:tab w:val="left" w:pos="0"/>
        </w:tabs>
        <w:spacing w:before="0" w:line="360" w:lineRule="auto"/>
        <w:jc w:val="center"/>
        <w:rPr>
          <w:b w:val="0"/>
          <w:color w:val="000000" w:themeColor="text1"/>
        </w:rPr>
      </w:pPr>
      <w:r w:rsidRPr="003E5F7C">
        <w:rPr>
          <w:color w:val="000000" w:themeColor="text1"/>
        </w:rPr>
        <w:t>R E S O L U T I V O S</w:t>
      </w:r>
    </w:p>
    <w:p w:rsidR="00D86E74" w:rsidRPr="003E5F7C" w:rsidRDefault="00D86E74" w:rsidP="003E5F7C">
      <w:pPr>
        <w:tabs>
          <w:tab w:val="left" w:pos="0"/>
        </w:tabs>
        <w:spacing w:line="360" w:lineRule="auto"/>
        <w:rPr>
          <w:rFonts w:ascii="Palatino Linotype" w:eastAsia="Palatino Linotype" w:hAnsi="Palatino Linotype" w:cs="Palatino Linotype"/>
          <w:color w:val="000000" w:themeColor="text1"/>
        </w:rPr>
      </w:pPr>
    </w:p>
    <w:p w:rsidR="00D86E74" w:rsidRPr="003E5F7C" w:rsidRDefault="00B05C77" w:rsidP="003E5F7C">
      <w:p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b/>
          <w:color w:val="000000" w:themeColor="text1"/>
        </w:rPr>
        <w:t>PRIMERO</w:t>
      </w:r>
      <w:r w:rsidRPr="003E5F7C">
        <w:rPr>
          <w:rFonts w:ascii="Palatino Linotype" w:eastAsia="Palatino Linotype" w:hAnsi="Palatino Linotype" w:cs="Palatino Linotype"/>
          <w:color w:val="000000" w:themeColor="text1"/>
        </w:rPr>
        <w:t xml:space="preserve">. Resultan fundadas las razones o motivos de inconformidad hechos valer en el Recursos de Revisión </w:t>
      </w:r>
      <w:r w:rsidR="00C9036C" w:rsidRPr="003E5F7C">
        <w:rPr>
          <w:rFonts w:ascii="Palatino Linotype" w:eastAsia="Palatino Linotype" w:hAnsi="Palatino Linotype" w:cs="Palatino Linotype"/>
          <w:b/>
          <w:color w:val="000000" w:themeColor="text1"/>
        </w:rPr>
        <w:t>03673</w:t>
      </w:r>
      <w:r w:rsidRPr="003E5F7C">
        <w:rPr>
          <w:rFonts w:ascii="Palatino Linotype" w:eastAsia="Palatino Linotype" w:hAnsi="Palatino Linotype" w:cs="Palatino Linotype"/>
          <w:b/>
          <w:color w:val="000000" w:themeColor="text1"/>
        </w:rPr>
        <w:t xml:space="preserve">/INFOEM/IP/RR/2025 </w:t>
      </w:r>
      <w:r w:rsidRPr="003E5F7C">
        <w:rPr>
          <w:rFonts w:ascii="Palatino Linotype" w:eastAsia="Palatino Linotype" w:hAnsi="Palatino Linotype" w:cs="Palatino Linotype"/>
          <w:color w:val="000000" w:themeColor="text1"/>
        </w:rPr>
        <w:t xml:space="preserve">en términos del </w:t>
      </w:r>
      <w:r w:rsidRPr="003E5F7C">
        <w:rPr>
          <w:rFonts w:ascii="Palatino Linotype" w:eastAsia="Palatino Linotype" w:hAnsi="Palatino Linotype" w:cs="Palatino Linotype"/>
          <w:b/>
          <w:color w:val="000000" w:themeColor="text1"/>
        </w:rPr>
        <w:t xml:space="preserve">Considerando CUARTO y QUINTO </w:t>
      </w:r>
      <w:r w:rsidRPr="003E5F7C">
        <w:rPr>
          <w:rFonts w:ascii="Palatino Linotype" w:eastAsia="Palatino Linotype" w:hAnsi="Palatino Linotype" w:cs="Palatino Linotype"/>
          <w:color w:val="000000" w:themeColor="text1"/>
        </w:rPr>
        <w:t>de la presente resolución.</w:t>
      </w:r>
    </w:p>
    <w:p w:rsidR="00D86E74" w:rsidRPr="003E5F7C" w:rsidRDefault="00D86E74" w:rsidP="003E5F7C">
      <w:pP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tabs>
          <w:tab w:val="left" w:pos="0"/>
        </w:tabs>
        <w:spacing w:line="360" w:lineRule="auto"/>
        <w:jc w:val="both"/>
        <w:rPr>
          <w:rFonts w:ascii="Palatino Linotype" w:eastAsia="Palatino Linotype" w:hAnsi="Palatino Linotype" w:cs="Palatino Linotype"/>
          <w:color w:val="000000" w:themeColor="text1"/>
        </w:rPr>
      </w:pPr>
      <w:bookmarkStart w:id="9" w:name="_heading=h.26in1rg" w:colFirst="0" w:colLast="0"/>
      <w:bookmarkEnd w:id="9"/>
      <w:r w:rsidRPr="003E5F7C">
        <w:rPr>
          <w:rFonts w:ascii="Palatino Linotype" w:eastAsia="Palatino Linotype" w:hAnsi="Palatino Linotype" w:cs="Palatino Linotype"/>
          <w:b/>
          <w:color w:val="000000" w:themeColor="text1"/>
        </w:rPr>
        <w:t xml:space="preserve">SEGUNDO. </w:t>
      </w:r>
      <w:r w:rsidRPr="003E5F7C">
        <w:rPr>
          <w:rFonts w:ascii="Palatino Linotype" w:eastAsia="Palatino Linotype" w:hAnsi="Palatino Linotype" w:cs="Palatino Linotype"/>
          <w:color w:val="000000" w:themeColor="text1"/>
        </w:rPr>
        <w:t xml:space="preserve">Se </w:t>
      </w:r>
      <w:r w:rsidRPr="003E5F7C">
        <w:rPr>
          <w:rFonts w:ascii="Palatino Linotype" w:eastAsia="Palatino Linotype" w:hAnsi="Palatino Linotype" w:cs="Palatino Linotype"/>
          <w:b/>
          <w:color w:val="000000" w:themeColor="text1"/>
        </w:rPr>
        <w:t xml:space="preserve">MODIFICA </w:t>
      </w:r>
      <w:r w:rsidRPr="003E5F7C">
        <w:rPr>
          <w:rFonts w:ascii="Palatino Linotype" w:eastAsia="Palatino Linotype" w:hAnsi="Palatino Linotype" w:cs="Palatino Linotype"/>
          <w:color w:val="000000" w:themeColor="text1"/>
        </w:rPr>
        <w:t xml:space="preserve">la respuesta emitida por el </w:t>
      </w:r>
      <w:r w:rsidRPr="003E5F7C">
        <w:rPr>
          <w:rFonts w:ascii="Palatino Linotype" w:eastAsia="Palatino Linotype" w:hAnsi="Palatino Linotype" w:cs="Palatino Linotype"/>
          <w:b/>
          <w:color w:val="000000" w:themeColor="text1"/>
        </w:rPr>
        <w:t>Ayuntamiento de T</w:t>
      </w:r>
      <w:r w:rsidR="00C9036C" w:rsidRPr="003E5F7C">
        <w:rPr>
          <w:rFonts w:ascii="Palatino Linotype" w:eastAsia="Palatino Linotype" w:hAnsi="Palatino Linotype" w:cs="Palatino Linotype"/>
          <w:b/>
          <w:color w:val="000000" w:themeColor="text1"/>
        </w:rPr>
        <w:t>onatico</w:t>
      </w:r>
      <w:r w:rsidRPr="003E5F7C">
        <w:rPr>
          <w:rFonts w:ascii="Palatino Linotype" w:eastAsia="Palatino Linotype" w:hAnsi="Palatino Linotype" w:cs="Palatino Linotype"/>
          <w:b/>
          <w:color w:val="000000" w:themeColor="text1"/>
        </w:rPr>
        <w:t>,</w:t>
      </w:r>
      <w:r w:rsidRPr="003E5F7C">
        <w:rPr>
          <w:rFonts w:ascii="Palatino Linotype" w:eastAsia="Palatino Linotype" w:hAnsi="Palatino Linotype" w:cs="Palatino Linotype"/>
          <w:color w:val="000000" w:themeColor="text1"/>
        </w:rPr>
        <w:t xml:space="preserve"> a la solicitud de información pública registrada con el número</w:t>
      </w:r>
      <w:r w:rsidRPr="003E5F7C">
        <w:rPr>
          <w:rFonts w:ascii="Palatino Linotype" w:eastAsia="Palatino Linotype" w:hAnsi="Palatino Linotype" w:cs="Palatino Linotype"/>
          <w:b/>
          <w:color w:val="000000" w:themeColor="text1"/>
        </w:rPr>
        <w:t xml:space="preserve"> </w:t>
      </w:r>
      <w:r w:rsidR="00C9036C" w:rsidRPr="003E5F7C">
        <w:rPr>
          <w:rFonts w:ascii="Palatino Linotype" w:eastAsia="Palatino Linotype" w:hAnsi="Palatino Linotype" w:cs="Palatino Linotype"/>
          <w:b/>
          <w:color w:val="000000" w:themeColor="text1"/>
        </w:rPr>
        <w:t>00013/TONATICO</w:t>
      </w:r>
      <w:r w:rsidRPr="003E5F7C">
        <w:rPr>
          <w:rFonts w:ascii="Palatino Linotype" w:eastAsia="Palatino Linotype" w:hAnsi="Palatino Linotype" w:cs="Palatino Linotype"/>
          <w:b/>
          <w:color w:val="000000" w:themeColor="text1"/>
        </w:rPr>
        <w:t xml:space="preserve">/IP/2025 </w:t>
      </w:r>
      <w:r w:rsidRPr="003E5F7C">
        <w:rPr>
          <w:rFonts w:ascii="Palatino Linotype" w:eastAsia="Palatino Linotype" w:hAnsi="Palatino Linotype" w:cs="Palatino Linotype"/>
          <w:color w:val="000000" w:themeColor="text1"/>
        </w:rPr>
        <w:t xml:space="preserve">y se </w:t>
      </w:r>
      <w:r w:rsidRPr="003E5F7C">
        <w:rPr>
          <w:rFonts w:ascii="Palatino Linotype" w:eastAsia="Palatino Linotype" w:hAnsi="Palatino Linotype" w:cs="Palatino Linotype"/>
          <w:b/>
          <w:color w:val="000000" w:themeColor="text1"/>
        </w:rPr>
        <w:t>ORDENA</w:t>
      </w:r>
      <w:r w:rsidRPr="003E5F7C">
        <w:rPr>
          <w:rFonts w:ascii="Palatino Linotype" w:eastAsia="Palatino Linotype" w:hAnsi="Palatino Linotype" w:cs="Palatino Linotype"/>
          <w:color w:val="000000" w:themeColor="text1"/>
        </w:rPr>
        <w:t xml:space="preserve"> entregar vía Sistema de Acceso a la Información Mexiquense </w:t>
      </w:r>
      <w:r w:rsidRPr="003E5F7C">
        <w:rPr>
          <w:rFonts w:ascii="Palatino Linotype" w:eastAsia="Palatino Linotype" w:hAnsi="Palatino Linotype" w:cs="Palatino Linotype"/>
          <w:b/>
          <w:color w:val="000000" w:themeColor="text1"/>
        </w:rPr>
        <w:t xml:space="preserve">(SAIMEX), </w:t>
      </w:r>
      <w:r w:rsidRPr="003E5F7C">
        <w:rPr>
          <w:rFonts w:ascii="Palatino Linotype" w:eastAsia="Palatino Linotype" w:hAnsi="Palatino Linotype" w:cs="Palatino Linotype"/>
          <w:color w:val="000000" w:themeColor="text1"/>
        </w:rPr>
        <w:t>de ser</w:t>
      </w:r>
      <w:r w:rsidR="00C9036C" w:rsidRPr="003E5F7C">
        <w:rPr>
          <w:rFonts w:ascii="Palatino Linotype" w:eastAsia="Palatino Linotype" w:hAnsi="Palatino Linotype" w:cs="Palatino Linotype"/>
          <w:color w:val="000000" w:themeColor="text1"/>
        </w:rPr>
        <w:t xml:space="preserve"> procedente en versión pública, los siguientes documentos:</w:t>
      </w:r>
    </w:p>
    <w:p w:rsidR="00C9036C" w:rsidRPr="003E5F7C" w:rsidRDefault="00C9036C" w:rsidP="003E5F7C">
      <w:pPr>
        <w:tabs>
          <w:tab w:val="left" w:pos="0"/>
        </w:tabs>
        <w:spacing w:line="360" w:lineRule="auto"/>
        <w:jc w:val="both"/>
        <w:rPr>
          <w:rFonts w:ascii="Palatino Linotype" w:eastAsia="Palatino Linotype" w:hAnsi="Palatino Linotype" w:cs="Palatino Linotype"/>
          <w:color w:val="000000" w:themeColor="text1"/>
        </w:rPr>
      </w:pPr>
    </w:p>
    <w:p w:rsidR="00C9036C" w:rsidRPr="00E23F02" w:rsidRDefault="00C9036C" w:rsidP="003E5F7C">
      <w:pPr>
        <w:pStyle w:val="Prrafodelista"/>
        <w:numPr>
          <w:ilvl w:val="0"/>
          <w:numId w:val="9"/>
        </w:numPr>
        <w:tabs>
          <w:tab w:val="left" w:pos="0"/>
        </w:tabs>
        <w:spacing w:line="360" w:lineRule="auto"/>
        <w:ind w:firstLine="0"/>
        <w:jc w:val="both"/>
        <w:rPr>
          <w:rFonts w:ascii="Palatino Linotype" w:eastAsia="Palatino Linotype" w:hAnsi="Palatino Linotype" w:cs="Palatino Linotype"/>
          <w:b/>
          <w:color w:val="000000" w:themeColor="text1"/>
        </w:rPr>
      </w:pPr>
      <w:r w:rsidRPr="00E23F02">
        <w:rPr>
          <w:rFonts w:ascii="Palatino Linotype" w:eastAsia="Palatino Linotype" w:hAnsi="Palatino Linotype" w:cs="Palatino Linotype"/>
          <w:b/>
          <w:color w:val="000000" w:themeColor="text1"/>
        </w:rPr>
        <w:t>Conciliación de nómina de la primera quincena de enero y febrero de 2025; y</w:t>
      </w:r>
    </w:p>
    <w:p w:rsidR="00C9036C" w:rsidRPr="00E23F02" w:rsidRDefault="00C9036C" w:rsidP="003E5F7C">
      <w:pPr>
        <w:pStyle w:val="Prrafodelista"/>
        <w:numPr>
          <w:ilvl w:val="0"/>
          <w:numId w:val="9"/>
        </w:numPr>
        <w:tabs>
          <w:tab w:val="left" w:pos="0"/>
        </w:tabs>
        <w:spacing w:line="360" w:lineRule="auto"/>
        <w:ind w:firstLine="0"/>
        <w:jc w:val="both"/>
        <w:rPr>
          <w:rFonts w:ascii="Palatino Linotype" w:eastAsia="Palatino Linotype" w:hAnsi="Palatino Linotype" w:cs="Palatino Linotype"/>
          <w:b/>
          <w:color w:val="000000" w:themeColor="text1"/>
        </w:rPr>
      </w:pPr>
      <w:r w:rsidRPr="00E23F02">
        <w:rPr>
          <w:rFonts w:ascii="Palatino Linotype" w:eastAsia="Palatino Linotype" w:hAnsi="Palatino Linotype" w:cs="Palatino Linotype"/>
          <w:b/>
          <w:color w:val="000000" w:themeColor="text1"/>
        </w:rPr>
        <w:t xml:space="preserve">El informe y comprobantes de los gastos de la “Feria Tradicional de Tonatico 2025”, así como, la solicitud y aprobación por el cabildo de </w:t>
      </w:r>
      <w:r w:rsidR="001A2437" w:rsidRPr="00E23F02">
        <w:rPr>
          <w:rFonts w:ascii="Palatino Linotype" w:eastAsia="Palatino Linotype" w:hAnsi="Palatino Linotype" w:cs="Palatino Linotype"/>
          <w:b/>
          <w:color w:val="000000" w:themeColor="text1"/>
        </w:rPr>
        <w:t>dichos gastos</w:t>
      </w:r>
      <w:r w:rsidR="005A1757" w:rsidRPr="00E23F02">
        <w:rPr>
          <w:rFonts w:ascii="Palatino Linotype" w:eastAsia="Palatino Linotype" w:hAnsi="Palatino Linotype" w:cs="Palatino Linotype"/>
          <w:b/>
          <w:color w:val="000000" w:themeColor="text1"/>
        </w:rPr>
        <w:t xml:space="preserve"> al 21 de febrero de 2025</w:t>
      </w:r>
      <w:r w:rsidR="001A2437" w:rsidRPr="00E23F02">
        <w:rPr>
          <w:rFonts w:ascii="Palatino Linotype" w:eastAsia="Palatino Linotype" w:hAnsi="Palatino Linotype" w:cs="Palatino Linotype"/>
          <w:b/>
          <w:color w:val="000000" w:themeColor="text1"/>
        </w:rPr>
        <w:t>.</w:t>
      </w:r>
    </w:p>
    <w:p w:rsidR="00D86E74" w:rsidRPr="00E23F02" w:rsidRDefault="00D86E74" w:rsidP="003E5F7C">
      <w:pPr>
        <w:tabs>
          <w:tab w:val="left" w:pos="0"/>
        </w:tabs>
        <w:spacing w:line="360" w:lineRule="auto"/>
        <w:jc w:val="both"/>
        <w:rPr>
          <w:rFonts w:ascii="Palatino Linotype" w:eastAsia="Palatino Linotype" w:hAnsi="Palatino Linotype" w:cs="Palatino Linotype"/>
          <w:b/>
          <w:color w:val="000000" w:themeColor="text1"/>
        </w:rPr>
      </w:pPr>
    </w:p>
    <w:p w:rsidR="00D86E74" w:rsidRPr="00E23F02" w:rsidRDefault="00B05C77" w:rsidP="003E5F7C">
      <w:pPr>
        <w:tabs>
          <w:tab w:val="left" w:pos="0"/>
        </w:tabs>
        <w:spacing w:line="360" w:lineRule="auto"/>
        <w:jc w:val="both"/>
        <w:rPr>
          <w:rFonts w:ascii="Palatino Linotype" w:eastAsia="Palatino Linotype" w:hAnsi="Palatino Linotype" w:cs="Palatino Linotype"/>
          <w:b/>
          <w:color w:val="000000" w:themeColor="text1"/>
        </w:rPr>
      </w:pPr>
      <w:bookmarkStart w:id="10" w:name="_heading=h.4d34og8" w:colFirst="0" w:colLast="0"/>
      <w:bookmarkEnd w:id="10"/>
      <w:r w:rsidRPr="00E23F02">
        <w:rPr>
          <w:rFonts w:ascii="Palatino Linotype" w:eastAsia="Palatino Linotype" w:hAnsi="Palatino Linotype" w:cs="Palatino Linotype"/>
          <w:color w:val="000000" w:themeColor="text1"/>
        </w:rPr>
        <w:t xml:space="preserve">Para efecto de lo anterior, se deberá emitir el Acuerdo del Comité de Transparencia en términos de los artículos 49, fracción VIII y 132, fracción II de la Ley de Transparencia y </w:t>
      </w:r>
      <w:r w:rsidRPr="00E23F02">
        <w:rPr>
          <w:rFonts w:ascii="Palatino Linotype" w:eastAsia="Palatino Linotype" w:hAnsi="Palatino Linotype" w:cs="Palatino Linotype"/>
          <w:color w:val="000000" w:themeColor="text1"/>
        </w:rPr>
        <w:lastRenderedPageBreak/>
        <w:t xml:space="preserve">Acceso a la 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E23F02">
        <w:rPr>
          <w:rFonts w:ascii="Palatino Linotype" w:eastAsia="Palatino Linotype" w:hAnsi="Palatino Linotype" w:cs="Palatino Linotype"/>
          <w:b/>
          <w:color w:val="000000" w:themeColor="text1"/>
        </w:rPr>
        <w:t>RECURRENTE.</w:t>
      </w:r>
    </w:p>
    <w:p w:rsidR="00D86E74" w:rsidRPr="00E23F02" w:rsidRDefault="00D86E74"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5A1757" w:rsidRPr="003E5F7C" w:rsidRDefault="005A1757" w:rsidP="003E5F7C">
      <w:pPr>
        <w:tabs>
          <w:tab w:val="left" w:pos="0"/>
        </w:tabs>
        <w:spacing w:before="240" w:after="240" w:line="360" w:lineRule="auto"/>
        <w:jc w:val="both"/>
        <w:rPr>
          <w:rFonts w:ascii="Palatino Linotype" w:hAnsi="Palatino Linotype" w:cs="Palatino Linotype"/>
          <w:b/>
          <w:color w:val="000000" w:themeColor="text1"/>
        </w:rPr>
      </w:pPr>
      <w:r w:rsidRPr="00E23F02">
        <w:rPr>
          <w:rFonts w:ascii="Palatino Linotype" w:hAnsi="Palatino Linotype" w:cs="Palatino Linotype"/>
          <w:color w:val="000000" w:themeColor="text1"/>
        </w:rPr>
        <w:t xml:space="preserve">Para el caso de que el </w:t>
      </w:r>
      <w:r w:rsidRPr="00E23F02">
        <w:rPr>
          <w:rFonts w:ascii="Palatino Linotype" w:hAnsi="Palatino Linotype" w:cs="Palatino Linotype"/>
          <w:b/>
          <w:color w:val="000000" w:themeColor="text1"/>
        </w:rPr>
        <w:t>informe detallado de la “Feria Tradicional de Tonatico 2025”</w:t>
      </w:r>
      <w:r w:rsidRPr="00E23F02">
        <w:rPr>
          <w:rFonts w:ascii="Palatino Linotype" w:hAnsi="Palatino Linotype"/>
          <w:b/>
          <w:bCs/>
          <w:color w:val="000000" w:themeColor="text1"/>
        </w:rPr>
        <w:t xml:space="preserve">, </w:t>
      </w:r>
      <w:r w:rsidRPr="00E23F02">
        <w:rPr>
          <w:rFonts w:ascii="Palatino Linotype" w:hAnsi="Palatino Linotype" w:cs="Palatino Linotype"/>
          <w:color w:val="000000" w:themeColor="text1"/>
        </w:rPr>
        <w:t>no obre en los archivos del</w:t>
      </w:r>
      <w:r w:rsidRPr="00E23F02">
        <w:rPr>
          <w:rFonts w:ascii="Palatino Linotype" w:hAnsi="Palatino Linotype" w:cs="Palatino Linotype"/>
          <w:b/>
          <w:color w:val="000000" w:themeColor="text1"/>
        </w:rPr>
        <w:t xml:space="preserve"> SUJETO OBLIGADO, </w:t>
      </w:r>
      <w:r w:rsidRPr="00E23F02">
        <w:rPr>
          <w:rFonts w:ascii="Palatino Linotype" w:hAnsi="Palatino Linotype" w:cs="Palatino Linotype"/>
          <w:color w:val="000000" w:themeColor="text1"/>
        </w:rPr>
        <w:t>bastará con que así lo haga del conocimiento del Particular en términos del artículo 19, párrafo segundo, de la Ley de Transparencia y Acceso a la Información Pública del Estado de México y Municipios</w:t>
      </w:r>
      <w:r w:rsidRPr="003E5F7C">
        <w:rPr>
          <w:rFonts w:ascii="Palatino Linotype" w:hAnsi="Palatino Linotype" w:cs="Palatino Linotype"/>
          <w:color w:val="000000" w:themeColor="text1"/>
        </w:rPr>
        <w:t xml:space="preserve"> </w:t>
      </w:r>
    </w:p>
    <w:p w:rsidR="005A1757" w:rsidRPr="003E5F7C" w:rsidRDefault="005A1757" w:rsidP="003E5F7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D86E74" w:rsidRPr="003E5F7C" w:rsidRDefault="00B05C77" w:rsidP="003E5F7C">
      <w:pPr>
        <w:tabs>
          <w:tab w:val="left" w:pos="0"/>
          <w:tab w:val="left" w:pos="8080"/>
        </w:tabs>
        <w:spacing w:line="360" w:lineRule="auto"/>
        <w:jc w:val="both"/>
        <w:rPr>
          <w:rFonts w:ascii="Palatino Linotype" w:eastAsia="Palatino Linotype" w:hAnsi="Palatino Linotype" w:cs="Palatino Linotype"/>
          <w:b/>
          <w:color w:val="000000" w:themeColor="text1"/>
        </w:rPr>
      </w:pPr>
      <w:bookmarkStart w:id="11" w:name="_heading=h.lnxbz9" w:colFirst="0" w:colLast="0"/>
      <w:bookmarkEnd w:id="11"/>
      <w:r w:rsidRPr="003E5F7C">
        <w:rPr>
          <w:rFonts w:ascii="Palatino Linotype" w:eastAsia="Palatino Linotype" w:hAnsi="Palatino Linotype" w:cs="Palatino Linotype"/>
          <w:b/>
          <w:color w:val="000000" w:themeColor="text1"/>
        </w:rPr>
        <w:t xml:space="preserve">TERCERO. NOTIFÍQUESE </w:t>
      </w:r>
      <w:r w:rsidRPr="003E5F7C">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E5F7C">
        <w:rPr>
          <w:rFonts w:ascii="Palatino Linotype" w:eastAsia="Palatino Linotype" w:hAnsi="Palatino Linotype" w:cs="Palatino Linotype"/>
          <w:b/>
          <w:color w:val="000000" w:themeColor="text1"/>
        </w:rPr>
        <w:t>dé cumplimiento a lo ordenado dentro del plazo de diez días hábiles,</w:t>
      </w:r>
      <w:r w:rsidRPr="003E5F7C">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86E74" w:rsidRPr="003E5F7C" w:rsidRDefault="00D86E74" w:rsidP="003E5F7C">
      <w:pPr>
        <w:tabs>
          <w:tab w:val="left" w:pos="0"/>
          <w:tab w:val="left" w:pos="808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b/>
          <w:color w:val="000000" w:themeColor="text1"/>
        </w:rPr>
        <w:t xml:space="preserve">CUARTO. </w:t>
      </w:r>
      <w:r w:rsidRPr="003E5F7C">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3E5F7C">
        <w:rPr>
          <w:rFonts w:ascii="Palatino Linotype" w:eastAsia="Palatino Linotype" w:hAnsi="Palatino Linotype" w:cs="Palatino Linotype"/>
          <w:b/>
          <w:color w:val="000000" w:themeColor="text1"/>
        </w:rPr>
        <w:lastRenderedPageBreak/>
        <w:t>SUJETO OBLIGADO</w:t>
      </w:r>
      <w:r w:rsidRPr="003E5F7C">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D86E74" w:rsidRPr="003E5F7C" w:rsidRDefault="00D86E74" w:rsidP="003E5F7C">
      <w:pPr>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tabs>
          <w:tab w:val="left" w:pos="0"/>
          <w:tab w:val="left" w:pos="8080"/>
        </w:tabs>
        <w:spacing w:line="360" w:lineRule="auto"/>
        <w:jc w:val="both"/>
        <w:rPr>
          <w:rFonts w:ascii="Palatino Linotype" w:eastAsia="Palatino Linotype" w:hAnsi="Palatino Linotype" w:cs="Palatino Linotype"/>
          <w:color w:val="000000" w:themeColor="text1"/>
        </w:rPr>
      </w:pPr>
      <w:bookmarkStart w:id="12" w:name="_heading=h.35nkun2" w:colFirst="0" w:colLast="0"/>
      <w:bookmarkEnd w:id="12"/>
      <w:r w:rsidRPr="003E5F7C">
        <w:rPr>
          <w:rFonts w:ascii="Palatino Linotype" w:eastAsia="Palatino Linotype" w:hAnsi="Palatino Linotype" w:cs="Palatino Linotype"/>
          <w:b/>
          <w:color w:val="000000" w:themeColor="text1"/>
        </w:rPr>
        <w:t xml:space="preserve">QUINTO. </w:t>
      </w:r>
      <w:r w:rsidRPr="003E5F7C">
        <w:rPr>
          <w:rFonts w:ascii="Palatino Linotype" w:eastAsia="Palatino Linotype" w:hAnsi="Palatino Linotype" w:cs="Palatino Linotype"/>
          <w:color w:val="000000" w:themeColor="text1"/>
        </w:rPr>
        <w:t>Notifíquese a la parte</w:t>
      </w:r>
      <w:r w:rsidRPr="003E5F7C">
        <w:rPr>
          <w:rFonts w:ascii="Palatino Linotype" w:eastAsia="Palatino Linotype" w:hAnsi="Palatino Linotype" w:cs="Palatino Linotype"/>
          <w:b/>
          <w:color w:val="000000" w:themeColor="text1"/>
        </w:rPr>
        <w:t xml:space="preserve"> RECURRENTE</w:t>
      </w:r>
      <w:r w:rsidRPr="003E5F7C">
        <w:rPr>
          <w:rFonts w:ascii="Palatino Linotype" w:eastAsia="Palatino Linotype" w:hAnsi="Palatino Linotype" w:cs="Palatino Linotype"/>
          <w:color w:val="000000" w:themeColor="text1"/>
        </w:rPr>
        <w:t xml:space="preserve"> la presente resolución, vía </w:t>
      </w:r>
      <w:r w:rsidRPr="003E5F7C">
        <w:rPr>
          <w:rFonts w:ascii="Palatino Linotype" w:eastAsia="Palatino Linotype" w:hAnsi="Palatino Linotype" w:cs="Palatino Linotype"/>
          <w:b/>
          <w:color w:val="000000" w:themeColor="text1"/>
        </w:rPr>
        <w:t>SAIMEX.</w:t>
      </w:r>
    </w:p>
    <w:p w:rsidR="00D86E74" w:rsidRPr="003E5F7C" w:rsidRDefault="00D86E74" w:rsidP="003E5F7C">
      <w:pPr>
        <w:tabs>
          <w:tab w:val="left" w:pos="0"/>
          <w:tab w:val="left" w:pos="8080"/>
        </w:tabs>
        <w:spacing w:line="360" w:lineRule="auto"/>
        <w:jc w:val="both"/>
        <w:rPr>
          <w:rFonts w:ascii="Palatino Linotype" w:eastAsia="Palatino Linotype" w:hAnsi="Palatino Linotype" w:cs="Palatino Linotype"/>
          <w:color w:val="000000" w:themeColor="text1"/>
        </w:rPr>
      </w:pPr>
    </w:p>
    <w:p w:rsidR="00D86E74" w:rsidRPr="003E5F7C" w:rsidRDefault="00B05C77" w:rsidP="003E5F7C">
      <w:pPr>
        <w:shd w:val="clear" w:color="auto" w:fill="FFFFFF"/>
        <w:tabs>
          <w:tab w:val="left" w:pos="0"/>
        </w:tabs>
        <w:spacing w:line="360" w:lineRule="auto"/>
        <w:jc w:val="both"/>
        <w:rPr>
          <w:rFonts w:ascii="Palatino Linotype" w:eastAsia="Palatino Linotype" w:hAnsi="Palatino Linotype" w:cs="Palatino Linotype"/>
          <w:color w:val="000000" w:themeColor="text1"/>
        </w:rPr>
      </w:pPr>
      <w:r w:rsidRPr="003E5F7C">
        <w:rPr>
          <w:rFonts w:ascii="Palatino Linotype" w:eastAsia="Palatino Linotype" w:hAnsi="Palatino Linotype" w:cs="Palatino Linotype"/>
          <w:b/>
          <w:color w:val="000000" w:themeColor="text1"/>
        </w:rPr>
        <w:t>SEXTO.</w:t>
      </w:r>
      <w:r w:rsidRPr="003E5F7C">
        <w:rPr>
          <w:rFonts w:ascii="Palatino Linotype" w:eastAsia="Palatino Linotype" w:hAnsi="Palatino Linotype" w:cs="Palatino Linotype"/>
          <w:color w:val="000000" w:themeColor="text1"/>
        </w:rPr>
        <w:t xml:space="preserve"> Se hace del conocimiento de la parte</w:t>
      </w:r>
      <w:r w:rsidRPr="003E5F7C">
        <w:rPr>
          <w:rFonts w:ascii="Palatino Linotype" w:eastAsia="Palatino Linotype" w:hAnsi="Palatino Linotype" w:cs="Palatino Linotype"/>
          <w:b/>
          <w:color w:val="000000" w:themeColor="text1"/>
        </w:rPr>
        <w:t xml:space="preserve"> RECURRENTE</w:t>
      </w:r>
      <w:r w:rsidRPr="003E5F7C">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D86E74" w:rsidRPr="003E5F7C" w:rsidRDefault="00D86E74" w:rsidP="003E5F7C">
      <w:pPr>
        <w:shd w:val="clear" w:color="auto" w:fill="FFFFFF"/>
        <w:tabs>
          <w:tab w:val="left" w:pos="0"/>
        </w:tabs>
        <w:spacing w:line="360" w:lineRule="auto"/>
        <w:jc w:val="both"/>
        <w:rPr>
          <w:rFonts w:ascii="Palatino Linotype" w:eastAsia="Palatino Linotype" w:hAnsi="Palatino Linotype" w:cs="Palatino Linotype"/>
          <w:color w:val="000000" w:themeColor="text1"/>
        </w:rPr>
      </w:pPr>
    </w:p>
    <w:p w:rsidR="00D86E74" w:rsidRPr="003E5F7C" w:rsidRDefault="000D556F" w:rsidP="003E5F7C">
      <w:pPr>
        <w:tabs>
          <w:tab w:val="left" w:pos="0"/>
        </w:tabs>
        <w:spacing w:before="240" w:after="240" w:line="360" w:lineRule="auto"/>
        <w:jc w:val="both"/>
        <w:rPr>
          <w:rFonts w:ascii="Palatino Linotype" w:eastAsia="Palatino Linotype" w:hAnsi="Palatino Linotype" w:cs="Palatino Linotype"/>
          <w:color w:val="000000" w:themeColor="text1"/>
        </w:rPr>
      </w:pPr>
      <w:bookmarkStart w:id="13" w:name="_heading=h.dipqbfvvq8qp" w:colFirst="0" w:colLast="0"/>
      <w:bookmarkEnd w:id="13"/>
      <w:r w:rsidRPr="000D556F">
        <w:rPr>
          <w:rFonts w:ascii="Palatino Linotype" w:eastAsia="Palatino Linotype" w:hAnsi="Palatino Linotype" w:cs="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4C7E66">
        <w:rPr>
          <w:rFonts w:ascii="Palatino Linotype" w:eastAsia="Palatino Linotype" w:hAnsi="Palatino Linotype" w:cs="Palatino Linotype"/>
          <w:color w:val="000000" w:themeColor="text1"/>
        </w:rPr>
        <w:t xml:space="preserve">EMITIENDO VOTO PARTICULAR </w:t>
      </w:r>
      <w:r w:rsidRPr="000D556F">
        <w:rPr>
          <w:rFonts w:ascii="Palatino Linotype" w:eastAsia="Palatino Linotype" w:hAnsi="Palatino Linotype" w:cs="Palatino Linotype"/>
          <w:color w:val="000000" w:themeColor="text1"/>
        </w:rPr>
        <w:t>Y GUADALUPE RAMÍREZ PEÑA</w:t>
      </w:r>
      <w:r w:rsidR="004C7E66">
        <w:rPr>
          <w:rFonts w:ascii="Palatino Linotype" w:eastAsia="Palatino Linotype" w:hAnsi="Palatino Linotype" w:cs="Palatino Linotype"/>
          <w:color w:val="000000" w:themeColor="text1"/>
        </w:rPr>
        <w:t xml:space="preserve"> EMITIENDO VOTO PARTICULAR</w:t>
      </w:r>
      <w:r w:rsidRPr="000D556F">
        <w:rPr>
          <w:rFonts w:ascii="Palatino Linotype" w:eastAsia="Palatino Linotype" w:hAnsi="Palatino Linotype" w:cs="Palatino Linotype"/>
          <w:color w:val="000000" w:themeColor="text1"/>
        </w:rPr>
        <w:t>; EN LA TRIGÉSIMA QUINTA SESIÓN ORDINARIA, CELEBRADA EL PRIMERO (01) DE OCTUBRE DE DOS MIL VEINTICINCO, ANTE EL SECRETARIO TÉCNICO DEL PLENO ALEXIS TAPIA RAMÍREZ.</w:t>
      </w:r>
    </w:p>
    <w:p w:rsidR="00D86E74" w:rsidRPr="003E5F7C" w:rsidRDefault="00D86E74" w:rsidP="003E5F7C">
      <w:pPr>
        <w:tabs>
          <w:tab w:val="left" w:pos="0"/>
        </w:tabs>
        <w:spacing w:before="240" w:after="240" w:line="360" w:lineRule="auto"/>
        <w:jc w:val="both"/>
        <w:rPr>
          <w:rFonts w:ascii="Palatino Linotype" w:eastAsia="Palatino Linotype" w:hAnsi="Palatino Linotype" w:cs="Palatino Linotype"/>
          <w:color w:val="000000" w:themeColor="text1"/>
        </w:rPr>
      </w:pPr>
    </w:p>
    <w:p w:rsidR="00D86E74" w:rsidRPr="003E5F7C" w:rsidRDefault="00D86E74" w:rsidP="003E5F7C">
      <w:pPr>
        <w:tabs>
          <w:tab w:val="left" w:pos="0"/>
        </w:tabs>
        <w:spacing w:before="240" w:after="240" w:line="360" w:lineRule="auto"/>
        <w:jc w:val="both"/>
        <w:rPr>
          <w:rFonts w:ascii="Palatino Linotype" w:eastAsia="Palatino Linotype" w:hAnsi="Palatino Linotype" w:cs="Palatino Linotype"/>
          <w:color w:val="000000" w:themeColor="text1"/>
        </w:rPr>
      </w:pPr>
    </w:p>
    <w:p w:rsidR="00D86E74" w:rsidRPr="003E5F7C" w:rsidRDefault="00D86E74" w:rsidP="003E5F7C">
      <w:pPr>
        <w:tabs>
          <w:tab w:val="left" w:pos="0"/>
        </w:tabs>
        <w:spacing w:before="240" w:after="240" w:line="360" w:lineRule="auto"/>
        <w:jc w:val="both"/>
        <w:rPr>
          <w:rFonts w:ascii="Palatino Linotype" w:eastAsia="Palatino Linotype" w:hAnsi="Palatino Linotype" w:cs="Palatino Linotype"/>
          <w:color w:val="000000" w:themeColor="text1"/>
        </w:rPr>
      </w:pPr>
    </w:p>
    <w:p w:rsidR="00D86E74" w:rsidRPr="003E5F7C" w:rsidRDefault="00D86E74" w:rsidP="003E5F7C">
      <w:pPr>
        <w:tabs>
          <w:tab w:val="left" w:pos="0"/>
        </w:tabs>
        <w:spacing w:before="240" w:after="240" w:line="360" w:lineRule="auto"/>
        <w:jc w:val="both"/>
        <w:rPr>
          <w:rFonts w:ascii="Palatino Linotype" w:eastAsia="Palatino Linotype" w:hAnsi="Palatino Linotype" w:cs="Palatino Linotype"/>
          <w:color w:val="000000" w:themeColor="text1"/>
        </w:rPr>
      </w:pPr>
    </w:p>
    <w:p w:rsidR="00D86E74" w:rsidRPr="003E5F7C" w:rsidRDefault="00D86E74" w:rsidP="003E5F7C">
      <w:pPr>
        <w:tabs>
          <w:tab w:val="left" w:pos="0"/>
        </w:tabs>
        <w:spacing w:before="240" w:after="240" w:line="360" w:lineRule="auto"/>
        <w:jc w:val="both"/>
        <w:rPr>
          <w:rFonts w:ascii="Palatino Linotype" w:eastAsia="Palatino Linotype" w:hAnsi="Palatino Linotype" w:cs="Palatino Linotype"/>
          <w:color w:val="000000" w:themeColor="text1"/>
        </w:rPr>
      </w:pPr>
    </w:p>
    <w:p w:rsidR="00D86E74" w:rsidRPr="003E5F7C" w:rsidRDefault="00D86E74" w:rsidP="003E5F7C">
      <w:pPr>
        <w:tabs>
          <w:tab w:val="left" w:pos="0"/>
        </w:tabs>
        <w:spacing w:before="240" w:after="240" w:line="360" w:lineRule="auto"/>
        <w:jc w:val="both"/>
        <w:rPr>
          <w:rFonts w:ascii="Palatino Linotype" w:eastAsia="Palatino Linotype" w:hAnsi="Palatino Linotype" w:cs="Palatino Linotype"/>
          <w:color w:val="000000" w:themeColor="text1"/>
        </w:rPr>
      </w:pPr>
    </w:p>
    <w:p w:rsidR="00D86E74" w:rsidRDefault="00D86E74" w:rsidP="003E5F7C">
      <w:pPr>
        <w:pStyle w:val="Ttulo2"/>
        <w:tabs>
          <w:tab w:val="left" w:pos="0"/>
        </w:tabs>
        <w:spacing w:before="0" w:line="360" w:lineRule="auto"/>
        <w:rPr>
          <w:color w:val="000000" w:themeColor="text1"/>
        </w:rPr>
      </w:pPr>
    </w:p>
    <w:p w:rsidR="000D556F" w:rsidRDefault="000D556F" w:rsidP="000D556F"/>
    <w:p w:rsidR="000D556F" w:rsidRDefault="000D556F" w:rsidP="000D556F"/>
    <w:p w:rsidR="000D556F" w:rsidRDefault="000D556F" w:rsidP="000D556F"/>
    <w:p w:rsidR="000D556F" w:rsidRDefault="000D556F" w:rsidP="000D556F"/>
    <w:p w:rsidR="000D556F" w:rsidRDefault="000D556F" w:rsidP="000D556F"/>
    <w:p w:rsidR="000D556F" w:rsidRDefault="000D556F" w:rsidP="000D556F"/>
    <w:p w:rsidR="000D556F" w:rsidRPr="000D556F" w:rsidRDefault="000D556F" w:rsidP="000D556F"/>
    <w:sectPr w:rsidR="000D556F" w:rsidRPr="000D556F" w:rsidSect="00A11D56">
      <w:headerReference w:type="default" r:id="rId25"/>
      <w:footerReference w:type="default" r:id="rId26"/>
      <w:headerReference w:type="first" r:id="rId27"/>
      <w:footerReference w:type="first" r:id="rId28"/>
      <w:pgSz w:w="12240" w:h="15840"/>
      <w:pgMar w:top="1691" w:right="900"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456" w:rsidRDefault="005A7456">
      <w:r>
        <w:separator/>
      </w:r>
    </w:p>
  </w:endnote>
  <w:endnote w:type="continuationSeparator" w:id="0">
    <w:p w:rsidR="005A7456" w:rsidRDefault="005A7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7C" w:rsidRDefault="003E5F7C">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6A4365">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6A4365">
      <w:rPr>
        <w:rFonts w:ascii="Palatino Linotype" w:eastAsia="Palatino Linotype" w:hAnsi="Palatino Linotype" w:cs="Palatino Linotype"/>
        <w:b/>
        <w:noProof/>
        <w:color w:val="000000"/>
        <w:sz w:val="22"/>
        <w:szCs w:val="22"/>
      </w:rPr>
      <w:t>46</w:t>
    </w:r>
    <w:r>
      <w:rPr>
        <w:rFonts w:ascii="Palatino Linotype" w:eastAsia="Palatino Linotype" w:hAnsi="Palatino Linotype" w:cs="Palatino Linotype"/>
        <w:b/>
        <w:color w:val="000000"/>
        <w:sz w:val="22"/>
        <w:szCs w:val="22"/>
      </w:rPr>
      <w:fldChar w:fldCharType="end"/>
    </w:r>
  </w:p>
  <w:p w:rsidR="003E5F7C" w:rsidRDefault="003E5F7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3E5F7C" w:rsidRDefault="003E5F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F7C" w:rsidRDefault="003E5F7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A436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A4365">
      <w:rPr>
        <w:rFonts w:ascii="Palatino Linotype" w:eastAsia="Palatino Linotype" w:hAnsi="Palatino Linotype" w:cs="Palatino Linotype"/>
        <w:noProof/>
        <w:color w:val="000000"/>
        <w:sz w:val="22"/>
        <w:szCs w:val="22"/>
      </w:rPr>
      <w:t>46</w:t>
    </w:r>
    <w:r>
      <w:rPr>
        <w:rFonts w:ascii="Palatino Linotype" w:eastAsia="Palatino Linotype" w:hAnsi="Palatino Linotype" w:cs="Palatino Linotype"/>
        <w:color w:val="000000"/>
        <w:sz w:val="22"/>
        <w:szCs w:val="22"/>
      </w:rPr>
      <w:fldChar w:fldCharType="end"/>
    </w:r>
  </w:p>
  <w:p w:rsidR="003E5F7C" w:rsidRDefault="003E5F7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3E5F7C" w:rsidRDefault="003E5F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456" w:rsidRDefault="005A7456">
      <w:r>
        <w:separator/>
      </w:r>
    </w:p>
  </w:footnote>
  <w:footnote w:type="continuationSeparator" w:id="0">
    <w:p w:rsidR="005A7456" w:rsidRDefault="005A7456">
      <w:r>
        <w:continuationSeparator/>
      </w:r>
    </w:p>
  </w:footnote>
  <w:footnote w:id="1">
    <w:p w:rsidR="003E5F7C" w:rsidRDefault="003E5F7C" w:rsidP="000B16A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2">
    <w:p w:rsidR="003E5F7C" w:rsidRDefault="003E5F7C" w:rsidP="00C903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Políticas Públicas y Cambio Climático. Angélica Rosas Huerta. Profesora- investigadora. Departamento Poca y Cultura. División de Ciencias Sociales y Humanidades. </w:t>
      </w:r>
    </w:p>
  </w:footnote>
  <w:footnote w:id="3">
    <w:p w:rsidR="003E5F7C" w:rsidRDefault="003E5F7C" w:rsidP="00C903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3E5F7C" w:rsidRDefault="003E5F7C" w:rsidP="00C9036C">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3E5F7C" w:rsidRDefault="003E5F7C" w:rsidP="00C9036C">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6649"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734"/>
      <w:gridCol w:w="3915"/>
    </w:tblGrid>
    <w:tr w:rsidR="003E5F7C" w:rsidTr="00A11D56">
      <w:trPr>
        <w:trHeight w:val="138"/>
      </w:trPr>
      <w:tc>
        <w:tcPr>
          <w:tcW w:w="2734" w:type="dxa"/>
          <w:vAlign w:val="center"/>
        </w:tcPr>
        <w:p w:rsidR="003E5F7C" w:rsidRPr="003E5F7C" w:rsidRDefault="003E5F7C" w:rsidP="003E5F7C">
          <w:pPr>
            <w:rPr>
              <w:rFonts w:ascii="Palatino Linotype" w:eastAsia="Palatino Linotype" w:hAnsi="Palatino Linotype" w:cs="Palatino Linotype"/>
              <w:b/>
              <w:sz w:val="24"/>
              <w:szCs w:val="24"/>
            </w:rPr>
          </w:pPr>
          <w:r w:rsidRPr="003E5F7C">
            <w:rPr>
              <w:rFonts w:ascii="Palatino Linotype" w:eastAsia="Palatino Linotype" w:hAnsi="Palatino Linotype" w:cs="Palatino Linotype"/>
              <w:b/>
              <w:sz w:val="24"/>
              <w:szCs w:val="24"/>
            </w:rPr>
            <w:t>Recurso de Revisión:</w:t>
          </w:r>
        </w:p>
      </w:tc>
      <w:tc>
        <w:tcPr>
          <w:tcW w:w="3915" w:type="dxa"/>
          <w:vAlign w:val="center"/>
        </w:tcPr>
        <w:p w:rsidR="003E5F7C" w:rsidRPr="003E5F7C" w:rsidRDefault="003E5F7C" w:rsidP="003E5F7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highlight w:val="yellow"/>
            </w:rPr>
          </w:pPr>
          <w:r w:rsidRPr="003E5F7C">
            <w:rPr>
              <w:rFonts w:ascii="Palatino Linotype" w:eastAsia="Palatino Linotype" w:hAnsi="Palatino Linotype" w:cs="Palatino Linotype"/>
              <w:color w:val="000000"/>
              <w:sz w:val="24"/>
              <w:szCs w:val="24"/>
            </w:rPr>
            <w:t>03673/INFOEM/IP/RR/2025</w:t>
          </w:r>
        </w:p>
      </w:tc>
    </w:tr>
    <w:tr w:rsidR="003E5F7C" w:rsidTr="00A11D56">
      <w:trPr>
        <w:trHeight w:val="321"/>
      </w:trPr>
      <w:tc>
        <w:tcPr>
          <w:tcW w:w="2734" w:type="dxa"/>
          <w:vAlign w:val="center"/>
        </w:tcPr>
        <w:p w:rsidR="003E5F7C" w:rsidRPr="003E5F7C" w:rsidRDefault="003E5F7C" w:rsidP="003E5F7C">
          <w:pPr>
            <w:rPr>
              <w:rFonts w:ascii="Palatino Linotype" w:eastAsia="Palatino Linotype" w:hAnsi="Palatino Linotype" w:cs="Palatino Linotype"/>
              <w:b/>
              <w:sz w:val="24"/>
              <w:szCs w:val="24"/>
            </w:rPr>
          </w:pPr>
          <w:r w:rsidRPr="003E5F7C">
            <w:rPr>
              <w:rFonts w:ascii="Palatino Linotype" w:eastAsia="Palatino Linotype" w:hAnsi="Palatino Linotype" w:cs="Palatino Linotype"/>
              <w:b/>
              <w:sz w:val="24"/>
              <w:szCs w:val="24"/>
            </w:rPr>
            <w:t>Sujeto Obligado:</w:t>
          </w:r>
        </w:p>
      </w:tc>
      <w:tc>
        <w:tcPr>
          <w:tcW w:w="3915" w:type="dxa"/>
          <w:vAlign w:val="center"/>
        </w:tcPr>
        <w:p w:rsidR="003E5F7C" w:rsidRPr="003E5F7C" w:rsidRDefault="003E5F7C" w:rsidP="003E5F7C">
          <w:pPr>
            <w:rPr>
              <w:rFonts w:ascii="Palatino Linotype" w:eastAsia="Palatino Linotype" w:hAnsi="Palatino Linotype" w:cs="Palatino Linotype"/>
              <w:sz w:val="24"/>
              <w:szCs w:val="24"/>
            </w:rPr>
          </w:pPr>
          <w:r w:rsidRPr="003E5F7C">
            <w:rPr>
              <w:rFonts w:ascii="Palatino Linotype" w:eastAsia="Palatino Linotype" w:hAnsi="Palatino Linotype" w:cs="Palatino Linotype"/>
              <w:sz w:val="24"/>
              <w:szCs w:val="24"/>
            </w:rPr>
            <w:t>Ayuntamiento de Tonatico</w:t>
          </w:r>
        </w:p>
      </w:tc>
    </w:tr>
    <w:tr w:rsidR="003E5F7C" w:rsidTr="00A11D56">
      <w:trPr>
        <w:trHeight w:val="321"/>
      </w:trPr>
      <w:tc>
        <w:tcPr>
          <w:tcW w:w="2734" w:type="dxa"/>
          <w:vAlign w:val="center"/>
        </w:tcPr>
        <w:p w:rsidR="003E5F7C" w:rsidRPr="003E5F7C" w:rsidRDefault="003E5F7C" w:rsidP="003E5F7C">
          <w:pPr>
            <w:rPr>
              <w:rFonts w:ascii="Palatino Linotype" w:eastAsia="Palatino Linotype" w:hAnsi="Palatino Linotype" w:cs="Palatino Linotype"/>
              <w:b/>
              <w:sz w:val="24"/>
              <w:szCs w:val="24"/>
            </w:rPr>
          </w:pPr>
          <w:r w:rsidRPr="003E5F7C">
            <w:rPr>
              <w:rFonts w:ascii="Palatino Linotype" w:eastAsia="Palatino Linotype" w:hAnsi="Palatino Linotype" w:cs="Palatino Linotype"/>
              <w:b/>
              <w:sz w:val="24"/>
              <w:szCs w:val="24"/>
            </w:rPr>
            <w:t>Comisionada Ponente:</w:t>
          </w:r>
        </w:p>
      </w:tc>
      <w:tc>
        <w:tcPr>
          <w:tcW w:w="3915" w:type="dxa"/>
          <w:vAlign w:val="center"/>
        </w:tcPr>
        <w:p w:rsidR="003E5F7C" w:rsidRPr="003E5F7C" w:rsidRDefault="003E5F7C" w:rsidP="003E5F7C">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rPr>
          </w:pPr>
          <w:r w:rsidRPr="003E5F7C">
            <w:rPr>
              <w:rFonts w:ascii="Palatino Linotype" w:eastAsia="Palatino Linotype" w:hAnsi="Palatino Linotype" w:cs="Palatino Linotype"/>
              <w:color w:val="000000"/>
              <w:sz w:val="24"/>
              <w:szCs w:val="24"/>
            </w:rPr>
            <w:t>María del Rosario Mejía Ayala</w:t>
          </w:r>
        </w:p>
      </w:tc>
    </w:tr>
  </w:tbl>
  <w:p w:rsidR="003E5F7C" w:rsidRDefault="00A11D56" w:rsidP="00A11D56">
    <w:pPr>
      <w:pBdr>
        <w:top w:val="nil"/>
        <w:left w:val="nil"/>
        <w:bottom w:val="nil"/>
        <w:right w:val="nil"/>
        <w:between w:val="nil"/>
      </w:pBdr>
      <w:tabs>
        <w:tab w:val="center" w:pos="4252"/>
        <w:tab w:val="right" w:pos="8504"/>
      </w:tabs>
    </w:pPr>
    <w:r>
      <w:rPr>
        <w:noProof/>
        <w:lang w:val="es-MX"/>
      </w:rPr>
      <w:drawing>
        <wp:anchor distT="0" distB="0" distL="0" distR="0" simplePos="0" relativeHeight="251658240" behindDoc="1" locked="0" layoutInCell="1" hidden="0" allowOverlap="1">
          <wp:simplePos x="0" y="0"/>
          <wp:positionH relativeFrom="page">
            <wp:align>left</wp:align>
          </wp:positionH>
          <wp:positionV relativeFrom="paragraph">
            <wp:posOffset>-1200378</wp:posOffset>
          </wp:positionV>
          <wp:extent cx="7809876" cy="10165823"/>
          <wp:effectExtent l="0" t="0" r="635" b="698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A11D56" w:rsidRDefault="00A11D56" w:rsidP="00A11D56">
    <w:pPr>
      <w:pBdr>
        <w:top w:val="nil"/>
        <w:left w:val="nil"/>
        <w:bottom w:val="nil"/>
        <w:right w:val="nil"/>
        <w:between w:val="nil"/>
      </w:pBdr>
      <w:tabs>
        <w:tab w:val="center" w:pos="4252"/>
        <w:tab w:val="right" w:pos="850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6804" w:type="dxa"/>
      <w:tblInd w:w="368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93"/>
      <w:gridCol w:w="4111"/>
    </w:tblGrid>
    <w:tr w:rsidR="003E5F7C" w:rsidRPr="003E5F7C" w:rsidTr="00A11D56">
      <w:trPr>
        <w:trHeight w:val="138"/>
      </w:trPr>
      <w:tc>
        <w:tcPr>
          <w:tcW w:w="2693" w:type="dxa"/>
          <w:vAlign w:val="center"/>
        </w:tcPr>
        <w:p w:rsidR="003E5F7C" w:rsidRPr="003E5F7C" w:rsidRDefault="003E5F7C" w:rsidP="003E5F7C">
          <w:pPr>
            <w:rPr>
              <w:rFonts w:ascii="Palatino Linotype" w:eastAsia="Palatino Linotype" w:hAnsi="Palatino Linotype" w:cs="Palatino Linotype"/>
              <w:b/>
              <w:sz w:val="24"/>
              <w:szCs w:val="24"/>
            </w:rPr>
          </w:pPr>
          <w:r w:rsidRPr="003E5F7C">
            <w:rPr>
              <w:rFonts w:ascii="Palatino Linotype" w:eastAsia="Palatino Linotype" w:hAnsi="Palatino Linotype" w:cs="Palatino Linotype"/>
              <w:b/>
              <w:sz w:val="24"/>
              <w:szCs w:val="24"/>
            </w:rPr>
            <w:t>Recurso de Revisión:</w:t>
          </w:r>
        </w:p>
      </w:tc>
      <w:tc>
        <w:tcPr>
          <w:tcW w:w="4111" w:type="dxa"/>
          <w:vAlign w:val="center"/>
        </w:tcPr>
        <w:p w:rsidR="003E5F7C" w:rsidRPr="003E5F7C" w:rsidRDefault="003E5F7C" w:rsidP="003E5F7C">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3E5F7C">
            <w:rPr>
              <w:rFonts w:ascii="Palatino Linotype" w:eastAsia="Palatino Linotype" w:hAnsi="Palatino Linotype" w:cs="Palatino Linotype"/>
              <w:color w:val="000000"/>
              <w:sz w:val="24"/>
              <w:szCs w:val="24"/>
            </w:rPr>
            <w:t>03673/INFOEM/IP/RR/2025</w:t>
          </w:r>
        </w:p>
      </w:tc>
    </w:tr>
    <w:tr w:rsidR="003E5F7C" w:rsidRPr="003E5F7C" w:rsidTr="00A11D56">
      <w:trPr>
        <w:trHeight w:val="227"/>
      </w:trPr>
      <w:tc>
        <w:tcPr>
          <w:tcW w:w="2693" w:type="dxa"/>
          <w:vAlign w:val="center"/>
        </w:tcPr>
        <w:p w:rsidR="003E5F7C" w:rsidRPr="003E5F7C" w:rsidRDefault="003E5F7C" w:rsidP="003E5F7C">
          <w:pPr>
            <w:rPr>
              <w:rFonts w:ascii="Palatino Linotype" w:eastAsia="Palatino Linotype" w:hAnsi="Palatino Linotype" w:cs="Palatino Linotype"/>
              <w:b/>
              <w:sz w:val="24"/>
              <w:szCs w:val="24"/>
            </w:rPr>
          </w:pPr>
          <w:r w:rsidRPr="003E5F7C">
            <w:rPr>
              <w:rFonts w:ascii="Palatino Linotype" w:eastAsia="Palatino Linotype" w:hAnsi="Palatino Linotype" w:cs="Palatino Linotype"/>
              <w:b/>
              <w:sz w:val="24"/>
              <w:szCs w:val="24"/>
            </w:rPr>
            <w:t>Recurrente:</w:t>
          </w:r>
        </w:p>
      </w:tc>
      <w:tc>
        <w:tcPr>
          <w:tcW w:w="4111" w:type="dxa"/>
          <w:vAlign w:val="center"/>
        </w:tcPr>
        <w:p w:rsidR="003E5F7C" w:rsidRPr="003E5F7C" w:rsidRDefault="006A4365" w:rsidP="003E5F7C">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p>
      </w:tc>
    </w:tr>
    <w:tr w:rsidR="003E5F7C" w:rsidRPr="003E5F7C" w:rsidTr="00A11D56">
      <w:trPr>
        <w:trHeight w:val="232"/>
      </w:trPr>
      <w:tc>
        <w:tcPr>
          <w:tcW w:w="2693" w:type="dxa"/>
          <w:vAlign w:val="center"/>
        </w:tcPr>
        <w:p w:rsidR="003E5F7C" w:rsidRPr="003E5F7C" w:rsidRDefault="003E5F7C" w:rsidP="003E5F7C">
          <w:pPr>
            <w:rPr>
              <w:rFonts w:ascii="Palatino Linotype" w:eastAsia="Palatino Linotype" w:hAnsi="Palatino Linotype" w:cs="Palatino Linotype"/>
              <w:b/>
              <w:sz w:val="24"/>
              <w:szCs w:val="24"/>
            </w:rPr>
          </w:pPr>
          <w:r w:rsidRPr="003E5F7C">
            <w:rPr>
              <w:rFonts w:ascii="Palatino Linotype" w:eastAsia="Palatino Linotype" w:hAnsi="Palatino Linotype" w:cs="Palatino Linotype"/>
              <w:b/>
              <w:sz w:val="24"/>
              <w:szCs w:val="24"/>
            </w:rPr>
            <w:t>Sujeto Obligado:</w:t>
          </w:r>
        </w:p>
      </w:tc>
      <w:tc>
        <w:tcPr>
          <w:tcW w:w="4111" w:type="dxa"/>
          <w:vAlign w:val="center"/>
        </w:tcPr>
        <w:p w:rsidR="003E5F7C" w:rsidRPr="003E5F7C" w:rsidRDefault="003E5F7C" w:rsidP="003E5F7C">
          <w:pPr>
            <w:ind w:right="-73"/>
            <w:rPr>
              <w:sz w:val="24"/>
              <w:szCs w:val="24"/>
            </w:rPr>
          </w:pPr>
          <w:r w:rsidRPr="003E5F7C">
            <w:rPr>
              <w:rFonts w:ascii="Palatino Linotype" w:eastAsia="Palatino Linotype" w:hAnsi="Palatino Linotype" w:cs="Palatino Linotype"/>
              <w:sz w:val="24"/>
              <w:szCs w:val="24"/>
            </w:rPr>
            <w:t>Ayuntamiento de Tonatico</w:t>
          </w:r>
        </w:p>
      </w:tc>
    </w:tr>
    <w:tr w:rsidR="003E5F7C" w:rsidRPr="003E5F7C" w:rsidTr="00A11D56">
      <w:trPr>
        <w:trHeight w:val="320"/>
      </w:trPr>
      <w:tc>
        <w:tcPr>
          <w:tcW w:w="2693" w:type="dxa"/>
          <w:vAlign w:val="center"/>
        </w:tcPr>
        <w:p w:rsidR="003E5F7C" w:rsidRPr="003E5F7C" w:rsidRDefault="003E5F7C" w:rsidP="003E5F7C">
          <w:pPr>
            <w:rPr>
              <w:rFonts w:ascii="Palatino Linotype" w:eastAsia="Palatino Linotype" w:hAnsi="Palatino Linotype" w:cs="Palatino Linotype"/>
              <w:b/>
              <w:sz w:val="24"/>
              <w:szCs w:val="24"/>
            </w:rPr>
          </w:pPr>
          <w:r w:rsidRPr="003E5F7C">
            <w:rPr>
              <w:rFonts w:ascii="Palatino Linotype" w:eastAsia="Palatino Linotype" w:hAnsi="Palatino Linotype" w:cs="Palatino Linotype"/>
              <w:b/>
              <w:sz w:val="24"/>
              <w:szCs w:val="24"/>
            </w:rPr>
            <w:t>Comisionada Ponente:</w:t>
          </w:r>
        </w:p>
      </w:tc>
      <w:tc>
        <w:tcPr>
          <w:tcW w:w="4111" w:type="dxa"/>
          <w:vAlign w:val="center"/>
        </w:tcPr>
        <w:p w:rsidR="003E5F7C" w:rsidRPr="003E5F7C" w:rsidRDefault="003E5F7C" w:rsidP="003E5F7C">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3E5F7C">
            <w:rPr>
              <w:rFonts w:ascii="Palatino Linotype" w:eastAsia="Palatino Linotype" w:hAnsi="Palatino Linotype" w:cs="Palatino Linotype"/>
              <w:color w:val="000000"/>
              <w:sz w:val="24"/>
              <w:szCs w:val="24"/>
            </w:rPr>
            <w:t>María del Rosario Mejía Ayala</w:t>
          </w:r>
        </w:p>
      </w:tc>
    </w:tr>
  </w:tbl>
  <w:p w:rsidR="003E5F7C" w:rsidRDefault="00A11D56" w:rsidP="00A11D56">
    <w:pPr>
      <w:pBdr>
        <w:top w:val="nil"/>
        <w:left w:val="nil"/>
        <w:bottom w:val="nil"/>
        <w:right w:val="nil"/>
        <w:between w:val="nil"/>
      </w:pBdr>
      <w:tabs>
        <w:tab w:val="center" w:pos="4252"/>
        <w:tab w:val="right" w:pos="8504"/>
      </w:tabs>
    </w:pPr>
    <w:r>
      <w:rPr>
        <w:noProof/>
        <w:lang w:val="es-MX"/>
      </w:rPr>
      <w:drawing>
        <wp:anchor distT="0" distB="0" distL="0" distR="0" simplePos="0" relativeHeight="251659264" behindDoc="1" locked="0" layoutInCell="1" hidden="0" allowOverlap="1">
          <wp:simplePos x="0" y="0"/>
          <wp:positionH relativeFrom="column">
            <wp:posOffset>-1062104</wp:posOffset>
          </wp:positionH>
          <wp:positionV relativeFrom="paragraph">
            <wp:posOffset>-1306040</wp:posOffset>
          </wp:positionV>
          <wp:extent cx="7809865" cy="10165715"/>
          <wp:effectExtent l="0" t="0" r="635" b="6985"/>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F76B0"/>
    <w:multiLevelType w:val="hybridMultilevel"/>
    <w:tmpl w:val="DEA4B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00504E"/>
    <w:multiLevelType w:val="multilevel"/>
    <w:tmpl w:val="1C4A988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C5069A"/>
    <w:multiLevelType w:val="hybridMultilevel"/>
    <w:tmpl w:val="D0C00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A90B82"/>
    <w:multiLevelType w:val="hybridMultilevel"/>
    <w:tmpl w:val="54C80D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8F272F"/>
    <w:multiLevelType w:val="multilevel"/>
    <w:tmpl w:val="E48A197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5E24C7"/>
    <w:multiLevelType w:val="multilevel"/>
    <w:tmpl w:val="5D1A0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2"/>
  </w:num>
  <w:num w:numId="4">
    <w:abstractNumId w:val="6"/>
  </w:num>
  <w:num w:numId="5">
    <w:abstractNumId w:val="1"/>
  </w:num>
  <w:num w:numId="6">
    <w:abstractNumId w:val="5"/>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E74"/>
    <w:rsid w:val="0005385B"/>
    <w:rsid w:val="0009013C"/>
    <w:rsid w:val="00094EC2"/>
    <w:rsid w:val="000B16AE"/>
    <w:rsid w:val="000D2176"/>
    <w:rsid w:val="000D556F"/>
    <w:rsid w:val="001A2437"/>
    <w:rsid w:val="001E06D6"/>
    <w:rsid w:val="002078CD"/>
    <w:rsid w:val="002337CC"/>
    <w:rsid w:val="002A0EF2"/>
    <w:rsid w:val="002B4D12"/>
    <w:rsid w:val="002E7BD3"/>
    <w:rsid w:val="003E5F7C"/>
    <w:rsid w:val="003E7B02"/>
    <w:rsid w:val="003F3E10"/>
    <w:rsid w:val="0043011C"/>
    <w:rsid w:val="00475E9D"/>
    <w:rsid w:val="004A1A8B"/>
    <w:rsid w:val="004C7E66"/>
    <w:rsid w:val="005A1757"/>
    <w:rsid w:val="005A7456"/>
    <w:rsid w:val="006A4365"/>
    <w:rsid w:val="007A139F"/>
    <w:rsid w:val="00A11D56"/>
    <w:rsid w:val="00A52AAB"/>
    <w:rsid w:val="00A57943"/>
    <w:rsid w:val="00B05C77"/>
    <w:rsid w:val="00B064F2"/>
    <w:rsid w:val="00B8192E"/>
    <w:rsid w:val="00BA73FC"/>
    <w:rsid w:val="00BD2821"/>
    <w:rsid w:val="00C061D5"/>
    <w:rsid w:val="00C10075"/>
    <w:rsid w:val="00C436EF"/>
    <w:rsid w:val="00C6074D"/>
    <w:rsid w:val="00C9036C"/>
    <w:rsid w:val="00D86E74"/>
    <w:rsid w:val="00DE3864"/>
    <w:rsid w:val="00E23F02"/>
    <w:rsid w:val="00E84F8B"/>
    <w:rsid w:val="00F174B9"/>
    <w:rsid w:val="00F47994"/>
    <w:rsid w:val="00FD7925"/>
    <w:rsid w:val="00FE28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996C64-82E1-4378-A9E3-AF41129E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08" w:type="dxa"/>
        <w:right w:w="108" w:type="dxa"/>
      </w:tblCellMar>
    </w:tblPr>
  </w:style>
  <w:style w:type="table" w:customStyle="1" w:styleId="1">
    <w:name w:val="1"/>
    <w:basedOn w:val="TableNormal3"/>
    <w:rPr>
      <w:sz w:val="22"/>
      <w:szCs w:val="22"/>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rPr>
      <w:sz w:val="22"/>
      <w:szCs w:val="22"/>
    </w:rPr>
    <w:tblPr>
      <w:tblStyleRowBandSize w:val="1"/>
      <w:tblStyleColBandSize w:val="1"/>
      <w:tblCellMar>
        <w:left w:w="108" w:type="dxa"/>
        <w:right w:w="108" w:type="dxa"/>
      </w:tblCellMar>
    </w:tblPr>
  </w:style>
  <w:style w:type="table" w:customStyle="1" w:styleId="a3">
    <w:basedOn w:val="TableNormal3"/>
    <w:rPr>
      <w:sz w:val="22"/>
      <w:szCs w:val="22"/>
    </w:rPr>
    <w:tblPr>
      <w:tblStyleRowBandSize w:val="1"/>
      <w:tblStyleColBandSize w:val="1"/>
      <w:tblCellMar>
        <w:left w:w="108" w:type="dxa"/>
        <w:right w:w="108" w:type="dxa"/>
      </w:tblCellMar>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rPr>
      <w:sz w:val="22"/>
      <w:szCs w:val="22"/>
    </w:rPr>
    <w:tblPr>
      <w:tblStyleRowBandSize w:val="1"/>
      <w:tblStyleColBandSize w:val="1"/>
      <w:tblCellMar>
        <w:left w:w="108" w:type="dxa"/>
        <w:right w:w="108" w:type="dxa"/>
      </w:tblCellMar>
    </w:tblPr>
  </w:style>
  <w:style w:type="table" w:customStyle="1" w:styleId="a7">
    <w:basedOn w:val="TableNormal2"/>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2"/>
      <w:szCs w:val="22"/>
    </w:rPr>
    <w:tblPr>
      <w:tblStyleRowBandSize w:val="1"/>
      <w:tblStyleColBandSize w:val="1"/>
      <w:tblCellMar>
        <w:left w:w="108" w:type="dxa"/>
        <w:right w:w="108" w:type="dxa"/>
      </w:tblCellMar>
    </w:tblPr>
  </w:style>
  <w:style w:type="table" w:customStyle="1" w:styleId="ab">
    <w:basedOn w:val="TableNormal1"/>
    <w:rPr>
      <w:sz w:val="22"/>
      <w:szCs w:val="22"/>
    </w:r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rPr>
      <w:sz w:val="22"/>
      <w:szCs w:val="22"/>
    </w:rPr>
    <w:tblPr>
      <w:tblStyleRowBandSize w:val="1"/>
      <w:tblStyleColBandSize w:val="1"/>
      <w:tblCellMar>
        <w:left w:w="108" w:type="dxa"/>
        <w:right w:w="108" w:type="dxa"/>
      </w:tblCellMar>
    </w:tblPr>
  </w:style>
  <w:style w:type="table" w:customStyle="1" w:styleId="af">
    <w:basedOn w:val="TableNormal1"/>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87997.page"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saimex.org.mx/saimex/solicitud/downloadAttach/2388001.page" TargetMode="External"/><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388000.page"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2.xml"/><Relationship Id="rId10" Type="http://schemas.openxmlformats.org/officeDocument/2006/relationships/hyperlink" Target="https://saimex.org.mx/saimex/solicitud/downloadAttach/2387999.page"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saimex.org.mx/saimex/solicitud/downloadAttach/2387998.page"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OKLqleCpZxwHwzZX6JDx86k8Q==">CgMxLjAyDmguc3JlOWgwNXE0djBiMghoLmdqZGd4czIJaC4zMGowemxsMgloLjFmb2I5dGUyCWguM3pueXNoNzIJaC4yZXQ5MnAwMghoLnR5amN3dDIJaC4zZHk2dmttMgloLjF0M2g1c2YyCWguMjZpbjFyZzIJaC40ZDM0b2c4MghoLmxueGJ6OTIJaC4zNW5rdW4yMg5oLmRpcHFiZnZ2cThxcDgAciExektSaFNXTS1Pb25oSmx1dUYyYjBwNzFyVHhpZVhMVlg=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46</Pages>
  <Words>11992</Words>
  <Characters>65958</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10</cp:revision>
  <cp:lastPrinted>2025-10-03T00:04:00Z</cp:lastPrinted>
  <dcterms:created xsi:type="dcterms:W3CDTF">2025-09-29T22:47:00Z</dcterms:created>
  <dcterms:modified xsi:type="dcterms:W3CDTF">2025-11-06T17:39:00Z</dcterms:modified>
</cp:coreProperties>
</file>