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8145D" w:rsidRDefault="00AE3DA7" w:rsidP="00B8145D">
          <w:pPr>
            <w:pStyle w:val="TtulodeTDC"/>
            <w:spacing w:before="0" w:line="240" w:lineRule="auto"/>
            <w:rPr>
              <w:rFonts w:ascii="Palatino Linotype" w:hAnsi="Palatino Linotype"/>
              <w:color w:val="auto"/>
              <w:sz w:val="24"/>
              <w:szCs w:val="24"/>
              <w:lang w:val="es-ES"/>
            </w:rPr>
          </w:pPr>
          <w:r w:rsidRPr="00B8145D">
            <w:rPr>
              <w:rFonts w:ascii="Palatino Linotype" w:hAnsi="Palatino Linotype"/>
              <w:color w:val="auto"/>
              <w:sz w:val="24"/>
              <w:szCs w:val="24"/>
              <w:lang w:val="es-ES"/>
            </w:rPr>
            <w:t>Contenido</w:t>
          </w:r>
        </w:p>
        <w:p w14:paraId="3EB312A7" w14:textId="77777777" w:rsidR="00AA6EA9" w:rsidRPr="00B8145D" w:rsidRDefault="00AA6EA9" w:rsidP="00B8145D">
          <w:pPr>
            <w:spacing w:line="240" w:lineRule="auto"/>
            <w:rPr>
              <w:sz w:val="16"/>
              <w:szCs w:val="16"/>
              <w:lang w:val="es-ES" w:eastAsia="es-MX"/>
            </w:rPr>
          </w:pPr>
        </w:p>
        <w:p w14:paraId="5ED4BEBA" w14:textId="77777777" w:rsidR="00B8145D" w:rsidRDefault="00AE3DA7">
          <w:pPr>
            <w:pStyle w:val="TDC1"/>
            <w:tabs>
              <w:tab w:val="right" w:leader="dot" w:pos="9034"/>
            </w:tabs>
            <w:rPr>
              <w:rFonts w:asciiTheme="minorHAnsi" w:eastAsiaTheme="minorEastAsia" w:hAnsiTheme="minorHAnsi" w:cstheme="minorBidi"/>
              <w:noProof/>
              <w:szCs w:val="22"/>
              <w:lang w:eastAsia="es-MX"/>
            </w:rPr>
          </w:pPr>
          <w:r w:rsidRPr="00B8145D">
            <w:rPr>
              <w:sz w:val="16"/>
              <w:szCs w:val="16"/>
            </w:rPr>
            <w:fldChar w:fldCharType="begin"/>
          </w:r>
          <w:r w:rsidRPr="00B8145D">
            <w:rPr>
              <w:sz w:val="16"/>
              <w:szCs w:val="16"/>
            </w:rPr>
            <w:instrText xml:space="preserve"> TOC \o "1-3" \h \z \u </w:instrText>
          </w:r>
          <w:r w:rsidRPr="00B8145D">
            <w:rPr>
              <w:sz w:val="16"/>
              <w:szCs w:val="16"/>
            </w:rPr>
            <w:fldChar w:fldCharType="separate"/>
          </w:r>
          <w:hyperlink w:anchor="_Toc197541077" w:history="1">
            <w:r w:rsidR="00B8145D" w:rsidRPr="00D315B4">
              <w:rPr>
                <w:rStyle w:val="Hipervnculo"/>
                <w:noProof/>
              </w:rPr>
              <w:t>ANTECEDENTES</w:t>
            </w:r>
            <w:r w:rsidR="00B8145D">
              <w:rPr>
                <w:noProof/>
                <w:webHidden/>
              </w:rPr>
              <w:tab/>
            </w:r>
            <w:r w:rsidR="00B8145D">
              <w:rPr>
                <w:noProof/>
                <w:webHidden/>
              </w:rPr>
              <w:fldChar w:fldCharType="begin"/>
            </w:r>
            <w:r w:rsidR="00B8145D">
              <w:rPr>
                <w:noProof/>
                <w:webHidden/>
              </w:rPr>
              <w:instrText xml:space="preserve"> PAGEREF _Toc197541077 \h </w:instrText>
            </w:r>
            <w:r w:rsidR="00B8145D">
              <w:rPr>
                <w:noProof/>
                <w:webHidden/>
              </w:rPr>
            </w:r>
            <w:r w:rsidR="00B8145D">
              <w:rPr>
                <w:noProof/>
                <w:webHidden/>
              </w:rPr>
              <w:fldChar w:fldCharType="separate"/>
            </w:r>
            <w:r w:rsidR="003D35D9">
              <w:rPr>
                <w:noProof/>
                <w:webHidden/>
              </w:rPr>
              <w:t>1</w:t>
            </w:r>
            <w:r w:rsidR="00B8145D">
              <w:rPr>
                <w:noProof/>
                <w:webHidden/>
              </w:rPr>
              <w:fldChar w:fldCharType="end"/>
            </w:r>
          </w:hyperlink>
        </w:p>
        <w:p w14:paraId="22A5D870" w14:textId="77777777" w:rsidR="00B8145D" w:rsidRDefault="00293145">
          <w:pPr>
            <w:pStyle w:val="TDC2"/>
            <w:rPr>
              <w:rFonts w:asciiTheme="minorHAnsi" w:eastAsiaTheme="minorEastAsia" w:hAnsiTheme="minorHAnsi" w:cstheme="minorBidi"/>
              <w:noProof/>
              <w:szCs w:val="22"/>
              <w:lang w:eastAsia="es-MX"/>
            </w:rPr>
          </w:pPr>
          <w:hyperlink w:anchor="_Toc197541078" w:history="1">
            <w:r w:rsidR="00B8145D" w:rsidRPr="00D315B4">
              <w:rPr>
                <w:rStyle w:val="Hipervnculo"/>
                <w:noProof/>
              </w:rPr>
              <w:t>DE LA SOLICITUD DE INFORMACIÓN</w:t>
            </w:r>
            <w:r w:rsidR="00B8145D">
              <w:rPr>
                <w:noProof/>
                <w:webHidden/>
              </w:rPr>
              <w:tab/>
            </w:r>
            <w:r w:rsidR="00B8145D">
              <w:rPr>
                <w:noProof/>
                <w:webHidden/>
              </w:rPr>
              <w:fldChar w:fldCharType="begin"/>
            </w:r>
            <w:r w:rsidR="00B8145D">
              <w:rPr>
                <w:noProof/>
                <w:webHidden/>
              </w:rPr>
              <w:instrText xml:space="preserve"> PAGEREF _Toc197541078 \h </w:instrText>
            </w:r>
            <w:r w:rsidR="00B8145D">
              <w:rPr>
                <w:noProof/>
                <w:webHidden/>
              </w:rPr>
            </w:r>
            <w:r w:rsidR="00B8145D">
              <w:rPr>
                <w:noProof/>
                <w:webHidden/>
              </w:rPr>
              <w:fldChar w:fldCharType="separate"/>
            </w:r>
            <w:r w:rsidR="003D35D9">
              <w:rPr>
                <w:noProof/>
                <w:webHidden/>
              </w:rPr>
              <w:t>1</w:t>
            </w:r>
            <w:r w:rsidR="00B8145D">
              <w:rPr>
                <w:noProof/>
                <w:webHidden/>
              </w:rPr>
              <w:fldChar w:fldCharType="end"/>
            </w:r>
          </w:hyperlink>
        </w:p>
        <w:p w14:paraId="4F6D059F" w14:textId="77777777" w:rsidR="00B8145D" w:rsidRDefault="00293145">
          <w:pPr>
            <w:pStyle w:val="TDC3"/>
            <w:rPr>
              <w:rFonts w:asciiTheme="minorHAnsi" w:eastAsiaTheme="minorEastAsia" w:hAnsiTheme="minorHAnsi" w:cstheme="minorBidi"/>
              <w:noProof/>
              <w:szCs w:val="22"/>
              <w:lang w:eastAsia="es-MX"/>
            </w:rPr>
          </w:pPr>
          <w:hyperlink w:anchor="_Toc197541079" w:history="1">
            <w:r w:rsidR="00B8145D" w:rsidRPr="00D315B4">
              <w:rPr>
                <w:rStyle w:val="Hipervnculo"/>
                <w:noProof/>
              </w:rPr>
              <w:t>a) Solicitud de información</w:t>
            </w:r>
            <w:r w:rsidR="00B8145D">
              <w:rPr>
                <w:noProof/>
                <w:webHidden/>
              </w:rPr>
              <w:tab/>
            </w:r>
            <w:r w:rsidR="00B8145D">
              <w:rPr>
                <w:noProof/>
                <w:webHidden/>
              </w:rPr>
              <w:fldChar w:fldCharType="begin"/>
            </w:r>
            <w:r w:rsidR="00B8145D">
              <w:rPr>
                <w:noProof/>
                <w:webHidden/>
              </w:rPr>
              <w:instrText xml:space="preserve"> PAGEREF _Toc197541079 \h </w:instrText>
            </w:r>
            <w:r w:rsidR="00B8145D">
              <w:rPr>
                <w:noProof/>
                <w:webHidden/>
              </w:rPr>
            </w:r>
            <w:r w:rsidR="00B8145D">
              <w:rPr>
                <w:noProof/>
                <w:webHidden/>
              </w:rPr>
              <w:fldChar w:fldCharType="separate"/>
            </w:r>
            <w:r w:rsidR="003D35D9">
              <w:rPr>
                <w:noProof/>
                <w:webHidden/>
              </w:rPr>
              <w:t>1</w:t>
            </w:r>
            <w:r w:rsidR="00B8145D">
              <w:rPr>
                <w:noProof/>
                <w:webHidden/>
              </w:rPr>
              <w:fldChar w:fldCharType="end"/>
            </w:r>
          </w:hyperlink>
        </w:p>
        <w:p w14:paraId="247D82CC" w14:textId="77777777" w:rsidR="00B8145D" w:rsidRDefault="00293145">
          <w:pPr>
            <w:pStyle w:val="TDC3"/>
            <w:rPr>
              <w:rFonts w:asciiTheme="minorHAnsi" w:eastAsiaTheme="minorEastAsia" w:hAnsiTheme="minorHAnsi" w:cstheme="minorBidi"/>
              <w:noProof/>
              <w:szCs w:val="22"/>
              <w:lang w:eastAsia="es-MX"/>
            </w:rPr>
          </w:pPr>
          <w:hyperlink w:anchor="_Toc197541080" w:history="1">
            <w:r w:rsidR="00B8145D" w:rsidRPr="00D315B4">
              <w:rPr>
                <w:rStyle w:val="Hipervnculo"/>
                <w:noProof/>
              </w:rPr>
              <w:t xml:space="preserve">b) </w:t>
            </w:r>
            <w:r w:rsidR="00B8145D" w:rsidRPr="00D315B4">
              <w:rPr>
                <w:rStyle w:val="Hipervnculo"/>
                <w:noProof/>
                <w:lang w:val="es-ES"/>
              </w:rPr>
              <w:t xml:space="preserve">Respuesta </w:t>
            </w:r>
            <w:r w:rsidR="00B8145D" w:rsidRPr="00D315B4">
              <w:rPr>
                <w:rStyle w:val="Hipervnculo"/>
                <w:rFonts w:eastAsia="Calibri"/>
                <w:noProof/>
                <w:lang w:eastAsia="en-US"/>
              </w:rPr>
              <w:t>del Sujeto Obligado</w:t>
            </w:r>
            <w:r w:rsidR="00B8145D">
              <w:rPr>
                <w:noProof/>
                <w:webHidden/>
              </w:rPr>
              <w:tab/>
            </w:r>
            <w:r w:rsidR="00B8145D">
              <w:rPr>
                <w:noProof/>
                <w:webHidden/>
              </w:rPr>
              <w:fldChar w:fldCharType="begin"/>
            </w:r>
            <w:r w:rsidR="00B8145D">
              <w:rPr>
                <w:noProof/>
                <w:webHidden/>
              </w:rPr>
              <w:instrText xml:space="preserve"> PAGEREF _Toc197541080 \h </w:instrText>
            </w:r>
            <w:r w:rsidR="00B8145D">
              <w:rPr>
                <w:noProof/>
                <w:webHidden/>
              </w:rPr>
            </w:r>
            <w:r w:rsidR="00B8145D">
              <w:rPr>
                <w:noProof/>
                <w:webHidden/>
              </w:rPr>
              <w:fldChar w:fldCharType="separate"/>
            </w:r>
            <w:r w:rsidR="003D35D9">
              <w:rPr>
                <w:noProof/>
                <w:webHidden/>
              </w:rPr>
              <w:t>1</w:t>
            </w:r>
            <w:r w:rsidR="00B8145D">
              <w:rPr>
                <w:noProof/>
                <w:webHidden/>
              </w:rPr>
              <w:fldChar w:fldCharType="end"/>
            </w:r>
          </w:hyperlink>
        </w:p>
        <w:p w14:paraId="7E0FA45F" w14:textId="77777777" w:rsidR="00B8145D" w:rsidRDefault="00293145">
          <w:pPr>
            <w:pStyle w:val="TDC2"/>
            <w:rPr>
              <w:rFonts w:asciiTheme="minorHAnsi" w:eastAsiaTheme="minorEastAsia" w:hAnsiTheme="minorHAnsi" w:cstheme="minorBidi"/>
              <w:noProof/>
              <w:szCs w:val="22"/>
              <w:lang w:eastAsia="es-MX"/>
            </w:rPr>
          </w:pPr>
          <w:hyperlink w:anchor="_Toc197541081" w:history="1">
            <w:r w:rsidR="00B8145D" w:rsidRPr="00D315B4">
              <w:rPr>
                <w:rStyle w:val="Hipervnculo"/>
                <w:noProof/>
              </w:rPr>
              <w:t>DEL RECURSO DE REVISIÓN</w:t>
            </w:r>
            <w:r w:rsidR="00B8145D">
              <w:rPr>
                <w:noProof/>
                <w:webHidden/>
              </w:rPr>
              <w:tab/>
            </w:r>
            <w:r w:rsidR="00B8145D">
              <w:rPr>
                <w:noProof/>
                <w:webHidden/>
              </w:rPr>
              <w:fldChar w:fldCharType="begin"/>
            </w:r>
            <w:r w:rsidR="00B8145D">
              <w:rPr>
                <w:noProof/>
                <w:webHidden/>
              </w:rPr>
              <w:instrText xml:space="preserve"> PAGEREF _Toc197541081 \h </w:instrText>
            </w:r>
            <w:r w:rsidR="00B8145D">
              <w:rPr>
                <w:noProof/>
                <w:webHidden/>
              </w:rPr>
            </w:r>
            <w:r w:rsidR="00B8145D">
              <w:rPr>
                <w:noProof/>
                <w:webHidden/>
              </w:rPr>
              <w:fldChar w:fldCharType="separate"/>
            </w:r>
            <w:r w:rsidR="003D35D9">
              <w:rPr>
                <w:noProof/>
                <w:webHidden/>
              </w:rPr>
              <w:t>2</w:t>
            </w:r>
            <w:r w:rsidR="00B8145D">
              <w:rPr>
                <w:noProof/>
                <w:webHidden/>
              </w:rPr>
              <w:fldChar w:fldCharType="end"/>
            </w:r>
          </w:hyperlink>
        </w:p>
        <w:p w14:paraId="3921CFAA" w14:textId="77777777" w:rsidR="00B8145D" w:rsidRDefault="00293145">
          <w:pPr>
            <w:pStyle w:val="TDC3"/>
            <w:rPr>
              <w:rFonts w:asciiTheme="minorHAnsi" w:eastAsiaTheme="minorEastAsia" w:hAnsiTheme="minorHAnsi" w:cstheme="minorBidi"/>
              <w:noProof/>
              <w:szCs w:val="22"/>
              <w:lang w:eastAsia="es-MX"/>
            </w:rPr>
          </w:pPr>
          <w:hyperlink w:anchor="_Toc197541082" w:history="1">
            <w:r w:rsidR="00B8145D" w:rsidRPr="00D315B4">
              <w:rPr>
                <w:rStyle w:val="Hipervnculo"/>
                <w:noProof/>
              </w:rPr>
              <w:t>a) Interposición del Recurso de Revisión</w:t>
            </w:r>
            <w:r w:rsidR="00B8145D">
              <w:rPr>
                <w:noProof/>
                <w:webHidden/>
              </w:rPr>
              <w:tab/>
            </w:r>
            <w:r w:rsidR="00B8145D">
              <w:rPr>
                <w:noProof/>
                <w:webHidden/>
              </w:rPr>
              <w:fldChar w:fldCharType="begin"/>
            </w:r>
            <w:r w:rsidR="00B8145D">
              <w:rPr>
                <w:noProof/>
                <w:webHidden/>
              </w:rPr>
              <w:instrText xml:space="preserve"> PAGEREF _Toc197541082 \h </w:instrText>
            </w:r>
            <w:r w:rsidR="00B8145D">
              <w:rPr>
                <w:noProof/>
                <w:webHidden/>
              </w:rPr>
            </w:r>
            <w:r w:rsidR="00B8145D">
              <w:rPr>
                <w:noProof/>
                <w:webHidden/>
              </w:rPr>
              <w:fldChar w:fldCharType="separate"/>
            </w:r>
            <w:r w:rsidR="003D35D9">
              <w:rPr>
                <w:noProof/>
                <w:webHidden/>
              </w:rPr>
              <w:t>2</w:t>
            </w:r>
            <w:r w:rsidR="00B8145D">
              <w:rPr>
                <w:noProof/>
                <w:webHidden/>
              </w:rPr>
              <w:fldChar w:fldCharType="end"/>
            </w:r>
          </w:hyperlink>
        </w:p>
        <w:p w14:paraId="61289009" w14:textId="77777777" w:rsidR="00B8145D" w:rsidRDefault="00293145">
          <w:pPr>
            <w:pStyle w:val="TDC3"/>
            <w:rPr>
              <w:rFonts w:asciiTheme="minorHAnsi" w:eastAsiaTheme="minorEastAsia" w:hAnsiTheme="minorHAnsi" w:cstheme="minorBidi"/>
              <w:noProof/>
              <w:szCs w:val="22"/>
              <w:lang w:eastAsia="es-MX"/>
            </w:rPr>
          </w:pPr>
          <w:hyperlink w:anchor="_Toc197541083" w:history="1">
            <w:r w:rsidR="00B8145D" w:rsidRPr="00D315B4">
              <w:rPr>
                <w:rStyle w:val="Hipervnculo"/>
                <w:noProof/>
              </w:rPr>
              <w:t>b) Turno del Recurso de Revisión</w:t>
            </w:r>
            <w:r w:rsidR="00B8145D">
              <w:rPr>
                <w:noProof/>
                <w:webHidden/>
              </w:rPr>
              <w:tab/>
            </w:r>
            <w:r w:rsidR="00B8145D">
              <w:rPr>
                <w:noProof/>
                <w:webHidden/>
              </w:rPr>
              <w:fldChar w:fldCharType="begin"/>
            </w:r>
            <w:r w:rsidR="00B8145D">
              <w:rPr>
                <w:noProof/>
                <w:webHidden/>
              </w:rPr>
              <w:instrText xml:space="preserve"> PAGEREF _Toc197541083 \h </w:instrText>
            </w:r>
            <w:r w:rsidR="00B8145D">
              <w:rPr>
                <w:noProof/>
                <w:webHidden/>
              </w:rPr>
            </w:r>
            <w:r w:rsidR="00B8145D">
              <w:rPr>
                <w:noProof/>
                <w:webHidden/>
              </w:rPr>
              <w:fldChar w:fldCharType="separate"/>
            </w:r>
            <w:r w:rsidR="003D35D9">
              <w:rPr>
                <w:noProof/>
                <w:webHidden/>
              </w:rPr>
              <w:t>3</w:t>
            </w:r>
            <w:r w:rsidR="00B8145D">
              <w:rPr>
                <w:noProof/>
                <w:webHidden/>
              </w:rPr>
              <w:fldChar w:fldCharType="end"/>
            </w:r>
          </w:hyperlink>
        </w:p>
        <w:p w14:paraId="6C2A9CF5" w14:textId="77777777" w:rsidR="00B8145D" w:rsidRDefault="00293145">
          <w:pPr>
            <w:pStyle w:val="TDC3"/>
            <w:rPr>
              <w:rFonts w:asciiTheme="minorHAnsi" w:eastAsiaTheme="minorEastAsia" w:hAnsiTheme="minorHAnsi" w:cstheme="minorBidi"/>
              <w:noProof/>
              <w:szCs w:val="22"/>
              <w:lang w:eastAsia="es-MX"/>
            </w:rPr>
          </w:pPr>
          <w:hyperlink w:anchor="_Toc197541084" w:history="1">
            <w:r w:rsidR="00B8145D" w:rsidRPr="00D315B4">
              <w:rPr>
                <w:rStyle w:val="Hipervnculo"/>
                <w:noProof/>
              </w:rPr>
              <w:t>c) Admisión del Recurso de Revisión</w:t>
            </w:r>
            <w:r w:rsidR="00B8145D">
              <w:rPr>
                <w:noProof/>
                <w:webHidden/>
              </w:rPr>
              <w:tab/>
            </w:r>
            <w:r w:rsidR="00B8145D">
              <w:rPr>
                <w:noProof/>
                <w:webHidden/>
              </w:rPr>
              <w:fldChar w:fldCharType="begin"/>
            </w:r>
            <w:r w:rsidR="00B8145D">
              <w:rPr>
                <w:noProof/>
                <w:webHidden/>
              </w:rPr>
              <w:instrText xml:space="preserve"> PAGEREF _Toc197541084 \h </w:instrText>
            </w:r>
            <w:r w:rsidR="00B8145D">
              <w:rPr>
                <w:noProof/>
                <w:webHidden/>
              </w:rPr>
            </w:r>
            <w:r w:rsidR="00B8145D">
              <w:rPr>
                <w:noProof/>
                <w:webHidden/>
              </w:rPr>
              <w:fldChar w:fldCharType="separate"/>
            </w:r>
            <w:r w:rsidR="003D35D9">
              <w:rPr>
                <w:noProof/>
                <w:webHidden/>
              </w:rPr>
              <w:t>4</w:t>
            </w:r>
            <w:r w:rsidR="00B8145D">
              <w:rPr>
                <w:noProof/>
                <w:webHidden/>
              </w:rPr>
              <w:fldChar w:fldCharType="end"/>
            </w:r>
          </w:hyperlink>
        </w:p>
        <w:p w14:paraId="39D44E3A" w14:textId="77777777" w:rsidR="00B8145D" w:rsidRDefault="00293145">
          <w:pPr>
            <w:pStyle w:val="TDC3"/>
            <w:rPr>
              <w:rFonts w:asciiTheme="minorHAnsi" w:eastAsiaTheme="minorEastAsia" w:hAnsiTheme="minorHAnsi" w:cstheme="minorBidi"/>
              <w:noProof/>
              <w:szCs w:val="22"/>
              <w:lang w:eastAsia="es-MX"/>
            </w:rPr>
          </w:pPr>
          <w:hyperlink w:anchor="_Toc197541085" w:history="1">
            <w:r w:rsidR="00B8145D" w:rsidRPr="00D315B4">
              <w:rPr>
                <w:rStyle w:val="Hipervnculo"/>
                <w:noProof/>
              </w:rPr>
              <w:t>d) Informe Justificado del Sujeto Obligado</w:t>
            </w:r>
            <w:r w:rsidR="00B8145D">
              <w:rPr>
                <w:noProof/>
                <w:webHidden/>
              </w:rPr>
              <w:tab/>
            </w:r>
            <w:r w:rsidR="00B8145D">
              <w:rPr>
                <w:noProof/>
                <w:webHidden/>
              </w:rPr>
              <w:fldChar w:fldCharType="begin"/>
            </w:r>
            <w:r w:rsidR="00B8145D">
              <w:rPr>
                <w:noProof/>
                <w:webHidden/>
              </w:rPr>
              <w:instrText xml:space="preserve"> PAGEREF _Toc197541085 \h </w:instrText>
            </w:r>
            <w:r w:rsidR="00B8145D">
              <w:rPr>
                <w:noProof/>
                <w:webHidden/>
              </w:rPr>
            </w:r>
            <w:r w:rsidR="00B8145D">
              <w:rPr>
                <w:noProof/>
                <w:webHidden/>
              </w:rPr>
              <w:fldChar w:fldCharType="separate"/>
            </w:r>
            <w:r w:rsidR="003D35D9">
              <w:rPr>
                <w:noProof/>
                <w:webHidden/>
              </w:rPr>
              <w:t>4</w:t>
            </w:r>
            <w:r w:rsidR="00B8145D">
              <w:rPr>
                <w:noProof/>
                <w:webHidden/>
              </w:rPr>
              <w:fldChar w:fldCharType="end"/>
            </w:r>
          </w:hyperlink>
        </w:p>
        <w:p w14:paraId="20C9DE37" w14:textId="77777777" w:rsidR="00B8145D" w:rsidRDefault="00293145">
          <w:pPr>
            <w:pStyle w:val="TDC3"/>
            <w:rPr>
              <w:rFonts w:asciiTheme="minorHAnsi" w:eastAsiaTheme="minorEastAsia" w:hAnsiTheme="minorHAnsi" w:cstheme="minorBidi"/>
              <w:noProof/>
              <w:szCs w:val="22"/>
              <w:lang w:eastAsia="es-MX"/>
            </w:rPr>
          </w:pPr>
          <w:hyperlink w:anchor="_Toc197541086" w:history="1">
            <w:r w:rsidR="00B8145D" w:rsidRPr="00D315B4">
              <w:rPr>
                <w:rStyle w:val="Hipervnculo"/>
                <w:rFonts w:eastAsia="Calibri"/>
                <w:bCs/>
                <w:noProof/>
                <w:lang w:eastAsia="en-US"/>
              </w:rPr>
              <w:t>e)</w:t>
            </w:r>
            <w:r w:rsidR="00B8145D" w:rsidRPr="00D315B4">
              <w:rPr>
                <w:rStyle w:val="Hipervnculo"/>
                <w:noProof/>
              </w:rPr>
              <w:t xml:space="preserve"> </w:t>
            </w:r>
            <w:r w:rsidR="00B8145D" w:rsidRPr="00D315B4">
              <w:rPr>
                <w:rStyle w:val="Hipervnculo"/>
                <w:noProof/>
                <w:lang w:val="es-ES"/>
              </w:rPr>
              <w:t>Manifestaciones de la Parte Recurrente</w:t>
            </w:r>
            <w:r w:rsidR="00B8145D">
              <w:rPr>
                <w:noProof/>
                <w:webHidden/>
              </w:rPr>
              <w:tab/>
            </w:r>
            <w:r w:rsidR="00B8145D">
              <w:rPr>
                <w:noProof/>
                <w:webHidden/>
              </w:rPr>
              <w:fldChar w:fldCharType="begin"/>
            </w:r>
            <w:r w:rsidR="00B8145D">
              <w:rPr>
                <w:noProof/>
                <w:webHidden/>
              </w:rPr>
              <w:instrText xml:space="preserve"> PAGEREF _Toc197541086 \h </w:instrText>
            </w:r>
            <w:r w:rsidR="00B8145D">
              <w:rPr>
                <w:noProof/>
                <w:webHidden/>
              </w:rPr>
            </w:r>
            <w:r w:rsidR="00B8145D">
              <w:rPr>
                <w:noProof/>
                <w:webHidden/>
              </w:rPr>
              <w:fldChar w:fldCharType="separate"/>
            </w:r>
            <w:r w:rsidR="003D35D9">
              <w:rPr>
                <w:noProof/>
                <w:webHidden/>
              </w:rPr>
              <w:t>7</w:t>
            </w:r>
            <w:r w:rsidR="00B8145D">
              <w:rPr>
                <w:noProof/>
                <w:webHidden/>
              </w:rPr>
              <w:fldChar w:fldCharType="end"/>
            </w:r>
          </w:hyperlink>
        </w:p>
        <w:p w14:paraId="7B5EA0F8" w14:textId="77777777" w:rsidR="00B8145D" w:rsidRDefault="00293145">
          <w:pPr>
            <w:pStyle w:val="TDC3"/>
            <w:rPr>
              <w:rFonts w:asciiTheme="minorHAnsi" w:eastAsiaTheme="minorEastAsia" w:hAnsiTheme="minorHAnsi" w:cstheme="minorBidi"/>
              <w:noProof/>
              <w:szCs w:val="22"/>
              <w:lang w:eastAsia="es-MX"/>
            </w:rPr>
          </w:pPr>
          <w:hyperlink w:anchor="_Toc197541087" w:history="1">
            <w:r w:rsidR="00B8145D" w:rsidRPr="00D315B4">
              <w:rPr>
                <w:rStyle w:val="Hipervnculo"/>
                <w:rFonts w:eastAsia="Calibri"/>
                <w:noProof/>
              </w:rPr>
              <w:t>f) Ampliación de plazo para resolver el Recurso de Revisión</w:t>
            </w:r>
            <w:r w:rsidR="00B8145D">
              <w:rPr>
                <w:noProof/>
                <w:webHidden/>
              </w:rPr>
              <w:tab/>
            </w:r>
            <w:r w:rsidR="00B8145D">
              <w:rPr>
                <w:noProof/>
                <w:webHidden/>
              </w:rPr>
              <w:fldChar w:fldCharType="begin"/>
            </w:r>
            <w:r w:rsidR="00B8145D">
              <w:rPr>
                <w:noProof/>
                <w:webHidden/>
              </w:rPr>
              <w:instrText xml:space="preserve"> PAGEREF _Toc197541087 \h </w:instrText>
            </w:r>
            <w:r w:rsidR="00B8145D">
              <w:rPr>
                <w:noProof/>
                <w:webHidden/>
              </w:rPr>
            </w:r>
            <w:r w:rsidR="00B8145D">
              <w:rPr>
                <w:noProof/>
                <w:webHidden/>
              </w:rPr>
              <w:fldChar w:fldCharType="separate"/>
            </w:r>
            <w:r w:rsidR="003D35D9">
              <w:rPr>
                <w:noProof/>
                <w:webHidden/>
              </w:rPr>
              <w:t>7</w:t>
            </w:r>
            <w:r w:rsidR="00B8145D">
              <w:rPr>
                <w:noProof/>
                <w:webHidden/>
              </w:rPr>
              <w:fldChar w:fldCharType="end"/>
            </w:r>
          </w:hyperlink>
        </w:p>
        <w:p w14:paraId="785244C0" w14:textId="77777777" w:rsidR="00B8145D" w:rsidRDefault="00293145">
          <w:pPr>
            <w:pStyle w:val="TDC3"/>
            <w:rPr>
              <w:rFonts w:asciiTheme="minorHAnsi" w:eastAsiaTheme="minorEastAsia" w:hAnsiTheme="minorHAnsi" w:cstheme="minorBidi"/>
              <w:noProof/>
              <w:szCs w:val="22"/>
              <w:lang w:eastAsia="es-MX"/>
            </w:rPr>
          </w:pPr>
          <w:hyperlink w:anchor="_Toc197541088" w:history="1">
            <w:r w:rsidR="00B8145D" w:rsidRPr="00D315B4">
              <w:rPr>
                <w:rStyle w:val="Hipervnculo"/>
                <w:noProof/>
              </w:rPr>
              <w:t>g) Cierre de instrucción</w:t>
            </w:r>
            <w:r w:rsidR="00B8145D">
              <w:rPr>
                <w:noProof/>
                <w:webHidden/>
              </w:rPr>
              <w:tab/>
            </w:r>
            <w:r w:rsidR="00B8145D">
              <w:rPr>
                <w:noProof/>
                <w:webHidden/>
              </w:rPr>
              <w:fldChar w:fldCharType="begin"/>
            </w:r>
            <w:r w:rsidR="00B8145D">
              <w:rPr>
                <w:noProof/>
                <w:webHidden/>
              </w:rPr>
              <w:instrText xml:space="preserve"> PAGEREF _Toc197541088 \h </w:instrText>
            </w:r>
            <w:r w:rsidR="00B8145D">
              <w:rPr>
                <w:noProof/>
                <w:webHidden/>
              </w:rPr>
            </w:r>
            <w:r w:rsidR="00B8145D">
              <w:rPr>
                <w:noProof/>
                <w:webHidden/>
              </w:rPr>
              <w:fldChar w:fldCharType="separate"/>
            </w:r>
            <w:r w:rsidR="003D35D9">
              <w:rPr>
                <w:noProof/>
                <w:webHidden/>
              </w:rPr>
              <w:t>7</w:t>
            </w:r>
            <w:r w:rsidR="00B8145D">
              <w:rPr>
                <w:noProof/>
                <w:webHidden/>
              </w:rPr>
              <w:fldChar w:fldCharType="end"/>
            </w:r>
          </w:hyperlink>
        </w:p>
        <w:p w14:paraId="072460EE" w14:textId="77777777" w:rsidR="00B8145D" w:rsidRDefault="00293145">
          <w:pPr>
            <w:pStyle w:val="TDC1"/>
            <w:tabs>
              <w:tab w:val="right" w:leader="dot" w:pos="9034"/>
            </w:tabs>
            <w:rPr>
              <w:rFonts w:asciiTheme="minorHAnsi" w:eastAsiaTheme="minorEastAsia" w:hAnsiTheme="minorHAnsi" w:cstheme="minorBidi"/>
              <w:noProof/>
              <w:szCs w:val="22"/>
              <w:lang w:eastAsia="es-MX"/>
            </w:rPr>
          </w:pPr>
          <w:hyperlink w:anchor="_Toc197541089" w:history="1">
            <w:r w:rsidR="00B8145D" w:rsidRPr="00D315B4">
              <w:rPr>
                <w:rStyle w:val="Hipervnculo"/>
                <w:rFonts w:eastAsiaTheme="minorHAnsi"/>
                <w:noProof/>
                <w:lang w:eastAsia="en-US"/>
              </w:rPr>
              <w:t>CONSIDERANDOS</w:t>
            </w:r>
            <w:r w:rsidR="00B8145D">
              <w:rPr>
                <w:noProof/>
                <w:webHidden/>
              </w:rPr>
              <w:tab/>
            </w:r>
            <w:r w:rsidR="00B8145D">
              <w:rPr>
                <w:noProof/>
                <w:webHidden/>
              </w:rPr>
              <w:fldChar w:fldCharType="begin"/>
            </w:r>
            <w:r w:rsidR="00B8145D">
              <w:rPr>
                <w:noProof/>
                <w:webHidden/>
              </w:rPr>
              <w:instrText xml:space="preserve"> PAGEREF _Toc197541089 \h </w:instrText>
            </w:r>
            <w:r w:rsidR="00B8145D">
              <w:rPr>
                <w:noProof/>
                <w:webHidden/>
              </w:rPr>
            </w:r>
            <w:r w:rsidR="00B8145D">
              <w:rPr>
                <w:noProof/>
                <w:webHidden/>
              </w:rPr>
              <w:fldChar w:fldCharType="separate"/>
            </w:r>
            <w:r w:rsidR="003D35D9">
              <w:rPr>
                <w:noProof/>
                <w:webHidden/>
              </w:rPr>
              <w:t>8</w:t>
            </w:r>
            <w:r w:rsidR="00B8145D">
              <w:rPr>
                <w:noProof/>
                <w:webHidden/>
              </w:rPr>
              <w:fldChar w:fldCharType="end"/>
            </w:r>
          </w:hyperlink>
        </w:p>
        <w:p w14:paraId="19A74296" w14:textId="77777777" w:rsidR="00B8145D" w:rsidRDefault="00293145">
          <w:pPr>
            <w:pStyle w:val="TDC2"/>
            <w:rPr>
              <w:rFonts w:asciiTheme="minorHAnsi" w:eastAsiaTheme="minorEastAsia" w:hAnsiTheme="minorHAnsi" w:cstheme="minorBidi"/>
              <w:noProof/>
              <w:szCs w:val="22"/>
              <w:lang w:eastAsia="es-MX"/>
            </w:rPr>
          </w:pPr>
          <w:hyperlink w:anchor="_Toc197541090" w:history="1">
            <w:r w:rsidR="00B8145D" w:rsidRPr="00D315B4">
              <w:rPr>
                <w:rStyle w:val="Hipervnculo"/>
                <w:rFonts w:eastAsia="Batang"/>
                <w:noProof/>
              </w:rPr>
              <w:t>PRIMERO. Procedibilidad</w:t>
            </w:r>
            <w:r w:rsidR="00B8145D">
              <w:rPr>
                <w:noProof/>
                <w:webHidden/>
              </w:rPr>
              <w:tab/>
            </w:r>
            <w:r w:rsidR="00B8145D">
              <w:rPr>
                <w:noProof/>
                <w:webHidden/>
              </w:rPr>
              <w:fldChar w:fldCharType="begin"/>
            </w:r>
            <w:r w:rsidR="00B8145D">
              <w:rPr>
                <w:noProof/>
                <w:webHidden/>
              </w:rPr>
              <w:instrText xml:space="preserve"> PAGEREF _Toc197541090 \h </w:instrText>
            </w:r>
            <w:r w:rsidR="00B8145D">
              <w:rPr>
                <w:noProof/>
                <w:webHidden/>
              </w:rPr>
            </w:r>
            <w:r w:rsidR="00B8145D">
              <w:rPr>
                <w:noProof/>
                <w:webHidden/>
              </w:rPr>
              <w:fldChar w:fldCharType="separate"/>
            </w:r>
            <w:r w:rsidR="003D35D9">
              <w:rPr>
                <w:noProof/>
                <w:webHidden/>
              </w:rPr>
              <w:t>8</w:t>
            </w:r>
            <w:r w:rsidR="00B8145D">
              <w:rPr>
                <w:noProof/>
                <w:webHidden/>
              </w:rPr>
              <w:fldChar w:fldCharType="end"/>
            </w:r>
          </w:hyperlink>
        </w:p>
        <w:p w14:paraId="40B229D7" w14:textId="77777777" w:rsidR="00B8145D" w:rsidRDefault="00293145">
          <w:pPr>
            <w:pStyle w:val="TDC3"/>
            <w:rPr>
              <w:rFonts w:asciiTheme="minorHAnsi" w:eastAsiaTheme="minorEastAsia" w:hAnsiTheme="minorHAnsi" w:cstheme="minorBidi"/>
              <w:noProof/>
              <w:szCs w:val="22"/>
              <w:lang w:eastAsia="es-MX"/>
            </w:rPr>
          </w:pPr>
          <w:hyperlink w:anchor="_Toc197541091" w:history="1">
            <w:r w:rsidR="00B8145D" w:rsidRPr="00D315B4">
              <w:rPr>
                <w:rStyle w:val="Hipervnculo"/>
                <w:noProof/>
              </w:rPr>
              <w:t>a) Competencia del Instituto</w:t>
            </w:r>
            <w:r w:rsidR="00B8145D">
              <w:rPr>
                <w:noProof/>
                <w:webHidden/>
              </w:rPr>
              <w:tab/>
            </w:r>
            <w:r w:rsidR="00B8145D">
              <w:rPr>
                <w:noProof/>
                <w:webHidden/>
              </w:rPr>
              <w:fldChar w:fldCharType="begin"/>
            </w:r>
            <w:r w:rsidR="00B8145D">
              <w:rPr>
                <w:noProof/>
                <w:webHidden/>
              </w:rPr>
              <w:instrText xml:space="preserve"> PAGEREF _Toc197541091 \h </w:instrText>
            </w:r>
            <w:r w:rsidR="00B8145D">
              <w:rPr>
                <w:noProof/>
                <w:webHidden/>
              </w:rPr>
            </w:r>
            <w:r w:rsidR="00B8145D">
              <w:rPr>
                <w:noProof/>
                <w:webHidden/>
              </w:rPr>
              <w:fldChar w:fldCharType="separate"/>
            </w:r>
            <w:r w:rsidR="003D35D9">
              <w:rPr>
                <w:noProof/>
                <w:webHidden/>
              </w:rPr>
              <w:t>8</w:t>
            </w:r>
            <w:r w:rsidR="00B8145D">
              <w:rPr>
                <w:noProof/>
                <w:webHidden/>
              </w:rPr>
              <w:fldChar w:fldCharType="end"/>
            </w:r>
          </w:hyperlink>
        </w:p>
        <w:p w14:paraId="0DFC0389" w14:textId="77777777" w:rsidR="00B8145D" w:rsidRDefault="00293145">
          <w:pPr>
            <w:pStyle w:val="TDC3"/>
            <w:rPr>
              <w:rFonts w:asciiTheme="minorHAnsi" w:eastAsiaTheme="minorEastAsia" w:hAnsiTheme="minorHAnsi" w:cstheme="minorBidi"/>
              <w:noProof/>
              <w:szCs w:val="22"/>
              <w:lang w:eastAsia="es-MX"/>
            </w:rPr>
          </w:pPr>
          <w:hyperlink w:anchor="_Toc197541092" w:history="1">
            <w:r w:rsidR="00B8145D" w:rsidRPr="00D315B4">
              <w:rPr>
                <w:rStyle w:val="Hipervnculo"/>
                <w:noProof/>
              </w:rPr>
              <w:t>b) Legitimidad de la parte recurrente</w:t>
            </w:r>
            <w:r w:rsidR="00B8145D">
              <w:rPr>
                <w:noProof/>
                <w:webHidden/>
              </w:rPr>
              <w:tab/>
            </w:r>
            <w:r w:rsidR="00B8145D">
              <w:rPr>
                <w:noProof/>
                <w:webHidden/>
              </w:rPr>
              <w:fldChar w:fldCharType="begin"/>
            </w:r>
            <w:r w:rsidR="00B8145D">
              <w:rPr>
                <w:noProof/>
                <w:webHidden/>
              </w:rPr>
              <w:instrText xml:space="preserve"> PAGEREF _Toc197541092 \h </w:instrText>
            </w:r>
            <w:r w:rsidR="00B8145D">
              <w:rPr>
                <w:noProof/>
                <w:webHidden/>
              </w:rPr>
            </w:r>
            <w:r w:rsidR="00B8145D">
              <w:rPr>
                <w:noProof/>
                <w:webHidden/>
              </w:rPr>
              <w:fldChar w:fldCharType="separate"/>
            </w:r>
            <w:r w:rsidR="003D35D9">
              <w:rPr>
                <w:noProof/>
                <w:webHidden/>
              </w:rPr>
              <w:t>8</w:t>
            </w:r>
            <w:r w:rsidR="00B8145D">
              <w:rPr>
                <w:noProof/>
                <w:webHidden/>
              </w:rPr>
              <w:fldChar w:fldCharType="end"/>
            </w:r>
          </w:hyperlink>
        </w:p>
        <w:p w14:paraId="18205DDD" w14:textId="77777777" w:rsidR="00B8145D" w:rsidRDefault="00293145">
          <w:pPr>
            <w:pStyle w:val="TDC3"/>
            <w:rPr>
              <w:rFonts w:asciiTheme="minorHAnsi" w:eastAsiaTheme="minorEastAsia" w:hAnsiTheme="minorHAnsi" w:cstheme="minorBidi"/>
              <w:noProof/>
              <w:szCs w:val="22"/>
              <w:lang w:eastAsia="es-MX"/>
            </w:rPr>
          </w:pPr>
          <w:hyperlink w:anchor="_Toc197541093" w:history="1">
            <w:r w:rsidR="00B8145D" w:rsidRPr="00D315B4">
              <w:rPr>
                <w:rStyle w:val="Hipervnculo"/>
                <w:rFonts w:eastAsia="Calibri"/>
                <w:noProof/>
                <w:lang w:eastAsia="es-ES_tradnl"/>
              </w:rPr>
              <w:t>c) Plazo para interponer el recurso</w:t>
            </w:r>
            <w:r w:rsidR="00B8145D">
              <w:rPr>
                <w:noProof/>
                <w:webHidden/>
              </w:rPr>
              <w:tab/>
            </w:r>
            <w:r w:rsidR="00B8145D">
              <w:rPr>
                <w:noProof/>
                <w:webHidden/>
              </w:rPr>
              <w:fldChar w:fldCharType="begin"/>
            </w:r>
            <w:r w:rsidR="00B8145D">
              <w:rPr>
                <w:noProof/>
                <w:webHidden/>
              </w:rPr>
              <w:instrText xml:space="preserve"> PAGEREF _Toc197541093 \h </w:instrText>
            </w:r>
            <w:r w:rsidR="00B8145D">
              <w:rPr>
                <w:noProof/>
                <w:webHidden/>
              </w:rPr>
            </w:r>
            <w:r w:rsidR="00B8145D">
              <w:rPr>
                <w:noProof/>
                <w:webHidden/>
              </w:rPr>
              <w:fldChar w:fldCharType="separate"/>
            </w:r>
            <w:r w:rsidR="003D35D9">
              <w:rPr>
                <w:noProof/>
                <w:webHidden/>
              </w:rPr>
              <w:t>9</w:t>
            </w:r>
            <w:r w:rsidR="00B8145D">
              <w:rPr>
                <w:noProof/>
                <w:webHidden/>
              </w:rPr>
              <w:fldChar w:fldCharType="end"/>
            </w:r>
          </w:hyperlink>
        </w:p>
        <w:p w14:paraId="2CBD9884" w14:textId="77777777" w:rsidR="00B8145D" w:rsidRDefault="00293145">
          <w:pPr>
            <w:pStyle w:val="TDC3"/>
            <w:rPr>
              <w:rFonts w:asciiTheme="minorHAnsi" w:eastAsiaTheme="minorEastAsia" w:hAnsiTheme="minorHAnsi" w:cstheme="minorBidi"/>
              <w:noProof/>
              <w:szCs w:val="22"/>
              <w:lang w:eastAsia="es-MX"/>
            </w:rPr>
          </w:pPr>
          <w:hyperlink w:anchor="_Toc197541094" w:history="1">
            <w:r w:rsidR="00B8145D" w:rsidRPr="00D315B4">
              <w:rPr>
                <w:rStyle w:val="Hipervnculo"/>
                <w:rFonts w:eastAsia="Calibri"/>
                <w:noProof/>
                <w:lang w:eastAsia="es-ES_tradnl"/>
              </w:rPr>
              <w:t>d) Causal de Procedencia</w:t>
            </w:r>
            <w:r w:rsidR="00B8145D">
              <w:rPr>
                <w:noProof/>
                <w:webHidden/>
              </w:rPr>
              <w:tab/>
            </w:r>
            <w:r w:rsidR="00B8145D">
              <w:rPr>
                <w:noProof/>
                <w:webHidden/>
              </w:rPr>
              <w:fldChar w:fldCharType="begin"/>
            </w:r>
            <w:r w:rsidR="00B8145D">
              <w:rPr>
                <w:noProof/>
                <w:webHidden/>
              </w:rPr>
              <w:instrText xml:space="preserve"> PAGEREF _Toc197541094 \h </w:instrText>
            </w:r>
            <w:r w:rsidR="00B8145D">
              <w:rPr>
                <w:noProof/>
                <w:webHidden/>
              </w:rPr>
            </w:r>
            <w:r w:rsidR="00B8145D">
              <w:rPr>
                <w:noProof/>
                <w:webHidden/>
              </w:rPr>
              <w:fldChar w:fldCharType="separate"/>
            </w:r>
            <w:r w:rsidR="003D35D9">
              <w:rPr>
                <w:noProof/>
                <w:webHidden/>
              </w:rPr>
              <w:t>9</w:t>
            </w:r>
            <w:r w:rsidR="00B8145D">
              <w:rPr>
                <w:noProof/>
                <w:webHidden/>
              </w:rPr>
              <w:fldChar w:fldCharType="end"/>
            </w:r>
          </w:hyperlink>
        </w:p>
        <w:p w14:paraId="0090C065" w14:textId="77777777" w:rsidR="00B8145D" w:rsidRDefault="00293145">
          <w:pPr>
            <w:pStyle w:val="TDC3"/>
            <w:rPr>
              <w:rFonts w:asciiTheme="minorHAnsi" w:eastAsiaTheme="minorEastAsia" w:hAnsiTheme="minorHAnsi" w:cstheme="minorBidi"/>
              <w:noProof/>
              <w:szCs w:val="22"/>
              <w:lang w:eastAsia="es-MX"/>
            </w:rPr>
          </w:pPr>
          <w:hyperlink w:anchor="_Toc197541095" w:history="1">
            <w:r w:rsidR="00B8145D" w:rsidRPr="00D315B4">
              <w:rPr>
                <w:rStyle w:val="Hipervnculo"/>
                <w:noProof/>
              </w:rPr>
              <w:t>e) Requisitos formales para la interposición del recurso</w:t>
            </w:r>
            <w:r w:rsidR="00B8145D">
              <w:rPr>
                <w:noProof/>
                <w:webHidden/>
              </w:rPr>
              <w:tab/>
            </w:r>
            <w:r w:rsidR="00B8145D">
              <w:rPr>
                <w:noProof/>
                <w:webHidden/>
              </w:rPr>
              <w:fldChar w:fldCharType="begin"/>
            </w:r>
            <w:r w:rsidR="00B8145D">
              <w:rPr>
                <w:noProof/>
                <w:webHidden/>
              </w:rPr>
              <w:instrText xml:space="preserve"> PAGEREF _Toc197541095 \h </w:instrText>
            </w:r>
            <w:r w:rsidR="00B8145D">
              <w:rPr>
                <w:noProof/>
                <w:webHidden/>
              </w:rPr>
            </w:r>
            <w:r w:rsidR="00B8145D">
              <w:rPr>
                <w:noProof/>
                <w:webHidden/>
              </w:rPr>
              <w:fldChar w:fldCharType="separate"/>
            </w:r>
            <w:r w:rsidR="003D35D9">
              <w:rPr>
                <w:noProof/>
                <w:webHidden/>
              </w:rPr>
              <w:t>9</w:t>
            </w:r>
            <w:r w:rsidR="00B8145D">
              <w:rPr>
                <w:noProof/>
                <w:webHidden/>
              </w:rPr>
              <w:fldChar w:fldCharType="end"/>
            </w:r>
          </w:hyperlink>
        </w:p>
        <w:p w14:paraId="4C319E42" w14:textId="77777777" w:rsidR="00B8145D" w:rsidRDefault="00293145">
          <w:pPr>
            <w:pStyle w:val="TDC2"/>
            <w:rPr>
              <w:rFonts w:asciiTheme="minorHAnsi" w:eastAsiaTheme="minorEastAsia" w:hAnsiTheme="minorHAnsi" w:cstheme="minorBidi"/>
              <w:noProof/>
              <w:szCs w:val="22"/>
              <w:lang w:eastAsia="es-MX"/>
            </w:rPr>
          </w:pPr>
          <w:hyperlink w:anchor="_Toc197541096" w:history="1">
            <w:r w:rsidR="00B8145D" w:rsidRPr="00D315B4">
              <w:rPr>
                <w:rStyle w:val="Hipervnculo"/>
                <w:noProof/>
              </w:rPr>
              <w:t>SEGUNDO. Estudio de Fondo</w:t>
            </w:r>
            <w:r w:rsidR="00B8145D">
              <w:rPr>
                <w:noProof/>
                <w:webHidden/>
              </w:rPr>
              <w:tab/>
            </w:r>
            <w:r w:rsidR="00B8145D">
              <w:rPr>
                <w:noProof/>
                <w:webHidden/>
              </w:rPr>
              <w:fldChar w:fldCharType="begin"/>
            </w:r>
            <w:r w:rsidR="00B8145D">
              <w:rPr>
                <w:noProof/>
                <w:webHidden/>
              </w:rPr>
              <w:instrText xml:space="preserve"> PAGEREF _Toc197541096 \h </w:instrText>
            </w:r>
            <w:r w:rsidR="00B8145D">
              <w:rPr>
                <w:noProof/>
                <w:webHidden/>
              </w:rPr>
            </w:r>
            <w:r w:rsidR="00B8145D">
              <w:rPr>
                <w:noProof/>
                <w:webHidden/>
              </w:rPr>
              <w:fldChar w:fldCharType="separate"/>
            </w:r>
            <w:r w:rsidR="003D35D9">
              <w:rPr>
                <w:noProof/>
                <w:webHidden/>
              </w:rPr>
              <w:t>10</w:t>
            </w:r>
            <w:r w:rsidR="00B8145D">
              <w:rPr>
                <w:noProof/>
                <w:webHidden/>
              </w:rPr>
              <w:fldChar w:fldCharType="end"/>
            </w:r>
          </w:hyperlink>
        </w:p>
        <w:p w14:paraId="26913354" w14:textId="77777777" w:rsidR="00B8145D" w:rsidRDefault="00293145">
          <w:pPr>
            <w:pStyle w:val="TDC3"/>
            <w:rPr>
              <w:rFonts w:asciiTheme="minorHAnsi" w:eastAsiaTheme="minorEastAsia" w:hAnsiTheme="minorHAnsi" w:cstheme="minorBidi"/>
              <w:noProof/>
              <w:szCs w:val="22"/>
              <w:lang w:eastAsia="es-MX"/>
            </w:rPr>
          </w:pPr>
          <w:hyperlink w:anchor="_Toc197541097" w:history="1">
            <w:r w:rsidR="00B8145D" w:rsidRPr="00D315B4">
              <w:rPr>
                <w:rStyle w:val="Hipervnculo"/>
                <w:noProof/>
              </w:rPr>
              <w:t>a) Mandato de transparencia y responsabilidad del Sujeto Obligado</w:t>
            </w:r>
            <w:r w:rsidR="00B8145D">
              <w:rPr>
                <w:noProof/>
                <w:webHidden/>
              </w:rPr>
              <w:tab/>
            </w:r>
            <w:r w:rsidR="00B8145D">
              <w:rPr>
                <w:noProof/>
                <w:webHidden/>
              </w:rPr>
              <w:fldChar w:fldCharType="begin"/>
            </w:r>
            <w:r w:rsidR="00B8145D">
              <w:rPr>
                <w:noProof/>
                <w:webHidden/>
              </w:rPr>
              <w:instrText xml:space="preserve"> PAGEREF _Toc197541097 \h </w:instrText>
            </w:r>
            <w:r w:rsidR="00B8145D">
              <w:rPr>
                <w:noProof/>
                <w:webHidden/>
              </w:rPr>
            </w:r>
            <w:r w:rsidR="00B8145D">
              <w:rPr>
                <w:noProof/>
                <w:webHidden/>
              </w:rPr>
              <w:fldChar w:fldCharType="separate"/>
            </w:r>
            <w:r w:rsidR="003D35D9">
              <w:rPr>
                <w:noProof/>
                <w:webHidden/>
              </w:rPr>
              <w:t>10</w:t>
            </w:r>
            <w:r w:rsidR="00B8145D">
              <w:rPr>
                <w:noProof/>
                <w:webHidden/>
              </w:rPr>
              <w:fldChar w:fldCharType="end"/>
            </w:r>
          </w:hyperlink>
        </w:p>
        <w:p w14:paraId="2B6AEB4B" w14:textId="77777777" w:rsidR="00B8145D" w:rsidRDefault="00293145">
          <w:pPr>
            <w:pStyle w:val="TDC3"/>
            <w:rPr>
              <w:rFonts w:asciiTheme="minorHAnsi" w:eastAsiaTheme="minorEastAsia" w:hAnsiTheme="minorHAnsi" w:cstheme="minorBidi"/>
              <w:noProof/>
              <w:szCs w:val="22"/>
              <w:lang w:eastAsia="es-MX"/>
            </w:rPr>
          </w:pPr>
          <w:hyperlink w:anchor="_Toc197541098" w:history="1">
            <w:r w:rsidR="00B8145D" w:rsidRPr="00D315B4">
              <w:rPr>
                <w:rStyle w:val="Hipervnculo"/>
                <w:rFonts w:eastAsia="Calibri"/>
                <w:noProof/>
                <w:lang w:eastAsia="es-ES_tradnl"/>
              </w:rPr>
              <w:t>b) Controversia a resolver</w:t>
            </w:r>
            <w:r w:rsidR="00B8145D">
              <w:rPr>
                <w:noProof/>
                <w:webHidden/>
              </w:rPr>
              <w:tab/>
            </w:r>
            <w:r w:rsidR="00B8145D">
              <w:rPr>
                <w:noProof/>
                <w:webHidden/>
              </w:rPr>
              <w:fldChar w:fldCharType="begin"/>
            </w:r>
            <w:r w:rsidR="00B8145D">
              <w:rPr>
                <w:noProof/>
                <w:webHidden/>
              </w:rPr>
              <w:instrText xml:space="preserve"> PAGEREF _Toc197541098 \h </w:instrText>
            </w:r>
            <w:r w:rsidR="00B8145D">
              <w:rPr>
                <w:noProof/>
                <w:webHidden/>
              </w:rPr>
            </w:r>
            <w:r w:rsidR="00B8145D">
              <w:rPr>
                <w:noProof/>
                <w:webHidden/>
              </w:rPr>
              <w:fldChar w:fldCharType="separate"/>
            </w:r>
            <w:r w:rsidR="003D35D9">
              <w:rPr>
                <w:noProof/>
                <w:webHidden/>
              </w:rPr>
              <w:t>13</w:t>
            </w:r>
            <w:r w:rsidR="00B8145D">
              <w:rPr>
                <w:noProof/>
                <w:webHidden/>
              </w:rPr>
              <w:fldChar w:fldCharType="end"/>
            </w:r>
          </w:hyperlink>
        </w:p>
        <w:p w14:paraId="3FD1648D" w14:textId="77777777" w:rsidR="00B8145D" w:rsidRDefault="00293145">
          <w:pPr>
            <w:pStyle w:val="TDC3"/>
            <w:rPr>
              <w:rFonts w:asciiTheme="minorHAnsi" w:eastAsiaTheme="minorEastAsia" w:hAnsiTheme="minorHAnsi" w:cstheme="minorBidi"/>
              <w:noProof/>
              <w:szCs w:val="22"/>
              <w:lang w:eastAsia="es-MX"/>
            </w:rPr>
          </w:pPr>
          <w:hyperlink w:anchor="_Toc197541099" w:history="1">
            <w:r w:rsidR="00B8145D" w:rsidRPr="00D315B4">
              <w:rPr>
                <w:rStyle w:val="Hipervnculo"/>
                <w:noProof/>
              </w:rPr>
              <w:t>c) Estudio de la controversia</w:t>
            </w:r>
            <w:r w:rsidR="00B8145D">
              <w:rPr>
                <w:noProof/>
                <w:webHidden/>
              </w:rPr>
              <w:tab/>
            </w:r>
            <w:r w:rsidR="00B8145D">
              <w:rPr>
                <w:noProof/>
                <w:webHidden/>
              </w:rPr>
              <w:fldChar w:fldCharType="begin"/>
            </w:r>
            <w:r w:rsidR="00B8145D">
              <w:rPr>
                <w:noProof/>
                <w:webHidden/>
              </w:rPr>
              <w:instrText xml:space="preserve"> PAGEREF _Toc197541099 \h </w:instrText>
            </w:r>
            <w:r w:rsidR="00B8145D">
              <w:rPr>
                <w:noProof/>
                <w:webHidden/>
              </w:rPr>
            </w:r>
            <w:r w:rsidR="00B8145D">
              <w:rPr>
                <w:noProof/>
                <w:webHidden/>
              </w:rPr>
              <w:fldChar w:fldCharType="separate"/>
            </w:r>
            <w:r w:rsidR="003D35D9">
              <w:rPr>
                <w:noProof/>
                <w:webHidden/>
              </w:rPr>
              <w:t>13</w:t>
            </w:r>
            <w:r w:rsidR="00B8145D">
              <w:rPr>
                <w:noProof/>
                <w:webHidden/>
              </w:rPr>
              <w:fldChar w:fldCharType="end"/>
            </w:r>
          </w:hyperlink>
        </w:p>
        <w:p w14:paraId="5F0B59ED" w14:textId="77777777" w:rsidR="00B8145D" w:rsidRDefault="00293145">
          <w:pPr>
            <w:pStyle w:val="TDC3"/>
            <w:rPr>
              <w:rFonts w:asciiTheme="minorHAnsi" w:eastAsiaTheme="minorEastAsia" w:hAnsiTheme="minorHAnsi" w:cstheme="minorBidi"/>
              <w:noProof/>
              <w:szCs w:val="22"/>
              <w:lang w:eastAsia="es-MX"/>
            </w:rPr>
          </w:pPr>
          <w:hyperlink w:anchor="_Toc197541100" w:history="1">
            <w:r w:rsidR="00B8145D" w:rsidRPr="00D315B4">
              <w:rPr>
                <w:rStyle w:val="Hipervnculo"/>
                <w:noProof/>
              </w:rPr>
              <w:t>d) Versión pública</w:t>
            </w:r>
            <w:r w:rsidR="00B8145D">
              <w:rPr>
                <w:noProof/>
                <w:webHidden/>
              </w:rPr>
              <w:tab/>
            </w:r>
            <w:r w:rsidR="00B8145D">
              <w:rPr>
                <w:noProof/>
                <w:webHidden/>
              </w:rPr>
              <w:fldChar w:fldCharType="begin"/>
            </w:r>
            <w:r w:rsidR="00B8145D">
              <w:rPr>
                <w:noProof/>
                <w:webHidden/>
              </w:rPr>
              <w:instrText xml:space="preserve"> PAGEREF _Toc197541100 \h </w:instrText>
            </w:r>
            <w:r w:rsidR="00B8145D">
              <w:rPr>
                <w:noProof/>
                <w:webHidden/>
              </w:rPr>
            </w:r>
            <w:r w:rsidR="00B8145D">
              <w:rPr>
                <w:noProof/>
                <w:webHidden/>
              </w:rPr>
              <w:fldChar w:fldCharType="separate"/>
            </w:r>
            <w:r w:rsidR="003D35D9">
              <w:rPr>
                <w:noProof/>
                <w:webHidden/>
              </w:rPr>
              <w:t>26</w:t>
            </w:r>
            <w:r w:rsidR="00B8145D">
              <w:rPr>
                <w:noProof/>
                <w:webHidden/>
              </w:rPr>
              <w:fldChar w:fldCharType="end"/>
            </w:r>
          </w:hyperlink>
        </w:p>
        <w:p w14:paraId="5185B7BB" w14:textId="77777777" w:rsidR="00B8145D" w:rsidRDefault="00293145">
          <w:pPr>
            <w:pStyle w:val="TDC3"/>
            <w:rPr>
              <w:rFonts w:asciiTheme="minorHAnsi" w:eastAsiaTheme="minorEastAsia" w:hAnsiTheme="minorHAnsi" w:cstheme="minorBidi"/>
              <w:noProof/>
              <w:szCs w:val="22"/>
              <w:lang w:eastAsia="es-MX"/>
            </w:rPr>
          </w:pPr>
          <w:hyperlink w:anchor="_Toc197541101" w:history="1">
            <w:r w:rsidR="00B8145D" w:rsidRPr="00D315B4">
              <w:rPr>
                <w:rStyle w:val="Hipervnculo"/>
                <w:rFonts w:eastAsia="Calibri"/>
                <w:noProof/>
              </w:rPr>
              <w:t xml:space="preserve">e) </w:t>
            </w:r>
            <w:r w:rsidR="00B8145D" w:rsidRPr="00D315B4">
              <w:rPr>
                <w:rStyle w:val="Hipervnculo"/>
                <w:noProof/>
              </w:rPr>
              <w:t>Conclusión</w:t>
            </w:r>
            <w:r w:rsidR="00B8145D">
              <w:rPr>
                <w:noProof/>
                <w:webHidden/>
              </w:rPr>
              <w:tab/>
            </w:r>
            <w:r w:rsidR="00B8145D">
              <w:rPr>
                <w:noProof/>
                <w:webHidden/>
              </w:rPr>
              <w:fldChar w:fldCharType="begin"/>
            </w:r>
            <w:r w:rsidR="00B8145D">
              <w:rPr>
                <w:noProof/>
                <w:webHidden/>
              </w:rPr>
              <w:instrText xml:space="preserve"> PAGEREF _Toc197541101 \h </w:instrText>
            </w:r>
            <w:r w:rsidR="00B8145D">
              <w:rPr>
                <w:noProof/>
                <w:webHidden/>
              </w:rPr>
            </w:r>
            <w:r w:rsidR="00B8145D">
              <w:rPr>
                <w:noProof/>
                <w:webHidden/>
              </w:rPr>
              <w:fldChar w:fldCharType="separate"/>
            </w:r>
            <w:r w:rsidR="003D35D9">
              <w:rPr>
                <w:noProof/>
                <w:webHidden/>
              </w:rPr>
              <w:t>32</w:t>
            </w:r>
            <w:r w:rsidR="00B8145D">
              <w:rPr>
                <w:noProof/>
                <w:webHidden/>
              </w:rPr>
              <w:fldChar w:fldCharType="end"/>
            </w:r>
          </w:hyperlink>
        </w:p>
        <w:p w14:paraId="0C82FD7A" w14:textId="4F93B450" w:rsidR="009B2945" w:rsidRPr="00B8145D" w:rsidRDefault="00293145" w:rsidP="00B8145D">
          <w:pPr>
            <w:pStyle w:val="TDC1"/>
            <w:tabs>
              <w:tab w:val="right" w:leader="dot" w:pos="9034"/>
            </w:tabs>
            <w:rPr>
              <w:b/>
              <w:bCs/>
              <w:lang w:val="es-ES"/>
            </w:rPr>
          </w:pPr>
          <w:hyperlink w:anchor="_Toc197541102" w:history="1">
            <w:r w:rsidR="00B8145D" w:rsidRPr="00D315B4">
              <w:rPr>
                <w:rStyle w:val="Hipervnculo"/>
                <w:noProof/>
              </w:rPr>
              <w:t>RESUELVE</w:t>
            </w:r>
            <w:r w:rsidR="00B8145D">
              <w:rPr>
                <w:noProof/>
                <w:webHidden/>
              </w:rPr>
              <w:tab/>
            </w:r>
            <w:r w:rsidR="00B8145D">
              <w:rPr>
                <w:noProof/>
                <w:webHidden/>
              </w:rPr>
              <w:fldChar w:fldCharType="begin"/>
            </w:r>
            <w:r w:rsidR="00B8145D">
              <w:rPr>
                <w:noProof/>
                <w:webHidden/>
              </w:rPr>
              <w:instrText xml:space="preserve"> PAGEREF _Toc197541102 \h </w:instrText>
            </w:r>
            <w:r w:rsidR="00B8145D">
              <w:rPr>
                <w:noProof/>
                <w:webHidden/>
              </w:rPr>
            </w:r>
            <w:r w:rsidR="00B8145D">
              <w:rPr>
                <w:noProof/>
                <w:webHidden/>
              </w:rPr>
              <w:fldChar w:fldCharType="separate"/>
            </w:r>
            <w:r w:rsidR="003D35D9">
              <w:rPr>
                <w:noProof/>
                <w:webHidden/>
              </w:rPr>
              <w:t>33</w:t>
            </w:r>
            <w:r w:rsidR="00B8145D">
              <w:rPr>
                <w:noProof/>
                <w:webHidden/>
              </w:rPr>
              <w:fldChar w:fldCharType="end"/>
            </w:r>
          </w:hyperlink>
          <w:r w:rsidR="00AE3DA7" w:rsidRPr="00B8145D">
            <w:rPr>
              <w:b/>
              <w:bCs/>
              <w:sz w:val="16"/>
              <w:szCs w:val="16"/>
              <w:lang w:val="es-ES"/>
            </w:rPr>
            <w:fldChar w:fldCharType="end"/>
          </w:r>
        </w:p>
      </w:sdtContent>
    </w:sdt>
    <w:p w14:paraId="603A07E2" w14:textId="77777777" w:rsidR="00646436" w:rsidRPr="00B8145D" w:rsidRDefault="00646436" w:rsidP="00B8145D">
      <w:pPr>
        <w:rPr>
          <w:rFonts w:cs="Tahoma"/>
          <w:szCs w:val="22"/>
        </w:rPr>
        <w:sectPr w:rsidR="00646436" w:rsidRPr="00B8145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7C81396" w:rsidR="00775BFC" w:rsidRPr="00B8145D" w:rsidRDefault="00775BFC" w:rsidP="00B8145D">
      <w:pPr>
        <w:rPr>
          <w:b/>
        </w:rPr>
      </w:pPr>
      <w:r w:rsidRPr="00B8145D">
        <w:lastRenderedPageBreak/>
        <w:t>Resolución del Pleno del Instituto de Transparencia, Acceso a la Información Pública y Protección de Datos Personales del Estado de México y Municipios, con domicilio en Metepec, Estado de México, de</w:t>
      </w:r>
      <w:r w:rsidR="00C15071" w:rsidRPr="00B8145D">
        <w:t>l</w:t>
      </w:r>
      <w:r w:rsidRPr="00B8145D">
        <w:t xml:space="preserve"> </w:t>
      </w:r>
      <w:r w:rsidR="00B8145D">
        <w:rPr>
          <w:b/>
        </w:rPr>
        <w:t>catorce</w:t>
      </w:r>
      <w:r w:rsidR="00954F02" w:rsidRPr="00B8145D">
        <w:rPr>
          <w:b/>
        </w:rPr>
        <w:t xml:space="preserve"> de mayo </w:t>
      </w:r>
      <w:r w:rsidRPr="00B8145D">
        <w:rPr>
          <w:b/>
        </w:rPr>
        <w:t xml:space="preserve">de dos mil </w:t>
      </w:r>
      <w:r w:rsidR="00157CE1" w:rsidRPr="00B8145D">
        <w:rPr>
          <w:b/>
        </w:rPr>
        <w:t>veinticinco</w:t>
      </w:r>
      <w:r w:rsidRPr="00B8145D">
        <w:rPr>
          <w:b/>
        </w:rPr>
        <w:t>.</w:t>
      </w:r>
    </w:p>
    <w:p w14:paraId="0AF3AAC4" w14:textId="77777777" w:rsidR="00775BFC" w:rsidRPr="00B8145D" w:rsidRDefault="00775BFC" w:rsidP="00B8145D"/>
    <w:p w14:paraId="40EAE038" w14:textId="6AEF1087" w:rsidR="00775BFC" w:rsidRPr="00B8145D" w:rsidRDefault="00775BFC" w:rsidP="00B8145D">
      <w:r w:rsidRPr="00B8145D">
        <w:rPr>
          <w:b/>
        </w:rPr>
        <w:t xml:space="preserve">VISTO </w:t>
      </w:r>
      <w:r w:rsidRPr="00B8145D">
        <w:t xml:space="preserve">el expediente formado con motivo del Recurso de Revisión </w:t>
      </w:r>
      <w:r w:rsidR="00C15071" w:rsidRPr="00B8145D">
        <w:rPr>
          <w:rFonts w:eastAsia="Calibri"/>
          <w:b/>
          <w:lang w:eastAsia="en-US"/>
        </w:rPr>
        <w:t>02422/</w:t>
      </w:r>
      <w:r w:rsidRPr="00B8145D">
        <w:rPr>
          <w:rFonts w:eastAsia="Calibri"/>
          <w:b/>
          <w:lang w:eastAsia="en-US"/>
        </w:rPr>
        <w:t>INFOEM/IP/RR</w:t>
      </w:r>
      <w:r w:rsidR="00157CE1" w:rsidRPr="00B8145D">
        <w:rPr>
          <w:rFonts w:eastAsia="Calibri"/>
          <w:b/>
          <w:lang w:eastAsia="en-US"/>
        </w:rPr>
        <w:t>/2025</w:t>
      </w:r>
      <w:r w:rsidRPr="00B8145D">
        <w:rPr>
          <w:rFonts w:eastAsia="Calibri"/>
          <w:lang w:eastAsia="en-US"/>
        </w:rPr>
        <w:t xml:space="preserve"> </w:t>
      </w:r>
      <w:r w:rsidRPr="00B8145D">
        <w:t xml:space="preserve">interpuesto por </w:t>
      </w:r>
      <w:bookmarkStart w:id="2" w:name="_GoBack"/>
      <w:r w:rsidR="00263156">
        <w:rPr>
          <w:b/>
          <w:bCs/>
        </w:rPr>
        <w:t>XXXXXXX</w:t>
      </w:r>
      <w:bookmarkEnd w:id="2"/>
      <w:r w:rsidRPr="00B8145D">
        <w:t xml:space="preserve">, a quien en lo subsecuente se le denominará </w:t>
      </w:r>
      <w:r w:rsidRPr="00B8145D">
        <w:rPr>
          <w:b/>
          <w:bCs/>
        </w:rPr>
        <w:t>LA PARTE RECURRENTE</w:t>
      </w:r>
      <w:r w:rsidRPr="00B8145D">
        <w:t>, en contra de la respuesta emitida por</w:t>
      </w:r>
      <w:r w:rsidR="00C15071" w:rsidRPr="00B8145D">
        <w:t xml:space="preserve"> la</w:t>
      </w:r>
      <w:r w:rsidRPr="00B8145D">
        <w:t xml:space="preserve"> </w:t>
      </w:r>
      <w:r w:rsidR="00C15071" w:rsidRPr="00B8145D">
        <w:rPr>
          <w:b/>
          <w:bCs/>
        </w:rPr>
        <w:t xml:space="preserve">Secretaría de Finanzas </w:t>
      </w:r>
      <w:r w:rsidRPr="00B8145D">
        <w:t xml:space="preserve">en adelante </w:t>
      </w:r>
      <w:r w:rsidRPr="00B8145D">
        <w:rPr>
          <w:b/>
          <w:bCs/>
        </w:rPr>
        <w:t>EL SUJETO OBLIGADO</w:t>
      </w:r>
      <w:r w:rsidRPr="00B8145D">
        <w:rPr>
          <w:rFonts w:eastAsia="Calibri"/>
          <w:lang w:eastAsia="en-US"/>
        </w:rPr>
        <w:t xml:space="preserve">, </w:t>
      </w:r>
      <w:r w:rsidRPr="00B8145D">
        <w:t>se emite la presente Resolución con base en los Antecedentes y Considerandos que se exponen a continuación:</w:t>
      </w:r>
    </w:p>
    <w:p w14:paraId="2116968C" w14:textId="77777777" w:rsidR="00775BFC" w:rsidRPr="00B8145D" w:rsidRDefault="00775BFC" w:rsidP="00B8145D"/>
    <w:p w14:paraId="5A444FB6" w14:textId="639D3567" w:rsidR="00664420" w:rsidRPr="00B8145D" w:rsidRDefault="00664420" w:rsidP="00B8145D">
      <w:pPr>
        <w:pStyle w:val="Ttulo1"/>
      </w:pPr>
      <w:bookmarkStart w:id="3" w:name="_Toc197541077"/>
      <w:r w:rsidRPr="00B8145D">
        <w:t>ANTECEDENTES</w:t>
      </w:r>
      <w:bookmarkEnd w:id="3"/>
    </w:p>
    <w:p w14:paraId="5CB5034E" w14:textId="77777777" w:rsidR="00AC2DB8" w:rsidRPr="00B8145D" w:rsidRDefault="00AC2DB8" w:rsidP="00B8145D"/>
    <w:p w14:paraId="09B2D38F" w14:textId="6E49D146" w:rsidR="00664420" w:rsidRPr="00B8145D" w:rsidRDefault="00E37A3F" w:rsidP="00B8145D">
      <w:pPr>
        <w:pStyle w:val="Ttulo2"/>
      </w:pPr>
      <w:bookmarkStart w:id="4" w:name="_Toc197541078"/>
      <w:r w:rsidRPr="00B8145D">
        <w:t>DE LA SOLICITUD DE INFORMACIÓN</w:t>
      </w:r>
      <w:bookmarkEnd w:id="4"/>
    </w:p>
    <w:p w14:paraId="2C6AD1A5" w14:textId="0405B3CD" w:rsidR="00664420" w:rsidRPr="00B8145D" w:rsidRDefault="00E37A3F" w:rsidP="00B8145D">
      <w:pPr>
        <w:pStyle w:val="Ttulo3"/>
      </w:pPr>
      <w:bookmarkStart w:id="5" w:name="_Toc197541079"/>
      <w:r w:rsidRPr="00B8145D">
        <w:t xml:space="preserve">a) </w:t>
      </w:r>
      <w:r w:rsidR="006B10B0" w:rsidRPr="00B8145D">
        <w:t>S</w:t>
      </w:r>
      <w:r w:rsidR="00664420" w:rsidRPr="00B8145D">
        <w:t xml:space="preserve">olicitud de </w:t>
      </w:r>
      <w:r w:rsidR="006B10B0" w:rsidRPr="00B8145D">
        <w:t>i</w:t>
      </w:r>
      <w:r w:rsidR="00664420" w:rsidRPr="00B8145D">
        <w:t>nformación</w:t>
      </w:r>
      <w:bookmarkEnd w:id="5"/>
    </w:p>
    <w:p w14:paraId="06DCD29D" w14:textId="272580BF" w:rsidR="009A2D78" w:rsidRPr="00B8145D" w:rsidRDefault="006B10B0" w:rsidP="00B8145D">
      <w:pPr>
        <w:pStyle w:val="Prrafodelista"/>
        <w:tabs>
          <w:tab w:val="left" w:pos="0"/>
        </w:tabs>
        <w:ind w:left="0"/>
        <w:contextualSpacing w:val="0"/>
        <w:rPr>
          <w:rFonts w:cs="Tahoma"/>
        </w:rPr>
      </w:pPr>
      <w:r w:rsidRPr="00B8145D">
        <w:rPr>
          <w:rFonts w:cs="Tahoma"/>
        </w:rPr>
        <w:t>El</w:t>
      </w:r>
      <w:r w:rsidR="00664420" w:rsidRPr="00B8145D">
        <w:rPr>
          <w:rFonts w:cs="Tahoma"/>
        </w:rPr>
        <w:t xml:space="preserve"> </w:t>
      </w:r>
      <w:r w:rsidR="00C15071" w:rsidRPr="00B8145D">
        <w:rPr>
          <w:rFonts w:cs="Tahoma"/>
          <w:b/>
          <w:bCs/>
        </w:rPr>
        <w:t>seis</w:t>
      </w:r>
      <w:r w:rsidR="00664420" w:rsidRPr="00B8145D">
        <w:rPr>
          <w:rFonts w:cs="Tahoma"/>
          <w:b/>
          <w:bCs/>
        </w:rPr>
        <w:t xml:space="preserve"> de </w:t>
      </w:r>
      <w:r w:rsidR="00C15071" w:rsidRPr="00B8145D">
        <w:rPr>
          <w:rFonts w:cs="Tahoma"/>
          <w:b/>
          <w:bCs/>
        </w:rPr>
        <w:t xml:space="preserve">febrero </w:t>
      </w:r>
      <w:r w:rsidR="00664420" w:rsidRPr="00B8145D">
        <w:rPr>
          <w:rFonts w:cs="Tahoma"/>
          <w:b/>
          <w:bCs/>
        </w:rPr>
        <w:t xml:space="preserve">de dos mil </w:t>
      </w:r>
      <w:r w:rsidR="00157CE1" w:rsidRPr="00B8145D">
        <w:rPr>
          <w:rFonts w:cs="Tahoma"/>
          <w:b/>
          <w:bCs/>
        </w:rPr>
        <w:t>veinticinco</w:t>
      </w:r>
      <w:r w:rsidR="00664420" w:rsidRPr="00B8145D">
        <w:rPr>
          <w:rFonts w:cs="Tahoma"/>
        </w:rPr>
        <w:t xml:space="preserve">, </w:t>
      </w:r>
      <w:r w:rsidRPr="00B8145D">
        <w:rPr>
          <w:b/>
          <w:bCs/>
        </w:rPr>
        <w:t>LA PARTE RECURRENTE</w:t>
      </w:r>
      <w:r w:rsidR="00664420" w:rsidRPr="00B8145D">
        <w:rPr>
          <w:rFonts w:cs="Tahoma"/>
        </w:rPr>
        <w:t xml:space="preserve"> presentó una solicitud de acceso a la información pública </w:t>
      </w:r>
      <w:r w:rsidR="001F3515" w:rsidRPr="00B8145D">
        <w:rPr>
          <w:rFonts w:cs="Tahoma"/>
        </w:rPr>
        <w:t xml:space="preserve">ante el </w:t>
      </w:r>
      <w:r w:rsidR="001F3515" w:rsidRPr="00B8145D">
        <w:rPr>
          <w:rFonts w:cs="Tahoma"/>
          <w:b/>
          <w:bCs/>
        </w:rPr>
        <w:t>SUJETO OBLIGADO</w:t>
      </w:r>
      <w:r w:rsidR="001F3515" w:rsidRPr="00B8145D">
        <w:rPr>
          <w:rFonts w:cs="Tahoma"/>
        </w:rPr>
        <w:t xml:space="preserve">, </w:t>
      </w:r>
      <w:r w:rsidR="00664420" w:rsidRPr="00B8145D">
        <w:rPr>
          <w:rFonts w:cs="Tahoma"/>
        </w:rPr>
        <w:t xml:space="preserve">a través del </w:t>
      </w:r>
      <w:r w:rsidRPr="00B8145D">
        <w:rPr>
          <w:rFonts w:cs="Tahoma"/>
        </w:rPr>
        <w:t>Sistema de Acceso a la Información Mexiquense</w:t>
      </w:r>
      <w:r w:rsidR="009A2D78" w:rsidRPr="00B8145D">
        <w:rPr>
          <w:rFonts w:cs="Tahoma"/>
        </w:rPr>
        <w:t xml:space="preserve"> (</w:t>
      </w:r>
      <w:r w:rsidRPr="00B8145D">
        <w:rPr>
          <w:rFonts w:cs="Tahoma"/>
        </w:rPr>
        <w:t>SAIMEX</w:t>
      </w:r>
      <w:r w:rsidR="009A2D78" w:rsidRPr="00B8145D">
        <w:rPr>
          <w:rFonts w:cs="Tahoma"/>
        </w:rPr>
        <w:t>). Dicha solicitud quedó</w:t>
      </w:r>
      <w:r w:rsidRPr="00B8145D">
        <w:rPr>
          <w:rFonts w:cs="Tahoma"/>
        </w:rPr>
        <w:t xml:space="preserve"> registrada c</w:t>
      </w:r>
      <w:r w:rsidR="00664420" w:rsidRPr="00B8145D">
        <w:rPr>
          <w:rFonts w:cs="Tahoma"/>
        </w:rPr>
        <w:t>on el número de folio</w:t>
      </w:r>
      <w:r w:rsidR="00664420" w:rsidRPr="00B8145D">
        <w:rPr>
          <w:rFonts w:cs="Tahoma"/>
          <w:b/>
          <w:bCs/>
        </w:rPr>
        <w:t xml:space="preserve"> </w:t>
      </w:r>
      <w:r w:rsidR="00C15071" w:rsidRPr="00B8145D">
        <w:rPr>
          <w:rFonts w:cs="Tahoma"/>
          <w:b/>
          <w:bCs/>
        </w:rPr>
        <w:t>00118/SF/IP/2025</w:t>
      </w:r>
      <w:r w:rsidR="002A3601" w:rsidRPr="00B8145D">
        <w:rPr>
          <w:rFonts w:cs="Tahoma"/>
        </w:rPr>
        <w:t xml:space="preserve"> y en ella </w:t>
      </w:r>
      <w:r w:rsidR="009A2D78" w:rsidRPr="00B8145D">
        <w:rPr>
          <w:rFonts w:cs="Tahoma"/>
        </w:rPr>
        <w:t>se requirió la siguiente información:</w:t>
      </w:r>
    </w:p>
    <w:p w14:paraId="0459D6AC" w14:textId="77777777" w:rsidR="00664420" w:rsidRPr="00B8145D" w:rsidRDefault="00664420" w:rsidP="00B8145D">
      <w:pPr>
        <w:tabs>
          <w:tab w:val="left" w:pos="4667"/>
        </w:tabs>
        <w:ind w:left="567" w:right="567"/>
        <w:rPr>
          <w:rFonts w:cs="Tahoma"/>
          <w:b/>
          <w:bCs/>
        </w:rPr>
      </w:pPr>
    </w:p>
    <w:p w14:paraId="179FB369" w14:textId="024CDFFA" w:rsidR="00664420" w:rsidRPr="00B8145D" w:rsidRDefault="00C15071" w:rsidP="00B8145D">
      <w:pPr>
        <w:pStyle w:val="Puesto"/>
      </w:pPr>
      <w:proofErr w:type="gramStart"/>
      <w:r w:rsidRPr="00B8145D">
        <w:t>requiero</w:t>
      </w:r>
      <w:proofErr w:type="gramEnd"/>
      <w:r w:rsidRPr="00B8145D">
        <w:t xml:space="preserve"> </w:t>
      </w:r>
      <w:proofErr w:type="spellStart"/>
      <w:r w:rsidRPr="00B8145D">
        <w:t>todosl</w:t>
      </w:r>
      <w:proofErr w:type="spellEnd"/>
      <w:r w:rsidRPr="00B8145D">
        <w:t xml:space="preserve"> los oficios de la UIPPE y de todas sus direcciones</w:t>
      </w:r>
      <w:r w:rsidR="00664420" w:rsidRPr="00B8145D">
        <w:t>.</w:t>
      </w:r>
    </w:p>
    <w:p w14:paraId="64B27DE3" w14:textId="77777777" w:rsidR="00664420" w:rsidRPr="00B8145D" w:rsidRDefault="00664420" w:rsidP="00B8145D">
      <w:pPr>
        <w:tabs>
          <w:tab w:val="left" w:pos="4667"/>
        </w:tabs>
        <w:ind w:left="567" w:right="567"/>
        <w:rPr>
          <w:rFonts w:cs="Tahoma"/>
          <w:bCs/>
          <w:i/>
          <w:szCs w:val="22"/>
        </w:rPr>
      </w:pPr>
    </w:p>
    <w:p w14:paraId="0BD6321D" w14:textId="56D9ABBC" w:rsidR="00664420" w:rsidRPr="00B8145D" w:rsidRDefault="009A2D78" w:rsidP="00B8145D">
      <w:pPr>
        <w:tabs>
          <w:tab w:val="left" w:pos="4667"/>
        </w:tabs>
        <w:ind w:left="567" w:right="567"/>
        <w:rPr>
          <w:rFonts w:cs="Tahoma"/>
          <w:bCs/>
          <w:szCs w:val="22"/>
        </w:rPr>
      </w:pPr>
      <w:r w:rsidRPr="00B8145D">
        <w:rPr>
          <w:rFonts w:cs="Tahoma"/>
          <w:b/>
          <w:bCs/>
          <w:szCs w:val="22"/>
        </w:rPr>
        <w:t>Modalidad de entrega</w:t>
      </w:r>
      <w:r w:rsidRPr="00B8145D">
        <w:rPr>
          <w:rFonts w:cs="Tahoma"/>
          <w:bCs/>
          <w:szCs w:val="22"/>
        </w:rPr>
        <w:t>: a</w:t>
      </w:r>
      <w:r w:rsidR="00664420" w:rsidRPr="00B8145D">
        <w:rPr>
          <w:rFonts w:cs="Tahoma"/>
          <w:bCs/>
          <w:i/>
          <w:szCs w:val="22"/>
        </w:rPr>
        <w:t xml:space="preserve"> través del SAIMEX</w:t>
      </w:r>
      <w:r w:rsidRPr="00B8145D">
        <w:rPr>
          <w:rFonts w:cs="Tahoma"/>
          <w:bCs/>
          <w:i/>
          <w:szCs w:val="22"/>
        </w:rPr>
        <w:t>.</w:t>
      </w:r>
    </w:p>
    <w:p w14:paraId="334D2860" w14:textId="77777777" w:rsidR="00664420" w:rsidRPr="00B8145D" w:rsidRDefault="00664420" w:rsidP="00B8145D">
      <w:pPr>
        <w:autoSpaceDE w:val="0"/>
        <w:autoSpaceDN w:val="0"/>
        <w:adjustRightInd w:val="0"/>
        <w:ind w:right="-28"/>
        <w:rPr>
          <w:rFonts w:cs="Tahoma"/>
          <w:bCs/>
          <w:i/>
          <w:szCs w:val="22"/>
        </w:rPr>
      </w:pPr>
    </w:p>
    <w:p w14:paraId="3212BA4D" w14:textId="78537CBC" w:rsidR="00664420" w:rsidRPr="00B8145D" w:rsidRDefault="00E37A3F" w:rsidP="00B8145D">
      <w:pPr>
        <w:pStyle w:val="Ttulo3"/>
        <w:rPr>
          <w:rFonts w:eastAsia="Calibri"/>
          <w:lang w:eastAsia="en-US"/>
        </w:rPr>
      </w:pPr>
      <w:bookmarkStart w:id="6" w:name="_Toc197541080"/>
      <w:r w:rsidRPr="00B8145D">
        <w:t xml:space="preserve">b) </w:t>
      </w:r>
      <w:r w:rsidR="00664420" w:rsidRPr="00B8145D">
        <w:rPr>
          <w:lang w:val="es-ES"/>
        </w:rPr>
        <w:t xml:space="preserve">Respuesta </w:t>
      </w:r>
      <w:r w:rsidR="00664420" w:rsidRPr="00B8145D">
        <w:rPr>
          <w:rFonts w:eastAsia="Calibri"/>
          <w:lang w:eastAsia="en-US"/>
        </w:rPr>
        <w:t>del Sujeto Obligado</w:t>
      </w:r>
      <w:bookmarkEnd w:id="6"/>
    </w:p>
    <w:p w14:paraId="79199CC1" w14:textId="57B4444F" w:rsidR="00664420" w:rsidRPr="00B8145D" w:rsidRDefault="00664420" w:rsidP="00B8145D">
      <w:pPr>
        <w:pStyle w:val="Sinespaciado"/>
        <w:spacing w:line="360" w:lineRule="auto"/>
        <w:rPr>
          <w:lang w:val="es-ES"/>
        </w:rPr>
      </w:pPr>
      <w:r w:rsidRPr="00B8145D">
        <w:rPr>
          <w:lang w:val="es-ES"/>
        </w:rPr>
        <w:t xml:space="preserve">El </w:t>
      </w:r>
      <w:r w:rsidR="00C15071" w:rsidRPr="00B8145D">
        <w:rPr>
          <w:rFonts w:eastAsia="Palatino Linotype" w:cs="Palatino Linotype"/>
          <w:b/>
        </w:rPr>
        <w:t>veintisiete de febrero de dos mil veinticinco</w:t>
      </w:r>
      <w:r w:rsidRPr="00B8145D">
        <w:rPr>
          <w:lang w:val="es-ES"/>
        </w:rPr>
        <w:t xml:space="preserve">, </w:t>
      </w:r>
      <w:r w:rsidR="00F07EE6" w:rsidRPr="00B8145D">
        <w:rPr>
          <w:lang w:val="es-ES"/>
        </w:rPr>
        <w:t xml:space="preserve">el Titular de la Unidad de Transparencia del </w:t>
      </w:r>
      <w:r w:rsidR="00F07EE6" w:rsidRPr="00B8145D">
        <w:rPr>
          <w:b/>
          <w:lang w:val="es-ES"/>
        </w:rPr>
        <w:t>SUJETO OBLIGADO</w:t>
      </w:r>
      <w:r w:rsidR="00F07EE6" w:rsidRPr="00B8145D">
        <w:rPr>
          <w:lang w:val="es-ES"/>
        </w:rPr>
        <w:t xml:space="preserve"> notificó la siguiente respuesta a través del </w:t>
      </w:r>
      <w:r w:rsidRPr="00B8145D">
        <w:rPr>
          <w:lang w:val="es-ES"/>
        </w:rPr>
        <w:t>SAIMEX</w:t>
      </w:r>
      <w:r w:rsidR="00F07EE6" w:rsidRPr="00B8145D">
        <w:rPr>
          <w:lang w:val="es-ES"/>
        </w:rPr>
        <w:t>:</w:t>
      </w:r>
    </w:p>
    <w:p w14:paraId="669F7EFD" w14:textId="77777777" w:rsidR="00664420" w:rsidRPr="00B8145D" w:rsidRDefault="00664420" w:rsidP="00B8145D">
      <w:pPr>
        <w:tabs>
          <w:tab w:val="left" w:pos="4667"/>
        </w:tabs>
        <w:ind w:left="567" w:right="567"/>
        <w:rPr>
          <w:rFonts w:cs="Tahoma"/>
          <w:b/>
          <w:bCs/>
        </w:rPr>
      </w:pPr>
    </w:p>
    <w:p w14:paraId="042FE73D" w14:textId="5388B5AB" w:rsidR="00F07EE6" w:rsidRPr="00B8145D" w:rsidRDefault="00C15071" w:rsidP="00B8145D">
      <w:pPr>
        <w:pStyle w:val="Puesto"/>
      </w:pPr>
      <w:r w:rsidRPr="00B8145D">
        <w:t>Se notifica el oficio de fecha veinticinco de febrero de dos mil veinticinco, a través del cual la servidora pública habilitada de la Unidad de Información, Planeación y Programación, proporciona la información existente en sus archivos y que guara relación con la solicitud de información número 00118/SF/IP/2025, lo que se hace del conocimiento del solicitante, para los efectos legales a que haya lugar</w:t>
      </w:r>
      <w:r w:rsidR="00F07EE6" w:rsidRPr="00B8145D">
        <w:t>.</w:t>
      </w:r>
    </w:p>
    <w:p w14:paraId="5D11024C" w14:textId="77777777" w:rsidR="00664420" w:rsidRPr="00B8145D" w:rsidRDefault="00664420" w:rsidP="00B8145D">
      <w:pPr>
        <w:autoSpaceDE w:val="0"/>
        <w:autoSpaceDN w:val="0"/>
        <w:adjustRightInd w:val="0"/>
        <w:ind w:right="-28"/>
        <w:rPr>
          <w:rFonts w:cs="Tahoma"/>
          <w:bCs/>
          <w:szCs w:val="22"/>
        </w:rPr>
      </w:pPr>
    </w:p>
    <w:p w14:paraId="70920289" w14:textId="1734249B" w:rsidR="00664420" w:rsidRPr="00B8145D" w:rsidRDefault="00F07EE6" w:rsidP="00B8145D">
      <w:pPr>
        <w:autoSpaceDE w:val="0"/>
        <w:autoSpaceDN w:val="0"/>
        <w:adjustRightInd w:val="0"/>
        <w:ind w:right="-28"/>
        <w:rPr>
          <w:rFonts w:cs="Tahoma"/>
          <w:bCs/>
          <w:szCs w:val="22"/>
          <w:lang w:val="es-ES"/>
        </w:rPr>
      </w:pPr>
      <w:r w:rsidRPr="00B8145D">
        <w:rPr>
          <w:rFonts w:cs="Tahoma"/>
          <w:bCs/>
          <w:szCs w:val="22"/>
          <w:lang w:val="es-ES"/>
        </w:rPr>
        <w:t xml:space="preserve">Asimismo, </w:t>
      </w:r>
      <w:r w:rsidRPr="00B8145D">
        <w:rPr>
          <w:rFonts w:cs="Tahoma"/>
          <w:b/>
          <w:szCs w:val="22"/>
          <w:lang w:val="es-ES"/>
        </w:rPr>
        <w:t xml:space="preserve">EL SUJETO OBLIGADO </w:t>
      </w:r>
      <w:r w:rsidRPr="00B8145D">
        <w:rPr>
          <w:rFonts w:cs="Tahoma"/>
          <w:bCs/>
          <w:szCs w:val="22"/>
          <w:lang w:val="es-ES"/>
        </w:rPr>
        <w:t>adjuntó a su respuesta los archivos electrónicos que se describen a continuación</w:t>
      </w:r>
      <w:r w:rsidR="00664420" w:rsidRPr="00B8145D">
        <w:rPr>
          <w:rFonts w:cs="Tahoma"/>
          <w:bCs/>
          <w:szCs w:val="22"/>
          <w:lang w:val="es-ES"/>
        </w:rPr>
        <w:t>:</w:t>
      </w:r>
    </w:p>
    <w:p w14:paraId="2C78354F" w14:textId="77777777" w:rsidR="00664420" w:rsidRPr="00B8145D" w:rsidRDefault="00664420" w:rsidP="00B8145D">
      <w:pPr>
        <w:autoSpaceDE w:val="0"/>
        <w:autoSpaceDN w:val="0"/>
        <w:adjustRightInd w:val="0"/>
        <w:ind w:right="-28"/>
        <w:rPr>
          <w:rFonts w:cs="Tahoma"/>
          <w:bCs/>
          <w:szCs w:val="22"/>
          <w:lang w:val="es-ES"/>
        </w:rPr>
      </w:pPr>
    </w:p>
    <w:p w14:paraId="48388174" w14:textId="286D24B2" w:rsidR="00C15071" w:rsidRPr="00B8145D" w:rsidRDefault="00C15071" w:rsidP="00B8145D">
      <w:pPr>
        <w:pStyle w:val="Prrafodelista"/>
        <w:numPr>
          <w:ilvl w:val="0"/>
          <w:numId w:val="26"/>
        </w:numPr>
        <w:autoSpaceDE w:val="0"/>
        <w:autoSpaceDN w:val="0"/>
        <w:adjustRightInd w:val="0"/>
        <w:ind w:right="-28"/>
        <w:rPr>
          <w:rFonts w:cs="Tahoma"/>
          <w:szCs w:val="22"/>
          <w:lang w:val="es-ES"/>
        </w:rPr>
      </w:pPr>
      <w:r w:rsidRPr="00B8145D">
        <w:rPr>
          <w:rFonts w:cs="Tahoma"/>
          <w:b/>
          <w:szCs w:val="22"/>
          <w:lang w:val="es-ES"/>
        </w:rPr>
        <w:t xml:space="preserve">RESPUESTA 118-2024 UIPPE.pdf </w:t>
      </w:r>
      <w:r w:rsidRPr="00B8145D">
        <w:rPr>
          <w:rFonts w:cs="Tahoma"/>
          <w:szCs w:val="22"/>
          <w:lang w:val="es-ES"/>
        </w:rPr>
        <w:t>Respuesta emitida por la Servidora Pública Habilitada de la Unidad de Información, Planeación, Programación y Evaluación mediante la cual informa que envía los oficios solicitados y solicita se someta a consideración del comité la clasificación de información confidencial dentro de los oficios en cuestión.</w:t>
      </w:r>
    </w:p>
    <w:p w14:paraId="40B4DB72" w14:textId="77777777" w:rsidR="00C15071" w:rsidRPr="00B8145D" w:rsidRDefault="00C15071" w:rsidP="00B8145D">
      <w:pPr>
        <w:autoSpaceDE w:val="0"/>
        <w:autoSpaceDN w:val="0"/>
        <w:adjustRightInd w:val="0"/>
        <w:ind w:right="-28"/>
        <w:rPr>
          <w:rFonts w:cs="Tahoma"/>
          <w:szCs w:val="22"/>
          <w:lang w:val="es-ES"/>
        </w:rPr>
      </w:pPr>
    </w:p>
    <w:p w14:paraId="3ACB1B61" w14:textId="7FAE3D91" w:rsidR="00C15071" w:rsidRPr="00B8145D" w:rsidRDefault="00C15071" w:rsidP="00B8145D">
      <w:pPr>
        <w:pStyle w:val="Prrafodelista"/>
        <w:numPr>
          <w:ilvl w:val="0"/>
          <w:numId w:val="26"/>
        </w:numPr>
        <w:autoSpaceDE w:val="0"/>
        <w:autoSpaceDN w:val="0"/>
        <w:adjustRightInd w:val="0"/>
        <w:ind w:right="-28"/>
        <w:rPr>
          <w:rFonts w:cs="Tahoma"/>
          <w:szCs w:val="22"/>
          <w:lang w:val="es-ES"/>
        </w:rPr>
      </w:pPr>
      <w:r w:rsidRPr="00B8145D">
        <w:rPr>
          <w:rFonts w:cs="Tahoma"/>
          <w:b/>
          <w:szCs w:val="22"/>
          <w:lang w:val="es-ES"/>
        </w:rPr>
        <w:t xml:space="preserve">RESPUESTA 118-2024 UIPPE ANEXO.pdf </w:t>
      </w:r>
      <w:r w:rsidRPr="00B8145D">
        <w:rPr>
          <w:rFonts w:cs="Tahoma"/>
          <w:szCs w:val="22"/>
          <w:lang w:val="es-ES"/>
        </w:rPr>
        <w:t>Archivo que contiene 214 hojas con diversos oficios.</w:t>
      </w:r>
    </w:p>
    <w:p w14:paraId="05FE12AE" w14:textId="77777777" w:rsidR="00C15071" w:rsidRPr="00B8145D" w:rsidRDefault="00C15071" w:rsidP="00B8145D">
      <w:pPr>
        <w:autoSpaceDE w:val="0"/>
        <w:autoSpaceDN w:val="0"/>
        <w:adjustRightInd w:val="0"/>
        <w:ind w:right="-28"/>
        <w:rPr>
          <w:rFonts w:cs="Tahoma"/>
          <w:b/>
          <w:szCs w:val="22"/>
          <w:lang w:val="es-ES"/>
        </w:rPr>
      </w:pPr>
    </w:p>
    <w:p w14:paraId="2ED4B04A" w14:textId="3CE6C2E1" w:rsidR="00DE1133" w:rsidRPr="00B8145D" w:rsidRDefault="00C15071" w:rsidP="00B8145D">
      <w:pPr>
        <w:pStyle w:val="Prrafodelista"/>
        <w:numPr>
          <w:ilvl w:val="0"/>
          <w:numId w:val="26"/>
        </w:numPr>
        <w:autoSpaceDE w:val="0"/>
        <w:autoSpaceDN w:val="0"/>
        <w:adjustRightInd w:val="0"/>
        <w:ind w:right="-28"/>
        <w:rPr>
          <w:rFonts w:cs="Tahoma"/>
          <w:szCs w:val="22"/>
          <w:lang w:val="es-ES"/>
        </w:rPr>
      </w:pPr>
      <w:r w:rsidRPr="00B8145D">
        <w:rPr>
          <w:rFonts w:cs="Tahoma"/>
          <w:b/>
          <w:szCs w:val="22"/>
          <w:lang w:val="es-ES"/>
        </w:rPr>
        <w:t>CT-2025-050.pdf</w:t>
      </w:r>
      <w:r w:rsidR="00B36C00" w:rsidRPr="00B8145D">
        <w:rPr>
          <w:rFonts w:cs="Tahoma"/>
          <w:b/>
          <w:szCs w:val="22"/>
          <w:lang w:val="es-ES"/>
        </w:rPr>
        <w:t xml:space="preserve"> </w:t>
      </w:r>
      <w:r w:rsidR="00B36C00" w:rsidRPr="00B8145D">
        <w:rPr>
          <w:rFonts w:cs="Tahoma"/>
          <w:szCs w:val="22"/>
          <w:lang w:val="es-ES"/>
        </w:rPr>
        <w:t>Acuerdo mediante el cual se aprueba la clasificación de información como confidencial de aquella contenida dentro de los oficios remitidos en respuesta.</w:t>
      </w:r>
    </w:p>
    <w:p w14:paraId="52460699" w14:textId="77777777" w:rsidR="00664420" w:rsidRPr="00B8145D" w:rsidRDefault="00664420" w:rsidP="00B8145D">
      <w:pPr>
        <w:autoSpaceDE w:val="0"/>
        <w:autoSpaceDN w:val="0"/>
        <w:adjustRightInd w:val="0"/>
        <w:ind w:right="-28"/>
        <w:rPr>
          <w:rFonts w:cs="Tahoma"/>
          <w:bCs/>
          <w:szCs w:val="22"/>
          <w:lang w:val="es-ES"/>
        </w:rPr>
      </w:pPr>
    </w:p>
    <w:p w14:paraId="5A5DAB9E" w14:textId="77777777" w:rsidR="00E37A3F" w:rsidRPr="00B8145D" w:rsidRDefault="00E37A3F" w:rsidP="00B8145D">
      <w:pPr>
        <w:pStyle w:val="Ttulo2"/>
        <w:jc w:val="left"/>
      </w:pPr>
      <w:bookmarkStart w:id="7" w:name="_Toc197541081"/>
      <w:r w:rsidRPr="00B8145D">
        <w:t>DEL RECURSO DE REVISIÓN</w:t>
      </w:r>
      <w:bookmarkEnd w:id="7"/>
    </w:p>
    <w:p w14:paraId="2B216813" w14:textId="61ADBB2B" w:rsidR="00664420" w:rsidRPr="00B8145D" w:rsidRDefault="006E25BC" w:rsidP="00B8145D">
      <w:pPr>
        <w:pStyle w:val="Ttulo3"/>
      </w:pPr>
      <w:bookmarkStart w:id="8" w:name="_Toc197541082"/>
      <w:r w:rsidRPr="00B8145D">
        <w:rPr>
          <w:szCs w:val="32"/>
        </w:rPr>
        <w:t>a)</w:t>
      </w:r>
      <w:r w:rsidRPr="00B8145D">
        <w:t xml:space="preserve"> </w:t>
      </w:r>
      <w:r w:rsidR="00664420" w:rsidRPr="00B8145D">
        <w:t>Interposición del Recurso de Revisión</w:t>
      </w:r>
      <w:bookmarkEnd w:id="8"/>
    </w:p>
    <w:p w14:paraId="6279C622" w14:textId="23ED7EA1" w:rsidR="00664420" w:rsidRPr="00B8145D" w:rsidRDefault="00664420" w:rsidP="00B8145D">
      <w:pPr>
        <w:autoSpaceDE w:val="0"/>
        <w:autoSpaceDN w:val="0"/>
        <w:adjustRightInd w:val="0"/>
        <w:ind w:right="-28"/>
        <w:rPr>
          <w:rFonts w:cs="Tahoma"/>
          <w:szCs w:val="22"/>
        </w:rPr>
      </w:pPr>
      <w:r w:rsidRPr="00B8145D">
        <w:rPr>
          <w:rFonts w:cs="Tahoma"/>
          <w:szCs w:val="22"/>
        </w:rPr>
        <w:t xml:space="preserve">El </w:t>
      </w:r>
      <w:r w:rsidR="00B36C00" w:rsidRPr="00B8145D">
        <w:rPr>
          <w:rFonts w:cs="Tahoma"/>
          <w:b/>
          <w:bCs/>
          <w:szCs w:val="22"/>
        </w:rPr>
        <w:t>tres</w:t>
      </w:r>
      <w:r w:rsidRPr="00B8145D">
        <w:rPr>
          <w:rFonts w:cs="Tahoma"/>
          <w:b/>
          <w:bCs/>
          <w:szCs w:val="22"/>
        </w:rPr>
        <w:t xml:space="preserve"> de </w:t>
      </w:r>
      <w:r w:rsidR="00B36C00" w:rsidRPr="00B8145D">
        <w:rPr>
          <w:rFonts w:cs="Tahoma"/>
          <w:b/>
          <w:bCs/>
          <w:szCs w:val="22"/>
        </w:rPr>
        <w:t xml:space="preserve">marzo </w:t>
      </w:r>
      <w:r w:rsidRPr="00B8145D">
        <w:rPr>
          <w:rFonts w:cs="Tahoma"/>
          <w:b/>
          <w:bCs/>
          <w:szCs w:val="22"/>
        </w:rPr>
        <w:t xml:space="preserve">de dos mil </w:t>
      </w:r>
      <w:r w:rsidR="00157CE1" w:rsidRPr="00B8145D">
        <w:rPr>
          <w:rFonts w:cs="Tahoma"/>
          <w:b/>
          <w:bCs/>
          <w:szCs w:val="22"/>
        </w:rPr>
        <w:t xml:space="preserve">veinticinco </w:t>
      </w:r>
      <w:r w:rsidR="00F75D23" w:rsidRPr="00B8145D">
        <w:rPr>
          <w:rFonts w:cs="Tahoma"/>
          <w:b/>
          <w:bCs/>
          <w:szCs w:val="22"/>
        </w:rPr>
        <w:t>LA PARTE RECURRENTE</w:t>
      </w:r>
      <w:r w:rsidR="00F75D23" w:rsidRPr="00B8145D">
        <w:rPr>
          <w:rFonts w:cs="Tahoma"/>
          <w:szCs w:val="22"/>
        </w:rPr>
        <w:t xml:space="preserve"> interpuso el recurso de revisión en contra de la respuesta emitida por el </w:t>
      </w:r>
      <w:r w:rsidR="00F75D23" w:rsidRPr="00B8145D">
        <w:rPr>
          <w:rFonts w:cs="Tahoma"/>
          <w:b/>
          <w:bCs/>
          <w:szCs w:val="22"/>
        </w:rPr>
        <w:t>SUJETO OBLIGADO</w:t>
      </w:r>
      <w:r w:rsidR="00953430" w:rsidRPr="00B8145D">
        <w:rPr>
          <w:rFonts w:cs="Tahoma"/>
          <w:szCs w:val="22"/>
        </w:rPr>
        <w:t xml:space="preserve">, mismo que fue </w:t>
      </w:r>
      <w:r w:rsidR="00953430" w:rsidRPr="00B8145D">
        <w:rPr>
          <w:rFonts w:cs="Tahoma"/>
          <w:szCs w:val="22"/>
        </w:rPr>
        <w:lastRenderedPageBreak/>
        <w:t xml:space="preserve">registrado en el SAIMEX con el número de expediente </w:t>
      </w:r>
      <w:r w:rsidR="00B36C00" w:rsidRPr="00B8145D">
        <w:rPr>
          <w:rFonts w:cs="Tahoma"/>
          <w:b/>
          <w:bCs/>
          <w:szCs w:val="22"/>
        </w:rPr>
        <w:t>02422/</w:t>
      </w:r>
      <w:r w:rsidR="00953430" w:rsidRPr="00B8145D">
        <w:rPr>
          <w:rFonts w:cs="Tahoma"/>
          <w:b/>
          <w:bCs/>
          <w:szCs w:val="22"/>
        </w:rPr>
        <w:t>INFOEM/IP/RR</w:t>
      </w:r>
      <w:r w:rsidR="00B36C00" w:rsidRPr="00B8145D">
        <w:rPr>
          <w:rFonts w:cs="Tahoma"/>
          <w:b/>
          <w:bCs/>
          <w:szCs w:val="22"/>
        </w:rPr>
        <w:t>/2025</w:t>
      </w:r>
      <w:r w:rsidR="00953430" w:rsidRPr="00B8145D">
        <w:rPr>
          <w:rFonts w:cs="Tahoma"/>
          <w:szCs w:val="22"/>
        </w:rPr>
        <w:t xml:space="preserve"> y en el cual manifiesta lo siguiente</w:t>
      </w:r>
      <w:r w:rsidRPr="00B8145D">
        <w:rPr>
          <w:rFonts w:cs="Tahoma"/>
          <w:szCs w:val="22"/>
        </w:rPr>
        <w:t>:</w:t>
      </w:r>
    </w:p>
    <w:p w14:paraId="74B30008" w14:textId="77777777" w:rsidR="00664420" w:rsidRPr="00B8145D" w:rsidRDefault="00664420" w:rsidP="00B8145D">
      <w:pPr>
        <w:tabs>
          <w:tab w:val="left" w:pos="4667"/>
        </w:tabs>
        <w:ind w:right="539"/>
        <w:rPr>
          <w:rFonts w:cs="Tahoma"/>
          <w:szCs w:val="22"/>
        </w:rPr>
      </w:pPr>
    </w:p>
    <w:p w14:paraId="12153283" w14:textId="77777777" w:rsidR="00664420" w:rsidRPr="00B8145D" w:rsidRDefault="00664420" w:rsidP="00B8145D">
      <w:pPr>
        <w:tabs>
          <w:tab w:val="left" w:pos="4667"/>
        </w:tabs>
        <w:ind w:left="567" w:right="539"/>
        <w:rPr>
          <w:rFonts w:cs="Tahoma"/>
          <w:b/>
          <w:iCs/>
        </w:rPr>
      </w:pPr>
      <w:r w:rsidRPr="00B8145D">
        <w:rPr>
          <w:rFonts w:cs="Tahoma"/>
          <w:b/>
          <w:iCs/>
        </w:rPr>
        <w:t>ACTO IMPUGNADO</w:t>
      </w:r>
      <w:r w:rsidRPr="00B8145D">
        <w:rPr>
          <w:rFonts w:cs="Tahoma"/>
          <w:b/>
          <w:iCs/>
        </w:rPr>
        <w:tab/>
      </w:r>
    </w:p>
    <w:p w14:paraId="523F8BF4" w14:textId="58B327B6" w:rsidR="00664420" w:rsidRPr="00B8145D" w:rsidRDefault="00B36C00" w:rsidP="00B8145D">
      <w:pPr>
        <w:pStyle w:val="Puesto"/>
      </w:pPr>
      <w:proofErr w:type="gramStart"/>
      <w:r w:rsidRPr="00B8145D">
        <w:t>requiero</w:t>
      </w:r>
      <w:proofErr w:type="gramEnd"/>
      <w:r w:rsidRPr="00B8145D">
        <w:t xml:space="preserve"> </w:t>
      </w:r>
      <w:proofErr w:type="spellStart"/>
      <w:r w:rsidRPr="00B8145D">
        <w:t>todosl</w:t>
      </w:r>
      <w:proofErr w:type="spellEnd"/>
      <w:r w:rsidRPr="00B8145D">
        <w:t xml:space="preserve"> los oficios de la UIPPE y de todas sus direcciones.</w:t>
      </w:r>
      <w:r w:rsidR="00664420" w:rsidRPr="00B8145D">
        <w:t>.</w:t>
      </w:r>
    </w:p>
    <w:p w14:paraId="20301B47" w14:textId="77777777" w:rsidR="00954F02" w:rsidRPr="00B8145D" w:rsidRDefault="00954F02" w:rsidP="00B8145D"/>
    <w:p w14:paraId="6AE8EA9A" w14:textId="77777777" w:rsidR="00664420" w:rsidRPr="00B8145D" w:rsidRDefault="00664420" w:rsidP="00B8145D">
      <w:pPr>
        <w:tabs>
          <w:tab w:val="left" w:pos="4667"/>
        </w:tabs>
        <w:ind w:left="567" w:right="539"/>
        <w:rPr>
          <w:rFonts w:cs="Tahoma"/>
          <w:bCs/>
          <w:i/>
        </w:rPr>
      </w:pPr>
    </w:p>
    <w:p w14:paraId="047D036B" w14:textId="77777777" w:rsidR="00664420" w:rsidRPr="00B8145D" w:rsidRDefault="00664420" w:rsidP="00B8145D">
      <w:pPr>
        <w:tabs>
          <w:tab w:val="left" w:pos="4667"/>
        </w:tabs>
        <w:ind w:left="567" w:right="539"/>
        <w:rPr>
          <w:rFonts w:cs="Tahoma"/>
          <w:b/>
          <w:iCs/>
        </w:rPr>
      </w:pPr>
      <w:r w:rsidRPr="00B8145D">
        <w:rPr>
          <w:rFonts w:cs="Tahoma"/>
          <w:b/>
          <w:iCs/>
        </w:rPr>
        <w:t>RAZONES O MOTIVOS DE LA INCONFORMIDAD</w:t>
      </w:r>
      <w:r w:rsidRPr="00B8145D">
        <w:rPr>
          <w:rFonts w:cs="Tahoma"/>
          <w:b/>
          <w:iCs/>
        </w:rPr>
        <w:tab/>
      </w:r>
    </w:p>
    <w:p w14:paraId="70932F7B" w14:textId="77777777" w:rsidR="00954F02" w:rsidRPr="00B8145D" w:rsidRDefault="00954F02" w:rsidP="00B8145D">
      <w:pPr>
        <w:tabs>
          <w:tab w:val="left" w:pos="4667"/>
        </w:tabs>
        <w:ind w:left="567" w:right="539"/>
        <w:rPr>
          <w:rFonts w:cs="Tahoma"/>
          <w:b/>
          <w:iCs/>
        </w:rPr>
      </w:pPr>
    </w:p>
    <w:p w14:paraId="1DAE2563" w14:textId="265C4E10" w:rsidR="00953430" w:rsidRPr="00B8145D" w:rsidRDefault="00B36C00" w:rsidP="00B8145D">
      <w:pPr>
        <w:pStyle w:val="Puesto"/>
      </w:pPr>
      <w:proofErr w:type="gramStart"/>
      <w:r w:rsidRPr="00B8145D">
        <w:t>no</w:t>
      </w:r>
      <w:proofErr w:type="gramEnd"/>
      <w:r w:rsidRPr="00B8145D">
        <w:t xml:space="preserve"> </w:t>
      </w:r>
      <w:proofErr w:type="spellStart"/>
      <w:r w:rsidRPr="00B8145D">
        <w:t>poroporciona</w:t>
      </w:r>
      <w:proofErr w:type="spellEnd"/>
      <w:r w:rsidRPr="00B8145D">
        <w:t xml:space="preserve"> toda la </w:t>
      </w:r>
      <w:proofErr w:type="spellStart"/>
      <w:r w:rsidRPr="00B8145D">
        <w:t>informacion</w:t>
      </w:r>
      <w:proofErr w:type="spellEnd"/>
      <w:r w:rsidRPr="00B8145D">
        <w:t xml:space="preserve"> que se solicita, remite lo que quiere, no informa porque faltan diversos oficios, requiero me proporcione todos los oficios con su </w:t>
      </w:r>
      <w:proofErr w:type="spellStart"/>
      <w:r w:rsidRPr="00B8145D">
        <w:t>numero</w:t>
      </w:r>
      <w:proofErr w:type="spellEnd"/>
      <w:r w:rsidRPr="00B8145D">
        <w:t xml:space="preserve"> consecutivo, sino cuenta con ellos informe cual es la causa de la falta de tantos </w:t>
      </w:r>
      <w:proofErr w:type="spellStart"/>
      <w:r w:rsidRPr="00B8145D">
        <w:t>ofcios</w:t>
      </w:r>
      <w:proofErr w:type="spellEnd"/>
      <w:r w:rsidRPr="00B8145D">
        <w:t xml:space="preserve"> de 2024 y 2025 y que la </w:t>
      </w:r>
      <w:proofErr w:type="spellStart"/>
      <w:r w:rsidRPr="00B8145D">
        <w:t>informacion</w:t>
      </w:r>
      <w:proofErr w:type="spellEnd"/>
      <w:r w:rsidRPr="00B8145D">
        <w:t xml:space="preserve"> que me remita sea aprobada por el comité de transparencia. </w:t>
      </w:r>
      <w:proofErr w:type="spellStart"/>
      <w:r w:rsidRPr="00B8145D">
        <w:t>tambien</w:t>
      </w:r>
      <w:proofErr w:type="spellEnd"/>
      <w:r w:rsidRPr="00B8145D">
        <w:t xml:space="preserve"> no remite el oficio de funciones de la Directora de </w:t>
      </w:r>
      <w:proofErr w:type="spellStart"/>
      <w:r w:rsidRPr="00B8145D">
        <w:t>Vinculacion</w:t>
      </w:r>
      <w:proofErr w:type="spellEnd"/>
      <w:r w:rsidRPr="00B8145D">
        <w:t xml:space="preserve"> que porque no existe al mismo, incurren en falsedad hasta el personal administrativo tiene oficio de funciones y la Directora de Vinculación no, acaso no se presenta a trabajar o es una más de sus aviadores, y para colmo los oficios de los habilitados se responde como se quiere no hay una </w:t>
      </w:r>
      <w:proofErr w:type="spellStart"/>
      <w:r w:rsidRPr="00B8145D">
        <w:t>cuerencia</w:t>
      </w:r>
      <w:proofErr w:type="spellEnd"/>
      <w:r w:rsidRPr="00B8145D">
        <w:t xml:space="preserve"> entre sus funciones de cada habilitado tampoco existe la supervisión del área que entrega dicha información, pónganse de acuerdo en sus respuestas habilitados solo confunden al solicitante, requiero una respuesta clara y precisa de la información que solicito. Porque ustedes son los expertos y deben orientar a los solicitantes, finalmente y que la misma sea aprobada y por el comité de transparencia</w:t>
      </w:r>
      <w:proofErr w:type="gramStart"/>
      <w:r w:rsidRPr="00B8145D">
        <w:t>.</w:t>
      </w:r>
      <w:r w:rsidR="00953430" w:rsidRPr="00B8145D">
        <w:t>.</w:t>
      </w:r>
      <w:proofErr w:type="gramEnd"/>
    </w:p>
    <w:p w14:paraId="48FE75EA" w14:textId="77777777" w:rsidR="00664420" w:rsidRPr="00B8145D" w:rsidRDefault="00664420" w:rsidP="00B8145D">
      <w:pPr>
        <w:tabs>
          <w:tab w:val="left" w:pos="4667"/>
        </w:tabs>
        <w:ind w:right="567"/>
        <w:rPr>
          <w:rFonts w:cs="Tahoma"/>
          <w:b/>
          <w:bCs/>
        </w:rPr>
      </w:pPr>
    </w:p>
    <w:p w14:paraId="6804DEF1" w14:textId="3C4F6CB5" w:rsidR="00664420" w:rsidRPr="00B8145D" w:rsidRDefault="006E25BC" w:rsidP="00B8145D">
      <w:pPr>
        <w:pStyle w:val="Ttulo3"/>
      </w:pPr>
      <w:bookmarkStart w:id="9" w:name="_Toc197541083"/>
      <w:r w:rsidRPr="00B8145D">
        <w:t>b</w:t>
      </w:r>
      <w:r w:rsidR="00664420" w:rsidRPr="00B8145D">
        <w:t>) Turno del Recurso de Revisión</w:t>
      </w:r>
      <w:bookmarkEnd w:id="9"/>
    </w:p>
    <w:p w14:paraId="1173671B" w14:textId="633EAA47" w:rsidR="00C72DAA" w:rsidRPr="00B8145D" w:rsidRDefault="00C72DAA" w:rsidP="00B8145D">
      <w:r w:rsidRPr="00B8145D">
        <w:t>Con fundamento en el artículo 185, fracción I de la Ley de Transparencia y Acceso a la Información Pública del Estado de México y Municipios, el</w:t>
      </w:r>
      <w:r w:rsidRPr="00B8145D">
        <w:rPr>
          <w:b/>
          <w:bCs/>
        </w:rPr>
        <w:t xml:space="preserve"> </w:t>
      </w:r>
      <w:r w:rsidR="00B36C00" w:rsidRPr="00B8145D">
        <w:rPr>
          <w:rFonts w:cs="Tahoma"/>
          <w:b/>
          <w:bCs/>
          <w:szCs w:val="22"/>
        </w:rPr>
        <w:t xml:space="preserve">tres de marzo de dos mil veinticinco </w:t>
      </w:r>
      <w:r w:rsidRPr="00B8145D">
        <w:t>se turnó el recurso de revisión a través del</w:t>
      </w:r>
      <w:r w:rsidRPr="00B8145D">
        <w:rPr>
          <w:rFonts w:eastAsia="Arial Unicode MS"/>
        </w:rPr>
        <w:t xml:space="preserve"> </w:t>
      </w:r>
      <w:r w:rsidRPr="00B8145D">
        <w:rPr>
          <w:rFonts w:eastAsia="Arial Unicode MS"/>
          <w:bCs/>
        </w:rPr>
        <w:t>SAIMEX</w:t>
      </w:r>
      <w:r w:rsidRPr="00B8145D">
        <w:t xml:space="preserve"> a la </w:t>
      </w:r>
      <w:r w:rsidRPr="00B8145D">
        <w:rPr>
          <w:b/>
        </w:rPr>
        <w:t>Comisionada Sharon Cristina Morales Martínez</w:t>
      </w:r>
      <w:r w:rsidRPr="00B8145D">
        <w:rPr>
          <w:bCs/>
        </w:rPr>
        <w:t xml:space="preserve">, </w:t>
      </w:r>
      <w:r w:rsidRPr="00B8145D">
        <w:t xml:space="preserve">a efecto de decretar su admisión o desechamiento. </w:t>
      </w:r>
    </w:p>
    <w:p w14:paraId="18F305CB" w14:textId="77777777" w:rsidR="00664420" w:rsidRPr="00B8145D" w:rsidRDefault="00664420" w:rsidP="00B8145D">
      <w:pPr>
        <w:rPr>
          <w:rFonts w:eastAsia="Batang" w:cs="Tahoma"/>
          <w:bCs/>
          <w:szCs w:val="22"/>
        </w:rPr>
      </w:pPr>
    </w:p>
    <w:p w14:paraId="3E31EC2D" w14:textId="295256A1" w:rsidR="00664420" w:rsidRPr="00B8145D" w:rsidRDefault="006E25BC" w:rsidP="00B8145D">
      <w:pPr>
        <w:pStyle w:val="Ttulo3"/>
      </w:pPr>
      <w:bookmarkStart w:id="10" w:name="_Toc197541084"/>
      <w:r w:rsidRPr="00B8145D">
        <w:lastRenderedPageBreak/>
        <w:t>c</w:t>
      </w:r>
      <w:r w:rsidR="00664420" w:rsidRPr="00B8145D">
        <w:t>) Admisión del Recurso de Revisión</w:t>
      </w:r>
      <w:bookmarkEnd w:id="10"/>
    </w:p>
    <w:p w14:paraId="240447D5" w14:textId="2EDE482D" w:rsidR="000E09C4" w:rsidRPr="00B8145D" w:rsidRDefault="000E09C4" w:rsidP="00B8145D">
      <w:pPr>
        <w:rPr>
          <w:rFonts w:cs="Arial"/>
        </w:rPr>
      </w:pPr>
      <w:r w:rsidRPr="00B8145D">
        <w:rPr>
          <w:rFonts w:cs="Arial"/>
        </w:rPr>
        <w:t xml:space="preserve">El </w:t>
      </w:r>
      <w:r w:rsidR="00B36C00" w:rsidRPr="00B8145D">
        <w:rPr>
          <w:rFonts w:cs="Tahoma"/>
          <w:b/>
          <w:bCs/>
          <w:szCs w:val="22"/>
        </w:rPr>
        <w:t xml:space="preserve">siete de marzo de dos mil veinticinco </w:t>
      </w:r>
      <w:r w:rsidRPr="00B8145D">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8145D">
        <w:rPr>
          <w:rFonts w:cs="Arial"/>
        </w:rPr>
        <w:t>, fracción II</w:t>
      </w:r>
      <w:r w:rsidRPr="00B8145D">
        <w:rPr>
          <w:rFonts w:cs="Arial"/>
        </w:rPr>
        <w:t xml:space="preserve"> de la Ley de Transparencia y Acceso a la Información Pública del Estado de México y Municipios.</w:t>
      </w:r>
    </w:p>
    <w:p w14:paraId="34EC3F86" w14:textId="77777777" w:rsidR="00D2790D" w:rsidRPr="00B8145D" w:rsidRDefault="00D2790D" w:rsidP="00B8145D">
      <w:pPr>
        <w:rPr>
          <w:rFonts w:cs="Arial"/>
        </w:rPr>
      </w:pPr>
    </w:p>
    <w:p w14:paraId="3B820F58" w14:textId="39D76846" w:rsidR="00865CF4" w:rsidRPr="00B8145D" w:rsidRDefault="006E25BC" w:rsidP="00B8145D">
      <w:pPr>
        <w:pStyle w:val="Ttulo3"/>
      </w:pPr>
      <w:bookmarkStart w:id="11" w:name="_Toc197541085"/>
      <w:r w:rsidRPr="00B8145D">
        <w:t>d</w:t>
      </w:r>
      <w:r w:rsidR="00D2790D" w:rsidRPr="00B8145D">
        <w:t xml:space="preserve">) </w:t>
      </w:r>
      <w:r w:rsidR="00865CF4" w:rsidRPr="00B8145D">
        <w:t>Informe Justificado del Sujeto Obligado</w:t>
      </w:r>
      <w:bookmarkEnd w:id="11"/>
    </w:p>
    <w:p w14:paraId="14A706BE" w14:textId="36980530" w:rsidR="00865CF4" w:rsidRPr="00B8145D" w:rsidRDefault="00865CF4" w:rsidP="00B8145D">
      <w:pPr>
        <w:rPr>
          <w:rFonts w:eastAsia="Arial Unicode MS" w:cs="Arial"/>
        </w:rPr>
      </w:pPr>
      <w:r w:rsidRPr="00B8145D">
        <w:rPr>
          <w:rFonts w:cs="Tahoma"/>
          <w:b/>
          <w:szCs w:val="24"/>
        </w:rPr>
        <w:t xml:space="preserve">EL SUJETO OBLIGADO </w:t>
      </w:r>
      <w:r w:rsidRPr="00B8145D">
        <w:rPr>
          <w:rFonts w:eastAsia="Arial Unicode MS" w:cs="Arial"/>
        </w:rPr>
        <w:t>rindió su informe justificado dentro del término legal</w:t>
      </w:r>
      <w:r w:rsidR="00D54995" w:rsidRPr="00B8145D">
        <w:rPr>
          <w:rFonts w:eastAsia="Arial Unicode MS" w:cs="Arial"/>
        </w:rPr>
        <w:t>mente concedido para tal efecto mediante los archivos que se describen a continuación:</w:t>
      </w:r>
    </w:p>
    <w:p w14:paraId="010BC966" w14:textId="77777777" w:rsidR="00D54995" w:rsidRPr="00B8145D" w:rsidRDefault="00D54995" w:rsidP="00B8145D">
      <w:pPr>
        <w:rPr>
          <w:rFonts w:eastAsia="Arial Unicode MS" w:cs="Arial"/>
        </w:rPr>
      </w:pPr>
    </w:p>
    <w:p w14:paraId="42E6195B" w14:textId="3BFF50ED" w:rsidR="00D54995" w:rsidRPr="00B8145D" w:rsidRDefault="00D54995" w:rsidP="00B8145D">
      <w:pPr>
        <w:pStyle w:val="Prrafodelista"/>
        <w:numPr>
          <w:ilvl w:val="0"/>
          <w:numId w:val="16"/>
        </w:numPr>
        <w:rPr>
          <w:rFonts w:eastAsia="Arial Unicode MS" w:cs="Arial"/>
        </w:rPr>
      </w:pPr>
      <w:r w:rsidRPr="00B8145D">
        <w:rPr>
          <w:rFonts w:eastAsia="Arial Unicode MS" w:cs="Arial"/>
        </w:rPr>
        <w:t xml:space="preserve">RR 2422-2025 UIPPE.pdf Informe Justificado emitido por la servidora pública habilitada de la Unidad de Información, Planeación, Programación y Evaluación mediante el cual informa que respecto a la inconformidad hecha valer por el recurrente consistente en </w:t>
      </w:r>
      <w:r w:rsidR="00FA7504" w:rsidRPr="00B8145D">
        <w:rPr>
          <w:rFonts w:eastAsia="Arial Unicode MS" w:cs="Arial"/>
        </w:rPr>
        <w:t>que faltan oficios, al respecto el SUJETO OBLIGADO manifestó que los números faltantes fueron cancelados toda vez que fueron solicitados pero no utilizados.</w:t>
      </w:r>
    </w:p>
    <w:p w14:paraId="4CD05E5A" w14:textId="111B9355" w:rsidR="00FA7504" w:rsidRPr="00B8145D" w:rsidRDefault="00FA7504" w:rsidP="00B8145D">
      <w:pPr>
        <w:pStyle w:val="Prrafodelista"/>
        <w:numPr>
          <w:ilvl w:val="0"/>
          <w:numId w:val="16"/>
        </w:numPr>
        <w:rPr>
          <w:rFonts w:eastAsia="Arial Unicode MS" w:cs="Arial"/>
        </w:rPr>
      </w:pPr>
      <w:r w:rsidRPr="00B8145D">
        <w:rPr>
          <w:rFonts w:eastAsia="Arial Unicode MS" w:cs="Arial"/>
        </w:rPr>
        <w:t>RR 2422-2025 INFORME JUSTIFICADO.pdf Justificado emitido por el titular de la unidad de transparencia mediante el cual en lo medular solicita se sobresea su recurso.</w:t>
      </w:r>
    </w:p>
    <w:p w14:paraId="037E089F" w14:textId="21B59BD4" w:rsidR="007567DC" w:rsidRPr="00B8145D" w:rsidRDefault="007567DC" w:rsidP="00B8145D">
      <w:pPr>
        <w:pStyle w:val="Prrafodelista"/>
        <w:numPr>
          <w:ilvl w:val="0"/>
          <w:numId w:val="16"/>
        </w:numPr>
        <w:rPr>
          <w:rFonts w:eastAsia="Arial Unicode MS" w:cs="Arial"/>
        </w:rPr>
      </w:pPr>
      <w:r w:rsidRPr="00B8145D">
        <w:rPr>
          <w:rFonts w:eastAsia="Arial Unicode MS" w:cs="Arial"/>
        </w:rPr>
        <w:t xml:space="preserve">CT-2025 050.pdf Archivo que contiene el Acuerdo del Comité mediante el cual se aprobó la clasificación de información </w:t>
      </w:r>
      <w:r w:rsidR="008669D2" w:rsidRPr="00B8145D">
        <w:rPr>
          <w:rFonts w:eastAsia="Arial Unicode MS" w:cs="Arial"/>
        </w:rPr>
        <w:t xml:space="preserve">como confidencial de los oficios emitidos en respuesta. </w:t>
      </w:r>
    </w:p>
    <w:p w14:paraId="1316D9CB" w14:textId="77A92B16" w:rsidR="000E1366" w:rsidRPr="00B8145D" w:rsidRDefault="000E1366" w:rsidP="00B8145D">
      <w:pPr>
        <w:pStyle w:val="Prrafodelista"/>
        <w:numPr>
          <w:ilvl w:val="0"/>
          <w:numId w:val="16"/>
        </w:numPr>
        <w:rPr>
          <w:rFonts w:eastAsia="Arial Unicode MS" w:cs="Arial"/>
        </w:rPr>
      </w:pPr>
      <w:r w:rsidRPr="00B8145D">
        <w:rPr>
          <w:rFonts w:eastAsia="Arial Unicode MS" w:cs="Arial"/>
        </w:rPr>
        <w:t xml:space="preserve">RR 2422-2025 ANEXO UIPPE 2025.zip carpeta en formato </w:t>
      </w:r>
      <w:proofErr w:type="spellStart"/>
      <w:r w:rsidRPr="00B8145D">
        <w:rPr>
          <w:rFonts w:eastAsia="Arial Unicode MS" w:cs="Arial"/>
        </w:rPr>
        <w:t>zip</w:t>
      </w:r>
      <w:proofErr w:type="spellEnd"/>
      <w:r w:rsidRPr="00B8145D">
        <w:rPr>
          <w:rFonts w:eastAsia="Arial Unicode MS" w:cs="Arial"/>
        </w:rPr>
        <w:t xml:space="preserve"> que contiene lo siguiente:</w:t>
      </w:r>
    </w:p>
    <w:p w14:paraId="2FE6E56D" w14:textId="65C0E9F7" w:rsidR="000E1366" w:rsidRPr="00B8145D" w:rsidRDefault="000E1366" w:rsidP="00B8145D">
      <w:pPr>
        <w:pStyle w:val="Prrafodelista"/>
        <w:numPr>
          <w:ilvl w:val="0"/>
          <w:numId w:val="17"/>
        </w:numPr>
        <w:rPr>
          <w:rFonts w:eastAsia="Arial Unicode MS" w:cs="Arial"/>
        </w:rPr>
      </w:pPr>
      <w:r w:rsidRPr="00B8145D">
        <w:rPr>
          <w:rFonts w:eastAsia="Arial Unicode MS" w:cs="Arial"/>
        </w:rPr>
        <w:lastRenderedPageBreak/>
        <w:t xml:space="preserve">RR 2422-2025 ANEXO DIRECCIÓN DE EVALUACIÓN.pdf. Archivo que contiene </w:t>
      </w:r>
      <w:r w:rsidR="007535C1" w:rsidRPr="00B8145D">
        <w:rPr>
          <w:rFonts w:eastAsia="Arial Unicode MS" w:cs="Arial"/>
        </w:rPr>
        <w:t xml:space="preserve">los siguientes </w:t>
      </w:r>
      <w:r w:rsidRPr="00B8145D">
        <w:rPr>
          <w:rFonts w:eastAsia="Arial Unicode MS" w:cs="Arial"/>
        </w:rPr>
        <w:t>oficios emitido</w:t>
      </w:r>
      <w:r w:rsidR="007535C1" w:rsidRPr="00B8145D">
        <w:rPr>
          <w:rFonts w:eastAsia="Arial Unicode MS" w:cs="Arial"/>
        </w:rPr>
        <w:t>s por el Director de Evaluación:</w:t>
      </w:r>
    </w:p>
    <w:tbl>
      <w:tblPr>
        <w:tblStyle w:val="Tablaconcuadrcula"/>
        <w:tblW w:w="0" w:type="auto"/>
        <w:tblInd w:w="1440" w:type="dxa"/>
        <w:tblLook w:val="04A0" w:firstRow="1" w:lastRow="0" w:firstColumn="1" w:lastColumn="0" w:noHBand="0" w:noVBand="1"/>
      </w:tblPr>
      <w:tblGrid>
        <w:gridCol w:w="3758"/>
        <w:gridCol w:w="3836"/>
      </w:tblGrid>
      <w:tr w:rsidR="00B8145D" w:rsidRPr="00B8145D" w14:paraId="5B358790" w14:textId="77777777" w:rsidTr="007535C1">
        <w:tc>
          <w:tcPr>
            <w:tcW w:w="4517" w:type="dxa"/>
            <w:shd w:val="clear" w:color="auto" w:fill="E8E8E8" w:themeFill="background2"/>
          </w:tcPr>
          <w:p w14:paraId="26A5A750" w14:textId="61CE8FB0" w:rsidR="007535C1" w:rsidRPr="00B8145D" w:rsidRDefault="007535C1" w:rsidP="00B8145D">
            <w:pPr>
              <w:pStyle w:val="Prrafodelista"/>
              <w:ind w:left="0"/>
              <w:jc w:val="center"/>
              <w:rPr>
                <w:rFonts w:eastAsia="Arial Unicode MS" w:cs="Arial"/>
                <w:b/>
              </w:rPr>
            </w:pPr>
            <w:r w:rsidRPr="00B8145D">
              <w:rPr>
                <w:rFonts w:eastAsia="Arial Unicode MS" w:cs="Arial"/>
                <w:b/>
              </w:rPr>
              <w:t>Año</w:t>
            </w:r>
          </w:p>
        </w:tc>
        <w:tc>
          <w:tcPr>
            <w:tcW w:w="4517" w:type="dxa"/>
            <w:shd w:val="clear" w:color="auto" w:fill="E8E8E8" w:themeFill="background2"/>
          </w:tcPr>
          <w:p w14:paraId="3C105FBC" w14:textId="112371BF" w:rsidR="007535C1" w:rsidRPr="00B8145D" w:rsidRDefault="007535C1" w:rsidP="00B8145D">
            <w:pPr>
              <w:pStyle w:val="Prrafodelista"/>
              <w:ind w:left="0"/>
              <w:jc w:val="center"/>
              <w:rPr>
                <w:rFonts w:eastAsia="Arial Unicode MS" w:cs="Arial"/>
                <w:b/>
              </w:rPr>
            </w:pPr>
            <w:r w:rsidRPr="00B8145D">
              <w:rPr>
                <w:rFonts w:eastAsia="Arial Unicode MS" w:cs="Arial"/>
                <w:b/>
              </w:rPr>
              <w:t>Número de oficio</w:t>
            </w:r>
          </w:p>
        </w:tc>
      </w:tr>
      <w:tr w:rsidR="00B8145D" w:rsidRPr="00B8145D" w14:paraId="57F2AD06" w14:textId="77777777" w:rsidTr="007535C1">
        <w:tc>
          <w:tcPr>
            <w:tcW w:w="4517" w:type="dxa"/>
          </w:tcPr>
          <w:p w14:paraId="2F9E781B" w14:textId="0A838E8C" w:rsidR="007535C1" w:rsidRPr="00B8145D" w:rsidRDefault="007535C1" w:rsidP="00B8145D">
            <w:pPr>
              <w:pStyle w:val="Prrafodelista"/>
              <w:ind w:left="0"/>
              <w:rPr>
                <w:rFonts w:eastAsia="Arial Unicode MS" w:cs="Arial"/>
              </w:rPr>
            </w:pPr>
            <w:r w:rsidRPr="00B8145D">
              <w:rPr>
                <w:rFonts w:eastAsia="Arial Unicode MS" w:cs="Arial"/>
              </w:rPr>
              <w:t>2024</w:t>
            </w:r>
          </w:p>
        </w:tc>
        <w:tc>
          <w:tcPr>
            <w:tcW w:w="4517" w:type="dxa"/>
          </w:tcPr>
          <w:p w14:paraId="6D7260A6" w14:textId="7DD8FE41" w:rsidR="007535C1" w:rsidRPr="00B8145D" w:rsidRDefault="007535C1" w:rsidP="00B8145D">
            <w:pPr>
              <w:pStyle w:val="Prrafodelista"/>
              <w:ind w:left="0"/>
              <w:rPr>
                <w:rFonts w:eastAsia="Arial Unicode MS" w:cs="Arial"/>
              </w:rPr>
            </w:pPr>
            <w:r w:rsidRPr="00B8145D">
              <w:rPr>
                <w:rFonts w:eastAsia="Arial Unicode MS" w:cs="Arial"/>
              </w:rPr>
              <w:t xml:space="preserve">1, 2, 3, 4 y 7 </w:t>
            </w:r>
          </w:p>
        </w:tc>
      </w:tr>
      <w:tr w:rsidR="007535C1" w:rsidRPr="00B8145D" w14:paraId="0C3B8350" w14:textId="77777777" w:rsidTr="007535C1">
        <w:tc>
          <w:tcPr>
            <w:tcW w:w="4517" w:type="dxa"/>
          </w:tcPr>
          <w:p w14:paraId="13E4AE9A" w14:textId="604AB452" w:rsidR="007535C1" w:rsidRPr="00B8145D" w:rsidRDefault="007535C1" w:rsidP="00B8145D">
            <w:pPr>
              <w:pStyle w:val="Prrafodelista"/>
              <w:ind w:left="0"/>
              <w:rPr>
                <w:rFonts w:eastAsia="Arial Unicode MS" w:cs="Arial"/>
              </w:rPr>
            </w:pPr>
            <w:r w:rsidRPr="00B8145D">
              <w:rPr>
                <w:rFonts w:eastAsia="Arial Unicode MS" w:cs="Arial"/>
              </w:rPr>
              <w:t>2025</w:t>
            </w:r>
          </w:p>
        </w:tc>
        <w:tc>
          <w:tcPr>
            <w:tcW w:w="4517" w:type="dxa"/>
          </w:tcPr>
          <w:p w14:paraId="470B013E" w14:textId="089F058B" w:rsidR="007535C1" w:rsidRPr="00B8145D" w:rsidRDefault="007535C1" w:rsidP="00B8145D">
            <w:pPr>
              <w:pStyle w:val="Prrafodelista"/>
              <w:ind w:left="0"/>
              <w:rPr>
                <w:rFonts w:eastAsia="Arial Unicode MS" w:cs="Arial"/>
              </w:rPr>
            </w:pPr>
            <w:r w:rsidRPr="00B8145D">
              <w:rPr>
                <w:rFonts w:eastAsia="Arial Unicode MS" w:cs="Arial"/>
              </w:rPr>
              <w:t>1</w:t>
            </w:r>
          </w:p>
        </w:tc>
      </w:tr>
    </w:tbl>
    <w:p w14:paraId="34DC954D" w14:textId="77777777" w:rsidR="007535C1" w:rsidRPr="00B8145D" w:rsidRDefault="007535C1" w:rsidP="00B8145D">
      <w:pPr>
        <w:pStyle w:val="Prrafodelista"/>
        <w:ind w:left="1440"/>
        <w:rPr>
          <w:rFonts w:eastAsia="Arial Unicode MS" w:cs="Arial"/>
        </w:rPr>
      </w:pPr>
    </w:p>
    <w:p w14:paraId="0A56931A" w14:textId="61CA2B11" w:rsidR="008D0FF0" w:rsidRPr="00B8145D" w:rsidRDefault="000E1366" w:rsidP="00B8145D">
      <w:pPr>
        <w:pStyle w:val="Prrafodelista"/>
        <w:numPr>
          <w:ilvl w:val="0"/>
          <w:numId w:val="17"/>
        </w:numPr>
        <w:rPr>
          <w:rFonts w:eastAsia="Arial Unicode MS" w:cs="Arial"/>
        </w:rPr>
      </w:pPr>
      <w:r w:rsidRPr="00B8145D">
        <w:rPr>
          <w:rFonts w:eastAsia="Arial Unicode MS" w:cs="Arial"/>
        </w:rPr>
        <w:t>RR 2422-2025 ANEXO UIPPE 2024.pdf</w:t>
      </w:r>
      <w:r w:rsidR="008D0FF0" w:rsidRPr="00B8145D">
        <w:rPr>
          <w:rFonts w:eastAsia="Arial Unicode MS" w:cs="Arial"/>
        </w:rPr>
        <w:t xml:space="preserve"> Archivo que contiene</w:t>
      </w:r>
      <w:r w:rsidR="000222E5" w:rsidRPr="00B8145D">
        <w:rPr>
          <w:rFonts w:eastAsia="Arial Unicode MS" w:cs="Arial"/>
        </w:rPr>
        <w:t xml:space="preserve"> 201 páginas que contiene diversos oficios de la UIPPE a manera de ejemplo</w:t>
      </w:r>
      <w:r w:rsidR="008D0FF0" w:rsidRPr="00B8145D">
        <w:rPr>
          <w:rFonts w:eastAsia="Arial Unicode MS" w:cs="Arial"/>
        </w:rPr>
        <w:t xml:space="preserve"> los siguientes:</w:t>
      </w:r>
    </w:p>
    <w:tbl>
      <w:tblPr>
        <w:tblStyle w:val="Tablaconcuadrcula"/>
        <w:tblW w:w="0" w:type="auto"/>
        <w:tblInd w:w="1440" w:type="dxa"/>
        <w:tblLook w:val="04A0" w:firstRow="1" w:lastRow="0" w:firstColumn="1" w:lastColumn="0" w:noHBand="0" w:noVBand="1"/>
      </w:tblPr>
      <w:tblGrid>
        <w:gridCol w:w="3726"/>
        <w:gridCol w:w="3868"/>
      </w:tblGrid>
      <w:tr w:rsidR="00B8145D" w:rsidRPr="00B8145D" w14:paraId="03F05E57" w14:textId="77777777" w:rsidTr="000222E5">
        <w:tc>
          <w:tcPr>
            <w:tcW w:w="3726" w:type="dxa"/>
            <w:shd w:val="clear" w:color="auto" w:fill="E8E8E8" w:themeFill="background2"/>
          </w:tcPr>
          <w:p w14:paraId="3656150D" w14:textId="77777777" w:rsidR="008D0FF0" w:rsidRPr="00B8145D" w:rsidRDefault="008D0FF0" w:rsidP="00B8145D">
            <w:pPr>
              <w:pStyle w:val="Prrafodelista"/>
              <w:spacing w:line="240" w:lineRule="auto"/>
              <w:ind w:left="0"/>
              <w:jc w:val="center"/>
              <w:rPr>
                <w:rFonts w:eastAsia="Arial Unicode MS" w:cs="Arial"/>
                <w:b/>
              </w:rPr>
            </w:pPr>
            <w:r w:rsidRPr="00B8145D">
              <w:rPr>
                <w:rFonts w:eastAsia="Arial Unicode MS" w:cs="Arial"/>
                <w:b/>
              </w:rPr>
              <w:t>Año</w:t>
            </w:r>
          </w:p>
        </w:tc>
        <w:tc>
          <w:tcPr>
            <w:tcW w:w="3868" w:type="dxa"/>
            <w:shd w:val="clear" w:color="auto" w:fill="E8E8E8" w:themeFill="background2"/>
          </w:tcPr>
          <w:p w14:paraId="1F726DF0" w14:textId="77777777" w:rsidR="008D0FF0" w:rsidRPr="00B8145D" w:rsidRDefault="008D0FF0" w:rsidP="00B8145D">
            <w:pPr>
              <w:pStyle w:val="Prrafodelista"/>
              <w:spacing w:line="240" w:lineRule="auto"/>
              <w:ind w:left="0"/>
              <w:jc w:val="center"/>
              <w:rPr>
                <w:rFonts w:eastAsia="Arial Unicode MS" w:cs="Arial"/>
                <w:b/>
              </w:rPr>
            </w:pPr>
            <w:r w:rsidRPr="00B8145D">
              <w:rPr>
                <w:rFonts w:eastAsia="Arial Unicode MS" w:cs="Arial"/>
                <w:b/>
              </w:rPr>
              <w:t>Número de oficio</w:t>
            </w:r>
          </w:p>
        </w:tc>
      </w:tr>
      <w:tr w:rsidR="008D0FF0" w:rsidRPr="00B8145D" w14:paraId="71F8E61A" w14:textId="77777777" w:rsidTr="000222E5">
        <w:tc>
          <w:tcPr>
            <w:tcW w:w="3726" w:type="dxa"/>
          </w:tcPr>
          <w:p w14:paraId="375FF464" w14:textId="77777777" w:rsidR="008D0FF0" w:rsidRPr="00B8145D" w:rsidRDefault="008D0FF0" w:rsidP="00B8145D">
            <w:pPr>
              <w:pStyle w:val="Prrafodelista"/>
              <w:spacing w:line="240" w:lineRule="auto"/>
              <w:ind w:left="0"/>
              <w:rPr>
                <w:rFonts w:eastAsia="Arial Unicode MS" w:cs="Arial"/>
              </w:rPr>
            </w:pPr>
            <w:r w:rsidRPr="00B8145D">
              <w:rPr>
                <w:rFonts w:eastAsia="Arial Unicode MS" w:cs="Arial"/>
              </w:rPr>
              <w:t>2024</w:t>
            </w:r>
          </w:p>
        </w:tc>
        <w:tc>
          <w:tcPr>
            <w:tcW w:w="3868" w:type="dxa"/>
          </w:tcPr>
          <w:p w14:paraId="52AB3A72" w14:textId="46541757" w:rsidR="007B24DC" w:rsidRPr="00B8145D" w:rsidRDefault="007B24DC" w:rsidP="00B8145D">
            <w:pPr>
              <w:pStyle w:val="Prrafodelista"/>
              <w:spacing w:line="240" w:lineRule="auto"/>
              <w:ind w:left="0"/>
              <w:rPr>
                <w:rFonts w:eastAsia="Arial Unicode MS" w:cs="Arial"/>
              </w:rPr>
            </w:pPr>
            <w:r w:rsidRPr="00B8145D">
              <w:rPr>
                <w:rFonts w:eastAsia="Arial Unicode MS" w:cs="Arial"/>
              </w:rPr>
              <w:t xml:space="preserve">250 (se testaron datos que pudieran ser teléfonos y correos </w:t>
            </w:r>
            <w:proofErr w:type="spellStart"/>
            <w:r w:rsidRPr="00B8145D">
              <w:rPr>
                <w:rFonts w:eastAsia="Arial Unicode MS" w:cs="Arial"/>
              </w:rPr>
              <w:t>pag</w:t>
            </w:r>
            <w:proofErr w:type="spellEnd"/>
            <w:r w:rsidRPr="00B8145D">
              <w:rPr>
                <w:rFonts w:eastAsia="Arial Unicode MS" w:cs="Arial"/>
              </w:rPr>
              <w:t>. 73)</w:t>
            </w:r>
          </w:p>
          <w:p w14:paraId="3BF129CE" w14:textId="33DF7879" w:rsidR="007B24DC" w:rsidRPr="00B8145D" w:rsidRDefault="007B24DC" w:rsidP="00B8145D">
            <w:pPr>
              <w:pStyle w:val="Prrafodelista"/>
              <w:spacing w:line="240" w:lineRule="auto"/>
              <w:ind w:left="0"/>
              <w:rPr>
                <w:rFonts w:eastAsia="Arial Unicode MS" w:cs="Arial"/>
              </w:rPr>
            </w:pPr>
            <w:r w:rsidRPr="00B8145D">
              <w:rPr>
                <w:rFonts w:eastAsia="Arial Unicode MS" w:cs="Arial"/>
              </w:rPr>
              <w:t>256</w:t>
            </w:r>
          </w:p>
          <w:p w14:paraId="1F1D83C4" w14:textId="4DFEE397" w:rsidR="007B24DC" w:rsidRPr="00B8145D" w:rsidRDefault="007B24DC" w:rsidP="00B8145D">
            <w:pPr>
              <w:pStyle w:val="Prrafodelista"/>
              <w:spacing w:line="240" w:lineRule="auto"/>
              <w:ind w:left="0"/>
              <w:rPr>
                <w:rFonts w:eastAsia="Arial Unicode MS" w:cs="Arial"/>
              </w:rPr>
            </w:pPr>
            <w:r w:rsidRPr="00B8145D">
              <w:rPr>
                <w:rFonts w:eastAsia="Arial Unicode MS" w:cs="Arial"/>
              </w:rPr>
              <w:t>259</w:t>
            </w:r>
          </w:p>
          <w:p w14:paraId="466DFF7B" w14:textId="1437CBA9" w:rsidR="007B24DC" w:rsidRPr="00B8145D" w:rsidRDefault="007B24DC" w:rsidP="00B8145D">
            <w:pPr>
              <w:pStyle w:val="Prrafodelista"/>
              <w:spacing w:line="240" w:lineRule="auto"/>
              <w:ind w:left="0"/>
              <w:rPr>
                <w:rFonts w:eastAsia="Arial Unicode MS" w:cs="Arial"/>
              </w:rPr>
            </w:pPr>
            <w:r w:rsidRPr="00B8145D">
              <w:rPr>
                <w:rFonts w:eastAsia="Arial Unicode MS" w:cs="Arial"/>
              </w:rPr>
              <w:t>262</w:t>
            </w:r>
          </w:p>
          <w:p w14:paraId="3B8CC665" w14:textId="33B79890" w:rsidR="007B24DC" w:rsidRPr="00B8145D" w:rsidRDefault="007B24DC" w:rsidP="00B8145D">
            <w:pPr>
              <w:pStyle w:val="Prrafodelista"/>
              <w:spacing w:line="240" w:lineRule="auto"/>
              <w:ind w:left="0"/>
              <w:rPr>
                <w:rFonts w:eastAsia="Arial Unicode MS" w:cs="Arial"/>
              </w:rPr>
            </w:pPr>
            <w:r w:rsidRPr="00B8145D">
              <w:rPr>
                <w:rFonts w:eastAsia="Arial Unicode MS" w:cs="Arial"/>
              </w:rPr>
              <w:t>263</w:t>
            </w:r>
          </w:p>
          <w:p w14:paraId="2564A448" w14:textId="72CF6A2E" w:rsidR="007B24DC" w:rsidRPr="00B8145D" w:rsidRDefault="007B24DC" w:rsidP="00B8145D">
            <w:pPr>
              <w:pStyle w:val="Prrafodelista"/>
              <w:spacing w:line="240" w:lineRule="auto"/>
              <w:ind w:left="0"/>
              <w:rPr>
                <w:rFonts w:eastAsia="Arial Unicode MS" w:cs="Arial"/>
              </w:rPr>
            </w:pPr>
            <w:r w:rsidRPr="00B8145D">
              <w:rPr>
                <w:rFonts w:eastAsia="Arial Unicode MS" w:cs="Arial"/>
              </w:rPr>
              <w:t>265</w:t>
            </w:r>
          </w:p>
          <w:p w14:paraId="1A295CCD" w14:textId="66F72A4C" w:rsidR="007B24DC" w:rsidRPr="00B8145D" w:rsidRDefault="007B24DC" w:rsidP="00B8145D">
            <w:pPr>
              <w:pStyle w:val="Prrafodelista"/>
              <w:spacing w:line="240" w:lineRule="auto"/>
              <w:ind w:left="0"/>
              <w:rPr>
                <w:rFonts w:eastAsia="Arial Unicode MS" w:cs="Arial"/>
              </w:rPr>
            </w:pPr>
            <w:r w:rsidRPr="00B8145D">
              <w:rPr>
                <w:rFonts w:eastAsia="Arial Unicode MS" w:cs="Arial"/>
              </w:rPr>
              <w:t xml:space="preserve">266 </w:t>
            </w:r>
          </w:p>
          <w:p w14:paraId="7880CA67" w14:textId="1B702E22" w:rsidR="007B24DC" w:rsidRPr="00B8145D" w:rsidRDefault="007B24DC" w:rsidP="00B8145D">
            <w:pPr>
              <w:pStyle w:val="Prrafodelista"/>
              <w:spacing w:line="240" w:lineRule="auto"/>
              <w:ind w:left="0"/>
              <w:rPr>
                <w:rFonts w:eastAsia="Arial Unicode MS" w:cs="Arial"/>
              </w:rPr>
            </w:pPr>
            <w:r w:rsidRPr="00B8145D">
              <w:rPr>
                <w:rFonts w:eastAsia="Arial Unicode MS" w:cs="Arial"/>
              </w:rPr>
              <w:t>268</w:t>
            </w:r>
          </w:p>
          <w:p w14:paraId="39A6983B" w14:textId="4A105D3B" w:rsidR="007B24DC" w:rsidRPr="00B8145D" w:rsidRDefault="007B24DC" w:rsidP="00B8145D">
            <w:pPr>
              <w:pStyle w:val="Prrafodelista"/>
              <w:spacing w:line="240" w:lineRule="auto"/>
              <w:ind w:left="0"/>
              <w:rPr>
                <w:rFonts w:eastAsia="Arial Unicode MS" w:cs="Arial"/>
              </w:rPr>
            </w:pPr>
            <w:r w:rsidRPr="00B8145D">
              <w:rPr>
                <w:rFonts w:eastAsia="Arial Unicode MS" w:cs="Arial"/>
              </w:rPr>
              <w:t>269</w:t>
            </w:r>
          </w:p>
          <w:p w14:paraId="70D57CD1" w14:textId="1AA81F44" w:rsidR="007B24DC" w:rsidRPr="00B8145D" w:rsidRDefault="007B24DC" w:rsidP="00B8145D">
            <w:pPr>
              <w:pStyle w:val="Prrafodelista"/>
              <w:spacing w:line="240" w:lineRule="auto"/>
              <w:ind w:left="0"/>
              <w:rPr>
                <w:rFonts w:eastAsia="Arial Unicode MS" w:cs="Arial"/>
              </w:rPr>
            </w:pPr>
            <w:r w:rsidRPr="00B8145D">
              <w:rPr>
                <w:rFonts w:eastAsia="Arial Unicode MS" w:cs="Arial"/>
              </w:rPr>
              <w:t>273</w:t>
            </w:r>
          </w:p>
          <w:p w14:paraId="3EC430B2" w14:textId="14167EBC" w:rsidR="007B24DC" w:rsidRPr="00B8145D" w:rsidRDefault="007B24DC" w:rsidP="00B8145D">
            <w:pPr>
              <w:pStyle w:val="Prrafodelista"/>
              <w:spacing w:line="240" w:lineRule="auto"/>
              <w:ind w:left="0"/>
              <w:rPr>
                <w:rFonts w:eastAsia="Arial Unicode MS" w:cs="Arial"/>
              </w:rPr>
            </w:pPr>
            <w:r w:rsidRPr="00B8145D">
              <w:rPr>
                <w:rFonts w:eastAsia="Arial Unicode MS" w:cs="Arial"/>
              </w:rPr>
              <w:t>274</w:t>
            </w:r>
          </w:p>
          <w:p w14:paraId="3E08B702" w14:textId="55E2EE44" w:rsidR="007B24DC" w:rsidRPr="00B8145D" w:rsidRDefault="007B24DC" w:rsidP="00B8145D">
            <w:pPr>
              <w:pStyle w:val="Prrafodelista"/>
              <w:spacing w:line="240" w:lineRule="auto"/>
              <w:ind w:left="0"/>
              <w:rPr>
                <w:rFonts w:eastAsia="Arial Unicode MS" w:cs="Arial"/>
              </w:rPr>
            </w:pPr>
            <w:r w:rsidRPr="00B8145D">
              <w:rPr>
                <w:rFonts w:eastAsia="Arial Unicode MS" w:cs="Arial"/>
              </w:rPr>
              <w:t>278</w:t>
            </w:r>
          </w:p>
          <w:p w14:paraId="7DDB8F00" w14:textId="2E3E4BF9" w:rsidR="007B24DC" w:rsidRPr="00B8145D" w:rsidRDefault="007B24DC" w:rsidP="00B8145D">
            <w:pPr>
              <w:pStyle w:val="Prrafodelista"/>
              <w:spacing w:line="240" w:lineRule="auto"/>
              <w:ind w:left="0"/>
              <w:rPr>
                <w:rFonts w:eastAsia="Arial Unicode MS" w:cs="Arial"/>
              </w:rPr>
            </w:pPr>
            <w:r w:rsidRPr="00B8145D">
              <w:rPr>
                <w:rFonts w:eastAsia="Arial Unicode MS" w:cs="Arial"/>
              </w:rPr>
              <w:t>279</w:t>
            </w:r>
          </w:p>
          <w:p w14:paraId="26F56720" w14:textId="6F8DE81D" w:rsidR="007B24DC" w:rsidRPr="00B8145D" w:rsidRDefault="007B24DC" w:rsidP="00B8145D">
            <w:pPr>
              <w:pStyle w:val="Prrafodelista"/>
              <w:spacing w:line="240" w:lineRule="auto"/>
              <w:ind w:left="0"/>
              <w:rPr>
                <w:rFonts w:eastAsia="Arial Unicode MS" w:cs="Arial"/>
              </w:rPr>
            </w:pPr>
            <w:r w:rsidRPr="00B8145D">
              <w:rPr>
                <w:rFonts w:eastAsia="Arial Unicode MS" w:cs="Arial"/>
              </w:rPr>
              <w:t>280</w:t>
            </w:r>
          </w:p>
          <w:p w14:paraId="320EA66F" w14:textId="18186CCB" w:rsidR="007B24DC" w:rsidRPr="00B8145D" w:rsidRDefault="007B24DC" w:rsidP="00B8145D">
            <w:pPr>
              <w:pStyle w:val="Prrafodelista"/>
              <w:spacing w:line="240" w:lineRule="auto"/>
              <w:ind w:left="0"/>
              <w:rPr>
                <w:rFonts w:eastAsia="Arial Unicode MS" w:cs="Arial"/>
              </w:rPr>
            </w:pPr>
            <w:r w:rsidRPr="00B8145D">
              <w:rPr>
                <w:rFonts w:eastAsia="Arial Unicode MS" w:cs="Arial"/>
              </w:rPr>
              <w:t>286</w:t>
            </w:r>
          </w:p>
          <w:p w14:paraId="7C125E84" w14:textId="7A6DA1A3" w:rsidR="007B24DC" w:rsidRPr="00B8145D" w:rsidRDefault="007B24DC" w:rsidP="00B8145D">
            <w:pPr>
              <w:pStyle w:val="Prrafodelista"/>
              <w:spacing w:line="240" w:lineRule="auto"/>
              <w:ind w:left="0"/>
              <w:rPr>
                <w:rFonts w:eastAsia="Arial Unicode MS" w:cs="Arial"/>
              </w:rPr>
            </w:pPr>
            <w:r w:rsidRPr="00B8145D">
              <w:rPr>
                <w:rFonts w:eastAsia="Arial Unicode MS" w:cs="Arial"/>
              </w:rPr>
              <w:t>288</w:t>
            </w:r>
          </w:p>
          <w:p w14:paraId="5ADEDD27" w14:textId="77CF08CE" w:rsidR="007B24DC" w:rsidRPr="00B8145D" w:rsidRDefault="007B24DC" w:rsidP="00B8145D">
            <w:pPr>
              <w:pStyle w:val="Prrafodelista"/>
              <w:spacing w:line="240" w:lineRule="auto"/>
              <w:ind w:left="0"/>
              <w:rPr>
                <w:rFonts w:eastAsia="Arial Unicode MS" w:cs="Arial"/>
              </w:rPr>
            </w:pPr>
            <w:r w:rsidRPr="00B8145D">
              <w:rPr>
                <w:rFonts w:eastAsia="Arial Unicode MS" w:cs="Arial"/>
              </w:rPr>
              <w:t>292</w:t>
            </w:r>
          </w:p>
          <w:p w14:paraId="5C91C7ED" w14:textId="173ED71B" w:rsidR="007B24DC" w:rsidRPr="00B8145D" w:rsidRDefault="007B24DC" w:rsidP="00B8145D">
            <w:pPr>
              <w:pStyle w:val="Prrafodelista"/>
              <w:spacing w:line="240" w:lineRule="auto"/>
              <w:ind w:left="0"/>
              <w:rPr>
                <w:rFonts w:eastAsia="Arial Unicode MS" w:cs="Arial"/>
              </w:rPr>
            </w:pPr>
            <w:r w:rsidRPr="00B8145D">
              <w:rPr>
                <w:rFonts w:eastAsia="Arial Unicode MS" w:cs="Arial"/>
              </w:rPr>
              <w:t>293</w:t>
            </w:r>
          </w:p>
          <w:p w14:paraId="72D745F0" w14:textId="13B5BA1C" w:rsidR="007B24DC" w:rsidRPr="00B8145D" w:rsidRDefault="007B24DC" w:rsidP="00B8145D">
            <w:pPr>
              <w:pStyle w:val="Prrafodelista"/>
              <w:spacing w:line="240" w:lineRule="auto"/>
              <w:ind w:left="0"/>
              <w:rPr>
                <w:rFonts w:eastAsia="Arial Unicode MS" w:cs="Arial"/>
              </w:rPr>
            </w:pPr>
            <w:r w:rsidRPr="00B8145D">
              <w:rPr>
                <w:rFonts w:eastAsia="Arial Unicode MS" w:cs="Arial"/>
              </w:rPr>
              <w:t>298</w:t>
            </w:r>
          </w:p>
          <w:p w14:paraId="6B920B18" w14:textId="56CC3342" w:rsidR="00B3344C" w:rsidRPr="00B8145D" w:rsidRDefault="00B3344C" w:rsidP="00B8145D">
            <w:pPr>
              <w:pStyle w:val="Prrafodelista"/>
              <w:spacing w:line="240" w:lineRule="auto"/>
              <w:ind w:left="0"/>
              <w:rPr>
                <w:rFonts w:eastAsia="Arial Unicode MS" w:cs="Arial"/>
              </w:rPr>
            </w:pPr>
            <w:r w:rsidRPr="00B8145D">
              <w:rPr>
                <w:rFonts w:eastAsia="Arial Unicode MS" w:cs="Arial"/>
              </w:rPr>
              <w:t>302</w:t>
            </w:r>
          </w:p>
          <w:p w14:paraId="230005C9" w14:textId="52CAB0E7" w:rsidR="00B3344C" w:rsidRPr="00B8145D" w:rsidRDefault="00B3344C" w:rsidP="00B8145D">
            <w:pPr>
              <w:pStyle w:val="Prrafodelista"/>
              <w:spacing w:line="240" w:lineRule="auto"/>
              <w:ind w:left="0"/>
              <w:rPr>
                <w:rFonts w:eastAsia="Arial Unicode MS" w:cs="Arial"/>
              </w:rPr>
            </w:pPr>
            <w:r w:rsidRPr="00B8145D">
              <w:rPr>
                <w:rFonts w:eastAsia="Arial Unicode MS" w:cs="Arial"/>
              </w:rPr>
              <w:t>308</w:t>
            </w:r>
          </w:p>
          <w:p w14:paraId="44F17698" w14:textId="4520B84F" w:rsidR="00B3344C" w:rsidRPr="00B8145D" w:rsidRDefault="00B3344C" w:rsidP="00B8145D">
            <w:pPr>
              <w:pStyle w:val="Prrafodelista"/>
              <w:spacing w:line="240" w:lineRule="auto"/>
              <w:ind w:left="0"/>
              <w:rPr>
                <w:rFonts w:eastAsia="Arial Unicode MS" w:cs="Arial"/>
              </w:rPr>
            </w:pPr>
            <w:r w:rsidRPr="00B8145D">
              <w:rPr>
                <w:rFonts w:eastAsia="Arial Unicode MS" w:cs="Arial"/>
              </w:rPr>
              <w:t>309</w:t>
            </w:r>
          </w:p>
          <w:p w14:paraId="134B7F1A" w14:textId="082ABC4B" w:rsidR="00B3344C" w:rsidRPr="00B8145D" w:rsidRDefault="007B24DC" w:rsidP="00B8145D">
            <w:pPr>
              <w:pStyle w:val="Prrafodelista"/>
              <w:spacing w:line="240" w:lineRule="auto"/>
              <w:ind w:left="0"/>
              <w:rPr>
                <w:rFonts w:eastAsia="Arial Unicode MS" w:cs="Arial"/>
              </w:rPr>
            </w:pPr>
            <w:r w:rsidRPr="00B8145D">
              <w:rPr>
                <w:rFonts w:eastAsia="Arial Unicode MS" w:cs="Arial"/>
              </w:rPr>
              <w:t>311</w:t>
            </w:r>
          </w:p>
          <w:p w14:paraId="6A86457C" w14:textId="7304C163" w:rsidR="007B24DC" w:rsidRPr="00B8145D" w:rsidRDefault="007B24DC" w:rsidP="00B8145D">
            <w:pPr>
              <w:pStyle w:val="Prrafodelista"/>
              <w:spacing w:line="240" w:lineRule="auto"/>
              <w:ind w:left="0"/>
              <w:rPr>
                <w:rFonts w:eastAsia="Arial Unicode MS" w:cs="Arial"/>
              </w:rPr>
            </w:pPr>
            <w:r w:rsidRPr="00B8145D">
              <w:rPr>
                <w:rFonts w:eastAsia="Arial Unicode MS" w:cs="Arial"/>
              </w:rPr>
              <w:t>312</w:t>
            </w:r>
          </w:p>
          <w:p w14:paraId="187BF86A" w14:textId="65A5F781" w:rsidR="007B24DC" w:rsidRPr="00B8145D" w:rsidRDefault="007B24DC" w:rsidP="00B8145D">
            <w:pPr>
              <w:pStyle w:val="Prrafodelista"/>
              <w:spacing w:line="240" w:lineRule="auto"/>
              <w:ind w:left="0"/>
              <w:rPr>
                <w:rFonts w:eastAsia="Arial Unicode MS" w:cs="Arial"/>
              </w:rPr>
            </w:pPr>
            <w:r w:rsidRPr="00B8145D">
              <w:rPr>
                <w:rFonts w:eastAsia="Arial Unicode MS" w:cs="Arial"/>
              </w:rPr>
              <w:lastRenderedPageBreak/>
              <w:t>317</w:t>
            </w:r>
          </w:p>
          <w:p w14:paraId="2B150919" w14:textId="0049EEE5" w:rsidR="007B24DC" w:rsidRPr="00B8145D" w:rsidRDefault="007B24DC" w:rsidP="00B8145D">
            <w:pPr>
              <w:pStyle w:val="Prrafodelista"/>
              <w:spacing w:line="240" w:lineRule="auto"/>
              <w:ind w:left="0"/>
              <w:rPr>
                <w:rFonts w:eastAsia="Arial Unicode MS" w:cs="Arial"/>
              </w:rPr>
            </w:pPr>
            <w:r w:rsidRPr="00B8145D">
              <w:rPr>
                <w:rFonts w:eastAsia="Arial Unicode MS" w:cs="Arial"/>
              </w:rPr>
              <w:t>318</w:t>
            </w:r>
          </w:p>
          <w:p w14:paraId="2F5E7AE5" w14:textId="7D2BDEC6" w:rsidR="007B24DC" w:rsidRPr="00B8145D" w:rsidRDefault="007B24DC" w:rsidP="00B8145D">
            <w:pPr>
              <w:pStyle w:val="Prrafodelista"/>
              <w:spacing w:line="240" w:lineRule="auto"/>
              <w:ind w:left="0"/>
              <w:rPr>
                <w:rFonts w:eastAsia="Arial Unicode MS" w:cs="Arial"/>
              </w:rPr>
            </w:pPr>
            <w:r w:rsidRPr="00B8145D">
              <w:rPr>
                <w:rFonts w:eastAsia="Arial Unicode MS" w:cs="Arial"/>
              </w:rPr>
              <w:t>322</w:t>
            </w:r>
          </w:p>
          <w:p w14:paraId="170E3E5B" w14:textId="217A1152" w:rsidR="007B24DC" w:rsidRPr="00B8145D" w:rsidRDefault="007B24DC" w:rsidP="00B8145D">
            <w:pPr>
              <w:pStyle w:val="Prrafodelista"/>
              <w:spacing w:line="240" w:lineRule="auto"/>
              <w:ind w:left="0"/>
              <w:rPr>
                <w:rFonts w:eastAsia="Arial Unicode MS" w:cs="Arial"/>
              </w:rPr>
            </w:pPr>
            <w:r w:rsidRPr="00B8145D">
              <w:rPr>
                <w:rFonts w:eastAsia="Arial Unicode MS" w:cs="Arial"/>
              </w:rPr>
              <w:t>334</w:t>
            </w:r>
          </w:p>
          <w:p w14:paraId="62F7452A" w14:textId="69A339D1" w:rsidR="007B24DC" w:rsidRPr="00B8145D" w:rsidRDefault="007B24DC" w:rsidP="00B8145D">
            <w:pPr>
              <w:pStyle w:val="Prrafodelista"/>
              <w:spacing w:line="240" w:lineRule="auto"/>
              <w:ind w:left="0"/>
              <w:rPr>
                <w:rFonts w:eastAsia="Arial Unicode MS" w:cs="Arial"/>
              </w:rPr>
            </w:pPr>
            <w:r w:rsidRPr="00B8145D">
              <w:rPr>
                <w:rFonts w:eastAsia="Arial Unicode MS" w:cs="Arial"/>
              </w:rPr>
              <w:t>336 (se testó correo electrónico)</w:t>
            </w:r>
          </w:p>
          <w:p w14:paraId="35EE093A" w14:textId="67D6940F" w:rsidR="007B24DC" w:rsidRPr="00B8145D" w:rsidRDefault="007B24DC" w:rsidP="00B8145D">
            <w:pPr>
              <w:pStyle w:val="Prrafodelista"/>
              <w:spacing w:line="240" w:lineRule="auto"/>
              <w:ind w:left="0"/>
              <w:rPr>
                <w:rFonts w:eastAsia="Arial Unicode MS" w:cs="Arial"/>
              </w:rPr>
            </w:pPr>
            <w:r w:rsidRPr="00B8145D">
              <w:rPr>
                <w:rFonts w:eastAsia="Arial Unicode MS" w:cs="Arial"/>
              </w:rPr>
              <w:t>337 (se testó correo electrónico)</w:t>
            </w:r>
          </w:p>
          <w:p w14:paraId="2DFAFAA9" w14:textId="08927619" w:rsidR="007B24DC" w:rsidRPr="00B8145D" w:rsidRDefault="007B24DC" w:rsidP="00B8145D">
            <w:pPr>
              <w:pStyle w:val="Prrafodelista"/>
              <w:spacing w:line="240" w:lineRule="auto"/>
              <w:ind w:left="0"/>
              <w:rPr>
                <w:rFonts w:eastAsia="Arial Unicode MS" w:cs="Arial"/>
              </w:rPr>
            </w:pPr>
            <w:r w:rsidRPr="00B8145D">
              <w:rPr>
                <w:rFonts w:eastAsia="Arial Unicode MS" w:cs="Arial"/>
              </w:rPr>
              <w:t>338</w:t>
            </w:r>
          </w:p>
          <w:p w14:paraId="75C95C18" w14:textId="331EA3DD" w:rsidR="007B24DC" w:rsidRPr="00B8145D" w:rsidRDefault="007B24DC" w:rsidP="00B8145D">
            <w:pPr>
              <w:pStyle w:val="Prrafodelista"/>
              <w:spacing w:line="240" w:lineRule="auto"/>
              <w:ind w:left="0"/>
              <w:rPr>
                <w:rFonts w:eastAsia="Arial Unicode MS" w:cs="Arial"/>
              </w:rPr>
            </w:pPr>
            <w:r w:rsidRPr="00B8145D">
              <w:rPr>
                <w:rFonts w:eastAsia="Arial Unicode MS" w:cs="Arial"/>
              </w:rPr>
              <w:t xml:space="preserve">342 </w:t>
            </w:r>
          </w:p>
          <w:p w14:paraId="699835A2" w14:textId="4737430E" w:rsidR="007B24DC" w:rsidRPr="00B8145D" w:rsidRDefault="007B24DC" w:rsidP="00B8145D">
            <w:pPr>
              <w:pStyle w:val="Prrafodelista"/>
              <w:spacing w:line="240" w:lineRule="auto"/>
              <w:ind w:left="0"/>
              <w:rPr>
                <w:rFonts w:eastAsia="Arial Unicode MS" w:cs="Arial"/>
              </w:rPr>
            </w:pPr>
            <w:r w:rsidRPr="00B8145D">
              <w:rPr>
                <w:rFonts w:eastAsia="Arial Unicode MS" w:cs="Arial"/>
              </w:rPr>
              <w:t>343</w:t>
            </w:r>
          </w:p>
          <w:p w14:paraId="588FA0D3" w14:textId="144FC17B" w:rsidR="00B3344C" w:rsidRPr="00B8145D" w:rsidRDefault="007B24DC" w:rsidP="00B8145D">
            <w:pPr>
              <w:pStyle w:val="Prrafodelista"/>
              <w:spacing w:line="240" w:lineRule="auto"/>
              <w:ind w:left="0"/>
              <w:rPr>
                <w:rFonts w:eastAsia="Arial Unicode MS" w:cs="Arial"/>
              </w:rPr>
            </w:pPr>
            <w:r w:rsidRPr="00B8145D">
              <w:rPr>
                <w:rFonts w:eastAsia="Arial Unicode MS" w:cs="Arial"/>
              </w:rPr>
              <w:t>345</w:t>
            </w:r>
          </w:p>
          <w:p w14:paraId="0C7FCE6A" w14:textId="3DDCBEC7" w:rsidR="00B3344C" w:rsidRPr="00B8145D" w:rsidRDefault="00B3344C" w:rsidP="00B8145D">
            <w:pPr>
              <w:pStyle w:val="Prrafodelista"/>
              <w:spacing w:line="240" w:lineRule="auto"/>
              <w:ind w:left="0"/>
              <w:rPr>
                <w:rFonts w:eastAsia="Arial Unicode MS" w:cs="Arial"/>
              </w:rPr>
            </w:pPr>
            <w:r w:rsidRPr="00B8145D">
              <w:rPr>
                <w:rFonts w:eastAsia="Arial Unicode MS" w:cs="Arial"/>
              </w:rPr>
              <w:t>347</w:t>
            </w:r>
          </w:p>
          <w:p w14:paraId="327599C2" w14:textId="6EB763E2" w:rsidR="00B3344C" w:rsidRPr="00B8145D" w:rsidRDefault="00B3344C" w:rsidP="00B8145D">
            <w:pPr>
              <w:pStyle w:val="Prrafodelista"/>
              <w:spacing w:line="240" w:lineRule="auto"/>
              <w:ind w:left="0"/>
              <w:rPr>
                <w:rFonts w:eastAsia="Arial Unicode MS" w:cs="Arial"/>
              </w:rPr>
            </w:pPr>
            <w:r w:rsidRPr="00B8145D">
              <w:rPr>
                <w:rFonts w:eastAsia="Arial Unicode MS" w:cs="Arial"/>
              </w:rPr>
              <w:t>349</w:t>
            </w:r>
          </w:p>
          <w:p w14:paraId="61686EA4" w14:textId="74606E55" w:rsidR="00B3344C" w:rsidRPr="00B8145D" w:rsidRDefault="00B3344C" w:rsidP="00B8145D">
            <w:pPr>
              <w:pStyle w:val="Prrafodelista"/>
              <w:spacing w:line="240" w:lineRule="auto"/>
              <w:ind w:left="0"/>
              <w:rPr>
                <w:rFonts w:eastAsia="Arial Unicode MS" w:cs="Arial"/>
              </w:rPr>
            </w:pPr>
            <w:r w:rsidRPr="00B8145D">
              <w:rPr>
                <w:rFonts w:eastAsia="Arial Unicode MS" w:cs="Arial"/>
              </w:rPr>
              <w:t xml:space="preserve">351 (se testó correo electrónico </w:t>
            </w:r>
            <w:proofErr w:type="spellStart"/>
            <w:r w:rsidRPr="00B8145D">
              <w:rPr>
                <w:rFonts w:eastAsia="Arial Unicode MS" w:cs="Arial"/>
              </w:rPr>
              <w:t>pag</w:t>
            </w:r>
            <w:proofErr w:type="spellEnd"/>
            <w:r w:rsidRPr="00B8145D">
              <w:rPr>
                <w:rFonts w:eastAsia="Arial Unicode MS" w:cs="Arial"/>
              </w:rPr>
              <w:t>. 27)</w:t>
            </w:r>
          </w:p>
          <w:p w14:paraId="7A0BF8A7" w14:textId="18CBE6F8" w:rsidR="00B3344C" w:rsidRPr="00B8145D" w:rsidRDefault="00B3344C" w:rsidP="00B8145D">
            <w:pPr>
              <w:pStyle w:val="Prrafodelista"/>
              <w:spacing w:line="240" w:lineRule="auto"/>
              <w:ind w:left="0"/>
              <w:rPr>
                <w:rFonts w:eastAsia="Arial Unicode MS" w:cs="Arial"/>
              </w:rPr>
            </w:pPr>
            <w:r w:rsidRPr="00B8145D">
              <w:rPr>
                <w:rFonts w:eastAsia="Arial Unicode MS" w:cs="Arial"/>
              </w:rPr>
              <w:t xml:space="preserve">352 (se testaron datos que pudieran ser teléfonos y correos </w:t>
            </w:r>
            <w:proofErr w:type="spellStart"/>
            <w:r w:rsidRPr="00B8145D">
              <w:rPr>
                <w:rFonts w:eastAsia="Arial Unicode MS" w:cs="Arial"/>
              </w:rPr>
              <w:t>pag</w:t>
            </w:r>
            <w:proofErr w:type="spellEnd"/>
            <w:r w:rsidRPr="00B8145D">
              <w:rPr>
                <w:rFonts w:eastAsia="Arial Unicode MS" w:cs="Arial"/>
              </w:rPr>
              <w:t>. 26)</w:t>
            </w:r>
          </w:p>
          <w:p w14:paraId="4DF493B8" w14:textId="77777777" w:rsidR="00B3344C" w:rsidRPr="00B8145D" w:rsidRDefault="00B3344C" w:rsidP="00B8145D">
            <w:pPr>
              <w:pStyle w:val="Prrafodelista"/>
              <w:spacing w:line="240" w:lineRule="auto"/>
              <w:ind w:left="0"/>
              <w:rPr>
                <w:rFonts w:eastAsia="Arial Unicode MS" w:cs="Arial"/>
              </w:rPr>
            </w:pPr>
            <w:r w:rsidRPr="00B8145D">
              <w:rPr>
                <w:rFonts w:eastAsia="Arial Unicode MS" w:cs="Arial"/>
              </w:rPr>
              <w:t>354</w:t>
            </w:r>
          </w:p>
          <w:p w14:paraId="772F706C" w14:textId="01349C84" w:rsidR="008D0FF0" w:rsidRPr="00B8145D" w:rsidRDefault="008D0FF0" w:rsidP="00B8145D">
            <w:pPr>
              <w:pStyle w:val="Prrafodelista"/>
              <w:spacing w:line="240" w:lineRule="auto"/>
              <w:ind w:left="0"/>
              <w:rPr>
                <w:rFonts w:eastAsia="Arial Unicode MS" w:cs="Arial"/>
              </w:rPr>
            </w:pPr>
            <w:r w:rsidRPr="00B8145D">
              <w:rPr>
                <w:rFonts w:eastAsia="Arial Unicode MS" w:cs="Arial"/>
              </w:rPr>
              <w:t xml:space="preserve">362 </w:t>
            </w:r>
          </w:p>
        </w:tc>
      </w:tr>
    </w:tbl>
    <w:p w14:paraId="4B083DBC" w14:textId="13C57ECD" w:rsidR="000E1366" w:rsidRPr="00B8145D" w:rsidRDefault="000E1366" w:rsidP="00B8145D">
      <w:pPr>
        <w:pStyle w:val="Prrafodelista"/>
        <w:ind w:left="1440"/>
        <w:rPr>
          <w:rFonts w:eastAsia="Arial Unicode MS" w:cs="Arial"/>
        </w:rPr>
      </w:pPr>
    </w:p>
    <w:p w14:paraId="5B8F9F6D" w14:textId="418AD70E" w:rsidR="000222E5" w:rsidRPr="00B8145D" w:rsidRDefault="000E1366" w:rsidP="00B8145D">
      <w:pPr>
        <w:pStyle w:val="Prrafodelista"/>
        <w:numPr>
          <w:ilvl w:val="0"/>
          <w:numId w:val="17"/>
        </w:numPr>
        <w:rPr>
          <w:rFonts w:eastAsia="Arial Unicode MS" w:cs="Arial"/>
        </w:rPr>
      </w:pPr>
      <w:r w:rsidRPr="00B8145D">
        <w:rPr>
          <w:rFonts w:eastAsia="Arial Unicode MS" w:cs="Arial"/>
        </w:rPr>
        <w:t>RR 2422-2025 ANEXO UIPPE 2025.pdf</w:t>
      </w:r>
      <w:r w:rsidR="000222E5" w:rsidRPr="00B8145D">
        <w:rPr>
          <w:rFonts w:eastAsia="Arial Unicode MS" w:cs="Arial"/>
        </w:rPr>
        <w:t xml:space="preserve"> Archivo que contiene 41 páginas que contiene diversos oficios de la UIPPE a manera de ejemplo los siguientes:</w:t>
      </w:r>
    </w:p>
    <w:tbl>
      <w:tblPr>
        <w:tblStyle w:val="Tablaconcuadrcula"/>
        <w:tblW w:w="0" w:type="auto"/>
        <w:tblInd w:w="1440" w:type="dxa"/>
        <w:tblLook w:val="04A0" w:firstRow="1" w:lastRow="0" w:firstColumn="1" w:lastColumn="0" w:noHBand="0" w:noVBand="1"/>
      </w:tblPr>
      <w:tblGrid>
        <w:gridCol w:w="3726"/>
        <w:gridCol w:w="3868"/>
      </w:tblGrid>
      <w:tr w:rsidR="00B8145D" w:rsidRPr="00B8145D" w14:paraId="2F44C0A3" w14:textId="77777777" w:rsidTr="000222E5">
        <w:tc>
          <w:tcPr>
            <w:tcW w:w="3726" w:type="dxa"/>
            <w:shd w:val="clear" w:color="auto" w:fill="E8E8E8" w:themeFill="background2"/>
          </w:tcPr>
          <w:p w14:paraId="2FE4071E" w14:textId="77777777" w:rsidR="000222E5" w:rsidRPr="00B8145D" w:rsidRDefault="000222E5" w:rsidP="00B8145D">
            <w:pPr>
              <w:pStyle w:val="Prrafodelista"/>
              <w:spacing w:line="240" w:lineRule="auto"/>
              <w:ind w:left="0"/>
              <w:jc w:val="center"/>
              <w:rPr>
                <w:rFonts w:eastAsia="Arial Unicode MS" w:cs="Arial"/>
                <w:b/>
              </w:rPr>
            </w:pPr>
            <w:r w:rsidRPr="00B8145D">
              <w:rPr>
                <w:rFonts w:eastAsia="Arial Unicode MS" w:cs="Arial"/>
                <w:b/>
              </w:rPr>
              <w:t>Año</w:t>
            </w:r>
          </w:p>
        </w:tc>
        <w:tc>
          <w:tcPr>
            <w:tcW w:w="3868" w:type="dxa"/>
            <w:shd w:val="clear" w:color="auto" w:fill="E8E8E8" w:themeFill="background2"/>
          </w:tcPr>
          <w:p w14:paraId="59F1E0AA" w14:textId="77777777" w:rsidR="000222E5" w:rsidRPr="00B8145D" w:rsidRDefault="000222E5" w:rsidP="00B8145D">
            <w:pPr>
              <w:pStyle w:val="Prrafodelista"/>
              <w:spacing w:line="240" w:lineRule="auto"/>
              <w:ind w:left="0"/>
              <w:jc w:val="center"/>
              <w:rPr>
                <w:rFonts w:eastAsia="Arial Unicode MS" w:cs="Arial"/>
                <w:b/>
              </w:rPr>
            </w:pPr>
            <w:r w:rsidRPr="00B8145D">
              <w:rPr>
                <w:rFonts w:eastAsia="Arial Unicode MS" w:cs="Arial"/>
                <w:b/>
              </w:rPr>
              <w:t>Número de oficio</w:t>
            </w:r>
          </w:p>
        </w:tc>
      </w:tr>
      <w:tr w:rsidR="000222E5" w:rsidRPr="00B8145D" w14:paraId="33D4ECAB" w14:textId="77777777" w:rsidTr="000222E5">
        <w:tc>
          <w:tcPr>
            <w:tcW w:w="3726" w:type="dxa"/>
          </w:tcPr>
          <w:p w14:paraId="0F8CCBA8" w14:textId="77777777" w:rsidR="000222E5" w:rsidRPr="00B8145D" w:rsidRDefault="000222E5" w:rsidP="00B8145D">
            <w:pPr>
              <w:pStyle w:val="Prrafodelista"/>
              <w:spacing w:line="240" w:lineRule="auto"/>
              <w:ind w:left="0"/>
              <w:rPr>
                <w:rFonts w:eastAsia="Arial Unicode MS" w:cs="Arial"/>
              </w:rPr>
            </w:pPr>
            <w:r w:rsidRPr="00B8145D">
              <w:rPr>
                <w:rFonts w:eastAsia="Arial Unicode MS" w:cs="Arial"/>
              </w:rPr>
              <w:t>2025</w:t>
            </w:r>
          </w:p>
        </w:tc>
        <w:tc>
          <w:tcPr>
            <w:tcW w:w="3868" w:type="dxa"/>
          </w:tcPr>
          <w:p w14:paraId="276DA162" w14:textId="77777777" w:rsidR="000222E5" w:rsidRPr="00B8145D" w:rsidRDefault="000222E5" w:rsidP="00B8145D">
            <w:pPr>
              <w:pStyle w:val="Prrafodelista"/>
              <w:spacing w:line="240" w:lineRule="auto"/>
              <w:ind w:left="0"/>
              <w:rPr>
                <w:rFonts w:eastAsia="Arial Unicode MS" w:cs="Arial"/>
              </w:rPr>
            </w:pPr>
            <w:r w:rsidRPr="00B8145D">
              <w:rPr>
                <w:rFonts w:eastAsia="Arial Unicode MS" w:cs="Arial"/>
              </w:rPr>
              <w:t>10, 45, 47, 44, 43, 42, 41, 38, 36, 35, 32, 29, 28, 24, 23, 22, 21, 20, 19, 18, 17, 16, 15, 12, 9, 5, 4, 3 y 1 (dentro de estos oficios también se testaron datos que pudieran ser teléfonos y correos )</w:t>
            </w:r>
          </w:p>
        </w:tc>
      </w:tr>
    </w:tbl>
    <w:p w14:paraId="203FDD95" w14:textId="7B430971" w:rsidR="000E1366" w:rsidRPr="00B8145D" w:rsidRDefault="000E1366" w:rsidP="00B8145D">
      <w:pPr>
        <w:pStyle w:val="Prrafodelista"/>
        <w:ind w:left="1440"/>
        <w:rPr>
          <w:rFonts w:eastAsia="Arial Unicode MS" w:cs="Arial"/>
        </w:rPr>
      </w:pPr>
    </w:p>
    <w:p w14:paraId="5825F0C7" w14:textId="4F0AD11A" w:rsidR="000222E5" w:rsidRPr="00B8145D" w:rsidRDefault="000E1366" w:rsidP="00B8145D">
      <w:pPr>
        <w:pStyle w:val="Prrafodelista"/>
        <w:numPr>
          <w:ilvl w:val="0"/>
          <w:numId w:val="17"/>
        </w:numPr>
        <w:rPr>
          <w:rFonts w:eastAsia="Arial Unicode MS" w:cs="Arial"/>
        </w:rPr>
      </w:pPr>
      <w:r w:rsidRPr="00B8145D">
        <w:rPr>
          <w:rFonts w:eastAsia="Arial Unicode MS" w:cs="Arial"/>
        </w:rPr>
        <w:t>RR 2422-2025 DGV ANEXO.pdf</w:t>
      </w:r>
      <w:r w:rsidR="000222E5" w:rsidRPr="00B8145D">
        <w:rPr>
          <w:rFonts w:eastAsia="Arial Unicode MS" w:cs="Arial"/>
        </w:rPr>
        <w:t xml:space="preserve"> Archivo que contiene 541 hojas con diversos oficios emitidos por el Director de Evaluación en el año 2024</w:t>
      </w:r>
    </w:p>
    <w:p w14:paraId="55CE3992" w14:textId="771BF9CD" w:rsidR="000E1366" w:rsidRPr="00B8145D" w:rsidRDefault="000E1366" w:rsidP="00B8145D">
      <w:pPr>
        <w:pStyle w:val="Prrafodelista"/>
        <w:ind w:left="1440"/>
        <w:rPr>
          <w:rFonts w:eastAsia="Arial Unicode MS" w:cs="Arial"/>
        </w:rPr>
      </w:pPr>
    </w:p>
    <w:p w14:paraId="57D11713" w14:textId="5C5EEE69" w:rsidR="002320FD" w:rsidRPr="00B8145D" w:rsidRDefault="000E1366" w:rsidP="00B8145D">
      <w:pPr>
        <w:pStyle w:val="Prrafodelista"/>
        <w:numPr>
          <w:ilvl w:val="0"/>
          <w:numId w:val="17"/>
        </w:numPr>
        <w:rPr>
          <w:rFonts w:eastAsia="Arial Unicode MS" w:cs="Arial"/>
        </w:rPr>
      </w:pPr>
      <w:r w:rsidRPr="00B8145D">
        <w:rPr>
          <w:rFonts w:eastAsia="Arial Unicode MS" w:cs="Arial"/>
        </w:rPr>
        <w:t>RR 2422-2025 DIRECCIÓN E INFORMACIÓN.pdf</w:t>
      </w:r>
      <w:r w:rsidR="002320FD" w:rsidRPr="00B8145D">
        <w:rPr>
          <w:rFonts w:eastAsia="Arial Unicode MS" w:cs="Arial"/>
        </w:rPr>
        <w:t xml:space="preserve"> Archivo que contiene 16 páginas que contiene diversos oficios de la Dirección de Información a manera de ejemplo los siguientes:</w:t>
      </w:r>
    </w:p>
    <w:tbl>
      <w:tblPr>
        <w:tblStyle w:val="Tablaconcuadrcula"/>
        <w:tblW w:w="0" w:type="auto"/>
        <w:tblInd w:w="1440" w:type="dxa"/>
        <w:tblLook w:val="04A0" w:firstRow="1" w:lastRow="0" w:firstColumn="1" w:lastColumn="0" w:noHBand="0" w:noVBand="1"/>
      </w:tblPr>
      <w:tblGrid>
        <w:gridCol w:w="3726"/>
        <w:gridCol w:w="3868"/>
      </w:tblGrid>
      <w:tr w:rsidR="00B8145D" w:rsidRPr="00B8145D" w14:paraId="6A92FFDD" w14:textId="77777777" w:rsidTr="009B2DD0">
        <w:tc>
          <w:tcPr>
            <w:tcW w:w="3726" w:type="dxa"/>
            <w:shd w:val="clear" w:color="auto" w:fill="E8E8E8" w:themeFill="background2"/>
          </w:tcPr>
          <w:p w14:paraId="0B6F2B57" w14:textId="77777777" w:rsidR="002320FD" w:rsidRPr="00B8145D" w:rsidRDefault="002320FD" w:rsidP="00B8145D">
            <w:pPr>
              <w:pStyle w:val="Prrafodelista"/>
              <w:spacing w:line="240" w:lineRule="auto"/>
              <w:ind w:left="0"/>
              <w:jc w:val="center"/>
              <w:rPr>
                <w:rFonts w:eastAsia="Arial Unicode MS" w:cs="Arial"/>
                <w:b/>
              </w:rPr>
            </w:pPr>
            <w:r w:rsidRPr="00B8145D">
              <w:rPr>
                <w:rFonts w:eastAsia="Arial Unicode MS" w:cs="Arial"/>
                <w:b/>
              </w:rPr>
              <w:lastRenderedPageBreak/>
              <w:t>Año</w:t>
            </w:r>
          </w:p>
        </w:tc>
        <w:tc>
          <w:tcPr>
            <w:tcW w:w="3868" w:type="dxa"/>
            <w:shd w:val="clear" w:color="auto" w:fill="E8E8E8" w:themeFill="background2"/>
          </w:tcPr>
          <w:p w14:paraId="42DE709D" w14:textId="77777777" w:rsidR="002320FD" w:rsidRPr="00B8145D" w:rsidRDefault="002320FD" w:rsidP="00B8145D">
            <w:pPr>
              <w:pStyle w:val="Prrafodelista"/>
              <w:spacing w:line="240" w:lineRule="auto"/>
              <w:ind w:left="0"/>
              <w:jc w:val="center"/>
              <w:rPr>
                <w:rFonts w:eastAsia="Arial Unicode MS" w:cs="Arial"/>
                <w:b/>
              </w:rPr>
            </w:pPr>
            <w:r w:rsidRPr="00B8145D">
              <w:rPr>
                <w:rFonts w:eastAsia="Arial Unicode MS" w:cs="Arial"/>
                <w:b/>
              </w:rPr>
              <w:t>Número de oficio</w:t>
            </w:r>
          </w:p>
        </w:tc>
      </w:tr>
      <w:tr w:rsidR="002320FD" w:rsidRPr="00B8145D" w14:paraId="4C3071F2" w14:textId="77777777" w:rsidTr="009B2DD0">
        <w:tc>
          <w:tcPr>
            <w:tcW w:w="3726" w:type="dxa"/>
          </w:tcPr>
          <w:p w14:paraId="246EB068" w14:textId="1C5B8A3F" w:rsidR="002320FD" w:rsidRPr="00B8145D" w:rsidRDefault="002320FD" w:rsidP="00B8145D">
            <w:pPr>
              <w:pStyle w:val="Prrafodelista"/>
              <w:spacing w:line="240" w:lineRule="auto"/>
              <w:ind w:left="0"/>
              <w:rPr>
                <w:rFonts w:eastAsia="Arial Unicode MS" w:cs="Arial"/>
              </w:rPr>
            </w:pPr>
            <w:r w:rsidRPr="00B8145D">
              <w:rPr>
                <w:rFonts w:eastAsia="Arial Unicode MS" w:cs="Arial"/>
              </w:rPr>
              <w:t>2024</w:t>
            </w:r>
          </w:p>
        </w:tc>
        <w:tc>
          <w:tcPr>
            <w:tcW w:w="3868" w:type="dxa"/>
          </w:tcPr>
          <w:p w14:paraId="45724791" w14:textId="1FD18B99" w:rsidR="002320FD" w:rsidRPr="00B8145D" w:rsidRDefault="002320FD" w:rsidP="00B8145D">
            <w:pPr>
              <w:pStyle w:val="Prrafodelista"/>
              <w:spacing w:line="240" w:lineRule="auto"/>
              <w:ind w:left="0"/>
              <w:rPr>
                <w:rFonts w:eastAsia="Arial Unicode MS" w:cs="Arial"/>
              </w:rPr>
            </w:pPr>
            <w:r w:rsidRPr="00B8145D">
              <w:rPr>
                <w:rFonts w:eastAsia="Arial Unicode MS" w:cs="Arial"/>
              </w:rPr>
              <w:t>1, 3, 4, 5, 6, 7, 8, 9, 10, 11, 12, 13, 14 y 15 (dentro de estos oficios también se testaron datos que pudieran ser teléfonos y correos )</w:t>
            </w:r>
          </w:p>
        </w:tc>
      </w:tr>
    </w:tbl>
    <w:p w14:paraId="79903CCF" w14:textId="77777777" w:rsidR="002320FD" w:rsidRPr="00B8145D" w:rsidRDefault="002320FD" w:rsidP="00B8145D">
      <w:pPr>
        <w:rPr>
          <w:rFonts w:eastAsia="Arial Unicode MS" w:cs="Arial"/>
        </w:rPr>
      </w:pPr>
    </w:p>
    <w:p w14:paraId="776E8737" w14:textId="7B2F8D65" w:rsidR="000222E5" w:rsidRPr="00B8145D" w:rsidRDefault="000222E5" w:rsidP="00B8145D">
      <w:pPr>
        <w:rPr>
          <w:rFonts w:eastAsia="Arial Unicode MS" w:cs="Arial"/>
        </w:rPr>
      </w:pPr>
      <w:r w:rsidRPr="00B8145D">
        <w:rPr>
          <w:rFonts w:eastAsia="Arial Unicode MS" w:cs="Arial"/>
        </w:rPr>
        <w:t>Cabe precisar que el archivo</w:t>
      </w:r>
      <w:r w:rsidR="002320FD" w:rsidRPr="00B8145D">
        <w:rPr>
          <w:rFonts w:eastAsia="Arial Unicode MS" w:cs="Arial"/>
        </w:rPr>
        <w:t xml:space="preserve"> en su totalidad</w:t>
      </w:r>
      <w:r w:rsidRPr="00B8145D">
        <w:rPr>
          <w:rFonts w:eastAsia="Arial Unicode MS" w:cs="Arial"/>
        </w:rPr>
        <w:t xml:space="preserve"> no se pudo poner a la vista en razón de que dentro del documento denominado RR 2422-2025 ANEXO UIPPE 2024.pdf se dejaron visibles datos susceptibles de clasificarse como lo es de manera enunciativa mas no limitativa el nombre de una ciudadana en la página 96</w:t>
      </w:r>
      <w:r w:rsidR="002320FD" w:rsidRPr="00B8145D">
        <w:rPr>
          <w:rFonts w:eastAsia="Arial Unicode MS" w:cs="Arial"/>
        </w:rPr>
        <w:t>,</w:t>
      </w:r>
      <w:r w:rsidRPr="00B8145D">
        <w:rPr>
          <w:rFonts w:eastAsia="Arial Unicode MS" w:cs="Arial"/>
        </w:rPr>
        <w:t xml:space="preserve"> </w:t>
      </w:r>
      <w:r w:rsidR="002320FD" w:rsidRPr="00B8145D">
        <w:rPr>
          <w:rFonts w:eastAsia="Arial Unicode MS" w:cs="Arial"/>
        </w:rPr>
        <w:t xml:space="preserve">oficio 20700004S/200-1/2024 </w:t>
      </w:r>
      <w:r w:rsidRPr="00B8145D">
        <w:rPr>
          <w:rFonts w:eastAsia="Arial Unicode MS" w:cs="Arial"/>
        </w:rPr>
        <w:t>de fecha 5 de julio de 2024.</w:t>
      </w:r>
    </w:p>
    <w:p w14:paraId="3F13C0BA" w14:textId="77777777" w:rsidR="000222E5" w:rsidRPr="00B8145D" w:rsidRDefault="000222E5" w:rsidP="00B8145D">
      <w:pPr>
        <w:rPr>
          <w:rFonts w:eastAsia="Arial Unicode MS" w:cs="Arial"/>
        </w:rPr>
      </w:pPr>
    </w:p>
    <w:p w14:paraId="755B7730" w14:textId="5CFAFB27" w:rsidR="00664420" w:rsidRPr="00B8145D" w:rsidRDefault="00B36C00" w:rsidP="00B8145D">
      <w:pPr>
        <w:pStyle w:val="Ttulo3"/>
        <w:rPr>
          <w:lang w:val="es-ES"/>
        </w:rPr>
      </w:pPr>
      <w:bookmarkStart w:id="12" w:name="_Toc197541086"/>
      <w:r w:rsidRPr="00B8145D">
        <w:rPr>
          <w:rFonts w:eastAsia="Calibri"/>
          <w:bCs/>
          <w:lang w:eastAsia="en-US"/>
        </w:rPr>
        <w:t>e</w:t>
      </w:r>
      <w:r w:rsidR="00664420" w:rsidRPr="00B8145D">
        <w:rPr>
          <w:rFonts w:eastAsia="Calibri"/>
          <w:bCs/>
          <w:lang w:eastAsia="en-US"/>
        </w:rPr>
        <w:t>)</w:t>
      </w:r>
      <w:r w:rsidR="00664420" w:rsidRPr="00B8145D">
        <w:t xml:space="preserve"> </w:t>
      </w:r>
      <w:r w:rsidR="00865CF4" w:rsidRPr="00B8145D">
        <w:rPr>
          <w:lang w:val="es-ES"/>
        </w:rPr>
        <w:t>Manifestaciones de la Parte Recurrente</w:t>
      </w:r>
      <w:bookmarkEnd w:id="12"/>
    </w:p>
    <w:p w14:paraId="4E8AF011" w14:textId="77777777" w:rsidR="00865CF4" w:rsidRPr="00B8145D" w:rsidRDefault="00865CF4" w:rsidP="00B8145D">
      <w:pPr>
        <w:rPr>
          <w:rFonts w:eastAsia="Arial Unicode MS" w:cs="Arial"/>
        </w:rPr>
      </w:pPr>
      <w:r w:rsidRPr="00B8145D">
        <w:rPr>
          <w:rFonts w:cs="Tahoma"/>
          <w:b/>
          <w:szCs w:val="24"/>
        </w:rPr>
        <w:t xml:space="preserve">LA PARTE RECURRENTE </w:t>
      </w:r>
      <w:r w:rsidRPr="00B8145D">
        <w:rPr>
          <w:rFonts w:eastAsia="Arial Unicode MS" w:cs="Arial"/>
        </w:rPr>
        <w:t>no realizó manifestación alguna dentro del término legalmente concedido para tal efecto, ni presentó pruebas o alegatos.</w:t>
      </w:r>
    </w:p>
    <w:p w14:paraId="24F87764" w14:textId="532667CF" w:rsidR="00664420" w:rsidRPr="00B8145D" w:rsidRDefault="00664420" w:rsidP="00B8145D">
      <w:pPr>
        <w:rPr>
          <w:rFonts w:cs="Tahoma"/>
          <w:bCs/>
          <w:szCs w:val="24"/>
        </w:rPr>
      </w:pPr>
    </w:p>
    <w:p w14:paraId="7491BF31" w14:textId="37948ED0" w:rsidR="00585A5A" w:rsidRPr="00B8145D" w:rsidRDefault="00585A5A" w:rsidP="00B8145D">
      <w:pPr>
        <w:pStyle w:val="Ttulo3"/>
        <w:rPr>
          <w:rFonts w:eastAsia="Calibri"/>
        </w:rPr>
      </w:pPr>
      <w:bookmarkStart w:id="13" w:name="_Toc195090421"/>
      <w:bookmarkStart w:id="14" w:name="_Toc197541087"/>
      <w:r w:rsidRPr="00B8145D">
        <w:rPr>
          <w:rFonts w:eastAsia="Calibri"/>
        </w:rPr>
        <w:t>f) Ampliación de plazo para resolver el Recurso de Revisión</w:t>
      </w:r>
      <w:bookmarkEnd w:id="13"/>
      <w:bookmarkEnd w:id="14"/>
    </w:p>
    <w:p w14:paraId="1660B59C" w14:textId="18676082" w:rsidR="00585A5A" w:rsidRPr="00B8145D" w:rsidRDefault="00585A5A" w:rsidP="00B8145D">
      <w:pPr>
        <w:tabs>
          <w:tab w:val="left" w:pos="3261"/>
        </w:tabs>
        <w:rPr>
          <w:rFonts w:eastAsia="Calibri" w:cs="Tahoma"/>
          <w:szCs w:val="22"/>
        </w:rPr>
      </w:pPr>
      <w:r w:rsidRPr="00B8145D">
        <w:rPr>
          <w:rFonts w:eastAsia="Calibri" w:cs="Tahoma"/>
          <w:szCs w:val="22"/>
        </w:rPr>
        <w:t xml:space="preserve">Con fundamento en lo dispuesto en el artículo 181, párrafo tercero, de la Ley de Transparencia y Acceso a la Información Pública del Estado de México y Municipios, </w:t>
      </w:r>
      <w:r w:rsidRPr="00B8145D">
        <w:rPr>
          <w:rFonts w:eastAsia="Calibri" w:cs="Tahoma"/>
          <w:b/>
          <w:bCs/>
          <w:szCs w:val="22"/>
        </w:rPr>
        <w:t xml:space="preserve">el veintinueve de abril de dos mil veinticinco </w:t>
      </w:r>
      <w:r w:rsidRPr="00B8145D">
        <w:rPr>
          <w:rFonts w:eastAsia="Calibri" w:cs="Tahoma"/>
          <w:szCs w:val="22"/>
        </w:rPr>
        <w:t>se acordó ampliar por un periodo razonable el plazo para resolver el presente Recurso de Revisión.</w:t>
      </w:r>
    </w:p>
    <w:p w14:paraId="4A30F735" w14:textId="77777777" w:rsidR="00585A5A" w:rsidRPr="00B8145D" w:rsidRDefault="00585A5A" w:rsidP="00B8145D">
      <w:pPr>
        <w:rPr>
          <w:rFonts w:cs="Tahoma"/>
          <w:bCs/>
          <w:szCs w:val="24"/>
        </w:rPr>
      </w:pPr>
    </w:p>
    <w:p w14:paraId="0E651988" w14:textId="4690EA69" w:rsidR="00664420" w:rsidRPr="00B8145D" w:rsidRDefault="00585A5A" w:rsidP="00B8145D">
      <w:pPr>
        <w:pStyle w:val="Ttulo3"/>
      </w:pPr>
      <w:bookmarkStart w:id="15" w:name="_Toc197541088"/>
      <w:r w:rsidRPr="00B8145D">
        <w:t>g</w:t>
      </w:r>
      <w:r w:rsidR="00664420" w:rsidRPr="00B8145D">
        <w:t>) Cierre de instrucción</w:t>
      </w:r>
      <w:bookmarkEnd w:id="15"/>
    </w:p>
    <w:p w14:paraId="79AF95DC" w14:textId="5521BFE5" w:rsidR="00664420" w:rsidRPr="00B8145D" w:rsidRDefault="00BF091A" w:rsidP="00B8145D">
      <w:r w:rsidRPr="00B8145D">
        <w:rPr>
          <w:rFonts w:cs="Tahoma"/>
          <w:szCs w:val="22"/>
        </w:rPr>
        <w:t>Al no existir diligencias pendientes por desahogar</w:t>
      </w:r>
      <w:r w:rsidRPr="00B8145D">
        <w:rPr>
          <w:rFonts w:cs="Arial"/>
        </w:rPr>
        <w:t xml:space="preserve">, el </w:t>
      </w:r>
      <w:r w:rsidR="00585A5A" w:rsidRPr="00B8145D">
        <w:rPr>
          <w:rFonts w:eastAsia="Calibri" w:cs="Tahoma"/>
          <w:b/>
          <w:bCs/>
          <w:szCs w:val="22"/>
        </w:rPr>
        <w:t xml:space="preserve">veintinueve de abril de dos mil veinticinco </w:t>
      </w:r>
      <w:r w:rsidRPr="00B8145D">
        <w:rPr>
          <w:rFonts w:cs="Arial"/>
        </w:rPr>
        <w:t xml:space="preserve">la </w:t>
      </w:r>
      <w:r w:rsidRPr="00B8145D">
        <w:rPr>
          <w:rFonts w:cs="Arial"/>
          <w:b/>
          <w:bCs/>
        </w:rPr>
        <w:t xml:space="preserve">Comisionada </w:t>
      </w:r>
      <w:r w:rsidRPr="00B8145D">
        <w:rPr>
          <w:b/>
        </w:rPr>
        <w:t xml:space="preserve">Sharon Cristina Morales Martínez </w:t>
      </w:r>
      <w:r w:rsidRPr="00B8145D">
        <w:rPr>
          <w:rFonts w:cs="Arial"/>
        </w:rPr>
        <w:t>acordó el cierre de instrucción</w:t>
      </w:r>
      <w:r w:rsidR="0011350D" w:rsidRPr="00B8145D">
        <w:rPr>
          <w:rFonts w:cs="Arial"/>
        </w:rPr>
        <w:t xml:space="preserve"> y</w:t>
      </w:r>
      <w:r w:rsidRPr="00B8145D">
        <w:rPr>
          <w:rFonts w:cs="Arial"/>
        </w:rPr>
        <w:t xml:space="preserve"> </w:t>
      </w:r>
      <w:r w:rsidR="0011350D" w:rsidRPr="00B8145D">
        <w:rPr>
          <w:rFonts w:cs="Arial"/>
        </w:rPr>
        <w:t xml:space="preserve">la </w:t>
      </w:r>
      <w:r w:rsidRPr="00B8145D">
        <w:rPr>
          <w:rFonts w:cs="Arial"/>
        </w:rPr>
        <w:t xml:space="preserve">remisión del expediente a efecto de ser resuelto, de conformidad con lo establecido en el artículo 185 fracciones VI y VIII de la Ley de Transparencia y Acceso a la Información Pública </w:t>
      </w:r>
      <w:r w:rsidRPr="00B8145D">
        <w:rPr>
          <w:rFonts w:cs="Arial"/>
        </w:rPr>
        <w:lastRenderedPageBreak/>
        <w:t>del Estado de México y Municipios</w:t>
      </w:r>
      <w:r w:rsidRPr="00B8145D">
        <w:t>.</w:t>
      </w:r>
      <w:r w:rsidR="0011350D" w:rsidRPr="00B8145D">
        <w:t xml:space="preserve"> Dicho acuerdo </w:t>
      </w:r>
      <w:r w:rsidR="00664420" w:rsidRPr="00B8145D">
        <w:rPr>
          <w:rFonts w:cs="Tahoma"/>
          <w:szCs w:val="22"/>
        </w:rPr>
        <w:t xml:space="preserve">fue notificado a las partes el mismo día a través del </w:t>
      </w:r>
      <w:r w:rsidR="00664420" w:rsidRPr="00B8145D">
        <w:rPr>
          <w:rFonts w:cs="Tahoma"/>
          <w:szCs w:val="22"/>
          <w:lang w:val="es-ES"/>
        </w:rPr>
        <w:t>SAIMEX</w:t>
      </w:r>
      <w:r w:rsidR="00664420" w:rsidRPr="00B8145D">
        <w:rPr>
          <w:rFonts w:cs="Tahoma"/>
          <w:szCs w:val="22"/>
        </w:rPr>
        <w:t>.</w:t>
      </w:r>
    </w:p>
    <w:p w14:paraId="741683E3" w14:textId="77777777" w:rsidR="0011350D" w:rsidRPr="00B8145D" w:rsidRDefault="0011350D" w:rsidP="00B8145D">
      <w:pPr>
        <w:rPr>
          <w:rFonts w:cs="Tahoma"/>
          <w:szCs w:val="22"/>
        </w:rPr>
      </w:pPr>
    </w:p>
    <w:p w14:paraId="7A9629DE" w14:textId="77777777" w:rsidR="00664420" w:rsidRPr="00B8145D" w:rsidRDefault="00664420" w:rsidP="00B8145D">
      <w:pPr>
        <w:pStyle w:val="Ttulo1"/>
        <w:rPr>
          <w:rFonts w:eastAsiaTheme="minorHAnsi"/>
          <w:lang w:eastAsia="en-US"/>
        </w:rPr>
      </w:pPr>
      <w:bookmarkStart w:id="16" w:name="_Toc197541089"/>
      <w:r w:rsidRPr="00B8145D">
        <w:rPr>
          <w:rFonts w:eastAsiaTheme="minorHAnsi"/>
          <w:lang w:eastAsia="en-US"/>
        </w:rPr>
        <w:t>CONSIDERANDOS</w:t>
      </w:r>
      <w:bookmarkEnd w:id="16"/>
    </w:p>
    <w:p w14:paraId="6DD1243B" w14:textId="77777777" w:rsidR="00664420" w:rsidRPr="00B8145D" w:rsidRDefault="00664420" w:rsidP="00B8145D">
      <w:pPr>
        <w:contextualSpacing/>
        <w:jc w:val="center"/>
        <w:rPr>
          <w:rFonts w:eastAsiaTheme="minorHAnsi" w:cs="Tahoma"/>
          <w:b/>
          <w:szCs w:val="22"/>
          <w:lang w:eastAsia="en-US"/>
        </w:rPr>
      </w:pPr>
    </w:p>
    <w:p w14:paraId="0B67CB92" w14:textId="2E307D3B" w:rsidR="00664420" w:rsidRPr="00B8145D" w:rsidRDefault="00664420" w:rsidP="00B8145D">
      <w:pPr>
        <w:pStyle w:val="Ttulo2"/>
        <w:rPr>
          <w:rFonts w:eastAsia="Batang"/>
        </w:rPr>
      </w:pPr>
      <w:bookmarkStart w:id="17" w:name="_Toc197541090"/>
      <w:r w:rsidRPr="00B8145D">
        <w:rPr>
          <w:rFonts w:eastAsia="Batang"/>
        </w:rPr>
        <w:t xml:space="preserve">PRIMERO. </w:t>
      </w:r>
      <w:proofErr w:type="spellStart"/>
      <w:r w:rsidR="00BA55A8" w:rsidRPr="00B8145D">
        <w:rPr>
          <w:rFonts w:eastAsia="Batang"/>
        </w:rPr>
        <w:t>Procedibilidad</w:t>
      </w:r>
      <w:bookmarkEnd w:id="17"/>
      <w:proofErr w:type="spellEnd"/>
    </w:p>
    <w:p w14:paraId="39C52BC1" w14:textId="56FCC20D" w:rsidR="00BA55A8" w:rsidRPr="00B8145D" w:rsidRDefault="00BA55A8" w:rsidP="00B8145D">
      <w:pPr>
        <w:pStyle w:val="Ttulo3"/>
      </w:pPr>
      <w:bookmarkStart w:id="18" w:name="_Toc197541091"/>
      <w:r w:rsidRPr="00B8145D">
        <w:t>a) Competencia</w:t>
      </w:r>
      <w:r w:rsidR="00150C49" w:rsidRPr="00B8145D">
        <w:t xml:space="preserve"> del Instituto</w:t>
      </w:r>
      <w:bookmarkEnd w:id="18"/>
    </w:p>
    <w:p w14:paraId="2A13897F" w14:textId="77777777" w:rsidR="005921A0" w:rsidRPr="00B8145D" w:rsidRDefault="005921A0" w:rsidP="00B8145D">
      <w:pPr>
        <w:rPr>
          <w:rFonts w:cs="Arial"/>
        </w:rPr>
      </w:pPr>
      <w:r w:rsidRPr="00B8145D">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8145D">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B8145D" w:rsidRDefault="00DB1C09" w:rsidP="00B8145D">
      <w:pPr>
        <w:rPr>
          <w:rFonts w:cs="Arial"/>
        </w:rPr>
      </w:pPr>
    </w:p>
    <w:p w14:paraId="517A2DD6" w14:textId="4169BE4D" w:rsidR="00664420" w:rsidRPr="00B8145D" w:rsidRDefault="00BA55A8" w:rsidP="00B8145D">
      <w:pPr>
        <w:pStyle w:val="Ttulo3"/>
      </w:pPr>
      <w:bookmarkStart w:id="19" w:name="_Toc197541092"/>
      <w:r w:rsidRPr="00B8145D">
        <w:t>b)</w:t>
      </w:r>
      <w:r w:rsidR="00664420" w:rsidRPr="00B8145D">
        <w:t xml:space="preserve"> </w:t>
      </w:r>
      <w:r w:rsidR="00D91CB4" w:rsidRPr="00B8145D">
        <w:t>Legitimidad</w:t>
      </w:r>
      <w:r w:rsidRPr="00B8145D">
        <w:t xml:space="preserve"> de la parte recurrente</w:t>
      </w:r>
      <w:bookmarkEnd w:id="19"/>
    </w:p>
    <w:p w14:paraId="26FEA382" w14:textId="0B06695C" w:rsidR="00D91CB4" w:rsidRPr="00B8145D" w:rsidRDefault="00D91CB4" w:rsidP="00B8145D">
      <w:pPr>
        <w:rPr>
          <w:rFonts w:cs="Arial"/>
          <w:bCs/>
        </w:rPr>
      </w:pPr>
      <w:r w:rsidRPr="00B8145D">
        <w:rPr>
          <w:rFonts w:cs="Arial"/>
          <w:bCs/>
        </w:rPr>
        <w:t>El recurso de revisión fue interpuesto por parte legítima, ya que se presentó por la misma persona que formuló la solicitud de acceso a la Información Pública,</w:t>
      </w:r>
      <w:r w:rsidRPr="00B8145D">
        <w:rPr>
          <w:rFonts w:cs="Arial"/>
          <w:b/>
          <w:bCs/>
        </w:rPr>
        <w:t xml:space="preserve"> </w:t>
      </w:r>
      <w:r w:rsidRPr="00B8145D">
        <w:rPr>
          <w:rFonts w:cs="Arial"/>
        </w:rPr>
        <w:t>debido a que los datos de acceso</w:t>
      </w:r>
      <w:r w:rsidRPr="00B8145D">
        <w:rPr>
          <w:rFonts w:cs="Arial"/>
          <w:b/>
          <w:bCs/>
        </w:rPr>
        <w:t xml:space="preserve"> </w:t>
      </w:r>
      <w:r w:rsidRPr="00B8145D">
        <w:rPr>
          <w:rFonts w:cs="Arial"/>
        </w:rPr>
        <w:t>SAIMEX</w:t>
      </w:r>
      <w:r w:rsidRPr="00B8145D">
        <w:rPr>
          <w:rFonts w:eastAsia="Calibri" w:cs="Arial"/>
          <w:lang w:eastAsia="en-US"/>
        </w:rPr>
        <w:t xml:space="preserve"> son personales e irrepetibles.</w:t>
      </w:r>
    </w:p>
    <w:p w14:paraId="2C367810" w14:textId="77777777" w:rsidR="00D91CB4" w:rsidRPr="00B8145D" w:rsidRDefault="00D91CB4" w:rsidP="00B8145D"/>
    <w:p w14:paraId="496490FC" w14:textId="1A5F3FDB" w:rsidR="00D91CB4" w:rsidRPr="00B8145D" w:rsidRDefault="00BA55A8" w:rsidP="00B8145D">
      <w:pPr>
        <w:pStyle w:val="Ttulo3"/>
        <w:rPr>
          <w:rFonts w:eastAsia="Calibri"/>
          <w:lang w:eastAsia="es-ES_tradnl"/>
        </w:rPr>
      </w:pPr>
      <w:bookmarkStart w:id="20" w:name="_Toc197541093"/>
      <w:r w:rsidRPr="00B8145D">
        <w:rPr>
          <w:rFonts w:eastAsia="Calibri"/>
          <w:lang w:eastAsia="es-ES_tradnl"/>
        </w:rPr>
        <w:lastRenderedPageBreak/>
        <w:t>c)</w:t>
      </w:r>
      <w:r w:rsidR="00664420" w:rsidRPr="00B8145D">
        <w:rPr>
          <w:rFonts w:eastAsia="Calibri"/>
          <w:lang w:eastAsia="es-ES_tradnl"/>
        </w:rPr>
        <w:t xml:space="preserve"> </w:t>
      </w:r>
      <w:r w:rsidR="00D91CB4" w:rsidRPr="00B8145D">
        <w:rPr>
          <w:rFonts w:eastAsia="Calibri"/>
          <w:lang w:eastAsia="es-ES_tradnl"/>
        </w:rPr>
        <w:t>Plazo para interponer el recurso</w:t>
      </w:r>
      <w:bookmarkEnd w:id="20"/>
    </w:p>
    <w:p w14:paraId="106D37EE" w14:textId="3B46DC98" w:rsidR="00D91CB4" w:rsidRPr="00B8145D" w:rsidRDefault="00D91CB4" w:rsidP="00B8145D">
      <w:pPr>
        <w:rPr>
          <w:rFonts w:eastAsiaTheme="minorEastAsia" w:cs="Arial"/>
          <w:lang w:val="es-ES_tradnl"/>
        </w:rPr>
      </w:pPr>
      <w:r w:rsidRPr="00B8145D">
        <w:rPr>
          <w:rFonts w:cs="Arial"/>
          <w:b/>
        </w:rPr>
        <w:t>EL SUJETO OBLIGADO</w:t>
      </w:r>
      <w:r w:rsidRPr="00B8145D">
        <w:rPr>
          <w:rFonts w:cs="Arial"/>
        </w:rPr>
        <w:t xml:space="preserve"> notificó la respuesta a la solicitud de acceso a la Información Pública el </w:t>
      </w:r>
      <w:r w:rsidR="00585A5A" w:rsidRPr="00B8145D">
        <w:rPr>
          <w:rFonts w:eastAsia="Palatino Linotype" w:cs="Palatino Linotype"/>
          <w:b/>
        </w:rPr>
        <w:t>veintisiete</w:t>
      </w:r>
      <w:r w:rsidRPr="00B8145D">
        <w:rPr>
          <w:rFonts w:eastAsia="Palatino Linotype" w:cs="Palatino Linotype"/>
          <w:b/>
        </w:rPr>
        <w:t xml:space="preserve"> de </w:t>
      </w:r>
      <w:r w:rsidR="00585A5A" w:rsidRPr="00B8145D">
        <w:rPr>
          <w:rFonts w:eastAsia="Palatino Linotype" w:cs="Palatino Linotype"/>
          <w:b/>
        </w:rPr>
        <w:t xml:space="preserve">febrero </w:t>
      </w:r>
      <w:r w:rsidRPr="00B8145D">
        <w:rPr>
          <w:rFonts w:eastAsia="Palatino Linotype" w:cs="Palatino Linotype"/>
          <w:b/>
        </w:rPr>
        <w:t xml:space="preserve">de dos mil </w:t>
      </w:r>
      <w:r w:rsidR="00157CE1" w:rsidRPr="00B8145D">
        <w:rPr>
          <w:rFonts w:eastAsia="Palatino Linotype" w:cs="Palatino Linotype"/>
          <w:b/>
        </w:rPr>
        <w:t xml:space="preserve">veinticinco </w:t>
      </w:r>
      <w:r w:rsidR="00A53315" w:rsidRPr="00B8145D">
        <w:rPr>
          <w:rFonts w:cs="Arial"/>
        </w:rPr>
        <w:t xml:space="preserve">y el recurso </w:t>
      </w:r>
      <w:r w:rsidR="00A53315" w:rsidRPr="00B8145D">
        <w:rPr>
          <w:rFonts w:eastAsia="Palatino Linotype" w:cs="Palatino Linotype"/>
        </w:rPr>
        <w:t xml:space="preserve">que nos ocupa se interpuso el </w:t>
      </w:r>
      <w:r w:rsidR="00585A5A" w:rsidRPr="00B8145D">
        <w:rPr>
          <w:rFonts w:eastAsia="Palatino Linotype" w:cs="Palatino Linotype"/>
          <w:b/>
        </w:rPr>
        <w:t>tres</w:t>
      </w:r>
      <w:r w:rsidR="00A53315" w:rsidRPr="00B8145D">
        <w:rPr>
          <w:rFonts w:eastAsia="Palatino Linotype" w:cs="Palatino Linotype"/>
          <w:b/>
        </w:rPr>
        <w:t xml:space="preserve"> de </w:t>
      </w:r>
      <w:r w:rsidR="00585A5A" w:rsidRPr="00B8145D">
        <w:rPr>
          <w:rFonts w:eastAsia="Palatino Linotype" w:cs="Palatino Linotype"/>
          <w:b/>
        </w:rPr>
        <w:t>marzo</w:t>
      </w:r>
      <w:r w:rsidR="00A53315" w:rsidRPr="00B8145D">
        <w:rPr>
          <w:rFonts w:eastAsia="Palatino Linotype" w:cs="Palatino Linotype"/>
          <w:b/>
        </w:rPr>
        <w:t xml:space="preserve"> de dos mil </w:t>
      </w:r>
      <w:r w:rsidR="00157CE1" w:rsidRPr="00B8145D">
        <w:rPr>
          <w:rFonts w:eastAsia="Palatino Linotype" w:cs="Palatino Linotype"/>
          <w:b/>
        </w:rPr>
        <w:t>veinticinco</w:t>
      </w:r>
      <w:r w:rsidR="00A53315" w:rsidRPr="00B8145D">
        <w:rPr>
          <w:rFonts w:eastAsia="Palatino Linotype" w:cs="Palatino Linotype"/>
          <w:bCs/>
        </w:rPr>
        <w:t>;</w:t>
      </w:r>
      <w:r w:rsidR="00A53315" w:rsidRPr="00B8145D">
        <w:rPr>
          <w:rFonts w:eastAsia="Palatino Linotype" w:cs="Palatino Linotype"/>
        </w:rPr>
        <w:t xml:space="preserve"> por lo tanto, éste se encuentra dentro del margen temporal previsto en el artículo 178 de la </w:t>
      </w:r>
      <w:r w:rsidR="00A53315" w:rsidRPr="00B8145D">
        <w:rPr>
          <w:rFonts w:cs="Arial"/>
        </w:rPr>
        <w:t>Ley de Transparencia y Acceso a la Información Pública del Estado de México y Municipios</w:t>
      </w:r>
      <w:r w:rsidR="00163D12" w:rsidRPr="00B8145D">
        <w:rPr>
          <w:rFonts w:cs="Arial"/>
        </w:rPr>
        <w:t>.</w:t>
      </w:r>
    </w:p>
    <w:p w14:paraId="49076992" w14:textId="77777777" w:rsidR="00D91CB4" w:rsidRPr="00B8145D" w:rsidRDefault="00D91CB4" w:rsidP="00B8145D">
      <w:pPr>
        <w:rPr>
          <w:rFonts w:eastAsia="Palatino Linotype" w:cs="Palatino Linotype"/>
        </w:rPr>
      </w:pPr>
    </w:p>
    <w:p w14:paraId="46C0EB3A" w14:textId="15F1A919" w:rsidR="00A53315" w:rsidRPr="00B8145D" w:rsidRDefault="00BA55A8" w:rsidP="00B8145D">
      <w:pPr>
        <w:pStyle w:val="Ttulo3"/>
        <w:rPr>
          <w:rFonts w:eastAsia="Calibri"/>
          <w:lang w:eastAsia="es-ES_tradnl"/>
        </w:rPr>
      </w:pPr>
      <w:bookmarkStart w:id="21" w:name="_Toc197541094"/>
      <w:r w:rsidRPr="00B8145D">
        <w:rPr>
          <w:rFonts w:eastAsia="Calibri"/>
          <w:lang w:eastAsia="es-ES_tradnl"/>
        </w:rPr>
        <w:t>d)</w:t>
      </w:r>
      <w:r w:rsidR="00D91CB4" w:rsidRPr="00B8145D">
        <w:rPr>
          <w:rFonts w:eastAsia="Calibri"/>
          <w:lang w:eastAsia="es-ES_tradnl"/>
        </w:rPr>
        <w:t xml:space="preserve"> </w:t>
      </w:r>
      <w:r w:rsidR="009A0277" w:rsidRPr="00B8145D">
        <w:rPr>
          <w:rFonts w:eastAsia="Calibri"/>
          <w:lang w:eastAsia="es-ES_tradnl"/>
        </w:rPr>
        <w:t>Causal de Procedencia</w:t>
      </w:r>
      <w:bookmarkEnd w:id="21"/>
    </w:p>
    <w:p w14:paraId="190404A6" w14:textId="2AD43DEA" w:rsidR="00BA55A8" w:rsidRPr="00B8145D" w:rsidRDefault="00BA55A8" w:rsidP="00B8145D">
      <w:r w:rsidRPr="00B8145D">
        <w:rPr>
          <w:rFonts w:cs="Arial"/>
        </w:rPr>
        <w:t xml:space="preserve">Resulta procedente la interposición del recurso de revisión, ya que </w:t>
      </w:r>
      <w:r w:rsidRPr="00B8145D">
        <w:rPr>
          <w:rFonts w:eastAsia="Calibri" w:cs="Tahoma"/>
          <w:szCs w:val="22"/>
          <w:lang w:eastAsia="es-MX"/>
        </w:rPr>
        <w:t xml:space="preserve">se actualiza la causal de procedencia señalada en el artículo 179, fracción </w:t>
      </w:r>
      <w:r w:rsidR="00157CE1" w:rsidRPr="00B8145D">
        <w:rPr>
          <w:rFonts w:eastAsia="Calibri" w:cs="Tahoma"/>
          <w:szCs w:val="22"/>
          <w:lang w:eastAsia="es-MX"/>
        </w:rPr>
        <w:t>V</w:t>
      </w:r>
      <w:r w:rsidRPr="00B8145D">
        <w:rPr>
          <w:rFonts w:cs="Arial"/>
        </w:rPr>
        <w:t xml:space="preserve"> de la </w:t>
      </w:r>
      <w:r w:rsidRPr="00B8145D">
        <w:t>Ley de Transparencia y Acceso a la Información Pública del Estado de México y Municipios.</w:t>
      </w:r>
    </w:p>
    <w:p w14:paraId="0EFF7141" w14:textId="77777777" w:rsidR="00362A11" w:rsidRPr="00B8145D" w:rsidRDefault="00362A11" w:rsidP="00B8145D"/>
    <w:p w14:paraId="2284D7EB" w14:textId="3EE1D036" w:rsidR="00BA55A8" w:rsidRPr="00B8145D" w:rsidRDefault="00362A11" w:rsidP="00B8145D">
      <w:pPr>
        <w:pStyle w:val="Ttulo3"/>
      </w:pPr>
      <w:bookmarkStart w:id="22" w:name="_Toc197541095"/>
      <w:r w:rsidRPr="00B8145D">
        <w:t>e) Requisitos formales para la interposición del recurso</w:t>
      </w:r>
      <w:bookmarkEnd w:id="22"/>
    </w:p>
    <w:p w14:paraId="6390674A" w14:textId="78A894DD" w:rsidR="00BA55A8" w:rsidRPr="00B8145D" w:rsidRDefault="00BA55A8" w:rsidP="00B8145D">
      <w:pPr>
        <w:rPr>
          <w:rFonts w:cs="Arial"/>
        </w:rPr>
      </w:pPr>
      <w:r w:rsidRPr="00B8145D">
        <w:rPr>
          <w:rFonts w:cs="Arial"/>
          <w:b/>
          <w:bCs/>
        </w:rPr>
        <w:t xml:space="preserve">LA PARTE RECURRENTE </w:t>
      </w:r>
      <w:r w:rsidRPr="00B8145D">
        <w:rPr>
          <w:rFonts w:cs="Arial"/>
        </w:rPr>
        <w:t>acreditó todos y cada uno de los elementos formales exigidos por el artículo 180 de la misma normatividad.</w:t>
      </w:r>
    </w:p>
    <w:p w14:paraId="20BDA7EE" w14:textId="77777777" w:rsidR="005F5301" w:rsidRPr="00B8145D" w:rsidRDefault="005F5301" w:rsidP="00B8145D">
      <w:pPr>
        <w:rPr>
          <w:rFonts w:cs="Arial"/>
        </w:rPr>
      </w:pPr>
    </w:p>
    <w:p w14:paraId="1E5C9B96" w14:textId="77777777" w:rsidR="005F5301" w:rsidRPr="00B8145D" w:rsidRDefault="005F5301" w:rsidP="00B8145D">
      <w:pPr>
        <w:rPr>
          <w:rFonts w:cs="Arial"/>
          <w:sz w:val="24"/>
          <w:szCs w:val="24"/>
          <w:lang w:val="es-ES"/>
        </w:rPr>
      </w:pPr>
      <w:r w:rsidRPr="00B8145D">
        <w:rPr>
          <w:sz w:val="24"/>
          <w:szCs w:val="24"/>
          <w:lang w:val="es-ES"/>
        </w:rPr>
        <w:t xml:space="preserve">Es importante mencionar que, de la revisión del expediente electrónico del </w:t>
      </w:r>
      <w:r w:rsidRPr="00B8145D">
        <w:rPr>
          <w:bCs/>
          <w:sz w:val="24"/>
          <w:szCs w:val="24"/>
          <w:lang w:val="es-ES"/>
        </w:rPr>
        <w:t>SAIMEX,</w:t>
      </w:r>
      <w:r w:rsidRPr="00B8145D">
        <w:rPr>
          <w:sz w:val="24"/>
          <w:szCs w:val="24"/>
          <w:lang w:val="es-ES"/>
        </w:rPr>
        <w:t xml:space="preserve"> se observa que </w:t>
      </w:r>
      <w:r w:rsidRPr="00B8145D">
        <w:rPr>
          <w:b/>
          <w:bCs/>
          <w:sz w:val="24"/>
          <w:szCs w:val="24"/>
          <w:lang w:val="es-ES"/>
        </w:rPr>
        <w:t>LA PARTE RECURRENTE</w:t>
      </w:r>
      <w:r w:rsidRPr="00B8145D">
        <w:rPr>
          <w:sz w:val="24"/>
          <w:szCs w:val="24"/>
          <w:lang w:val="es-ES"/>
        </w:rPr>
        <w:t xml:space="preserve"> no proporcionó su nombre para ser identificado, lo que en estricto sentido provoca que </w:t>
      </w:r>
      <w:r w:rsidRPr="00B8145D">
        <w:rPr>
          <w:rFonts w:cs="Arial"/>
          <w:sz w:val="24"/>
          <w:szCs w:val="24"/>
          <w:lang w:val="es-ES"/>
        </w:rPr>
        <w:t>no</w:t>
      </w:r>
      <w:r w:rsidRPr="00B8145D">
        <w:rPr>
          <w:sz w:val="24"/>
          <w:szCs w:val="24"/>
          <w:lang w:val="es-ES"/>
        </w:rPr>
        <w:t xml:space="preserve"> se colmen los requisitos establecidos en el artículo 180 de la Ley de Transparencia; sin embargo, el artículo 15 de </w:t>
      </w:r>
      <w:r w:rsidRPr="00B8145D">
        <w:rPr>
          <w:rFonts w:cs="Arial"/>
          <w:sz w:val="24"/>
          <w:szCs w:val="24"/>
          <w:lang w:val="es-ES" w:eastAsia="es-MX"/>
        </w:rPr>
        <w:t xml:space="preserve">Ley de Transparencia y Acceso a la </w:t>
      </w:r>
      <w:r w:rsidRPr="00B8145D">
        <w:rPr>
          <w:rFonts w:cs="Arial"/>
          <w:sz w:val="24"/>
          <w:szCs w:val="24"/>
          <w:lang w:val="es-ES"/>
        </w:rPr>
        <w:t>Información</w:t>
      </w:r>
      <w:r w:rsidRPr="00B8145D">
        <w:rPr>
          <w:rFonts w:cs="Arial"/>
          <w:sz w:val="24"/>
          <w:szCs w:val="24"/>
          <w:lang w:val="es-ES" w:eastAsia="es-MX"/>
        </w:rPr>
        <w:t xml:space="preserve"> Pública del Estado de México y Municipios </w:t>
      </w:r>
      <w:r w:rsidRPr="00B8145D">
        <w:rPr>
          <w:rFonts w:cs="Arial"/>
          <w:iCs/>
          <w:sz w:val="24"/>
          <w:szCs w:val="24"/>
          <w:lang w:val="es-ES"/>
        </w:rPr>
        <w:t xml:space="preserve">prevé que </w:t>
      </w:r>
      <w:r w:rsidRPr="00B8145D">
        <w:rPr>
          <w:sz w:val="24"/>
          <w:szCs w:val="24"/>
          <w:lang w:val="es-ES"/>
        </w:rPr>
        <w:t xml:space="preserve">toda persona tendrá acceso a la información </w:t>
      </w:r>
      <w:r w:rsidRPr="00B8145D">
        <w:rPr>
          <w:rFonts w:cs="Arial"/>
          <w:sz w:val="24"/>
          <w:szCs w:val="24"/>
          <w:lang w:val="es-ES"/>
        </w:rPr>
        <w:t xml:space="preserve">sin necesidad de acreditar interés alguno o justificar su utilización, de lo que se infiere que </w:t>
      </w:r>
      <w:r w:rsidRPr="00B8145D">
        <w:rPr>
          <w:rFonts w:cs="Arial"/>
          <w:b/>
          <w:sz w:val="24"/>
          <w:szCs w:val="24"/>
          <w:u w:val="single"/>
          <w:lang w:val="es-ES"/>
        </w:rPr>
        <w:t xml:space="preserve">el nombre </w:t>
      </w:r>
      <w:r w:rsidRPr="00B8145D">
        <w:rPr>
          <w:rFonts w:cs="Arial"/>
          <w:b/>
          <w:sz w:val="24"/>
          <w:szCs w:val="24"/>
          <w:u w:val="single"/>
          <w:lang w:val="es-ES"/>
        </w:rPr>
        <w:lastRenderedPageBreak/>
        <w:t xml:space="preserve">no es un requisito </w:t>
      </w:r>
      <w:r w:rsidRPr="00B8145D">
        <w:rPr>
          <w:rFonts w:cs="Arial"/>
          <w:b/>
          <w:iCs/>
          <w:sz w:val="24"/>
          <w:szCs w:val="24"/>
          <w:u w:val="single"/>
          <w:lang w:val="es-ES"/>
        </w:rPr>
        <w:t>indispensable</w:t>
      </w:r>
      <w:r w:rsidRPr="00B8145D">
        <w:rPr>
          <w:rFonts w:cs="Arial"/>
          <w:sz w:val="24"/>
          <w:szCs w:val="24"/>
          <w:lang w:val="es-ES"/>
        </w:rPr>
        <w:t xml:space="preserve"> para que las y los ciudadanos ejerzan el derecho de acceso a la información pública. </w:t>
      </w:r>
    </w:p>
    <w:p w14:paraId="0DBCFA60" w14:textId="77777777" w:rsidR="005F5301" w:rsidRPr="00B8145D" w:rsidRDefault="005F5301" w:rsidP="00B8145D">
      <w:pPr>
        <w:rPr>
          <w:rFonts w:cs="Arial"/>
          <w:sz w:val="24"/>
          <w:szCs w:val="24"/>
          <w:lang w:val="es-ES"/>
        </w:rPr>
      </w:pPr>
    </w:p>
    <w:p w14:paraId="4B63C5CE" w14:textId="647DDEF6" w:rsidR="005F5301" w:rsidRPr="00B8145D" w:rsidRDefault="005F5301" w:rsidP="00B8145D">
      <w:pPr>
        <w:rPr>
          <w:sz w:val="24"/>
          <w:szCs w:val="24"/>
          <w:lang w:val="es-ES"/>
        </w:rPr>
      </w:pPr>
      <w:r w:rsidRPr="00B8145D">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B8145D">
        <w:rPr>
          <w:sz w:val="24"/>
          <w:szCs w:val="24"/>
          <w:lang w:val="es-ES"/>
        </w:rPr>
        <w:t xml:space="preserve"> </w:t>
      </w:r>
      <w:r w:rsidRPr="00B8145D">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B8145D">
        <w:rPr>
          <w:sz w:val="24"/>
          <w:szCs w:val="24"/>
          <w:lang w:val="es-ES"/>
        </w:rPr>
        <w:t>algunos</w:t>
      </w:r>
      <w:r w:rsidRPr="00B8145D">
        <w:rPr>
          <w:sz w:val="24"/>
          <w:szCs w:val="24"/>
          <w:lang w:val="es-ES"/>
        </w:rPr>
        <w:t xml:space="preserve"> requisitos, entre ellos, el nombre de</w:t>
      </w:r>
      <w:r w:rsidR="00057B2D" w:rsidRPr="00B8145D">
        <w:rPr>
          <w:sz w:val="24"/>
          <w:szCs w:val="24"/>
          <w:lang w:val="es-ES"/>
        </w:rPr>
        <w:t xml:space="preserve"> </w:t>
      </w:r>
      <w:r w:rsidR="00057B2D" w:rsidRPr="00B8145D">
        <w:rPr>
          <w:b/>
          <w:bCs/>
          <w:sz w:val="24"/>
          <w:szCs w:val="24"/>
          <w:lang w:val="es-ES"/>
        </w:rPr>
        <w:t>LA PARTE RECURRENTE</w:t>
      </w:r>
      <w:r w:rsidRPr="00B8145D">
        <w:rPr>
          <w:rFonts w:cs="Arial"/>
          <w:b/>
          <w:sz w:val="24"/>
          <w:szCs w:val="24"/>
          <w:lang w:val="es-ES"/>
        </w:rPr>
        <w:t>;</w:t>
      </w:r>
      <w:r w:rsidRPr="00B8145D">
        <w:rPr>
          <w:sz w:val="24"/>
          <w:szCs w:val="24"/>
          <w:lang w:val="es-ES"/>
        </w:rPr>
        <w:t xml:space="preserve"> por lo que, en el presente caso, al haber sido presentado el recurso de revisión vía </w:t>
      </w:r>
      <w:r w:rsidRPr="00B8145D">
        <w:rPr>
          <w:bCs/>
          <w:sz w:val="24"/>
          <w:szCs w:val="24"/>
          <w:lang w:val="es-ES"/>
        </w:rPr>
        <w:t>SAIMEX</w:t>
      </w:r>
      <w:r w:rsidRPr="00B8145D">
        <w:rPr>
          <w:sz w:val="24"/>
          <w:szCs w:val="24"/>
          <w:lang w:val="es-ES"/>
        </w:rPr>
        <w:t>, dicho requisito resulta innecesario.</w:t>
      </w:r>
    </w:p>
    <w:p w14:paraId="3A121826" w14:textId="77777777" w:rsidR="00C461EC" w:rsidRPr="00B8145D" w:rsidRDefault="00C461EC" w:rsidP="00B8145D">
      <w:pPr>
        <w:ind w:left="-57"/>
        <w:rPr>
          <w:bCs/>
          <w:lang w:val="es-ES_tradnl"/>
        </w:rPr>
      </w:pPr>
    </w:p>
    <w:p w14:paraId="457548E9" w14:textId="3F7AF03B" w:rsidR="00C71CEF" w:rsidRPr="00B8145D" w:rsidRDefault="00C71CEF" w:rsidP="00B8145D">
      <w:pPr>
        <w:pStyle w:val="Ttulo2"/>
      </w:pPr>
      <w:bookmarkStart w:id="23" w:name="_Toc197541096"/>
      <w:r w:rsidRPr="00B8145D">
        <w:t>SEGUNDO. Estudio de Fondo</w:t>
      </w:r>
      <w:bookmarkEnd w:id="23"/>
    </w:p>
    <w:p w14:paraId="2A308F59" w14:textId="0FF373F0" w:rsidR="00C049E2" w:rsidRPr="00B8145D" w:rsidRDefault="00C71CEF" w:rsidP="00B8145D">
      <w:pPr>
        <w:pStyle w:val="Ttulo3"/>
      </w:pPr>
      <w:bookmarkStart w:id="24" w:name="_Toc197541097"/>
      <w:r w:rsidRPr="00B8145D">
        <w:t>a</w:t>
      </w:r>
      <w:r w:rsidR="00C049E2" w:rsidRPr="00B8145D">
        <w:t>) Mandato de transparencia y responsabilidad del Sujeto Obligado</w:t>
      </w:r>
      <w:bookmarkEnd w:id="24"/>
    </w:p>
    <w:p w14:paraId="6901A889" w14:textId="59EEDAE1" w:rsidR="00C049E2" w:rsidRPr="00B8145D" w:rsidRDefault="00C049E2" w:rsidP="00B8145D">
      <w:pPr>
        <w:rPr>
          <w:rFonts w:eastAsia="Palatino Linotype"/>
        </w:rPr>
      </w:pPr>
      <w:r w:rsidRPr="00B8145D">
        <w:rPr>
          <w:rFonts w:eastAsia="Palatino Linotype"/>
        </w:rPr>
        <w:t xml:space="preserve">El </w:t>
      </w:r>
      <w:r w:rsidR="00717E59" w:rsidRPr="00B8145D">
        <w:rPr>
          <w:rFonts w:eastAsia="Palatino Linotype"/>
        </w:rPr>
        <w:t>d</w:t>
      </w:r>
      <w:r w:rsidRPr="00B8145D">
        <w:rPr>
          <w:rFonts w:eastAsia="Palatino Linotype"/>
        </w:rPr>
        <w:t xml:space="preserve">erecho de </w:t>
      </w:r>
      <w:r w:rsidR="00717E59" w:rsidRPr="00B8145D">
        <w:rPr>
          <w:rFonts w:eastAsia="Palatino Linotype"/>
        </w:rPr>
        <w:t>a</w:t>
      </w:r>
      <w:r w:rsidRPr="00B8145D">
        <w:rPr>
          <w:rFonts w:eastAsia="Palatino Linotype"/>
        </w:rPr>
        <w:t xml:space="preserve">cceso a la </w:t>
      </w:r>
      <w:r w:rsidR="00717E59" w:rsidRPr="00B8145D">
        <w:rPr>
          <w:rFonts w:eastAsia="Palatino Linotype"/>
        </w:rPr>
        <w:t>i</w:t>
      </w:r>
      <w:r w:rsidRPr="00B8145D">
        <w:rPr>
          <w:rFonts w:eastAsia="Palatino Linotype"/>
        </w:rPr>
        <w:t xml:space="preserve">nformación </w:t>
      </w:r>
      <w:r w:rsidR="00717E59" w:rsidRPr="00B8145D">
        <w:rPr>
          <w:rFonts w:eastAsia="Palatino Linotype"/>
        </w:rPr>
        <w:t>p</w:t>
      </w:r>
      <w:r w:rsidRPr="00B8145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8145D">
        <w:rPr>
          <w:rFonts w:eastAsia="Palatino Linotype"/>
        </w:rPr>
        <w:t>:</w:t>
      </w:r>
    </w:p>
    <w:p w14:paraId="7FAB8D32" w14:textId="77777777" w:rsidR="00C049E2" w:rsidRPr="00B8145D" w:rsidRDefault="00C049E2" w:rsidP="00B8145D">
      <w:pPr>
        <w:rPr>
          <w:rFonts w:eastAsia="Palatino Linotype"/>
        </w:rPr>
      </w:pPr>
    </w:p>
    <w:p w14:paraId="05320813" w14:textId="77777777" w:rsidR="00C049E2" w:rsidRPr="00B8145D" w:rsidRDefault="00C049E2" w:rsidP="00B8145D">
      <w:pPr>
        <w:spacing w:line="240" w:lineRule="auto"/>
        <w:ind w:left="567" w:right="539"/>
        <w:rPr>
          <w:rFonts w:eastAsia="Palatino Linotype"/>
          <w:b/>
          <w:i/>
        </w:rPr>
      </w:pPr>
      <w:r w:rsidRPr="00B8145D">
        <w:rPr>
          <w:rFonts w:eastAsia="Palatino Linotype"/>
          <w:b/>
          <w:i/>
        </w:rPr>
        <w:t>Constitución Política de los Estados Unidos Mexicanos</w:t>
      </w:r>
    </w:p>
    <w:p w14:paraId="6B6C67B6" w14:textId="77777777" w:rsidR="00C049E2" w:rsidRPr="00B8145D" w:rsidRDefault="00C049E2" w:rsidP="00B8145D">
      <w:pPr>
        <w:spacing w:line="240" w:lineRule="auto"/>
        <w:ind w:left="567" w:right="539"/>
        <w:rPr>
          <w:rFonts w:eastAsia="Palatino Linotype"/>
          <w:b/>
          <w:i/>
        </w:rPr>
      </w:pPr>
      <w:r w:rsidRPr="00B8145D">
        <w:rPr>
          <w:rFonts w:eastAsia="Palatino Linotype"/>
          <w:b/>
          <w:i/>
        </w:rPr>
        <w:t>“Artículo 6.</w:t>
      </w:r>
    </w:p>
    <w:p w14:paraId="38D3B4C4" w14:textId="77777777" w:rsidR="00C049E2" w:rsidRPr="00B8145D" w:rsidRDefault="00C049E2" w:rsidP="00B8145D">
      <w:pPr>
        <w:spacing w:line="240" w:lineRule="auto"/>
        <w:ind w:left="567" w:right="539"/>
        <w:rPr>
          <w:rFonts w:eastAsia="Palatino Linotype"/>
          <w:i/>
        </w:rPr>
      </w:pPr>
      <w:r w:rsidRPr="00B8145D">
        <w:rPr>
          <w:rFonts w:eastAsia="Palatino Linotype"/>
          <w:i/>
        </w:rPr>
        <w:t>(…)</w:t>
      </w:r>
    </w:p>
    <w:p w14:paraId="2CCAA297" w14:textId="6602827B" w:rsidR="00C049E2" w:rsidRPr="00B8145D" w:rsidRDefault="00C049E2" w:rsidP="00B8145D">
      <w:pPr>
        <w:spacing w:line="240" w:lineRule="auto"/>
        <w:ind w:left="567" w:right="539"/>
        <w:rPr>
          <w:rFonts w:eastAsia="Palatino Linotype"/>
          <w:i/>
        </w:rPr>
      </w:pPr>
      <w:r w:rsidRPr="00B8145D">
        <w:rPr>
          <w:rFonts w:eastAsia="Palatino Linotype"/>
          <w:i/>
        </w:rPr>
        <w:t>Para efectos de lo dispuesto en el presente artículo se observará lo siguiente:</w:t>
      </w:r>
    </w:p>
    <w:p w14:paraId="74CC3718" w14:textId="77777777" w:rsidR="00C049E2" w:rsidRPr="00B8145D" w:rsidRDefault="00C049E2" w:rsidP="00B8145D">
      <w:pPr>
        <w:spacing w:line="240" w:lineRule="auto"/>
        <w:ind w:left="567" w:right="539"/>
        <w:rPr>
          <w:rFonts w:eastAsia="Palatino Linotype"/>
          <w:b/>
          <w:i/>
        </w:rPr>
      </w:pPr>
      <w:r w:rsidRPr="00B8145D">
        <w:rPr>
          <w:rFonts w:eastAsia="Palatino Linotype"/>
          <w:b/>
          <w:i/>
        </w:rPr>
        <w:t>A</w:t>
      </w:r>
      <w:r w:rsidRPr="00B8145D">
        <w:rPr>
          <w:rFonts w:eastAsia="Palatino Linotype"/>
          <w:i/>
        </w:rPr>
        <w:t xml:space="preserve">. </w:t>
      </w:r>
      <w:r w:rsidRPr="00B8145D">
        <w:rPr>
          <w:rFonts w:eastAsia="Palatino Linotype"/>
          <w:b/>
          <w:i/>
        </w:rPr>
        <w:t>Para el ejercicio del derecho de acceso a la información</w:t>
      </w:r>
      <w:r w:rsidRPr="00B8145D">
        <w:rPr>
          <w:rFonts w:eastAsia="Palatino Linotype"/>
          <w:i/>
        </w:rPr>
        <w:t xml:space="preserve">, la Federación y </w:t>
      </w:r>
      <w:r w:rsidRPr="00B8145D">
        <w:rPr>
          <w:rFonts w:eastAsia="Palatino Linotype"/>
          <w:b/>
          <w:i/>
        </w:rPr>
        <w:t>las entidades federativas, en el ámbito de sus respectivas competencias, se regirán por los siguientes principios y bases:</w:t>
      </w:r>
    </w:p>
    <w:p w14:paraId="596A956B" w14:textId="77777777" w:rsidR="00C049E2" w:rsidRPr="00B8145D" w:rsidRDefault="00C049E2" w:rsidP="00B8145D">
      <w:pPr>
        <w:spacing w:line="240" w:lineRule="auto"/>
        <w:ind w:left="567" w:right="539"/>
        <w:rPr>
          <w:rFonts w:eastAsia="Palatino Linotype"/>
          <w:i/>
        </w:rPr>
      </w:pPr>
      <w:r w:rsidRPr="00B8145D">
        <w:rPr>
          <w:rFonts w:eastAsia="Palatino Linotype"/>
          <w:b/>
          <w:i/>
        </w:rPr>
        <w:t xml:space="preserve">I. </w:t>
      </w:r>
      <w:r w:rsidRPr="00B8145D">
        <w:rPr>
          <w:rFonts w:eastAsia="Palatino Linotype"/>
          <w:b/>
          <w:i/>
        </w:rPr>
        <w:tab/>
        <w:t>Toda la información en posesión de cualquier</w:t>
      </w:r>
      <w:r w:rsidRPr="00B8145D">
        <w:rPr>
          <w:rFonts w:eastAsia="Palatino Linotype"/>
          <w:i/>
        </w:rPr>
        <w:t xml:space="preserve"> </w:t>
      </w:r>
      <w:r w:rsidRPr="00B8145D">
        <w:rPr>
          <w:rFonts w:eastAsia="Palatino Linotype"/>
          <w:b/>
          <w:i/>
        </w:rPr>
        <w:t>autoridad</w:t>
      </w:r>
      <w:r w:rsidRPr="00B8145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B8145D">
        <w:rPr>
          <w:rFonts w:eastAsia="Palatino Linotype"/>
          <w:i/>
        </w:rPr>
        <w:lastRenderedPageBreak/>
        <w:t xml:space="preserve">federal, estatal y </w:t>
      </w:r>
      <w:r w:rsidRPr="00B8145D">
        <w:rPr>
          <w:rFonts w:eastAsia="Palatino Linotype"/>
          <w:b/>
          <w:i/>
        </w:rPr>
        <w:t>municipal</w:t>
      </w:r>
      <w:r w:rsidRPr="00B8145D">
        <w:rPr>
          <w:rFonts w:eastAsia="Palatino Linotype"/>
          <w:i/>
        </w:rPr>
        <w:t xml:space="preserve">, </w:t>
      </w:r>
      <w:r w:rsidRPr="00B8145D">
        <w:rPr>
          <w:rFonts w:eastAsia="Palatino Linotype"/>
          <w:b/>
          <w:i/>
        </w:rPr>
        <w:t>es pública</w:t>
      </w:r>
      <w:r w:rsidRPr="00B8145D">
        <w:rPr>
          <w:rFonts w:eastAsia="Palatino Linotype"/>
          <w:i/>
        </w:rPr>
        <w:t xml:space="preserve"> y sólo podrá ser reservada temporalmente por razones de interés público y seguridad nacional, en los términos que fijen las leyes. </w:t>
      </w:r>
      <w:r w:rsidRPr="00B8145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8145D">
        <w:rPr>
          <w:rFonts w:eastAsia="Palatino Linotype"/>
          <w:i/>
        </w:rPr>
        <w:t>, la ley determinará los supuestos específicos bajo los cuales procederá la declaración de inexistencia de la información.”</w:t>
      </w:r>
    </w:p>
    <w:p w14:paraId="68F313E4" w14:textId="77777777" w:rsidR="00C049E2" w:rsidRPr="00B8145D" w:rsidRDefault="00C049E2" w:rsidP="00B8145D">
      <w:pPr>
        <w:spacing w:line="240" w:lineRule="auto"/>
        <w:ind w:left="567" w:right="539"/>
        <w:rPr>
          <w:rFonts w:eastAsia="Palatino Linotype"/>
          <w:b/>
          <w:i/>
        </w:rPr>
      </w:pPr>
    </w:p>
    <w:p w14:paraId="504F12DB" w14:textId="77777777" w:rsidR="00C049E2" w:rsidRPr="00B8145D" w:rsidRDefault="00C049E2" w:rsidP="00B8145D">
      <w:pPr>
        <w:spacing w:line="240" w:lineRule="auto"/>
        <w:ind w:left="567" w:right="539"/>
        <w:rPr>
          <w:rFonts w:eastAsia="Palatino Linotype"/>
          <w:b/>
          <w:i/>
        </w:rPr>
      </w:pPr>
      <w:r w:rsidRPr="00B8145D">
        <w:rPr>
          <w:rFonts w:eastAsia="Palatino Linotype"/>
          <w:b/>
          <w:i/>
        </w:rPr>
        <w:t>Constitución Política del Estado Libre y Soberano de México</w:t>
      </w:r>
    </w:p>
    <w:p w14:paraId="04932D29" w14:textId="77777777" w:rsidR="00C049E2" w:rsidRPr="00B8145D" w:rsidRDefault="00C049E2" w:rsidP="00B8145D">
      <w:pPr>
        <w:spacing w:line="240" w:lineRule="auto"/>
        <w:ind w:left="567" w:right="539"/>
        <w:rPr>
          <w:rFonts w:eastAsia="Palatino Linotype"/>
          <w:i/>
        </w:rPr>
      </w:pPr>
      <w:r w:rsidRPr="00B8145D">
        <w:rPr>
          <w:rFonts w:eastAsia="Palatino Linotype"/>
          <w:b/>
          <w:i/>
        </w:rPr>
        <w:t>“Artículo 5</w:t>
      </w:r>
      <w:r w:rsidRPr="00B8145D">
        <w:rPr>
          <w:rFonts w:eastAsia="Palatino Linotype"/>
          <w:i/>
        </w:rPr>
        <w:t xml:space="preserve">.- </w:t>
      </w:r>
    </w:p>
    <w:p w14:paraId="1D3829F4" w14:textId="77777777" w:rsidR="00C049E2" w:rsidRPr="00B8145D" w:rsidRDefault="00C049E2" w:rsidP="00B8145D">
      <w:pPr>
        <w:spacing w:line="240" w:lineRule="auto"/>
        <w:ind w:left="567" w:right="539"/>
        <w:rPr>
          <w:rFonts w:eastAsia="Palatino Linotype"/>
          <w:i/>
        </w:rPr>
      </w:pPr>
      <w:r w:rsidRPr="00B8145D">
        <w:rPr>
          <w:rFonts w:eastAsia="Palatino Linotype"/>
          <w:i/>
        </w:rPr>
        <w:t>(…)</w:t>
      </w:r>
    </w:p>
    <w:p w14:paraId="0EAE47FD" w14:textId="77777777" w:rsidR="00C049E2" w:rsidRPr="00B8145D" w:rsidRDefault="00C049E2" w:rsidP="00B8145D">
      <w:pPr>
        <w:spacing w:line="240" w:lineRule="auto"/>
        <w:ind w:left="567" w:right="539"/>
        <w:rPr>
          <w:rFonts w:eastAsia="Palatino Linotype"/>
          <w:i/>
        </w:rPr>
      </w:pPr>
      <w:r w:rsidRPr="00B8145D">
        <w:rPr>
          <w:rFonts w:eastAsia="Palatino Linotype"/>
          <w:b/>
          <w:i/>
        </w:rPr>
        <w:t>El derecho a la información será garantizado por el Estado. La ley establecerá las previsiones que permitan asegurar la protección, el respeto y la difusión de este derecho</w:t>
      </w:r>
      <w:r w:rsidRPr="00B8145D">
        <w:rPr>
          <w:rFonts w:eastAsia="Palatino Linotype"/>
          <w:i/>
        </w:rPr>
        <w:t>.</w:t>
      </w:r>
    </w:p>
    <w:p w14:paraId="4F0C804A" w14:textId="77777777" w:rsidR="00C049E2" w:rsidRPr="00B8145D" w:rsidRDefault="00C049E2" w:rsidP="00B8145D">
      <w:pPr>
        <w:spacing w:line="240" w:lineRule="auto"/>
        <w:ind w:left="567" w:right="539"/>
        <w:rPr>
          <w:rFonts w:eastAsia="Palatino Linotype"/>
          <w:i/>
        </w:rPr>
      </w:pPr>
      <w:r w:rsidRPr="00B8145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8145D" w:rsidRDefault="00C049E2" w:rsidP="00B8145D">
      <w:pPr>
        <w:spacing w:line="240" w:lineRule="auto"/>
        <w:ind w:left="567" w:right="539"/>
        <w:rPr>
          <w:rFonts w:eastAsia="Palatino Linotype"/>
          <w:i/>
        </w:rPr>
      </w:pPr>
      <w:r w:rsidRPr="00B8145D">
        <w:rPr>
          <w:rFonts w:eastAsia="Palatino Linotype"/>
          <w:b/>
          <w:i/>
        </w:rPr>
        <w:t>Este derecho se regirá por los principios y bases siguientes</w:t>
      </w:r>
      <w:r w:rsidRPr="00B8145D">
        <w:rPr>
          <w:rFonts w:eastAsia="Palatino Linotype"/>
          <w:i/>
        </w:rPr>
        <w:t>:</w:t>
      </w:r>
    </w:p>
    <w:p w14:paraId="4A3E8CBA" w14:textId="77777777" w:rsidR="00C049E2" w:rsidRPr="00B8145D" w:rsidRDefault="00C049E2" w:rsidP="00B8145D">
      <w:pPr>
        <w:spacing w:line="240" w:lineRule="auto"/>
        <w:ind w:left="567" w:right="539"/>
        <w:rPr>
          <w:rFonts w:eastAsia="Palatino Linotype"/>
          <w:i/>
        </w:rPr>
      </w:pPr>
      <w:r w:rsidRPr="00B8145D">
        <w:rPr>
          <w:rFonts w:eastAsia="Palatino Linotype"/>
          <w:b/>
          <w:i/>
        </w:rPr>
        <w:t>I. Toda la información en posesión de cualquier autoridad, entidad, órgano y organismos de los</w:t>
      </w:r>
      <w:r w:rsidRPr="00B8145D">
        <w:rPr>
          <w:rFonts w:eastAsia="Palatino Linotype"/>
          <w:i/>
        </w:rPr>
        <w:t xml:space="preserve"> Poderes Ejecutivo, Legislativo y Judicial, órganos autónomos, partidos políticos, fideicomisos y fondos públicos estatales y </w:t>
      </w:r>
      <w:r w:rsidRPr="00B8145D">
        <w:rPr>
          <w:rFonts w:eastAsia="Palatino Linotype"/>
          <w:b/>
          <w:i/>
        </w:rPr>
        <w:t>municipales</w:t>
      </w:r>
      <w:r w:rsidRPr="00B8145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8145D">
        <w:rPr>
          <w:rFonts w:eastAsia="Palatino Linotype"/>
          <w:b/>
          <w:i/>
        </w:rPr>
        <w:t>es pública</w:t>
      </w:r>
      <w:r w:rsidRPr="00B8145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8145D">
        <w:rPr>
          <w:rFonts w:eastAsia="Palatino Linotype"/>
          <w:b/>
          <w:i/>
        </w:rPr>
        <w:t>En la interpretación de este derecho deberá prevalecer el principio de máxima publicidad</w:t>
      </w:r>
      <w:r w:rsidRPr="00B8145D">
        <w:rPr>
          <w:rFonts w:eastAsia="Palatino Linotype"/>
          <w:i/>
        </w:rPr>
        <w:t xml:space="preserve">. </w:t>
      </w:r>
      <w:r w:rsidRPr="00B8145D">
        <w:rPr>
          <w:rFonts w:eastAsia="Palatino Linotype"/>
          <w:b/>
          <w:i/>
        </w:rPr>
        <w:t>Los sujetos obligados deberán documentar todo acto que derive del ejercicio de sus facultades, competencias o funciones</w:t>
      </w:r>
      <w:r w:rsidRPr="00B8145D">
        <w:rPr>
          <w:rFonts w:eastAsia="Palatino Linotype"/>
          <w:i/>
        </w:rPr>
        <w:t>, la ley determinará los supuestos específicos bajo los cuales procederá la declaración de inexistencia de la información.”</w:t>
      </w:r>
    </w:p>
    <w:p w14:paraId="5CA98E37" w14:textId="77777777" w:rsidR="00C049E2" w:rsidRPr="00B8145D" w:rsidRDefault="00C049E2" w:rsidP="00B8145D">
      <w:pPr>
        <w:rPr>
          <w:rFonts w:eastAsia="Palatino Linotype"/>
          <w:b/>
          <w:i/>
        </w:rPr>
      </w:pPr>
    </w:p>
    <w:p w14:paraId="6FC1BB3B" w14:textId="3BF4A33D" w:rsidR="00C049E2" w:rsidRPr="00B8145D" w:rsidRDefault="00717E59" w:rsidP="00B8145D">
      <w:pPr>
        <w:rPr>
          <w:rFonts w:eastAsia="Palatino Linotype"/>
          <w:i/>
        </w:rPr>
      </w:pPr>
      <w:r w:rsidRPr="00B8145D">
        <w:rPr>
          <w:rFonts w:eastAsia="Palatino Linotype"/>
        </w:rPr>
        <w:t xml:space="preserve">Asimismo, </w:t>
      </w:r>
      <w:r w:rsidR="00C049E2" w:rsidRPr="00B8145D">
        <w:rPr>
          <w:rFonts w:eastAsia="Palatino Linotype"/>
        </w:rPr>
        <w:t>el artículo 150 de la Ley de Transparencia y Acceso a la Información Pública del Estado de México y Municipios</w:t>
      </w:r>
      <w:r w:rsidR="00057B2D" w:rsidRPr="00B8145D">
        <w:rPr>
          <w:rFonts w:eastAsia="Palatino Linotype"/>
        </w:rPr>
        <w:t xml:space="preserve"> </w:t>
      </w:r>
      <w:r w:rsidR="00E9335C" w:rsidRPr="00B8145D">
        <w:rPr>
          <w:rFonts w:eastAsia="Palatino Linotype"/>
        </w:rPr>
        <w:t xml:space="preserve">indica </w:t>
      </w:r>
      <w:r w:rsidR="00057B2D" w:rsidRPr="00B8145D">
        <w:rPr>
          <w:rFonts w:eastAsia="Palatino Linotype"/>
        </w:rPr>
        <w:t>que</w:t>
      </w:r>
      <w:r w:rsidR="00C049E2" w:rsidRPr="00B8145D">
        <w:rPr>
          <w:rFonts w:eastAsia="Palatino Linotype"/>
        </w:rPr>
        <w:t xml:space="preserve"> la solicitud es la garantía primaria del Derecho de Acceso a la Información, además, establece que se regirá </w:t>
      </w:r>
      <w:r w:rsidR="00C049E2" w:rsidRPr="00B8145D">
        <w:rPr>
          <w:rFonts w:eastAsia="Palatino Linotype"/>
          <w:i/>
        </w:rPr>
        <w:t>por los principios de simplicidad, rapidez</w:t>
      </w:r>
      <w:r w:rsidR="005F65B7" w:rsidRPr="00B8145D">
        <w:rPr>
          <w:rFonts w:eastAsia="Palatino Linotype"/>
          <w:i/>
        </w:rPr>
        <w:t>,</w:t>
      </w:r>
      <w:r w:rsidR="00C049E2" w:rsidRPr="00B8145D">
        <w:rPr>
          <w:rFonts w:eastAsia="Palatino Linotype"/>
          <w:i/>
        </w:rPr>
        <w:t xml:space="preserve"> gratuidad del procedimiento, auxilio y orientación a los particulare</w:t>
      </w:r>
      <w:r w:rsidR="001A58B3" w:rsidRPr="00B8145D">
        <w:rPr>
          <w:rFonts w:eastAsia="Palatino Linotype"/>
          <w:i/>
        </w:rPr>
        <w:t>s.</w:t>
      </w:r>
    </w:p>
    <w:p w14:paraId="033466A6" w14:textId="77777777" w:rsidR="001A58B3" w:rsidRPr="00B8145D" w:rsidRDefault="001A58B3" w:rsidP="00B8145D">
      <w:pPr>
        <w:rPr>
          <w:rFonts w:eastAsia="Palatino Linotype"/>
          <w:i/>
        </w:rPr>
      </w:pPr>
    </w:p>
    <w:p w14:paraId="04ADA10B" w14:textId="574A944A" w:rsidR="001A58B3" w:rsidRPr="00B8145D" w:rsidRDefault="00233F17" w:rsidP="00B8145D">
      <w:pPr>
        <w:rPr>
          <w:rFonts w:eastAsia="Palatino Linotype" w:cs="Palatino Linotype"/>
          <w:i/>
          <w:szCs w:val="22"/>
        </w:rPr>
      </w:pPr>
      <w:r w:rsidRPr="00B8145D">
        <w:rPr>
          <w:rFonts w:eastAsia="Palatino Linotype" w:cs="Palatino Linotype"/>
        </w:rPr>
        <w:lastRenderedPageBreak/>
        <w:t xml:space="preserve">Por su parte, el artículo 4 de </w:t>
      </w:r>
      <w:r w:rsidR="001A58B3" w:rsidRPr="00B8145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8145D">
        <w:rPr>
          <w:rFonts w:eastAsia="Palatino Linotype" w:cs="Palatino Linotype"/>
        </w:rPr>
        <w:t>.</w:t>
      </w:r>
    </w:p>
    <w:p w14:paraId="1407DBB8" w14:textId="77777777" w:rsidR="001A58B3" w:rsidRPr="00B8145D" w:rsidRDefault="001A58B3" w:rsidP="00B8145D">
      <w:pPr>
        <w:rPr>
          <w:rFonts w:eastAsia="Palatino Linotype" w:cs="Palatino Linotype"/>
        </w:rPr>
      </w:pPr>
    </w:p>
    <w:p w14:paraId="7552AA79" w14:textId="5C52E4A4" w:rsidR="001A58B3" w:rsidRPr="00B8145D" w:rsidRDefault="001A58B3" w:rsidP="00B8145D">
      <w:pPr>
        <w:rPr>
          <w:rFonts w:eastAsia="Palatino Linotype" w:cs="Palatino Linotype"/>
        </w:rPr>
      </w:pPr>
      <w:r w:rsidRPr="00B8145D">
        <w:rPr>
          <w:rFonts w:eastAsia="Palatino Linotype" w:cs="Palatino Linotype"/>
        </w:rPr>
        <w:t xml:space="preserve">Esto es, que los Sujetos Obligados </w:t>
      </w:r>
      <w:r w:rsidR="00FA5957" w:rsidRPr="00B8145D">
        <w:rPr>
          <w:rFonts w:eastAsia="Palatino Linotype" w:cs="Palatino Linotype"/>
        </w:rPr>
        <w:t>deben</w:t>
      </w:r>
      <w:r w:rsidRPr="00B8145D">
        <w:rPr>
          <w:rFonts w:eastAsia="Palatino Linotype" w:cs="Palatino Linotype"/>
        </w:rPr>
        <w:t xml:space="preserve"> atender las solicitudes de acceso a la información pública que se les </w:t>
      </w:r>
      <w:r w:rsidR="00FA5957" w:rsidRPr="00B8145D">
        <w:rPr>
          <w:rFonts w:eastAsia="Palatino Linotype" w:cs="Palatino Linotype"/>
        </w:rPr>
        <w:t>sean realizadas,</w:t>
      </w:r>
      <w:r w:rsidRPr="00B8145D">
        <w:rPr>
          <w:rFonts w:eastAsia="Palatino Linotype" w:cs="Palatino Linotype"/>
        </w:rPr>
        <w:t xml:space="preserve"> y proporcionar la información pública que obre en su poder</w:t>
      </w:r>
      <w:r w:rsidR="00FA5957" w:rsidRPr="00B8145D">
        <w:rPr>
          <w:rFonts w:eastAsia="Palatino Linotype" w:cs="Palatino Linotype"/>
        </w:rPr>
        <w:t>,</w:t>
      </w:r>
      <w:r w:rsidRPr="00B8145D">
        <w:rPr>
          <w:rFonts w:eastAsia="Palatino Linotype" w:cs="Palatino Linotype"/>
        </w:rPr>
        <w:t xml:space="preserve"> conforme </w:t>
      </w:r>
      <w:r w:rsidR="00FA5957" w:rsidRPr="00B8145D">
        <w:rPr>
          <w:rFonts w:eastAsia="Palatino Linotype" w:cs="Palatino Linotype"/>
        </w:rPr>
        <w:t>a</w:t>
      </w:r>
      <w:r w:rsidRPr="00B8145D">
        <w:rPr>
          <w:rFonts w:eastAsia="Palatino Linotype" w:cs="Palatino Linotype"/>
        </w:rPr>
        <w:t xml:space="preserve">l estado </w:t>
      </w:r>
      <w:r w:rsidR="00FA5957" w:rsidRPr="00B8145D">
        <w:rPr>
          <w:rFonts w:eastAsia="Palatino Linotype" w:cs="Palatino Linotype"/>
        </w:rPr>
        <w:t xml:space="preserve">en </w:t>
      </w:r>
      <w:r w:rsidRPr="00B8145D">
        <w:rPr>
          <w:rFonts w:eastAsia="Palatino Linotype" w:cs="Palatino Linotype"/>
        </w:rPr>
        <w:t>que se encuentr</w:t>
      </w:r>
      <w:r w:rsidR="00FA5957" w:rsidRPr="00B8145D">
        <w:rPr>
          <w:rFonts w:eastAsia="Palatino Linotype" w:cs="Palatino Linotype"/>
        </w:rPr>
        <w:t>e, sin que sea necesario</w:t>
      </w:r>
      <w:r w:rsidRPr="00B8145D">
        <w:rPr>
          <w:rFonts w:eastAsia="Palatino Linotype" w:cs="Palatino Linotype"/>
        </w:rPr>
        <w:t xml:space="preserve"> </w:t>
      </w:r>
      <w:r w:rsidR="00FA5957" w:rsidRPr="00B8145D">
        <w:rPr>
          <w:rFonts w:eastAsia="Palatino Linotype" w:cs="Palatino Linotype"/>
        </w:rPr>
        <w:t>procesar</w:t>
      </w:r>
      <w:r w:rsidRPr="00B8145D">
        <w:rPr>
          <w:rFonts w:eastAsia="Palatino Linotype" w:cs="Palatino Linotype"/>
        </w:rPr>
        <w:t xml:space="preserve"> la misma, ni presentarla conforme al interés del solicitante; </w:t>
      </w:r>
      <w:r w:rsidR="00FA5957" w:rsidRPr="00B8145D">
        <w:rPr>
          <w:rFonts w:eastAsia="Palatino Linotype" w:cs="Palatino Linotype"/>
        </w:rPr>
        <w:t>tal y como</w:t>
      </w:r>
      <w:r w:rsidRPr="00B8145D">
        <w:rPr>
          <w:rFonts w:eastAsia="Palatino Linotype" w:cs="Palatino Linotype"/>
        </w:rPr>
        <w:t xml:space="preserve"> lo establece el artículo 12 de la Ley de Transparencia y Acceso a la Información Pública del Estado de México y Municipios</w:t>
      </w:r>
      <w:r w:rsidR="00970EB3" w:rsidRPr="00B8145D">
        <w:rPr>
          <w:rFonts w:eastAsia="Palatino Linotype" w:cs="Palatino Linotype"/>
        </w:rPr>
        <w:t>.</w:t>
      </w:r>
    </w:p>
    <w:p w14:paraId="73245195" w14:textId="77777777" w:rsidR="00970EB3" w:rsidRPr="00B8145D" w:rsidRDefault="00970EB3" w:rsidP="00B8145D">
      <w:pPr>
        <w:rPr>
          <w:rFonts w:eastAsia="Palatino Linotype" w:cs="Palatino Linotype"/>
        </w:rPr>
      </w:pPr>
    </w:p>
    <w:p w14:paraId="7F62D4DF" w14:textId="775730E1" w:rsidR="001A58B3" w:rsidRPr="00B8145D" w:rsidRDefault="001A58B3" w:rsidP="00B8145D">
      <w:pPr>
        <w:rPr>
          <w:rFonts w:eastAsia="Palatino Linotype" w:cs="Palatino Linotype"/>
        </w:rPr>
      </w:pPr>
      <w:r w:rsidRPr="00B8145D">
        <w:rPr>
          <w:rFonts w:eastAsia="Palatino Linotype" w:cs="Palatino Linotype"/>
        </w:rPr>
        <w:t>Es decir, que todo sujeto obligado que genere, recopile, administre, procese, archive, posea o conserven, son responsables de la misma</w:t>
      </w:r>
      <w:r w:rsidR="00970EB3" w:rsidRPr="00B8145D">
        <w:rPr>
          <w:rFonts w:eastAsia="Palatino Linotype" w:cs="Palatino Linotype"/>
        </w:rPr>
        <w:t>,</w:t>
      </w:r>
      <w:r w:rsidRPr="00B8145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8145D">
        <w:rPr>
          <w:rFonts w:eastAsia="Palatino Linotype" w:cs="Palatino Linotype"/>
        </w:rPr>
        <w:t>o</w:t>
      </w:r>
      <w:r w:rsidRPr="00B8145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8145D" w:rsidRDefault="001A58B3" w:rsidP="00B8145D">
      <w:pPr>
        <w:rPr>
          <w:rFonts w:eastAsia="Palatino Linotype" w:cs="Palatino Linotype"/>
        </w:rPr>
      </w:pPr>
    </w:p>
    <w:p w14:paraId="04E42DFE" w14:textId="573F1198" w:rsidR="001A58B3" w:rsidRPr="00B8145D" w:rsidRDefault="001A58B3" w:rsidP="00B8145D">
      <w:pPr>
        <w:rPr>
          <w:rFonts w:eastAsia="Palatino Linotype" w:cs="Palatino Linotype"/>
        </w:rPr>
      </w:pPr>
      <w:r w:rsidRPr="00B8145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8145D">
        <w:rPr>
          <w:rFonts w:eastAsia="Palatino Linotype" w:cs="Palatino Linotype"/>
        </w:rPr>
        <w:t>, s</w:t>
      </w:r>
      <w:r w:rsidRPr="00B8145D">
        <w:rPr>
          <w:rFonts w:eastAsia="Palatino Linotype" w:cs="Palatino Linotype"/>
        </w:rPr>
        <w:t xml:space="preserve">iempre y cuando no se trate de información reservada o </w:t>
      </w:r>
      <w:r w:rsidR="00331F35" w:rsidRPr="00B8145D">
        <w:rPr>
          <w:rFonts w:eastAsia="Palatino Linotype" w:cs="Palatino Linotype"/>
        </w:rPr>
        <w:t>confidencial.</w:t>
      </w:r>
    </w:p>
    <w:p w14:paraId="40C5219F" w14:textId="77777777" w:rsidR="001A58B3" w:rsidRPr="00B8145D" w:rsidRDefault="001A58B3" w:rsidP="00B8145D">
      <w:pPr>
        <w:rPr>
          <w:rFonts w:eastAsia="Palatino Linotype" w:cs="Palatino Linotype"/>
        </w:rPr>
      </w:pPr>
    </w:p>
    <w:p w14:paraId="2E629608" w14:textId="01727E15" w:rsidR="00C049E2" w:rsidRPr="00B8145D" w:rsidRDefault="006067C7" w:rsidP="00B8145D">
      <w:pPr>
        <w:rPr>
          <w:rFonts w:eastAsia="Palatino Linotype"/>
        </w:rPr>
      </w:pPr>
      <w:bookmarkStart w:id="25" w:name="_heading=h.2s8eyo1" w:colFirst="0" w:colLast="0"/>
      <w:bookmarkEnd w:id="25"/>
      <w:r w:rsidRPr="00B8145D">
        <w:rPr>
          <w:rFonts w:eastAsia="Palatino Linotype"/>
        </w:rPr>
        <w:lastRenderedPageBreak/>
        <w:t>Con base en lo anterior</w:t>
      </w:r>
      <w:r w:rsidR="00B22A80" w:rsidRPr="00B8145D">
        <w:rPr>
          <w:rFonts w:eastAsia="Palatino Linotype"/>
        </w:rPr>
        <w:t>, se considera que</w:t>
      </w:r>
      <w:r w:rsidR="00C049E2" w:rsidRPr="00B8145D">
        <w:rPr>
          <w:rFonts w:eastAsia="Palatino Linotype"/>
        </w:rPr>
        <w:t xml:space="preserve"> </w:t>
      </w:r>
      <w:r w:rsidR="00B22A80" w:rsidRPr="00B8145D">
        <w:rPr>
          <w:rFonts w:eastAsia="Palatino Linotype"/>
          <w:b/>
          <w:bCs/>
        </w:rPr>
        <w:t>EL</w:t>
      </w:r>
      <w:r w:rsidR="00C049E2" w:rsidRPr="00B8145D">
        <w:rPr>
          <w:rFonts w:eastAsia="Palatino Linotype"/>
        </w:rPr>
        <w:t xml:space="preserve"> </w:t>
      </w:r>
      <w:r w:rsidR="00C049E2" w:rsidRPr="00B8145D">
        <w:rPr>
          <w:rFonts w:eastAsia="Palatino Linotype"/>
          <w:b/>
        </w:rPr>
        <w:t>SUJETO OBLIGADO</w:t>
      </w:r>
      <w:r w:rsidR="00C049E2" w:rsidRPr="00B8145D">
        <w:rPr>
          <w:rFonts w:eastAsia="Palatino Linotype"/>
        </w:rPr>
        <w:t xml:space="preserve"> </w:t>
      </w:r>
      <w:r w:rsidR="00B22A80" w:rsidRPr="00B8145D">
        <w:rPr>
          <w:rFonts w:eastAsia="Palatino Linotype"/>
        </w:rPr>
        <w:t xml:space="preserve">se </w:t>
      </w:r>
      <w:r w:rsidR="00717E59" w:rsidRPr="00B8145D">
        <w:rPr>
          <w:rFonts w:eastAsia="Palatino Linotype"/>
        </w:rPr>
        <w:t>encontraba</w:t>
      </w:r>
      <w:r w:rsidR="00B22A80" w:rsidRPr="00B8145D">
        <w:rPr>
          <w:rFonts w:eastAsia="Palatino Linotype"/>
        </w:rPr>
        <w:t xml:space="preserve"> compelido a</w:t>
      </w:r>
      <w:r w:rsidR="00C049E2" w:rsidRPr="00B8145D">
        <w:rPr>
          <w:rFonts w:eastAsia="Palatino Linotype"/>
        </w:rPr>
        <w:t xml:space="preserve"> atender la solicitud de acceso a la información </w:t>
      </w:r>
      <w:r w:rsidR="00B22A80" w:rsidRPr="00B8145D">
        <w:rPr>
          <w:rFonts w:eastAsia="Palatino Linotype"/>
        </w:rPr>
        <w:t xml:space="preserve">realizada por </w:t>
      </w:r>
      <w:r w:rsidR="00B22A80" w:rsidRPr="00B8145D">
        <w:rPr>
          <w:rFonts w:eastAsia="Palatino Linotype"/>
          <w:b/>
          <w:bCs/>
        </w:rPr>
        <w:t>LA PARTE RECURRENTE</w:t>
      </w:r>
      <w:r w:rsidR="00331F35" w:rsidRPr="00B8145D">
        <w:rPr>
          <w:rFonts w:eastAsia="Palatino Linotype"/>
        </w:rPr>
        <w:t>.</w:t>
      </w:r>
    </w:p>
    <w:p w14:paraId="1611F147" w14:textId="77777777" w:rsidR="00BD5A7C" w:rsidRPr="00B8145D" w:rsidRDefault="00BD5A7C" w:rsidP="00B8145D">
      <w:pPr>
        <w:rPr>
          <w:rFonts w:eastAsia="Palatino Linotype"/>
        </w:rPr>
      </w:pPr>
    </w:p>
    <w:p w14:paraId="51A0E8B4" w14:textId="676DCA47" w:rsidR="00664420" w:rsidRPr="00B8145D" w:rsidRDefault="00C71CEF" w:rsidP="00B8145D">
      <w:pPr>
        <w:pStyle w:val="Ttulo3"/>
        <w:rPr>
          <w:rFonts w:eastAsia="Calibri"/>
          <w:lang w:eastAsia="es-ES_tradnl"/>
        </w:rPr>
      </w:pPr>
      <w:bookmarkStart w:id="26" w:name="_Toc197541098"/>
      <w:r w:rsidRPr="00B8145D">
        <w:rPr>
          <w:rFonts w:eastAsia="Calibri"/>
          <w:lang w:eastAsia="es-ES_tradnl"/>
        </w:rPr>
        <w:t>b)</w:t>
      </w:r>
      <w:r w:rsidR="00A53315" w:rsidRPr="00B8145D">
        <w:rPr>
          <w:rFonts w:eastAsia="Calibri"/>
          <w:lang w:eastAsia="es-ES_tradnl"/>
        </w:rPr>
        <w:t xml:space="preserve"> </w:t>
      </w:r>
      <w:r w:rsidR="00A21A20" w:rsidRPr="00B8145D">
        <w:rPr>
          <w:rFonts w:eastAsia="Calibri"/>
          <w:lang w:eastAsia="es-ES_tradnl"/>
        </w:rPr>
        <w:t>Controversia a resolver</w:t>
      </w:r>
      <w:bookmarkEnd w:id="26"/>
    </w:p>
    <w:p w14:paraId="0507F274" w14:textId="3E2DF45C" w:rsidR="00664420" w:rsidRPr="00B8145D" w:rsidRDefault="00664420" w:rsidP="00B8145D">
      <w:pPr>
        <w:rPr>
          <w:rFonts w:cs="Tahoma"/>
          <w:bCs/>
          <w:iCs/>
          <w:szCs w:val="22"/>
        </w:rPr>
      </w:pPr>
      <w:r w:rsidRPr="00B8145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8145D">
        <w:rPr>
          <w:rFonts w:eastAsia="Calibri"/>
          <w:b/>
          <w:bCs/>
          <w:lang w:eastAsia="es-ES_tradnl"/>
        </w:rPr>
        <w:t>LA PARTE RECURRENTE</w:t>
      </w:r>
      <w:r w:rsidRPr="00B8145D">
        <w:rPr>
          <w:rFonts w:eastAsia="Calibri"/>
          <w:lang w:eastAsia="es-ES_tradnl"/>
        </w:rPr>
        <w:t xml:space="preserve"> solicitó </w:t>
      </w:r>
      <w:r w:rsidR="00585A5A" w:rsidRPr="00B8145D">
        <w:rPr>
          <w:rFonts w:eastAsia="Calibri"/>
          <w:lang w:eastAsia="es-ES_tradnl"/>
        </w:rPr>
        <w:t>todos los oficios de la UIPPE y de todas sus direcciones.</w:t>
      </w:r>
    </w:p>
    <w:p w14:paraId="5AC46E93" w14:textId="77777777" w:rsidR="00585A5A" w:rsidRPr="00B8145D" w:rsidRDefault="00585A5A" w:rsidP="00B8145D">
      <w:pPr>
        <w:tabs>
          <w:tab w:val="left" w:pos="4962"/>
        </w:tabs>
        <w:contextualSpacing/>
        <w:rPr>
          <w:rFonts w:eastAsiaTheme="minorHAnsi" w:cs="Tahoma"/>
          <w:bCs/>
          <w:iCs/>
          <w:szCs w:val="22"/>
          <w:lang w:eastAsia="en-US"/>
        </w:rPr>
      </w:pPr>
    </w:p>
    <w:p w14:paraId="228E8457" w14:textId="76EF555B" w:rsidR="005B18AF" w:rsidRPr="00B8145D" w:rsidRDefault="00664420" w:rsidP="00B8145D">
      <w:pPr>
        <w:tabs>
          <w:tab w:val="left" w:pos="4962"/>
        </w:tabs>
        <w:contextualSpacing/>
        <w:rPr>
          <w:rFonts w:cs="Tahoma"/>
          <w:bCs/>
          <w:iCs/>
          <w:szCs w:val="22"/>
        </w:rPr>
      </w:pPr>
      <w:r w:rsidRPr="00B8145D">
        <w:rPr>
          <w:rFonts w:eastAsiaTheme="minorHAnsi" w:cs="Tahoma"/>
          <w:bCs/>
          <w:iCs/>
          <w:szCs w:val="22"/>
          <w:lang w:eastAsia="en-US"/>
        </w:rPr>
        <w:t xml:space="preserve">En respuesta, </w:t>
      </w:r>
      <w:r w:rsidR="005D5A50" w:rsidRPr="00B8145D">
        <w:rPr>
          <w:rFonts w:eastAsiaTheme="minorHAnsi" w:cs="Tahoma"/>
          <w:b/>
          <w:iCs/>
          <w:szCs w:val="22"/>
          <w:lang w:eastAsia="en-US"/>
        </w:rPr>
        <w:t>EL SUJETO OBLIGADO</w:t>
      </w:r>
      <w:r w:rsidRPr="00B8145D">
        <w:rPr>
          <w:rFonts w:eastAsiaTheme="minorHAnsi" w:cs="Tahoma"/>
          <w:bCs/>
          <w:iCs/>
          <w:szCs w:val="22"/>
          <w:lang w:eastAsia="en-US"/>
        </w:rPr>
        <w:t xml:space="preserve"> se pronunció por conducto de</w:t>
      </w:r>
      <w:r w:rsidR="00585A5A" w:rsidRPr="00B8145D">
        <w:rPr>
          <w:rFonts w:eastAsiaTheme="minorHAnsi" w:cs="Tahoma"/>
          <w:bCs/>
          <w:iCs/>
          <w:szCs w:val="22"/>
          <w:lang w:eastAsia="en-US"/>
        </w:rPr>
        <w:t xml:space="preserve"> la servidora pública habilitada de la Unidad de Información, Planeación, Programación y Evaluación</w:t>
      </w:r>
      <w:r w:rsidRPr="00B8145D">
        <w:rPr>
          <w:rFonts w:eastAsiaTheme="minorHAnsi" w:cs="Tahoma"/>
          <w:bCs/>
          <w:iCs/>
          <w:szCs w:val="22"/>
          <w:lang w:eastAsia="en-US"/>
        </w:rPr>
        <w:t xml:space="preserve">, quien </w:t>
      </w:r>
      <w:r w:rsidR="00585A5A" w:rsidRPr="00B8145D">
        <w:rPr>
          <w:rFonts w:eastAsiaTheme="minorHAnsi" w:cs="Tahoma"/>
          <w:bCs/>
          <w:iCs/>
          <w:szCs w:val="22"/>
          <w:lang w:eastAsia="en-US"/>
        </w:rPr>
        <w:t>remitió los oficios con los que a su parecer colmaba la pretensión de la parte recurrente.</w:t>
      </w:r>
    </w:p>
    <w:p w14:paraId="4BEBD880" w14:textId="77777777" w:rsidR="00664420" w:rsidRPr="00B8145D" w:rsidRDefault="00664420" w:rsidP="00B8145D">
      <w:pPr>
        <w:tabs>
          <w:tab w:val="left" w:pos="4962"/>
        </w:tabs>
        <w:contextualSpacing/>
        <w:rPr>
          <w:rFonts w:eastAsiaTheme="minorHAnsi" w:cs="Tahoma"/>
          <w:bCs/>
          <w:iCs/>
          <w:szCs w:val="22"/>
          <w:lang w:eastAsia="en-US"/>
        </w:rPr>
      </w:pPr>
    </w:p>
    <w:p w14:paraId="31DD81D7" w14:textId="01FDD583" w:rsidR="00664420" w:rsidRPr="00B8145D" w:rsidRDefault="00CF7586" w:rsidP="00B8145D">
      <w:pPr>
        <w:tabs>
          <w:tab w:val="left" w:pos="4962"/>
        </w:tabs>
        <w:contextualSpacing/>
        <w:rPr>
          <w:rFonts w:eastAsiaTheme="minorHAnsi" w:cs="Tahoma"/>
          <w:bCs/>
          <w:iCs/>
          <w:szCs w:val="22"/>
          <w:lang w:eastAsia="en-US"/>
        </w:rPr>
      </w:pPr>
      <w:r w:rsidRPr="00B8145D">
        <w:rPr>
          <w:rFonts w:eastAsiaTheme="minorHAnsi" w:cs="Tahoma"/>
          <w:bCs/>
          <w:iCs/>
          <w:szCs w:val="22"/>
          <w:lang w:eastAsia="en-US"/>
        </w:rPr>
        <w:t xml:space="preserve">Ahora bien, en la interposición del presente recurso </w:t>
      </w:r>
      <w:r w:rsidRPr="00B8145D">
        <w:rPr>
          <w:rFonts w:eastAsiaTheme="minorHAnsi" w:cs="Tahoma"/>
          <w:b/>
          <w:iCs/>
          <w:szCs w:val="22"/>
          <w:lang w:eastAsia="en-US"/>
        </w:rPr>
        <w:t>LA PARTE RECURRENTE</w:t>
      </w:r>
      <w:r w:rsidR="00664420" w:rsidRPr="00B8145D">
        <w:rPr>
          <w:rFonts w:eastAsiaTheme="minorHAnsi" w:cs="Tahoma"/>
          <w:bCs/>
          <w:iCs/>
          <w:szCs w:val="22"/>
          <w:lang w:eastAsia="en-US"/>
        </w:rPr>
        <w:t xml:space="preserve"> se inconformó de</w:t>
      </w:r>
      <w:r w:rsidR="00585A5A" w:rsidRPr="00B8145D">
        <w:rPr>
          <w:rFonts w:eastAsiaTheme="minorHAnsi" w:cs="Tahoma"/>
          <w:bCs/>
          <w:iCs/>
          <w:szCs w:val="22"/>
          <w:lang w:eastAsia="en-US"/>
        </w:rPr>
        <w:t xml:space="preserve"> que</w:t>
      </w:r>
      <w:r w:rsidR="00664420" w:rsidRPr="00B8145D">
        <w:rPr>
          <w:rFonts w:eastAsiaTheme="minorHAnsi" w:cs="Tahoma"/>
          <w:bCs/>
          <w:iCs/>
          <w:szCs w:val="22"/>
          <w:lang w:eastAsia="en-US"/>
        </w:rPr>
        <w:t xml:space="preserve"> </w:t>
      </w:r>
      <w:r w:rsidR="00585A5A" w:rsidRPr="00B8145D">
        <w:rPr>
          <w:rFonts w:eastAsiaTheme="minorHAnsi" w:cs="Tahoma"/>
          <w:bCs/>
          <w:iCs/>
          <w:szCs w:val="22"/>
          <w:lang w:eastAsia="en-US"/>
        </w:rPr>
        <w:t xml:space="preserve">no proporciona toda la información que se solicita </w:t>
      </w:r>
      <w:r w:rsidRPr="00B8145D">
        <w:rPr>
          <w:rFonts w:eastAsiaTheme="minorHAnsi" w:cs="Tahoma"/>
          <w:bCs/>
          <w:iCs/>
          <w:szCs w:val="22"/>
          <w:lang w:eastAsia="en-US"/>
        </w:rPr>
        <w:t xml:space="preserve">por lo cual, el estudio </w:t>
      </w:r>
      <w:r w:rsidR="005B18AF" w:rsidRPr="00B8145D">
        <w:rPr>
          <w:rFonts w:eastAsiaTheme="minorHAnsi" w:cs="Tahoma"/>
          <w:bCs/>
          <w:iCs/>
          <w:szCs w:val="22"/>
          <w:lang w:eastAsia="en-US"/>
        </w:rPr>
        <w:t xml:space="preserve">se centrará en determinar </w:t>
      </w:r>
      <w:r w:rsidR="00585A5A" w:rsidRPr="00B8145D">
        <w:rPr>
          <w:rFonts w:eastAsiaTheme="minorHAnsi" w:cs="Tahoma"/>
          <w:bCs/>
          <w:iCs/>
          <w:szCs w:val="22"/>
          <w:lang w:eastAsia="en-US"/>
        </w:rPr>
        <w:t>sí con la información entregada se colma o no con la pretensión de la parte recurrente</w:t>
      </w:r>
      <w:r w:rsidR="00D2790D" w:rsidRPr="00B8145D">
        <w:rPr>
          <w:rFonts w:eastAsiaTheme="minorHAnsi" w:cs="Tahoma"/>
          <w:bCs/>
          <w:iCs/>
          <w:szCs w:val="22"/>
          <w:lang w:eastAsia="en-US"/>
        </w:rPr>
        <w:t>.</w:t>
      </w:r>
    </w:p>
    <w:p w14:paraId="6C5FA4B8" w14:textId="77777777" w:rsidR="00585A5A" w:rsidRPr="00B8145D" w:rsidRDefault="00585A5A" w:rsidP="00B8145D">
      <w:pPr>
        <w:tabs>
          <w:tab w:val="left" w:pos="4962"/>
        </w:tabs>
        <w:contextualSpacing/>
        <w:rPr>
          <w:rFonts w:eastAsiaTheme="minorHAnsi" w:cs="Tahoma"/>
          <w:bCs/>
          <w:iCs/>
          <w:szCs w:val="22"/>
          <w:lang w:eastAsia="en-US"/>
        </w:rPr>
      </w:pPr>
    </w:p>
    <w:p w14:paraId="414FD2D5" w14:textId="4408E416" w:rsidR="00664420" w:rsidRPr="00B8145D" w:rsidRDefault="00A21A20" w:rsidP="00B8145D">
      <w:pPr>
        <w:pStyle w:val="Ttulo3"/>
      </w:pPr>
      <w:bookmarkStart w:id="27" w:name="_Toc197541099"/>
      <w:r w:rsidRPr="00B8145D">
        <w:t>c)</w:t>
      </w:r>
      <w:r w:rsidR="00664420" w:rsidRPr="00B8145D">
        <w:t xml:space="preserve"> </w:t>
      </w:r>
      <w:r w:rsidRPr="00B8145D">
        <w:t>Estudio de la controversia</w:t>
      </w:r>
      <w:bookmarkEnd w:id="27"/>
    </w:p>
    <w:p w14:paraId="1C338AB1" w14:textId="77777777" w:rsidR="003F19F0" w:rsidRPr="00B8145D" w:rsidRDefault="003F19F0" w:rsidP="00B8145D">
      <w:pPr>
        <w:ind w:right="-93"/>
        <w:rPr>
          <w:rFonts w:cs="Tahoma"/>
          <w:bCs/>
          <w:szCs w:val="22"/>
        </w:rPr>
      </w:pPr>
      <w:r w:rsidRPr="00B8145D">
        <w:rPr>
          <w:rFonts w:cs="Tahoma"/>
          <w:bCs/>
          <w:szCs w:val="22"/>
        </w:rPr>
        <w:t xml:space="preserve">En primera instancia, sobre el tema de oficios,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w:t>
      </w:r>
      <w:r w:rsidRPr="00B8145D">
        <w:rPr>
          <w:rFonts w:cs="Tahoma"/>
          <w:bCs/>
          <w:szCs w:val="22"/>
        </w:rPr>
        <w:lastRenderedPageBreak/>
        <w:t>obtenida, adquirida, transformada o en posesión de los sujetos obligados es pública y accesible a cualquier persona.</w:t>
      </w:r>
    </w:p>
    <w:p w14:paraId="005C72A2" w14:textId="77777777" w:rsidR="003F19F0" w:rsidRPr="00B8145D" w:rsidRDefault="003F19F0" w:rsidP="00B8145D">
      <w:pPr>
        <w:ind w:right="-93"/>
        <w:rPr>
          <w:rFonts w:cs="Tahoma"/>
          <w:bCs/>
          <w:szCs w:val="22"/>
        </w:rPr>
      </w:pPr>
    </w:p>
    <w:p w14:paraId="75A66B84" w14:textId="77777777" w:rsidR="003F19F0" w:rsidRPr="00B8145D" w:rsidRDefault="003F19F0" w:rsidP="00B8145D">
      <w:pPr>
        <w:ind w:right="-93"/>
        <w:rPr>
          <w:rFonts w:cs="Tahoma"/>
          <w:bCs/>
          <w:szCs w:val="22"/>
        </w:rPr>
      </w:pPr>
      <w:r w:rsidRPr="00B8145D">
        <w:rPr>
          <w:rFonts w:cs="Tahoma"/>
          <w:bCs/>
          <w:szCs w:val="22"/>
        </w:rPr>
        <w:t>Ahora bien, el artículo 18 de la Ley de Transparencia y Acceso a la Información Pública del Estado de México y Municipios, contempla que los sujetos obligados deberán documentar todo acto que derive del ejercicio de sus facultades, competencias o funciones.</w:t>
      </w:r>
    </w:p>
    <w:p w14:paraId="0C77AFC7" w14:textId="77777777" w:rsidR="003F19F0" w:rsidRPr="00B8145D" w:rsidRDefault="003F19F0" w:rsidP="00B8145D">
      <w:pPr>
        <w:ind w:right="-93"/>
        <w:rPr>
          <w:rFonts w:cs="Tahoma"/>
          <w:bCs/>
          <w:szCs w:val="22"/>
        </w:rPr>
      </w:pPr>
    </w:p>
    <w:p w14:paraId="669F1AB7" w14:textId="77777777" w:rsidR="003F19F0" w:rsidRPr="00B8145D" w:rsidRDefault="003F19F0" w:rsidP="00B8145D">
      <w:pPr>
        <w:ind w:right="-93"/>
        <w:rPr>
          <w:rFonts w:cs="Tahoma"/>
          <w:bCs/>
          <w:szCs w:val="22"/>
        </w:rPr>
      </w:pPr>
      <w:r w:rsidRPr="00B8145D">
        <w:rPr>
          <w:rFonts w:cs="Tahoma"/>
          <w:bCs/>
          <w:szCs w:val="22"/>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00D0CBE1" w14:textId="77777777" w:rsidR="003F19F0" w:rsidRPr="00B8145D" w:rsidRDefault="003F19F0" w:rsidP="00B8145D">
      <w:pPr>
        <w:ind w:right="-93"/>
        <w:rPr>
          <w:rFonts w:cs="Tahoma"/>
          <w:bCs/>
          <w:szCs w:val="22"/>
        </w:rPr>
      </w:pPr>
    </w:p>
    <w:p w14:paraId="652A31B4" w14:textId="77777777" w:rsidR="003F19F0" w:rsidRPr="00B8145D" w:rsidRDefault="003F19F0" w:rsidP="00B8145D">
      <w:pPr>
        <w:ind w:right="-93"/>
        <w:rPr>
          <w:rFonts w:cs="Tahoma"/>
          <w:bCs/>
          <w:szCs w:val="22"/>
        </w:rPr>
      </w:pPr>
      <w:r w:rsidRPr="00B8145D">
        <w:rPr>
          <w:rFonts w:cs="Tahoma"/>
          <w:bCs/>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1EC1C4B9" w14:textId="77777777" w:rsidR="003F19F0" w:rsidRPr="00B8145D" w:rsidRDefault="003F19F0" w:rsidP="00B8145D">
      <w:pPr>
        <w:ind w:right="-93"/>
        <w:rPr>
          <w:rFonts w:cs="Tahoma"/>
          <w:bCs/>
          <w:szCs w:val="22"/>
        </w:rPr>
      </w:pPr>
    </w:p>
    <w:p w14:paraId="5356B9B6" w14:textId="70B0AF2B" w:rsidR="003F19F0" w:rsidRPr="00B8145D" w:rsidRDefault="003F19F0" w:rsidP="00B8145D">
      <w:pPr>
        <w:ind w:right="-93"/>
        <w:rPr>
          <w:rFonts w:eastAsia="Calibri"/>
          <w:lang w:eastAsia="es-ES_tradnl"/>
        </w:rPr>
      </w:pPr>
      <w:r w:rsidRPr="00B8145D">
        <w:rPr>
          <w:rFonts w:cs="Tahoma"/>
          <w:bCs/>
          <w:szCs w:val="22"/>
        </w:rPr>
        <w:t xml:space="preserve">Luego entonces, como primer punto tenemos que existe fuente obligacional para generar los oficios solicitados, ahora bien, se advierte que se solicitaron </w:t>
      </w:r>
      <w:r w:rsidRPr="00B8145D">
        <w:rPr>
          <w:rFonts w:eastAsia="Calibri"/>
          <w:lang w:eastAsia="es-ES_tradnl"/>
        </w:rPr>
        <w:t>todos los oficios de la UIPPE y de todas sus direcciones.</w:t>
      </w:r>
    </w:p>
    <w:p w14:paraId="453CFF34" w14:textId="320A89A4" w:rsidR="003F19F0" w:rsidRPr="00B8145D" w:rsidRDefault="003F19F0" w:rsidP="00B8145D">
      <w:pPr>
        <w:ind w:right="-93"/>
        <w:rPr>
          <w:rFonts w:eastAsia="Calibri"/>
          <w:lang w:eastAsia="es-ES_tradnl"/>
        </w:rPr>
      </w:pPr>
    </w:p>
    <w:p w14:paraId="594F21DB" w14:textId="7A5C9017" w:rsidR="003F19F0" w:rsidRPr="00B8145D" w:rsidRDefault="003F19F0" w:rsidP="00B8145D">
      <w:pPr>
        <w:ind w:right="-93"/>
        <w:rPr>
          <w:rFonts w:cs="Tahoma"/>
          <w:bCs/>
          <w:szCs w:val="22"/>
        </w:rPr>
      </w:pPr>
      <w:r w:rsidRPr="00B8145D">
        <w:rPr>
          <w:rFonts w:eastAsia="Calibri"/>
          <w:lang w:eastAsia="es-ES_tradnl"/>
        </w:rPr>
        <w:t>Para ello hay que determinar cuáles son las Direcciones de las que se solicitó la información, para ello se tiene el organigrama del SUJETO OBLIGADO el cual establece lo siguiente:</w:t>
      </w:r>
    </w:p>
    <w:p w14:paraId="32524B83" w14:textId="5AE2E69F" w:rsidR="003F19F0" w:rsidRPr="00B8145D" w:rsidRDefault="003F19F0" w:rsidP="00B8145D">
      <w:pPr>
        <w:ind w:right="-93"/>
        <w:rPr>
          <w:rFonts w:cs="Tahoma"/>
          <w:bCs/>
          <w:szCs w:val="22"/>
        </w:rPr>
      </w:pPr>
    </w:p>
    <w:p w14:paraId="4DB636CE" w14:textId="020F02C7" w:rsidR="003F19F0" w:rsidRPr="00B8145D" w:rsidRDefault="003F19F0" w:rsidP="00B8145D">
      <w:pPr>
        <w:ind w:right="-93"/>
        <w:rPr>
          <w:rFonts w:cs="Tahoma"/>
          <w:bCs/>
          <w:szCs w:val="22"/>
        </w:rPr>
      </w:pPr>
      <w:r w:rsidRPr="00B8145D">
        <w:rPr>
          <w:noProof/>
          <w:lang w:eastAsia="es-MX"/>
          <w14:ligatures w14:val="standardContextual"/>
        </w:rPr>
        <w:drawing>
          <wp:inline distT="0" distB="0" distL="0" distR="0" wp14:anchorId="14EA3CD9" wp14:editId="6BBCA6AF">
            <wp:extent cx="5742940" cy="3267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3267075"/>
                    </a:xfrm>
                    <a:prstGeom prst="rect">
                      <a:avLst/>
                    </a:prstGeom>
                  </pic:spPr>
                </pic:pic>
              </a:graphicData>
            </a:graphic>
          </wp:inline>
        </w:drawing>
      </w:r>
    </w:p>
    <w:p w14:paraId="55BAA5C5" w14:textId="77777777" w:rsidR="003F19F0" w:rsidRPr="00B8145D" w:rsidRDefault="003F19F0" w:rsidP="00B8145D">
      <w:pPr>
        <w:ind w:right="-93"/>
        <w:rPr>
          <w:rFonts w:cs="Tahoma"/>
          <w:bCs/>
          <w:szCs w:val="22"/>
        </w:rPr>
      </w:pPr>
    </w:p>
    <w:p w14:paraId="45E9E980" w14:textId="6E1D6AF7" w:rsidR="003F19F0" w:rsidRPr="00B8145D" w:rsidRDefault="003F19F0" w:rsidP="00B8145D">
      <w:pPr>
        <w:ind w:right="-93"/>
        <w:rPr>
          <w:rFonts w:cs="Tahoma"/>
          <w:bCs/>
          <w:szCs w:val="22"/>
        </w:rPr>
      </w:pPr>
      <w:r w:rsidRPr="00B8145D">
        <w:rPr>
          <w:rFonts w:cs="Tahoma"/>
          <w:bCs/>
          <w:szCs w:val="22"/>
        </w:rPr>
        <w:t>Luego entonces, se puede particularizar que la parte recurrente pretende acceder a todos los oficios de:</w:t>
      </w:r>
    </w:p>
    <w:p w14:paraId="799D83AF" w14:textId="1A96B4A8" w:rsidR="003F19F0" w:rsidRPr="00B8145D" w:rsidRDefault="003F19F0" w:rsidP="00B8145D">
      <w:pPr>
        <w:pStyle w:val="Prrafodelista"/>
        <w:numPr>
          <w:ilvl w:val="0"/>
          <w:numId w:val="19"/>
        </w:numPr>
        <w:ind w:right="-93"/>
        <w:rPr>
          <w:rFonts w:cs="Tahoma"/>
          <w:bCs/>
          <w:szCs w:val="22"/>
        </w:rPr>
      </w:pPr>
      <w:r w:rsidRPr="00B8145D">
        <w:rPr>
          <w:rFonts w:eastAsiaTheme="minorHAnsi" w:cs="Tahoma"/>
          <w:bCs/>
          <w:iCs/>
          <w:szCs w:val="22"/>
          <w:lang w:eastAsia="en-US"/>
        </w:rPr>
        <w:t>La Unidad de Información, Planeación, Programación y Evaluación.</w:t>
      </w:r>
    </w:p>
    <w:p w14:paraId="01AD90B4" w14:textId="699C45DD" w:rsidR="003F19F0" w:rsidRPr="00B8145D" w:rsidRDefault="003F19F0" w:rsidP="00B8145D">
      <w:pPr>
        <w:pStyle w:val="Prrafodelista"/>
        <w:numPr>
          <w:ilvl w:val="0"/>
          <w:numId w:val="19"/>
        </w:numPr>
        <w:ind w:right="-93"/>
        <w:rPr>
          <w:rFonts w:cs="Tahoma"/>
          <w:bCs/>
          <w:szCs w:val="22"/>
        </w:rPr>
      </w:pPr>
      <w:r w:rsidRPr="00B8145D">
        <w:rPr>
          <w:rFonts w:eastAsiaTheme="minorHAnsi" w:cs="Tahoma"/>
          <w:bCs/>
          <w:iCs/>
          <w:szCs w:val="22"/>
          <w:lang w:eastAsia="en-US"/>
        </w:rPr>
        <w:t xml:space="preserve">Dirección de Información. </w:t>
      </w:r>
    </w:p>
    <w:p w14:paraId="5912DED9" w14:textId="54B66F83" w:rsidR="003F19F0" w:rsidRPr="00B8145D" w:rsidRDefault="003F19F0" w:rsidP="00B8145D">
      <w:pPr>
        <w:pStyle w:val="Prrafodelista"/>
        <w:numPr>
          <w:ilvl w:val="0"/>
          <w:numId w:val="19"/>
        </w:numPr>
        <w:ind w:right="-93"/>
        <w:rPr>
          <w:rFonts w:cs="Tahoma"/>
          <w:bCs/>
          <w:szCs w:val="22"/>
        </w:rPr>
      </w:pPr>
      <w:r w:rsidRPr="00B8145D">
        <w:rPr>
          <w:rFonts w:eastAsiaTheme="minorHAnsi" w:cs="Tahoma"/>
          <w:bCs/>
          <w:iCs/>
          <w:szCs w:val="22"/>
          <w:lang w:eastAsia="en-US"/>
        </w:rPr>
        <w:t>Dirección de Evaluación.</w:t>
      </w:r>
    </w:p>
    <w:p w14:paraId="64C92F7D" w14:textId="5E2493AD" w:rsidR="003F19F0" w:rsidRPr="00B8145D" w:rsidRDefault="003F19F0" w:rsidP="00B8145D">
      <w:pPr>
        <w:pStyle w:val="Prrafodelista"/>
        <w:numPr>
          <w:ilvl w:val="0"/>
          <w:numId w:val="19"/>
        </w:numPr>
        <w:ind w:right="-93"/>
        <w:rPr>
          <w:rFonts w:cs="Tahoma"/>
          <w:bCs/>
          <w:szCs w:val="22"/>
        </w:rPr>
      </w:pPr>
      <w:r w:rsidRPr="00B8145D">
        <w:rPr>
          <w:rFonts w:eastAsiaTheme="minorHAnsi" w:cs="Tahoma"/>
          <w:bCs/>
          <w:iCs/>
          <w:szCs w:val="22"/>
          <w:lang w:eastAsia="en-US"/>
        </w:rPr>
        <w:t>Dirección de Vinculación.</w:t>
      </w:r>
    </w:p>
    <w:p w14:paraId="7A058493" w14:textId="77777777" w:rsidR="00954F02" w:rsidRPr="00B8145D" w:rsidRDefault="00954F02" w:rsidP="00B8145D">
      <w:pPr>
        <w:contextualSpacing/>
        <w:rPr>
          <w:rFonts w:cs="Tahoma"/>
          <w:bCs/>
          <w:szCs w:val="22"/>
        </w:rPr>
      </w:pPr>
    </w:p>
    <w:p w14:paraId="3A4EA21B" w14:textId="36AC7B13" w:rsidR="00761CB6" w:rsidRPr="00B8145D" w:rsidRDefault="00761CB6" w:rsidP="00B8145D">
      <w:pPr>
        <w:contextualSpacing/>
      </w:pPr>
      <w:r w:rsidRPr="00B8145D">
        <w:rPr>
          <w:rFonts w:cs="Tahoma"/>
          <w:bCs/>
          <w:szCs w:val="22"/>
        </w:rPr>
        <w:t xml:space="preserve">Además, hay que puntualizar que dentro de la solicitud no se estableció una temporalidad específica por lo cual se debe aplicar </w:t>
      </w:r>
      <w:r w:rsidRPr="00B8145D">
        <w:t xml:space="preserve">el criterio de interpretación 03/19 del entonces INAI que a la letra señala </w:t>
      </w:r>
      <w:r w:rsidRPr="00B8145D">
        <w:rPr>
          <w:i/>
        </w:rPr>
        <w:t xml:space="preserve">“En el supuesto de que el particular no haya señalado el periodo respecto del cual requiere la información, o bien, de la solicitud presentada no se adviertan elementos que permitan </w:t>
      </w:r>
      <w:r w:rsidRPr="00B8145D">
        <w:rPr>
          <w:i/>
        </w:rPr>
        <w:lastRenderedPageBreak/>
        <w:t>identificarlo, deberá considerarse, para efectos de la búsqueda de la información, que el requerimiento se refiere al año inmediato anterior, contado a partir de la fecha en que se presentó la solicitud. “</w:t>
      </w:r>
    </w:p>
    <w:p w14:paraId="75ADC6B0" w14:textId="77777777" w:rsidR="00761CB6" w:rsidRPr="00B8145D" w:rsidRDefault="00761CB6" w:rsidP="00B8145D">
      <w:pPr>
        <w:contextualSpacing/>
      </w:pPr>
    </w:p>
    <w:p w14:paraId="6A5394A3" w14:textId="4E6C3FB5" w:rsidR="00761CB6" w:rsidRPr="00B8145D" w:rsidRDefault="00761CB6" w:rsidP="00B8145D">
      <w:pPr>
        <w:contextualSpacing/>
      </w:pPr>
      <w:r w:rsidRPr="00B8145D">
        <w:t>En consecuencia, la temporalidad que va a regir nuestro estudio es sobre la información que se generó del 06 de febrero de 2024 al 06 de febrero de 2025.</w:t>
      </w:r>
    </w:p>
    <w:p w14:paraId="010D3782" w14:textId="77777777" w:rsidR="00761CB6" w:rsidRPr="00B8145D" w:rsidRDefault="00761CB6" w:rsidP="00B8145D">
      <w:pPr>
        <w:contextualSpacing/>
      </w:pPr>
    </w:p>
    <w:p w14:paraId="25CCE8C9" w14:textId="690553FA" w:rsidR="00761CB6" w:rsidRPr="00B8145D" w:rsidRDefault="00761CB6" w:rsidP="00B8145D">
      <w:pPr>
        <w:tabs>
          <w:tab w:val="left" w:pos="4962"/>
        </w:tabs>
        <w:rPr>
          <w:rFonts w:cs="Tahoma"/>
          <w:bCs/>
        </w:rPr>
      </w:pPr>
      <w:r w:rsidRPr="00B8145D">
        <w:rPr>
          <w:rFonts w:eastAsia="Palatino Linotype" w:cs="Palatino Linotype"/>
        </w:rPr>
        <w:t xml:space="preserve">Señalado lo anterior, </w:t>
      </w:r>
      <w:r w:rsidRPr="00B8145D">
        <w:rPr>
          <w:rFonts w:cs="Tahoma"/>
        </w:rPr>
        <w:t xml:space="preserve">es </w:t>
      </w:r>
      <w:r w:rsidRPr="00B8145D">
        <w:rPr>
          <w:rFonts w:cs="Tahoma"/>
          <w:bCs/>
        </w:rPr>
        <w:t xml:space="preserve">necesario hacer referencia </w:t>
      </w:r>
      <w:r w:rsidRPr="00B8145D">
        <w:rPr>
          <w:rFonts w:cs="Tahoma"/>
        </w:rPr>
        <w:t xml:space="preserve">al </w:t>
      </w:r>
      <w:r w:rsidRPr="00B8145D">
        <w:rPr>
          <w:rFonts w:cs="Tahoma"/>
          <w:b/>
        </w:rPr>
        <w:t>procedimiento de búsqueda que deben de seguir los Sujetos Obligados para localizar la información</w:t>
      </w:r>
      <w:r w:rsidRPr="00B8145D">
        <w:rPr>
          <w:rFonts w:cs="Tahoma"/>
        </w:rPr>
        <w:t>, el cual se encuentra previsto en los artículos</w:t>
      </w:r>
      <w:r w:rsidRPr="00B8145D">
        <w:rPr>
          <w:rFonts w:cs="Tahoma"/>
          <w:bCs/>
        </w:rPr>
        <w:t xml:space="preserve"> 160 y 162 de la Ley de Transparencia y Acceso a la Información Pública del Estado de México y Municipios, mismo que es el siguiente:</w:t>
      </w:r>
    </w:p>
    <w:p w14:paraId="410B3492" w14:textId="77777777" w:rsidR="00761CB6" w:rsidRPr="00B8145D" w:rsidRDefault="00761CB6" w:rsidP="00B8145D">
      <w:pPr>
        <w:rPr>
          <w:rFonts w:cs="Tahoma"/>
        </w:rPr>
      </w:pPr>
    </w:p>
    <w:p w14:paraId="65EC9ECD" w14:textId="77777777" w:rsidR="00761CB6" w:rsidRPr="00B8145D" w:rsidRDefault="00761CB6" w:rsidP="00B8145D">
      <w:pPr>
        <w:numPr>
          <w:ilvl w:val="0"/>
          <w:numId w:val="18"/>
        </w:numPr>
        <w:rPr>
          <w:rFonts w:cs="Tahoma"/>
          <w:bCs/>
        </w:rPr>
      </w:pPr>
      <w:r w:rsidRPr="00B8145D">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1950F8A" w14:textId="77777777" w:rsidR="00761CB6" w:rsidRPr="00B8145D" w:rsidRDefault="00761CB6" w:rsidP="00B8145D">
      <w:pPr>
        <w:rPr>
          <w:rFonts w:cs="Tahoma"/>
          <w:bCs/>
        </w:rPr>
      </w:pPr>
    </w:p>
    <w:p w14:paraId="0E81FEA6" w14:textId="77777777" w:rsidR="00761CB6" w:rsidRPr="00B8145D" w:rsidRDefault="00761CB6" w:rsidP="00B8145D">
      <w:pPr>
        <w:numPr>
          <w:ilvl w:val="0"/>
          <w:numId w:val="18"/>
        </w:numPr>
        <w:rPr>
          <w:rFonts w:cs="Tahoma"/>
          <w:bCs/>
        </w:rPr>
      </w:pPr>
      <w:r w:rsidRPr="00B8145D">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C12CDCB" w14:textId="77777777" w:rsidR="00761CB6" w:rsidRPr="00B8145D" w:rsidRDefault="00761CB6" w:rsidP="00B8145D">
      <w:pPr>
        <w:rPr>
          <w:rFonts w:cs="Tahoma"/>
          <w:b/>
          <w:bCs/>
        </w:rPr>
      </w:pPr>
    </w:p>
    <w:p w14:paraId="4AF91DD1" w14:textId="77777777" w:rsidR="00067D80" w:rsidRPr="00B8145D" w:rsidRDefault="00761CB6" w:rsidP="00B8145D">
      <w:r w:rsidRPr="00B8145D">
        <w:t xml:space="preserve">Así, este Órgano Garante considera que el Sujeto Obligado no cumplió con el procedimiento de búsqueda exhaustiva y razonable, pues </w:t>
      </w:r>
      <w:r w:rsidR="00067D80" w:rsidRPr="00B8145D">
        <w:t xml:space="preserve">únicamente </w:t>
      </w:r>
      <w:r w:rsidRPr="00B8145D">
        <w:t xml:space="preserve">gestionó la solicitud de información en las </w:t>
      </w:r>
      <w:r w:rsidR="00067D80" w:rsidRPr="00B8145D">
        <w:rPr>
          <w:rFonts w:eastAsiaTheme="minorHAnsi" w:cs="Tahoma"/>
          <w:bCs/>
          <w:iCs/>
          <w:szCs w:val="22"/>
          <w:lang w:eastAsia="en-US"/>
        </w:rPr>
        <w:t xml:space="preserve">Unidad de Información, Planeación, Programación y Evaluación y no así a la Dirección de </w:t>
      </w:r>
      <w:r w:rsidR="00067D80" w:rsidRPr="00B8145D">
        <w:rPr>
          <w:rFonts w:eastAsiaTheme="minorHAnsi" w:cs="Tahoma"/>
          <w:bCs/>
          <w:iCs/>
          <w:szCs w:val="22"/>
          <w:lang w:eastAsia="en-US"/>
        </w:rPr>
        <w:lastRenderedPageBreak/>
        <w:t>Información, Dirección de Evaluación y Dirección de Vinculación</w:t>
      </w:r>
      <w:r w:rsidRPr="00B8145D">
        <w:t xml:space="preserve">, tal como puede advertirse en </w:t>
      </w:r>
      <w:r w:rsidR="00067D80" w:rsidRPr="00B8145D">
        <w:t>los oficios remitidos mediante respuesta.</w:t>
      </w:r>
    </w:p>
    <w:p w14:paraId="05E63EC3" w14:textId="2BA3EE49" w:rsidR="00761CB6" w:rsidRPr="00B8145D" w:rsidRDefault="00067D80" w:rsidP="00B8145D">
      <w:r w:rsidRPr="00B8145D">
        <w:t xml:space="preserve"> </w:t>
      </w:r>
    </w:p>
    <w:p w14:paraId="6D02625A" w14:textId="1A02101B" w:rsidR="00761CB6" w:rsidRPr="00B8145D" w:rsidRDefault="00067D80" w:rsidP="00B8145D">
      <w:pPr>
        <w:rPr>
          <w:rFonts w:cs="Tahoma"/>
        </w:rPr>
      </w:pPr>
      <w:r w:rsidRPr="00B8145D">
        <w:rPr>
          <w:rFonts w:cs="Tahoma"/>
        </w:rPr>
        <w:t xml:space="preserve">Por lo que es pertinente traer a colación lo establecido por el </w:t>
      </w:r>
      <w:r w:rsidR="00761CB6" w:rsidRPr="00B8145D">
        <w:rPr>
          <w:rFonts w:cs="Tahoma"/>
        </w:rPr>
        <w:t xml:space="preserve">artículo 1.8, fracción XIII, del Código Administrativo del Estado de México, </w:t>
      </w:r>
      <w:r w:rsidRPr="00B8145D">
        <w:rPr>
          <w:rFonts w:cs="Tahoma"/>
        </w:rPr>
        <w:t xml:space="preserve">el cual </w:t>
      </w:r>
      <w:r w:rsidR="00761CB6" w:rsidRPr="00B8145D">
        <w:rPr>
          <w:rFonts w:cs="Tahoma"/>
        </w:rPr>
        <w:t xml:space="preserve">establece que para que tenga validez, todo acto administrativo deberá resolver todos los puntos propuestos por los interesados; además, el </w:t>
      </w:r>
      <w:r w:rsidR="00761CB6" w:rsidRPr="00B8145D">
        <w:rPr>
          <w:rFonts w:cs="Tahoma"/>
          <w:bCs/>
        </w:rPr>
        <w:t xml:space="preserve">Criterio de interpretación con clave de registro </w:t>
      </w:r>
      <w:r w:rsidR="00761CB6" w:rsidRPr="00B8145D">
        <w:rPr>
          <w:rFonts w:cs="Tahoma"/>
        </w:rPr>
        <w:t>SO/002/2017, de la Segunda Época</w:t>
      </w:r>
      <w:r w:rsidR="00761CB6" w:rsidRPr="00B8145D">
        <w:rPr>
          <w:rFonts w:cs="Tahoma"/>
          <w:bCs/>
        </w:rPr>
        <w:t>, emitido por el</w:t>
      </w:r>
      <w:r w:rsidRPr="00B8145D">
        <w:rPr>
          <w:rFonts w:cs="Tahoma"/>
          <w:bCs/>
        </w:rPr>
        <w:t xml:space="preserve"> entonces </w:t>
      </w:r>
      <w:r w:rsidR="00761CB6" w:rsidRPr="00B8145D">
        <w:rPr>
          <w:rFonts w:cs="Tahoma"/>
          <w:bCs/>
        </w:rPr>
        <w:t>Instituto Nacional de Transparencia, Acceso a la Información y Protección de Datos Personales</w:t>
      </w:r>
      <w:r w:rsidR="00761CB6" w:rsidRPr="00B8145D">
        <w:rPr>
          <w:rFonts w:cs="Tahoma"/>
        </w:rPr>
        <w:t>, del Instituto Nacional de Transparencia, Acceso a la Información y Protección de Datos Personales, precisa lo siguiente:</w:t>
      </w:r>
    </w:p>
    <w:p w14:paraId="0F841AA6" w14:textId="77777777" w:rsidR="00761CB6" w:rsidRPr="00B8145D" w:rsidRDefault="00761CB6" w:rsidP="00B8145D">
      <w:pPr>
        <w:rPr>
          <w:rFonts w:cs="Tahoma"/>
        </w:rPr>
      </w:pPr>
    </w:p>
    <w:p w14:paraId="59FF00D5" w14:textId="77777777" w:rsidR="00761CB6" w:rsidRPr="00B8145D" w:rsidRDefault="00761CB6" w:rsidP="00B8145D">
      <w:pPr>
        <w:pStyle w:val="Puesto"/>
      </w:pPr>
      <w:r w:rsidRPr="00B8145D">
        <w:rPr>
          <w:b/>
          <w:bCs/>
        </w:rPr>
        <w:t xml:space="preserve">Congruencia y exhaustividad. Sus alcances para garantizar el derecho de acceso a la información. </w:t>
      </w:r>
      <w:r w:rsidRPr="00B8145D">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B8145D">
        <w:rPr>
          <w:u w:val="single"/>
        </w:rPr>
        <w:t>la exhaustividad significa que dicha respuesta se refiera expresamente a cada uno de los puntos solicitados</w:t>
      </w:r>
      <w:r w:rsidRPr="00B8145D">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6CFE3DE" w14:textId="77777777" w:rsidR="00761CB6" w:rsidRPr="00B8145D" w:rsidRDefault="00761CB6" w:rsidP="00B8145D">
      <w:pPr>
        <w:ind w:left="567" w:right="567"/>
        <w:rPr>
          <w:i/>
          <w:iCs/>
        </w:rPr>
      </w:pPr>
    </w:p>
    <w:p w14:paraId="10657220" w14:textId="77777777" w:rsidR="00761CB6" w:rsidRPr="00B8145D" w:rsidRDefault="00761CB6" w:rsidP="00B8145D">
      <w:pPr>
        <w:rPr>
          <w:rFonts w:cs="Tahoma"/>
          <w:bCs/>
          <w:lang w:val="es-ES_tradnl"/>
        </w:rPr>
      </w:pPr>
      <w:r w:rsidRPr="00B8145D">
        <w:rPr>
          <w:rFonts w:cs="Tahoma"/>
        </w:rPr>
        <w:t xml:space="preserve">Conforme al criterio referido, se logra vislumbrar que </w:t>
      </w:r>
      <w:r w:rsidRPr="00B8145D">
        <w:rPr>
          <w:rFonts w:cs="Tahoma"/>
          <w:bCs/>
        </w:rPr>
        <w:t xml:space="preserve">todo acto administrativo debe apegarse al </w:t>
      </w:r>
      <w:r w:rsidRPr="00B8145D">
        <w:rPr>
          <w:rFonts w:cs="Tahoma"/>
          <w:b/>
          <w:bCs/>
        </w:rPr>
        <w:t>principio de exhaustividad</w:t>
      </w:r>
      <w:r w:rsidRPr="00B8145D">
        <w:rPr>
          <w:rFonts w:cs="Tahoma"/>
          <w:bCs/>
        </w:rPr>
        <w:t xml:space="preserve">, </w:t>
      </w:r>
      <w:r w:rsidRPr="00B8145D">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1ED7EB20" w14:textId="77777777" w:rsidR="00761CB6" w:rsidRPr="00B8145D" w:rsidRDefault="00761CB6" w:rsidP="00B8145D">
      <w:pPr>
        <w:rPr>
          <w:rFonts w:cs="Tahoma"/>
        </w:rPr>
      </w:pPr>
    </w:p>
    <w:p w14:paraId="5C63F8A0" w14:textId="2C5CDAB5" w:rsidR="00761CB6" w:rsidRPr="00B8145D" w:rsidRDefault="00761CB6" w:rsidP="00B8145D">
      <w:pPr>
        <w:rPr>
          <w:rFonts w:cs="Tahoma"/>
          <w:b/>
          <w:bCs/>
        </w:rPr>
      </w:pPr>
      <w:r w:rsidRPr="00B8145D">
        <w:rPr>
          <w:rFonts w:cs="Tahoma"/>
          <w:lang w:eastAsia="es-MX"/>
        </w:rPr>
        <w:t xml:space="preserve">En esa tesitura, se concluye que el </w:t>
      </w:r>
      <w:r w:rsidRPr="00B8145D">
        <w:rPr>
          <w:rFonts w:cs="Tahoma"/>
          <w:b/>
          <w:bCs/>
          <w:lang w:eastAsia="es-MX"/>
        </w:rPr>
        <w:t>SUJETO OBLIGADO</w:t>
      </w:r>
      <w:r w:rsidRPr="00B8145D">
        <w:rPr>
          <w:rFonts w:cs="Tahoma"/>
          <w:lang w:eastAsia="es-MX"/>
        </w:rPr>
        <w:t xml:space="preserve"> no satisfizo el derecho de acceso </w:t>
      </w:r>
      <w:r w:rsidRPr="00B8145D">
        <w:rPr>
          <w:rFonts w:eastAsia="Calibri" w:cs="Tahoma"/>
          <w:bCs/>
        </w:rPr>
        <w:t xml:space="preserve">a la información de </w:t>
      </w:r>
      <w:r w:rsidRPr="00B8145D">
        <w:rPr>
          <w:rFonts w:eastAsia="Calibri" w:cs="Tahoma"/>
          <w:b/>
          <w:bCs/>
          <w:iCs/>
        </w:rPr>
        <w:t>LA PARTE RECURRENTE</w:t>
      </w:r>
      <w:r w:rsidRPr="00B8145D">
        <w:rPr>
          <w:rFonts w:eastAsia="Calibri" w:cs="Tahoma"/>
          <w:bCs/>
        </w:rPr>
        <w:t xml:space="preserve">, </w:t>
      </w:r>
      <w:r w:rsidRPr="00B8145D">
        <w:rPr>
          <w:rFonts w:eastAsia="Calibri" w:cs="Tahoma"/>
          <w:b/>
          <w:bCs/>
        </w:rPr>
        <w:t xml:space="preserve">al incumplir dicho principio, </w:t>
      </w:r>
      <w:r w:rsidRPr="00B8145D">
        <w:rPr>
          <w:rFonts w:eastAsia="Calibri" w:cs="Tahoma"/>
        </w:rPr>
        <w:t xml:space="preserve">pues al no turnar la solicitud de información a todas las áreas </w:t>
      </w:r>
      <w:r w:rsidR="00067D80" w:rsidRPr="00B8145D">
        <w:rPr>
          <w:rFonts w:eastAsia="Calibri" w:cs="Tahoma"/>
        </w:rPr>
        <w:t>a las que se le solicitó la información</w:t>
      </w:r>
      <w:r w:rsidRPr="00B8145D">
        <w:rPr>
          <w:rFonts w:eastAsia="Calibri" w:cs="Tahoma"/>
        </w:rPr>
        <w:t xml:space="preserve">, éstas omitieron pronunciarse respecto a la información requerida, lo cual da como resultado que el agravio sea </w:t>
      </w:r>
      <w:r w:rsidRPr="00B8145D">
        <w:rPr>
          <w:rFonts w:eastAsia="Calibri" w:cs="Tahoma"/>
          <w:b/>
          <w:bCs/>
        </w:rPr>
        <w:t>FUNDADO.</w:t>
      </w:r>
    </w:p>
    <w:p w14:paraId="0245EF57" w14:textId="77777777" w:rsidR="00761CB6" w:rsidRPr="00B8145D" w:rsidRDefault="00761CB6" w:rsidP="00B8145D"/>
    <w:p w14:paraId="42922D94" w14:textId="1A0638C4" w:rsidR="00067D80" w:rsidRPr="00B8145D" w:rsidRDefault="00067D80" w:rsidP="00B8145D">
      <w:pPr>
        <w:ind w:right="-93"/>
      </w:pPr>
      <w:r w:rsidRPr="00B8145D">
        <w:t>Ahora bien, hasta aquí podemos delimitar que hasta la respuesta del SUJETO OBLIGAGO únicamente habían mandado los oficios de la Unidad de Información, Planeación, Programación y Evaluación acompañados del acuerdo emitido por el comité de transparencia mediante el cual se aprobó la clasificación de información como confidencial contenida dentro de dichos oficios.</w:t>
      </w:r>
    </w:p>
    <w:p w14:paraId="1535F5BF" w14:textId="056C041E" w:rsidR="000605CC" w:rsidRPr="00B8145D" w:rsidRDefault="000605CC" w:rsidP="00B8145D">
      <w:pPr>
        <w:ind w:right="-93"/>
      </w:pPr>
    </w:p>
    <w:p w14:paraId="39B36E6B" w14:textId="6A1E9D88" w:rsidR="0029502E" w:rsidRPr="00B8145D" w:rsidRDefault="005B57DD" w:rsidP="00B8145D">
      <w:pPr>
        <w:rPr>
          <w:rFonts w:cs="Tahoma"/>
          <w:bCs/>
          <w:szCs w:val="22"/>
        </w:rPr>
      </w:pPr>
      <w:r w:rsidRPr="00B8145D">
        <w:t xml:space="preserve">Destacando que dentro de dichos oficios </w:t>
      </w:r>
      <w:r w:rsidRPr="00B8145D">
        <w:rPr>
          <w:rFonts w:eastAsia="Arial Unicode MS" w:cs="Arial"/>
        </w:rPr>
        <w:t>se dejaron visibles datos susceptibles de clasificarse como lo es de manera enunciativa mas no limitativa el nombre de una ciudadana en la página 96, oficio 20700004S/200-1/2</w:t>
      </w:r>
      <w:r w:rsidR="0029502E" w:rsidRPr="00B8145D">
        <w:rPr>
          <w:rFonts w:eastAsia="Arial Unicode MS" w:cs="Arial"/>
        </w:rPr>
        <w:t>024 de fecha 5 de julio de 2024</w:t>
      </w:r>
      <w:r w:rsidR="0029502E" w:rsidRPr="00B8145D">
        <w:rPr>
          <w:rFonts w:cs="Tahoma"/>
          <w:bCs/>
          <w:szCs w:val="22"/>
        </w:rPr>
        <w:t>, en consecuencia, resulta procedente dar vista a la Dirección General de Protección de Datos Personales de este Instituto, para que, en el ámbito de sus facultades correspondientes, resuelvan lo conducente y determine, en su caso, el grado de responsabilidad en el incumplimiento de las obligaciones establecidas en la Ley de Protección de Datos Personales en Posesión de Sujetos Obligados del Estado de México y Municipios.</w:t>
      </w:r>
    </w:p>
    <w:p w14:paraId="1BE694D8" w14:textId="07E52E15" w:rsidR="005B57DD" w:rsidRPr="00B8145D" w:rsidRDefault="005B57DD" w:rsidP="00B8145D">
      <w:pPr>
        <w:ind w:right="-93"/>
      </w:pPr>
    </w:p>
    <w:p w14:paraId="5FFAE39C" w14:textId="2E5951A8" w:rsidR="0029502E" w:rsidRPr="00B8145D" w:rsidRDefault="0029502E" w:rsidP="00B8145D">
      <w:pPr>
        <w:ind w:right="-93"/>
      </w:pPr>
      <w:r w:rsidRPr="00B8145D">
        <w:t xml:space="preserve">Posterior a lo anterior, la parte recurrente se adoleció respecto a que no se le proporcionó toda la información solicitada y ante tal argumento </w:t>
      </w:r>
      <w:r w:rsidR="00954F02" w:rsidRPr="00B8145D">
        <w:rPr>
          <w:b/>
        </w:rPr>
        <w:t>EL SUJETO OBLIGADO</w:t>
      </w:r>
      <w:r w:rsidR="00954F02" w:rsidRPr="00B8145D">
        <w:t xml:space="preserve"> </w:t>
      </w:r>
      <w:r w:rsidRPr="00B8145D">
        <w:t>mediante informe justificado remitió:</w:t>
      </w:r>
    </w:p>
    <w:p w14:paraId="65379B7C" w14:textId="6C810B98" w:rsidR="0029502E" w:rsidRPr="00B8145D" w:rsidRDefault="0029502E" w:rsidP="00B8145D">
      <w:pPr>
        <w:ind w:right="-93"/>
      </w:pPr>
    </w:p>
    <w:p w14:paraId="2DA6BBC8" w14:textId="3962212E" w:rsidR="0029502E" w:rsidRPr="00B8145D" w:rsidRDefault="0029502E" w:rsidP="00B8145D">
      <w:pPr>
        <w:pStyle w:val="Prrafodelista"/>
        <w:numPr>
          <w:ilvl w:val="0"/>
          <w:numId w:val="20"/>
        </w:numPr>
        <w:ind w:right="-93"/>
        <w:rPr>
          <w:rFonts w:cs="Tahoma"/>
          <w:bCs/>
          <w:i/>
        </w:rPr>
      </w:pPr>
      <w:r w:rsidRPr="00B8145D">
        <w:rPr>
          <w:rFonts w:cs="Tahoma"/>
          <w:bCs/>
          <w:i/>
        </w:rPr>
        <w:lastRenderedPageBreak/>
        <w:t>Oficios remitidos en respuesta</w:t>
      </w:r>
    </w:p>
    <w:p w14:paraId="049FAFA4" w14:textId="1CDABE66" w:rsidR="0029502E" w:rsidRPr="00B8145D" w:rsidRDefault="0029502E" w:rsidP="00B8145D">
      <w:pPr>
        <w:pStyle w:val="Prrafodelista"/>
        <w:numPr>
          <w:ilvl w:val="0"/>
          <w:numId w:val="20"/>
        </w:numPr>
        <w:ind w:right="-93"/>
        <w:rPr>
          <w:rFonts w:cs="Tahoma"/>
          <w:bCs/>
          <w:i/>
        </w:rPr>
      </w:pPr>
      <w:r w:rsidRPr="00B8145D">
        <w:rPr>
          <w:rFonts w:cs="Tahoma"/>
          <w:bCs/>
          <w:i/>
        </w:rPr>
        <w:t>Informe Justificado emitido por la servidora pública habilitada de la Unidad de Información, Planeación, Programación y Evaluación mediante el cual informa que respecto a la inconformidad hecha valer por el recurrente consistente en que faltan oficios, al respecto el SUJETO OBLIGADO manifestó que los números faltantes fueron cancelados toda vez que fueron solicitados, pero no utilizados.</w:t>
      </w:r>
    </w:p>
    <w:p w14:paraId="00B660D1" w14:textId="45633063" w:rsidR="0029502E" w:rsidRPr="00B8145D" w:rsidRDefault="0029502E" w:rsidP="00B8145D">
      <w:pPr>
        <w:pStyle w:val="Prrafodelista"/>
        <w:numPr>
          <w:ilvl w:val="0"/>
          <w:numId w:val="20"/>
        </w:numPr>
        <w:rPr>
          <w:rFonts w:eastAsia="Arial Unicode MS" w:cs="Arial"/>
        </w:rPr>
      </w:pPr>
      <w:r w:rsidRPr="00B8145D">
        <w:rPr>
          <w:rFonts w:eastAsia="Arial Unicode MS" w:cs="Arial"/>
        </w:rPr>
        <w:t>De la DIRECCIÓN DE EVALUACIÓN.pdf. Archivo que contiene los siguientes oficios emitidos por el Director de Evaluación y un archivo con 541 hojas con diversos oficios:</w:t>
      </w:r>
    </w:p>
    <w:tbl>
      <w:tblPr>
        <w:tblStyle w:val="Tablaconcuadrcula"/>
        <w:tblW w:w="0" w:type="auto"/>
        <w:tblInd w:w="1440" w:type="dxa"/>
        <w:tblLook w:val="04A0" w:firstRow="1" w:lastRow="0" w:firstColumn="1" w:lastColumn="0" w:noHBand="0" w:noVBand="1"/>
      </w:tblPr>
      <w:tblGrid>
        <w:gridCol w:w="3756"/>
        <w:gridCol w:w="3838"/>
      </w:tblGrid>
      <w:tr w:rsidR="00B8145D" w:rsidRPr="00B8145D" w14:paraId="769543A6" w14:textId="77777777" w:rsidTr="0029502E">
        <w:tc>
          <w:tcPr>
            <w:tcW w:w="4517"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6FACD8D0" w14:textId="77777777" w:rsidR="0029502E" w:rsidRPr="00B8145D" w:rsidRDefault="0029502E" w:rsidP="00B8145D">
            <w:pPr>
              <w:pStyle w:val="Puesto"/>
              <w:rPr>
                <w:rFonts w:eastAsia="Arial Unicode MS"/>
              </w:rPr>
            </w:pPr>
            <w:r w:rsidRPr="00B8145D">
              <w:rPr>
                <w:rFonts w:eastAsia="Arial Unicode MS"/>
              </w:rPr>
              <w:t>Año</w:t>
            </w:r>
          </w:p>
        </w:tc>
        <w:tc>
          <w:tcPr>
            <w:tcW w:w="4517"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550687D1" w14:textId="77777777" w:rsidR="0029502E" w:rsidRPr="00B8145D" w:rsidRDefault="0029502E" w:rsidP="00B8145D">
            <w:pPr>
              <w:pStyle w:val="Puesto"/>
              <w:rPr>
                <w:rFonts w:eastAsia="Arial Unicode MS"/>
              </w:rPr>
            </w:pPr>
            <w:r w:rsidRPr="00B8145D">
              <w:rPr>
                <w:rFonts w:eastAsia="Arial Unicode MS"/>
              </w:rPr>
              <w:t>Número de oficio</w:t>
            </w:r>
          </w:p>
        </w:tc>
      </w:tr>
      <w:tr w:rsidR="00B8145D" w:rsidRPr="00B8145D" w14:paraId="44B8100C" w14:textId="77777777" w:rsidTr="0029502E">
        <w:tc>
          <w:tcPr>
            <w:tcW w:w="4517" w:type="dxa"/>
            <w:tcBorders>
              <w:top w:val="single" w:sz="4" w:space="0" w:color="auto"/>
              <w:left w:val="single" w:sz="4" w:space="0" w:color="auto"/>
              <w:bottom w:val="single" w:sz="4" w:space="0" w:color="auto"/>
              <w:right w:val="single" w:sz="4" w:space="0" w:color="auto"/>
            </w:tcBorders>
            <w:hideMark/>
          </w:tcPr>
          <w:p w14:paraId="575138A1" w14:textId="77777777" w:rsidR="0029502E" w:rsidRPr="00B8145D" w:rsidRDefault="0029502E" w:rsidP="00B8145D">
            <w:pPr>
              <w:pStyle w:val="Puesto"/>
              <w:rPr>
                <w:rFonts w:eastAsia="Arial Unicode MS"/>
              </w:rPr>
            </w:pPr>
            <w:r w:rsidRPr="00B8145D">
              <w:rPr>
                <w:rFonts w:eastAsia="Arial Unicode MS"/>
              </w:rPr>
              <w:t>2024</w:t>
            </w:r>
          </w:p>
        </w:tc>
        <w:tc>
          <w:tcPr>
            <w:tcW w:w="4517" w:type="dxa"/>
            <w:tcBorders>
              <w:top w:val="single" w:sz="4" w:space="0" w:color="auto"/>
              <w:left w:val="single" w:sz="4" w:space="0" w:color="auto"/>
              <w:bottom w:val="single" w:sz="4" w:space="0" w:color="auto"/>
              <w:right w:val="single" w:sz="4" w:space="0" w:color="auto"/>
            </w:tcBorders>
            <w:hideMark/>
          </w:tcPr>
          <w:p w14:paraId="61F6661B" w14:textId="77777777" w:rsidR="0029502E" w:rsidRPr="00B8145D" w:rsidRDefault="0029502E" w:rsidP="00B8145D">
            <w:pPr>
              <w:pStyle w:val="Puesto"/>
              <w:rPr>
                <w:rFonts w:eastAsia="Arial Unicode MS"/>
              </w:rPr>
            </w:pPr>
            <w:r w:rsidRPr="00B8145D">
              <w:rPr>
                <w:rFonts w:eastAsia="Arial Unicode MS"/>
              </w:rPr>
              <w:t xml:space="preserve">1, 2, 3, 4 y 7 </w:t>
            </w:r>
          </w:p>
        </w:tc>
      </w:tr>
      <w:tr w:rsidR="0029502E" w:rsidRPr="00B8145D" w14:paraId="5FEB6AB0" w14:textId="77777777" w:rsidTr="0029502E">
        <w:tc>
          <w:tcPr>
            <w:tcW w:w="4517" w:type="dxa"/>
            <w:tcBorders>
              <w:top w:val="single" w:sz="4" w:space="0" w:color="auto"/>
              <w:left w:val="single" w:sz="4" w:space="0" w:color="auto"/>
              <w:bottom w:val="single" w:sz="4" w:space="0" w:color="auto"/>
              <w:right w:val="single" w:sz="4" w:space="0" w:color="auto"/>
            </w:tcBorders>
            <w:hideMark/>
          </w:tcPr>
          <w:p w14:paraId="644C67F6" w14:textId="77777777" w:rsidR="0029502E" w:rsidRPr="00B8145D" w:rsidRDefault="0029502E" w:rsidP="00B8145D">
            <w:pPr>
              <w:pStyle w:val="Puesto"/>
              <w:rPr>
                <w:rFonts w:eastAsia="Arial Unicode MS"/>
              </w:rPr>
            </w:pPr>
            <w:r w:rsidRPr="00B8145D">
              <w:rPr>
                <w:rFonts w:eastAsia="Arial Unicode MS"/>
              </w:rPr>
              <w:t>2025</w:t>
            </w:r>
          </w:p>
        </w:tc>
        <w:tc>
          <w:tcPr>
            <w:tcW w:w="4517" w:type="dxa"/>
            <w:tcBorders>
              <w:top w:val="single" w:sz="4" w:space="0" w:color="auto"/>
              <w:left w:val="single" w:sz="4" w:space="0" w:color="auto"/>
              <w:bottom w:val="single" w:sz="4" w:space="0" w:color="auto"/>
              <w:right w:val="single" w:sz="4" w:space="0" w:color="auto"/>
            </w:tcBorders>
            <w:hideMark/>
          </w:tcPr>
          <w:p w14:paraId="623D2CC5" w14:textId="77777777" w:rsidR="0029502E" w:rsidRPr="00B8145D" w:rsidRDefault="0029502E" w:rsidP="00B8145D">
            <w:pPr>
              <w:pStyle w:val="Puesto"/>
              <w:rPr>
                <w:rFonts w:eastAsia="Arial Unicode MS"/>
              </w:rPr>
            </w:pPr>
            <w:r w:rsidRPr="00B8145D">
              <w:rPr>
                <w:rFonts w:eastAsia="Arial Unicode MS"/>
              </w:rPr>
              <w:t>1</w:t>
            </w:r>
          </w:p>
        </w:tc>
      </w:tr>
    </w:tbl>
    <w:p w14:paraId="0EC70588" w14:textId="14931B84" w:rsidR="0029502E" w:rsidRPr="00B8145D" w:rsidRDefault="0029502E" w:rsidP="00B8145D">
      <w:pPr>
        <w:ind w:right="-93"/>
        <w:rPr>
          <w:rFonts w:cs="Tahoma"/>
          <w:bCs/>
          <w:i/>
        </w:rPr>
      </w:pPr>
    </w:p>
    <w:p w14:paraId="632D2B3D" w14:textId="77777777" w:rsidR="0029502E" w:rsidRPr="00B8145D" w:rsidRDefault="0029502E" w:rsidP="00B8145D">
      <w:pPr>
        <w:pStyle w:val="Prrafodelista"/>
        <w:numPr>
          <w:ilvl w:val="0"/>
          <w:numId w:val="23"/>
        </w:numPr>
        <w:rPr>
          <w:rFonts w:eastAsia="Arial Unicode MS" w:cs="Arial"/>
        </w:rPr>
      </w:pPr>
      <w:r w:rsidRPr="00B8145D">
        <w:rPr>
          <w:rFonts w:eastAsia="Arial Unicode MS" w:cs="Arial"/>
        </w:rPr>
        <w:t>Archivo que contiene 16 páginas que contiene diversos oficios de la Dirección de Información a manera de ejemplo los siguientes:</w:t>
      </w:r>
    </w:p>
    <w:tbl>
      <w:tblPr>
        <w:tblStyle w:val="Tablaconcuadrcula"/>
        <w:tblW w:w="0" w:type="auto"/>
        <w:tblInd w:w="1440" w:type="dxa"/>
        <w:tblLook w:val="04A0" w:firstRow="1" w:lastRow="0" w:firstColumn="1" w:lastColumn="0" w:noHBand="0" w:noVBand="1"/>
      </w:tblPr>
      <w:tblGrid>
        <w:gridCol w:w="3726"/>
        <w:gridCol w:w="3868"/>
      </w:tblGrid>
      <w:tr w:rsidR="00B8145D" w:rsidRPr="00B8145D" w14:paraId="3D9CE913" w14:textId="77777777" w:rsidTr="0029502E">
        <w:tc>
          <w:tcPr>
            <w:tcW w:w="3726"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56E0B37A" w14:textId="77777777" w:rsidR="0029502E" w:rsidRPr="00B8145D" w:rsidRDefault="0029502E" w:rsidP="00B8145D">
            <w:pPr>
              <w:pStyle w:val="Puesto"/>
              <w:rPr>
                <w:rFonts w:eastAsia="Arial Unicode MS"/>
              </w:rPr>
            </w:pPr>
            <w:r w:rsidRPr="00B8145D">
              <w:rPr>
                <w:rFonts w:eastAsia="Arial Unicode MS"/>
              </w:rPr>
              <w:t>Año</w:t>
            </w:r>
          </w:p>
        </w:tc>
        <w:tc>
          <w:tcPr>
            <w:tcW w:w="3868"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055233E1" w14:textId="77777777" w:rsidR="0029502E" w:rsidRPr="00B8145D" w:rsidRDefault="0029502E" w:rsidP="00B8145D">
            <w:pPr>
              <w:pStyle w:val="Puesto"/>
              <w:rPr>
                <w:rFonts w:eastAsia="Arial Unicode MS"/>
              </w:rPr>
            </w:pPr>
            <w:r w:rsidRPr="00B8145D">
              <w:rPr>
                <w:rFonts w:eastAsia="Arial Unicode MS"/>
              </w:rPr>
              <w:t>Número de oficio</w:t>
            </w:r>
          </w:p>
        </w:tc>
      </w:tr>
      <w:tr w:rsidR="0029502E" w:rsidRPr="00B8145D" w14:paraId="4C6FB5F0" w14:textId="77777777" w:rsidTr="0029502E">
        <w:tc>
          <w:tcPr>
            <w:tcW w:w="3726" w:type="dxa"/>
            <w:tcBorders>
              <w:top w:val="single" w:sz="4" w:space="0" w:color="auto"/>
              <w:left w:val="single" w:sz="4" w:space="0" w:color="auto"/>
              <w:bottom w:val="single" w:sz="4" w:space="0" w:color="auto"/>
              <w:right w:val="single" w:sz="4" w:space="0" w:color="auto"/>
            </w:tcBorders>
            <w:hideMark/>
          </w:tcPr>
          <w:p w14:paraId="47A6496E" w14:textId="77777777" w:rsidR="0029502E" w:rsidRPr="00B8145D" w:rsidRDefault="0029502E" w:rsidP="00B8145D">
            <w:pPr>
              <w:pStyle w:val="Puesto"/>
              <w:rPr>
                <w:rFonts w:eastAsia="Arial Unicode MS"/>
              </w:rPr>
            </w:pPr>
            <w:r w:rsidRPr="00B8145D">
              <w:rPr>
                <w:rFonts w:eastAsia="Arial Unicode MS"/>
              </w:rPr>
              <w:t>2024</w:t>
            </w:r>
          </w:p>
        </w:tc>
        <w:tc>
          <w:tcPr>
            <w:tcW w:w="3868" w:type="dxa"/>
            <w:tcBorders>
              <w:top w:val="single" w:sz="4" w:space="0" w:color="auto"/>
              <w:left w:val="single" w:sz="4" w:space="0" w:color="auto"/>
              <w:bottom w:val="single" w:sz="4" w:space="0" w:color="auto"/>
              <w:right w:val="single" w:sz="4" w:space="0" w:color="auto"/>
            </w:tcBorders>
            <w:hideMark/>
          </w:tcPr>
          <w:p w14:paraId="515BDE65" w14:textId="77777777" w:rsidR="0029502E" w:rsidRPr="00B8145D" w:rsidRDefault="0029502E" w:rsidP="00B8145D">
            <w:pPr>
              <w:pStyle w:val="Puesto"/>
              <w:rPr>
                <w:rFonts w:eastAsia="Arial Unicode MS"/>
              </w:rPr>
            </w:pPr>
            <w:r w:rsidRPr="00B8145D">
              <w:rPr>
                <w:rFonts w:eastAsia="Arial Unicode MS"/>
              </w:rPr>
              <w:t>1, 3, 4, 5, 6, 7, 8, 9, 10, 11, 12, 13, 14 y 15 (dentro de estos oficios también se testaron datos que pudieran ser teléfonos y correos )</w:t>
            </w:r>
          </w:p>
        </w:tc>
      </w:tr>
    </w:tbl>
    <w:p w14:paraId="6A936301" w14:textId="54CB4763" w:rsidR="0029502E" w:rsidRPr="00B8145D" w:rsidRDefault="0029502E" w:rsidP="00B8145D">
      <w:pPr>
        <w:pStyle w:val="Prrafodelista"/>
        <w:ind w:right="-93"/>
        <w:rPr>
          <w:rFonts w:cs="Tahoma"/>
          <w:bCs/>
          <w:i/>
        </w:rPr>
      </w:pPr>
    </w:p>
    <w:p w14:paraId="157E7FC1" w14:textId="5764C5DD" w:rsidR="0095700E" w:rsidRPr="00B8145D" w:rsidRDefault="0095700E" w:rsidP="00B8145D">
      <w:pPr>
        <w:ind w:right="-93"/>
        <w:rPr>
          <w:rFonts w:cs="Tahoma"/>
          <w:bCs/>
        </w:rPr>
      </w:pPr>
      <w:r w:rsidRPr="00B8145D">
        <w:rPr>
          <w:rFonts w:cs="Tahoma"/>
          <w:bCs/>
        </w:rPr>
        <w:t>Una vez estudiada la información remitida tanto en respuesta como en informe justificado se puede concluir lo siguiente:</w:t>
      </w:r>
    </w:p>
    <w:p w14:paraId="5007908B" w14:textId="64E63C2B" w:rsidR="0095700E" w:rsidRPr="00B8145D" w:rsidRDefault="0095700E" w:rsidP="00B8145D">
      <w:pPr>
        <w:pStyle w:val="Prrafodelista"/>
        <w:ind w:right="-93"/>
        <w:rPr>
          <w:rFonts w:cs="Tahoma"/>
          <w:bCs/>
        </w:rPr>
      </w:pPr>
    </w:p>
    <w:p w14:paraId="52D101FA" w14:textId="22F0ADD3" w:rsidR="0095700E" w:rsidRPr="00B8145D" w:rsidRDefault="000F7D4F" w:rsidP="00B8145D">
      <w:pPr>
        <w:ind w:right="-93"/>
        <w:rPr>
          <w:b/>
          <w:i/>
        </w:rPr>
      </w:pPr>
      <w:r w:rsidRPr="00B8145D">
        <w:rPr>
          <w:b/>
          <w:i/>
        </w:rPr>
        <w:t>Análisis de la documentación remitida por la Unidad de Información, Planeación, Programación y Evaluación</w:t>
      </w:r>
      <w:r w:rsidR="0095700E" w:rsidRPr="00B8145D">
        <w:rPr>
          <w:b/>
          <w:i/>
        </w:rPr>
        <w:t>.</w:t>
      </w:r>
    </w:p>
    <w:p w14:paraId="6F9F2AF0" w14:textId="77777777" w:rsidR="0095700E" w:rsidRPr="00B8145D" w:rsidRDefault="0095700E" w:rsidP="00B8145D">
      <w:pPr>
        <w:pStyle w:val="Prrafodelista"/>
        <w:ind w:right="-93"/>
        <w:rPr>
          <w:rFonts w:cs="Tahoma"/>
          <w:bCs/>
        </w:rPr>
      </w:pPr>
    </w:p>
    <w:p w14:paraId="203F14AB" w14:textId="6C3E3C81" w:rsidR="00744454" w:rsidRPr="00B8145D" w:rsidRDefault="00744454" w:rsidP="00B8145D">
      <w:pPr>
        <w:ind w:right="-93"/>
      </w:pPr>
      <w:r w:rsidRPr="00B8145D">
        <w:t xml:space="preserve">En respuesta a la solicitud, se recibió un total de 201 hojas correspondientes a diversos oficios del ejercicio fiscal 2024, así como diversos oficios correspondientes al ejercicio 2025, estos </w:t>
      </w:r>
      <w:r w:rsidRPr="00B8145D">
        <w:lastRenderedPageBreak/>
        <w:t>últimos remitidos mediante informe justificado. A continuación, se enlistan, a manera de ejemplo, algunos de los oficios proporcionados por año:</w:t>
      </w:r>
    </w:p>
    <w:p w14:paraId="509DC37B" w14:textId="37D54D17" w:rsidR="00067D80" w:rsidRPr="00B8145D" w:rsidRDefault="00067D80" w:rsidP="00B8145D">
      <w:pPr>
        <w:ind w:right="-93"/>
      </w:pPr>
    </w:p>
    <w:tbl>
      <w:tblPr>
        <w:tblStyle w:val="Tablaconcuadrcula"/>
        <w:tblW w:w="0" w:type="auto"/>
        <w:tblInd w:w="137" w:type="dxa"/>
        <w:tblLook w:val="04A0" w:firstRow="1" w:lastRow="0" w:firstColumn="1" w:lastColumn="0" w:noHBand="0" w:noVBand="1"/>
      </w:tblPr>
      <w:tblGrid>
        <w:gridCol w:w="3726"/>
        <w:gridCol w:w="3868"/>
      </w:tblGrid>
      <w:tr w:rsidR="00B8145D" w:rsidRPr="00B8145D" w14:paraId="1CF9FE03" w14:textId="77777777" w:rsidTr="00954F02">
        <w:trPr>
          <w:tblHeader/>
        </w:trPr>
        <w:tc>
          <w:tcPr>
            <w:tcW w:w="3726" w:type="dxa"/>
            <w:shd w:val="clear" w:color="auto" w:fill="E8E8E8" w:themeFill="background2"/>
          </w:tcPr>
          <w:p w14:paraId="3CD4BA4B" w14:textId="77777777" w:rsidR="0095700E" w:rsidRPr="00B8145D" w:rsidRDefault="0095700E" w:rsidP="00B8145D">
            <w:pPr>
              <w:pStyle w:val="Puesto"/>
              <w:rPr>
                <w:rFonts w:eastAsia="Arial Unicode MS"/>
              </w:rPr>
            </w:pPr>
            <w:r w:rsidRPr="00B8145D">
              <w:rPr>
                <w:rFonts w:eastAsia="Arial Unicode MS"/>
              </w:rPr>
              <w:t>Año</w:t>
            </w:r>
          </w:p>
        </w:tc>
        <w:tc>
          <w:tcPr>
            <w:tcW w:w="3868" w:type="dxa"/>
            <w:shd w:val="clear" w:color="auto" w:fill="E8E8E8" w:themeFill="background2"/>
          </w:tcPr>
          <w:p w14:paraId="47FBABC8" w14:textId="77777777" w:rsidR="0095700E" w:rsidRPr="00B8145D" w:rsidRDefault="0095700E" w:rsidP="00B8145D">
            <w:pPr>
              <w:pStyle w:val="Puesto"/>
              <w:rPr>
                <w:rFonts w:eastAsia="Arial Unicode MS"/>
              </w:rPr>
            </w:pPr>
            <w:r w:rsidRPr="00B8145D">
              <w:rPr>
                <w:rFonts w:eastAsia="Arial Unicode MS"/>
              </w:rPr>
              <w:t>Número de oficio</w:t>
            </w:r>
          </w:p>
        </w:tc>
      </w:tr>
      <w:tr w:rsidR="0095700E" w:rsidRPr="00B8145D" w14:paraId="0C75CEEE" w14:textId="77777777" w:rsidTr="0095700E">
        <w:tc>
          <w:tcPr>
            <w:tcW w:w="3726" w:type="dxa"/>
          </w:tcPr>
          <w:p w14:paraId="3D927136" w14:textId="77777777" w:rsidR="0095700E" w:rsidRPr="00B8145D" w:rsidRDefault="0095700E" w:rsidP="00B8145D">
            <w:pPr>
              <w:pStyle w:val="Puesto"/>
              <w:rPr>
                <w:rFonts w:eastAsia="Arial Unicode MS"/>
              </w:rPr>
            </w:pPr>
            <w:r w:rsidRPr="00B8145D">
              <w:rPr>
                <w:rFonts w:eastAsia="Arial Unicode MS"/>
              </w:rPr>
              <w:t>2024</w:t>
            </w:r>
          </w:p>
        </w:tc>
        <w:tc>
          <w:tcPr>
            <w:tcW w:w="3868" w:type="dxa"/>
          </w:tcPr>
          <w:p w14:paraId="360E0055" w14:textId="77777777" w:rsidR="0095700E" w:rsidRPr="00B8145D" w:rsidRDefault="0095700E" w:rsidP="00B8145D">
            <w:pPr>
              <w:pStyle w:val="Puesto"/>
              <w:rPr>
                <w:rFonts w:eastAsia="Arial Unicode MS"/>
              </w:rPr>
            </w:pPr>
            <w:r w:rsidRPr="00B8145D">
              <w:rPr>
                <w:rFonts w:eastAsia="Arial Unicode MS"/>
              </w:rPr>
              <w:t xml:space="preserve">250 (se testaron datos que pudieran ser teléfonos y correos </w:t>
            </w:r>
            <w:proofErr w:type="spellStart"/>
            <w:r w:rsidRPr="00B8145D">
              <w:rPr>
                <w:rFonts w:eastAsia="Arial Unicode MS"/>
              </w:rPr>
              <w:t>pag</w:t>
            </w:r>
            <w:proofErr w:type="spellEnd"/>
            <w:r w:rsidRPr="00B8145D">
              <w:rPr>
                <w:rFonts w:eastAsia="Arial Unicode MS"/>
              </w:rPr>
              <w:t>. 73)</w:t>
            </w:r>
          </w:p>
          <w:p w14:paraId="522F7CF1" w14:textId="77777777" w:rsidR="0095700E" w:rsidRPr="00B8145D" w:rsidRDefault="0095700E" w:rsidP="00B8145D">
            <w:pPr>
              <w:pStyle w:val="Puesto"/>
              <w:rPr>
                <w:rFonts w:eastAsia="Arial Unicode MS"/>
              </w:rPr>
            </w:pPr>
            <w:r w:rsidRPr="00B8145D">
              <w:rPr>
                <w:rFonts w:eastAsia="Arial Unicode MS"/>
              </w:rPr>
              <w:t>256</w:t>
            </w:r>
          </w:p>
          <w:p w14:paraId="02D90F02" w14:textId="77777777" w:rsidR="0095700E" w:rsidRPr="00B8145D" w:rsidRDefault="0095700E" w:rsidP="00B8145D">
            <w:pPr>
              <w:pStyle w:val="Puesto"/>
              <w:rPr>
                <w:rFonts w:eastAsia="Arial Unicode MS"/>
              </w:rPr>
            </w:pPr>
            <w:r w:rsidRPr="00B8145D">
              <w:rPr>
                <w:rFonts w:eastAsia="Arial Unicode MS"/>
              </w:rPr>
              <w:t>259</w:t>
            </w:r>
          </w:p>
          <w:p w14:paraId="5C2170F4" w14:textId="77777777" w:rsidR="0095700E" w:rsidRPr="00B8145D" w:rsidRDefault="0095700E" w:rsidP="00B8145D">
            <w:pPr>
              <w:pStyle w:val="Puesto"/>
              <w:rPr>
                <w:rFonts w:eastAsia="Arial Unicode MS"/>
              </w:rPr>
            </w:pPr>
            <w:r w:rsidRPr="00B8145D">
              <w:rPr>
                <w:rFonts w:eastAsia="Arial Unicode MS"/>
              </w:rPr>
              <w:t>262</w:t>
            </w:r>
          </w:p>
          <w:p w14:paraId="09F72773" w14:textId="77777777" w:rsidR="0095700E" w:rsidRPr="00B8145D" w:rsidRDefault="0095700E" w:rsidP="00B8145D">
            <w:pPr>
              <w:pStyle w:val="Puesto"/>
              <w:rPr>
                <w:rFonts w:eastAsia="Arial Unicode MS"/>
              </w:rPr>
            </w:pPr>
            <w:r w:rsidRPr="00B8145D">
              <w:rPr>
                <w:rFonts w:eastAsia="Arial Unicode MS"/>
              </w:rPr>
              <w:t>263</w:t>
            </w:r>
          </w:p>
          <w:p w14:paraId="69B112FC" w14:textId="77777777" w:rsidR="0095700E" w:rsidRPr="00B8145D" w:rsidRDefault="0095700E" w:rsidP="00B8145D">
            <w:pPr>
              <w:pStyle w:val="Puesto"/>
              <w:rPr>
                <w:rFonts w:eastAsia="Arial Unicode MS"/>
              </w:rPr>
            </w:pPr>
            <w:r w:rsidRPr="00B8145D">
              <w:rPr>
                <w:rFonts w:eastAsia="Arial Unicode MS"/>
              </w:rPr>
              <w:t>265</w:t>
            </w:r>
          </w:p>
          <w:p w14:paraId="49322DD4" w14:textId="39813199" w:rsidR="0095700E" w:rsidRPr="00B8145D" w:rsidRDefault="0095700E" w:rsidP="00B8145D">
            <w:pPr>
              <w:pStyle w:val="Puesto"/>
              <w:rPr>
                <w:rFonts w:eastAsia="Arial Unicode MS"/>
              </w:rPr>
            </w:pPr>
            <w:r w:rsidRPr="00B8145D">
              <w:rPr>
                <w:rFonts w:eastAsia="Arial Unicode MS"/>
              </w:rPr>
              <w:t xml:space="preserve">266 </w:t>
            </w:r>
          </w:p>
          <w:p w14:paraId="25150784" w14:textId="77777777" w:rsidR="0095700E" w:rsidRPr="00B8145D" w:rsidRDefault="0095700E" w:rsidP="00B8145D">
            <w:pPr>
              <w:pStyle w:val="Puesto"/>
              <w:rPr>
                <w:rFonts w:eastAsia="Arial Unicode MS"/>
              </w:rPr>
            </w:pPr>
            <w:r w:rsidRPr="00B8145D">
              <w:rPr>
                <w:rFonts w:eastAsia="Arial Unicode MS"/>
              </w:rPr>
              <w:t>268</w:t>
            </w:r>
          </w:p>
          <w:p w14:paraId="32CE2334" w14:textId="77777777" w:rsidR="0095700E" w:rsidRPr="00B8145D" w:rsidRDefault="0095700E" w:rsidP="00B8145D">
            <w:pPr>
              <w:pStyle w:val="Puesto"/>
              <w:rPr>
                <w:rFonts w:eastAsia="Arial Unicode MS"/>
              </w:rPr>
            </w:pPr>
            <w:r w:rsidRPr="00B8145D">
              <w:rPr>
                <w:rFonts w:eastAsia="Arial Unicode MS"/>
              </w:rPr>
              <w:t>269</w:t>
            </w:r>
          </w:p>
          <w:p w14:paraId="292949F9" w14:textId="77777777" w:rsidR="0095700E" w:rsidRPr="00B8145D" w:rsidRDefault="0095700E" w:rsidP="00B8145D">
            <w:pPr>
              <w:pStyle w:val="Puesto"/>
              <w:rPr>
                <w:rFonts w:eastAsia="Arial Unicode MS"/>
              </w:rPr>
            </w:pPr>
            <w:r w:rsidRPr="00B8145D">
              <w:rPr>
                <w:rFonts w:eastAsia="Arial Unicode MS"/>
              </w:rPr>
              <w:t>273</w:t>
            </w:r>
          </w:p>
          <w:p w14:paraId="3007A542" w14:textId="77777777" w:rsidR="0095700E" w:rsidRPr="00B8145D" w:rsidRDefault="0095700E" w:rsidP="00B8145D">
            <w:pPr>
              <w:pStyle w:val="Puesto"/>
              <w:rPr>
                <w:rFonts w:eastAsia="Arial Unicode MS"/>
              </w:rPr>
            </w:pPr>
            <w:r w:rsidRPr="00B8145D">
              <w:rPr>
                <w:rFonts w:eastAsia="Arial Unicode MS"/>
              </w:rPr>
              <w:t>274</w:t>
            </w:r>
          </w:p>
          <w:p w14:paraId="305B999D" w14:textId="77777777" w:rsidR="0095700E" w:rsidRPr="00B8145D" w:rsidRDefault="0095700E" w:rsidP="00B8145D">
            <w:pPr>
              <w:pStyle w:val="Puesto"/>
              <w:rPr>
                <w:rFonts w:eastAsia="Arial Unicode MS"/>
              </w:rPr>
            </w:pPr>
            <w:r w:rsidRPr="00B8145D">
              <w:rPr>
                <w:rFonts w:eastAsia="Arial Unicode MS"/>
              </w:rPr>
              <w:t>278</w:t>
            </w:r>
          </w:p>
          <w:p w14:paraId="4520DE32" w14:textId="77777777" w:rsidR="0095700E" w:rsidRPr="00B8145D" w:rsidRDefault="0095700E" w:rsidP="00B8145D">
            <w:pPr>
              <w:pStyle w:val="Puesto"/>
              <w:rPr>
                <w:rFonts w:eastAsia="Arial Unicode MS"/>
              </w:rPr>
            </w:pPr>
            <w:r w:rsidRPr="00B8145D">
              <w:rPr>
                <w:rFonts w:eastAsia="Arial Unicode MS"/>
              </w:rPr>
              <w:t>279</w:t>
            </w:r>
          </w:p>
          <w:p w14:paraId="18F90CEB" w14:textId="77777777" w:rsidR="0095700E" w:rsidRPr="00B8145D" w:rsidRDefault="0095700E" w:rsidP="00B8145D">
            <w:pPr>
              <w:pStyle w:val="Puesto"/>
              <w:rPr>
                <w:rFonts w:eastAsia="Arial Unicode MS"/>
              </w:rPr>
            </w:pPr>
            <w:r w:rsidRPr="00B8145D">
              <w:rPr>
                <w:rFonts w:eastAsia="Arial Unicode MS"/>
              </w:rPr>
              <w:t>280</w:t>
            </w:r>
          </w:p>
          <w:p w14:paraId="2571444D" w14:textId="77777777" w:rsidR="0095700E" w:rsidRPr="00B8145D" w:rsidRDefault="0095700E" w:rsidP="00B8145D">
            <w:pPr>
              <w:pStyle w:val="Puesto"/>
              <w:rPr>
                <w:rFonts w:eastAsia="Arial Unicode MS"/>
              </w:rPr>
            </w:pPr>
            <w:r w:rsidRPr="00B8145D">
              <w:rPr>
                <w:rFonts w:eastAsia="Arial Unicode MS"/>
              </w:rPr>
              <w:t>286</w:t>
            </w:r>
          </w:p>
          <w:p w14:paraId="055608E8" w14:textId="77777777" w:rsidR="0095700E" w:rsidRPr="00B8145D" w:rsidRDefault="0095700E" w:rsidP="00B8145D">
            <w:pPr>
              <w:pStyle w:val="Puesto"/>
              <w:rPr>
                <w:rFonts w:eastAsia="Arial Unicode MS"/>
              </w:rPr>
            </w:pPr>
            <w:r w:rsidRPr="00B8145D">
              <w:rPr>
                <w:rFonts w:eastAsia="Arial Unicode MS"/>
              </w:rPr>
              <w:t>288</w:t>
            </w:r>
          </w:p>
          <w:p w14:paraId="50A051F8" w14:textId="77777777" w:rsidR="0095700E" w:rsidRPr="00B8145D" w:rsidRDefault="0095700E" w:rsidP="00B8145D">
            <w:pPr>
              <w:pStyle w:val="Puesto"/>
              <w:rPr>
                <w:rFonts w:eastAsia="Arial Unicode MS"/>
              </w:rPr>
            </w:pPr>
            <w:r w:rsidRPr="00B8145D">
              <w:rPr>
                <w:rFonts w:eastAsia="Arial Unicode MS"/>
              </w:rPr>
              <w:t>292</w:t>
            </w:r>
          </w:p>
          <w:p w14:paraId="31757EF2" w14:textId="77777777" w:rsidR="0095700E" w:rsidRPr="00B8145D" w:rsidRDefault="0095700E" w:rsidP="00B8145D">
            <w:pPr>
              <w:pStyle w:val="Puesto"/>
              <w:rPr>
                <w:rFonts w:eastAsia="Arial Unicode MS"/>
              </w:rPr>
            </w:pPr>
            <w:r w:rsidRPr="00B8145D">
              <w:rPr>
                <w:rFonts w:eastAsia="Arial Unicode MS"/>
              </w:rPr>
              <w:t>293</w:t>
            </w:r>
          </w:p>
          <w:p w14:paraId="0393DA51" w14:textId="77777777" w:rsidR="0095700E" w:rsidRPr="00B8145D" w:rsidRDefault="0095700E" w:rsidP="00B8145D">
            <w:pPr>
              <w:pStyle w:val="Puesto"/>
              <w:rPr>
                <w:rFonts w:eastAsia="Arial Unicode MS"/>
              </w:rPr>
            </w:pPr>
            <w:r w:rsidRPr="00B8145D">
              <w:rPr>
                <w:rFonts w:eastAsia="Arial Unicode MS"/>
              </w:rPr>
              <w:t>298</w:t>
            </w:r>
          </w:p>
          <w:p w14:paraId="5A2B0514" w14:textId="77777777" w:rsidR="0095700E" w:rsidRPr="00B8145D" w:rsidRDefault="0095700E" w:rsidP="00B8145D">
            <w:pPr>
              <w:pStyle w:val="Puesto"/>
              <w:rPr>
                <w:rFonts w:eastAsia="Arial Unicode MS"/>
              </w:rPr>
            </w:pPr>
            <w:r w:rsidRPr="00B8145D">
              <w:rPr>
                <w:rFonts w:eastAsia="Arial Unicode MS"/>
              </w:rPr>
              <w:t>302</w:t>
            </w:r>
          </w:p>
          <w:p w14:paraId="3F6EBE30" w14:textId="77777777" w:rsidR="0095700E" w:rsidRPr="00B8145D" w:rsidRDefault="0095700E" w:rsidP="00B8145D">
            <w:pPr>
              <w:pStyle w:val="Puesto"/>
              <w:rPr>
                <w:rFonts w:eastAsia="Arial Unicode MS"/>
              </w:rPr>
            </w:pPr>
            <w:r w:rsidRPr="00B8145D">
              <w:rPr>
                <w:rFonts w:eastAsia="Arial Unicode MS"/>
              </w:rPr>
              <w:t>308</w:t>
            </w:r>
          </w:p>
          <w:p w14:paraId="1682FCD3" w14:textId="77777777" w:rsidR="0095700E" w:rsidRPr="00B8145D" w:rsidRDefault="0095700E" w:rsidP="00B8145D">
            <w:pPr>
              <w:pStyle w:val="Puesto"/>
              <w:rPr>
                <w:rFonts w:eastAsia="Arial Unicode MS"/>
              </w:rPr>
            </w:pPr>
            <w:r w:rsidRPr="00B8145D">
              <w:rPr>
                <w:rFonts w:eastAsia="Arial Unicode MS"/>
              </w:rPr>
              <w:t>309</w:t>
            </w:r>
          </w:p>
          <w:p w14:paraId="3A29E5C5" w14:textId="77777777" w:rsidR="0095700E" w:rsidRPr="00B8145D" w:rsidRDefault="0095700E" w:rsidP="00B8145D">
            <w:pPr>
              <w:pStyle w:val="Puesto"/>
              <w:rPr>
                <w:rFonts w:eastAsia="Arial Unicode MS"/>
              </w:rPr>
            </w:pPr>
            <w:r w:rsidRPr="00B8145D">
              <w:rPr>
                <w:rFonts w:eastAsia="Arial Unicode MS"/>
              </w:rPr>
              <w:t>311</w:t>
            </w:r>
          </w:p>
          <w:p w14:paraId="74609C77" w14:textId="77777777" w:rsidR="0095700E" w:rsidRPr="00B8145D" w:rsidRDefault="0095700E" w:rsidP="00B8145D">
            <w:pPr>
              <w:pStyle w:val="Puesto"/>
              <w:rPr>
                <w:rFonts w:eastAsia="Arial Unicode MS"/>
              </w:rPr>
            </w:pPr>
            <w:r w:rsidRPr="00B8145D">
              <w:rPr>
                <w:rFonts w:eastAsia="Arial Unicode MS"/>
              </w:rPr>
              <w:t>312</w:t>
            </w:r>
          </w:p>
          <w:p w14:paraId="395F82A2" w14:textId="77777777" w:rsidR="0095700E" w:rsidRPr="00B8145D" w:rsidRDefault="0095700E" w:rsidP="00B8145D">
            <w:pPr>
              <w:pStyle w:val="Puesto"/>
              <w:rPr>
                <w:rFonts w:eastAsia="Arial Unicode MS"/>
              </w:rPr>
            </w:pPr>
            <w:r w:rsidRPr="00B8145D">
              <w:rPr>
                <w:rFonts w:eastAsia="Arial Unicode MS"/>
              </w:rPr>
              <w:t>317</w:t>
            </w:r>
          </w:p>
          <w:p w14:paraId="20234F01" w14:textId="77777777" w:rsidR="0095700E" w:rsidRPr="00B8145D" w:rsidRDefault="0095700E" w:rsidP="00B8145D">
            <w:pPr>
              <w:pStyle w:val="Puesto"/>
              <w:rPr>
                <w:rFonts w:eastAsia="Arial Unicode MS"/>
              </w:rPr>
            </w:pPr>
            <w:r w:rsidRPr="00B8145D">
              <w:rPr>
                <w:rFonts w:eastAsia="Arial Unicode MS"/>
              </w:rPr>
              <w:t>318</w:t>
            </w:r>
          </w:p>
          <w:p w14:paraId="059A9E27" w14:textId="77777777" w:rsidR="0095700E" w:rsidRPr="00B8145D" w:rsidRDefault="0095700E" w:rsidP="00B8145D">
            <w:pPr>
              <w:pStyle w:val="Puesto"/>
              <w:rPr>
                <w:rFonts w:eastAsia="Arial Unicode MS"/>
              </w:rPr>
            </w:pPr>
            <w:r w:rsidRPr="00B8145D">
              <w:rPr>
                <w:rFonts w:eastAsia="Arial Unicode MS"/>
              </w:rPr>
              <w:t>322</w:t>
            </w:r>
          </w:p>
          <w:p w14:paraId="17B1E7E8" w14:textId="77777777" w:rsidR="0095700E" w:rsidRPr="00B8145D" w:rsidRDefault="0095700E" w:rsidP="00B8145D">
            <w:pPr>
              <w:pStyle w:val="Puesto"/>
              <w:rPr>
                <w:rFonts w:eastAsia="Arial Unicode MS"/>
              </w:rPr>
            </w:pPr>
            <w:r w:rsidRPr="00B8145D">
              <w:rPr>
                <w:rFonts w:eastAsia="Arial Unicode MS"/>
              </w:rPr>
              <w:t>334</w:t>
            </w:r>
          </w:p>
          <w:p w14:paraId="1F1A696E" w14:textId="77777777" w:rsidR="0095700E" w:rsidRPr="00B8145D" w:rsidRDefault="0095700E" w:rsidP="00B8145D">
            <w:pPr>
              <w:pStyle w:val="Puesto"/>
              <w:rPr>
                <w:rFonts w:eastAsia="Arial Unicode MS"/>
              </w:rPr>
            </w:pPr>
            <w:r w:rsidRPr="00B8145D">
              <w:rPr>
                <w:rFonts w:eastAsia="Arial Unicode MS"/>
              </w:rPr>
              <w:t>336 (se testó correo electrónico)</w:t>
            </w:r>
          </w:p>
          <w:p w14:paraId="534B52A3" w14:textId="77777777" w:rsidR="0095700E" w:rsidRPr="00B8145D" w:rsidRDefault="0095700E" w:rsidP="00B8145D">
            <w:pPr>
              <w:pStyle w:val="Puesto"/>
              <w:rPr>
                <w:rFonts w:eastAsia="Arial Unicode MS"/>
              </w:rPr>
            </w:pPr>
            <w:r w:rsidRPr="00B8145D">
              <w:rPr>
                <w:rFonts w:eastAsia="Arial Unicode MS"/>
              </w:rPr>
              <w:lastRenderedPageBreak/>
              <w:t>337 (se testó correo electrónico)</w:t>
            </w:r>
          </w:p>
          <w:p w14:paraId="0BAE2177" w14:textId="77777777" w:rsidR="0095700E" w:rsidRPr="00B8145D" w:rsidRDefault="0095700E" w:rsidP="00B8145D">
            <w:pPr>
              <w:pStyle w:val="Puesto"/>
              <w:rPr>
                <w:rFonts w:eastAsia="Arial Unicode MS"/>
              </w:rPr>
            </w:pPr>
            <w:r w:rsidRPr="00B8145D">
              <w:rPr>
                <w:rFonts w:eastAsia="Arial Unicode MS"/>
              </w:rPr>
              <w:t>338</w:t>
            </w:r>
          </w:p>
          <w:p w14:paraId="32469B70" w14:textId="2C588C08" w:rsidR="0095700E" w:rsidRPr="00B8145D" w:rsidRDefault="0095700E" w:rsidP="00B8145D">
            <w:pPr>
              <w:pStyle w:val="Puesto"/>
              <w:rPr>
                <w:rFonts w:eastAsia="Arial Unicode MS"/>
              </w:rPr>
            </w:pPr>
            <w:r w:rsidRPr="00B8145D">
              <w:rPr>
                <w:rFonts w:eastAsia="Arial Unicode MS"/>
              </w:rPr>
              <w:t xml:space="preserve">342 </w:t>
            </w:r>
          </w:p>
          <w:p w14:paraId="59C5DCEC" w14:textId="77777777" w:rsidR="0095700E" w:rsidRPr="00B8145D" w:rsidRDefault="0095700E" w:rsidP="00B8145D">
            <w:pPr>
              <w:pStyle w:val="Puesto"/>
              <w:rPr>
                <w:rFonts w:eastAsia="Arial Unicode MS"/>
              </w:rPr>
            </w:pPr>
            <w:r w:rsidRPr="00B8145D">
              <w:rPr>
                <w:rFonts w:eastAsia="Arial Unicode MS"/>
              </w:rPr>
              <w:t>343</w:t>
            </w:r>
          </w:p>
          <w:p w14:paraId="16B91D48" w14:textId="77777777" w:rsidR="0095700E" w:rsidRPr="00B8145D" w:rsidRDefault="0095700E" w:rsidP="00B8145D">
            <w:pPr>
              <w:pStyle w:val="Puesto"/>
              <w:rPr>
                <w:rFonts w:eastAsia="Arial Unicode MS"/>
              </w:rPr>
            </w:pPr>
            <w:r w:rsidRPr="00B8145D">
              <w:rPr>
                <w:rFonts w:eastAsia="Arial Unicode MS"/>
              </w:rPr>
              <w:t>345</w:t>
            </w:r>
          </w:p>
          <w:p w14:paraId="56A51AF0" w14:textId="77777777" w:rsidR="0095700E" w:rsidRPr="00B8145D" w:rsidRDefault="0095700E" w:rsidP="00B8145D">
            <w:pPr>
              <w:pStyle w:val="Puesto"/>
              <w:rPr>
                <w:rFonts w:eastAsia="Arial Unicode MS"/>
              </w:rPr>
            </w:pPr>
            <w:r w:rsidRPr="00B8145D">
              <w:rPr>
                <w:rFonts w:eastAsia="Arial Unicode MS"/>
              </w:rPr>
              <w:t>347</w:t>
            </w:r>
          </w:p>
          <w:p w14:paraId="1707437B" w14:textId="77777777" w:rsidR="0095700E" w:rsidRPr="00B8145D" w:rsidRDefault="0095700E" w:rsidP="00B8145D">
            <w:pPr>
              <w:pStyle w:val="Puesto"/>
              <w:rPr>
                <w:rFonts w:eastAsia="Arial Unicode MS"/>
              </w:rPr>
            </w:pPr>
            <w:r w:rsidRPr="00B8145D">
              <w:rPr>
                <w:rFonts w:eastAsia="Arial Unicode MS"/>
              </w:rPr>
              <w:t>349</w:t>
            </w:r>
          </w:p>
          <w:p w14:paraId="0CB47471" w14:textId="77777777" w:rsidR="0095700E" w:rsidRPr="00B8145D" w:rsidRDefault="0095700E" w:rsidP="00B8145D">
            <w:pPr>
              <w:pStyle w:val="Puesto"/>
              <w:rPr>
                <w:rFonts w:eastAsia="Arial Unicode MS"/>
              </w:rPr>
            </w:pPr>
            <w:r w:rsidRPr="00B8145D">
              <w:rPr>
                <w:rFonts w:eastAsia="Arial Unicode MS"/>
              </w:rPr>
              <w:t xml:space="preserve">351 (se testó correo electrónico </w:t>
            </w:r>
            <w:proofErr w:type="spellStart"/>
            <w:r w:rsidRPr="00B8145D">
              <w:rPr>
                <w:rFonts w:eastAsia="Arial Unicode MS"/>
              </w:rPr>
              <w:t>pag</w:t>
            </w:r>
            <w:proofErr w:type="spellEnd"/>
            <w:r w:rsidRPr="00B8145D">
              <w:rPr>
                <w:rFonts w:eastAsia="Arial Unicode MS"/>
              </w:rPr>
              <w:t>. 27)</w:t>
            </w:r>
          </w:p>
          <w:p w14:paraId="01E3D3B8" w14:textId="77777777" w:rsidR="0095700E" w:rsidRPr="00B8145D" w:rsidRDefault="0095700E" w:rsidP="00B8145D">
            <w:pPr>
              <w:pStyle w:val="Puesto"/>
              <w:rPr>
                <w:rFonts w:eastAsia="Arial Unicode MS"/>
              </w:rPr>
            </w:pPr>
            <w:r w:rsidRPr="00B8145D">
              <w:rPr>
                <w:rFonts w:eastAsia="Arial Unicode MS"/>
              </w:rPr>
              <w:t xml:space="preserve">352 (se testaron datos que pudieran ser teléfonos y correos </w:t>
            </w:r>
            <w:proofErr w:type="spellStart"/>
            <w:r w:rsidRPr="00B8145D">
              <w:rPr>
                <w:rFonts w:eastAsia="Arial Unicode MS"/>
              </w:rPr>
              <w:t>pag</w:t>
            </w:r>
            <w:proofErr w:type="spellEnd"/>
            <w:r w:rsidRPr="00B8145D">
              <w:rPr>
                <w:rFonts w:eastAsia="Arial Unicode MS"/>
              </w:rPr>
              <w:t>. 26)</w:t>
            </w:r>
          </w:p>
          <w:p w14:paraId="1C3DE3F5" w14:textId="77777777" w:rsidR="0095700E" w:rsidRPr="00B8145D" w:rsidRDefault="0095700E" w:rsidP="00B8145D">
            <w:pPr>
              <w:pStyle w:val="Puesto"/>
              <w:rPr>
                <w:rFonts w:eastAsia="Arial Unicode MS"/>
              </w:rPr>
            </w:pPr>
            <w:r w:rsidRPr="00B8145D">
              <w:rPr>
                <w:rFonts w:eastAsia="Arial Unicode MS"/>
              </w:rPr>
              <w:t>354</w:t>
            </w:r>
          </w:p>
          <w:p w14:paraId="0D5EE4A2" w14:textId="77777777" w:rsidR="0095700E" w:rsidRPr="00B8145D" w:rsidRDefault="0095700E" w:rsidP="00B8145D">
            <w:pPr>
              <w:pStyle w:val="Puesto"/>
              <w:rPr>
                <w:rFonts w:eastAsia="Arial Unicode MS"/>
              </w:rPr>
            </w:pPr>
            <w:r w:rsidRPr="00B8145D">
              <w:rPr>
                <w:rFonts w:eastAsia="Arial Unicode MS"/>
              </w:rPr>
              <w:t xml:space="preserve">362 </w:t>
            </w:r>
          </w:p>
        </w:tc>
      </w:tr>
    </w:tbl>
    <w:p w14:paraId="0CFB4FEA" w14:textId="759D19EB" w:rsidR="00067D80" w:rsidRPr="00B8145D" w:rsidRDefault="00067D80" w:rsidP="00B8145D">
      <w:pPr>
        <w:ind w:right="-93"/>
      </w:pPr>
    </w:p>
    <w:tbl>
      <w:tblPr>
        <w:tblStyle w:val="Tablaconcuadrcula"/>
        <w:tblW w:w="0" w:type="auto"/>
        <w:tblInd w:w="137" w:type="dxa"/>
        <w:tblLook w:val="04A0" w:firstRow="1" w:lastRow="0" w:firstColumn="1" w:lastColumn="0" w:noHBand="0" w:noVBand="1"/>
      </w:tblPr>
      <w:tblGrid>
        <w:gridCol w:w="3726"/>
        <w:gridCol w:w="3868"/>
      </w:tblGrid>
      <w:tr w:rsidR="00B8145D" w:rsidRPr="00B8145D" w14:paraId="3FBED215" w14:textId="77777777" w:rsidTr="008F1556">
        <w:tc>
          <w:tcPr>
            <w:tcW w:w="3726" w:type="dxa"/>
            <w:shd w:val="clear" w:color="auto" w:fill="E8E8E8" w:themeFill="background2"/>
          </w:tcPr>
          <w:p w14:paraId="59CD4F6A" w14:textId="77777777" w:rsidR="008F1556" w:rsidRPr="00B8145D" w:rsidRDefault="008F1556" w:rsidP="00B8145D">
            <w:pPr>
              <w:pStyle w:val="Puesto"/>
              <w:rPr>
                <w:rFonts w:eastAsia="Arial Unicode MS"/>
              </w:rPr>
            </w:pPr>
            <w:r w:rsidRPr="00B8145D">
              <w:rPr>
                <w:rFonts w:eastAsia="Arial Unicode MS"/>
              </w:rPr>
              <w:t>Año</w:t>
            </w:r>
          </w:p>
        </w:tc>
        <w:tc>
          <w:tcPr>
            <w:tcW w:w="3868" w:type="dxa"/>
            <w:shd w:val="clear" w:color="auto" w:fill="E8E8E8" w:themeFill="background2"/>
          </w:tcPr>
          <w:p w14:paraId="346C7485" w14:textId="77777777" w:rsidR="008F1556" w:rsidRPr="00B8145D" w:rsidRDefault="008F1556" w:rsidP="00B8145D">
            <w:pPr>
              <w:pStyle w:val="Puesto"/>
              <w:rPr>
                <w:rFonts w:eastAsia="Arial Unicode MS"/>
              </w:rPr>
            </w:pPr>
            <w:r w:rsidRPr="00B8145D">
              <w:rPr>
                <w:rFonts w:eastAsia="Arial Unicode MS"/>
              </w:rPr>
              <w:t>Número de oficio</w:t>
            </w:r>
          </w:p>
        </w:tc>
      </w:tr>
      <w:tr w:rsidR="008F1556" w:rsidRPr="00B8145D" w14:paraId="46A211D2" w14:textId="77777777" w:rsidTr="008F1556">
        <w:tc>
          <w:tcPr>
            <w:tcW w:w="3726" w:type="dxa"/>
          </w:tcPr>
          <w:p w14:paraId="168E3936" w14:textId="77777777" w:rsidR="008F1556" w:rsidRPr="00B8145D" w:rsidRDefault="008F1556" w:rsidP="00B8145D">
            <w:pPr>
              <w:pStyle w:val="Puesto"/>
              <w:rPr>
                <w:rFonts w:eastAsia="Arial Unicode MS"/>
              </w:rPr>
            </w:pPr>
            <w:r w:rsidRPr="00B8145D">
              <w:rPr>
                <w:rFonts w:eastAsia="Arial Unicode MS"/>
              </w:rPr>
              <w:t>2025</w:t>
            </w:r>
          </w:p>
        </w:tc>
        <w:tc>
          <w:tcPr>
            <w:tcW w:w="3868" w:type="dxa"/>
          </w:tcPr>
          <w:p w14:paraId="69358E54" w14:textId="77777777" w:rsidR="008F1556" w:rsidRPr="00B8145D" w:rsidRDefault="008F1556" w:rsidP="00B8145D">
            <w:pPr>
              <w:pStyle w:val="Puesto"/>
              <w:rPr>
                <w:rFonts w:eastAsia="Arial Unicode MS"/>
              </w:rPr>
            </w:pPr>
            <w:r w:rsidRPr="00B8145D">
              <w:rPr>
                <w:rFonts w:eastAsia="Arial Unicode MS"/>
              </w:rPr>
              <w:t>10, 45, 47, 44, 43, 42, 41, 38, 36, 35, 32, 29, 28, 24, 23, 22, 21, 20, 19, 18, 17, 16, 15, 12, 9, 5, 4, 3 y 1 (dentro de estos oficios también se testaron datos que pudieran ser teléfonos y correos )</w:t>
            </w:r>
          </w:p>
        </w:tc>
      </w:tr>
    </w:tbl>
    <w:p w14:paraId="64B7E496" w14:textId="01126946" w:rsidR="00067D80" w:rsidRPr="00B8145D" w:rsidRDefault="00067D80" w:rsidP="00B8145D">
      <w:pPr>
        <w:ind w:right="-93"/>
      </w:pPr>
    </w:p>
    <w:p w14:paraId="74F1825E" w14:textId="77777777" w:rsidR="00744454" w:rsidRPr="00B8145D" w:rsidRDefault="00744454" w:rsidP="00B8145D">
      <w:pPr>
        <w:ind w:right="-93"/>
      </w:pPr>
    </w:p>
    <w:p w14:paraId="29D8E241" w14:textId="77777777" w:rsidR="00744454" w:rsidRPr="00B8145D" w:rsidRDefault="00744454" w:rsidP="00B8145D">
      <w:pPr>
        <w:ind w:right="-93"/>
      </w:pPr>
      <w:r w:rsidRPr="00B8145D">
        <w:t>Del análisis realizado a la documentación recibida por parte de la Unidad de Información, Planeación, Programación y Evaluación, se advierten los siguientes aspectos relevantes:</w:t>
      </w:r>
    </w:p>
    <w:p w14:paraId="006CA95D" w14:textId="77777777" w:rsidR="00744454" w:rsidRPr="00B8145D" w:rsidRDefault="00744454" w:rsidP="00B8145D">
      <w:pPr>
        <w:ind w:right="-93"/>
      </w:pPr>
    </w:p>
    <w:p w14:paraId="63AA0EC7" w14:textId="77777777" w:rsidR="00744454" w:rsidRPr="00B8145D" w:rsidRDefault="00744454" w:rsidP="00B8145D">
      <w:pPr>
        <w:ind w:right="-93"/>
        <w:rPr>
          <w:b/>
        </w:rPr>
      </w:pPr>
      <w:r w:rsidRPr="00B8145D">
        <w:rPr>
          <w:b/>
        </w:rPr>
        <w:t>Sobre la inexistencia de algunos oficios</w:t>
      </w:r>
    </w:p>
    <w:p w14:paraId="0E05D8C4" w14:textId="4A4447BD" w:rsidR="00744454" w:rsidRPr="00B8145D" w:rsidRDefault="00744454" w:rsidP="00B8145D">
      <w:pPr>
        <w:ind w:right="-93"/>
      </w:pPr>
      <w:r w:rsidRPr="00B8145D">
        <w:t xml:space="preserve">Aunque se detectó la ausencia de ciertos oficios, la Unidad de Información, Planeación, Programación y Evaluación su no remisión bajo el argumento de que sí fueron generados, pero no utilizados, motivo por el cual no existe evidencia documental que los respalde actualmente; </w:t>
      </w:r>
      <w:r w:rsidRPr="00B8145D">
        <w:lastRenderedPageBreak/>
        <w:t>Este señalamiento resulta satisfactorio en cuanto al cumplimiento formal de la obligación respecto a dichos faltantes.</w:t>
      </w:r>
    </w:p>
    <w:p w14:paraId="1159886F" w14:textId="77777777" w:rsidR="00744454" w:rsidRPr="00B8145D" w:rsidRDefault="00744454" w:rsidP="00B8145D">
      <w:pPr>
        <w:ind w:right="-93"/>
      </w:pPr>
    </w:p>
    <w:p w14:paraId="32D3CAC4" w14:textId="77777777" w:rsidR="00744454" w:rsidRPr="00B8145D" w:rsidRDefault="00744454" w:rsidP="00B8145D">
      <w:pPr>
        <w:ind w:right="-93"/>
        <w:rPr>
          <w:b/>
        </w:rPr>
      </w:pPr>
      <w:r w:rsidRPr="00B8145D">
        <w:rPr>
          <w:b/>
        </w:rPr>
        <w:t>Errores detectados en la documentación entregada</w:t>
      </w:r>
    </w:p>
    <w:p w14:paraId="02167CC6" w14:textId="77777777" w:rsidR="00744454" w:rsidRPr="00B8145D" w:rsidRDefault="00744454" w:rsidP="00B8145D">
      <w:pPr>
        <w:ind w:right="-93"/>
      </w:pPr>
    </w:p>
    <w:p w14:paraId="33BD7AEB" w14:textId="516E8FA2" w:rsidR="00744454" w:rsidRPr="00B8145D" w:rsidRDefault="00744454" w:rsidP="00B8145D">
      <w:pPr>
        <w:ind w:right="-93"/>
      </w:pPr>
      <w:r w:rsidRPr="00B8145D">
        <w:t>En cuanto a los oficios del ejercicio 2025, se informa que no fue posible ponerlos a la vista de la parte recurrente debido a que la carpeta que los contiene incluye archivos con datos personales visibles, lo cual impidió su puesta a la vista.</w:t>
      </w:r>
    </w:p>
    <w:p w14:paraId="69A8E6E6" w14:textId="77777777" w:rsidR="00744454" w:rsidRPr="00B8145D" w:rsidRDefault="00744454" w:rsidP="00B8145D">
      <w:pPr>
        <w:ind w:right="-93"/>
      </w:pPr>
    </w:p>
    <w:p w14:paraId="70233C31" w14:textId="0FAEF86C" w:rsidR="00744454" w:rsidRPr="00B8145D" w:rsidRDefault="00744454" w:rsidP="00B8145D">
      <w:pPr>
        <w:ind w:right="-93"/>
      </w:pPr>
      <w:r w:rsidRPr="00B8145D">
        <w:t>Se identificó también el testado indebido de información, específicamente en el caso del número de placas vehiculares.</w:t>
      </w:r>
    </w:p>
    <w:p w14:paraId="2148FB7B" w14:textId="77777777" w:rsidR="00755AA5" w:rsidRPr="00B8145D" w:rsidRDefault="00755AA5" w:rsidP="00B8145D">
      <w:pPr>
        <w:pStyle w:val="Prrafodelista"/>
        <w:pBdr>
          <w:top w:val="nil"/>
          <w:left w:val="nil"/>
          <w:bottom w:val="nil"/>
          <w:right w:val="nil"/>
          <w:between w:val="nil"/>
        </w:pBdr>
        <w:tabs>
          <w:tab w:val="left" w:pos="426"/>
        </w:tabs>
        <w:ind w:left="0" w:right="49"/>
      </w:pPr>
    </w:p>
    <w:p w14:paraId="35F87706" w14:textId="7FC4D896" w:rsidR="00755AA5" w:rsidRPr="00B8145D" w:rsidRDefault="00755AA5" w:rsidP="00B8145D">
      <w:pPr>
        <w:pStyle w:val="Prrafodelista"/>
        <w:pBdr>
          <w:top w:val="nil"/>
          <w:left w:val="nil"/>
          <w:bottom w:val="nil"/>
          <w:right w:val="nil"/>
          <w:between w:val="nil"/>
        </w:pBdr>
        <w:tabs>
          <w:tab w:val="left" w:pos="426"/>
        </w:tabs>
        <w:ind w:left="0" w:right="49"/>
        <w:rPr>
          <w:rFonts w:eastAsia="Palatino Linotype" w:cs="Palatino Linotype"/>
        </w:rPr>
      </w:pPr>
      <w:r w:rsidRPr="00B8145D">
        <w:rPr>
          <w:rFonts w:eastAsia="Palatino Linotype" w:cs="Palatino Linotype"/>
        </w:rPr>
        <w:t>En lo que compete a esto, se tiene que el número de placa se define como el registro alfanumérico que usan los vehículos automotores para su identificación y circulación legal en todo el territorio mexicano; en este sentido, respecto a las placas, que corresponden a vehículos propiedad del DIF Municipal, siendo bienes de dominio público, se tiene que al corresponder a vehículos oficiales, previamente inventariados, es importante remitirnos a lo dispuesto por el artículo 92, fracción XXXVIII de la Ley de Transparencia y Acceso a la Información Pública del Estado de México y Municipios que en su texto y sentido literal establece:</w:t>
      </w:r>
    </w:p>
    <w:p w14:paraId="17FAF94C" w14:textId="77777777" w:rsidR="00755AA5" w:rsidRPr="00B8145D" w:rsidRDefault="00755AA5" w:rsidP="00B8145D">
      <w:pPr>
        <w:pBdr>
          <w:top w:val="nil"/>
          <w:left w:val="nil"/>
          <w:bottom w:val="nil"/>
          <w:right w:val="nil"/>
          <w:between w:val="nil"/>
        </w:pBdr>
        <w:tabs>
          <w:tab w:val="left" w:pos="426"/>
        </w:tabs>
        <w:ind w:right="49"/>
        <w:rPr>
          <w:rFonts w:eastAsia="Palatino Linotype" w:cs="Palatino Linotype"/>
          <w:szCs w:val="22"/>
        </w:rPr>
      </w:pPr>
    </w:p>
    <w:p w14:paraId="123AA377" w14:textId="77777777" w:rsidR="00755AA5" w:rsidRPr="00B8145D" w:rsidRDefault="00755AA5" w:rsidP="00B8145D">
      <w:pPr>
        <w:pStyle w:val="Puesto"/>
        <w:rPr>
          <w:rFonts w:eastAsia="Palatino Linotype"/>
        </w:rPr>
      </w:pPr>
      <w:r w:rsidRPr="00B8145D">
        <w:rPr>
          <w:rFonts w:eastAsia="Palatino Linotype"/>
        </w:rPr>
        <w:t>"</w:t>
      </w:r>
      <w:r w:rsidRPr="00B8145D">
        <w:rPr>
          <w:rFonts w:eastAsia="Palatino Linotype"/>
          <w:b/>
        </w:rPr>
        <w:t xml:space="preserve">Artículo 92. </w:t>
      </w:r>
      <w:r w:rsidRPr="00B8145D">
        <w:rPr>
          <w:rFonts w:eastAsia="Palatino Linotype"/>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E9DD150" w14:textId="77777777" w:rsidR="00755AA5" w:rsidRPr="00B8145D" w:rsidRDefault="00755AA5" w:rsidP="00B8145D">
      <w:pPr>
        <w:pStyle w:val="Puesto"/>
        <w:rPr>
          <w:rFonts w:eastAsia="Palatino Linotype"/>
        </w:rPr>
      </w:pPr>
      <w:r w:rsidRPr="00B8145D">
        <w:rPr>
          <w:rFonts w:eastAsia="Palatino Linotype"/>
          <w:b/>
        </w:rPr>
        <w:t>XXXVIII.</w:t>
      </w:r>
      <w:r w:rsidRPr="00B8145D">
        <w:rPr>
          <w:rFonts w:eastAsia="Palatino Linotype"/>
        </w:rPr>
        <w:t xml:space="preserve"> El inventario de bienes muebles e inmuebles en posesión y propiedad;</w:t>
      </w:r>
    </w:p>
    <w:p w14:paraId="3773D609" w14:textId="77777777" w:rsidR="00755AA5" w:rsidRPr="00B8145D" w:rsidRDefault="00755AA5" w:rsidP="00B8145D">
      <w:pPr>
        <w:pBdr>
          <w:top w:val="nil"/>
          <w:left w:val="nil"/>
          <w:bottom w:val="nil"/>
          <w:right w:val="nil"/>
          <w:between w:val="nil"/>
        </w:pBdr>
        <w:tabs>
          <w:tab w:val="left" w:pos="426"/>
        </w:tabs>
        <w:ind w:left="720" w:right="51"/>
        <w:rPr>
          <w:rFonts w:eastAsia="Palatino Linotype" w:cs="Palatino Linotype"/>
          <w:szCs w:val="22"/>
        </w:rPr>
      </w:pPr>
    </w:p>
    <w:p w14:paraId="71E6E75D" w14:textId="7641F383" w:rsidR="00755AA5" w:rsidRPr="00B8145D" w:rsidRDefault="00755AA5" w:rsidP="00B8145D">
      <w:pPr>
        <w:pStyle w:val="Prrafodelista"/>
        <w:pBdr>
          <w:top w:val="nil"/>
          <w:left w:val="nil"/>
          <w:bottom w:val="nil"/>
          <w:right w:val="nil"/>
          <w:between w:val="nil"/>
        </w:pBdr>
        <w:ind w:left="0" w:right="51"/>
        <w:rPr>
          <w:rFonts w:eastAsia="Palatino Linotype" w:cs="Palatino Linotype"/>
        </w:rPr>
      </w:pPr>
      <w:r w:rsidRPr="00B8145D">
        <w:rPr>
          <w:rFonts w:eastAsia="Palatino Linotype" w:cs="Palatino Linotype"/>
        </w:rPr>
        <w:lastRenderedPageBreak/>
        <w:t xml:space="preserve">Por tanto, el número de placas es información que corresponde al acceso público, ya que </w:t>
      </w:r>
      <w:r w:rsidR="000F696E" w:rsidRPr="00B8145D">
        <w:rPr>
          <w:rFonts w:eastAsia="Palatino Linotype" w:cs="Palatino Linotype"/>
        </w:rPr>
        <w:t>dar a</w:t>
      </w:r>
      <w:r w:rsidRPr="00B8145D">
        <w:rPr>
          <w:rFonts w:eastAsia="Palatino Linotype" w:cs="Palatino Linotype"/>
        </w:rPr>
        <w:t xml:space="preserve"> conocer esos datos abona a la transparencia y la rendición de cuentas, pues es parte del patrimonio de los Sujeto Obligados y está relacionado con el ejercicio de los recursos públicos. </w:t>
      </w:r>
    </w:p>
    <w:p w14:paraId="4246E1A8" w14:textId="77777777" w:rsidR="00755AA5" w:rsidRPr="00B8145D" w:rsidRDefault="00755AA5" w:rsidP="00B8145D">
      <w:pPr>
        <w:pStyle w:val="Prrafodelista"/>
        <w:pBdr>
          <w:top w:val="nil"/>
          <w:left w:val="nil"/>
          <w:bottom w:val="nil"/>
          <w:right w:val="nil"/>
          <w:between w:val="nil"/>
        </w:pBdr>
        <w:ind w:left="0" w:right="51"/>
        <w:rPr>
          <w:rFonts w:eastAsia="Palatino Linotype" w:cs="Palatino Linotype"/>
        </w:rPr>
      </w:pPr>
    </w:p>
    <w:p w14:paraId="6C234097" w14:textId="593C675B" w:rsidR="0024127D" w:rsidRPr="00B8145D" w:rsidRDefault="000F73B9" w:rsidP="00B8145D">
      <w:pPr>
        <w:ind w:right="-93"/>
      </w:pPr>
      <w:r w:rsidRPr="00B8145D">
        <w:t>En consecuencia, se considera viable ordenar</w:t>
      </w:r>
      <w:r w:rsidR="00954F02" w:rsidRPr="00B8145D">
        <w:t xml:space="preserve"> los o</w:t>
      </w:r>
      <w:r w:rsidRPr="00B8145D">
        <w:t xml:space="preserve">ficios emitidos por la Unidad de Información, Planeación, Programación y Evaluación </w:t>
      </w:r>
      <w:r w:rsidR="0024127D" w:rsidRPr="00B8145D">
        <w:t>del 06 de febrero de 2024 al</w:t>
      </w:r>
      <w:r w:rsidRPr="00B8145D">
        <w:t xml:space="preserve"> </w:t>
      </w:r>
      <w:r w:rsidR="0024127D" w:rsidRPr="00B8145D">
        <w:t>06 de febrero de</w:t>
      </w:r>
      <w:r w:rsidRPr="00B8145D">
        <w:t xml:space="preserve"> 2025 </w:t>
      </w:r>
      <w:r w:rsidR="0024127D" w:rsidRPr="00B8145D">
        <w:t>remitidos en respuesta e informe justificado</w:t>
      </w:r>
      <w:r w:rsidR="00744454" w:rsidRPr="00B8145D">
        <w:t>,</w:t>
      </w:r>
      <w:r w:rsidR="0024127D" w:rsidRPr="00B8145D">
        <w:t xml:space="preserve"> </w:t>
      </w:r>
      <w:r w:rsidR="00744454" w:rsidRPr="00B8145D">
        <w:t xml:space="preserve">incluyendo los anexos correspondientes y </w:t>
      </w:r>
      <w:r w:rsidR="000F696E" w:rsidRPr="00B8145D">
        <w:t>en correcta versión pública</w:t>
      </w:r>
      <w:r w:rsidR="0024127D" w:rsidRPr="00B8145D">
        <w:t>.</w:t>
      </w:r>
    </w:p>
    <w:p w14:paraId="7CED9223" w14:textId="4DD83F77" w:rsidR="000F73B9" w:rsidRPr="00B8145D" w:rsidRDefault="000F73B9" w:rsidP="00B8145D">
      <w:pPr>
        <w:ind w:right="-93"/>
      </w:pPr>
    </w:p>
    <w:p w14:paraId="1A24E207" w14:textId="3D1EB29D" w:rsidR="00744454" w:rsidRPr="00B8145D" w:rsidRDefault="00744454" w:rsidP="00B8145D">
      <w:pPr>
        <w:ind w:right="-93"/>
        <w:rPr>
          <w:b/>
        </w:rPr>
      </w:pPr>
      <w:r w:rsidRPr="00B8145D">
        <w:rPr>
          <w:b/>
        </w:rPr>
        <w:t>Precisiones adicionales</w:t>
      </w:r>
    </w:p>
    <w:p w14:paraId="5DB70361" w14:textId="77777777" w:rsidR="00744454" w:rsidRPr="00B8145D" w:rsidRDefault="00744454" w:rsidP="00B8145D">
      <w:pPr>
        <w:ind w:right="-93"/>
      </w:pPr>
    </w:p>
    <w:p w14:paraId="760C05DD" w14:textId="04356537" w:rsidR="009B2DD0" w:rsidRPr="00B8145D" w:rsidRDefault="009B2DD0" w:rsidP="00B8145D">
      <w:pPr>
        <w:ind w:right="-93"/>
      </w:pPr>
      <w:r w:rsidRPr="00B8145D">
        <w:t>Previo al análisis de los oficios de la Dirección de Información, Dirección de Evaluación y Dirección de Vinculación cabe precisar que en estos no se hizo</w:t>
      </w:r>
      <w:r w:rsidR="000F7D4F" w:rsidRPr="00B8145D">
        <w:t xml:space="preserve"> la</w:t>
      </w:r>
      <w:r w:rsidRPr="00B8145D">
        <w:t xml:space="preserve"> precisión respecto a los oficios faltantes, situación que si tuvo lugar respecto a los oficios faltantes de la Unidad de Información, Planeación, Programación y Evaluación.</w:t>
      </w:r>
    </w:p>
    <w:p w14:paraId="695F6019" w14:textId="41C1776F" w:rsidR="00FE114E" w:rsidRPr="00B8145D" w:rsidRDefault="00FE114E" w:rsidP="00B8145D">
      <w:pPr>
        <w:ind w:right="-93"/>
      </w:pPr>
    </w:p>
    <w:p w14:paraId="247129AD" w14:textId="585F6076" w:rsidR="00FE114E" w:rsidRPr="00B8145D" w:rsidRDefault="000F7D4F" w:rsidP="00B8145D">
      <w:pPr>
        <w:ind w:right="-93"/>
        <w:rPr>
          <w:b/>
          <w:i/>
        </w:rPr>
      </w:pPr>
      <w:r w:rsidRPr="00B8145D">
        <w:rPr>
          <w:b/>
          <w:i/>
        </w:rPr>
        <w:t>Análisis de la documentación remitida por la Dirección de Evaluación</w:t>
      </w:r>
      <w:r w:rsidR="00FE114E" w:rsidRPr="00B8145D">
        <w:rPr>
          <w:b/>
          <w:i/>
        </w:rPr>
        <w:t>.</w:t>
      </w:r>
    </w:p>
    <w:p w14:paraId="245892D0" w14:textId="77777777" w:rsidR="00FE114E" w:rsidRPr="00B8145D" w:rsidRDefault="00FE114E" w:rsidP="00B8145D">
      <w:pPr>
        <w:ind w:right="-93"/>
      </w:pPr>
    </w:p>
    <w:p w14:paraId="16C418D5" w14:textId="77777777" w:rsidR="000F7D4F" w:rsidRPr="00B8145D" w:rsidRDefault="000F7D4F" w:rsidP="00B8145D">
      <w:pPr>
        <w:ind w:right="-93"/>
      </w:pPr>
      <w:r w:rsidRPr="00B8145D">
        <w:t>Con relación a la documentación proporcionada por la Dirección de Evaluación, se informa que, mediante informe justificado, se remitió un archivo digital que contiene los oficios números 1, 2, 3, 4 y 7 correspondientes al ejercicio fiscal 2024, así como el oficio número 1 del ejercicio 2025.</w:t>
      </w:r>
    </w:p>
    <w:p w14:paraId="7BF955F4" w14:textId="77777777" w:rsidR="000F7D4F" w:rsidRPr="00B8145D" w:rsidRDefault="000F7D4F" w:rsidP="00B8145D">
      <w:pPr>
        <w:ind w:right="-93"/>
      </w:pPr>
    </w:p>
    <w:p w14:paraId="276362C9" w14:textId="720DDCD0" w:rsidR="000F7D4F" w:rsidRPr="00B8145D" w:rsidRDefault="000F7D4F" w:rsidP="00B8145D">
      <w:pPr>
        <w:ind w:right="-93"/>
      </w:pPr>
      <w:r w:rsidRPr="00B8145D">
        <w:t>No obstante, se precisa que dichos documentos no pudieron ser puestos a la vista de la parte recurrente, toda vez que se encuentran contenidos dentro de una carpeta que, a su vez, alberga archivos que contienen datos susceptibles de clasificarse como confidenciales.</w:t>
      </w:r>
    </w:p>
    <w:p w14:paraId="2AD17749" w14:textId="77777777" w:rsidR="000F7D4F" w:rsidRPr="00B8145D" w:rsidRDefault="000F7D4F" w:rsidP="00B8145D">
      <w:pPr>
        <w:ind w:right="-93"/>
      </w:pPr>
    </w:p>
    <w:p w14:paraId="40DA0330" w14:textId="77777777" w:rsidR="000F7D4F" w:rsidRPr="00B8145D" w:rsidRDefault="000F7D4F" w:rsidP="00B8145D">
      <w:pPr>
        <w:ind w:right="-93"/>
      </w:pPr>
      <w:r w:rsidRPr="00B8145D">
        <w:t>Además, del análisis realizado se advierte lo siguiente:</w:t>
      </w:r>
    </w:p>
    <w:p w14:paraId="06B90FD9" w14:textId="77777777" w:rsidR="000F7D4F" w:rsidRPr="00B8145D" w:rsidRDefault="000F7D4F" w:rsidP="00B8145D">
      <w:pPr>
        <w:ind w:right="-93"/>
      </w:pPr>
    </w:p>
    <w:p w14:paraId="04A1AF48" w14:textId="7D93F09F" w:rsidR="000F7D4F" w:rsidRPr="00B8145D" w:rsidRDefault="000F7D4F" w:rsidP="00B8145D">
      <w:pPr>
        <w:ind w:right="-93"/>
      </w:pPr>
      <w:r w:rsidRPr="00B8145D">
        <w:t>Faltan los oficios número 5 y 6 del ejercicio 2024, sin que en el informe justificado se haya aportado una explicación o soporte documental que justifique su ausencia a diferencia de la Unidad de Información, Planeación, Programación y Evaluación.</w:t>
      </w:r>
    </w:p>
    <w:p w14:paraId="5014E6E4" w14:textId="77777777" w:rsidR="000F7D4F" w:rsidRPr="00B8145D" w:rsidRDefault="000F7D4F" w:rsidP="00B8145D">
      <w:pPr>
        <w:ind w:right="-93"/>
      </w:pPr>
    </w:p>
    <w:p w14:paraId="4CEA89C0" w14:textId="77777777" w:rsidR="000F7D4F" w:rsidRPr="00B8145D" w:rsidRDefault="000F7D4F" w:rsidP="00B8145D">
      <w:pPr>
        <w:ind w:right="-93"/>
      </w:pPr>
      <w:r w:rsidRPr="00B8145D">
        <w:t>Determinación</w:t>
      </w:r>
    </w:p>
    <w:p w14:paraId="1A55D854" w14:textId="77777777" w:rsidR="006A1815" w:rsidRPr="00B8145D" w:rsidRDefault="006A1815" w:rsidP="00B8145D">
      <w:pPr>
        <w:ind w:right="-93"/>
      </w:pPr>
    </w:p>
    <w:p w14:paraId="724091F0" w14:textId="3BD313E7" w:rsidR="006A1815" w:rsidRPr="00B8145D" w:rsidRDefault="000F7D4F" w:rsidP="00B8145D">
      <w:pPr>
        <w:ind w:right="-93"/>
        <w:rPr>
          <w:i/>
        </w:rPr>
      </w:pPr>
      <w:r w:rsidRPr="00B8145D">
        <w:t>En virtud de lo anterior, se considera jurídicamente procedente ordenar a la Dirección de Evaluación que</w:t>
      </w:r>
      <w:r w:rsidR="006A1815" w:rsidRPr="00B8145D">
        <w:t xml:space="preserve"> remita</w:t>
      </w:r>
      <w:r w:rsidR="00954F02" w:rsidRPr="00B8145D">
        <w:t xml:space="preserve"> los o</w:t>
      </w:r>
      <w:r w:rsidR="006A1815" w:rsidRPr="00B8145D">
        <w:rPr>
          <w:i/>
        </w:rPr>
        <w:t>ficios emitidos por la Dirección de Evaluación remitidos en informe justificado, así como los oficios faltantes del 06 de febrero de 2024 al 06 de febrero de 2025.</w:t>
      </w:r>
    </w:p>
    <w:p w14:paraId="6B82A55F" w14:textId="77777777" w:rsidR="006A1815" w:rsidRPr="00B8145D" w:rsidRDefault="006A1815" w:rsidP="00B8145D">
      <w:pPr>
        <w:ind w:right="-93"/>
      </w:pPr>
    </w:p>
    <w:p w14:paraId="5D687472" w14:textId="5FDFF411" w:rsidR="009B2DD0" w:rsidRPr="00B8145D" w:rsidRDefault="00F52E35" w:rsidP="00B8145D">
      <w:pPr>
        <w:ind w:right="-93"/>
        <w:rPr>
          <w:b/>
          <w:i/>
        </w:rPr>
      </w:pPr>
      <w:r w:rsidRPr="00B8145D">
        <w:rPr>
          <w:b/>
          <w:i/>
        </w:rPr>
        <w:t>Análisis de la documentación remitida por la Dirección de Información</w:t>
      </w:r>
      <w:r w:rsidR="009B2DD0" w:rsidRPr="00B8145D">
        <w:rPr>
          <w:b/>
          <w:i/>
        </w:rPr>
        <w:t xml:space="preserve">. </w:t>
      </w:r>
    </w:p>
    <w:p w14:paraId="7C07A134" w14:textId="6E86A05B" w:rsidR="0024127D" w:rsidRPr="00B8145D" w:rsidRDefault="0024127D" w:rsidP="00B8145D">
      <w:pPr>
        <w:ind w:right="-93"/>
      </w:pPr>
    </w:p>
    <w:p w14:paraId="2E6F43C8" w14:textId="39A2A02A" w:rsidR="007D37A3" w:rsidRPr="00B8145D" w:rsidRDefault="007D37A3" w:rsidP="00B8145D">
      <w:pPr>
        <w:ind w:right="-93"/>
      </w:pPr>
      <w:r w:rsidRPr="00B8145D">
        <w:t>En primera instancia al igual que los archivos descritos con anterioridad, se precisa que el archivo remitido en informe justificado con la información solicitada no pudo ser puestos a la vista de la parte recurrente, toda vez que se encuentran contenidos dentro de una carpeta que, a su vez, alberga archivos que contienen datos susceptibles de clasificarse como confidenciales.</w:t>
      </w:r>
    </w:p>
    <w:p w14:paraId="1E1F3635" w14:textId="77777777" w:rsidR="007D37A3" w:rsidRPr="00B8145D" w:rsidRDefault="007D37A3" w:rsidP="00B8145D">
      <w:pPr>
        <w:ind w:right="-93"/>
      </w:pPr>
    </w:p>
    <w:p w14:paraId="4BC64B56" w14:textId="5C46E6AC" w:rsidR="00F52E35" w:rsidRPr="00B8145D" w:rsidRDefault="00F52E35" w:rsidP="00B8145D">
      <w:pPr>
        <w:ind w:right="-93"/>
      </w:pPr>
      <w:r w:rsidRPr="00B8145D">
        <w:t xml:space="preserve">Con relación a la documentación proporcionada por la Dirección de Información, </w:t>
      </w:r>
      <w:r w:rsidR="007D37A3" w:rsidRPr="00B8145D">
        <w:t>consta de un a</w:t>
      </w:r>
      <w:r w:rsidRPr="00B8145D">
        <w:t>rchivo digital conformado por 16 páginas, en el cual se contienen diversos oficios correspondientes al ejercicio fiscal 2024. A manera de ejemplo, se enlistan los siguientes oficios incluidos en dicho archivo:</w:t>
      </w:r>
    </w:p>
    <w:p w14:paraId="114502FA" w14:textId="77777777" w:rsidR="00F52E35" w:rsidRPr="00B8145D" w:rsidRDefault="00F52E35" w:rsidP="00B8145D">
      <w:pPr>
        <w:ind w:right="-93"/>
      </w:pPr>
    </w:p>
    <w:p w14:paraId="1F8FF768" w14:textId="77777777" w:rsidR="00F52E35" w:rsidRPr="00B8145D" w:rsidRDefault="00F52E35" w:rsidP="00B8145D">
      <w:pPr>
        <w:ind w:right="-93"/>
      </w:pPr>
      <w:r w:rsidRPr="00B8145D">
        <w:t>Ejercicio 2024</w:t>
      </w:r>
    </w:p>
    <w:p w14:paraId="7113084D" w14:textId="77777777" w:rsidR="00F52E35" w:rsidRPr="00B8145D" w:rsidRDefault="00F52E35" w:rsidP="00B8145D">
      <w:pPr>
        <w:ind w:right="-93"/>
      </w:pPr>
      <w:r w:rsidRPr="00B8145D">
        <w:lastRenderedPageBreak/>
        <w:t>Oficios: 1, 3, 4, 5, 6, 7, 8, 9, 10, 11, 12, 13, 14 y 15.</w:t>
      </w:r>
    </w:p>
    <w:p w14:paraId="023262AB" w14:textId="77777777" w:rsidR="00F52E35" w:rsidRPr="00B8145D" w:rsidRDefault="00F52E35" w:rsidP="00B8145D">
      <w:pPr>
        <w:ind w:right="-93"/>
      </w:pPr>
    </w:p>
    <w:p w14:paraId="137007F4" w14:textId="71559978" w:rsidR="007D37A3" w:rsidRPr="00B8145D" w:rsidRDefault="007D37A3" w:rsidP="00B8145D">
      <w:pPr>
        <w:ind w:right="-93"/>
      </w:pPr>
      <w:r w:rsidRPr="00B8145D">
        <w:t>Faltan el oficio número 2 del ejercicio 2024; así como los relativos al ejercicio 2025 sin que se haya aportado una explicación o soporte documental que justifique su ausencia a diferencia de la Unidad de Información, Planeación, Programación y Evaluación.</w:t>
      </w:r>
    </w:p>
    <w:p w14:paraId="2504D9B9" w14:textId="77777777" w:rsidR="007D37A3" w:rsidRPr="00B8145D" w:rsidRDefault="007D37A3" w:rsidP="00B8145D">
      <w:pPr>
        <w:ind w:right="-93"/>
      </w:pPr>
    </w:p>
    <w:p w14:paraId="710A1FCB" w14:textId="77777777" w:rsidR="00F52E35" w:rsidRPr="00B8145D" w:rsidRDefault="00F52E35" w:rsidP="00B8145D">
      <w:pPr>
        <w:ind w:right="-93"/>
      </w:pPr>
      <w:r w:rsidRPr="00B8145D">
        <w:t>Determinación</w:t>
      </w:r>
    </w:p>
    <w:p w14:paraId="2C72A522" w14:textId="77777777" w:rsidR="00F52E35" w:rsidRPr="00B8145D" w:rsidRDefault="00F52E35" w:rsidP="00B8145D">
      <w:pPr>
        <w:ind w:right="-93"/>
      </w:pPr>
    </w:p>
    <w:p w14:paraId="4535E2E4" w14:textId="77777777" w:rsidR="00F52E35" w:rsidRPr="00B8145D" w:rsidRDefault="00F52E35" w:rsidP="00B8145D">
      <w:pPr>
        <w:ind w:right="-93"/>
      </w:pPr>
      <w:r w:rsidRPr="00B8145D">
        <w:t>En consecuencia, se considera procedente ordenar a la Dirección de Información lo siguiente:</w:t>
      </w:r>
    </w:p>
    <w:p w14:paraId="63C74976" w14:textId="77777777" w:rsidR="006A1815" w:rsidRPr="00B8145D" w:rsidRDefault="006A1815" w:rsidP="00B8145D">
      <w:pPr>
        <w:ind w:right="-93"/>
        <w:rPr>
          <w:rFonts w:cs="Tahoma"/>
          <w:bCs/>
          <w:i/>
        </w:rPr>
      </w:pPr>
    </w:p>
    <w:p w14:paraId="68FE7844" w14:textId="26BA7DEB" w:rsidR="007D37A3" w:rsidRPr="00B8145D" w:rsidRDefault="007D37A3" w:rsidP="00B8145D">
      <w:pPr>
        <w:ind w:right="-93"/>
        <w:rPr>
          <w:i/>
        </w:rPr>
      </w:pPr>
      <w:r w:rsidRPr="00B8145D">
        <w:rPr>
          <w:i/>
        </w:rPr>
        <w:t>Oficios emitidos por la Dirección de Información remitidos en informe justificado, así como los oficios faltantes del 06 de febrero de 2024 al 06 de febrero de 2025.</w:t>
      </w:r>
    </w:p>
    <w:p w14:paraId="3DC2BBFE" w14:textId="3556EA6E" w:rsidR="009B2DD0" w:rsidRPr="00B8145D" w:rsidRDefault="009B2DD0" w:rsidP="00B8145D">
      <w:pPr>
        <w:ind w:right="-93"/>
      </w:pPr>
    </w:p>
    <w:p w14:paraId="482DE12C" w14:textId="330F823C" w:rsidR="009B2DD0" w:rsidRPr="00B8145D" w:rsidRDefault="00C2458E" w:rsidP="00B8145D">
      <w:pPr>
        <w:ind w:right="-93"/>
        <w:rPr>
          <w:b/>
          <w:i/>
        </w:rPr>
      </w:pPr>
      <w:r w:rsidRPr="00B8145D">
        <w:rPr>
          <w:b/>
          <w:i/>
        </w:rPr>
        <w:t>Análisis de la documentación remitida por la Dirección de Vinculación</w:t>
      </w:r>
      <w:r w:rsidR="009B2DD0" w:rsidRPr="00B8145D">
        <w:rPr>
          <w:b/>
          <w:i/>
        </w:rPr>
        <w:t>.</w:t>
      </w:r>
    </w:p>
    <w:p w14:paraId="199F821A" w14:textId="77777777" w:rsidR="009B2DD0" w:rsidRPr="00B8145D" w:rsidRDefault="009B2DD0" w:rsidP="00B8145D">
      <w:pPr>
        <w:ind w:right="-93"/>
      </w:pPr>
    </w:p>
    <w:p w14:paraId="391441DF" w14:textId="61DEE00F" w:rsidR="00B07EE0" w:rsidRPr="00B8145D" w:rsidRDefault="00B07EE0" w:rsidP="00B8145D">
      <w:pPr>
        <w:ind w:right="-93"/>
      </w:pPr>
      <w:r w:rsidRPr="00B8145D">
        <w:t>En primera instancia al igual que los archivos descritos con anterioridad, se precisa que el archivo remitido en informe justificado con la información solicitada no pudo ser puesto a la vista de la parte recurrente, toda vez que se encuentran contenidos dentro de una carpeta que, a su vez, alberga archivos que contienen datos susceptibles de clasificarse como confidenciales.</w:t>
      </w:r>
    </w:p>
    <w:p w14:paraId="592FC8C0" w14:textId="77777777" w:rsidR="00B07EE0" w:rsidRPr="00B8145D" w:rsidRDefault="00B07EE0" w:rsidP="00B8145D">
      <w:pPr>
        <w:ind w:right="-93"/>
      </w:pPr>
    </w:p>
    <w:p w14:paraId="20109310" w14:textId="1CAAD8D6" w:rsidR="00B07EE0" w:rsidRPr="00B8145D" w:rsidRDefault="00B07EE0" w:rsidP="00B8145D">
      <w:pPr>
        <w:ind w:right="-93"/>
      </w:pPr>
      <w:r w:rsidRPr="00B8145D">
        <w:t xml:space="preserve">Con relación a la documentación proporcionada por la Dirección de Vinculación, consta de un archivo digital conformado por 541 páginas, en el cual se contienen diversos oficios correspondientes al ejercicio fiscal 2024. </w:t>
      </w:r>
    </w:p>
    <w:p w14:paraId="36E6962B" w14:textId="77777777" w:rsidR="00B07EE0" w:rsidRPr="00B8145D" w:rsidRDefault="00B07EE0" w:rsidP="00B8145D">
      <w:pPr>
        <w:ind w:right="-93"/>
      </w:pPr>
    </w:p>
    <w:p w14:paraId="471BC2CB" w14:textId="0ADD0525" w:rsidR="00B07EE0" w:rsidRPr="00B8145D" w:rsidRDefault="00B07EE0" w:rsidP="00B8145D">
      <w:pPr>
        <w:ind w:right="-93"/>
      </w:pPr>
      <w:r w:rsidRPr="00B8145D">
        <w:lastRenderedPageBreak/>
        <w:t>Advirtiendo la falta de diversos oficios del ejercicio 2024; así como los relativos al ejercicio 2025 sin que se haya aportado una explicación o soporte documental que justifique su ausencia a diferencia de la Unidad de Información, Planeación, Programación y Evaluación.</w:t>
      </w:r>
    </w:p>
    <w:p w14:paraId="5DD678DB" w14:textId="77777777" w:rsidR="00B07EE0" w:rsidRPr="00B8145D" w:rsidRDefault="00B07EE0" w:rsidP="00B8145D">
      <w:pPr>
        <w:ind w:right="-93"/>
      </w:pPr>
    </w:p>
    <w:p w14:paraId="07E76246" w14:textId="77777777" w:rsidR="00B07EE0" w:rsidRPr="00B8145D" w:rsidRDefault="00B07EE0" w:rsidP="00B8145D">
      <w:pPr>
        <w:ind w:right="-93"/>
      </w:pPr>
      <w:r w:rsidRPr="00B8145D">
        <w:t>Determinación</w:t>
      </w:r>
    </w:p>
    <w:p w14:paraId="52B1BC72" w14:textId="77777777" w:rsidR="00B07EE0" w:rsidRPr="00B8145D" w:rsidRDefault="00B07EE0" w:rsidP="00B8145D">
      <w:pPr>
        <w:ind w:right="-93"/>
      </w:pPr>
    </w:p>
    <w:p w14:paraId="079730EB" w14:textId="108D8FAC" w:rsidR="00B07EE0" w:rsidRPr="00B8145D" w:rsidRDefault="00B07EE0" w:rsidP="00B8145D">
      <w:pPr>
        <w:ind w:right="-93"/>
      </w:pPr>
      <w:r w:rsidRPr="00B8145D">
        <w:t xml:space="preserve">En consecuencia, se considera procedente ordenar a la Dirección de </w:t>
      </w:r>
      <w:r w:rsidR="00C2458E" w:rsidRPr="00B8145D">
        <w:t xml:space="preserve">Vinculación </w:t>
      </w:r>
      <w:r w:rsidRPr="00B8145D">
        <w:t>lo siguiente:</w:t>
      </w:r>
    </w:p>
    <w:p w14:paraId="4E3C5022" w14:textId="77777777" w:rsidR="00B07EE0" w:rsidRPr="00B8145D" w:rsidRDefault="00B07EE0" w:rsidP="00B8145D">
      <w:pPr>
        <w:ind w:right="-93"/>
      </w:pPr>
    </w:p>
    <w:p w14:paraId="398EBCFE" w14:textId="5B7D6B00" w:rsidR="00B07EE0" w:rsidRPr="00B8145D" w:rsidRDefault="00B07EE0" w:rsidP="00B8145D">
      <w:pPr>
        <w:ind w:right="-93"/>
        <w:rPr>
          <w:i/>
        </w:rPr>
      </w:pPr>
      <w:r w:rsidRPr="00B8145D">
        <w:rPr>
          <w:i/>
        </w:rPr>
        <w:t xml:space="preserve">Oficios emitidos por la Dirección de </w:t>
      </w:r>
      <w:r w:rsidR="00C2458E" w:rsidRPr="00B8145D">
        <w:rPr>
          <w:i/>
        </w:rPr>
        <w:t xml:space="preserve">Vinculación </w:t>
      </w:r>
      <w:r w:rsidRPr="00B8145D">
        <w:rPr>
          <w:i/>
        </w:rPr>
        <w:t>remitidos en informe justificado, así como los oficios faltantes del 06 de febrero de 2024 al 06 de febrero de 2025.</w:t>
      </w:r>
    </w:p>
    <w:p w14:paraId="3EB7486D" w14:textId="48E6B562" w:rsidR="00067D80" w:rsidRPr="00B8145D" w:rsidRDefault="00067D80" w:rsidP="00B8145D">
      <w:pPr>
        <w:ind w:right="-93"/>
      </w:pPr>
    </w:p>
    <w:p w14:paraId="5DA7C963" w14:textId="6787BB2B" w:rsidR="00664420" w:rsidRPr="00B8145D" w:rsidRDefault="00BD5A7C" w:rsidP="00B8145D">
      <w:pPr>
        <w:pStyle w:val="Ttulo3"/>
      </w:pPr>
      <w:bookmarkStart w:id="28" w:name="_Toc197541100"/>
      <w:r w:rsidRPr="00B8145D">
        <w:t>d</w:t>
      </w:r>
      <w:r w:rsidR="00A21A20" w:rsidRPr="00B8145D">
        <w:t>)</w:t>
      </w:r>
      <w:r w:rsidR="00664420" w:rsidRPr="00B8145D">
        <w:t xml:space="preserve"> Versión pública</w:t>
      </w:r>
      <w:bookmarkEnd w:id="28"/>
    </w:p>
    <w:p w14:paraId="20B03CFE" w14:textId="401FB7F4" w:rsidR="00AC3CA0" w:rsidRPr="00B8145D" w:rsidRDefault="007F5D06" w:rsidP="00B8145D">
      <w:pPr>
        <w:rPr>
          <w:bCs/>
        </w:rPr>
      </w:pPr>
      <w:r w:rsidRPr="00B8145D">
        <w:t>P</w:t>
      </w:r>
      <w:r w:rsidR="00AC3CA0" w:rsidRPr="00B8145D">
        <w:t xml:space="preserve">ara el caso de que el o los documentos de los cuales se ordena su entrega contengan datos personales susceptibles de ser testados, deberán ser entregados en </w:t>
      </w:r>
      <w:r w:rsidR="00AC3CA0" w:rsidRPr="00B8145D">
        <w:rPr>
          <w:b/>
        </w:rPr>
        <w:t>versión pública</w:t>
      </w:r>
      <w:r w:rsidRPr="00B8145D">
        <w:t>,</w:t>
      </w:r>
      <w:r w:rsidR="00AC3CA0" w:rsidRPr="00B8145D">
        <w:t xml:space="preserve"> pues el</w:t>
      </w:r>
      <w:r w:rsidR="00AC3CA0" w:rsidRPr="00B8145D">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B8145D" w:rsidRDefault="00AC3CA0" w:rsidP="00B8145D">
      <w:pPr>
        <w:rPr>
          <w:rFonts w:eastAsia="Calibri"/>
          <w:bCs/>
          <w:lang w:eastAsia="en-US"/>
        </w:rPr>
      </w:pPr>
    </w:p>
    <w:p w14:paraId="13DAE086" w14:textId="0C1C7ADD" w:rsidR="00AC3CA0" w:rsidRPr="00B8145D" w:rsidRDefault="00AC3CA0" w:rsidP="00B8145D">
      <w:pPr>
        <w:rPr>
          <w:bCs/>
        </w:rPr>
      </w:pPr>
      <w:r w:rsidRPr="00B8145D">
        <w:rPr>
          <w:bCs/>
        </w:rPr>
        <w:t xml:space="preserve">A este respecto, los artículos 3, fracciones IX, XX, XXI y </w:t>
      </w:r>
      <w:r w:rsidR="007F5D06" w:rsidRPr="00B8145D">
        <w:rPr>
          <w:bCs/>
        </w:rPr>
        <w:t>XLV; 51</w:t>
      </w:r>
      <w:r w:rsidRPr="00B8145D">
        <w:rPr>
          <w:bCs/>
        </w:rPr>
        <w:t xml:space="preserve"> y 52 de la Ley de Transparencia y Acceso a la Información Pública del Estado de México y Municipios establecen:</w:t>
      </w:r>
    </w:p>
    <w:p w14:paraId="4EE42F33" w14:textId="77777777" w:rsidR="00AC3CA0" w:rsidRPr="00B8145D" w:rsidRDefault="00AC3CA0" w:rsidP="00B8145D"/>
    <w:p w14:paraId="22F38C0C" w14:textId="77777777" w:rsidR="00AC3CA0" w:rsidRPr="00B8145D" w:rsidRDefault="00AC3CA0" w:rsidP="00B8145D">
      <w:pPr>
        <w:pStyle w:val="Puesto"/>
      </w:pPr>
      <w:r w:rsidRPr="00B8145D">
        <w:rPr>
          <w:b/>
          <w:bCs/>
          <w:noProof/>
        </w:rPr>
        <w:lastRenderedPageBreak/>
        <w:t>“</w:t>
      </w:r>
      <w:r w:rsidRPr="00B8145D">
        <w:rPr>
          <w:b/>
          <w:bCs/>
        </w:rPr>
        <w:t xml:space="preserve">Artículo 3. </w:t>
      </w:r>
      <w:r w:rsidRPr="00B8145D">
        <w:t xml:space="preserve">Para los efectos de la presente Ley se entenderá por: </w:t>
      </w:r>
    </w:p>
    <w:p w14:paraId="74507E00" w14:textId="77777777" w:rsidR="00AC3CA0" w:rsidRPr="00B8145D" w:rsidRDefault="00AC3CA0" w:rsidP="00B8145D">
      <w:pPr>
        <w:pStyle w:val="Puesto"/>
      </w:pPr>
      <w:r w:rsidRPr="00B8145D">
        <w:rPr>
          <w:b/>
        </w:rPr>
        <w:t>IX.</w:t>
      </w:r>
      <w:r w:rsidRPr="00B8145D">
        <w:t xml:space="preserve"> </w:t>
      </w:r>
      <w:r w:rsidRPr="00B8145D">
        <w:rPr>
          <w:b/>
        </w:rPr>
        <w:t xml:space="preserve">Datos personales: </w:t>
      </w:r>
      <w:r w:rsidRPr="00B8145D">
        <w:t xml:space="preserve">La información concerniente a una persona, identificada o identificable según lo dispuesto por la Ley de Protección de Datos Personales del Estado de México; </w:t>
      </w:r>
    </w:p>
    <w:p w14:paraId="320759AF" w14:textId="77777777" w:rsidR="002B7C6F" w:rsidRPr="00B8145D" w:rsidRDefault="002B7C6F" w:rsidP="00B8145D"/>
    <w:p w14:paraId="4EFEB771" w14:textId="77777777" w:rsidR="00AC3CA0" w:rsidRPr="00B8145D" w:rsidRDefault="00AC3CA0" w:rsidP="00B8145D">
      <w:pPr>
        <w:pStyle w:val="Puesto"/>
      </w:pPr>
      <w:r w:rsidRPr="00B8145D">
        <w:rPr>
          <w:b/>
        </w:rPr>
        <w:t>XX.</w:t>
      </w:r>
      <w:r w:rsidRPr="00B8145D">
        <w:t xml:space="preserve"> </w:t>
      </w:r>
      <w:r w:rsidRPr="00B8145D">
        <w:rPr>
          <w:b/>
        </w:rPr>
        <w:t>Información clasificada:</w:t>
      </w:r>
      <w:r w:rsidRPr="00B8145D">
        <w:t xml:space="preserve"> Aquella considerada por la presente Ley como reservada o confidencial; </w:t>
      </w:r>
    </w:p>
    <w:p w14:paraId="5DA95E10" w14:textId="77777777" w:rsidR="002B7C6F" w:rsidRPr="00B8145D" w:rsidRDefault="002B7C6F" w:rsidP="00B8145D"/>
    <w:p w14:paraId="1CD04431" w14:textId="77777777" w:rsidR="00AC3CA0" w:rsidRPr="00B8145D" w:rsidRDefault="00AC3CA0" w:rsidP="00B8145D">
      <w:pPr>
        <w:pStyle w:val="Puesto"/>
      </w:pPr>
      <w:r w:rsidRPr="00B8145D">
        <w:rPr>
          <w:b/>
        </w:rPr>
        <w:t>XXI.</w:t>
      </w:r>
      <w:r w:rsidRPr="00B8145D">
        <w:t xml:space="preserve"> </w:t>
      </w:r>
      <w:r w:rsidRPr="00B8145D">
        <w:rPr>
          <w:b/>
        </w:rPr>
        <w:t>Información confidencial</w:t>
      </w:r>
      <w:r w:rsidRPr="00B8145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B8145D" w:rsidRDefault="002B7C6F" w:rsidP="00B8145D"/>
    <w:p w14:paraId="7CD4D2FB" w14:textId="77777777" w:rsidR="00AC3CA0" w:rsidRPr="00B8145D" w:rsidRDefault="00AC3CA0" w:rsidP="00B8145D">
      <w:pPr>
        <w:pStyle w:val="Puesto"/>
      </w:pPr>
      <w:r w:rsidRPr="00B8145D">
        <w:rPr>
          <w:b/>
        </w:rPr>
        <w:t>XLV. Versión pública:</w:t>
      </w:r>
      <w:r w:rsidRPr="00B8145D">
        <w:t xml:space="preserve"> Documento en el que se elimine, suprime o borra la información clasificada como reservada o confidencial para permitir su acceso. </w:t>
      </w:r>
    </w:p>
    <w:p w14:paraId="1ACE9141" w14:textId="77777777" w:rsidR="002B7C6F" w:rsidRPr="00B8145D" w:rsidRDefault="002B7C6F" w:rsidP="00B8145D"/>
    <w:p w14:paraId="0BAED675" w14:textId="178B54DE" w:rsidR="00AC3CA0" w:rsidRPr="00B8145D" w:rsidRDefault="00AC3CA0" w:rsidP="00B8145D">
      <w:pPr>
        <w:pStyle w:val="Puesto"/>
      </w:pPr>
      <w:r w:rsidRPr="00B8145D">
        <w:rPr>
          <w:b/>
        </w:rPr>
        <w:t>Artículo 51.</w:t>
      </w:r>
      <w:r w:rsidRPr="00B8145D">
        <w:t xml:space="preserve"> Los sujetos obligados designaran a un responsable para atender la Unidad de Transparencia, quien fungirá como enlace entre éstos y los solicitantes. Dicha Unidad será la encargada de tramitar internamente la solicitud de información </w:t>
      </w:r>
      <w:r w:rsidRPr="00B8145D">
        <w:rPr>
          <w:b/>
        </w:rPr>
        <w:t xml:space="preserve">y tendrá la responsabilidad de verificar en cada caso que la misma no sea confidencial o reservada. </w:t>
      </w:r>
      <w:r w:rsidRPr="00B8145D">
        <w:t>Dicha Unidad contará con las facultades internas necesarias para gestionar la atención a las solicitudes de información en los términos de la Ley General y la presente Ley.</w:t>
      </w:r>
    </w:p>
    <w:p w14:paraId="54D7F3F5" w14:textId="77777777" w:rsidR="002B7C6F" w:rsidRPr="00B8145D" w:rsidRDefault="002B7C6F" w:rsidP="00B8145D"/>
    <w:p w14:paraId="5AB2B52F" w14:textId="68BEB541" w:rsidR="00AC3CA0" w:rsidRPr="00B8145D" w:rsidRDefault="00AC3CA0" w:rsidP="00B8145D">
      <w:pPr>
        <w:pStyle w:val="Puesto"/>
      </w:pPr>
      <w:r w:rsidRPr="00B8145D">
        <w:rPr>
          <w:b/>
        </w:rPr>
        <w:t>Artículo 52.</w:t>
      </w:r>
      <w:r w:rsidRPr="00B8145D">
        <w:t xml:space="preserve"> Las solicitudes de acceso a la información y las respuestas que se les dé, incluyendo, en su caso, </w:t>
      </w:r>
      <w:r w:rsidRPr="00B8145D">
        <w:rPr>
          <w:u w:val="single"/>
        </w:rPr>
        <w:t>la información entregada, así como las resoluciones a los recursos que en su caso se promuevan serán públicas, y de ser el caso que contenga datos personales que deban ser protegidos se podrá dar su acceso en su versión pública</w:t>
      </w:r>
      <w:r w:rsidRPr="00B8145D">
        <w:t>, siempre y cuando la resolución de referencia se someta a un proceso de disociación, es decir, no haga identificable al titular de tales datos personales.</w:t>
      </w:r>
      <w:r w:rsidRPr="00B8145D">
        <w:rPr>
          <w:bCs/>
          <w:noProof/>
        </w:rPr>
        <w:t>”</w:t>
      </w:r>
      <w:r w:rsidR="007F5D06" w:rsidRPr="00B8145D">
        <w:rPr>
          <w:bCs/>
          <w:noProof/>
        </w:rPr>
        <w:t xml:space="preserve"> </w:t>
      </w:r>
      <w:r w:rsidRPr="00B8145D">
        <w:rPr>
          <w:i w:val="0"/>
          <w:iCs/>
          <w:szCs w:val="22"/>
        </w:rPr>
        <w:t>(Énfasis añadido)</w:t>
      </w:r>
    </w:p>
    <w:p w14:paraId="14DDB49A" w14:textId="77777777" w:rsidR="00AC3CA0" w:rsidRPr="00B8145D" w:rsidRDefault="00AC3CA0" w:rsidP="00B8145D"/>
    <w:p w14:paraId="18663A56" w14:textId="530412FA" w:rsidR="00AC3CA0" w:rsidRPr="00B8145D" w:rsidRDefault="00AC3CA0" w:rsidP="00B8145D">
      <w:r w:rsidRPr="00B8145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B8145D">
        <w:lastRenderedPageBreak/>
        <w:t xml:space="preserve">considerando además, que conforme al principio de finalidad, todo tratamiento de datos personales que </w:t>
      </w:r>
      <w:r w:rsidR="007F5D06" w:rsidRPr="00B8145D">
        <w:t xml:space="preserve">se </w:t>
      </w:r>
      <w:r w:rsidRPr="00B8145D">
        <w:t>efectúe deberá estar justificado en la Ley, lo anterior en términos de lo dispuesto por el artículo 22, párrafo primero</w:t>
      </w:r>
      <w:r w:rsidR="007F5D06" w:rsidRPr="00B8145D">
        <w:t>,</w:t>
      </w:r>
      <w:r w:rsidRPr="00B8145D">
        <w:t xml:space="preserve"> </w:t>
      </w:r>
      <w:r w:rsidR="007F5D06" w:rsidRPr="00B8145D">
        <w:t>relacionado</w:t>
      </w:r>
      <w:r w:rsidRPr="00B8145D">
        <w:t xml:space="preserve"> con el 38 de la Ley de Protección de Datos Personales en Posesión de Sujetos Obligados del Estado de México y Municipios, los cuales se transcriben para mayor referencia: </w:t>
      </w:r>
    </w:p>
    <w:p w14:paraId="24D8A62C" w14:textId="77777777" w:rsidR="00AC3CA0" w:rsidRPr="00B8145D" w:rsidRDefault="00AC3CA0" w:rsidP="00B8145D"/>
    <w:p w14:paraId="266BB0EA" w14:textId="01A7285C" w:rsidR="00AC3CA0" w:rsidRPr="00B8145D" w:rsidRDefault="00AC3CA0" w:rsidP="00B8145D">
      <w:pPr>
        <w:pStyle w:val="Puesto"/>
        <w:rPr>
          <w:rFonts w:eastAsia="Arial Unicode MS"/>
        </w:rPr>
      </w:pPr>
      <w:r w:rsidRPr="00B8145D">
        <w:rPr>
          <w:rFonts w:eastAsia="Arial Unicode MS"/>
          <w:b/>
        </w:rPr>
        <w:t>“Artículo 22.</w:t>
      </w:r>
      <w:r w:rsidRPr="00B8145D">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B8145D" w:rsidRDefault="002B7C6F" w:rsidP="00B8145D">
      <w:pPr>
        <w:rPr>
          <w:rFonts w:eastAsia="Arial Unicode MS"/>
        </w:rPr>
      </w:pPr>
    </w:p>
    <w:p w14:paraId="0C6ECD10" w14:textId="77777777" w:rsidR="00AC3CA0" w:rsidRPr="00B8145D" w:rsidRDefault="00AC3CA0" w:rsidP="00B8145D">
      <w:pPr>
        <w:pStyle w:val="Puesto"/>
        <w:rPr>
          <w:rFonts w:eastAsia="Arial Unicode MS"/>
        </w:rPr>
      </w:pPr>
      <w:r w:rsidRPr="00B8145D">
        <w:rPr>
          <w:rFonts w:eastAsia="Arial Unicode MS"/>
          <w:b/>
        </w:rPr>
        <w:t>Artículo 38.</w:t>
      </w:r>
      <w:r w:rsidRPr="00B8145D">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8145D">
        <w:rPr>
          <w:rFonts w:eastAsia="Arial Unicode MS"/>
          <w:b/>
        </w:rPr>
        <w:t>”</w:t>
      </w:r>
      <w:r w:rsidRPr="00B8145D">
        <w:rPr>
          <w:rFonts w:eastAsia="Arial Unicode MS"/>
        </w:rPr>
        <w:t xml:space="preserve"> </w:t>
      </w:r>
    </w:p>
    <w:p w14:paraId="11BDA04E" w14:textId="77777777" w:rsidR="00AC3CA0" w:rsidRPr="00B8145D" w:rsidRDefault="00AC3CA0" w:rsidP="00B8145D">
      <w:pPr>
        <w:rPr>
          <w:rFonts w:eastAsia="Arial Unicode MS"/>
          <w:i/>
          <w:szCs w:val="22"/>
        </w:rPr>
      </w:pPr>
    </w:p>
    <w:p w14:paraId="32BB7A5F" w14:textId="77777777" w:rsidR="00AC3CA0" w:rsidRPr="00B8145D" w:rsidRDefault="00AC3CA0" w:rsidP="00B8145D">
      <w:r w:rsidRPr="00B8145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B8145D" w:rsidRDefault="00AC3CA0" w:rsidP="00B8145D"/>
    <w:p w14:paraId="3CE77CF7" w14:textId="77777777" w:rsidR="00AC3CA0" w:rsidRPr="00B8145D" w:rsidRDefault="00AC3CA0" w:rsidP="00B8145D">
      <w:r w:rsidRPr="00B8145D">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B8145D">
        <w:lastRenderedPageBreak/>
        <w:t>información confidencial</w:t>
      </w:r>
      <w:r w:rsidRPr="00B8145D">
        <w:rPr>
          <w:rFonts w:eastAsia="Arial Unicode MS"/>
        </w:rPr>
        <w:t xml:space="preserve"> que debe ser protegida por </w:t>
      </w:r>
      <w:r w:rsidRPr="00B8145D">
        <w:rPr>
          <w:rFonts w:eastAsia="Arial Unicode MS"/>
          <w:b/>
        </w:rPr>
        <w:t>EL SUJETO OBLIGADO,</w:t>
      </w:r>
      <w:r w:rsidRPr="00B8145D">
        <w:rPr>
          <w:rFonts w:eastAsia="Arial Unicode MS"/>
        </w:rPr>
        <w:t xml:space="preserve"> por lo </w:t>
      </w:r>
      <w:r w:rsidRPr="00B8145D">
        <w:t>que, todo dato personal susceptible de clasificación debe ser protegido.</w:t>
      </w:r>
    </w:p>
    <w:p w14:paraId="17B1D51E" w14:textId="77777777" w:rsidR="00AC3CA0" w:rsidRPr="00B8145D" w:rsidRDefault="00AC3CA0" w:rsidP="00B8145D"/>
    <w:p w14:paraId="1C499B05" w14:textId="0FD0F4F9" w:rsidR="00AC3CA0" w:rsidRPr="00B8145D" w:rsidRDefault="00AC3CA0" w:rsidP="00B8145D">
      <w:r w:rsidRPr="00B8145D">
        <w:t>La finalidad de la versión pública es salvaguardar la vida, integridad, seguridad, patrimonio y privacidad de las personas; de tal manera que</w:t>
      </w:r>
      <w:r w:rsidR="007F5D06" w:rsidRPr="00B8145D">
        <w:t>,</w:t>
      </w:r>
      <w:r w:rsidRPr="00B8145D">
        <w:t xml:space="preserve"> todo aquello que no tenga por objeto proteger lo anterior, es susceptible de ser entregado</w:t>
      </w:r>
      <w:r w:rsidR="007F5D06" w:rsidRPr="00B8145D">
        <w:t>.</w:t>
      </w:r>
      <w:r w:rsidRPr="00B8145D">
        <w:t xml:space="preserve"> </w:t>
      </w:r>
      <w:r w:rsidR="007F5D06" w:rsidRPr="00B8145D">
        <w:t>E</w:t>
      </w:r>
      <w:r w:rsidRPr="00B8145D">
        <w:t>n otras palabras, la protección de datos personales</w:t>
      </w:r>
      <w:r w:rsidR="007F5D06" w:rsidRPr="00B8145D">
        <w:t xml:space="preserve"> </w:t>
      </w:r>
      <w:r w:rsidRPr="00B8145D">
        <w:t>es una derivación del derecho a la intimidad.</w:t>
      </w:r>
    </w:p>
    <w:p w14:paraId="4ECCCE5B" w14:textId="77777777" w:rsidR="00AC3CA0" w:rsidRPr="00B8145D" w:rsidRDefault="00AC3CA0" w:rsidP="00B8145D"/>
    <w:p w14:paraId="22155419" w14:textId="5E52B74B" w:rsidR="00AC3CA0" w:rsidRPr="00B8145D" w:rsidRDefault="00AC3CA0" w:rsidP="00B8145D">
      <w:r w:rsidRPr="00B8145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B8145D" w:rsidRDefault="00AC3CA0" w:rsidP="00B8145D"/>
    <w:p w14:paraId="12C70FB7" w14:textId="77777777" w:rsidR="00AC3CA0" w:rsidRPr="00B8145D" w:rsidRDefault="00AC3CA0" w:rsidP="00B8145D">
      <w:pPr>
        <w:jc w:val="center"/>
        <w:rPr>
          <w:b/>
          <w:i/>
          <w:szCs w:val="22"/>
        </w:rPr>
      </w:pPr>
      <w:r w:rsidRPr="00B8145D">
        <w:rPr>
          <w:b/>
          <w:i/>
          <w:szCs w:val="22"/>
          <w:lang w:val="es-ES_tradnl"/>
        </w:rPr>
        <w:t>Ley de Transparencia y Acceso a la Información Pública del Estado de México y Municipios</w:t>
      </w:r>
    </w:p>
    <w:p w14:paraId="79B28D55" w14:textId="77777777" w:rsidR="00AC3CA0" w:rsidRPr="00B8145D" w:rsidRDefault="00AC3CA0" w:rsidP="00B8145D"/>
    <w:p w14:paraId="51E4FC60" w14:textId="77777777" w:rsidR="00AC3CA0" w:rsidRPr="00B8145D" w:rsidRDefault="00AC3CA0" w:rsidP="00B8145D">
      <w:pPr>
        <w:pStyle w:val="Puesto"/>
      </w:pPr>
      <w:r w:rsidRPr="00B8145D">
        <w:rPr>
          <w:b/>
        </w:rPr>
        <w:t xml:space="preserve">“Artículo 49. </w:t>
      </w:r>
      <w:r w:rsidRPr="00B8145D">
        <w:t>Los Comités de Transparencia tendrán las siguientes atribuciones:</w:t>
      </w:r>
    </w:p>
    <w:p w14:paraId="58B2CA83" w14:textId="77777777" w:rsidR="00AC3CA0" w:rsidRPr="00B8145D" w:rsidRDefault="00AC3CA0" w:rsidP="00B8145D">
      <w:pPr>
        <w:pStyle w:val="Puesto"/>
      </w:pPr>
      <w:r w:rsidRPr="00B8145D">
        <w:rPr>
          <w:b/>
        </w:rPr>
        <w:t>VIII.</w:t>
      </w:r>
      <w:r w:rsidRPr="00B8145D">
        <w:t xml:space="preserve"> Aprobar, modificar o revocar la clasificación de la información;</w:t>
      </w:r>
    </w:p>
    <w:p w14:paraId="42CDD815" w14:textId="77777777" w:rsidR="002B7C6F" w:rsidRPr="00B8145D" w:rsidRDefault="002B7C6F" w:rsidP="00B8145D"/>
    <w:p w14:paraId="5E0FE30C" w14:textId="77777777" w:rsidR="00AC3CA0" w:rsidRPr="00B8145D" w:rsidRDefault="00AC3CA0" w:rsidP="00B8145D">
      <w:pPr>
        <w:pStyle w:val="Puesto"/>
      </w:pPr>
      <w:r w:rsidRPr="00B8145D">
        <w:rPr>
          <w:b/>
        </w:rPr>
        <w:t>Artículo 132.</w:t>
      </w:r>
      <w:r w:rsidRPr="00B8145D">
        <w:t xml:space="preserve"> La clasificación de la información se llevará a cabo en el momento en que:</w:t>
      </w:r>
    </w:p>
    <w:p w14:paraId="22862CEF" w14:textId="77777777" w:rsidR="00AC3CA0" w:rsidRPr="00B8145D" w:rsidRDefault="00AC3CA0" w:rsidP="00B8145D">
      <w:pPr>
        <w:pStyle w:val="Puesto"/>
      </w:pPr>
      <w:r w:rsidRPr="00B8145D">
        <w:rPr>
          <w:b/>
        </w:rPr>
        <w:t>I.</w:t>
      </w:r>
      <w:r w:rsidRPr="00B8145D">
        <w:t xml:space="preserve"> Se reciba una solicitud de acceso a la información;</w:t>
      </w:r>
    </w:p>
    <w:p w14:paraId="1076A40B" w14:textId="77777777" w:rsidR="00AC3CA0" w:rsidRPr="00B8145D" w:rsidRDefault="00AC3CA0" w:rsidP="00B8145D">
      <w:pPr>
        <w:pStyle w:val="Puesto"/>
      </w:pPr>
      <w:r w:rsidRPr="00B8145D">
        <w:rPr>
          <w:b/>
        </w:rPr>
        <w:t>II.</w:t>
      </w:r>
      <w:r w:rsidRPr="00B8145D">
        <w:t xml:space="preserve"> Se determine mediante resolución de autoridad competente; o</w:t>
      </w:r>
    </w:p>
    <w:p w14:paraId="327FFDF5" w14:textId="77777777" w:rsidR="00AC3CA0" w:rsidRPr="00B8145D" w:rsidRDefault="00AC3CA0" w:rsidP="00B8145D">
      <w:pPr>
        <w:pStyle w:val="Puesto"/>
        <w:rPr>
          <w:b/>
        </w:rPr>
      </w:pPr>
      <w:r w:rsidRPr="00B8145D">
        <w:rPr>
          <w:b/>
          <w:bCs/>
        </w:rPr>
        <w:t>III.</w:t>
      </w:r>
      <w:r w:rsidRPr="00B8145D">
        <w:t xml:space="preserve"> Se generen versiones públicas para dar cumplimiento a las obligaciones de transparencia previstas en esta Ley.</w:t>
      </w:r>
      <w:r w:rsidRPr="00B8145D">
        <w:rPr>
          <w:b/>
        </w:rPr>
        <w:t>”</w:t>
      </w:r>
    </w:p>
    <w:p w14:paraId="63550E79" w14:textId="77777777" w:rsidR="002B7C6F" w:rsidRPr="00B8145D" w:rsidRDefault="002B7C6F" w:rsidP="00B8145D"/>
    <w:p w14:paraId="733E702D" w14:textId="04C291BD" w:rsidR="00AC3CA0" w:rsidRPr="00B8145D" w:rsidRDefault="00AC3CA0" w:rsidP="00B8145D">
      <w:pPr>
        <w:pStyle w:val="Puesto"/>
      </w:pPr>
      <w:r w:rsidRPr="00B8145D">
        <w:rPr>
          <w:b/>
        </w:rPr>
        <w:lastRenderedPageBreak/>
        <w:t>“</w:t>
      </w:r>
      <w:r w:rsidR="002B7C6F" w:rsidRPr="00B8145D">
        <w:rPr>
          <w:b/>
        </w:rPr>
        <w:t>Segundo. -</w:t>
      </w:r>
      <w:r w:rsidRPr="00B8145D">
        <w:t xml:space="preserve"> Para efectos de los presentes Lineamientos Generales, se entenderá por:</w:t>
      </w:r>
    </w:p>
    <w:p w14:paraId="3D6255D3" w14:textId="77777777" w:rsidR="00AC3CA0" w:rsidRPr="00B8145D" w:rsidRDefault="00AC3CA0" w:rsidP="00B8145D">
      <w:pPr>
        <w:pStyle w:val="Puesto"/>
      </w:pPr>
      <w:r w:rsidRPr="00B8145D">
        <w:rPr>
          <w:b/>
        </w:rPr>
        <w:t>XVIII.</w:t>
      </w:r>
      <w:r w:rsidRPr="00B8145D">
        <w:t xml:space="preserve">  </w:t>
      </w:r>
      <w:r w:rsidRPr="00B8145D">
        <w:rPr>
          <w:b/>
        </w:rPr>
        <w:t>Versión pública:</w:t>
      </w:r>
      <w:r w:rsidRPr="00B8145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B8145D" w:rsidRDefault="00AC3CA0" w:rsidP="00B8145D">
      <w:pPr>
        <w:pStyle w:val="Puesto"/>
      </w:pPr>
    </w:p>
    <w:p w14:paraId="492CD288" w14:textId="77777777" w:rsidR="00AC3CA0" w:rsidRPr="00B8145D" w:rsidRDefault="00AC3CA0" w:rsidP="00B8145D">
      <w:pPr>
        <w:pStyle w:val="Puesto"/>
        <w:rPr>
          <w:b/>
          <w:lang w:val="es-ES_tradnl" w:eastAsia="es-MX"/>
        </w:rPr>
      </w:pPr>
      <w:r w:rsidRPr="00B8145D">
        <w:rPr>
          <w:b/>
          <w:lang w:val="es-ES_tradnl" w:eastAsia="es-MX"/>
        </w:rPr>
        <w:t xml:space="preserve">Lineamientos Generales en materia de Clasificación y Desclasificación de la </w:t>
      </w:r>
      <w:r w:rsidRPr="00B8145D">
        <w:rPr>
          <w:b/>
          <w:lang w:val="es-ES_tradnl"/>
        </w:rPr>
        <w:t>Información</w:t>
      </w:r>
    </w:p>
    <w:p w14:paraId="57959355" w14:textId="77777777" w:rsidR="00AC3CA0" w:rsidRPr="00B8145D" w:rsidRDefault="00AC3CA0" w:rsidP="00B8145D">
      <w:pPr>
        <w:pStyle w:val="Puesto"/>
      </w:pPr>
    </w:p>
    <w:p w14:paraId="204206B6" w14:textId="77777777" w:rsidR="00AC3CA0" w:rsidRPr="00B8145D" w:rsidRDefault="00AC3CA0" w:rsidP="00B8145D">
      <w:pPr>
        <w:pStyle w:val="Puesto"/>
      </w:pPr>
      <w:r w:rsidRPr="00B8145D">
        <w:rPr>
          <w:b/>
        </w:rPr>
        <w:t>Cuarto.</w:t>
      </w:r>
      <w:r w:rsidRPr="00B8145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B8145D" w:rsidRDefault="00AC3CA0" w:rsidP="00B8145D">
      <w:pPr>
        <w:pStyle w:val="Puesto"/>
      </w:pPr>
      <w:r w:rsidRPr="00B8145D">
        <w:t>Los sujetos obligados deberán aplicar, de manera estricta, las excepciones al derecho de acceso a la información y sólo podrán invocarlas cuando acrediten su procedencia.</w:t>
      </w:r>
    </w:p>
    <w:p w14:paraId="2334DA4A" w14:textId="77777777" w:rsidR="002B7C6F" w:rsidRPr="00B8145D" w:rsidRDefault="002B7C6F" w:rsidP="00B8145D"/>
    <w:p w14:paraId="773F3D38" w14:textId="77777777" w:rsidR="00AC3CA0" w:rsidRPr="00B8145D" w:rsidRDefault="00AC3CA0" w:rsidP="00B8145D">
      <w:pPr>
        <w:pStyle w:val="Puesto"/>
      </w:pPr>
      <w:r w:rsidRPr="00B8145D">
        <w:rPr>
          <w:b/>
        </w:rPr>
        <w:t>Quinto.</w:t>
      </w:r>
      <w:r w:rsidRPr="00B8145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B8145D" w:rsidRDefault="002B7C6F" w:rsidP="00B8145D"/>
    <w:p w14:paraId="501C8886" w14:textId="77777777" w:rsidR="00AC3CA0" w:rsidRPr="00B8145D" w:rsidRDefault="00AC3CA0" w:rsidP="00B8145D">
      <w:pPr>
        <w:pStyle w:val="Puesto"/>
      </w:pPr>
      <w:r w:rsidRPr="00B8145D">
        <w:rPr>
          <w:b/>
        </w:rPr>
        <w:t>Sexto.</w:t>
      </w:r>
      <w:r w:rsidRPr="00B8145D">
        <w:t xml:space="preserve"> Se deroga.</w:t>
      </w:r>
    </w:p>
    <w:p w14:paraId="35534E5B" w14:textId="77777777" w:rsidR="002B7C6F" w:rsidRPr="00B8145D" w:rsidRDefault="002B7C6F" w:rsidP="00B8145D"/>
    <w:p w14:paraId="71AE6E31" w14:textId="77777777" w:rsidR="00AC3CA0" w:rsidRPr="00B8145D" w:rsidRDefault="00AC3CA0" w:rsidP="00B8145D">
      <w:pPr>
        <w:pStyle w:val="Puesto"/>
      </w:pPr>
      <w:r w:rsidRPr="00B8145D">
        <w:rPr>
          <w:b/>
        </w:rPr>
        <w:t>Séptimo.</w:t>
      </w:r>
      <w:r w:rsidRPr="00B8145D">
        <w:t xml:space="preserve"> La clasificación de la información se llevará a cabo en el momento en que:</w:t>
      </w:r>
    </w:p>
    <w:p w14:paraId="4BC6551F" w14:textId="77777777" w:rsidR="00AC3CA0" w:rsidRPr="00B8145D" w:rsidRDefault="00AC3CA0" w:rsidP="00B8145D">
      <w:pPr>
        <w:pStyle w:val="Puesto"/>
      </w:pPr>
      <w:r w:rsidRPr="00B8145D">
        <w:rPr>
          <w:b/>
        </w:rPr>
        <w:t>I.</w:t>
      </w:r>
      <w:r w:rsidRPr="00B8145D">
        <w:t xml:space="preserve">        Se reciba una solicitud de acceso a la información;</w:t>
      </w:r>
    </w:p>
    <w:p w14:paraId="12BC61E7" w14:textId="77777777" w:rsidR="00AC3CA0" w:rsidRPr="00B8145D" w:rsidRDefault="00AC3CA0" w:rsidP="00B8145D">
      <w:pPr>
        <w:pStyle w:val="Puesto"/>
      </w:pPr>
      <w:r w:rsidRPr="00B8145D">
        <w:rPr>
          <w:b/>
        </w:rPr>
        <w:t>II.</w:t>
      </w:r>
      <w:r w:rsidRPr="00B8145D">
        <w:t xml:space="preserve">       Se determine mediante resolución del Comité de Transparencia, el órgano garante competente, o en cumplimiento a una sentencia del Poder Judicial; o</w:t>
      </w:r>
    </w:p>
    <w:p w14:paraId="60049403" w14:textId="77777777" w:rsidR="00AC3CA0" w:rsidRPr="00B8145D" w:rsidRDefault="00AC3CA0" w:rsidP="00B8145D">
      <w:pPr>
        <w:pStyle w:val="Puesto"/>
      </w:pPr>
      <w:r w:rsidRPr="00B8145D">
        <w:rPr>
          <w:b/>
        </w:rPr>
        <w:t>III.</w:t>
      </w:r>
      <w:r w:rsidRPr="00B8145D">
        <w:t xml:space="preserve">      Se generen versiones públicas para dar cumplimiento a las obligaciones de transparencia previstas en la Ley General, la Ley Federal y las correspondientes de las entidades federativas.</w:t>
      </w:r>
    </w:p>
    <w:p w14:paraId="2AAF20AA" w14:textId="77777777" w:rsidR="00AC3CA0" w:rsidRPr="00B8145D" w:rsidRDefault="00AC3CA0" w:rsidP="00B8145D">
      <w:pPr>
        <w:pStyle w:val="Puesto"/>
      </w:pPr>
      <w:r w:rsidRPr="00B8145D">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B8145D" w:rsidRDefault="002B7C6F" w:rsidP="00B8145D"/>
    <w:p w14:paraId="1B84F0FA" w14:textId="77777777" w:rsidR="00AC3CA0" w:rsidRPr="00B8145D" w:rsidRDefault="00AC3CA0" w:rsidP="00B8145D">
      <w:pPr>
        <w:pStyle w:val="Puesto"/>
      </w:pPr>
      <w:r w:rsidRPr="00B8145D">
        <w:rPr>
          <w:b/>
        </w:rPr>
        <w:t>Octavo.</w:t>
      </w:r>
      <w:r w:rsidRPr="00B8145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B8145D" w:rsidRDefault="00AC3CA0" w:rsidP="00B8145D">
      <w:pPr>
        <w:pStyle w:val="Puesto"/>
      </w:pPr>
      <w:r w:rsidRPr="00B8145D">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B8145D" w:rsidRDefault="00AC3CA0" w:rsidP="00B8145D">
      <w:pPr>
        <w:pStyle w:val="Puesto"/>
      </w:pPr>
      <w:r w:rsidRPr="00B8145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B8145D" w:rsidRDefault="002B7C6F" w:rsidP="00B8145D"/>
    <w:p w14:paraId="3DC18E7E" w14:textId="77777777" w:rsidR="00AC3CA0" w:rsidRPr="00B8145D" w:rsidRDefault="00AC3CA0" w:rsidP="00B8145D">
      <w:pPr>
        <w:pStyle w:val="Puesto"/>
      </w:pPr>
      <w:r w:rsidRPr="00B8145D">
        <w:rPr>
          <w:b/>
        </w:rPr>
        <w:t>Noveno.</w:t>
      </w:r>
      <w:r w:rsidRPr="00B8145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B8145D" w:rsidRDefault="002B7C6F" w:rsidP="00B8145D"/>
    <w:p w14:paraId="45844BB1" w14:textId="77777777" w:rsidR="00AC3CA0" w:rsidRPr="00B8145D" w:rsidRDefault="00AC3CA0" w:rsidP="00B8145D">
      <w:pPr>
        <w:pStyle w:val="Puesto"/>
      </w:pPr>
      <w:r w:rsidRPr="00B8145D">
        <w:rPr>
          <w:b/>
        </w:rPr>
        <w:t>Décimo.</w:t>
      </w:r>
      <w:r w:rsidRPr="00B8145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B8145D" w:rsidRDefault="00AC3CA0" w:rsidP="00B8145D">
      <w:pPr>
        <w:pStyle w:val="Puesto"/>
      </w:pPr>
      <w:r w:rsidRPr="00B8145D">
        <w:t>En ausencia de los titulares de las áreas, la información será clasificada o desclasificada por la persona que lo supla, en términos de la normativa que rija la actuación del sujeto obligado.</w:t>
      </w:r>
    </w:p>
    <w:p w14:paraId="0861DCC9" w14:textId="77777777" w:rsidR="00AC3CA0" w:rsidRPr="00B8145D" w:rsidRDefault="00AC3CA0" w:rsidP="00B8145D">
      <w:pPr>
        <w:pStyle w:val="Puesto"/>
        <w:rPr>
          <w:b/>
        </w:rPr>
      </w:pPr>
      <w:r w:rsidRPr="00B8145D">
        <w:rPr>
          <w:b/>
        </w:rPr>
        <w:t>Décimo primero.</w:t>
      </w:r>
      <w:r w:rsidRPr="00B8145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8145D">
        <w:rPr>
          <w:b/>
        </w:rPr>
        <w:t>”</w:t>
      </w:r>
    </w:p>
    <w:p w14:paraId="2D5FBBCD" w14:textId="77777777" w:rsidR="00AC3CA0" w:rsidRPr="00B8145D" w:rsidRDefault="00AC3CA0" w:rsidP="00B8145D"/>
    <w:p w14:paraId="05D0E4C9" w14:textId="0A69CA87" w:rsidR="00AC3CA0" w:rsidRPr="00B8145D" w:rsidRDefault="00AC3CA0" w:rsidP="00B8145D">
      <w:pPr>
        <w:rPr>
          <w:lang w:eastAsia="es-CO"/>
        </w:rPr>
      </w:pPr>
      <w:r w:rsidRPr="00B8145D">
        <w:t xml:space="preserve">Consecuentemente, se destaca que la versión pública que elabore </w:t>
      </w:r>
      <w:r w:rsidRPr="00B8145D">
        <w:rPr>
          <w:b/>
        </w:rPr>
        <w:t>EL SUJETO OBLIGADO</w:t>
      </w:r>
      <w:r w:rsidRPr="00B8145D">
        <w:t xml:space="preserve"> debe cumplir con las formalidades exigidas en la Ley, por lo que para tal efecto emitirá el </w:t>
      </w:r>
      <w:r w:rsidRPr="00B8145D">
        <w:rPr>
          <w:b/>
        </w:rPr>
        <w:lastRenderedPageBreak/>
        <w:t>Acuerdo del Comité de Transparencia</w:t>
      </w:r>
      <w:r w:rsidRPr="00B8145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8145D">
        <w:rPr>
          <w:lang w:eastAsia="es-CO"/>
        </w:rPr>
        <w:t>, ya que</w:t>
      </w:r>
      <w:r w:rsidR="002B7C6F" w:rsidRPr="00B8145D">
        <w:rPr>
          <w:lang w:eastAsia="es-CO"/>
        </w:rPr>
        <w:t xml:space="preserve"> de</w:t>
      </w:r>
      <w:r w:rsidRPr="00B8145D">
        <w:rPr>
          <w:lang w:eastAsia="es-CO"/>
        </w:rPr>
        <w:t xml:space="preserve"> no hacerlo implica que lo entregado no es legal ni formalmente una versión pública, sino más bien una documentación ilegible, incompleta o tachada; pues no </w:t>
      </w:r>
      <w:r w:rsidR="002B7C6F" w:rsidRPr="00B8145D">
        <w:rPr>
          <w:lang w:eastAsia="es-CO"/>
        </w:rPr>
        <w:t xml:space="preserve">se </w:t>
      </w:r>
      <w:r w:rsidRPr="00B8145D">
        <w:rPr>
          <w:lang w:eastAsia="es-CO"/>
        </w:rPr>
        <w:t>señala</w:t>
      </w:r>
      <w:r w:rsidR="002B7C6F" w:rsidRPr="00B8145D">
        <w:rPr>
          <w:lang w:eastAsia="es-CO"/>
        </w:rPr>
        <w:t>n</w:t>
      </w:r>
      <w:r w:rsidRPr="00B8145D">
        <w:rPr>
          <w:lang w:eastAsia="es-CO"/>
        </w:rPr>
        <w:t xml:space="preserve"> las razones por las que no se aprecian determinados datos -ya sea porque se testan o suprimen- </w:t>
      </w:r>
      <w:r w:rsidR="002B7C6F" w:rsidRPr="00B8145D">
        <w:rPr>
          <w:lang w:eastAsia="es-CO"/>
        </w:rPr>
        <w:t xml:space="preserve">lo cual </w:t>
      </w:r>
      <w:r w:rsidRPr="00B8145D">
        <w:rPr>
          <w:lang w:eastAsia="es-CO"/>
        </w:rPr>
        <w:t>deja al solicitante en estado de incertidumbre, al no conocer o comprender porque no aparecen en la documentación respectiva, es decir, si no se exponen de manera puntual las razones</w:t>
      </w:r>
      <w:r w:rsidR="002B7C6F" w:rsidRPr="00B8145D">
        <w:rPr>
          <w:lang w:eastAsia="es-CO"/>
        </w:rPr>
        <w:t xml:space="preserve">, </w:t>
      </w:r>
      <w:r w:rsidRPr="00B8145D">
        <w:rPr>
          <w:lang w:eastAsia="es-CO"/>
        </w:rPr>
        <w:t>se estaría violentando desde un inicio el derecho de acceso a la información del solicitante.</w:t>
      </w:r>
    </w:p>
    <w:p w14:paraId="3B0B7048" w14:textId="77777777" w:rsidR="002B7C6F" w:rsidRPr="00B8145D" w:rsidRDefault="002B7C6F" w:rsidP="00B8145D">
      <w:pPr>
        <w:rPr>
          <w:lang w:eastAsia="es-CO"/>
        </w:rPr>
      </w:pPr>
    </w:p>
    <w:p w14:paraId="6CD05AC4" w14:textId="2532ED75" w:rsidR="00BD5A7C" w:rsidRPr="00B8145D" w:rsidRDefault="00BD5A7C" w:rsidP="00B8145D">
      <w:pPr>
        <w:pStyle w:val="Ttulo3"/>
      </w:pPr>
      <w:bookmarkStart w:id="29" w:name="_Toc165304079"/>
      <w:bookmarkStart w:id="30" w:name="_Toc197541101"/>
      <w:r w:rsidRPr="00B8145D">
        <w:rPr>
          <w:rFonts w:eastAsia="Calibri"/>
        </w:rPr>
        <w:t>e</w:t>
      </w:r>
      <w:r w:rsidR="00335CDF" w:rsidRPr="00B8145D">
        <w:rPr>
          <w:rFonts w:eastAsia="Calibri"/>
        </w:rPr>
        <w:t xml:space="preserve">) </w:t>
      </w:r>
      <w:bookmarkEnd w:id="29"/>
      <w:r w:rsidRPr="00B8145D">
        <w:t>Conclusión</w:t>
      </w:r>
      <w:bookmarkEnd w:id="30"/>
    </w:p>
    <w:p w14:paraId="64474B5E" w14:textId="77777777" w:rsidR="00F264C1" w:rsidRPr="00B8145D" w:rsidRDefault="00F264C1" w:rsidP="00B8145D">
      <w:pPr>
        <w:widowControl w:val="0"/>
        <w:tabs>
          <w:tab w:val="left" w:pos="1701"/>
          <w:tab w:val="left" w:pos="1843"/>
        </w:tabs>
        <w:autoSpaceDE w:val="0"/>
        <w:autoSpaceDN w:val="0"/>
        <w:adjustRightInd w:val="0"/>
        <w:rPr>
          <w:rFonts w:cs="Arial"/>
        </w:rPr>
      </w:pPr>
      <w:r w:rsidRPr="00B8145D">
        <w:rPr>
          <w:rFonts w:cs="Arial"/>
        </w:rPr>
        <w:t xml:space="preserve">En conclusión y con base en lo anteriormente expuesto, este Instituto estima que las razones o motivos de inconformidad hechos valer por </w:t>
      </w:r>
      <w:r w:rsidRPr="00B8145D">
        <w:rPr>
          <w:rFonts w:cs="Arial"/>
          <w:b/>
          <w:bCs/>
          <w:iCs/>
        </w:rPr>
        <w:t xml:space="preserve">LA PARTE RECURRENTE </w:t>
      </w:r>
      <w:r w:rsidRPr="00B8145D">
        <w:rPr>
          <w:rFonts w:cs="Arial"/>
        </w:rPr>
        <w:t xml:space="preserve">devienen </w:t>
      </w:r>
      <w:r w:rsidRPr="00B8145D">
        <w:rPr>
          <w:rFonts w:cs="Arial"/>
          <w:b/>
        </w:rPr>
        <w:t>fundadas</w:t>
      </w:r>
      <w:r w:rsidRPr="00B8145D">
        <w:rPr>
          <w:rFonts w:cs="Arial"/>
        </w:rPr>
        <w:t xml:space="preserve"> y suficientes para </w:t>
      </w:r>
      <w:r w:rsidRPr="00B8145D">
        <w:rPr>
          <w:rFonts w:cs="Arial"/>
          <w:b/>
        </w:rPr>
        <w:t xml:space="preserve">MODIFICAR </w:t>
      </w:r>
      <w:r w:rsidRPr="00B8145D">
        <w:rPr>
          <w:rFonts w:cs="Arial"/>
        </w:rPr>
        <w:t xml:space="preserve">la respuesta del </w:t>
      </w:r>
      <w:r w:rsidRPr="00B8145D">
        <w:rPr>
          <w:rFonts w:cs="Arial"/>
          <w:b/>
        </w:rPr>
        <w:t>SUJETO OBLIGADO</w:t>
      </w:r>
      <w:r w:rsidRPr="00B8145D">
        <w:rPr>
          <w:rFonts w:cs="Arial"/>
        </w:rPr>
        <w:t xml:space="preserve"> y ordenarle haga entrega de la información descrita en el presente Considerando.</w:t>
      </w:r>
    </w:p>
    <w:p w14:paraId="1D8BD437" w14:textId="77777777" w:rsidR="000605CC" w:rsidRPr="00B8145D" w:rsidRDefault="000605CC" w:rsidP="00B8145D">
      <w:pPr>
        <w:widowControl w:val="0"/>
        <w:tabs>
          <w:tab w:val="left" w:pos="1701"/>
          <w:tab w:val="left" w:pos="1843"/>
        </w:tabs>
        <w:autoSpaceDE w:val="0"/>
        <w:autoSpaceDN w:val="0"/>
        <w:adjustRightInd w:val="0"/>
        <w:rPr>
          <w:rFonts w:cs="Arial"/>
        </w:rPr>
      </w:pPr>
    </w:p>
    <w:p w14:paraId="607E7608" w14:textId="77777777" w:rsidR="005921A0" w:rsidRPr="00B8145D" w:rsidRDefault="005921A0" w:rsidP="00B8145D">
      <w:pPr>
        <w:ind w:right="-93"/>
        <w:rPr>
          <w:rFonts w:cs="Tahoma"/>
          <w:bCs/>
          <w:szCs w:val="22"/>
        </w:rPr>
      </w:pPr>
      <w:bookmarkStart w:id="31" w:name="_Hlk165381027"/>
      <w:r w:rsidRPr="00B8145D">
        <w:rPr>
          <w:rFonts w:cs="Tahoma"/>
          <w:bCs/>
          <w:szCs w:val="22"/>
        </w:rPr>
        <w:t xml:space="preserve">Así, con fundamento en lo establecido en los artículos 5, </w:t>
      </w:r>
      <w:r w:rsidRPr="00B8145D">
        <w:t>párrafos trigésimo séptimo, trigésimo octavo y trigésimo noveno, fracciones IV y V de la Constitución Política del Estado Libre y Soberano de México</w:t>
      </w:r>
      <w:r w:rsidRPr="00B8145D">
        <w:rPr>
          <w:rFonts w:cs="Tahoma"/>
          <w:bCs/>
          <w:szCs w:val="22"/>
        </w:rPr>
        <w:t>;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Default="00BD5A7C" w:rsidP="00B8145D"/>
    <w:p w14:paraId="21A408D5" w14:textId="77777777" w:rsidR="00B8145D" w:rsidRDefault="00B8145D" w:rsidP="00B8145D"/>
    <w:p w14:paraId="2CF394B8" w14:textId="77777777" w:rsidR="00B8145D" w:rsidRPr="00B8145D" w:rsidRDefault="00B8145D" w:rsidP="00B8145D"/>
    <w:p w14:paraId="5C396097" w14:textId="684A0E4F" w:rsidR="00664420" w:rsidRPr="00B8145D" w:rsidRDefault="00664420" w:rsidP="00B8145D">
      <w:pPr>
        <w:pStyle w:val="Ttulo1"/>
      </w:pPr>
      <w:bookmarkStart w:id="32" w:name="_Toc197541102"/>
      <w:r w:rsidRPr="00B8145D">
        <w:lastRenderedPageBreak/>
        <w:t>RESUELVE</w:t>
      </w:r>
      <w:bookmarkEnd w:id="32"/>
    </w:p>
    <w:p w14:paraId="203B7093" w14:textId="77777777" w:rsidR="00664420" w:rsidRPr="00B8145D" w:rsidRDefault="00664420" w:rsidP="00B8145D">
      <w:pPr>
        <w:ind w:right="113"/>
        <w:rPr>
          <w:rFonts w:cs="Arial"/>
          <w:b/>
          <w:szCs w:val="22"/>
        </w:rPr>
      </w:pPr>
    </w:p>
    <w:p w14:paraId="40DE562B" w14:textId="448B9050" w:rsidR="00FC3CE0" w:rsidRPr="00B8145D" w:rsidRDefault="00FC3CE0" w:rsidP="00B8145D">
      <w:pPr>
        <w:widowControl w:val="0"/>
        <w:rPr>
          <w:rFonts w:eastAsia="Calibri" w:cs="Tahoma"/>
          <w:bCs/>
          <w:szCs w:val="22"/>
          <w:lang w:eastAsia="en-US"/>
        </w:rPr>
      </w:pPr>
      <w:r w:rsidRPr="00B8145D">
        <w:rPr>
          <w:b/>
          <w:bCs/>
        </w:rPr>
        <w:t>PRIMERO.</w:t>
      </w:r>
      <w:r w:rsidRPr="00B8145D">
        <w:t xml:space="preserve"> </w:t>
      </w:r>
      <w:r w:rsidRPr="00B8145D">
        <w:rPr>
          <w:rFonts w:cs="Tahoma"/>
          <w:szCs w:val="22"/>
        </w:rPr>
        <w:t xml:space="preserve">Se </w:t>
      </w:r>
      <w:r w:rsidR="004E5068" w:rsidRPr="00B8145D">
        <w:rPr>
          <w:rFonts w:cs="Tahoma"/>
          <w:b/>
          <w:bCs/>
          <w:szCs w:val="22"/>
        </w:rPr>
        <w:t xml:space="preserve">MODIFICA </w:t>
      </w:r>
      <w:r w:rsidRPr="00B8145D">
        <w:rPr>
          <w:rFonts w:cs="Tahoma"/>
          <w:szCs w:val="22"/>
        </w:rPr>
        <w:t xml:space="preserve">la respuesta entregada por el </w:t>
      </w:r>
      <w:r w:rsidR="004E5068" w:rsidRPr="00B8145D">
        <w:rPr>
          <w:rFonts w:cs="Tahoma"/>
          <w:b/>
          <w:bCs/>
          <w:szCs w:val="22"/>
        </w:rPr>
        <w:t>SUJETO OBLIGADO</w:t>
      </w:r>
      <w:r w:rsidR="004E5068" w:rsidRPr="00B8145D">
        <w:rPr>
          <w:rFonts w:cs="Tahoma"/>
          <w:szCs w:val="22"/>
        </w:rPr>
        <w:t xml:space="preserve"> </w:t>
      </w:r>
      <w:r w:rsidR="0041385B" w:rsidRPr="00B8145D">
        <w:rPr>
          <w:rFonts w:cs="Tahoma"/>
          <w:szCs w:val="22"/>
        </w:rPr>
        <w:t>en</w:t>
      </w:r>
      <w:r w:rsidRPr="00B8145D">
        <w:rPr>
          <w:rFonts w:cs="Tahoma"/>
          <w:szCs w:val="22"/>
        </w:rPr>
        <w:t xml:space="preserve"> la solicitud de información </w:t>
      </w:r>
      <w:r w:rsidR="00C2458E" w:rsidRPr="00B8145D">
        <w:rPr>
          <w:rFonts w:cs="Tahoma"/>
          <w:b/>
        </w:rPr>
        <w:t>00118/SF/IP/2025</w:t>
      </w:r>
      <w:r w:rsidRPr="00B8145D">
        <w:rPr>
          <w:rFonts w:cs="Tahoma"/>
          <w:bCs/>
          <w:szCs w:val="22"/>
        </w:rPr>
        <w:t xml:space="preserve">, </w:t>
      </w:r>
      <w:r w:rsidRPr="00B8145D">
        <w:rPr>
          <w:rFonts w:eastAsia="Calibri" w:cs="Tahoma"/>
          <w:bCs/>
          <w:szCs w:val="22"/>
          <w:lang w:eastAsia="en-US"/>
        </w:rPr>
        <w:t xml:space="preserve">por resultar </w:t>
      </w:r>
      <w:r w:rsidRPr="00B8145D">
        <w:rPr>
          <w:rFonts w:eastAsia="Calibri" w:cs="Tahoma"/>
          <w:b/>
          <w:bCs/>
          <w:szCs w:val="22"/>
          <w:lang w:eastAsia="en-US"/>
        </w:rPr>
        <w:t>FUNDADAS</w:t>
      </w:r>
      <w:r w:rsidRPr="00B8145D">
        <w:rPr>
          <w:rFonts w:eastAsia="Calibri" w:cs="Tahoma"/>
          <w:bCs/>
          <w:szCs w:val="22"/>
          <w:lang w:eastAsia="en-US"/>
        </w:rPr>
        <w:t xml:space="preserve"> las razones o motivos de inconformidad hechos valer por </w:t>
      </w:r>
      <w:r w:rsidRPr="00B8145D">
        <w:rPr>
          <w:rFonts w:eastAsia="Calibri" w:cs="Tahoma"/>
          <w:b/>
          <w:szCs w:val="22"/>
          <w:lang w:eastAsia="en-US"/>
        </w:rPr>
        <w:t>LA PARTE RECURRENTE</w:t>
      </w:r>
      <w:r w:rsidRPr="00B8145D">
        <w:rPr>
          <w:rFonts w:eastAsia="Calibri" w:cs="Tahoma"/>
          <w:bCs/>
          <w:szCs w:val="22"/>
          <w:lang w:eastAsia="en-US"/>
        </w:rPr>
        <w:t xml:space="preserve"> en el Recurso de Revisión </w:t>
      </w:r>
      <w:r w:rsidR="00C2458E" w:rsidRPr="00B8145D">
        <w:rPr>
          <w:rFonts w:eastAsiaTheme="minorHAnsi" w:cstheme="minorBidi"/>
          <w:b/>
          <w:bCs/>
          <w:szCs w:val="22"/>
          <w:lang w:eastAsia="en-US"/>
        </w:rPr>
        <w:t>02422/</w:t>
      </w:r>
      <w:r w:rsidRPr="00B8145D">
        <w:rPr>
          <w:rFonts w:eastAsiaTheme="minorHAnsi" w:cstheme="minorBidi"/>
          <w:b/>
          <w:bCs/>
          <w:szCs w:val="22"/>
          <w:lang w:eastAsia="en-US"/>
        </w:rPr>
        <w:t>INFOEM/IP/RR</w:t>
      </w:r>
      <w:r w:rsidR="000605CC" w:rsidRPr="00B8145D">
        <w:rPr>
          <w:rFonts w:eastAsiaTheme="minorHAnsi" w:cstheme="minorBidi"/>
          <w:b/>
          <w:bCs/>
          <w:szCs w:val="22"/>
          <w:lang w:eastAsia="en-US"/>
        </w:rPr>
        <w:t>/202</w:t>
      </w:r>
      <w:r w:rsidR="00C2458E" w:rsidRPr="00B8145D">
        <w:rPr>
          <w:rFonts w:eastAsiaTheme="minorHAnsi" w:cstheme="minorBidi"/>
          <w:b/>
          <w:bCs/>
          <w:szCs w:val="22"/>
          <w:lang w:eastAsia="en-US"/>
        </w:rPr>
        <w:t>5</w:t>
      </w:r>
      <w:r w:rsidR="000605CC" w:rsidRPr="00B8145D">
        <w:rPr>
          <w:rFonts w:eastAsiaTheme="minorHAnsi" w:cstheme="minorBidi"/>
          <w:b/>
          <w:bCs/>
          <w:szCs w:val="22"/>
          <w:lang w:eastAsia="en-US"/>
        </w:rPr>
        <w:t>,</w:t>
      </w:r>
      <w:r w:rsidRPr="00B8145D">
        <w:rPr>
          <w:rFonts w:cs="Tahoma"/>
          <w:b/>
          <w:szCs w:val="22"/>
        </w:rPr>
        <w:t xml:space="preserve"> </w:t>
      </w:r>
      <w:r w:rsidRPr="00B8145D">
        <w:rPr>
          <w:rFonts w:eastAsia="Calibri" w:cs="Tahoma"/>
          <w:bCs/>
          <w:szCs w:val="22"/>
          <w:lang w:eastAsia="en-US"/>
        </w:rPr>
        <w:t xml:space="preserve">en términos del considerando </w:t>
      </w:r>
      <w:r w:rsidRPr="00B8145D">
        <w:rPr>
          <w:rFonts w:eastAsia="Calibri" w:cs="Tahoma"/>
          <w:b/>
          <w:szCs w:val="22"/>
          <w:lang w:eastAsia="en-US"/>
        </w:rPr>
        <w:t>SEGUNDO</w:t>
      </w:r>
      <w:r w:rsidRPr="00B8145D">
        <w:rPr>
          <w:rFonts w:eastAsia="Calibri" w:cs="Tahoma"/>
          <w:bCs/>
          <w:szCs w:val="22"/>
          <w:lang w:eastAsia="en-US"/>
        </w:rPr>
        <w:t xml:space="preserve"> de la presente Resolución.</w:t>
      </w:r>
    </w:p>
    <w:p w14:paraId="78D4A482" w14:textId="77777777" w:rsidR="00FC3CE0" w:rsidRPr="00B8145D" w:rsidRDefault="00FC3CE0" w:rsidP="00B8145D">
      <w:pPr>
        <w:widowControl w:val="0"/>
        <w:rPr>
          <w:rFonts w:eastAsia="Calibri" w:cs="Tahoma"/>
          <w:bCs/>
          <w:szCs w:val="22"/>
          <w:lang w:eastAsia="en-US"/>
        </w:rPr>
      </w:pPr>
    </w:p>
    <w:p w14:paraId="16CF919C" w14:textId="6C00828E" w:rsidR="00FC3CE0" w:rsidRPr="00B8145D" w:rsidRDefault="00FC3CE0" w:rsidP="00B8145D">
      <w:pPr>
        <w:ind w:right="-93"/>
        <w:rPr>
          <w:rFonts w:eastAsia="Calibri" w:cs="Tahoma"/>
          <w:bCs/>
          <w:szCs w:val="22"/>
          <w:lang w:eastAsia="en-US"/>
        </w:rPr>
      </w:pPr>
      <w:r w:rsidRPr="00B8145D">
        <w:rPr>
          <w:rFonts w:eastAsia="Calibri" w:cs="Tahoma"/>
          <w:b/>
          <w:bCs/>
          <w:szCs w:val="22"/>
          <w:lang w:eastAsia="en-US"/>
        </w:rPr>
        <w:t>SEGUNDO.</w:t>
      </w:r>
      <w:r w:rsidRPr="00B8145D">
        <w:rPr>
          <w:rFonts w:eastAsia="Calibri" w:cs="Tahoma"/>
          <w:szCs w:val="22"/>
          <w:lang w:eastAsia="es-MX"/>
        </w:rPr>
        <w:t xml:space="preserve"> Se </w:t>
      </w:r>
      <w:r w:rsidRPr="00B8145D">
        <w:rPr>
          <w:rFonts w:eastAsia="Calibri" w:cs="Tahoma"/>
          <w:b/>
          <w:szCs w:val="22"/>
          <w:lang w:eastAsia="es-MX"/>
        </w:rPr>
        <w:t xml:space="preserve">ORDENA </w:t>
      </w:r>
      <w:r w:rsidRPr="00B8145D">
        <w:rPr>
          <w:rFonts w:eastAsia="Calibri" w:cs="Tahoma"/>
          <w:szCs w:val="22"/>
          <w:lang w:eastAsia="es-MX"/>
        </w:rPr>
        <w:t xml:space="preserve">al </w:t>
      </w:r>
      <w:r w:rsidRPr="00B8145D">
        <w:rPr>
          <w:rFonts w:eastAsia="Calibri" w:cs="Tahoma"/>
          <w:b/>
          <w:bCs/>
          <w:szCs w:val="22"/>
          <w:lang w:eastAsia="es-MX"/>
        </w:rPr>
        <w:t>SUJETO OBLIGADO</w:t>
      </w:r>
      <w:r w:rsidRPr="00B8145D">
        <w:rPr>
          <w:rFonts w:eastAsia="Calibri" w:cs="Tahoma"/>
          <w:szCs w:val="22"/>
          <w:lang w:eastAsia="es-MX"/>
        </w:rPr>
        <w:t xml:space="preserve">, </w:t>
      </w:r>
      <w:r w:rsidRPr="00B8145D">
        <w:rPr>
          <w:rFonts w:eastAsia="Calibri" w:cs="Tahoma"/>
          <w:bCs/>
          <w:szCs w:val="22"/>
          <w:lang w:eastAsia="en-US"/>
        </w:rPr>
        <w:t xml:space="preserve">a efecto de que, previa búsqueda exhaustiva y razonable de la información, entregue a través del </w:t>
      </w:r>
      <w:r w:rsidR="00233005" w:rsidRPr="00B8145D">
        <w:rPr>
          <w:rFonts w:eastAsia="Calibri" w:cs="Tahoma"/>
          <w:bCs/>
          <w:szCs w:val="22"/>
          <w:lang w:eastAsia="en-US"/>
        </w:rPr>
        <w:t xml:space="preserve">SAIMEX, </w:t>
      </w:r>
      <w:r w:rsidRPr="00B8145D">
        <w:rPr>
          <w:rFonts w:eastAsia="Calibri" w:cs="Tahoma"/>
          <w:bCs/>
          <w:szCs w:val="22"/>
          <w:lang w:eastAsia="en-US"/>
        </w:rPr>
        <w:t>los documentos que den cuenta de lo siguiente:</w:t>
      </w:r>
    </w:p>
    <w:p w14:paraId="68DCF0A0" w14:textId="77777777" w:rsidR="00954F02" w:rsidRPr="00B8145D" w:rsidRDefault="00954F02" w:rsidP="00B8145D">
      <w:pPr>
        <w:ind w:right="-93"/>
        <w:rPr>
          <w:rFonts w:eastAsia="Calibri" w:cs="Tahoma"/>
          <w:bCs/>
          <w:szCs w:val="22"/>
          <w:lang w:eastAsia="en-US"/>
        </w:rPr>
      </w:pPr>
    </w:p>
    <w:p w14:paraId="71A9AB22" w14:textId="0B43C701" w:rsidR="00C2458E" w:rsidRPr="00B8145D" w:rsidRDefault="00C2458E" w:rsidP="00B8145D">
      <w:pPr>
        <w:pStyle w:val="Prrafodelista"/>
        <w:numPr>
          <w:ilvl w:val="0"/>
          <w:numId w:val="3"/>
        </w:numPr>
        <w:ind w:right="-93"/>
        <w:rPr>
          <w:i/>
        </w:rPr>
      </w:pPr>
      <w:r w:rsidRPr="00B8145D">
        <w:rPr>
          <w:i/>
        </w:rPr>
        <w:t>Oficios emitidos por la Unidad de Información, Planeación, Programación y Evaluación del 06 de febrero de 2024 al 06 de febrero de 2025 remitidos en respuesta e informe justificado, en correcta versión pública.</w:t>
      </w:r>
    </w:p>
    <w:p w14:paraId="1DAFF39D" w14:textId="42363267" w:rsidR="00C2458E" w:rsidRPr="00B8145D" w:rsidRDefault="00C2458E" w:rsidP="00B8145D">
      <w:pPr>
        <w:pStyle w:val="Prrafodelista"/>
        <w:numPr>
          <w:ilvl w:val="0"/>
          <w:numId w:val="3"/>
        </w:numPr>
        <w:ind w:right="-93"/>
        <w:rPr>
          <w:i/>
        </w:rPr>
      </w:pPr>
      <w:r w:rsidRPr="00B8145D">
        <w:rPr>
          <w:i/>
        </w:rPr>
        <w:t>Oficios emitidos por la Dirección de Evaluación, Dirección de Información</w:t>
      </w:r>
      <w:r w:rsidR="00CC643D" w:rsidRPr="00B8145D">
        <w:rPr>
          <w:i/>
        </w:rPr>
        <w:t xml:space="preserve"> y la Dirección de Vinculación</w:t>
      </w:r>
      <w:r w:rsidRPr="00B8145D">
        <w:rPr>
          <w:i/>
        </w:rPr>
        <w:t xml:space="preserve"> remitidos en informe justificado, así como los oficios faltantes del 06 de febrero de 2024 al 06 de febrero de 2025,</w:t>
      </w:r>
      <w:r w:rsidRPr="00B8145D">
        <w:t xml:space="preserve"> </w:t>
      </w:r>
      <w:r w:rsidRPr="00B8145D">
        <w:rPr>
          <w:i/>
        </w:rPr>
        <w:t>en su caso en versión pública.</w:t>
      </w:r>
    </w:p>
    <w:p w14:paraId="52BF7288" w14:textId="77777777" w:rsidR="00E40A98" w:rsidRPr="00B8145D" w:rsidRDefault="00E40A98" w:rsidP="00B8145D">
      <w:pPr>
        <w:ind w:right="-93"/>
        <w:rPr>
          <w:rFonts w:eastAsia="Calibri" w:cs="Tahoma"/>
          <w:bCs/>
          <w:szCs w:val="22"/>
          <w:lang w:eastAsia="en-US"/>
        </w:rPr>
      </w:pPr>
    </w:p>
    <w:p w14:paraId="1599BF79" w14:textId="77777777" w:rsidR="00E40A98" w:rsidRPr="00B8145D" w:rsidRDefault="00E40A98" w:rsidP="00B8145D">
      <w:pPr>
        <w:ind w:right="-93"/>
        <w:rPr>
          <w:rFonts w:eastAsia="Calibri" w:cs="Tahoma"/>
          <w:bCs/>
          <w:szCs w:val="22"/>
          <w:lang w:eastAsia="en-US"/>
        </w:rPr>
      </w:pPr>
      <w:r w:rsidRPr="00B8145D">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99BEC27" w14:textId="77777777" w:rsidR="00954F02" w:rsidRPr="00B8145D" w:rsidRDefault="00954F02" w:rsidP="00B8145D">
      <w:pPr>
        <w:ind w:right="-93"/>
        <w:rPr>
          <w:rFonts w:eastAsia="Calibri" w:cs="Tahoma"/>
          <w:bCs/>
          <w:szCs w:val="22"/>
          <w:lang w:eastAsia="en-US"/>
        </w:rPr>
      </w:pPr>
    </w:p>
    <w:p w14:paraId="174D872D" w14:textId="575530E0" w:rsidR="00CC643D" w:rsidRPr="00B8145D" w:rsidRDefault="00CC643D" w:rsidP="00B8145D">
      <w:pPr>
        <w:ind w:right="-93"/>
        <w:rPr>
          <w:rFonts w:eastAsia="Calibri" w:cs="Tahoma"/>
          <w:bCs/>
          <w:szCs w:val="22"/>
          <w:lang w:eastAsia="en-US"/>
        </w:rPr>
      </w:pPr>
      <w:r w:rsidRPr="00B8145D">
        <w:rPr>
          <w:rFonts w:eastAsia="Calibri" w:cs="Tahoma"/>
          <w:bCs/>
          <w:szCs w:val="22"/>
          <w:lang w:eastAsia="en-US"/>
        </w:rPr>
        <w:lastRenderedPageBreak/>
        <w:t xml:space="preserve">En el supuesto de que algunos de los oficios faltantes ordenados en el punto 2 hayan sido cancelados, para efectos de cumplimiento, bastará con que El Sujeto Obligado lo haga del conocimiento en términos del párrafo segundo del artículo 19 de la Ley de transparencia local. </w:t>
      </w:r>
    </w:p>
    <w:p w14:paraId="7E68D565" w14:textId="77777777" w:rsidR="00FC3CE0" w:rsidRPr="00B8145D" w:rsidRDefault="00FC3CE0" w:rsidP="00B8145D">
      <w:pPr>
        <w:widowControl w:val="0"/>
        <w:rPr>
          <w:rFonts w:eastAsia="Calibri" w:cs="Tahoma"/>
          <w:bCs/>
          <w:szCs w:val="22"/>
          <w:lang w:eastAsia="en-US"/>
        </w:rPr>
      </w:pPr>
    </w:p>
    <w:p w14:paraId="3230BFEF" w14:textId="77777777" w:rsidR="009A0277" w:rsidRPr="00B8145D" w:rsidRDefault="009A0277" w:rsidP="00B8145D">
      <w:r w:rsidRPr="00B8145D">
        <w:rPr>
          <w:b/>
          <w:bCs/>
        </w:rPr>
        <w:t>TERCERO.</w:t>
      </w:r>
      <w:r w:rsidRPr="00B8145D">
        <w:t xml:space="preserve"> </w:t>
      </w:r>
      <w:r w:rsidRPr="00B8145D">
        <w:rPr>
          <w:rFonts w:eastAsia="Palatino Linotype" w:cs="Palatino Linotype"/>
          <w:b/>
          <w:lang w:eastAsia="es-MX"/>
        </w:rPr>
        <w:t xml:space="preserve">Notifíquese </w:t>
      </w:r>
      <w:r w:rsidRPr="00B8145D">
        <w:rPr>
          <w:szCs w:val="17"/>
          <w:lang w:eastAsia="es-ES_tradnl"/>
        </w:rPr>
        <w:t xml:space="preserve">vía </w:t>
      </w:r>
      <w:r w:rsidRPr="00B8145D">
        <w:rPr>
          <w:rFonts w:cs="Arial"/>
        </w:rPr>
        <w:t>Sistema de Acceso a la Información Mexiquense (</w:t>
      </w:r>
      <w:r w:rsidRPr="00B8145D">
        <w:rPr>
          <w:rFonts w:cs="Arial"/>
          <w:b/>
          <w:bCs/>
        </w:rPr>
        <w:t>SAIMEX)</w:t>
      </w:r>
      <w:r w:rsidRPr="00B8145D">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B8145D" w:rsidRDefault="00FC3CE0" w:rsidP="00B8145D"/>
    <w:p w14:paraId="16A4F4E2" w14:textId="64DF9CE2" w:rsidR="00FC3CE0" w:rsidRPr="00B8145D" w:rsidRDefault="00FC3CE0" w:rsidP="00B8145D">
      <w:r w:rsidRPr="00B8145D">
        <w:rPr>
          <w:b/>
          <w:bCs/>
        </w:rPr>
        <w:t>CUARTO.</w:t>
      </w:r>
      <w:r w:rsidRPr="00B8145D">
        <w:t xml:space="preserve"> Notifíquese a </w:t>
      </w:r>
      <w:r w:rsidRPr="00B8145D">
        <w:rPr>
          <w:b/>
          <w:bCs/>
        </w:rPr>
        <w:t>LA PARTE RECURRENTE</w:t>
      </w:r>
      <w:r w:rsidRPr="00B8145D">
        <w:t xml:space="preserve"> la presente resolución vía Sistema de Acceso a la Información Mexiquense </w:t>
      </w:r>
      <w:r w:rsidR="008B1E16" w:rsidRPr="00B8145D">
        <w:t>(</w:t>
      </w:r>
      <w:r w:rsidRPr="00B8145D">
        <w:t>SAIMEX</w:t>
      </w:r>
      <w:r w:rsidR="008B1E16" w:rsidRPr="00B8145D">
        <w:t>)</w:t>
      </w:r>
      <w:r w:rsidRPr="00B8145D">
        <w:t>.</w:t>
      </w:r>
    </w:p>
    <w:p w14:paraId="515336ED" w14:textId="77777777" w:rsidR="00FC3CE0" w:rsidRPr="00B8145D" w:rsidRDefault="00FC3CE0" w:rsidP="00B8145D"/>
    <w:p w14:paraId="006EFE1D" w14:textId="07CDFDE4" w:rsidR="00FC3CE0" w:rsidRPr="00B8145D" w:rsidRDefault="00FC3CE0" w:rsidP="00B8145D">
      <w:r w:rsidRPr="00B8145D">
        <w:rPr>
          <w:b/>
          <w:bCs/>
        </w:rPr>
        <w:t>QUINTO</w:t>
      </w:r>
      <w:r w:rsidRPr="00B8145D">
        <w:t>. Hágase del conocimiento a</w:t>
      </w:r>
      <w:r w:rsidR="008B1E16" w:rsidRPr="00B8145D">
        <w:t xml:space="preserve"> </w:t>
      </w:r>
      <w:r w:rsidR="008B1E16" w:rsidRPr="00B8145D">
        <w:rPr>
          <w:b/>
          <w:bCs/>
        </w:rPr>
        <w:t xml:space="preserve">LA PARTE </w:t>
      </w:r>
      <w:r w:rsidRPr="00B8145D">
        <w:rPr>
          <w:b/>
          <w:bCs/>
        </w:rPr>
        <w:t>RECURRENTE</w:t>
      </w:r>
      <w:r w:rsidRPr="00B8145D">
        <w:t xml:space="preserve"> que</w:t>
      </w:r>
      <w:r w:rsidR="008B1E16" w:rsidRPr="00B8145D">
        <w:t>,</w:t>
      </w:r>
      <w:r w:rsidRPr="00B8145D">
        <w:t xml:space="preserve"> de conformidad con lo establecido en el artículo 196 de la Ley de Transparencia y Acceso a la Información Pública del Estado de México y Municipios, podrá impugnar</w:t>
      </w:r>
      <w:r w:rsidR="008B1E16" w:rsidRPr="00B8145D">
        <w:t xml:space="preserve"> la presente resolución</w:t>
      </w:r>
      <w:r w:rsidRPr="00B8145D">
        <w:t xml:space="preserve"> vía Juicio de Amparo en los términos de las leyes aplicables.</w:t>
      </w:r>
    </w:p>
    <w:p w14:paraId="1FDCA0FE" w14:textId="77777777" w:rsidR="00163D12" w:rsidRDefault="00163D12" w:rsidP="00B8145D"/>
    <w:p w14:paraId="44F0EB64" w14:textId="77777777" w:rsidR="00B8145D" w:rsidRDefault="00B8145D" w:rsidP="00B8145D"/>
    <w:p w14:paraId="74AACC6B" w14:textId="77777777" w:rsidR="00B8145D" w:rsidRPr="00B8145D" w:rsidRDefault="00B8145D" w:rsidP="00B8145D"/>
    <w:p w14:paraId="43DF9D99" w14:textId="7AD2AE3D" w:rsidR="00FC3CE0" w:rsidRPr="00B8145D" w:rsidRDefault="00FC3CE0" w:rsidP="00B8145D">
      <w:r w:rsidRPr="00B8145D">
        <w:rPr>
          <w:b/>
          <w:bCs/>
        </w:rPr>
        <w:lastRenderedPageBreak/>
        <w:t>SEXTO.</w:t>
      </w:r>
      <w:r w:rsidRPr="00B8145D">
        <w:t xml:space="preserve"> De conformidad con el artículo 198 de la Ley de Transparencia y Acceso a la Información Pública del Estado de México y Municipios, el </w:t>
      </w:r>
      <w:r w:rsidR="008B1E16" w:rsidRPr="00B8145D">
        <w:rPr>
          <w:b/>
          <w:bCs/>
        </w:rPr>
        <w:t>SUJETO OBLIGADO</w:t>
      </w:r>
      <w:r w:rsidR="008B1E16" w:rsidRPr="00B8145D">
        <w:t xml:space="preserve"> </w:t>
      </w:r>
      <w:r w:rsidRPr="00B8145D">
        <w:t>podrá solicitar</w:t>
      </w:r>
      <w:r w:rsidR="008B1E16" w:rsidRPr="00B8145D">
        <w:t xml:space="preserve"> </w:t>
      </w:r>
      <w:r w:rsidRPr="00B8145D">
        <w:t xml:space="preserve">una ampliación de plazo </w:t>
      </w:r>
      <w:r w:rsidR="008B1E16" w:rsidRPr="00B8145D">
        <w:t xml:space="preserve">de manera fundada y motivada, </w:t>
      </w:r>
      <w:r w:rsidRPr="00B8145D">
        <w:t>para el cumplimiento de la presente resolución.</w:t>
      </w:r>
    </w:p>
    <w:p w14:paraId="7F735890" w14:textId="32BD6B3C" w:rsidR="0029502E" w:rsidRPr="00B8145D" w:rsidRDefault="0029502E" w:rsidP="00B8145D"/>
    <w:p w14:paraId="09E4A8A7" w14:textId="0D348639" w:rsidR="0029502E" w:rsidRPr="00B8145D" w:rsidRDefault="00F71847" w:rsidP="00B8145D">
      <w:pPr>
        <w:rPr>
          <w:b/>
        </w:rPr>
      </w:pPr>
      <w:r w:rsidRPr="00B8145D">
        <w:rPr>
          <w:b/>
        </w:rPr>
        <w:t>SÉPTIMO</w:t>
      </w:r>
      <w:r w:rsidR="0029502E" w:rsidRPr="00B8145D">
        <w:rPr>
          <w:b/>
        </w:rPr>
        <w:t>. Gírese</w:t>
      </w:r>
      <w:r w:rsidR="0029502E" w:rsidRPr="00B8145D">
        <w:t xml:space="preserve"> oficio al </w:t>
      </w:r>
      <w:r w:rsidR="0029502E" w:rsidRPr="00B8145D">
        <w:rPr>
          <w:b/>
        </w:rPr>
        <w:t>Titular de la Dirección General de Protección de Datos Personales</w:t>
      </w:r>
      <w:r w:rsidR="0029502E" w:rsidRPr="00B8145D">
        <w:t xml:space="preserve">, en atención al artículo 82, fracción XXVII de la Ley de Protección de Datos Personales del Estado de México y Municipios, en términos del Considerando </w:t>
      </w:r>
      <w:r w:rsidR="0029502E" w:rsidRPr="00B8145D">
        <w:rPr>
          <w:b/>
        </w:rPr>
        <w:t>SEGUNDO</w:t>
      </w:r>
      <w:r w:rsidR="0029502E" w:rsidRPr="00B8145D">
        <w:t xml:space="preserve"> de la presente resolución.</w:t>
      </w:r>
    </w:p>
    <w:p w14:paraId="27C7BB49" w14:textId="77777777" w:rsidR="0029502E" w:rsidRPr="00B8145D" w:rsidRDefault="0029502E" w:rsidP="00B8145D"/>
    <w:p w14:paraId="719A5C63" w14:textId="3A174554" w:rsidR="00664420" w:rsidRPr="00B8145D" w:rsidRDefault="00664420" w:rsidP="00B8145D">
      <w:pPr>
        <w:rPr>
          <w:rFonts w:eastAsia="Palatino Linotype" w:cs="Palatino Linotype"/>
          <w:szCs w:val="22"/>
        </w:rPr>
      </w:pPr>
      <w:r w:rsidRPr="00B8145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71847" w:rsidRPr="00B8145D">
        <w:rPr>
          <w:rFonts w:eastAsia="Palatino Linotype" w:cs="Palatino Linotype"/>
          <w:szCs w:val="22"/>
        </w:rPr>
        <w:t xml:space="preserve">DÉCIMA </w:t>
      </w:r>
      <w:r w:rsidR="00E54883" w:rsidRPr="00B8145D">
        <w:rPr>
          <w:rFonts w:eastAsia="Palatino Linotype" w:cs="Palatino Linotype"/>
          <w:szCs w:val="22"/>
        </w:rPr>
        <w:t>SÉPTIMA</w:t>
      </w:r>
      <w:r w:rsidRPr="00B8145D">
        <w:rPr>
          <w:rFonts w:eastAsia="Palatino Linotype" w:cs="Palatino Linotype"/>
          <w:szCs w:val="22"/>
        </w:rPr>
        <w:t xml:space="preserve"> SESIÓN ORDINARIA, CELEBRADA EL </w:t>
      </w:r>
      <w:r w:rsidR="00E54883" w:rsidRPr="00B8145D">
        <w:rPr>
          <w:rFonts w:eastAsia="Palatino Linotype" w:cs="Palatino Linotype"/>
          <w:szCs w:val="22"/>
        </w:rPr>
        <w:t>CATORCE</w:t>
      </w:r>
      <w:r w:rsidR="00F71847" w:rsidRPr="00B8145D">
        <w:rPr>
          <w:rFonts w:eastAsia="Palatino Linotype" w:cs="Palatino Linotype"/>
          <w:szCs w:val="22"/>
        </w:rPr>
        <w:t xml:space="preserve"> </w:t>
      </w:r>
      <w:r w:rsidRPr="00B8145D">
        <w:rPr>
          <w:rFonts w:eastAsia="Palatino Linotype" w:cs="Palatino Linotype"/>
          <w:szCs w:val="22"/>
        </w:rPr>
        <w:t xml:space="preserve">DE </w:t>
      </w:r>
      <w:r w:rsidR="00F71847" w:rsidRPr="00B8145D">
        <w:rPr>
          <w:rFonts w:eastAsia="Palatino Linotype" w:cs="Palatino Linotype"/>
          <w:szCs w:val="22"/>
        </w:rPr>
        <w:t xml:space="preserve">MAYO </w:t>
      </w:r>
      <w:r w:rsidRPr="00B8145D">
        <w:rPr>
          <w:rFonts w:eastAsia="Palatino Linotype" w:cs="Palatino Linotype"/>
          <w:szCs w:val="22"/>
        </w:rPr>
        <w:t xml:space="preserve">DE DOS MIL </w:t>
      </w:r>
      <w:r w:rsidR="000605CC" w:rsidRPr="00B8145D">
        <w:rPr>
          <w:rFonts w:eastAsia="Palatino Linotype" w:cs="Palatino Linotype"/>
          <w:szCs w:val="22"/>
        </w:rPr>
        <w:t>VEINTIC</w:t>
      </w:r>
      <w:r w:rsidR="00F71847" w:rsidRPr="00B8145D">
        <w:rPr>
          <w:rFonts w:eastAsia="Palatino Linotype" w:cs="Palatino Linotype"/>
          <w:szCs w:val="22"/>
        </w:rPr>
        <w:t>INCO</w:t>
      </w:r>
      <w:r w:rsidRPr="00B8145D">
        <w:rPr>
          <w:rFonts w:eastAsia="Palatino Linotype" w:cs="Palatino Linotype"/>
          <w:szCs w:val="22"/>
        </w:rPr>
        <w:t>, ANTE EL SECRETARIO TÉCNICO DEL PLENO, ALEXIS TAPIA RAMÍREZ.</w:t>
      </w:r>
    </w:p>
    <w:p w14:paraId="2AB73DBD" w14:textId="77777777" w:rsidR="009A0277" w:rsidRPr="00B8145D" w:rsidRDefault="009A0277" w:rsidP="00B8145D">
      <w:pPr>
        <w:widowControl w:val="0"/>
        <w:autoSpaceDE w:val="0"/>
        <w:autoSpaceDN w:val="0"/>
        <w:adjustRightInd w:val="0"/>
        <w:rPr>
          <w:rFonts w:eastAsiaTheme="minorEastAsia"/>
          <w:sz w:val="18"/>
          <w:szCs w:val="18"/>
          <w:lang w:val="it-IT"/>
        </w:rPr>
      </w:pPr>
      <w:r w:rsidRPr="00B8145D">
        <w:rPr>
          <w:rFonts w:eastAsiaTheme="minorEastAsia"/>
          <w:sz w:val="18"/>
          <w:szCs w:val="18"/>
          <w:lang w:val="it-IT"/>
        </w:rPr>
        <w:t>SCMM/AGZ/DEMF/JMMO</w:t>
      </w:r>
    </w:p>
    <w:p w14:paraId="49D72DA3" w14:textId="77777777" w:rsidR="00664420" w:rsidRPr="00B8145D" w:rsidRDefault="00664420" w:rsidP="00B8145D">
      <w:pPr>
        <w:ind w:right="-93"/>
        <w:rPr>
          <w:rFonts w:eastAsia="Calibri" w:cs="Tahoma"/>
          <w:bCs/>
          <w:szCs w:val="22"/>
          <w:lang w:eastAsia="en-US"/>
        </w:rPr>
      </w:pPr>
    </w:p>
    <w:p w14:paraId="5EFEA0CD" w14:textId="77777777" w:rsidR="00664420" w:rsidRPr="00B8145D" w:rsidRDefault="00664420" w:rsidP="00B8145D">
      <w:pPr>
        <w:ind w:right="-93"/>
        <w:rPr>
          <w:rFonts w:eastAsia="Calibri" w:cs="Tahoma"/>
          <w:szCs w:val="22"/>
          <w:lang w:val="es-ES"/>
        </w:rPr>
      </w:pPr>
    </w:p>
    <w:p w14:paraId="696BC976" w14:textId="77777777" w:rsidR="00664420" w:rsidRPr="00B8145D" w:rsidRDefault="00664420" w:rsidP="00B8145D">
      <w:pPr>
        <w:ind w:right="-93"/>
        <w:rPr>
          <w:rFonts w:eastAsia="Calibri" w:cs="Tahoma"/>
          <w:bCs/>
          <w:szCs w:val="22"/>
          <w:lang w:val="es-ES" w:eastAsia="en-US"/>
        </w:rPr>
      </w:pPr>
    </w:p>
    <w:p w14:paraId="671CB0C5" w14:textId="77777777" w:rsidR="00664420" w:rsidRPr="00B8145D" w:rsidRDefault="00664420" w:rsidP="00B8145D">
      <w:pPr>
        <w:ind w:right="-93"/>
        <w:rPr>
          <w:rFonts w:eastAsia="Calibri" w:cs="Tahoma"/>
          <w:bCs/>
          <w:szCs w:val="22"/>
          <w:lang w:val="es-ES_tradnl" w:eastAsia="en-US"/>
        </w:rPr>
      </w:pPr>
    </w:p>
    <w:p w14:paraId="52B66DE7" w14:textId="77777777" w:rsidR="00664420" w:rsidRPr="00B8145D" w:rsidRDefault="00664420" w:rsidP="00B8145D">
      <w:pPr>
        <w:ind w:right="-93"/>
        <w:rPr>
          <w:rFonts w:eastAsia="Calibri" w:cs="Tahoma"/>
          <w:bCs/>
          <w:szCs w:val="22"/>
          <w:lang w:val="es-ES_tradnl" w:eastAsia="en-US"/>
        </w:rPr>
      </w:pPr>
    </w:p>
    <w:p w14:paraId="3BA305D1" w14:textId="77777777" w:rsidR="00664420" w:rsidRPr="00B8145D" w:rsidRDefault="00664420" w:rsidP="00B8145D">
      <w:pPr>
        <w:ind w:right="-93"/>
        <w:rPr>
          <w:rFonts w:eastAsia="Calibri" w:cs="Tahoma"/>
          <w:bCs/>
          <w:szCs w:val="22"/>
          <w:lang w:val="es-ES_tradnl" w:eastAsia="en-US"/>
        </w:rPr>
      </w:pPr>
    </w:p>
    <w:p w14:paraId="78230707" w14:textId="77777777" w:rsidR="00664420" w:rsidRPr="00B8145D" w:rsidRDefault="00664420" w:rsidP="00B8145D">
      <w:pPr>
        <w:ind w:right="-93"/>
        <w:rPr>
          <w:rFonts w:eastAsia="Calibri" w:cs="Tahoma"/>
          <w:bCs/>
          <w:szCs w:val="22"/>
          <w:lang w:val="es-ES_tradnl" w:eastAsia="en-US"/>
        </w:rPr>
      </w:pPr>
    </w:p>
    <w:p w14:paraId="72D18B28" w14:textId="77777777" w:rsidR="00664420" w:rsidRPr="00B8145D" w:rsidRDefault="00664420" w:rsidP="00B8145D">
      <w:pPr>
        <w:ind w:right="-93"/>
        <w:rPr>
          <w:rFonts w:eastAsia="Calibri" w:cs="Tahoma"/>
          <w:bCs/>
          <w:szCs w:val="22"/>
          <w:lang w:val="es-ES_tradnl" w:eastAsia="en-US"/>
        </w:rPr>
      </w:pPr>
    </w:p>
    <w:p w14:paraId="6BD461DC" w14:textId="77777777" w:rsidR="00664420" w:rsidRPr="00B8145D" w:rsidRDefault="00664420" w:rsidP="00B8145D">
      <w:pPr>
        <w:tabs>
          <w:tab w:val="center" w:pos="4568"/>
        </w:tabs>
        <w:ind w:right="-93"/>
        <w:rPr>
          <w:rFonts w:eastAsia="Calibri" w:cs="Tahoma"/>
          <w:bCs/>
          <w:szCs w:val="22"/>
          <w:lang w:eastAsia="en-US"/>
        </w:rPr>
      </w:pPr>
    </w:p>
    <w:p w14:paraId="4DBB1727" w14:textId="77777777" w:rsidR="00664420" w:rsidRPr="00B8145D" w:rsidRDefault="00664420" w:rsidP="00B8145D">
      <w:pPr>
        <w:tabs>
          <w:tab w:val="center" w:pos="4568"/>
        </w:tabs>
        <w:ind w:right="-93"/>
        <w:rPr>
          <w:rFonts w:eastAsia="Calibri" w:cs="Tahoma"/>
          <w:bCs/>
          <w:szCs w:val="22"/>
          <w:lang w:eastAsia="en-US"/>
        </w:rPr>
      </w:pPr>
    </w:p>
    <w:p w14:paraId="1D74121B" w14:textId="77777777" w:rsidR="00664420" w:rsidRPr="00B8145D" w:rsidRDefault="00664420" w:rsidP="00B8145D">
      <w:pPr>
        <w:tabs>
          <w:tab w:val="center" w:pos="4568"/>
        </w:tabs>
        <w:ind w:right="-93"/>
        <w:rPr>
          <w:rFonts w:eastAsia="Calibri" w:cs="Tahoma"/>
          <w:bCs/>
          <w:szCs w:val="22"/>
          <w:lang w:eastAsia="en-US"/>
        </w:rPr>
      </w:pPr>
    </w:p>
    <w:p w14:paraId="08E74E9C" w14:textId="77777777" w:rsidR="00664420" w:rsidRPr="00B8145D" w:rsidRDefault="00664420" w:rsidP="00B8145D">
      <w:pPr>
        <w:tabs>
          <w:tab w:val="center" w:pos="4568"/>
        </w:tabs>
        <w:ind w:right="-93"/>
        <w:rPr>
          <w:rFonts w:eastAsia="Calibri" w:cs="Tahoma"/>
          <w:bCs/>
          <w:szCs w:val="22"/>
          <w:lang w:eastAsia="en-US"/>
        </w:rPr>
      </w:pPr>
    </w:p>
    <w:p w14:paraId="2CBF5E03" w14:textId="77777777" w:rsidR="00664420" w:rsidRPr="00B8145D" w:rsidRDefault="00664420" w:rsidP="00B8145D">
      <w:pPr>
        <w:tabs>
          <w:tab w:val="center" w:pos="4568"/>
        </w:tabs>
        <w:ind w:right="-93"/>
        <w:rPr>
          <w:rFonts w:eastAsia="Calibri" w:cs="Tahoma"/>
          <w:bCs/>
          <w:szCs w:val="22"/>
          <w:lang w:eastAsia="en-US"/>
        </w:rPr>
      </w:pPr>
    </w:p>
    <w:p w14:paraId="44865A6D" w14:textId="77777777" w:rsidR="00664420" w:rsidRPr="00B8145D" w:rsidRDefault="00664420" w:rsidP="00B8145D">
      <w:pPr>
        <w:tabs>
          <w:tab w:val="center" w:pos="4568"/>
        </w:tabs>
        <w:ind w:right="-93"/>
        <w:rPr>
          <w:rFonts w:eastAsia="Calibri" w:cs="Tahoma"/>
          <w:bCs/>
          <w:szCs w:val="22"/>
          <w:lang w:eastAsia="en-US"/>
        </w:rPr>
      </w:pPr>
    </w:p>
    <w:p w14:paraId="7147F06B" w14:textId="77777777" w:rsidR="00664420" w:rsidRPr="00B8145D" w:rsidRDefault="00664420" w:rsidP="00B8145D">
      <w:pPr>
        <w:tabs>
          <w:tab w:val="center" w:pos="4568"/>
        </w:tabs>
        <w:ind w:right="-93"/>
        <w:rPr>
          <w:rFonts w:eastAsia="Calibri" w:cs="Tahoma"/>
          <w:bCs/>
          <w:szCs w:val="22"/>
          <w:lang w:eastAsia="en-US"/>
        </w:rPr>
      </w:pPr>
    </w:p>
    <w:p w14:paraId="6FDF3D7E" w14:textId="77777777" w:rsidR="00664420" w:rsidRPr="00B8145D" w:rsidRDefault="00664420" w:rsidP="00B8145D">
      <w:pPr>
        <w:tabs>
          <w:tab w:val="center" w:pos="4568"/>
        </w:tabs>
        <w:ind w:right="-93"/>
        <w:rPr>
          <w:rFonts w:eastAsia="Calibri" w:cs="Tahoma"/>
          <w:bCs/>
          <w:szCs w:val="22"/>
          <w:lang w:eastAsia="en-US"/>
        </w:rPr>
      </w:pPr>
    </w:p>
    <w:p w14:paraId="6246F818" w14:textId="77777777" w:rsidR="00664420" w:rsidRPr="00B8145D" w:rsidRDefault="00664420" w:rsidP="00B8145D">
      <w:pPr>
        <w:tabs>
          <w:tab w:val="center" w:pos="4568"/>
        </w:tabs>
        <w:ind w:right="-93"/>
        <w:rPr>
          <w:rFonts w:eastAsia="Calibri" w:cs="Tahoma"/>
          <w:bCs/>
          <w:szCs w:val="22"/>
          <w:lang w:eastAsia="en-US"/>
        </w:rPr>
      </w:pPr>
    </w:p>
    <w:p w14:paraId="57A88B28" w14:textId="77777777" w:rsidR="00664420" w:rsidRPr="00B8145D" w:rsidRDefault="00664420" w:rsidP="00B8145D">
      <w:pPr>
        <w:tabs>
          <w:tab w:val="center" w:pos="4568"/>
        </w:tabs>
        <w:ind w:right="-93"/>
        <w:rPr>
          <w:rFonts w:eastAsia="Calibri" w:cs="Tahoma"/>
          <w:bCs/>
          <w:szCs w:val="22"/>
          <w:lang w:eastAsia="en-US"/>
        </w:rPr>
      </w:pPr>
    </w:p>
    <w:p w14:paraId="77EF6095" w14:textId="77777777" w:rsidR="00664420" w:rsidRPr="00B8145D" w:rsidRDefault="00664420" w:rsidP="00B8145D">
      <w:pPr>
        <w:tabs>
          <w:tab w:val="center" w:pos="4568"/>
        </w:tabs>
        <w:ind w:right="-93"/>
        <w:rPr>
          <w:rFonts w:eastAsia="Calibri" w:cs="Tahoma"/>
          <w:bCs/>
          <w:szCs w:val="22"/>
          <w:lang w:eastAsia="en-US"/>
        </w:rPr>
      </w:pPr>
    </w:p>
    <w:p w14:paraId="35593947" w14:textId="77777777" w:rsidR="00664420" w:rsidRPr="00B8145D" w:rsidRDefault="00664420" w:rsidP="00B8145D">
      <w:pPr>
        <w:tabs>
          <w:tab w:val="center" w:pos="4568"/>
        </w:tabs>
        <w:ind w:right="-93"/>
        <w:rPr>
          <w:rFonts w:eastAsia="Calibri" w:cs="Tahoma"/>
          <w:bCs/>
          <w:szCs w:val="22"/>
          <w:lang w:eastAsia="en-US"/>
        </w:rPr>
      </w:pPr>
    </w:p>
    <w:p w14:paraId="3AF72A17" w14:textId="77777777" w:rsidR="00664420" w:rsidRPr="00B8145D" w:rsidRDefault="00664420" w:rsidP="00B8145D">
      <w:pPr>
        <w:tabs>
          <w:tab w:val="center" w:pos="4568"/>
        </w:tabs>
        <w:ind w:right="-93"/>
        <w:rPr>
          <w:rFonts w:eastAsia="Calibri" w:cs="Tahoma"/>
          <w:bCs/>
          <w:szCs w:val="22"/>
          <w:lang w:eastAsia="en-US"/>
        </w:rPr>
      </w:pPr>
    </w:p>
    <w:p w14:paraId="37169144" w14:textId="77777777" w:rsidR="00664420" w:rsidRPr="00B8145D" w:rsidRDefault="00664420" w:rsidP="00B8145D">
      <w:pPr>
        <w:tabs>
          <w:tab w:val="center" w:pos="4568"/>
        </w:tabs>
        <w:ind w:right="-93"/>
        <w:rPr>
          <w:rFonts w:eastAsia="Calibri" w:cs="Tahoma"/>
          <w:bCs/>
          <w:szCs w:val="22"/>
          <w:lang w:eastAsia="en-US"/>
        </w:rPr>
      </w:pPr>
    </w:p>
    <w:p w14:paraId="77CFC088" w14:textId="77777777" w:rsidR="00664420" w:rsidRPr="00B8145D" w:rsidRDefault="00664420" w:rsidP="00B8145D">
      <w:pPr>
        <w:tabs>
          <w:tab w:val="center" w:pos="4568"/>
        </w:tabs>
        <w:ind w:right="-93"/>
        <w:rPr>
          <w:rFonts w:eastAsia="Calibri" w:cs="Tahoma"/>
          <w:bCs/>
          <w:szCs w:val="22"/>
          <w:lang w:eastAsia="en-US"/>
        </w:rPr>
      </w:pPr>
    </w:p>
    <w:p w14:paraId="781A11A5" w14:textId="77777777" w:rsidR="00664420" w:rsidRPr="00B8145D" w:rsidRDefault="00664420" w:rsidP="00B8145D">
      <w:pPr>
        <w:tabs>
          <w:tab w:val="center" w:pos="4568"/>
        </w:tabs>
        <w:ind w:right="-93"/>
        <w:rPr>
          <w:rFonts w:eastAsia="Calibri" w:cs="Tahoma"/>
          <w:bCs/>
          <w:szCs w:val="22"/>
          <w:lang w:eastAsia="en-US"/>
        </w:rPr>
      </w:pPr>
    </w:p>
    <w:p w14:paraId="5B4ADFF3" w14:textId="77777777" w:rsidR="00A131AC" w:rsidRPr="00B8145D" w:rsidRDefault="00A131AC" w:rsidP="00B8145D"/>
    <w:sectPr w:rsidR="00A131AC" w:rsidRPr="00B8145D"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BB87C" w14:textId="77777777" w:rsidR="00293145" w:rsidRDefault="00293145" w:rsidP="00664420">
      <w:pPr>
        <w:spacing w:line="240" w:lineRule="auto"/>
      </w:pPr>
      <w:r>
        <w:separator/>
      </w:r>
    </w:p>
  </w:endnote>
  <w:endnote w:type="continuationSeparator" w:id="0">
    <w:p w14:paraId="60CED237" w14:textId="77777777" w:rsidR="00293145" w:rsidRDefault="0029314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44454" w:rsidRDefault="00744454">
    <w:pPr>
      <w:tabs>
        <w:tab w:val="center" w:pos="4550"/>
        <w:tab w:val="left" w:pos="5818"/>
      </w:tabs>
      <w:ind w:right="260"/>
      <w:jc w:val="right"/>
      <w:rPr>
        <w:color w:val="071320" w:themeColor="text2" w:themeShade="80"/>
        <w:sz w:val="24"/>
        <w:szCs w:val="24"/>
      </w:rPr>
    </w:pPr>
  </w:p>
  <w:p w14:paraId="1BCA7F23" w14:textId="77777777" w:rsidR="00744454" w:rsidRDefault="00744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46EF48AD" w:rsidR="00744454" w:rsidRDefault="0074445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63156" w:rsidRPr="00263156">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63156" w:rsidRPr="00263156">
      <w:rPr>
        <w:noProof/>
        <w:color w:val="0A1D30" w:themeColor="text2" w:themeShade="BF"/>
        <w:sz w:val="24"/>
        <w:szCs w:val="24"/>
        <w:lang w:val="es-ES"/>
      </w:rPr>
      <w:t>37</w:t>
    </w:r>
    <w:r>
      <w:rPr>
        <w:color w:val="0A1D30" w:themeColor="text2" w:themeShade="BF"/>
        <w:sz w:val="24"/>
        <w:szCs w:val="24"/>
      </w:rPr>
      <w:fldChar w:fldCharType="end"/>
    </w:r>
  </w:p>
  <w:p w14:paraId="310E15C0" w14:textId="77777777" w:rsidR="00744454" w:rsidRDefault="00744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DCFBC" w14:textId="77777777" w:rsidR="00293145" w:rsidRDefault="00293145" w:rsidP="00664420">
      <w:pPr>
        <w:spacing w:line="240" w:lineRule="auto"/>
      </w:pPr>
      <w:r>
        <w:separator/>
      </w:r>
    </w:p>
  </w:footnote>
  <w:footnote w:type="continuationSeparator" w:id="0">
    <w:p w14:paraId="0195E288" w14:textId="77777777" w:rsidR="00293145" w:rsidRDefault="00293145"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44454" w:rsidRPr="00330DA7" w14:paraId="070A4B18" w14:textId="77777777" w:rsidTr="003F35FD">
      <w:trPr>
        <w:trHeight w:val="144"/>
        <w:jc w:val="right"/>
      </w:trPr>
      <w:tc>
        <w:tcPr>
          <w:tcW w:w="2727" w:type="dxa"/>
        </w:tcPr>
        <w:p w14:paraId="62B7493A" w14:textId="77777777" w:rsidR="00744454" w:rsidRPr="00330DA7" w:rsidRDefault="0074445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1636810" w:rsidR="00744454" w:rsidRPr="00A90C72" w:rsidRDefault="00744454" w:rsidP="003F35FD">
          <w:pPr>
            <w:tabs>
              <w:tab w:val="right" w:pos="8838"/>
            </w:tabs>
            <w:ind w:left="-74" w:right="-105"/>
            <w:rPr>
              <w:rFonts w:eastAsia="Calibri" w:cs="Tahoma"/>
              <w:szCs w:val="22"/>
              <w:lang w:eastAsia="en-US"/>
            </w:rPr>
          </w:pPr>
          <w:r>
            <w:rPr>
              <w:rFonts w:eastAsia="Calibri" w:cs="Tahoma"/>
              <w:szCs w:val="22"/>
              <w:lang w:eastAsia="en-US"/>
            </w:rPr>
            <w:t>02422/</w:t>
          </w:r>
          <w:r w:rsidRPr="00A90C72">
            <w:rPr>
              <w:rFonts w:eastAsia="Calibri" w:cs="Tahoma"/>
              <w:szCs w:val="22"/>
              <w:lang w:eastAsia="en-US"/>
            </w:rPr>
            <w:t>INFOEM/IP/RR</w:t>
          </w:r>
          <w:r>
            <w:rPr>
              <w:rFonts w:eastAsia="Calibri" w:cs="Tahoma"/>
              <w:szCs w:val="22"/>
              <w:lang w:eastAsia="en-US"/>
            </w:rPr>
            <w:t xml:space="preserve">/2025 </w:t>
          </w:r>
        </w:p>
      </w:tc>
    </w:tr>
    <w:tr w:rsidR="00744454" w:rsidRPr="00330DA7" w14:paraId="4521E058" w14:textId="77777777" w:rsidTr="003F35FD">
      <w:trPr>
        <w:trHeight w:val="283"/>
        <w:jc w:val="right"/>
      </w:trPr>
      <w:tc>
        <w:tcPr>
          <w:tcW w:w="2727" w:type="dxa"/>
        </w:tcPr>
        <w:p w14:paraId="0B68C086" w14:textId="77777777" w:rsidR="00744454" w:rsidRPr="00330DA7" w:rsidRDefault="0074445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E939E0F" w:rsidR="00744454" w:rsidRPr="00952DD0" w:rsidRDefault="00744454" w:rsidP="003F35FD">
          <w:pPr>
            <w:tabs>
              <w:tab w:val="left" w:pos="2834"/>
              <w:tab w:val="right" w:pos="8838"/>
            </w:tabs>
            <w:ind w:left="-108" w:right="-105"/>
            <w:rPr>
              <w:rFonts w:eastAsia="Calibri" w:cs="Tahoma"/>
              <w:szCs w:val="22"/>
              <w:lang w:eastAsia="en-US"/>
            </w:rPr>
          </w:pPr>
          <w:r w:rsidRPr="00C15071">
            <w:rPr>
              <w:rFonts w:eastAsia="Calibri" w:cs="Tahoma"/>
              <w:szCs w:val="22"/>
              <w:lang w:eastAsia="en-US"/>
            </w:rPr>
            <w:t>Secretaría de Finanzas</w:t>
          </w:r>
        </w:p>
      </w:tc>
    </w:tr>
    <w:tr w:rsidR="00744454" w:rsidRPr="00330DA7" w14:paraId="6331D9B6" w14:textId="77777777" w:rsidTr="003F35FD">
      <w:trPr>
        <w:trHeight w:val="283"/>
        <w:jc w:val="right"/>
      </w:trPr>
      <w:tc>
        <w:tcPr>
          <w:tcW w:w="2727" w:type="dxa"/>
        </w:tcPr>
        <w:p w14:paraId="3FA86BAE" w14:textId="04F1C45E" w:rsidR="00744454" w:rsidRPr="00330DA7" w:rsidRDefault="00744454"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44454" w:rsidRPr="00EA66FC" w:rsidRDefault="0074445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44454" w:rsidRPr="00443C6B" w:rsidRDefault="0074445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44454" w:rsidRPr="00330DA7" w14:paraId="29CFF901" w14:textId="77777777" w:rsidTr="00D54995">
      <w:trPr>
        <w:trHeight w:val="1435"/>
      </w:trPr>
      <w:tc>
        <w:tcPr>
          <w:tcW w:w="283" w:type="dxa"/>
          <w:shd w:val="clear" w:color="auto" w:fill="auto"/>
        </w:tcPr>
        <w:p w14:paraId="046B9F8F" w14:textId="77777777" w:rsidR="00744454" w:rsidRPr="00330DA7" w:rsidRDefault="00744454" w:rsidP="00D54995">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44454" w:rsidRPr="00330DA7" w14:paraId="04F272D2" w14:textId="77777777" w:rsidTr="00D54995">
            <w:trPr>
              <w:trHeight w:val="144"/>
            </w:trPr>
            <w:tc>
              <w:tcPr>
                <w:tcW w:w="2727" w:type="dxa"/>
              </w:tcPr>
              <w:p w14:paraId="2FD4DBF6" w14:textId="77777777" w:rsidR="00744454" w:rsidRPr="00330DA7" w:rsidRDefault="00744454" w:rsidP="00D5499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2AF07E4" w:rsidR="00744454" w:rsidRPr="00A90C72" w:rsidRDefault="00744454" w:rsidP="00D54995">
                <w:pPr>
                  <w:tabs>
                    <w:tab w:val="right" w:pos="8838"/>
                  </w:tabs>
                  <w:ind w:left="-74" w:right="-105"/>
                  <w:rPr>
                    <w:rFonts w:eastAsia="Calibri" w:cs="Tahoma"/>
                    <w:szCs w:val="22"/>
                    <w:lang w:eastAsia="en-US"/>
                  </w:rPr>
                </w:pPr>
                <w:r>
                  <w:rPr>
                    <w:rFonts w:eastAsia="Calibri" w:cs="Tahoma"/>
                    <w:szCs w:val="22"/>
                    <w:lang w:eastAsia="en-US"/>
                  </w:rPr>
                  <w:t>02422/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744454" w:rsidRDefault="00744454" w:rsidP="00D54995">
                <w:pPr>
                  <w:tabs>
                    <w:tab w:val="right" w:pos="8838"/>
                  </w:tabs>
                  <w:ind w:left="-74" w:right="-105"/>
                  <w:rPr>
                    <w:rFonts w:eastAsia="Calibri" w:cs="Tahoma"/>
                    <w:szCs w:val="22"/>
                    <w:lang w:eastAsia="en-US"/>
                  </w:rPr>
                </w:pPr>
              </w:p>
            </w:tc>
          </w:tr>
          <w:tr w:rsidR="00744454" w:rsidRPr="00330DA7" w14:paraId="05C58951" w14:textId="77777777" w:rsidTr="00D54995">
            <w:trPr>
              <w:trHeight w:val="144"/>
            </w:trPr>
            <w:tc>
              <w:tcPr>
                <w:tcW w:w="2727" w:type="dxa"/>
              </w:tcPr>
              <w:p w14:paraId="642B9610" w14:textId="77777777" w:rsidR="00744454" w:rsidRPr="00330DA7" w:rsidRDefault="00744454" w:rsidP="00D5499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A76E21F" w:rsidR="00744454" w:rsidRPr="005F19B1" w:rsidRDefault="00263156" w:rsidP="00D54995">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744454" w:rsidRPr="005F19B1" w:rsidRDefault="00744454" w:rsidP="00D54995">
                <w:pPr>
                  <w:tabs>
                    <w:tab w:val="left" w:pos="3122"/>
                    <w:tab w:val="right" w:pos="8838"/>
                  </w:tabs>
                  <w:ind w:left="-105" w:right="-105"/>
                  <w:rPr>
                    <w:rFonts w:eastAsia="Calibri" w:cs="Tahoma"/>
                    <w:szCs w:val="22"/>
                    <w:lang w:eastAsia="en-US"/>
                  </w:rPr>
                </w:pPr>
              </w:p>
            </w:tc>
          </w:tr>
          <w:bookmarkEnd w:id="1"/>
          <w:tr w:rsidR="00744454" w:rsidRPr="00330DA7" w14:paraId="00E6CDC1" w14:textId="77777777" w:rsidTr="00D54995">
            <w:trPr>
              <w:trHeight w:val="283"/>
            </w:trPr>
            <w:tc>
              <w:tcPr>
                <w:tcW w:w="2727" w:type="dxa"/>
              </w:tcPr>
              <w:p w14:paraId="0631AD24" w14:textId="77777777" w:rsidR="00744454" w:rsidRPr="00330DA7" w:rsidRDefault="00744454" w:rsidP="00D5499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D3540D0" w:rsidR="00744454" w:rsidRPr="00952DD0" w:rsidRDefault="00744454" w:rsidP="00D54995">
                <w:pPr>
                  <w:tabs>
                    <w:tab w:val="left" w:pos="2834"/>
                    <w:tab w:val="right" w:pos="8838"/>
                  </w:tabs>
                  <w:ind w:left="-108" w:right="-105"/>
                  <w:rPr>
                    <w:rFonts w:eastAsia="Calibri" w:cs="Tahoma"/>
                    <w:szCs w:val="22"/>
                    <w:lang w:eastAsia="en-US"/>
                  </w:rPr>
                </w:pPr>
                <w:r w:rsidRPr="00C15071">
                  <w:rPr>
                    <w:rFonts w:eastAsia="Calibri" w:cs="Tahoma"/>
                    <w:szCs w:val="22"/>
                    <w:lang w:eastAsia="en-US"/>
                  </w:rPr>
                  <w:t>Secretaría de Finanzas</w:t>
                </w:r>
              </w:p>
            </w:tc>
            <w:tc>
              <w:tcPr>
                <w:tcW w:w="3402" w:type="dxa"/>
              </w:tcPr>
              <w:p w14:paraId="3A7DA319" w14:textId="77777777" w:rsidR="00744454" w:rsidRPr="00A90C72" w:rsidRDefault="00744454" w:rsidP="00D54995">
                <w:pPr>
                  <w:tabs>
                    <w:tab w:val="left" w:pos="2834"/>
                    <w:tab w:val="right" w:pos="8838"/>
                  </w:tabs>
                  <w:ind w:left="-108" w:right="-105"/>
                  <w:rPr>
                    <w:rFonts w:eastAsia="Calibri" w:cs="Tahoma"/>
                    <w:szCs w:val="22"/>
                    <w:lang w:eastAsia="en-US"/>
                  </w:rPr>
                </w:pPr>
              </w:p>
            </w:tc>
          </w:tr>
          <w:tr w:rsidR="00744454" w:rsidRPr="00330DA7" w14:paraId="0F6CD8D2" w14:textId="77777777" w:rsidTr="00D54995">
            <w:trPr>
              <w:trHeight w:val="283"/>
            </w:trPr>
            <w:tc>
              <w:tcPr>
                <w:tcW w:w="2727" w:type="dxa"/>
              </w:tcPr>
              <w:p w14:paraId="31700628" w14:textId="385332FF" w:rsidR="00744454" w:rsidRPr="00330DA7" w:rsidRDefault="00744454" w:rsidP="00D54995">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744454" w:rsidRPr="00EA66FC" w:rsidRDefault="00744454" w:rsidP="00D54995">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44454" w:rsidRPr="00330DA7" w:rsidRDefault="00744454" w:rsidP="00D54995">
                <w:pPr>
                  <w:tabs>
                    <w:tab w:val="right" w:pos="8838"/>
                  </w:tabs>
                  <w:ind w:left="-108" w:right="-105"/>
                  <w:rPr>
                    <w:rFonts w:eastAsia="Calibri" w:cs="Tahoma"/>
                    <w:szCs w:val="22"/>
                    <w:lang w:eastAsia="en-US"/>
                  </w:rPr>
                </w:pPr>
              </w:p>
            </w:tc>
          </w:tr>
        </w:tbl>
        <w:p w14:paraId="5DC6AC61" w14:textId="77777777" w:rsidR="00744454" w:rsidRPr="00330DA7" w:rsidRDefault="00744454" w:rsidP="00D54995">
          <w:pPr>
            <w:tabs>
              <w:tab w:val="right" w:pos="8838"/>
            </w:tabs>
            <w:ind w:left="-28"/>
            <w:rPr>
              <w:rFonts w:ascii="Arial" w:eastAsia="Calibri" w:hAnsi="Arial" w:cs="Arial"/>
              <w:b/>
              <w:szCs w:val="22"/>
              <w:lang w:eastAsia="en-US"/>
            </w:rPr>
          </w:pPr>
        </w:p>
      </w:tc>
    </w:tr>
  </w:tbl>
  <w:p w14:paraId="2A906731" w14:textId="77777777" w:rsidR="00744454" w:rsidRPr="00765661" w:rsidRDefault="00293145" w:rsidP="00D54995">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117F"/>
    <w:multiLevelType w:val="hybridMultilevel"/>
    <w:tmpl w:val="EFB811F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A9748D"/>
    <w:multiLevelType w:val="hybridMultilevel"/>
    <w:tmpl w:val="2EFA96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DD331AE"/>
    <w:multiLevelType w:val="hybridMultilevel"/>
    <w:tmpl w:val="4A6A3A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CD1B72"/>
    <w:multiLevelType w:val="hybridMultilevel"/>
    <w:tmpl w:val="31F4C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7B1414"/>
    <w:multiLevelType w:val="hybridMultilevel"/>
    <w:tmpl w:val="FCA0182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E1577E"/>
    <w:multiLevelType w:val="multilevel"/>
    <w:tmpl w:val="7D9C40B6"/>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2E232EE"/>
    <w:multiLevelType w:val="hybridMultilevel"/>
    <w:tmpl w:val="42CABA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E03AB7"/>
    <w:multiLevelType w:val="hybridMultilevel"/>
    <w:tmpl w:val="56962B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7"/>
  </w:num>
  <w:num w:numId="3">
    <w:abstractNumId w:val="21"/>
  </w:num>
  <w:num w:numId="4">
    <w:abstractNumId w:val="6"/>
  </w:num>
  <w:num w:numId="5">
    <w:abstractNumId w:val="3"/>
  </w:num>
  <w:num w:numId="6">
    <w:abstractNumId w:val="22"/>
  </w:num>
  <w:num w:numId="7">
    <w:abstractNumId w:val="15"/>
  </w:num>
  <w:num w:numId="8">
    <w:abstractNumId w:val="5"/>
  </w:num>
  <w:num w:numId="9">
    <w:abstractNumId w:val="14"/>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6"/>
  </w:num>
  <w:num w:numId="16">
    <w:abstractNumId w:val="9"/>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1"/>
  </w:num>
  <w:num w:numId="21">
    <w:abstractNumId w:val="2"/>
  </w:num>
  <w:num w:numId="22">
    <w:abstractNumId w:val="19"/>
  </w:num>
  <w:num w:numId="23">
    <w:abstractNumId w:val="0"/>
  </w:num>
  <w:num w:numId="24">
    <w:abstractNumId w:val="12"/>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22E5"/>
    <w:rsid w:val="000318BC"/>
    <w:rsid w:val="00057B2D"/>
    <w:rsid w:val="000605CC"/>
    <w:rsid w:val="00067D80"/>
    <w:rsid w:val="00080071"/>
    <w:rsid w:val="000D0D67"/>
    <w:rsid w:val="000E09C4"/>
    <w:rsid w:val="000E1366"/>
    <w:rsid w:val="000E423A"/>
    <w:rsid w:val="000F696E"/>
    <w:rsid w:val="000F73B9"/>
    <w:rsid w:val="000F7D4F"/>
    <w:rsid w:val="0011350D"/>
    <w:rsid w:val="00141876"/>
    <w:rsid w:val="0014207B"/>
    <w:rsid w:val="00150C49"/>
    <w:rsid w:val="00157CE1"/>
    <w:rsid w:val="00163D12"/>
    <w:rsid w:val="001A58B3"/>
    <w:rsid w:val="001B5B7A"/>
    <w:rsid w:val="001C3820"/>
    <w:rsid w:val="001C7688"/>
    <w:rsid w:val="001D30FA"/>
    <w:rsid w:val="001F3515"/>
    <w:rsid w:val="001F5C8C"/>
    <w:rsid w:val="002320FD"/>
    <w:rsid w:val="00233005"/>
    <w:rsid w:val="00233F17"/>
    <w:rsid w:val="0024127D"/>
    <w:rsid w:val="00263156"/>
    <w:rsid w:val="00293145"/>
    <w:rsid w:val="0029502E"/>
    <w:rsid w:val="002A3601"/>
    <w:rsid w:val="002B7C6F"/>
    <w:rsid w:val="002D111C"/>
    <w:rsid w:val="002F4BBA"/>
    <w:rsid w:val="002F74D9"/>
    <w:rsid w:val="00302476"/>
    <w:rsid w:val="00331F35"/>
    <w:rsid w:val="00334786"/>
    <w:rsid w:val="00335CDF"/>
    <w:rsid w:val="00337F4D"/>
    <w:rsid w:val="00362A11"/>
    <w:rsid w:val="00376494"/>
    <w:rsid w:val="003A40C1"/>
    <w:rsid w:val="003B5D3E"/>
    <w:rsid w:val="003D13C6"/>
    <w:rsid w:val="003D35D9"/>
    <w:rsid w:val="003E4F98"/>
    <w:rsid w:val="003F19F0"/>
    <w:rsid w:val="003F35FD"/>
    <w:rsid w:val="003F6FBF"/>
    <w:rsid w:val="0041385B"/>
    <w:rsid w:val="00441BFA"/>
    <w:rsid w:val="00454FBD"/>
    <w:rsid w:val="00462C98"/>
    <w:rsid w:val="004D7CD8"/>
    <w:rsid w:val="004E5068"/>
    <w:rsid w:val="004F7A00"/>
    <w:rsid w:val="00523F48"/>
    <w:rsid w:val="005333DB"/>
    <w:rsid w:val="005365FA"/>
    <w:rsid w:val="005676BD"/>
    <w:rsid w:val="005723CB"/>
    <w:rsid w:val="00575400"/>
    <w:rsid w:val="00585A5A"/>
    <w:rsid w:val="005921A0"/>
    <w:rsid w:val="005B18AF"/>
    <w:rsid w:val="005B57DD"/>
    <w:rsid w:val="005D5A50"/>
    <w:rsid w:val="005F5301"/>
    <w:rsid w:val="005F65B7"/>
    <w:rsid w:val="006067C7"/>
    <w:rsid w:val="00606A65"/>
    <w:rsid w:val="006159AD"/>
    <w:rsid w:val="00646436"/>
    <w:rsid w:val="00664420"/>
    <w:rsid w:val="006963E3"/>
    <w:rsid w:val="006A1815"/>
    <w:rsid w:val="006A646A"/>
    <w:rsid w:val="006B10B0"/>
    <w:rsid w:val="006D1B05"/>
    <w:rsid w:val="006E25BC"/>
    <w:rsid w:val="006E6BBC"/>
    <w:rsid w:val="006F7768"/>
    <w:rsid w:val="00717E59"/>
    <w:rsid w:val="00744454"/>
    <w:rsid w:val="007535C1"/>
    <w:rsid w:val="00755AA5"/>
    <w:rsid w:val="007567DC"/>
    <w:rsid w:val="00761CB6"/>
    <w:rsid w:val="00775BFC"/>
    <w:rsid w:val="007A3459"/>
    <w:rsid w:val="007B24DC"/>
    <w:rsid w:val="007B6074"/>
    <w:rsid w:val="007D1C55"/>
    <w:rsid w:val="007D29D7"/>
    <w:rsid w:val="007D317F"/>
    <w:rsid w:val="007D37A3"/>
    <w:rsid w:val="007D7DF5"/>
    <w:rsid w:val="007E1CB5"/>
    <w:rsid w:val="007F5D06"/>
    <w:rsid w:val="007F7EDC"/>
    <w:rsid w:val="00805A6E"/>
    <w:rsid w:val="00865CF4"/>
    <w:rsid w:val="008669D2"/>
    <w:rsid w:val="00876DBC"/>
    <w:rsid w:val="008A6003"/>
    <w:rsid w:val="008A6F88"/>
    <w:rsid w:val="008B1E16"/>
    <w:rsid w:val="008D0FF0"/>
    <w:rsid w:val="008E1316"/>
    <w:rsid w:val="008E1CA9"/>
    <w:rsid w:val="008F1556"/>
    <w:rsid w:val="00902EE5"/>
    <w:rsid w:val="00910FD2"/>
    <w:rsid w:val="00931437"/>
    <w:rsid w:val="00953430"/>
    <w:rsid w:val="00954F02"/>
    <w:rsid w:val="0095700E"/>
    <w:rsid w:val="00970EB3"/>
    <w:rsid w:val="009718B6"/>
    <w:rsid w:val="009A0277"/>
    <w:rsid w:val="009A2D78"/>
    <w:rsid w:val="009A7C10"/>
    <w:rsid w:val="009B2945"/>
    <w:rsid w:val="009B2DD0"/>
    <w:rsid w:val="009B461D"/>
    <w:rsid w:val="009E2DEE"/>
    <w:rsid w:val="009F797C"/>
    <w:rsid w:val="00A131AC"/>
    <w:rsid w:val="00A16D85"/>
    <w:rsid w:val="00A21A20"/>
    <w:rsid w:val="00A36A99"/>
    <w:rsid w:val="00A53315"/>
    <w:rsid w:val="00A70EF0"/>
    <w:rsid w:val="00A9208D"/>
    <w:rsid w:val="00AA6EA9"/>
    <w:rsid w:val="00AC2DB8"/>
    <w:rsid w:val="00AC3CA0"/>
    <w:rsid w:val="00AD2762"/>
    <w:rsid w:val="00AE3DA7"/>
    <w:rsid w:val="00AF03C4"/>
    <w:rsid w:val="00B07EE0"/>
    <w:rsid w:val="00B22A80"/>
    <w:rsid w:val="00B3344C"/>
    <w:rsid w:val="00B36C00"/>
    <w:rsid w:val="00B8145D"/>
    <w:rsid w:val="00B94487"/>
    <w:rsid w:val="00BA55A8"/>
    <w:rsid w:val="00BA7B9C"/>
    <w:rsid w:val="00BB2ABF"/>
    <w:rsid w:val="00BB64F4"/>
    <w:rsid w:val="00BD3F4F"/>
    <w:rsid w:val="00BD5A7C"/>
    <w:rsid w:val="00BE0E10"/>
    <w:rsid w:val="00BE7A1B"/>
    <w:rsid w:val="00BF0221"/>
    <w:rsid w:val="00BF091A"/>
    <w:rsid w:val="00BF4EAD"/>
    <w:rsid w:val="00C049E2"/>
    <w:rsid w:val="00C15071"/>
    <w:rsid w:val="00C2458E"/>
    <w:rsid w:val="00C36795"/>
    <w:rsid w:val="00C461EC"/>
    <w:rsid w:val="00C507D4"/>
    <w:rsid w:val="00C71CEF"/>
    <w:rsid w:val="00C72DAA"/>
    <w:rsid w:val="00C80B14"/>
    <w:rsid w:val="00CB7E9A"/>
    <w:rsid w:val="00CC1D4B"/>
    <w:rsid w:val="00CC643D"/>
    <w:rsid w:val="00CD0B92"/>
    <w:rsid w:val="00CE29D3"/>
    <w:rsid w:val="00CF2D8B"/>
    <w:rsid w:val="00CF378F"/>
    <w:rsid w:val="00CF7586"/>
    <w:rsid w:val="00D036D3"/>
    <w:rsid w:val="00D2790D"/>
    <w:rsid w:val="00D51ECD"/>
    <w:rsid w:val="00D54995"/>
    <w:rsid w:val="00D6170E"/>
    <w:rsid w:val="00D91CB4"/>
    <w:rsid w:val="00DB1C09"/>
    <w:rsid w:val="00DC2048"/>
    <w:rsid w:val="00DC7177"/>
    <w:rsid w:val="00DE1133"/>
    <w:rsid w:val="00DE5DB2"/>
    <w:rsid w:val="00DF3CC0"/>
    <w:rsid w:val="00E16BF5"/>
    <w:rsid w:val="00E31767"/>
    <w:rsid w:val="00E37A3F"/>
    <w:rsid w:val="00E37D3C"/>
    <w:rsid w:val="00E40A98"/>
    <w:rsid w:val="00E54883"/>
    <w:rsid w:val="00E62E6A"/>
    <w:rsid w:val="00E83EF5"/>
    <w:rsid w:val="00E86E5D"/>
    <w:rsid w:val="00E9335C"/>
    <w:rsid w:val="00EA4A6A"/>
    <w:rsid w:val="00ED1C1E"/>
    <w:rsid w:val="00EE2AF2"/>
    <w:rsid w:val="00EF165E"/>
    <w:rsid w:val="00F07EE6"/>
    <w:rsid w:val="00F264C1"/>
    <w:rsid w:val="00F33CC8"/>
    <w:rsid w:val="00F4481C"/>
    <w:rsid w:val="00F52E35"/>
    <w:rsid w:val="00F56316"/>
    <w:rsid w:val="00F71847"/>
    <w:rsid w:val="00F75D23"/>
    <w:rsid w:val="00FA5957"/>
    <w:rsid w:val="00FA7504"/>
    <w:rsid w:val="00FB0CB0"/>
    <w:rsid w:val="00FC3CE0"/>
    <w:rsid w:val="00FD0361"/>
    <w:rsid w:val="00FD06A8"/>
    <w:rsid w:val="00FE11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14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9457">
      <w:bodyDiv w:val="1"/>
      <w:marLeft w:val="0"/>
      <w:marRight w:val="0"/>
      <w:marTop w:val="0"/>
      <w:marBottom w:val="0"/>
      <w:divBdr>
        <w:top w:val="none" w:sz="0" w:space="0" w:color="auto"/>
        <w:left w:val="none" w:sz="0" w:space="0" w:color="auto"/>
        <w:bottom w:val="none" w:sz="0" w:space="0" w:color="auto"/>
        <w:right w:val="none" w:sz="0" w:space="0" w:color="auto"/>
      </w:divBdr>
    </w:div>
    <w:div w:id="45227415">
      <w:bodyDiv w:val="1"/>
      <w:marLeft w:val="0"/>
      <w:marRight w:val="0"/>
      <w:marTop w:val="0"/>
      <w:marBottom w:val="0"/>
      <w:divBdr>
        <w:top w:val="none" w:sz="0" w:space="0" w:color="auto"/>
        <w:left w:val="none" w:sz="0" w:space="0" w:color="auto"/>
        <w:bottom w:val="none" w:sz="0" w:space="0" w:color="auto"/>
        <w:right w:val="none" w:sz="0" w:space="0" w:color="auto"/>
      </w:divBdr>
    </w:div>
    <w:div w:id="62411928">
      <w:bodyDiv w:val="1"/>
      <w:marLeft w:val="0"/>
      <w:marRight w:val="0"/>
      <w:marTop w:val="0"/>
      <w:marBottom w:val="0"/>
      <w:divBdr>
        <w:top w:val="none" w:sz="0" w:space="0" w:color="auto"/>
        <w:left w:val="none" w:sz="0" w:space="0" w:color="auto"/>
        <w:bottom w:val="none" w:sz="0" w:space="0" w:color="auto"/>
        <w:right w:val="none" w:sz="0" w:space="0" w:color="auto"/>
      </w:divBdr>
    </w:div>
    <w:div w:id="86538426">
      <w:bodyDiv w:val="1"/>
      <w:marLeft w:val="0"/>
      <w:marRight w:val="0"/>
      <w:marTop w:val="0"/>
      <w:marBottom w:val="0"/>
      <w:divBdr>
        <w:top w:val="none" w:sz="0" w:space="0" w:color="auto"/>
        <w:left w:val="none" w:sz="0" w:space="0" w:color="auto"/>
        <w:bottom w:val="none" w:sz="0" w:space="0" w:color="auto"/>
        <w:right w:val="none" w:sz="0" w:space="0" w:color="auto"/>
      </w:divBdr>
    </w:div>
    <w:div w:id="211844599">
      <w:bodyDiv w:val="1"/>
      <w:marLeft w:val="0"/>
      <w:marRight w:val="0"/>
      <w:marTop w:val="0"/>
      <w:marBottom w:val="0"/>
      <w:divBdr>
        <w:top w:val="none" w:sz="0" w:space="0" w:color="auto"/>
        <w:left w:val="none" w:sz="0" w:space="0" w:color="auto"/>
        <w:bottom w:val="none" w:sz="0" w:space="0" w:color="auto"/>
        <w:right w:val="none" w:sz="0" w:space="0" w:color="auto"/>
      </w:divBdr>
      <w:divsChild>
        <w:div w:id="119539115">
          <w:marLeft w:val="0"/>
          <w:marRight w:val="0"/>
          <w:marTop w:val="0"/>
          <w:marBottom w:val="0"/>
          <w:divBdr>
            <w:top w:val="none" w:sz="0" w:space="0" w:color="auto"/>
            <w:left w:val="none" w:sz="0" w:space="0" w:color="auto"/>
            <w:bottom w:val="none" w:sz="0" w:space="0" w:color="auto"/>
            <w:right w:val="none" w:sz="0" w:space="0" w:color="auto"/>
          </w:divBdr>
        </w:div>
      </w:divsChild>
    </w:div>
    <w:div w:id="224340833">
      <w:bodyDiv w:val="1"/>
      <w:marLeft w:val="0"/>
      <w:marRight w:val="0"/>
      <w:marTop w:val="0"/>
      <w:marBottom w:val="0"/>
      <w:divBdr>
        <w:top w:val="none" w:sz="0" w:space="0" w:color="auto"/>
        <w:left w:val="none" w:sz="0" w:space="0" w:color="auto"/>
        <w:bottom w:val="none" w:sz="0" w:space="0" w:color="auto"/>
        <w:right w:val="none" w:sz="0" w:space="0" w:color="auto"/>
      </w:divBdr>
    </w:div>
    <w:div w:id="425268804">
      <w:bodyDiv w:val="1"/>
      <w:marLeft w:val="0"/>
      <w:marRight w:val="0"/>
      <w:marTop w:val="0"/>
      <w:marBottom w:val="0"/>
      <w:divBdr>
        <w:top w:val="none" w:sz="0" w:space="0" w:color="auto"/>
        <w:left w:val="none" w:sz="0" w:space="0" w:color="auto"/>
        <w:bottom w:val="none" w:sz="0" w:space="0" w:color="auto"/>
        <w:right w:val="none" w:sz="0" w:space="0" w:color="auto"/>
      </w:divBdr>
    </w:div>
    <w:div w:id="446775647">
      <w:bodyDiv w:val="1"/>
      <w:marLeft w:val="0"/>
      <w:marRight w:val="0"/>
      <w:marTop w:val="0"/>
      <w:marBottom w:val="0"/>
      <w:divBdr>
        <w:top w:val="none" w:sz="0" w:space="0" w:color="auto"/>
        <w:left w:val="none" w:sz="0" w:space="0" w:color="auto"/>
        <w:bottom w:val="none" w:sz="0" w:space="0" w:color="auto"/>
        <w:right w:val="none" w:sz="0" w:space="0" w:color="auto"/>
      </w:divBdr>
    </w:div>
    <w:div w:id="635140888">
      <w:bodyDiv w:val="1"/>
      <w:marLeft w:val="0"/>
      <w:marRight w:val="0"/>
      <w:marTop w:val="0"/>
      <w:marBottom w:val="0"/>
      <w:divBdr>
        <w:top w:val="none" w:sz="0" w:space="0" w:color="auto"/>
        <w:left w:val="none" w:sz="0" w:space="0" w:color="auto"/>
        <w:bottom w:val="none" w:sz="0" w:space="0" w:color="auto"/>
        <w:right w:val="none" w:sz="0" w:space="0" w:color="auto"/>
      </w:divBdr>
    </w:div>
    <w:div w:id="715853974">
      <w:bodyDiv w:val="1"/>
      <w:marLeft w:val="0"/>
      <w:marRight w:val="0"/>
      <w:marTop w:val="0"/>
      <w:marBottom w:val="0"/>
      <w:divBdr>
        <w:top w:val="none" w:sz="0" w:space="0" w:color="auto"/>
        <w:left w:val="none" w:sz="0" w:space="0" w:color="auto"/>
        <w:bottom w:val="none" w:sz="0" w:space="0" w:color="auto"/>
        <w:right w:val="none" w:sz="0" w:space="0" w:color="auto"/>
      </w:divBdr>
    </w:div>
    <w:div w:id="1044401072">
      <w:bodyDiv w:val="1"/>
      <w:marLeft w:val="0"/>
      <w:marRight w:val="0"/>
      <w:marTop w:val="0"/>
      <w:marBottom w:val="0"/>
      <w:divBdr>
        <w:top w:val="none" w:sz="0" w:space="0" w:color="auto"/>
        <w:left w:val="none" w:sz="0" w:space="0" w:color="auto"/>
        <w:bottom w:val="none" w:sz="0" w:space="0" w:color="auto"/>
        <w:right w:val="none" w:sz="0" w:space="0" w:color="auto"/>
      </w:divBdr>
    </w:div>
    <w:div w:id="1206216908">
      <w:bodyDiv w:val="1"/>
      <w:marLeft w:val="0"/>
      <w:marRight w:val="0"/>
      <w:marTop w:val="0"/>
      <w:marBottom w:val="0"/>
      <w:divBdr>
        <w:top w:val="none" w:sz="0" w:space="0" w:color="auto"/>
        <w:left w:val="none" w:sz="0" w:space="0" w:color="auto"/>
        <w:bottom w:val="none" w:sz="0" w:space="0" w:color="auto"/>
        <w:right w:val="none" w:sz="0" w:space="0" w:color="auto"/>
      </w:divBdr>
    </w:div>
    <w:div w:id="1226991190">
      <w:bodyDiv w:val="1"/>
      <w:marLeft w:val="0"/>
      <w:marRight w:val="0"/>
      <w:marTop w:val="0"/>
      <w:marBottom w:val="0"/>
      <w:divBdr>
        <w:top w:val="none" w:sz="0" w:space="0" w:color="auto"/>
        <w:left w:val="none" w:sz="0" w:space="0" w:color="auto"/>
        <w:bottom w:val="none" w:sz="0" w:space="0" w:color="auto"/>
        <w:right w:val="none" w:sz="0" w:space="0" w:color="auto"/>
      </w:divBdr>
    </w:div>
    <w:div w:id="1380976654">
      <w:bodyDiv w:val="1"/>
      <w:marLeft w:val="0"/>
      <w:marRight w:val="0"/>
      <w:marTop w:val="0"/>
      <w:marBottom w:val="0"/>
      <w:divBdr>
        <w:top w:val="none" w:sz="0" w:space="0" w:color="auto"/>
        <w:left w:val="none" w:sz="0" w:space="0" w:color="auto"/>
        <w:bottom w:val="none" w:sz="0" w:space="0" w:color="auto"/>
        <w:right w:val="none" w:sz="0" w:space="0" w:color="auto"/>
      </w:divBdr>
    </w:div>
    <w:div w:id="1392344808">
      <w:bodyDiv w:val="1"/>
      <w:marLeft w:val="0"/>
      <w:marRight w:val="0"/>
      <w:marTop w:val="0"/>
      <w:marBottom w:val="0"/>
      <w:divBdr>
        <w:top w:val="none" w:sz="0" w:space="0" w:color="auto"/>
        <w:left w:val="none" w:sz="0" w:space="0" w:color="auto"/>
        <w:bottom w:val="none" w:sz="0" w:space="0" w:color="auto"/>
        <w:right w:val="none" w:sz="0" w:space="0" w:color="auto"/>
      </w:divBdr>
      <w:divsChild>
        <w:div w:id="1332022842">
          <w:marLeft w:val="0"/>
          <w:marRight w:val="0"/>
          <w:marTop w:val="0"/>
          <w:marBottom w:val="0"/>
          <w:divBdr>
            <w:top w:val="none" w:sz="0" w:space="0" w:color="auto"/>
            <w:left w:val="none" w:sz="0" w:space="0" w:color="auto"/>
            <w:bottom w:val="none" w:sz="0" w:space="0" w:color="auto"/>
            <w:right w:val="none" w:sz="0" w:space="0" w:color="auto"/>
          </w:divBdr>
        </w:div>
      </w:divsChild>
    </w:div>
    <w:div w:id="1562130406">
      <w:bodyDiv w:val="1"/>
      <w:marLeft w:val="0"/>
      <w:marRight w:val="0"/>
      <w:marTop w:val="0"/>
      <w:marBottom w:val="0"/>
      <w:divBdr>
        <w:top w:val="none" w:sz="0" w:space="0" w:color="auto"/>
        <w:left w:val="none" w:sz="0" w:space="0" w:color="auto"/>
        <w:bottom w:val="none" w:sz="0" w:space="0" w:color="auto"/>
        <w:right w:val="none" w:sz="0" w:space="0" w:color="auto"/>
      </w:divBdr>
    </w:div>
    <w:div w:id="1595166871">
      <w:bodyDiv w:val="1"/>
      <w:marLeft w:val="0"/>
      <w:marRight w:val="0"/>
      <w:marTop w:val="0"/>
      <w:marBottom w:val="0"/>
      <w:divBdr>
        <w:top w:val="none" w:sz="0" w:space="0" w:color="auto"/>
        <w:left w:val="none" w:sz="0" w:space="0" w:color="auto"/>
        <w:bottom w:val="none" w:sz="0" w:space="0" w:color="auto"/>
        <w:right w:val="none" w:sz="0" w:space="0" w:color="auto"/>
      </w:divBdr>
    </w:div>
    <w:div w:id="1693339394">
      <w:bodyDiv w:val="1"/>
      <w:marLeft w:val="0"/>
      <w:marRight w:val="0"/>
      <w:marTop w:val="0"/>
      <w:marBottom w:val="0"/>
      <w:divBdr>
        <w:top w:val="none" w:sz="0" w:space="0" w:color="auto"/>
        <w:left w:val="none" w:sz="0" w:space="0" w:color="auto"/>
        <w:bottom w:val="none" w:sz="0" w:space="0" w:color="auto"/>
        <w:right w:val="none" w:sz="0" w:space="0" w:color="auto"/>
      </w:divBdr>
    </w:div>
    <w:div w:id="1805660171">
      <w:bodyDiv w:val="1"/>
      <w:marLeft w:val="0"/>
      <w:marRight w:val="0"/>
      <w:marTop w:val="0"/>
      <w:marBottom w:val="0"/>
      <w:divBdr>
        <w:top w:val="none" w:sz="0" w:space="0" w:color="auto"/>
        <w:left w:val="none" w:sz="0" w:space="0" w:color="auto"/>
        <w:bottom w:val="none" w:sz="0" w:space="0" w:color="auto"/>
        <w:right w:val="none" w:sz="0" w:space="0" w:color="auto"/>
      </w:divBdr>
    </w:div>
    <w:div w:id="1844737653">
      <w:bodyDiv w:val="1"/>
      <w:marLeft w:val="0"/>
      <w:marRight w:val="0"/>
      <w:marTop w:val="0"/>
      <w:marBottom w:val="0"/>
      <w:divBdr>
        <w:top w:val="none" w:sz="0" w:space="0" w:color="auto"/>
        <w:left w:val="none" w:sz="0" w:space="0" w:color="auto"/>
        <w:bottom w:val="none" w:sz="0" w:space="0" w:color="auto"/>
        <w:right w:val="none" w:sz="0" w:space="0" w:color="auto"/>
      </w:divBdr>
    </w:div>
    <w:div w:id="1933388118">
      <w:bodyDiv w:val="1"/>
      <w:marLeft w:val="0"/>
      <w:marRight w:val="0"/>
      <w:marTop w:val="0"/>
      <w:marBottom w:val="0"/>
      <w:divBdr>
        <w:top w:val="none" w:sz="0" w:space="0" w:color="auto"/>
        <w:left w:val="none" w:sz="0" w:space="0" w:color="auto"/>
        <w:bottom w:val="none" w:sz="0" w:space="0" w:color="auto"/>
        <w:right w:val="none" w:sz="0" w:space="0" w:color="auto"/>
      </w:divBdr>
    </w:div>
    <w:div w:id="1972637084">
      <w:bodyDiv w:val="1"/>
      <w:marLeft w:val="0"/>
      <w:marRight w:val="0"/>
      <w:marTop w:val="0"/>
      <w:marBottom w:val="0"/>
      <w:divBdr>
        <w:top w:val="none" w:sz="0" w:space="0" w:color="auto"/>
        <w:left w:val="none" w:sz="0" w:space="0" w:color="auto"/>
        <w:bottom w:val="none" w:sz="0" w:space="0" w:color="auto"/>
        <w:right w:val="none" w:sz="0" w:space="0" w:color="auto"/>
      </w:divBdr>
    </w:div>
    <w:div w:id="2074042820">
      <w:bodyDiv w:val="1"/>
      <w:marLeft w:val="0"/>
      <w:marRight w:val="0"/>
      <w:marTop w:val="0"/>
      <w:marBottom w:val="0"/>
      <w:divBdr>
        <w:top w:val="none" w:sz="0" w:space="0" w:color="auto"/>
        <w:left w:val="none" w:sz="0" w:space="0" w:color="auto"/>
        <w:bottom w:val="none" w:sz="0" w:space="0" w:color="auto"/>
        <w:right w:val="none" w:sz="0" w:space="0" w:color="auto"/>
      </w:divBdr>
    </w:div>
    <w:div w:id="211066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29730-EC7F-49E1-BC67-10283BE6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8612</Words>
  <Characters>47370</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2025-05-16T19:45:00Z</cp:lastPrinted>
  <dcterms:created xsi:type="dcterms:W3CDTF">2025-05-06T22:40:00Z</dcterms:created>
  <dcterms:modified xsi:type="dcterms:W3CDTF">2025-06-03T00:17:00Z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