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2"/>
          <w:szCs w:val="22"/>
          <w:rtl w:val="0"/>
        </w:rPr>
        <w:t xml:space="preserve">tres de septiembre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09494/INFOEM/IP/RR/2025</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1"/>
          <w:szCs w:val="21"/>
          <w:rtl w:val="0"/>
        </w:rPr>
        <w:t xml:space="preserve">XXXXXXX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contra de la falta de respuesta a la solicitud de acceso a la información con número de folio</w:t>
      </w:r>
      <w:r w:rsidDel="00000000" w:rsidR="00000000" w:rsidRPr="00000000">
        <w:rPr>
          <w:rFonts w:ascii="Verdana" w:cs="Verdana" w:eastAsia="Verdana" w:hAnsi="Verdana"/>
          <w:b w:val="1"/>
          <w:sz w:val="22"/>
          <w:szCs w:val="22"/>
          <w:rtl w:val="0"/>
        </w:rPr>
        <w:t xml:space="preserve"> </w:t>
      </w:r>
      <w:r w:rsidDel="00000000" w:rsidR="00000000" w:rsidRPr="00000000">
        <w:rPr>
          <w:rFonts w:ascii="Palatino Linotype" w:cs="Palatino Linotype" w:eastAsia="Palatino Linotype" w:hAnsi="Palatino Linotype"/>
          <w:b w:val="1"/>
          <w:rtl w:val="0"/>
        </w:rPr>
        <w:t xml:space="preserve">00287/TEPOTZOT/IP/2025</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Tepotzotlán,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quince de junio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 de información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 embargo, al corresponder a día inhábil, se tuvo por presentada el dieciséis de junio de la misma anualidad, requiriéndole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Armando Pineda, sus distintos sueldos que ha tenido, las fechas en los que tuvo cambios de sueldo, su situación laboral.” (Sic)</w:t>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Prórroga.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siete de julio de dos mil veinticinco</w:t>
      </w:r>
      <w:r w:rsidDel="00000000" w:rsidR="00000000" w:rsidRPr="00000000">
        <w:rPr>
          <w:rFonts w:ascii="Palatino Linotype" w:cs="Palatino Linotype" w:eastAsia="Palatino Linotype" w:hAnsi="Palatino Linotype"/>
          <w:sz w:val="22"/>
          <w:szCs w:val="22"/>
          <w:rtl w:val="0"/>
        </w:rPr>
        <w:t xml:space="preserve">, el Sujeto Obligado, solicitó una prórroga de la siguiente manera:</w:t>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spacing w:line="360" w:lineRule="auto"/>
        <w:ind w:left="510" w:right="73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F">
      <w:pPr>
        <w:spacing w:line="360" w:lineRule="auto"/>
        <w:ind w:left="510" w:right="73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admite la prórroga solicitada por 15 días hábiles.</w:t>
      </w:r>
    </w:p>
    <w:p w:rsidR="00000000" w:rsidDel="00000000" w:rsidP="00000000" w:rsidRDefault="00000000" w:rsidRPr="00000000" w14:paraId="00000010">
      <w:pPr>
        <w:spacing w:line="360" w:lineRule="auto"/>
        <w:ind w:left="510" w:right="73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Ana Beatriz Romero Oceguera</w:t>
      </w:r>
    </w:p>
    <w:p w:rsidR="00000000" w:rsidDel="00000000" w:rsidP="00000000" w:rsidRDefault="00000000" w:rsidRPr="00000000" w14:paraId="00000011">
      <w:pPr>
        <w:spacing w:line="360" w:lineRule="auto"/>
        <w:ind w:left="510" w:right="73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w:t>
      </w:r>
    </w:p>
    <w:p w:rsidR="00000000" w:rsidDel="00000000" w:rsidP="00000000" w:rsidRDefault="00000000" w:rsidRPr="00000000" w14:paraId="0000001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 </w:t>
      </w:r>
    </w:p>
    <w:p w:rsidR="00000000" w:rsidDel="00000000" w:rsidP="00000000" w:rsidRDefault="00000000" w:rsidRPr="00000000" w14:paraId="000000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trece de agosto de dos mil veinticinco</w:t>
      </w:r>
      <w:r w:rsidDel="00000000" w:rsidR="00000000" w:rsidRPr="00000000">
        <w:rPr>
          <w:rFonts w:ascii="Palatino Linotype" w:cs="Palatino Linotype" w:eastAsia="Palatino Linotype" w:hAnsi="Palatino Linotype"/>
          <w:sz w:val="22"/>
          <w:szCs w:val="22"/>
          <w:rtl w:val="0"/>
        </w:rPr>
        <w:t xml:space="preserve">, expresando lo siguiente:</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 (Sic)</w:t>
      </w:r>
      <w:r w:rsidDel="00000000" w:rsidR="00000000" w:rsidRPr="00000000">
        <w:rPr>
          <w:rtl w:val="0"/>
        </w:rPr>
      </w:r>
    </w:p>
    <w:p w:rsidR="00000000" w:rsidDel="00000000" w:rsidP="00000000" w:rsidRDefault="00000000" w:rsidRPr="00000000" w14:paraId="00000018">
      <w:pPr>
        <w:spacing w:line="360" w:lineRule="auto"/>
        <w:ind w:left="567" w:right="616"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b) Motivos de inconformidad.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 (Sic)</w:t>
      </w:r>
    </w:p>
    <w:p w:rsidR="00000000" w:rsidDel="00000000" w:rsidP="00000000" w:rsidRDefault="00000000" w:rsidRPr="00000000" w14:paraId="0000001A">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el recurso de revisión número</w:t>
      </w:r>
      <w:r w:rsidDel="00000000" w:rsidR="00000000" w:rsidRPr="00000000">
        <w:rPr>
          <w:rFonts w:ascii="Palatino Linotype" w:cs="Palatino Linotype" w:eastAsia="Palatino Linotype" w:hAnsi="Palatino Linotype"/>
          <w:b w:val="1"/>
          <w:sz w:val="22"/>
          <w:szCs w:val="22"/>
          <w:rtl w:val="0"/>
        </w:rPr>
        <w:t xml:space="preserve"> 09494/INFOEM/IP/RR/2025 </w:t>
      </w:r>
      <w:r w:rsidDel="00000000" w:rsidR="00000000" w:rsidRPr="00000000">
        <w:rPr>
          <w:rFonts w:ascii="Palatino Linotype" w:cs="Palatino Linotype" w:eastAsia="Palatino Linotype" w:hAnsi="Palatino Linotype"/>
          <w:sz w:val="22"/>
          <w:szCs w:val="22"/>
          <w:rtl w:val="0"/>
        </w:rPr>
        <w:t xml:space="preserve">fue turnado a la Comisionada Ponente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a efecto de presentar al Pleno el proyecto de resolución correspondiente.</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quince de julio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 siguiente imagen:</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80845"/>
            <wp:effectExtent b="0" l="0" r="0" t="0"/>
            <wp:docPr id="2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68084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veintiocho 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del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el presente recurso de revisión se actualizó la negativa ficta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vigente en la entidad.</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35">
      <w:pPr>
        <w:spacing w:line="360" w:lineRule="auto"/>
        <w:jc w:val="both"/>
        <w:rPr>
          <w:i w:val="1"/>
          <w:sz w:val="22"/>
          <w:szCs w:val="22"/>
        </w:rPr>
      </w:pPr>
      <w:r w:rsidDel="00000000" w:rsidR="00000000" w:rsidRPr="00000000">
        <w:rPr>
          <w:rtl w:val="0"/>
        </w:rPr>
      </w:r>
    </w:p>
    <w:p w:rsidR="00000000" w:rsidDel="00000000" w:rsidP="00000000" w:rsidRDefault="00000000" w:rsidRPr="00000000" w14:paraId="00000036">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37">
      <w:pPr>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sz w:val="22"/>
          <w:szCs w:val="22"/>
          <w:rtl w:val="0"/>
        </w:rPr>
        <w:t xml:space="preserve">no proporcionó nombre completo, </w:t>
      </w:r>
      <w:r w:rsidDel="00000000" w:rsidR="00000000" w:rsidRPr="00000000">
        <w:rPr>
          <w:rFonts w:ascii="Palatino Linotype" w:cs="Palatino Linotype" w:eastAsia="Palatino Linotype" w:hAnsi="Palatino Linotype"/>
          <w:sz w:val="22"/>
          <w:szCs w:val="22"/>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w:t>
      </w:r>
      <w:r w:rsidDel="00000000" w:rsidR="00000000" w:rsidRPr="00000000">
        <w:rPr>
          <w:rFonts w:ascii="Palatino Linotype" w:cs="Palatino Linotype" w:eastAsia="Palatino Linotype" w:hAnsi="Palatino Linotype"/>
          <w:b w:val="1"/>
          <w:i w:val="1"/>
          <w:sz w:val="22"/>
          <w:szCs w:val="22"/>
          <w:rtl w:val="0"/>
        </w:rPr>
        <w:t xml:space="preserve"> 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del recurso de revisión, según lo aducido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3">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44">
      <w:pPr>
        <w:numPr>
          <w:ilvl w:val="0"/>
          <w:numId w:val="4"/>
        </w:num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45">
      <w:pPr>
        <w:spacing w:line="360" w:lineRule="auto"/>
        <w:ind w:right="104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6">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47">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dentro del plazo legal previsto para ello.</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advierte que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información consistente en lo siguiente:</w:t>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XXXXXXX XXXXXX, sus distintos sueldos que ha tenido, las fechas en los que tuvo cambios de sueldo, su situación laboral.” (Sic)” (Sic)</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2">
      <w:pPr>
        <w:tabs>
          <w:tab w:val="left" w:leader="none" w:pos="709"/>
        </w:tabs>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3">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4">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6">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8">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9">
      <w:pPr>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A">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5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5C">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D">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E">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5F">
      <w:pPr>
        <w:spacing w:line="360"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61">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66">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67">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68">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69">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Los órganos autónomos;</w:t>
      </w:r>
    </w:p>
    <w:p w:rsidR="00000000" w:rsidDel="00000000" w:rsidP="00000000" w:rsidRDefault="00000000" w:rsidRPr="00000000" w14:paraId="0000006A">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tribunales administrativos y autoridades jurisdiccionales en materia laboral;</w:t>
      </w:r>
    </w:p>
    <w:p w:rsidR="00000000" w:rsidDel="00000000" w:rsidP="00000000" w:rsidRDefault="00000000" w:rsidRPr="00000000" w14:paraId="0000006B">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Los partidos políticos y agrupaciones políticas, en los términos de las disposiciones aplicables;</w:t>
      </w:r>
    </w:p>
    <w:p w:rsidR="00000000" w:rsidDel="00000000" w:rsidP="00000000" w:rsidRDefault="00000000" w:rsidRPr="00000000" w14:paraId="0000006C">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6D">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Los sindicatos que reciban y/o ejerzan recursos públicos en el ámbito estatal y municipal;</w:t>
      </w:r>
    </w:p>
    <w:p w:rsidR="00000000" w:rsidDel="00000000" w:rsidP="00000000" w:rsidRDefault="00000000" w:rsidRPr="00000000" w14:paraId="0000006E">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6F">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70">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71">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78">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7E">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84">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85">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el requerimiento de información deberá manifestarse al respecto.</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clasificación de la información.</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8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90">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93">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95">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9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9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9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9B">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9C">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9D">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9E">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F">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A0">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A1">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A2">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A3">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A5">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A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A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A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A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A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AE">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AF">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B0">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4"/>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B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clasificación parcial de la información.</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clasificación de información como reservada.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B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0">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C1">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C2">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clasificación de la información como totalmente confidencial.</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9">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CA">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5"/>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C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declaratoria de inexistencia de la información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D8">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dé respuesta a la solicitud de acceso a la información, atendiendo lo señalado en el presente Considerando.</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la respuesta a la solicitud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E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bookmarkStart w:colFirst="0" w:colLast="0" w:name="_heading=h.3dy6vkm" w:id="1"/>
      <w:bookmarkEnd w:id="1"/>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 solicitud de acceso a la información pública </w:t>
      </w:r>
      <w:r w:rsidDel="00000000" w:rsidR="00000000" w:rsidRPr="00000000">
        <w:rPr>
          <w:rFonts w:ascii="Palatino Linotype" w:cs="Palatino Linotype" w:eastAsia="Palatino Linotype" w:hAnsi="Palatino Linotype"/>
          <w:b w:val="1"/>
          <w:rtl w:val="0"/>
        </w:rPr>
        <w:t xml:space="preserve">00287/TEPOTZOT/IP/2025</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dio origen al recurso de revisión </w:t>
      </w:r>
      <w:r w:rsidDel="00000000" w:rsidR="00000000" w:rsidRPr="00000000">
        <w:rPr>
          <w:rFonts w:ascii="Palatino Linotype" w:cs="Palatino Linotype" w:eastAsia="Palatino Linotype" w:hAnsi="Palatino Linotype"/>
          <w:b w:val="1"/>
          <w:sz w:val="22"/>
          <w:szCs w:val="22"/>
          <w:rtl w:val="0"/>
        </w:rPr>
        <w:t xml:space="preserve">09494/INFOEM/IP/RR/2025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ind w:right="49"/>
        <w:jc w:val="both"/>
        <w:rPr>
          <w:rFonts w:ascii="Palatino Linotype" w:cs="Palatino Linotype" w:eastAsia="Palatino Linotype" w:hAnsi="Palatino Linotype"/>
          <w:sz w:val="22"/>
          <w:szCs w:val="22"/>
        </w:rPr>
      </w:pPr>
      <w:bookmarkStart w:colFirst="0" w:colLast="0" w:name="_heading=h.3znysh7" w:id="2"/>
      <w:bookmarkEnd w:id="2"/>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EA">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b w:val="1"/>
          <w:sz w:val="22"/>
          <w:szCs w:val="22"/>
        </w:rPr>
      </w:pPr>
      <w:bookmarkStart w:colFirst="0" w:colLast="0" w:name="_heading=h.68fvr8ekq6jm" w:id="3"/>
      <w:bookmarkEnd w:id="3"/>
      <w:r w:rsidDel="00000000" w:rsidR="00000000" w:rsidRPr="00000000">
        <w:rPr>
          <w:rFonts w:ascii="Palatino Linotype" w:cs="Palatino Linotype" w:eastAsia="Palatino Linotype" w:hAnsi="Palatino Linotype"/>
          <w:b w:val="1"/>
          <w:sz w:val="22"/>
          <w:szCs w:val="22"/>
          <w:rtl w:val="0"/>
        </w:rPr>
        <w:t xml:space="preserve">Sexto. Gírese </w:t>
      </w:r>
      <w:r w:rsidDel="00000000" w:rsidR="00000000" w:rsidRPr="00000000">
        <w:rPr>
          <w:rFonts w:ascii="Palatino Linotype" w:cs="Palatino Linotype" w:eastAsia="Palatino Linotype" w:hAnsi="Palatino Linotype"/>
          <w:sz w:val="22"/>
          <w:szCs w:val="22"/>
          <w:rtl w:val="0"/>
        </w:rPr>
        <w:t xml:space="preserve">vista a la </w:t>
      </w:r>
      <w:r w:rsidDel="00000000" w:rsidR="00000000" w:rsidRPr="00000000">
        <w:rPr>
          <w:rFonts w:ascii="Palatino Linotype" w:cs="Palatino Linotype" w:eastAsia="Palatino Linotype" w:hAnsi="Palatino Linotype"/>
          <w:b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ind w:right="49"/>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4"/>
      <w:bookmarkEnd w:id="4"/>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 ALEXIS TAPIA RAMÍREZ. </w:t>
      </w:r>
    </w:p>
    <w:p w:rsidR="00000000" w:rsidDel="00000000" w:rsidP="00000000" w:rsidRDefault="00000000" w:rsidRPr="00000000" w14:paraId="000000EE">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rPr>
          <w:sz w:val="22"/>
          <w:szCs w:val="22"/>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0">
      <w:pPr>
        <w:spacing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178.</w:t>
      </w:r>
    </w:p>
    <w:p w:rsidR="00000000" w:rsidDel="00000000" w:rsidP="00000000" w:rsidRDefault="00000000" w:rsidRPr="00000000" w14:paraId="000000F1">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F2">
      <w:pPr>
        <w:spacing w:after="240" w:lineRule="auto"/>
        <w:jc w:val="both"/>
        <w:rPr/>
      </w:pPr>
      <w:r w:rsidDel="00000000" w:rsidR="00000000" w:rsidRPr="00000000">
        <w:rPr>
          <w:rFonts w:ascii="Palatino Linotype" w:cs="Palatino Linotype" w:eastAsia="Palatino Linotype" w:hAnsi="Palatino Linotype"/>
          <w:sz w:val="16"/>
          <w:szCs w:val="16"/>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r w:rsidDel="00000000" w:rsidR="00000000" w:rsidRPr="00000000">
        <w:rPr>
          <w:rtl w:val="0"/>
        </w:rPr>
      </w:r>
    </w:p>
  </w:footnote>
  <w:footnote w:id="1">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2">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3">
    <w:p w:rsidR="00000000" w:rsidDel="00000000" w:rsidP="00000000" w:rsidRDefault="00000000" w:rsidRPr="00000000" w14:paraId="000000F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F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4">
    <w:p w:rsidR="00000000" w:rsidDel="00000000" w:rsidP="00000000" w:rsidRDefault="00000000" w:rsidRPr="00000000" w14:paraId="000000F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5">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F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F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2"/>
              <w:szCs w:val="22"/>
              <w:rtl w:val="0"/>
            </w:rPr>
            <w:t xml:space="preserve">09494/INFOEM/IP/RR/2025</w:t>
          </w:r>
          <w:r w:rsidDel="00000000" w:rsidR="00000000" w:rsidRPr="00000000">
            <w:rPr>
              <w:rFonts w:ascii="Palatino Linotype" w:cs="Palatino Linotype" w:eastAsia="Palatino Linotype" w:hAnsi="Palatino Linotype"/>
              <w:b w:val="1"/>
              <w:sz w:val="21"/>
              <w:szCs w:val="21"/>
              <w:rtl w:val="0"/>
            </w:rPr>
            <w:t xml:space="preserve"> </w:t>
          </w:r>
        </w:p>
      </w:tc>
    </w:tr>
    <w:tr>
      <w:trPr>
        <w:cantSplit w:val="0"/>
        <w:trHeight w:val="228" w:hRule="atLeast"/>
        <w:tblHeader w:val="0"/>
      </w:trPr>
      <w:tc>
        <w:tcPr>
          <w:vAlign w:val="center"/>
        </w:tcPr>
        <w:p w:rsidR="00000000" w:rsidDel="00000000" w:rsidP="00000000" w:rsidRDefault="00000000" w:rsidRPr="00000000" w14:paraId="000000F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00">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01">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2"/>
              <w:szCs w:val="22"/>
              <w:rtl w:val="0"/>
            </w:rPr>
            <w:t xml:space="preserve">Ayuntamiento de Tepotzotlán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03">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-689272</wp:posOffset>
          </wp:positionH>
          <wp:positionV relativeFrom="paragraph">
            <wp:posOffset>-1171011</wp:posOffset>
          </wp:positionV>
          <wp:extent cx="7635875" cy="9943465"/>
          <wp:effectExtent b="0" l="0" r="0" t="0"/>
          <wp:wrapNone/>
          <wp:docPr id="2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-675560</wp:posOffset>
          </wp:positionH>
          <wp:positionV relativeFrom="paragraph">
            <wp:posOffset>-341824</wp:posOffset>
          </wp:positionV>
          <wp:extent cx="7635875" cy="9943465"/>
          <wp:effectExtent b="0" l="0" r="0" t="0"/>
          <wp:wrapNone/>
          <wp:docPr id="2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106">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07">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2"/>
              <w:szCs w:val="22"/>
              <w:rtl w:val="0"/>
            </w:rPr>
            <w:t xml:space="preserve">09494/INFOEM/IP/RR/2025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09">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XXXXXXX</w:t>
          </w:r>
        </w:p>
      </w:tc>
    </w:tr>
    <w:tr>
      <w:trPr>
        <w:cantSplit w:val="0"/>
        <w:trHeight w:val="228" w:hRule="atLeast"/>
        <w:tblHeader w:val="0"/>
      </w:trPr>
      <w:tc>
        <w:tcPr>
          <w:vAlign w:val="center"/>
        </w:tcPr>
        <w:p w:rsidR="00000000" w:rsidDel="00000000" w:rsidP="00000000" w:rsidRDefault="00000000" w:rsidRPr="00000000" w14:paraId="0000010A">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0B">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0C">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2"/>
              <w:szCs w:val="22"/>
              <w:rtl w:val="0"/>
            </w:rPr>
            <w:t xml:space="preserve">Ayuntamiento de Tepotzotlán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0E">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val="es-MX"/>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13gsmOQBv3XP6ajFDTsm3EbXg==">CgMxLjAyCGguZ2pkZ3hzMgloLjNkeTZ2a20yCWguM3pueXNoNzIOaC42OGZ2cjhla3E2am0yCWguMWZvYjl0ZTgAciExSTZ1ZUVBUVg3dms3M3RkajFMRFI3Vk5Ma3V6UWVrZzU=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2025-10-03T19:11:00Z</dcterms:created>
  <dc:creator>Usuario de Windows</dc:creator>
</cp:coreProperties>
</file>